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23581" w14:textId="77777777" w:rsidR="005D0BF1" w:rsidRDefault="005D0BF1" w:rsidP="005D0BF1">
      <w:pPr>
        <w:rPr>
          <w:rFonts w:ascii="Times New Roman" w:hAnsi="Times New Roman" w:cs="Times New Roman"/>
        </w:rPr>
      </w:pPr>
      <w:r w:rsidRPr="005D0BF1">
        <w:rPr>
          <w:rFonts w:ascii="Times New Roman" w:hAnsi="Times New Roman" w:cs="Times New Roman"/>
        </w:rPr>
        <w:t>Geochemical Controls on Engineering Performance of Highway Subgrade Soils Along the Emure–Oba Road, Southwestern Nigeria</w:t>
      </w:r>
    </w:p>
    <w:p w14:paraId="7A9124A7" w14:textId="1F4CA6F5" w:rsidR="005D0BF1" w:rsidRDefault="005D0BF1" w:rsidP="005D0BF1">
      <w:pPr>
        <w:jc w:val="both"/>
        <w:rPr>
          <w:rFonts w:ascii="Times New Roman" w:hAnsi="Times New Roman" w:cs="Times New Roman"/>
          <w:b/>
          <w:sz w:val="20"/>
        </w:rPr>
      </w:pPr>
      <w:r w:rsidRPr="005D0BF1">
        <w:rPr>
          <w:rFonts w:ascii="Times New Roman" w:hAnsi="Times New Roman" w:cs="Times New Roman"/>
          <w:b/>
          <w:sz w:val="20"/>
          <w:vertAlign w:val="superscript"/>
        </w:rPr>
        <w:t/>
      </w:r>
      <w:r>
        <w:rPr>
          <w:rFonts w:ascii="Times New Roman" w:hAnsi="Times New Roman" w:cs="Times New Roman"/>
          <w:b/>
          <w:sz w:val="20"/>
        </w:rPr>
        <w:t xml:space="preserve"/>
      </w:r>
      <w:r>
        <w:rPr>
          <w:rFonts w:ascii="Times New Roman" w:hAnsi="Times New Roman" w:cs="Times New Roman"/>
          <w:b/>
          <w:sz w:val="20"/>
          <w:vertAlign w:val="superscript"/>
        </w:rPr>
        <w:t/>
      </w:r>
      <w:r>
        <w:rPr>
          <w:rFonts w:ascii="Times New Roman" w:hAnsi="Times New Roman" w:cs="Times New Roman"/>
          <w:b/>
          <w:sz w:val="20"/>
        </w:rPr>
        <w:t/>
      </w:r>
    </w:p>
    <w:p w14:paraId="2D3817F3" w14:textId="64E62C86" w:rsidR="005D0BF1" w:rsidRDefault="005D0BF1" w:rsidP="005D0BF1">
      <w:pPr>
        <w:pStyle w:val="NoSpacing"/>
        <w:rPr>
          <w:rFonts w:ascii="Times New Roman" w:hAnsi="Times New Roman" w:cs="Times New Roman"/>
          <w:sz w:val="20"/>
        </w:rPr>
      </w:pPr>
      <w:r>
        <w:rPr>
          <w:rFonts w:ascii="Times New Roman" w:hAnsi="Times New Roman" w:cs="Times New Roman"/>
          <w:sz w:val="20"/>
          <w:vertAlign w:val="superscript"/>
        </w:rPr>
        <w:t/>
      </w:r>
      <w:r>
        <w:rPr>
          <w:rFonts w:ascii="Times New Roman" w:hAnsi="Times New Roman" w:cs="Times New Roman"/>
          <w:sz w:val="20"/>
        </w:rPr>
        <w:t/>
      </w:r>
    </w:p>
    <w:p w14:paraId="2F01D34C" w14:textId="77777777" w:rsidR="005D0BF1" w:rsidRDefault="005D0BF1" w:rsidP="005D0BF1">
      <w:pPr>
        <w:pStyle w:val="NoSpacing"/>
        <w:rPr>
          <w:rFonts w:ascii="Times New Roman" w:hAnsi="Times New Roman" w:cs="Times New Roman"/>
          <w:sz w:val="20"/>
          <w:szCs w:val="20"/>
        </w:rPr>
      </w:pPr>
      <w:r>
        <w:rPr>
          <w:rFonts w:ascii="Times New Roman" w:hAnsi="Times New Roman" w:cs="Times New Roman"/>
          <w:sz w:val="20"/>
          <w:szCs w:val="20"/>
          <w:vertAlign w:val="superscript"/>
        </w:rPr>
        <w:t/>
      </w:r>
      <w:r>
        <w:rPr>
          <w:rFonts w:ascii="Times New Roman" w:hAnsi="Times New Roman" w:cs="Times New Roman"/>
          <w:sz w:val="20"/>
          <w:szCs w:val="20"/>
        </w:rPr>
        <w:t/>
      </w:r>
    </w:p>
    <w:p w14:paraId="5D183D49" w14:textId="77777777" w:rsidR="005D0BF1" w:rsidRDefault="005D0BF1" w:rsidP="005D0BF1">
      <w:pPr>
        <w:pStyle w:val="NoSpacing"/>
        <w:rPr>
          <w:rFonts w:ascii="Times New Roman" w:hAnsi="Times New Roman" w:cs="Times New Roman"/>
          <w:sz w:val="20"/>
        </w:rPr>
      </w:pPr>
      <w:r>
        <w:rPr>
          <w:rFonts w:ascii="Times New Roman" w:hAnsi="Times New Roman" w:cs="Times New Roman"/>
          <w:sz w:val="20"/>
        </w:rPr>
        <w:t xml:space="preserve"/>
      </w:r>
      <w:r>
        <w:rPr>
          <w:rFonts w:ascii="Times New Roman" w:hAnsi="Times New Roman" w:cs="Times New Roman"/>
          <w:sz w:val="20"/>
          <w:vertAlign w:val="superscript"/>
        </w:rPr>
        <w:t/>
      </w:r>
      <w:r>
        <w:rPr>
          <w:rFonts w:ascii="Times New Roman" w:hAnsi="Times New Roman" w:cs="Times New Roman"/>
          <w:sz w:val="20"/>
        </w:rPr>
        <w:t xml:space="preserve"/>
      </w:r>
      <w:hyperlink r:id="rId5" w:history="1">
        <w:r>
          <w:rPr>
            <w:rStyle w:val="Hyperlink"/>
            <w:rFonts w:ascii="Times New Roman" w:hAnsi="Times New Roman" w:cs="Times New Roman"/>
            <w:sz w:val="20"/>
          </w:rPr>
          <w:t/>
        </w:r>
      </w:hyperlink>
      <w:r>
        <w:rPr>
          <w:rFonts w:ascii="Times New Roman" w:hAnsi="Times New Roman" w:cs="Times New Roman"/>
          <w:sz w:val="20"/>
        </w:rPr>
        <w:t xml:space="preserve"/>
      </w:r>
      <w:hyperlink r:id="rId6" w:history="1">
        <w:r>
          <w:rPr>
            <w:rStyle w:val="Hyperlink"/>
            <w:rFonts w:ascii="Times New Roman" w:hAnsi="Times New Roman" w:cs="Times New Roman"/>
            <w:sz w:val="20"/>
            <w:u w:val="none"/>
          </w:rPr>
          <w:t/>
        </w:r>
      </w:hyperlink>
      <w:r>
        <w:rPr>
          <w:rFonts w:ascii="Times New Roman" w:hAnsi="Times New Roman" w:cs="Times New Roman"/>
          <w:sz w:val="20"/>
        </w:rPr>
        <w:t xml:space="preserve"/>
      </w:r>
    </w:p>
    <w:p w14:paraId="6C7B6609" w14:textId="0C81614E" w:rsidR="005D0BF1" w:rsidRPr="005D0BF1" w:rsidRDefault="005D0BF1" w:rsidP="005D0BF1">
      <w:pPr>
        <w:spacing w:before="200" w:after="200"/>
        <w:rPr>
          <w:rFonts w:ascii="Times New Roman" w:hAnsi="Times New Roman" w:cs="Times New Roman"/>
          <w:b/>
          <w:bCs/>
        </w:rPr>
      </w:pPr>
      <w:r w:rsidRPr="005D0BF1">
        <w:rPr>
          <w:rFonts w:ascii="Times New Roman" w:hAnsi="Times New Roman" w:cs="Times New Roman"/>
          <w:b/>
          <w:bCs/>
        </w:rPr>
        <w:t>Abstract</w:t>
      </w:r>
    </w:p>
    <w:p w14:paraId="55064EBF" w14:textId="77777777" w:rsidR="005D0BF1" w:rsidRPr="005D0BF1" w:rsidRDefault="005D0BF1" w:rsidP="005D0BF1">
      <w:pPr>
        <w:spacing w:before="200" w:after="360"/>
        <w:jc w:val="both"/>
        <w:rPr>
          <w:rFonts w:ascii="Times New Roman" w:hAnsi="Times New Roman" w:cs="Times New Roman"/>
        </w:rPr>
      </w:pPr>
      <w:r w:rsidRPr="005D0BF1">
        <w:rPr>
          <w:rFonts w:ascii="Times New Roman" w:hAnsi="Times New Roman" w:cs="Times New Roman"/>
        </w:rPr>
        <w:t>The engineering performance of highway pavements is strongly influenced by the geochemical composition of the underlying subgrade soils. This study evaluates the geochemical controls on pavement stability along the Emure–Oba Highway in Southwestern Nigeria through detailed X-ray fluorescence (XRF) analysis of representative lateritic subgrade soils developed over Precambrian Basement Complex rocks. Seven representative soil samples were collected from failed, partly stable, and stable pavement sections and analyzed for their major oxide composition. The results indicate that SiO₂ ranges from 41.51% to 53.37%, Al₂O₃ from 19.69% to 25.95%, Fe₂O₃ from 11.39% to 24.20%, while K₂O varies between 3.52% and 6.74%. Statistical evaluation reveals significant spatial variations in oxide concentrations resulting from differential weathering, lateritisation, and mineral alteration. Stable pavement sections are characterized by relatively higher silica content and lower alumina concentrations, whereas failed sections contain higher clay-forming oxides associated with advanced feldspar weathering. Iron oxide contributes to soil cementation under favourable drainage conditions but may become ineffective where excessive moisture weakens the soil structure. The study establishes that major oxide composition provides reliable indicators of engineering behaviour and should be integrated into highway subgrade investigations in tropical Basement Complex terrains.</w:t>
      </w:r>
    </w:p>
    <w:p w14:paraId="6E07C961"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Keywords: X-ray fluorescence; Major oxides; Lateritic soils; Geochemistry; Highway subgrade; Pavement stability; Basement Complex; Southwestern Nigeria.</w:t>
      </w:r>
    </w:p>
    <w:p w14:paraId="22C5CFF1" w14:textId="77777777" w:rsidR="005D0BF1" w:rsidRPr="005D0BF1" w:rsidRDefault="005D0BF1" w:rsidP="005D0BF1">
      <w:pPr>
        <w:rPr>
          <w:rFonts w:ascii="Times New Roman" w:hAnsi="Times New Roman" w:cs="Times New Roman"/>
          <w:b/>
          <w:bCs/>
        </w:rPr>
      </w:pPr>
      <w:r w:rsidRPr="005D0BF1">
        <w:rPr>
          <w:rFonts w:ascii="Times New Roman" w:hAnsi="Times New Roman" w:cs="Times New Roman"/>
          <w:b/>
          <w:bCs/>
        </w:rPr>
        <w:t>1. Introduction</w:t>
      </w:r>
    </w:p>
    <w:p w14:paraId="19C727EB"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t>Highway failures remain one of the most persistent engineering challenges in tropical regions where lateritic soils constitute the principal construction material. In Nigeria, repeated pavement failures are commonly associated with poor subgrade conditions, excessive weathering of parent rocks, inadequate drainage, and the absence of detailed engineering geological investigations before construction (Ademila, 2018; Olorunfemi and Fasuyi, 2020). Conventional pavement investigations generally emphasize geotechnical parameters such as Atterberg limits, compaction characteristics, California Bearing Ratio (CBR), and grain size distribution. Although these parameters provide useful engineering information, they do not fully explain the mineralogical and chemical processes responsible for long-term pavement deterioration.</w:t>
      </w:r>
    </w:p>
    <w:p w14:paraId="08533445"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lastRenderedPageBreak/>
        <w:t>Geochemistry has become an important component of engineering geological investigations because the chemical composition of soils directly reflects the degree of weathering, mineral transformation, and lateritisation. Major oxides such as silicon dioxide (SiO₂), aluminium oxide (Al₂O₃), iron oxide (Fe₂O₃), calcium oxide (CaO), potassium oxide (K₂O), sodium oxide (Na₂O), magnesium oxide (MgO), and titanium dioxide (TiO₂) influence the engineering characteristics of tropical soils through their relationship with clay mineral development, cementation, particle stability, and weathering intensity (Olabode et al., 2021; Adekunle et al., 2024).</w:t>
      </w:r>
    </w:p>
    <w:p w14:paraId="7B0902FF"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t>Silica is generally associated with quartz-rich soils that possess relatively high strength, good drainage, and low plasticity. Aluminium oxide reflects the abundance of clay minerals produced through feldspar weathering and generally increases with increasing chemical weathering. Iron oxide is responsible for the characteristic reddish coloration of lateritic soils and contributes to particle bonding through iron cementation. Potassium oxide is commonly associated with feldspar and mica minerals, while calcium oxide decreases progressively during advanced tropical weathering due to leaching. Consequently, the relative abundance of these oxides provides valuable information regarding the engineering competence of subgrade soils.</w:t>
      </w:r>
    </w:p>
    <w:p w14:paraId="23C4D8DD"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t>Several researchers have demonstrated the usefulness of integrating geochemistry into engineering geological investigations. Adegbuyi et al. (2017) showed that variations in major oxide composition reflect differences in parent rock composition and weathering intensity within the Basement Complex of Southwestern Nigeria. Olabode et al. (2021) established that quartz-rich lateritic soils generally exhibit improved engineering behaviour compared with clay-rich soils. Olatunji et al. (2022) further demonstrated that mineralogical and geochemical characteristics significantly influence pavement performance through their effects on plasticity, moisture sensitivity, and load-bearing capacity.</w:t>
      </w:r>
    </w:p>
    <w:p w14:paraId="51C0633C"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t>Despite these advances, few studies have quantitatively related major oxide composition to pavement performance along the Emure–Oba Highway. Most previous investigations concentrated primarily on geophysical surveys or conventional geotechnical testing without adequately considering the chemical evolution of the lateritic subgrade. The present study therefore investigates the spatial variation of major oxides along the highway and evaluates their relationship with engineering performance. The specific objectives are to determine the major oxide composition of representative lateritic soils using X-ray fluorescence analysis, evaluate the statistical variation of the oxide constituents, assess the engineering significance of individual oxides, and establish the geochemical controls on pavement stability in the study area.</w:t>
      </w:r>
    </w:p>
    <w:p w14:paraId="494510CE" w14:textId="608284BA" w:rsidR="005D0BF1" w:rsidRPr="005D0BF1" w:rsidRDefault="005D0BF1" w:rsidP="005D0BF1">
      <w:pPr>
        <w:rPr>
          <w:rFonts w:ascii="Times New Roman" w:hAnsi="Times New Roman" w:cs="Times New Roman"/>
          <w:b/>
          <w:bCs/>
        </w:rPr>
      </w:pPr>
      <w:r w:rsidRPr="005D0BF1">
        <w:rPr>
          <w:rFonts w:ascii="Times New Roman" w:hAnsi="Times New Roman" w:cs="Times New Roman"/>
          <w:b/>
          <w:bCs/>
        </w:rPr>
        <w:t>2. Geological Setting</w:t>
      </w:r>
      <w:r w:rsidR="00912E4D">
        <w:rPr>
          <w:rFonts w:ascii="Times New Roman" w:hAnsi="Times New Roman" w:cs="Times New Roman"/>
          <w:b/>
          <w:bCs/>
        </w:rPr>
        <w:t xml:space="preserve"> and Study Area</w:t>
      </w:r>
    </w:p>
    <w:p w14:paraId="79A28959" w14:textId="4E2C9506" w:rsidR="005D0BF1" w:rsidRDefault="005D0BF1" w:rsidP="005D0BF1">
      <w:pPr>
        <w:jc w:val="both"/>
        <w:rPr>
          <w:rFonts w:ascii="Times New Roman" w:hAnsi="Times New Roman" w:cs="Times New Roman"/>
        </w:rPr>
      </w:pPr>
      <w:r w:rsidRPr="005D0BF1">
        <w:rPr>
          <w:rFonts w:ascii="Times New Roman" w:hAnsi="Times New Roman" w:cs="Times New Roman"/>
        </w:rPr>
        <w:t>The study area</w:t>
      </w:r>
      <w:r w:rsidR="002457F6">
        <w:rPr>
          <w:rFonts w:ascii="Times New Roman" w:hAnsi="Times New Roman" w:cs="Times New Roman"/>
        </w:rPr>
        <w:t xml:space="preserve"> (</w:t>
      </w:r>
      <w:r w:rsidR="002457F6" w:rsidRPr="002457F6">
        <w:rPr>
          <w:rFonts w:ascii="Times New Roman" w:hAnsi="Times New Roman" w:cs="Times New Roman"/>
          <w:i/>
          <w:iCs/>
          <w:sz w:val="22"/>
          <w:szCs w:val="22"/>
        </w:rPr>
        <w:t>Figure 1</w:t>
      </w:r>
      <w:r w:rsidR="002457F6">
        <w:rPr>
          <w:rFonts w:ascii="Times New Roman" w:hAnsi="Times New Roman" w:cs="Times New Roman"/>
        </w:rPr>
        <w:t xml:space="preserve">) </w:t>
      </w:r>
      <w:r w:rsidRPr="005D0BF1">
        <w:rPr>
          <w:rFonts w:ascii="Times New Roman" w:hAnsi="Times New Roman" w:cs="Times New Roman"/>
        </w:rPr>
        <w:t xml:space="preserve">s located along the Emure–Oba Highway in southwestern Nigeria within the Precambrian Basement Complex. The highway traverses parts of Ekiti State and Ondo State between Owo, Emure, and Oba and lies approximately between latitudes 7°00′N and 7°30′N and longitudes 5°15′E and 5°45′E. The area forms part of the Nigerian Basement Complex, which represents one of the major geological provinces of West Africa and consists predominantly of </w:t>
      </w:r>
      <w:r w:rsidRPr="005D0BF1">
        <w:rPr>
          <w:rFonts w:ascii="Times New Roman" w:hAnsi="Times New Roman" w:cs="Times New Roman"/>
        </w:rPr>
        <w:lastRenderedPageBreak/>
        <w:t>migmatite, granite gneiss, banded gneiss, quartzite, schist, charnockite, and Pan-African granitoids (Rahaman, 1988; Obaje, 2009).</w:t>
      </w:r>
    </w:p>
    <w:p w14:paraId="249A2787" w14:textId="48EB2056" w:rsidR="002457F6" w:rsidRDefault="002457F6" w:rsidP="005D0BF1">
      <w:pPr>
        <w:jc w:val="both"/>
        <w:rPr>
          <w:rFonts w:ascii="Times New Roman" w:hAnsi="Times New Roman" w:cs="Times New Roman"/>
        </w:rPr>
      </w:pPr>
      <w:r>
        <w:rPr>
          <w:rFonts w:ascii="Times New Roman" w:eastAsia="Times New Roman" w:hAnsi="Times New Roman" w:cs="Times New Roman"/>
          <w:bCs/>
          <w:noProof/>
          <w:kern w:val="36"/>
        </w:rPr>
        <w:drawing>
          <wp:inline distT="0" distB="0" distL="0" distR="0" wp14:anchorId="7F446937" wp14:editId="7E856B59">
            <wp:extent cx="5916641" cy="2226624"/>
            <wp:effectExtent l="19050" t="19050" r="27305" b="21590"/>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a:off x="0" y="0"/>
                      <a:ext cx="5916641" cy="2226624"/>
                    </a:xfrm>
                    <a:prstGeom prst="rect">
                      <a:avLst/>
                    </a:prstGeom>
                    <a:ln w="3175" cap="flat" cmpd="sng">
                      <a:solidFill>
                        <a:srgbClr val="000000"/>
                      </a:solidFill>
                      <a:prstDash val="solid"/>
                      <a:round/>
                      <a:headEnd/>
                      <a:tailEnd/>
                    </a:ln>
                  </pic:spPr>
                </pic:pic>
              </a:graphicData>
            </a:graphic>
          </wp:inline>
        </w:drawing>
      </w:r>
    </w:p>
    <w:p w14:paraId="2268D3DD" w14:textId="77777777" w:rsidR="002457F6" w:rsidRDefault="002457F6" w:rsidP="002457F6">
      <w:pPr>
        <w:spacing w:before="100" w:beforeAutospacing="1" w:after="100" w:afterAutospacing="1" w:line="240" w:lineRule="auto"/>
        <w:jc w:val="center"/>
        <w:outlineLvl w:val="0"/>
        <w:rPr>
          <w:rFonts w:ascii="Times New Roman" w:eastAsia="Times New Roman" w:hAnsi="Times New Roman" w:cs="Times New Roman"/>
          <w:bCs/>
          <w:kern w:val="36"/>
        </w:rPr>
      </w:pPr>
      <w:r>
        <w:rPr>
          <w:rFonts w:ascii="Times New Roman" w:eastAsia="Times New Roman" w:hAnsi="Times New Roman" w:cs="Times New Roman"/>
          <w:bCs/>
          <w:kern w:val="36"/>
        </w:rPr>
        <w:t>Figure 1: Sample points and drainage of the study area</w:t>
      </w:r>
    </w:p>
    <w:p w14:paraId="6B7C055A" w14:textId="25B276D6" w:rsidR="005D0BF1" w:rsidRPr="005D0BF1" w:rsidRDefault="005D0BF1" w:rsidP="005D0BF1">
      <w:pPr>
        <w:jc w:val="both"/>
        <w:rPr>
          <w:rFonts w:ascii="Times New Roman" w:hAnsi="Times New Roman" w:cs="Times New Roman"/>
        </w:rPr>
      </w:pPr>
      <w:r w:rsidRPr="005D0BF1">
        <w:rPr>
          <w:rFonts w:ascii="Times New Roman" w:hAnsi="Times New Roman" w:cs="Times New Roman"/>
        </w:rPr>
        <w:t xml:space="preserve">The Basement Complex rocks </w:t>
      </w:r>
      <w:r w:rsidR="00912E4D">
        <w:rPr>
          <w:rFonts w:ascii="Times New Roman" w:hAnsi="Times New Roman" w:cs="Times New Roman"/>
        </w:rPr>
        <w:t>(</w:t>
      </w:r>
      <w:r w:rsidR="00912E4D" w:rsidRPr="00912E4D">
        <w:rPr>
          <w:rFonts w:ascii="Times New Roman" w:hAnsi="Times New Roman" w:cs="Times New Roman"/>
          <w:i/>
          <w:iCs/>
        </w:rPr>
        <w:t xml:space="preserve">Figure </w:t>
      </w:r>
      <w:r w:rsidR="00912E4D">
        <w:rPr>
          <w:rFonts w:ascii="Times New Roman" w:hAnsi="Times New Roman" w:cs="Times New Roman"/>
          <w:i/>
          <w:iCs/>
        </w:rPr>
        <w:t>2</w:t>
      </w:r>
      <w:r w:rsidR="00912E4D">
        <w:rPr>
          <w:rFonts w:ascii="Times New Roman" w:hAnsi="Times New Roman" w:cs="Times New Roman"/>
        </w:rPr>
        <w:t>)</w:t>
      </w:r>
      <w:r w:rsidR="008751D3">
        <w:rPr>
          <w:rFonts w:ascii="Times New Roman" w:hAnsi="Times New Roman" w:cs="Times New Roman"/>
        </w:rPr>
        <w:t xml:space="preserve"> </w:t>
      </w:r>
      <w:r w:rsidRPr="005D0BF1">
        <w:rPr>
          <w:rFonts w:ascii="Times New Roman" w:hAnsi="Times New Roman" w:cs="Times New Roman"/>
        </w:rPr>
        <w:t>have undergone multiple episodes of deformation, metamorphism, and magmatic intrusion during the Liberian, Eburnean, Kibaran, and Pan-African orogenic events. These tectonic activities produced extensive fracture systems, joints, foliations, and faults that exert significant control on groundwater movement, weathering patterns, and the engineering behaviour of overlying soils (Adeoti and Okonkwo, 2016; Bamigboye et al., 2022).</w:t>
      </w:r>
    </w:p>
    <w:p w14:paraId="1169C0C1" w14:textId="0CB419FA" w:rsidR="005D0BF1" w:rsidRPr="005D0BF1" w:rsidRDefault="005D0BF1" w:rsidP="005D0BF1">
      <w:pPr>
        <w:jc w:val="both"/>
        <w:rPr>
          <w:rFonts w:ascii="Times New Roman" w:hAnsi="Times New Roman" w:cs="Times New Roman"/>
        </w:rPr>
      </w:pPr>
      <w:r w:rsidRPr="005D0BF1">
        <w:rPr>
          <w:rFonts w:ascii="Times New Roman" w:hAnsi="Times New Roman" w:cs="Times New Roman"/>
        </w:rPr>
        <w:t>The climate of the study area is tropical with distinct wet and dry seasons. Annual rainfall ranges between approximately 1200 mm and 1600 mm, while average temperatures vary between 25°C and 32°C. The prolonged wet season promotes intense chemical weathering of feldspar-rich crystalline rocks, leading to the formation of thick lateritic weathering profiles. Continuous leaching removes mobile elements such as calcium and sodium while concentrating relatively immobile oxides including iron and aluminium. These processes produce residual soils exhibiting considerable spatial variation in engineering properties.</w:t>
      </w:r>
      <w:r>
        <w:rPr>
          <w:rFonts w:ascii="Times New Roman" w:hAnsi="Times New Roman" w:cs="Times New Roman"/>
        </w:rPr>
        <w:t xml:space="preserve"> </w:t>
      </w:r>
      <w:r w:rsidRPr="005D0BF1">
        <w:rPr>
          <w:rFonts w:ascii="Times New Roman" w:hAnsi="Times New Roman" w:cs="Times New Roman"/>
        </w:rPr>
        <w:t>Drainage within the area</w:t>
      </w:r>
      <w:r w:rsidR="00912E4D">
        <w:rPr>
          <w:rFonts w:ascii="Times New Roman" w:hAnsi="Times New Roman" w:cs="Times New Roman"/>
        </w:rPr>
        <w:t xml:space="preserve"> (</w:t>
      </w:r>
      <w:r w:rsidR="00912E4D" w:rsidRPr="00912E4D">
        <w:rPr>
          <w:rFonts w:ascii="Times New Roman" w:hAnsi="Times New Roman" w:cs="Times New Roman"/>
          <w:i/>
          <w:iCs/>
        </w:rPr>
        <w:t>Figure 1</w:t>
      </w:r>
      <w:r w:rsidR="00912E4D">
        <w:rPr>
          <w:rFonts w:ascii="Times New Roman" w:hAnsi="Times New Roman" w:cs="Times New Roman"/>
        </w:rPr>
        <w:t>)</w:t>
      </w:r>
      <w:r w:rsidRPr="005D0BF1">
        <w:rPr>
          <w:rFonts w:ascii="Times New Roman" w:hAnsi="Times New Roman" w:cs="Times New Roman"/>
        </w:rPr>
        <w:t xml:space="preserve"> is predominantly dendritic and controlled by topography and structural discontinuities within the Basement Complex rocks. Seasonal fluctuations in groundwater levels influence the moisture content of the subgrade soils, thereby affecting pavement performance. Poor drainage conditions facilitate prolonged water retention, reduce shear strength, and accelerate pavement deterioration.</w:t>
      </w:r>
    </w:p>
    <w:p w14:paraId="21145B05" w14:textId="77777777" w:rsidR="005D0BF1" w:rsidRDefault="005D0BF1" w:rsidP="005D0BF1">
      <w:pPr>
        <w:jc w:val="both"/>
        <w:rPr>
          <w:rFonts w:ascii="Times New Roman" w:hAnsi="Times New Roman" w:cs="Times New Roman"/>
        </w:rPr>
      </w:pPr>
      <w:r w:rsidRPr="005D0BF1">
        <w:rPr>
          <w:rFonts w:ascii="Times New Roman" w:hAnsi="Times New Roman" w:cs="Times New Roman"/>
        </w:rPr>
        <w:t>The weathering profile generally comprises topsoil, ferruginous laterite, mottled clay, saprolite, and partially weathered bedrock. The thickness of the weathered layer varies considerably depending on lithology and structural conditions. Quartz-rich parent rocks tend to produce coarse-grained sandy lateritic soils with relatively high permeability and strength, whereas feldspar-rich rocks weather into clay-rich materials exhibiting higher plasticity and lower bearing capacity. Consequently, the engineering performance of the highway reflects the complex interaction between geology, weathering, geochemistry, drainage, and climatic conditions.</w:t>
      </w:r>
    </w:p>
    <w:p w14:paraId="719916FE" w14:textId="6CFDC3D7" w:rsidR="005D0BF1" w:rsidRPr="005D0BF1" w:rsidRDefault="00912E4D" w:rsidP="005D0BF1">
      <w:pPr>
        <w:jc w:val="both"/>
        <w:rPr>
          <w:rFonts w:ascii="Times New Roman" w:hAnsi="Times New Roman" w:cs="Times New Roman"/>
        </w:rPr>
      </w:pPr>
      <w:r>
        <w:rPr>
          <w:rFonts w:ascii="Times New Roman" w:eastAsia="Times New Roman" w:hAnsi="Times New Roman" w:cs="Times New Roman"/>
          <w:bCs/>
          <w:noProof/>
          <w:kern w:val="36"/>
        </w:rPr>
        <w:lastRenderedPageBreak/>
        <w:drawing>
          <wp:inline distT="0" distB="0" distL="0" distR="0" wp14:anchorId="5E4EF0A9" wp14:editId="46771492">
            <wp:extent cx="5880100" cy="3276884"/>
            <wp:effectExtent l="19050" t="19050" r="25400" b="19050"/>
            <wp:docPr id="102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8" cstate="print"/>
                    <a:srcRect/>
                    <a:stretch/>
                  </pic:blipFill>
                  <pic:spPr>
                    <a:xfrm>
                      <a:off x="0" y="0"/>
                      <a:ext cx="5898782" cy="3287295"/>
                    </a:xfrm>
                    <a:prstGeom prst="rect">
                      <a:avLst/>
                    </a:prstGeom>
                    <a:ln w="3175" cap="flat" cmpd="sng">
                      <a:solidFill>
                        <a:srgbClr val="000000"/>
                      </a:solidFill>
                      <a:prstDash val="solid"/>
                      <a:round/>
                      <a:headEnd/>
                      <a:tailEnd/>
                    </a:ln>
                  </pic:spPr>
                </pic:pic>
              </a:graphicData>
            </a:graphic>
          </wp:inline>
        </w:drawing>
      </w:r>
    </w:p>
    <w:p w14:paraId="24F49D6B" w14:textId="4C7A638C" w:rsidR="005D0BF1" w:rsidRPr="005D0BF1" w:rsidRDefault="005D0BF1" w:rsidP="005D0BF1">
      <w:pPr>
        <w:jc w:val="both"/>
        <w:rPr>
          <w:rFonts w:ascii="Times New Roman" w:hAnsi="Times New Roman" w:cs="Times New Roman"/>
          <w:i/>
          <w:iCs/>
        </w:rPr>
      </w:pPr>
      <w:r w:rsidRPr="005D0BF1">
        <w:rPr>
          <w:rFonts w:ascii="Times New Roman" w:hAnsi="Times New Roman" w:cs="Times New Roman"/>
          <w:b/>
          <w:bCs/>
          <w:i/>
          <w:iCs/>
        </w:rPr>
        <w:t xml:space="preserve">Figure </w:t>
      </w:r>
      <w:r w:rsidR="00912E4D">
        <w:rPr>
          <w:rFonts w:ascii="Times New Roman" w:hAnsi="Times New Roman" w:cs="Times New Roman"/>
          <w:b/>
          <w:bCs/>
          <w:i/>
          <w:iCs/>
        </w:rPr>
        <w:t>2</w:t>
      </w:r>
      <w:r w:rsidRPr="005D0BF1">
        <w:rPr>
          <w:rFonts w:ascii="Times New Roman" w:hAnsi="Times New Roman" w:cs="Times New Roman"/>
          <w:i/>
          <w:iCs/>
        </w:rPr>
        <w:t xml:space="preserve">. Geological map of the Emure–Oba Highway showing lithological units, drainage pattern, structural trends, and representative sampling locations. </w:t>
      </w:r>
      <w:r w:rsidR="00912E4D">
        <w:rPr>
          <w:rFonts w:ascii="Times New Roman" w:hAnsi="Times New Roman" w:cs="Times New Roman"/>
          <w:i/>
          <w:iCs/>
        </w:rPr>
        <w:t>(</w:t>
      </w:r>
      <w:r w:rsidR="00912E4D" w:rsidRPr="00912E4D">
        <w:rPr>
          <w:rFonts w:ascii="Times New Roman" w:hAnsi="Times New Roman" w:cs="Times New Roman"/>
        </w:rPr>
        <w:t>Idowu</w:t>
      </w:r>
      <w:r w:rsidR="00912E4D">
        <w:rPr>
          <w:rFonts w:ascii="Times New Roman" w:hAnsi="Times New Roman" w:cs="Times New Roman"/>
          <w:i/>
          <w:iCs/>
        </w:rPr>
        <w:t xml:space="preserve"> et al., 2026)</w:t>
      </w:r>
    </w:p>
    <w:p w14:paraId="7A86F52D" w14:textId="77777777" w:rsidR="005D0BF1" w:rsidRPr="005D0BF1" w:rsidRDefault="005D0BF1" w:rsidP="005D0BF1">
      <w:pPr>
        <w:rPr>
          <w:rFonts w:ascii="Times New Roman" w:hAnsi="Times New Roman" w:cs="Times New Roman"/>
          <w:b/>
          <w:bCs/>
        </w:rPr>
      </w:pPr>
      <w:r w:rsidRPr="005D0BF1">
        <w:rPr>
          <w:rFonts w:ascii="Times New Roman" w:hAnsi="Times New Roman" w:cs="Times New Roman"/>
          <w:b/>
          <w:bCs/>
        </w:rPr>
        <w:t>3. Materials and Methods</w:t>
      </w:r>
    </w:p>
    <w:p w14:paraId="2678C878"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3.1 Field Sampling</w:t>
      </w:r>
    </w:p>
    <w:p w14:paraId="02AF66A9"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t>Representative subgrade soil samples were collected from seven locations distributed along failed, partly stable, and stable sections of the Emure–Oba Highway. Sampling depths ranged between 1.0 m and 2.0 m, corresponding to the natural subgrade beneath the pavement structure. Each sampling location was selected following detailed field reconnaissance and geological mapping to ensure that the collected materials represented the prevailing subgrade conditions.</w:t>
      </w:r>
    </w:p>
    <w:p w14:paraId="1E020450"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3.2 X-ray Fluorescence (XRF) Analysis</w:t>
      </w:r>
    </w:p>
    <w:p w14:paraId="29774022" w14:textId="319EAE84" w:rsidR="005D0BF1" w:rsidRPr="005D0BF1" w:rsidRDefault="005D0BF1" w:rsidP="005D0BF1">
      <w:pPr>
        <w:jc w:val="both"/>
        <w:rPr>
          <w:rFonts w:ascii="Times New Roman" w:hAnsi="Times New Roman" w:cs="Times New Roman"/>
        </w:rPr>
      </w:pPr>
      <w:r w:rsidRPr="005D0BF1">
        <w:rPr>
          <w:rFonts w:ascii="Times New Roman" w:hAnsi="Times New Roman" w:cs="Times New Roman"/>
        </w:rPr>
        <w:t>The geochemical composition of the soil samples was determined using X-ray fluorescence (XRF) spectroscopy. Prior to analysis, the samples were air-dried, pulverized, and sieved to obtain a homogeneous fine powder. Representative portions were pressed into pellets according to standard analytical procedures. The prepared samples were analyzed using an energy-dispersive XRF spectrometer calibrated with certified international reference materials.</w:t>
      </w:r>
      <w:r>
        <w:rPr>
          <w:rFonts w:ascii="Times New Roman" w:hAnsi="Times New Roman" w:cs="Times New Roman"/>
        </w:rPr>
        <w:t xml:space="preserve"> </w:t>
      </w:r>
      <w:r w:rsidRPr="005D0BF1">
        <w:rPr>
          <w:rFonts w:ascii="Times New Roman" w:hAnsi="Times New Roman" w:cs="Times New Roman"/>
        </w:rPr>
        <w:t>Major oxide concentrations including SiO₂, Al₂O₃, Fe₂O₃, TiO₂, MgO, CaO, Na₂O, K₂O, MnO, and P₂O₅ were determined and reported as weight percentages. Quality assurance was maintained through repeated analyses of standards and duplicate samples to ensure analytical precision and reproducibility.</w:t>
      </w:r>
    </w:p>
    <w:p w14:paraId="5EE41771"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3.3 Major Oxide Determination</w:t>
      </w:r>
    </w:p>
    <w:p w14:paraId="6F6421A4"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lastRenderedPageBreak/>
        <w:t>The engineering significance of each major oxide was evaluated based on its contribution to mineral composition, weathering intensity, and subgrade performance. Silicon dioxide was interpreted as an indicator of quartz abundance and mechanical stability. Aluminium oxide represented clay mineral development resulting from feldspar weathering. Iron oxide reflected the degree of lateritisation and particle cementation. Calcium oxide and sodium oxide were considered indicators of weathering intensity because these mobile elements decrease progressively during tropical leaching. Potassium oxide was used to evaluate feldspar alteration and clay mineral formation.</w:t>
      </w:r>
    </w:p>
    <w:p w14:paraId="6F6B7761"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3.4 Statistical Analysis</w:t>
      </w:r>
    </w:p>
    <w:p w14:paraId="08CFA62C"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t>Descriptive statistical methods were employed to evaluate the spatial distribution of the major oxides along the highway. The statistical parameters calculated include the mean, minimum, maximum, standard deviation, and coefficient of variation. Scatter plots were subsequently used to examine the relationships between SiO₂ and Fe₂O₃, and between Al₂O₃ and CaO, in order to evaluate the geochemical controls on subgrade stability. These relationships form the basis for interpreting the influence of chemical weathering and oxide composition on pavement performance.</w:t>
      </w:r>
    </w:p>
    <w:p w14:paraId="60858F2C" w14:textId="77777777" w:rsidR="005D0BF1" w:rsidRPr="005D0BF1" w:rsidRDefault="005D0BF1" w:rsidP="005D0BF1">
      <w:pPr>
        <w:rPr>
          <w:rFonts w:ascii="Times New Roman" w:hAnsi="Times New Roman" w:cs="Times New Roman"/>
          <w:b/>
          <w:bCs/>
        </w:rPr>
      </w:pPr>
      <w:r w:rsidRPr="005D0BF1">
        <w:rPr>
          <w:rFonts w:ascii="Times New Roman" w:hAnsi="Times New Roman" w:cs="Times New Roman"/>
          <w:b/>
          <w:bCs/>
        </w:rPr>
        <w:t>4. Results and Discussion</w:t>
      </w:r>
    </w:p>
    <w:p w14:paraId="7ED26D49"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4.1 Major Oxide Composition of the Subgrade Soils</w:t>
      </w:r>
    </w:p>
    <w:p w14:paraId="69B795B5" w14:textId="77777777" w:rsidR="005D0BF1" w:rsidRPr="005D0BF1" w:rsidRDefault="005D0BF1" w:rsidP="005D0BF1">
      <w:pPr>
        <w:jc w:val="both"/>
        <w:rPr>
          <w:rFonts w:ascii="Times New Roman" w:hAnsi="Times New Roman" w:cs="Times New Roman"/>
        </w:rPr>
      </w:pPr>
      <w:r w:rsidRPr="005D0BF1">
        <w:rPr>
          <w:rFonts w:ascii="Times New Roman" w:hAnsi="Times New Roman" w:cs="Times New Roman"/>
        </w:rPr>
        <w:t>The results of the X-ray fluorescence (XRF) analysis are presented in Table 1. The data show that the lateritic subgrade soils are dominated by silicon dioxide (SiO₂), aluminium oxide (Al₂O₃), and iron oxide (Fe₂O₃), which together constitute over 80% of the total oxide composition. These oxides largely reflect the mineralogical composition of the weathered Basement Complex rocks and indicate advanced tropical weathering and lateritisation. Minor oxides such as TiO₂, MnO, MgO, CaO, Na₂O, K₂O, and P₂O₅ occur in relatively lower concentrations but provide valuable information regarding the degree of weathering and chemical alteration of the parent materials.</w:t>
      </w:r>
    </w:p>
    <w:p w14:paraId="42F73B43" w14:textId="3B771836" w:rsidR="005D0BF1" w:rsidRPr="005A1599" w:rsidRDefault="005D0BF1" w:rsidP="005A1599">
      <w:pPr>
        <w:jc w:val="center"/>
        <w:rPr>
          <w:rFonts w:ascii="Times New Roman" w:hAnsi="Times New Roman" w:cs="Times New Roman"/>
          <w:sz w:val="22"/>
          <w:szCs w:val="22"/>
        </w:rPr>
      </w:pPr>
      <w:r w:rsidRPr="005A1599">
        <w:rPr>
          <w:rFonts w:ascii="Times New Roman" w:hAnsi="Times New Roman" w:cs="Times New Roman"/>
          <w:sz w:val="22"/>
          <w:szCs w:val="22"/>
        </w:rPr>
        <w:t>Table 1. Major oxide composition of representative subgrade soils along the Emure–Oba Highway.</w:t>
      </w:r>
    </w:p>
    <w:tbl>
      <w:tblPr>
        <w:tblStyle w:val="PlainTable5"/>
        <w:tblW w:w="8183" w:type="dxa"/>
        <w:jc w:val="center"/>
        <w:tblLook w:val="04A0" w:firstRow="1" w:lastRow="0" w:firstColumn="1" w:lastColumn="0" w:noHBand="0" w:noVBand="1"/>
      </w:tblPr>
      <w:tblGrid>
        <w:gridCol w:w="930"/>
        <w:gridCol w:w="770"/>
        <w:gridCol w:w="770"/>
        <w:gridCol w:w="800"/>
        <w:gridCol w:w="667"/>
        <w:gridCol w:w="726"/>
        <w:gridCol w:w="687"/>
        <w:gridCol w:w="756"/>
        <w:gridCol w:w="654"/>
        <w:gridCol w:w="726"/>
        <w:gridCol w:w="697"/>
      </w:tblGrid>
      <w:tr w:rsidR="005D0BF1" w:rsidRPr="003830DA" w14:paraId="3F1F4725" w14:textId="77777777" w:rsidTr="003830DA">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21A95282" w14:textId="77777777" w:rsidR="005D0BF1" w:rsidRPr="003830DA" w:rsidRDefault="005D0BF1" w:rsidP="005D0BF1">
            <w:pPr>
              <w:spacing w:after="160" w:line="278" w:lineRule="auto"/>
              <w:jc w:val="left"/>
              <w:rPr>
                <w:rFonts w:ascii="Times New Roman" w:hAnsi="Times New Roman" w:cs="Times New Roman"/>
                <w:sz w:val="20"/>
                <w:szCs w:val="18"/>
              </w:rPr>
            </w:pPr>
            <w:r w:rsidRPr="003830DA">
              <w:rPr>
                <w:rFonts w:ascii="Times New Roman" w:hAnsi="Times New Roman" w:cs="Times New Roman"/>
                <w:sz w:val="20"/>
                <w:szCs w:val="18"/>
              </w:rPr>
              <w:t>Sample</w:t>
            </w:r>
          </w:p>
        </w:tc>
        <w:tc>
          <w:tcPr>
            <w:tcW w:w="0" w:type="auto"/>
            <w:tcBorders>
              <w:top w:val="single" w:sz="4" w:space="0" w:color="auto"/>
            </w:tcBorders>
            <w:hideMark/>
          </w:tcPr>
          <w:p w14:paraId="77CEFE8B"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SiO₂</w:t>
            </w:r>
          </w:p>
        </w:tc>
        <w:tc>
          <w:tcPr>
            <w:tcW w:w="0" w:type="auto"/>
            <w:tcBorders>
              <w:top w:val="single" w:sz="4" w:space="0" w:color="auto"/>
            </w:tcBorders>
            <w:hideMark/>
          </w:tcPr>
          <w:p w14:paraId="5B0818F9"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Al₂O₃</w:t>
            </w:r>
          </w:p>
        </w:tc>
        <w:tc>
          <w:tcPr>
            <w:tcW w:w="0" w:type="auto"/>
            <w:tcBorders>
              <w:top w:val="single" w:sz="4" w:space="0" w:color="auto"/>
            </w:tcBorders>
            <w:hideMark/>
          </w:tcPr>
          <w:p w14:paraId="60B2F9AC"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Fe₂O₃</w:t>
            </w:r>
          </w:p>
        </w:tc>
        <w:tc>
          <w:tcPr>
            <w:tcW w:w="0" w:type="auto"/>
            <w:tcBorders>
              <w:top w:val="single" w:sz="4" w:space="0" w:color="auto"/>
            </w:tcBorders>
            <w:hideMark/>
          </w:tcPr>
          <w:p w14:paraId="4D2126EE"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TiO₂</w:t>
            </w:r>
          </w:p>
        </w:tc>
        <w:tc>
          <w:tcPr>
            <w:tcW w:w="0" w:type="auto"/>
            <w:tcBorders>
              <w:top w:val="single" w:sz="4" w:space="0" w:color="auto"/>
            </w:tcBorders>
            <w:hideMark/>
          </w:tcPr>
          <w:p w14:paraId="0BDF6470"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MgO</w:t>
            </w:r>
          </w:p>
        </w:tc>
        <w:tc>
          <w:tcPr>
            <w:tcW w:w="0" w:type="auto"/>
            <w:tcBorders>
              <w:top w:val="single" w:sz="4" w:space="0" w:color="auto"/>
            </w:tcBorders>
            <w:hideMark/>
          </w:tcPr>
          <w:p w14:paraId="141CC65A"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CaO</w:t>
            </w:r>
          </w:p>
        </w:tc>
        <w:tc>
          <w:tcPr>
            <w:tcW w:w="0" w:type="auto"/>
            <w:tcBorders>
              <w:top w:val="single" w:sz="4" w:space="0" w:color="auto"/>
            </w:tcBorders>
            <w:hideMark/>
          </w:tcPr>
          <w:p w14:paraId="2EF21DDF"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Na₂O</w:t>
            </w:r>
          </w:p>
        </w:tc>
        <w:tc>
          <w:tcPr>
            <w:tcW w:w="0" w:type="auto"/>
            <w:tcBorders>
              <w:top w:val="single" w:sz="4" w:space="0" w:color="auto"/>
            </w:tcBorders>
            <w:hideMark/>
          </w:tcPr>
          <w:p w14:paraId="1970D02D"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K₂O</w:t>
            </w:r>
          </w:p>
        </w:tc>
        <w:tc>
          <w:tcPr>
            <w:tcW w:w="0" w:type="auto"/>
            <w:tcBorders>
              <w:top w:val="single" w:sz="4" w:space="0" w:color="auto"/>
            </w:tcBorders>
            <w:hideMark/>
          </w:tcPr>
          <w:p w14:paraId="17EF11DC"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MnO</w:t>
            </w:r>
          </w:p>
        </w:tc>
        <w:tc>
          <w:tcPr>
            <w:tcW w:w="0" w:type="auto"/>
            <w:tcBorders>
              <w:top w:val="single" w:sz="4" w:space="0" w:color="auto"/>
            </w:tcBorders>
            <w:hideMark/>
          </w:tcPr>
          <w:p w14:paraId="498CF1A6" w14:textId="77777777" w:rsidR="005D0BF1" w:rsidRPr="003830DA"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P₂O₅</w:t>
            </w:r>
          </w:p>
        </w:tc>
      </w:tr>
      <w:tr w:rsidR="005D0BF1" w:rsidRPr="003830DA" w14:paraId="47C8C62D" w14:textId="77777777" w:rsidTr="003830DA">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F9281D" w14:textId="77777777" w:rsidR="005D0BF1" w:rsidRPr="003830DA" w:rsidRDefault="005D0BF1" w:rsidP="005D0BF1">
            <w:pPr>
              <w:spacing w:after="160" w:line="278" w:lineRule="auto"/>
              <w:rPr>
                <w:rFonts w:ascii="Times New Roman" w:hAnsi="Times New Roman" w:cs="Times New Roman"/>
                <w:sz w:val="20"/>
                <w:szCs w:val="18"/>
              </w:rPr>
            </w:pPr>
            <w:r w:rsidRPr="003830DA">
              <w:rPr>
                <w:rFonts w:ascii="Times New Roman" w:hAnsi="Times New Roman" w:cs="Times New Roman"/>
                <w:sz w:val="20"/>
                <w:szCs w:val="18"/>
              </w:rPr>
              <w:t>Jn3a</w:t>
            </w:r>
          </w:p>
        </w:tc>
        <w:tc>
          <w:tcPr>
            <w:tcW w:w="0" w:type="auto"/>
            <w:hideMark/>
          </w:tcPr>
          <w:p w14:paraId="4A84B9ED"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44.61</w:t>
            </w:r>
          </w:p>
        </w:tc>
        <w:tc>
          <w:tcPr>
            <w:tcW w:w="0" w:type="auto"/>
            <w:hideMark/>
          </w:tcPr>
          <w:p w14:paraId="60DD8752"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24.20</w:t>
            </w:r>
          </w:p>
        </w:tc>
        <w:tc>
          <w:tcPr>
            <w:tcW w:w="0" w:type="auto"/>
            <w:hideMark/>
          </w:tcPr>
          <w:p w14:paraId="2D9D46E8"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18.60</w:t>
            </w:r>
          </w:p>
        </w:tc>
        <w:tc>
          <w:tcPr>
            <w:tcW w:w="0" w:type="auto"/>
            <w:hideMark/>
          </w:tcPr>
          <w:p w14:paraId="05B5FE43"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1.63</w:t>
            </w:r>
          </w:p>
        </w:tc>
        <w:tc>
          <w:tcPr>
            <w:tcW w:w="0" w:type="auto"/>
            <w:hideMark/>
          </w:tcPr>
          <w:p w14:paraId="31E80ADC"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0.62</w:t>
            </w:r>
          </w:p>
        </w:tc>
        <w:tc>
          <w:tcPr>
            <w:tcW w:w="0" w:type="auto"/>
            <w:hideMark/>
          </w:tcPr>
          <w:p w14:paraId="2DF56E71"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1.02</w:t>
            </w:r>
          </w:p>
        </w:tc>
        <w:tc>
          <w:tcPr>
            <w:tcW w:w="0" w:type="auto"/>
            <w:hideMark/>
          </w:tcPr>
          <w:p w14:paraId="3B9ABAB2"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0.18</w:t>
            </w:r>
          </w:p>
        </w:tc>
        <w:tc>
          <w:tcPr>
            <w:tcW w:w="0" w:type="auto"/>
            <w:hideMark/>
          </w:tcPr>
          <w:p w14:paraId="39F909BE"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3.94</w:t>
            </w:r>
          </w:p>
        </w:tc>
        <w:tc>
          <w:tcPr>
            <w:tcW w:w="0" w:type="auto"/>
            <w:hideMark/>
          </w:tcPr>
          <w:p w14:paraId="21F79804"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0.10</w:t>
            </w:r>
          </w:p>
        </w:tc>
        <w:tc>
          <w:tcPr>
            <w:tcW w:w="0" w:type="auto"/>
            <w:hideMark/>
          </w:tcPr>
          <w:p w14:paraId="328F8AB3"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0.07</w:t>
            </w:r>
          </w:p>
        </w:tc>
      </w:tr>
      <w:tr w:rsidR="005D0BF1" w:rsidRPr="003830DA" w14:paraId="2F611D21" w14:textId="77777777" w:rsidTr="003830DA">
        <w:trPr>
          <w:trHeight w:val="41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677B52" w14:textId="77777777" w:rsidR="005D0BF1" w:rsidRPr="003830DA" w:rsidRDefault="005D0BF1" w:rsidP="005D0BF1">
            <w:pPr>
              <w:spacing w:after="160" w:line="278" w:lineRule="auto"/>
              <w:rPr>
                <w:rFonts w:ascii="Times New Roman" w:hAnsi="Times New Roman" w:cs="Times New Roman"/>
                <w:sz w:val="20"/>
                <w:szCs w:val="18"/>
              </w:rPr>
            </w:pPr>
            <w:r w:rsidRPr="003830DA">
              <w:rPr>
                <w:rFonts w:ascii="Times New Roman" w:hAnsi="Times New Roman" w:cs="Times New Roman"/>
                <w:sz w:val="20"/>
                <w:szCs w:val="18"/>
              </w:rPr>
              <w:t>Jn3b</w:t>
            </w:r>
          </w:p>
        </w:tc>
        <w:tc>
          <w:tcPr>
            <w:tcW w:w="0" w:type="auto"/>
            <w:hideMark/>
          </w:tcPr>
          <w:p w14:paraId="28F2E3DD"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50.83</w:t>
            </w:r>
          </w:p>
        </w:tc>
        <w:tc>
          <w:tcPr>
            <w:tcW w:w="0" w:type="auto"/>
            <w:hideMark/>
          </w:tcPr>
          <w:p w14:paraId="091C5E7E"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20.10</w:t>
            </w:r>
          </w:p>
        </w:tc>
        <w:tc>
          <w:tcPr>
            <w:tcW w:w="0" w:type="auto"/>
            <w:hideMark/>
          </w:tcPr>
          <w:p w14:paraId="2061CD02"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14.31</w:t>
            </w:r>
          </w:p>
        </w:tc>
        <w:tc>
          <w:tcPr>
            <w:tcW w:w="0" w:type="auto"/>
            <w:hideMark/>
          </w:tcPr>
          <w:p w14:paraId="63029945"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1.12</w:t>
            </w:r>
          </w:p>
        </w:tc>
        <w:tc>
          <w:tcPr>
            <w:tcW w:w="0" w:type="auto"/>
            <w:hideMark/>
          </w:tcPr>
          <w:p w14:paraId="75BEDA35"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0.45</w:t>
            </w:r>
          </w:p>
        </w:tc>
        <w:tc>
          <w:tcPr>
            <w:tcW w:w="0" w:type="auto"/>
            <w:hideMark/>
          </w:tcPr>
          <w:p w14:paraId="35C623E8"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4.69</w:t>
            </w:r>
          </w:p>
        </w:tc>
        <w:tc>
          <w:tcPr>
            <w:tcW w:w="0" w:type="auto"/>
            <w:hideMark/>
          </w:tcPr>
          <w:p w14:paraId="0D5C507A"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0.54</w:t>
            </w:r>
          </w:p>
        </w:tc>
        <w:tc>
          <w:tcPr>
            <w:tcW w:w="0" w:type="auto"/>
            <w:hideMark/>
          </w:tcPr>
          <w:p w14:paraId="29881FF4"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4.10</w:t>
            </w:r>
          </w:p>
        </w:tc>
        <w:tc>
          <w:tcPr>
            <w:tcW w:w="0" w:type="auto"/>
            <w:hideMark/>
          </w:tcPr>
          <w:p w14:paraId="663E9FFE"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0.09</w:t>
            </w:r>
          </w:p>
        </w:tc>
        <w:tc>
          <w:tcPr>
            <w:tcW w:w="0" w:type="auto"/>
            <w:hideMark/>
          </w:tcPr>
          <w:p w14:paraId="0B8CB0A3"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0.05</w:t>
            </w:r>
          </w:p>
        </w:tc>
      </w:tr>
      <w:tr w:rsidR="005D0BF1" w:rsidRPr="003830DA" w14:paraId="493BF928" w14:textId="77777777" w:rsidTr="003830D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A75281" w14:textId="77777777" w:rsidR="005D0BF1" w:rsidRPr="003830DA" w:rsidRDefault="005D0BF1" w:rsidP="005D0BF1">
            <w:pPr>
              <w:spacing w:after="160" w:line="278" w:lineRule="auto"/>
              <w:rPr>
                <w:rFonts w:ascii="Times New Roman" w:hAnsi="Times New Roman" w:cs="Times New Roman"/>
                <w:sz w:val="20"/>
                <w:szCs w:val="18"/>
              </w:rPr>
            </w:pPr>
            <w:r w:rsidRPr="003830DA">
              <w:rPr>
                <w:rFonts w:ascii="Times New Roman" w:hAnsi="Times New Roman" w:cs="Times New Roman"/>
                <w:sz w:val="20"/>
                <w:szCs w:val="18"/>
              </w:rPr>
              <w:t>Jn6a</w:t>
            </w:r>
          </w:p>
        </w:tc>
        <w:tc>
          <w:tcPr>
            <w:tcW w:w="0" w:type="auto"/>
            <w:hideMark/>
          </w:tcPr>
          <w:p w14:paraId="1D14FEB3"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41.51</w:t>
            </w:r>
          </w:p>
        </w:tc>
        <w:tc>
          <w:tcPr>
            <w:tcW w:w="0" w:type="auto"/>
            <w:hideMark/>
          </w:tcPr>
          <w:p w14:paraId="497BD8B7"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24.50</w:t>
            </w:r>
          </w:p>
        </w:tc>
        <w:tc>
          <w:tcPr>
            <w:tcW w:w="0" w:type="auto"/>
            <w:hideMark/>
          </w:tcPr>
          <w:p w14:paraId="2F35CD75"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24.20</w:t>
            </w:r>
          </w:p>
        </w:tc>
        <w:tc>
          <w:tcPr>
            <w:tcW w:w="0" w:type="auto"/>
            <w:hideMark/>
          </w:tcPr>
          <w:p w14:paraId="3E17C756"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1.85</w:t>
            </w:r>
          </w:p>
        </w:tc>
        <w:tc>
          <w:tcPr>
            <w:tcW w:w="0" w:type="auto"/>
            <w:hideMark/>
          </w:tcPr>
          <w:p w14:paraId="3147132C"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0.73</w:t>
            </w:r>
          </w:p>
        </w:tc>
        <w:tc>
          <w:tcPr>
            <w:tcW w:w="0" w:type="auto"/>
            <w:hideMark/>
          </w:tcPr>
          <w:p w14:paraId="0EB74C2A"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0.94</w:t>
            </w:r>
          </w:p>
        </w:tc>
        <w:tc>
          <w:tcPr>
            <w:tcW w:w="0" w:type="auto"/>
            <w:hideMark/>
          </w:tcPr>
          <w:p w14:paraId="28F19E2F"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0.15</w:t>
            </w:r>
          </w:p>
        </w:tc>
        <w:tc>
          <w:tcPr>
            <w:tcW w:w="0" w:type="auto"/>
            <w:hideMark/>
          </w:tcPr>
          <w:p w14:paraId="584E2A05"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3.52</w:t>
            </w:r>
          </w:p>
        </w:tc>
        <w:tc>
          <w:tcPr>
            <w:tcW w:w="0" w:type="auto"/>
            <w:hideMark/>
          </w:tcPr>
          <w:p w14:paraId="49AEDD74"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0.13</w:t>
            </w:r>
          </w:p>
        </w:tc>
        <w:tc>
          <w:tcPr>
            <w:tcW w:w="0" w:type="auto"/>
            <w:hideMark/>
          </w:tcPr>
          <w:p w14:paraId="54728A99"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0.06</w:t>
            </w:r>
          </w:p>
        </w:tc>
      </w:tr>
      <w:tr w:rsidR="005D0BF1" w:rsidRPr="003830DA" w14:paraId="17D7912F" w14:textId="77777777" w:rsidTr="003830DA">
        <w:trPr>
          <w:trHeight w:val="4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D24AC0" w14:textId="77777777" w:rsidR="005D0BF1" w:rsidRPr="003830DA" w:rsidRDefault="005D0BF1" w:rsidP="005D0BF1">
            <w:pPr>
              <w:spacing w:after="160" w:line="278" w:lineRule="auto"/>
              <w:rPr>
                <w:rFonts w:ascii="Times New Roman" w:hAnsi="Times New Roman" w:cs="Times New Roman"/>
                <w:sz w:val="20"/>
                <w:szCs w:val="18"/>
              </w:rPr>
            </w:pPr>
            <w:r w:rsidRPr="003830DA">
              <w:rPr>
                <w:rFonts w:ascii="Times New Roman" w:hAnsi="Times New Roman" w:cs="Times New Roman"/>
                <w:sz w:val="20"/>
                <w:szCs w:val="18"/>
              </w:rPr>
              <w:t>Jn6b</w:t>
            </w:r>
          </w:p>
        </w:tc>
        <w:tc>
          <w:tcPr>
            <w:tcW w:w="0" w:type="auto"/>
            <w:hideMark/>
          </w:tcPr>
          <w:p w14:paraId="4A8A6BB6"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52.64</w:t>
            </w:r>
          </w:p>
        </w:tc>
        <w:tc>
          <w:tcPr>
            <w:tcW w:w="0" w:type="auto"/>
            <w:hideMark/>
          </w:tcPr>
          <w:p w14:paraId="3B52F54B"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21.11</w:t>
            </w:r>
          </w:p>
        </w:tc>
        <w:tc>
          <w:tcPr>
            <w:tcW w:w="0" w:type="auto"/>
            <w:hideMark/>
          </w:tcPr>
          <w:p w14:paraId="7898FF5B"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13.72</w:t>
            </w:r>
          </w:p>
        </w:tc>
        <w:tc>
          <w:tcPr>
            <w:tcW w:w="0" w:type="auto"/>
            <w:hideMark/>
          </w:tcPr>
          <w:p w14:paraId="20894058"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1.20</w:t>
            </w:r>
          </w:p>
        </w:tc>
        <w:tc>
          <w:tcPr>
            <w:tcW w:w="0" w:type="auto"/>
            <w:hideMark/>
          </w:tcPr>
          <w:p w14:paraId="4C76343A"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0.58</w:t>
            </w:r>
          </w:p>
        </w:tc>
        <w:tc>
          <w:tcPr>
            <w:tcW w:w="0" w:type="auto"/>
            <w:hideMark/>
          </w:tcPr>
          <w:p w14:paraId="6DBE811D"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2.63</w:t>
            </w:r>
          </w:p>
        </w:tc>
        <w:tc>
          <w:tcPr>
            <w:tcW w:w="0" w:type="auto"/>
            <w:hideMark/>
          </w:tcPr>
          <w:p w14:paraId="406C32E4"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0.36</w:t>
            </w:r>
          </w:p>
        </w:tc>
        <w:tc>
          <w:tcPr>
            <w:tcW w:w="0" w:type="auto"/>
            <w:hideMark/>
          </w:tcPr>
          <w:p w14:paraId="11E92A53"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6.74</w:t>
            </w:r>
          </w:p>
        </w:tc>
        <w:tc>
          <w:tcPr>
            <w:tcW w:w="0" w:type="auto"/>
            <w:hideMark/>
          </w:tcPr>
          <w:p w14:paraId="39096F4B"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0.08</w:t>
            </w:r>
          </w:p>
        </w:tc>
        <w:tc>
          <w:tcPr>
            <w:tcW w:w="0" w:type="auto"/>
            <w:hideMark/>
          </w:tcPr>
          <w:p w14:paraId="39FF727A"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0.04</w:t>
            </w:r>
          </w:p>
        </w:tc>
      </w:tr>
      <w:tr w:rsidR="005D0BF1" w:rsidRPr="003830DA" w14:paraId="2A52067C" w14:textId="77777777" w:rsidTr="003830D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E969E7" w14:textId="77777777" w:rsidR="005D0BF1" w:rsidRPr="003830DA" w:rsidRDefault="005D0BF1" w:rsidP="005D0BF1">
            <w:pPr>
              <w:spacing w:after="160" w:line="278" w:lineRule="auto"/>
              <w:rPr>
                <w:rFonts w:ascii="Times New Roman" w:hAnsi="Times New Roman" w:cs="Times New Roman"/>
                <w:sz w:val="20"/>
                <w:szCs w:val="18"/>
              </w:rPr>
            </w:pPr>
            <w:r w:rsidRPr="003830DA">
              <w:rPr>
                <w:rFonts w:ascii="Times New Roman" w:hAnsi="Times New Roman" w:cs="Times New Roman"/>
                <w:sz w:val="20"/>
                <w:szCs w:val="18"/>
              </w:rPr>
              <w:t>Op4</w:t>
            </w:r>
          </w:p>
        </w:tc>
        <w:tc>
          <w:tcPr>
            <w:tcW w:w="0" w:type="auto"/>
            <w:hideMark/>
          </w:tcPr>
          <w:p w14:paraId="6C9094BD"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51.75</w:t>
            </w:r>
          </w:p>
        </w:tc>
        <w:tc>
          <w:tcPr>
            <w:tcW w:w="0" w:type="auto"/>
            <w:hideMark/>
          </w:tcPr>
          <w:p w14:paraId="01A6FDFE"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20.34</w:t>
            </w:r>
          </w:p>
        </w:tc>
        <w:tc>
          <w:tcPr>
            <w:tcW w:w="0" w:type="auto"/>
            <w:hideMark/>
          </w:tcPr>
          <w:p w14:paraId="7E6A98F7"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15.50</w:t>
            </w:r>
          </w:p>
        </w:tc>
        <w:tc>
          <w:tcPr>
            <w:tcW w:w="0" w:type="auto"/>
            <w:hideMark/>
          </w:tcPr>
          <w:p w14:paraId="5A7B3590"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1.30</w:t>
            </w:r>
          </w:p>
        </w:tc>
        <w:tc>
          <w:tcPr>
            <w:tcW w:w="0" w:type="auto"/>
            <w:hideMark/>
          </w:tcPr>
          <w:p w14:paraId="43C2C807"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0.55</w:t>
            </w:r>
          </w:p>
        </w:tc>
        <w:tc>
          <w:tcPr>
            <w:tcW w:w="0" w:type="auto"/>
            <w:hideMark/>
          </w:tcPr>
          <w:p w14:paraId="228091E8"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1.85</w:t>
            </w:r>
          </w:p>
        </w:tc>
        <w:tc>
          <w:tcPr>
            <w:tcW w:w="0" w:type="auto"/>
            <w:hideMark/>
          </w:tcPr>
          <w:p w14:paraId="396A3132"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0.31</w:t>
            </w:r>
          </w:p>
        </w:tc>
        <w:tc>
          <w:tcPr>
            <w:tcW w:w="0" w:type="auto"/>
            <w:hideMark/>
          </w:tcPr>
          <w:p w14:paraId="39EE22AE"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4.62</w:t>
            </w:r>
          </w:p>
        </w:tc>
        <w:tc>
          <w:tcPr>
            <w:tcW w:w="0" w:type="auto"/>
            <w:hideMark/>
          </w:tcPr>
          <w:p w14:paraId="7FB54D0A"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0.11</w:t>
            </w:r>
          </w:p>
        </w:tc>
        <w:tc>
          <w:tcPr>
            <w:tcW w:w="0" w:type="auto"/>
            <w:hideMark/>
          </w:tcPr>
          <w:p w14:paraId="6959850C"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0.06</w:t>
            </w:r>
          </w:p>
        </w:tc>
      </w:tr>
      <w:tr w:rsidR="005D0BF1" w:rsidRPr="003830DA" w14:paraId="20239B21" w14:textId="77777777" w:rsidTr="003830DA">
        <w:trPr>
          <w:trHeight w:val="41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CF96D2" w14:textId="77777777" w:rsidR="005D0BF1" w:rsidRPr="003830DA" w:rsidRDefault="005D0BF1" w:rsidP="005D0BF1">
            <w:pPr>
              <w:spacing w:after="160" w:line="278" w:lineRule="auto"/>
              <w:rPr>
                <w:rFonts w:ascii="Times New Roman" w:hAnsi="Times New Roman" w:cs="Times New Roman"/>
                <w:sz w:val="20"/>
                <w:szCs w:val="18"/>
              </w:rPr>
            </w:pPr>
            <w:r w:rsidRPr="003830DA">
              <w:rPr>
                <w:rFonts w:ascii="Times New Roman" w:hAnsi="Times New Roman" w:cs="Times New Roman"/>
                <w:sz w:val="20"/>
                <w:szCs w:val="18"/>
              </w:rPr>
              <w:t>Op5</w:t>
            </w:r>
          </w:p>
        </w:tc>
        <w:tc>
          <w:tcPr>
            <w:tcW w:w="0" w:type="auto"/>
            <w:hideMark/>
          </w:tcPr>
          <w:p w14:paraId="61D9AC9C"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53.20</w:t>
            </w:r>
          </w:p>
        </w:tc>
        <w:tc>
          <w:tcPr>
            <w:tcW w:w="0" w:type="auto"/>
            <w:hideMark/>
          </w:tcPr>
          <w:p w14:paraId="76BFD0F5"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25.95</w:t>
            </w:r>
          </w:p>
        </w:tc>
        <w:tc>
          <w:tcPr>
            <w:tcW w:w="0" w:type="auto"/>
            <w:hideMark/>
          </w:tcPr>
          <w:p w14:paraId="37C0439C"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12.64</w:t>
            </w:r>
          </w:p>
        </w:tc>
        <w:tc>
          <w:tcPr>
            <w:tcW w:w="0" w:type="auto"/>
            <w:hideMark/>
          </w:tcPr>
          <w:p w14:paraId="65EE9435"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1.01</w:t>
            </w:r>
          </w:p>
        </w:tc>
        <w:tc>
          <w:tcPr>
            <w:tcW w:w="0" w:type="auto"/>
            <w:hideMark/>
          </w:tcPr>
          <w:p w14:paraId="0CB89B9C"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0.44</w:t>
            </w:r>
          </w:p>
        </w:tc>
        <w:tc>
          <w:tcPr>
            <w:tcW w:w="0" w:type="auto"/>
            <w:hideMark/>
          </w:tcPr>
          <w:p w14:paraId="213667CC"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0.65</w:t>
            </w:r>
          </w:p>
        </w:tc>
        <w:tc>
          <w:tcPr>
            <w:tcW w:w="0" w:type="auto"/>
            <w:hideMark/>
          </w:tcPr>
          <w:p w14:paraId="3F38B275"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0.14</w:t>
            </w:r>
          </w:p>
        </w:tc>
        <w:tc>
          <w:tcPr>
            <w:tcW w:w="0" w:type="auto"/>
            <w:hideMark/>
          </w:tcPr>
          <w:p w14:paraId="7D2318ED"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5.92</w:t>
            </w:r>
          </w:p>
        </w:tc>
        <w:tc>
          <w:tcPr>
            <w:tcW w:w="0" w:type="auto"/>
            <w:hideMark/>
          </w:tcPr>
          <w:p w14:paraId="468047EA"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0.06</w:t>
            </w:r>
          </w:p>
        </w:tc>
        <w:tc>
          <w:tcPr>
            <w:tcW w:w="0" w:type="auto"/>
            <w:hideMark/>
          </w:tcPr>
          <w:p w14:paraId="4253B3C0" w14:textId="77777777" w:rsidR="005D0BF1" w:rsidRPr="003830DA"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0.03</w:t>
            </w:r>
          </w:p>
        </w:tc>
      </w:tr>
      <w:tr w:rsidR="005D0BF1" w:rsidRPr="003830DA" w14:paraId="28C86AEB" w14:textId="77777777" w:rsidTr="003830DA">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1102F451" w14:textId="77777777" w:rsidR="005D0BF1" w:rsidRPr="003830DA" w:rsidRDefault="005D0BF1" w:rsidP="005D0BF1">
            <w:pPr>
              <w:spacing w:after="160" w:line="278" w:lineRule="auto"/>
              <w:rPr>
                <w:rFonts w:ascii="Times New Roman" w:hAnsi="Times New Roman" w:cs="Times New Roman"/>
                <w:sz w:val="20"/>
                <w:szCs w:val="18"/>
              </w:rPr>
            </w:pPr>
            <w:r w:rsidRPr="003830DA">
              <w:rPr>
                <w:rFonts w:ascii="Times New Roman" w:hAnsi="Times New Roman" w:cs="Times New Roman"/>
                <w:sz w:val="20"/>
                <w:szCs w:val="18"/>
              </w:rPr>
              <w:t>Op8</w:t>
            </w:r>
          </w:p>
        </w:tc>
        <w:tc>
          <w:tcPr>
            <w:tcW w:w="0" w:type="auto"/>
            <w:tcBorders>
              <w:bottom w:val="single" w:sz="4" w:space="0" w:color="auto"/>
            </w:tcBorders>
            <w:hideMark/>
          </w:tcPr>
          <w:p w14:paraId="39638B29"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53.37</w:t>
            </w:r>
          </w:p>
        </w:tc>
        <w:tc>
          <w:tcPr>
            <w:tcW w:w="0" w:type="auto"/>
            <w:tcBorders>
              <w:bottom w:val="single" w:sz="4" w:space="0" w:color="auto"/>
            </w:tcBorders>
            <w:hideMark/>
          </w:tcPr>
          <w:p w14:paraId="3ADE8587"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19.69</w:t>
            </w:r>
          </w:p>
        </w:tc>
        <w:tc>
          <w:tcPr>
            <w:tcW w:w="0" w:type="auto"/>
            <w:tcBorders>
              <w:bottom w:val="single" w:sz="4" w:space="0" w:color="auto"/>
            </w:tcBorders>
            <w:hideMark/>
          </w:tcPr>
          <w:p w14:paraId="05B55986"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11.39</w:t>
            </w:r>
          </w:p>
        </w:tc>
        <w:tc>
          <w:tcPr>
            <w:tcW w:w="0" w:type="auto"/>
            <w:tcBorders>
              <w:bottom w:val="single" w:sz="4" w:space="0" w:color="auto"/>
            </w:tcBorders>
            <w:hideMark/>
          </w:tcPr>
          <w:p w14:paraId="1938161D"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0.98</w:t>
            </w:r>
          </w:p>
        </w:tc>
        <w:tc>
          <w:tcPr>
            <w:tcW w:w="0" w:type="auto"/>
            <w:tcBorders>
              <w:bottom w:val="single" w:sz="4" w:space="0" w:color="auto"/>
            </w:tcBorders>
            <w:hideMark/>
          </w:tcPr>
          <w:p w14:paraId="17B5255D"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0.41</w:t>
            </w:r>
          </w:p>
        </w:tc>
        <w:tc>
          <w:tcPr>
            <w:tcW w:w="0" w:type="auto"/>
            <w:tcBorders>
              <w:bottom w:val="single" w:sz="4" w:space="0" w:color="auto"/>
            </w:tcBorders>
            <w:hideMark/>
          </w:tcPr>
          <w:p w14:paraId="1B67178F"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0.80</w:t>
            </w:r>
          </w:p>
        </w:tc>
        <w:tc>
          <w:tcPr>
            <w:tcW w:w="0" w:type="auto"/>
            <w:tcBorders>
              <w:bottom w:val="single" w:sz="4" w:space="0" w:color="auto"/>
            </w:tcBorders>
            <w:hideMark/>
          </w:tcPr>
          <w:p w14:paraId="5CFF9A52"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0.12</w:t>
            </w:r>
          </w:p>
        </w:tc>
        <w:tc>
          <w:tcPr>
            <w:tcW w:w="0" w:type="auto"/>
            <w:tcBorders>
              <w:bottom w:val="single" w:sz="4" w:space="0" w:color="auto"/>
            </w:tcBorders>
            <w:hideMark/>
          </w:tcPr>
          <w:p w14:paraId="54D01FAB"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4.13</w:t>
            </w:r>
          </w:p>
        </w:tc>
        <w:tc>
          <w:tcPr>
            <w:tcW w:w="0" w:type="auto"/>
            <w:tcBorders>
              <w:bottom w:val="single" w:sz="4" w:space="0" w:color="auto"/>
            </w:tcBorders>
            <w:hideMark/>
          </w:tcPr>
          <w:p w14:paraId="4F5BC1D4"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0.05</w:t>
            </w:r>
          </w:p>
        </w:tc>
        <w:tc>
          <w:tcPr>
            <w:tcW w:w="0" w:type="auto"/>
            <w:tcBorders>
              <w:bottom w:val="single" w:sz="4" w:space="0" w:color="auto"/>
            </w:tcBorders>
            <w:hideMark/>
          </w:tcPr>
          <w:p w14:paraId="0E27D2A3" w14:textId="77777777" w:rsidR="005D0BF1" w:rsidRPr="003830DA"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3830DA">
              <w:rPr>
                <w:rFonts w:ascii="Times New Roman" w:hAnsi="Times New Roman" w:cs="Times New Roman"/>
                <w:sz w:val="20"/>
                <w:szCs w:val="18"/>
              </w:rPr>
              <w:t>0.02</w:t>
            </w:r>
          </w:p>
        </w:tc>
      </w:tr>
    </w:tbl>
    <w:p w14:paraId="1BC17FBD" w14:textId="705B4913" w:rsidR="005D0BF1" w:rsidRPr="005D0BF1" w:rsidRDefault="005D0BF1" w:rsidP="005A1599">
      <w:pPr>
        <w:jc w:val="both"/>
        <w:rPr>
          <w:rFonts w:ascii="Times New Roman" w:hAnsi="Times New Roman" w:cs="Times New Roman"/>
        </w:rPr>
      </w:pPr>
      <w:r w:rsidRPr="005D0BF1">
        <w:rPr>
          <w:rFonts w:ascii="Times New Roman" w:hAnsi="Times New Roman" w:cs="Times New Roman"/>
        </w:rPr>
        <w:lastRenderedPageBreak/>
        <w:t>The geochemical results indicate considerable spatial variation in oxide composition along the highway. Silicon dioxide varies from 41.51% at Jn6a to 53.37% at Op8. The relatively high silica concentrations indicate that quartz remains the dominant resistant mineral after prolonged tropical weathering. Quartz is chemically stable and contributes significantly to soil strength because it resists decomposition during weathering. Consequently, sections exhibiting higher silica contents generally possess better drainage characteristics and greater resistance to deformation.</w:t>
      </w:r>
      <w:r w:rsidR="005A1599">
        <w:rPr>
          <w:rFonts w:ascii="Times New Roman" w:hAnsi="Times New Roman" w:cs="Times New Roman"/>
        </w:rPr>
        <w:t xml:space="preserve"> </w:t>
      </w:r>
      <w:r w:rsidRPr="005D0BF1">
        <w:rPr>
          <w:rFonts w:ascii="Times New Roman" w:hAnsi="Times New Roman" w:cs="Times New Roman"/>
        </w:rPr>
        <w:t>Aluminium oxide varies from 19.69% to 25.95%. Higher aluminium concentrations indicate advanced feldspar weathering and increased production of secondary clay minerals. Samples such as Op5, which contains 25.95% Al₂O₃, are therefore expected to exhibit greater plasticity and higher moisture sensitivity than silica-rich soils. These characteristics adversely influence pavement performance because clay-rich materials undergo volume changes during seasonal wetting and drying cycles.</w:t>
      </w:r>
      <w:r w:rsidR="005A1599">
        <w:rPr>
          <w:rFonts w:ascii="Times New Roman" w:hAnsi="Times New Roman" w:cs="Times New Roman"/>
        </w:rPr>
        <w:t xml:space="preserve"> </w:t>
      </w:r>
      <w:r w:rsidRPr="005D0BF1">
        <w:rPr>
          <w:rFonts w:ascii="Times New Roman" w:hAnsi="Times New Roman" w:cs="Times New Roman"/>
        </w:rPr>
        <w:t>Iron oxide ranges from 11.39% to 24.20%. The relatively high Fe₂O₃ concentration observed at Jn6a (24.20%) indicates intense lateritisation and accumulation of sesquioxides following prolonged tropical weathering. Although iron oxides improve particle cementation under well-drained conditions, excessive moisture weakens the cementation bonds, thereby reducing shear strength and accelerating pavement deterioration.</w:t>
      </w:r>
    </w:p>
    <w:p w14:paraId="7A896779" w14:textId="59FC6D32" w:rsidR="005D0BF1" w:rsidRPr="005D0BF1" w:rsidRDefault="005D0BF1" w:rsidP="005A1599">
      <w:pPr>
        <w:jc w:val="both"/>
        <w:rPr>
          <w:rFonts w:ascii="Times New Roman" w:hAnsi="Times New Roman" w:cs="Times New Roman"/>
        </w:rPr>
      </w:pPr>
      <w:r w:rsidRPr="005D0BF1">
        <w:rPr>
          <w:rFonts w:ascii="Times New Roman" w:hAnsi="Times New Roman" w:cs="Times New Roman"/>
        </w:rPr>
        <w:t>Calcium oxide values are generally low, ranging from 0.65% to 4.69%. The depletion of CaO reflects extensive chemical leaching associated with humid tropical weathering. The highest CaO value occurs at Jn3b (4.69%), suggesting relatively limited weathering and greater preservation of primary feldspar minerals. In contrast, Op5 exhibits only 0.65% CaO, indicating advanced alteration of the parent rock.</w:t>
      </w:r>
      <w:r w:rsidR="005A1599">
        <w:rPr>
          <w:rFonts w:ascii="Times New Roman" w:hAnsi="Times New Roman" w:cs="Times New Roman"/>
        </w:rPr>
        <w:t xml:space="preserve"> </w:t>
      </w:r>
      <w:r w:rsidRPr="005D0BF1">
        <w:rPr>
          <w:rFonts w:ascii="Times New Roman" w:hAnsi="Times New Roman" w:cs="Times New Roman"/>
        </w:rPr>
        <w:t>Potassium oxide ranges from 3.52% to 6.74%, reflecting variable feldspar and mica contents. Elevated K₂O concentrations in Jn6b (6.74%) indicate relatively greater preservation of potassium feldspar, whereas lower concentrations suggest extensive mineral alteration.</w:t>
      </w:r>
    </w:p>
    <w:p w14:paraId="5F4825FA" w14:textId="7385E07F" w:rsidR="005D0BF1" w:rsidRPr="005D0BF1" w:rsidRDefault="005D0BF1" w:rsidP="005A1599">
      <w:pPr>
        <w:jc w:val="both"/>
        <w:rPr>
          <w:rFonts w:ascii="Times New Roman" w:hAnsi="Times New Roman" w:cs="Times New Roman"/>
        </w:rPr>
      </w:pPr>
      <w:r w:rsidRPr="005D0BF1">
        <w:rPr>
          <w:rFonts w:ascii="Times New Roman" w:hAnsi="Times New Roman" w:cs="Times New Roman"/>
        </w:rPr>
        <w:t xml:space="preserve">The graphical variation </w:t>
      </w:r>
      <w:r w:rsidR="005A1599">
        <w:rPr>
          <w:rFonts w:ascii="Times New Roman" w:hAnsi="Times New Roman" w:cs="Times New Roman"/>
        </w:rPr>
        <w:t>(</w:t>
      </w:r>
      <w:r w:rsidR="005A1599" w:rsidRPr="005A1599">
        <w:rPr>
          <w:rFonts w:ascii="Times New Roman" w:hAnsi="Times New Roman" w:cs="Times New Roman"/>
          <w:i/>
          <w:iCs/>
        </w:rPr>
        <w:t>Figure 2</w:t>
      </w:r>
      <w:r w:rsidR="005A1599">
        <w:rPr>
          <w:rFonts w:ascii="Times New Roman" w:hAnsi="Times New Roman" w:cs="Times New Roman"/>
        </w:rPr>
        <w:t xml:space="preserve">) </w:t>
      </w:r>
      <w:r w:rsidRPr="005D0BF1">
        <w:rPr>
          <w:rFonts w:ascii="Times New Roman" w:hAnsi="Times New Roman" w:cs="Times New Roman"/>
        </w:rPr>
        <w:t>clearly demonstrates that silica generally increases from the western portion of the highway toward the eastern sections, whereas iron oxide decreases progressively after reaching a maximum at Jn6a. Aluminium oxide exhibits localized enrichment, particularly within clay-rich zones. These variations reflect differences in parent rock composition, weathering intensity, drainage conditions, and groundwater circulation. Consequently, the chemical heterogeneity of the subgrade explains the localized distribution of pavement failures rather than uniform deterioration along the entire highway.</w:t>
      </w:r>
    </w:p>
    <w:p w14:paraId="456EC925" w14:textId="77777777" w:rsidR="003830DA" w:rsidRDefault="003830DA" w:rsidP="005D0BF1">
      <w:pPr>
        <w:rPr>
          <w:rFonts w:ascii="Times New Roman" w:hAnsi="Times New Roman" w:cs="Times New Roman"/>
        </w:rPr>
      </w:pPr>
    </w:p>
    <w:p w14:paraId="733EA5A4" w14:textId="77777777" w:rsidR="003830DA" w:rsidRDefault="003830DA" w:rsidP="005D0BF1">
      <w:pPr>
        <w:rPr>
          <w:rFonts w:ascii="Times New Roman" w:hAnsi="Times New Roman" w:cs="Times New Roman"/>
        </w:rPr>
      </w:pPr>
    </w:p>
    <w:p w14:paraId="621124EC" w14:textId="77777777" w:rsidR="003830DA" w:rsidRDefault="003830DA" w:rsidP="005D0BF1">
      <w:pPr>
        <w:rPr>
          <w:rFonts w:ascii="Times New Roman" w:hAnsi="Times New Roman" w:cs="Times New Roman"/>
        </w:rPr>
      </w:pPr>
    </w:p>
    <w:p w14:paraId="2989192B" w14:textId="77777777" w:rsidR="003830DA" w:rsidRDefault="003830DA" w:rsidP="005D0BF1">
      <w:pPr>
        <w:rPr>
          <w:rFonts w:ascii="Times New Roman" w:hAnsi="Times New Roman" w:cs="Times New Roman"/>
        </w:rPr>
      </w:pPr>
    </w:p>
    <w:p w14:paraId="456B6DEF" w14:textId="77777777" w:rsidR="003830DA" w:rsidRDefault="003830DA" w:rsidP="005D0BF1">
      <w:pPr>
        <w:rPr>
          <w:rFonts w:ascii="Times New Roman" w:hAnsi="Times New Roman" w:cs="Times New Roman"/>
        </w:rPr>
      </w:pPr>
    </w:p>
    <w:p w14:paraId="2542BF8A" w14:textId="0B97462A" w:rsidR="005D0BF1" w:rsidRPr="005D0BF1" w:rsidRDefault="005D0BF1" w:rsidP="005D0BF1">
      <w:pPr>
        <w:rPr>
          <w:rFonts w:ascii="Times New Roman" w:hAnsi="Times New Roman" w:cs="Times New Roman"/>
        </w:rPr>
      </w:pPr>
      <w:r w:rsidRPr="005D0BF1">
        <w:rPr>
          <w:rFonts w:ascii="Times New Roman" w:hAnsi="Times New Roman" w:cs="Times New Roman"/>
        </w:rPr>
        <w:lastRenderedPageBreak/>
        <w:t>4.2 Engineering Significance of Major Oxides</w:t>
      </w:r>
    </w:p>
    <w:p w14:paraId="0CBAD073" w14:textId="77777777" w:rsidR="005D0BF1" w:rsidRPr="005A1599" w:rsidRDefault="005D0BF1" w:rsidP="00961602">
      <w:pPr>
        <w:jc w:val="center"/>
        <w:rPr>
          <w:rFonts w:ascii="Times New Roman" w:hAnsi="Times New Roman" w:cs="Times New Roman"/>
          <w:i/>
          <w:iCs/>
          <w:sz w:val="22"/>
          <w:szCs w:val="22"/>
        </w:rPr>
      </w:pPr>
      <w:r w:rsidRPr="005A1599">
        <w:rPr>
          <w:rFonts w:ascii="Times New Roman" w:hAnsi="Times New Roman" w:cs="Times New Roman"/>
          <w:i/>
          <w:iCs/>
          <w:sz w:val="22"/>
          <w:szCs w:val="22"/>
        </w:rPr>
        <w:t>Table 2. Engineering significance of the major oxides controlling pavement performance.</w:t>
      </w:r>
    </w:p>
    <w:tbl>
      <w:tblPr>
        <w:tblStyle w:val="PlainTable5"/>
        <w:tblW w:w="0" w:type="auto"/>
        <w:tblLook w:val="04A0" w:firstRow="1" w:lastRow="0" w:firstColumn="1" w:lastColumn="0" w:noHBand="0" w:noVBand="1"/>
      </w:tblPr>
      <w:tblGrid>
        <w:gridCol w:w="1183"/>
        <w:gridCol w:w="4775"/>
        <w:gridCol w:w="3402"/>
      </w:tblGrid>
      <w:tr w:rsidR="005D0BF1" w:rsidRPr="00961602" w14:paraId="42B1623B" w14:textId="77777777" w:rsidTr="005A15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75DB91E8" w14:textId="77777777" w:rsidR="005D0BF1" w:rsidRPr="00961602" w:rsidRDefault="005D0BF1" w:rsidP="005D0BF1">
            <w:pPr>
              <w:spacing w:after="160" w:line="278" w:lineRule="auto"/>
              <w:jc w:val="left"/>
              <w:rPr>
                <w:rFonts w:ascii="Times New Roman" w:hAnsi="Times New Roman" w:cs="Times New Roman"/>
                <w:sz w:val="20"/>
                <w:szCs w:val="18"/>
              </w:rPr>
            </w:pPr>
            <w:r w:rsidRPr="00961602">
              <w:rPr>
                <w:rFonts w:ascii="Times New Roman" w:hAnsi="Times New Roman" w:cs="Times New Roman"/>
                <w:sz w:val="20"/>
                <w:szCs w:val="18"/>
              </w:rPr>
              <w:t>Major Oxide</w:t>
            </w:r>
          </w:p>
        </w:tc>
        <w:tc>
          <w:tcPr>
            <w:tcW w:w="0" w:type="auto"/>
            <w:tcBorders>
              <w:top w:val="single" w:sz="4" w:space="0" w:color="auto"/>
            </w:tcBorders>
            <w:hideMark/>
          </w:tcPr>
          <w:p w14:paraId="03797216" w14:textId="77777777" w:rsidR="005D0BF1" w:rsidRPr="00961602"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Engineering implication</w:t>
            </w:r>
          </w:p>
        </w:tc>
        <w:tc>
          <w:tcPr>
            <w:tcW w:w="0" w:type="auto"/>
            <w:tcBorders>
              <w:top w:val="single" w:sz="4" w:space="0" w:color="auto"/>
            </w:tcBorders>
            <w:hideMark/>
          </w:tcPr>
          <w:p w14:paraId="651A72C2" w14:textId="77777777" w:rsidR="005D0BF1" w:rsidRPr="00961602"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Influence on pavement</w:t>
            </w:r>
          </w:p>
        </w:tc>
      </w:tr>
      <w:tr w:rsidR="005D0BF1" w:rsidRPr="00961602" w14:paraId="155C2180" w14:textId="77777777" w:rsidTr="005A1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123E89"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SiO₂</w:t>
            </w:r>
          </w:p>
        </w:tc>
        <w:tc>
          <w:tcPr>
            <w:tcW w:w="0" w:type="auto"/>
            <w:hideMark/>
          </w:tcPr>
          <w:p w14:paraId="18F5E417"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High quartz content, improved particle strength, low plasticity</w:t>
            </w:r>
          </w:p>
        </w:tc>
        <w:tc>
          <w:tcPr>
            <w:tcW w:w="0" w:type="auto"/>
            <w:hideMark/>
          </w:tcPr>
          <w:p w14:paraId="2C3C036C"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Improves stability</w:t>
            </w:r>
          </w:p>
        </w:tc>
      </w:tr>
      <w:tr w:rsidR="005D0BF1" w:rsidRPr="00961602" w14:paraId="73421F38" w14:textId="77777777" w:rsidTr="005A1599">
        <w:tc>
          <w:tcPr>
            <w:cnfStyle w:val="001000000000" w:firstRow="0" w:lastRow="0" w:firstColumn="1" w:lastColumn="0" w:oddVBand="0" w:evenVBand="0" w:oddHBand="0" w:evenHBand="0" w:firstRowFirstColumn="0" w:firstRowLastColumn="0" w:lastRowFirstColumn="0" w:lastRowLastColumn="0"/>
            <w:tcW w:w="0" w:type="auto"/>
            <w:hideMark/>
          </w:tcPr>
          <w:p w14:paraId="0A7DE81F"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Al₂O₃</w:t>
            </w:r>
          </w:p>
        </w:tc>
        <w:tc>
          <w:tcPr>
            <w:tcW w:w="0" w:type="auto"/>
            <w:hideMark/>
          </w:tcPr>
          <w:p w14:paraId="1B3E9EB8"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Clay mineral development</w:t>
            </w:r>
          </w:p>
        </w:tc>
        <w:tc>
          <w:tcPr>
            <w:tcW w:w="0" w:type="auto"/>
            <w:hideMark/>
          </w:tcPr>
          <w:p w14:paraId="4C5BA7D3"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Increases plasticity and swelling</w:t>
            </w:r>
          </w:p>
        </w:tc>
      </w:tr>
      <w:tr w:rsidR="005D0BF1" w:rsidRPr="00961602" w14:paraId="48D1706C" w14:textId="77777777" w:rsidTr="005A1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B491D1"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Fe₂O₃</w:t>
            </w:r>
          </w:p>
        </w:tc>
        <w:tc>
          <w:tcPr>
            <w:tcW w:w="0" w:type="auto"/>
            <w:hideMark/>
          </w:tcPr>
          <w:p w14:paraId="0C4ADD1D"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Lateritic cementation</w:t>
            </w:r>
          </w:p>
        </w:tc>
        <w:tc>
          <w:tcPr>
            <w:tcW w:w="0" w:type="auto"/>
            <w:hideMark/>
          </w:tcPr>
          <w:p w14:paraId="2F116160"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Improves strength under dry conditions</w:t>
            </w:r>
          </w:p>
        </w:tc>
      </w:tr>
      <w:tr w:rsidR="005D0BF1" w:rsidRPr="00961602" w14:paraId="5FC8FC58" w14:textId="77777777" w:rsidTr="005A1599">
        <w:tc>
          <w:tcPr>
            <w:cnfStyle w:val="001000000000" w:firstRow="0" w:lastRow="0" w:firstColumn="1" w:lastColumn="0" w:oddVBand="0" w:evenVBand="0" w:oddHBand="0" w:evenHBand="0" w:firstRowFirstColumn="0" w:firstRowLastColumn="0" w:lastRowFirstColumn="0" w:lastRowLastColumn="0"/>
            <w:tcW w:w="0" w:type="auto"/>
            <w:hideMark/>
          </w:tcPr>
          <w:p w14:paraId="25D2C331"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CaO</w:t>
            </w:r>
          </w:p>
        </w:tc>
        <w:tc>
          <w:tcPr>
            <w:tcW w:w="0" w:type="auto"/>
            <w:hideMark/>
          </w:tcPr>
          <w:p w14:paraId="2196EE1E"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Degree of weathering</w:t>
            </w:r>
          </w:p>
        </w:tc>
        <w:tc>
          <w:tcPr>
            <w:tcW w:w="0" w:type="auto"/>
            <w:hideMark/>
          </w:tcPr>
          <w:p w14:paraId="3639BB08"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Higher values indicate less weathering</w:t>
            </w:r>
          </w:p>
        </w:tc>
      </w:tr>
      <w:tr w:rsidR="005D0BF1" w:rsidRPr="00961602" w14:paraId="251A6996" w14:textId="77777777" w:rsidTr="005A1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859F06"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K₂O</w:t>
            </w:r>
          </w:p>
        </w:tc>
        <w:tc>
          <w:tcPr>
            <w:tcW w:w="0" w:type="auto"/>
            <w:hideMark/>
          </w:tcPr>
          <w:p w14:paraId="6D3287F6"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Potassium feldspar preservation</w:t>
            </w:r>
          </w:p>
        </w:tc>
        <w:tc>
          <w:tcPr>
            <w:tcW w:w="0" w:type="auto"/>
            <w:hideMark/>
          </w:tcPr>
          <w:p w14:paraId="4696DFF4"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Moderate engineering stability</w:t>
            </w:r>
          </w:p>
        </w:tc>
      </w:tr>
      <w:tr w:rsidR="005D0BF1" w:rsidRPr="00961602" w14:paraId="2928796E" w14:textId="77777777" w:rsidTr="005A1599">
        <w:tc>
          <w:tcPr>
            <w:cnfStyle w:val="001000000000" w:firstRow="0" w:lastRow="0" w:firstColumn="1" w:lastColumn="0" w:oddVBand="0" w:evenVBand="0" w:oddHBand="0" w:evenHBand="0" w:firstRowFirstColumn="0" w:firstRowLastColumn="0" w:lastRowFirstColumn="0" w:lastRowLastColumn="0"/>
            <w:tcW w:w="0" w:type="auto"/>
            <w:hideMark/>
          </w:tcPr>
          <w:p w14:paraId="01516016"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Na₂O</w:t>
            </w:r>
          </w:p>
        </w:tc>
        <w:tc>
          <w:tcPr>
            <w:tcW w:w="0" w:type="auto"/>
            <w:hideMark/>
          </w:tcPr>
          <w:p w14:paraId="29DFCF23"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Chemical weathering indicator</w:t>
            </w:r>
          </w:p>
        </w:tc>
        <w:tc>
          <w:tcPr>
            <w:tcW w:w="0" w:type="auto"/>
            <w:hideMark/>
          </w:tcPr>
          <w:p w14:paraId="0A1A2C77"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Reduced values indicate advanced leaching</w:t>
            </w:r>
          </w:p>
        </w:tc>
      </w:tr>
      <w:tr w:rsidR="005D0BF1" w:rsidRPr="00961602" w14:paraId="0B5EDC66" w14:textId="77777777" w:rsidTr="005A1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C748E4"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MgO</w:t>
            </w:r>
          </w:p>
        </w:tc>
        <w:tc>
          <w:tcPr>
            <w:tcW w:w="0" w:type="auto"/>
            <w:hideMark/>
          </w:tcPr>
          <w:p w14:paraId="48441F71"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Ferromagnesian mineral residue</w:t>
            </w:r>
          </w:p>
        </w:tc>
        <w:tc>
          <w:tcPr>
            <w:tcW w:w="0" w:type="auto"/>
            <w:hideMark/>
          </w:tcPr>
          <w:p w14:paraId="7877149E" w14:textId="77777777" w:rsidR="005D0BF1" w:rsidRPr="00961602"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Minor engineering influence</w:t>
            </w:r>
          </w:p>
        </w:tc>
      </w:tr>
      <w:tr w:rsidR="005D0BF1" w:rsidRPr="00961602" w14:paraId="387E6E00" w14:textId="77777777" w:rsidTr="005A1599">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5139F737" w14:textId="77777777" w:rsidR="005D0BF1" w:rsidRPr="00961602" w:rsidRDefault="005D0BF1" w:rsidP="005D0BF1">
            <w:pPr>
              <w:spacing w:after="160" w:line="278" w:lineRule="auto"/>
              <w:rPr>
                <w:rFonts w:ascii="Times New Roman" w:hAnsi="Times New Roman" w:cs="Times New Roman"/>
                <w:sz w:val="20"/>
                <w:szCs w:val="18"/>
              </w:rPr>
            </w:pPr>
            <w:r w:rsidRPr="00961602">
              <w:rPr>
                <w:rFonts w:ascii="Times New Roman" w:hAnsi="Times New Roman" w:cs="Times New Roman"/>
                <w:sz w:val="20"/>
                <w:szCs w:val="18"/>
              </w:rPr>
              <w:t>TiO₂</w:t>
            </w:r>
          </w:p>
        </w:tc>
        <w:tc>
          <w:tcPr>
            <w:tcW w:w="0" w:type="auto"/>
            <w:tcBorders>
              <w:bottom w:val="single" w:sz="4" w:space="0" w:color="auto"/>
            </w:tcBorders>
            <w:hideMark/>
          </w:tcPr>
          <w:p w14:paraId="37CDE1BB"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Heavy mineral concentration</w:t>
            </w:r>
          </w:p>
        </w:tc>
        <w:tc>
          <w:tcPr>
            <w:tcW w:w="0" w:type="auto"/>
            <w:tcBorders>
              <w:bottom w:val="single" w:sz="4" w:space="0" w:color="auto"/>
            </w:tcBorders>
            <w:hideMark/>
          </w:tcPr>
          <w:p w14:paraId="70599A39" w14:textId="77777777" w:rsidR="005D0BF1" w:rsidRPr="00961602"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961602">
              <w:rPr>
                <w:rFonts w:ascii="Times New Roman" w:hAnsi="Times New Roman" w:cs="Times New Roman"/>
                <w:sz w:val="20"/>
                <w:szCs w:val="18"/>
              </w:rPr>
              <w:t>Indicator of residual enrichment</w:t>
            </w:r>
          </w:p>
        </w:tc>
      </w:tr>
    </w:tbl>
    <w:p w14:paraId="654EC20D" w14:textId="582AA608" w:rsidR="005D0BF1" w:rsidRPr="005D0BF1" w:rsidRDefault="005D0BF1" w:rsidP="005D0BF1">
      <w:pPr>
        <w:rPr>
          <w:rFonts w:ascii="Times New Roman" w:hAnsi="Times New Roman" w:cs="Times New Roman"/>
        </w:rPr>
      </w:pPr>
    </w:p>
    <w:p w14:paraId="11F45BCE" w14:textId="781C5EFA" w:rsidR="005D0BF1" w:rsidRPr="005D0BF1" w:rsidRDefault="005D0BF1" w:rsidP="005A1599">
      <w:pPr>
        <w:jc w:val="both"/>
        <w:rPr>
          <w:rFonts w:ascii="Times New Roman" w:hAnsi="Times New Roman" w:cs="Times New Roman"/>
        </w:rPr>
      </w:pPr>
      <w:r w:rsidRPr="005D0BF1">
        <w:rPr>
          <w:rFonts w:ascii="Times New Roman" w:hAnsi="Times New Roman" w:cs="Times New Roman"/>
        </w:rPr>
        <w:t>The engineering behaviour of tropical lateritic soils is strongly controlled by the interaction of these major oxides. Silicon dioxide provides mechanical stability because quartz grains possess high hardness and excellent resistance to weathering</w:t>
      </w:r>
      <w:r w:rsidR="00BA5383">
        <w:rPr>
          <w:rFonts w:ascii="Times New Roman" w:hAnsi="Times New Roman" w:cs="Times New Roman"/>
        </w:rPr>
        <w:t xml:space="preserve"> (</w:t>
      </w:r>
      <w:r w:rsidR="00BA5383" w:rsidRPr="008E136E">
        <w:rPr>
          <w:rFonts w:ascii="Times New Roman" w:hAnsi="Times New Roman" w:cs="Times New Roman"/>
          <w:i/>
          <w:iCs/>
        </w:rPr>
        <w:t>Table 2</w:t>
      </w:r>
      <w:r w:rsidR="00BA5383">
        <w:rPr>
          <w:rFonts w:ascii="Times New Roman" w:hAnsi="Times New Roman" w:cs="Times New Roman"/>
        </w:rPr>
        <w:t>)</w:t>
      </w:r>
      <w:r w:rsidRPr="005D0BF1">
        <w:rPr>
          <w:rFonts w:ascii="Times New Roman" w:hAnsi="Times New Roman" w:cs="Times New Roman"/>
        </w:rPr>
        <w:t>. In contrast, aluminium oxide promotes clay mineral formation, thereby increasing plasticity, water absorption, and compressibility. Iron oxide contributes to cementation and aggregation of soil particles but may become ineffective under saturated conditions where moisture weakens particle bonding.</w:t>
      </w:r>
      <w:r w:rsidR="005A1599">
        <w:rPr>
          <w:rFonts w:ascii="Times New Roman" w:hAnsi="Times New Roman" w:cs="Times New Roman"/>
        </w:rPr>
        <w:t xml:space="preserve"> </w:t>
      </w:r>
      <w:r w:rsidRPr="005D0BF1">
        <w:rPr>
          <w:rFonts w:ascii="Times New Roman" w:hAnsi="Times New Roman" w:cs="Times New Roman"/>
        </w:rPr>
        <w:t>The combined influence of these oxides demonstrates that pavement stability cannot be evaluated solely from geotechnical testing. Rather, geochemical characterization provides a valuable means of predicting long-term engineering performance by identifying soils susceptible to progressive chemical alteration.</w:t>
      </w:r>
    </w:p>
    <w:p w14:paraId="1BBD75EF" w14:textId="77777777" w:rsidR="006A7BB6" w:rsidRDefault="005D0BF1" w:rsidP="006A7BB6">
      <w:pPr>
        <w:rPr>
          <w:rFonts w:ascii="Times New Roman" w:hAnsi="Times New Roman" w:cs="Times New Roman"/>
        </w:rPr>
      </w:pPr>
      <w:r w:rsidRPr="005D0BF1">
        <w:rPr>
          <w:rFonts w:ascii="Times New Roman" w:hAnsi="Times New Roman" w:cs="Times New Roman"/>
        </w:rPr>
        <w:t>4.3 Relationship Between SiO₂ and Fe₂O₃</w:t>
      </w:r>
    </w:p>
    <w:p w14:paraId="36CBBA9B" w14:textId="0C650D57" w:rsidR="00660EDB" w:rsidRDefault="00660EDB" w:rsidP="006A7BB6">
      <w:pPr>
        <w:jc w:val="center"/>
        <w:rPr>
          <w:rFonts w:ascii="Times New Roman" w:hAnsi="Times New Roman" w:cs="Times New Roman"/>
          <w:i/>
          <w:iCs/>
        </w:rPr>
      </w:pPr>
      <w:r w:rsidRPr="00961602">
        <w:rPr>
          <w:rFonts w:ascii="Times New Roman" w:hAnsi="Times New Roman" w:cs="Times New Roman"/>
          <w:noProof/>
        </w:rPr>
        <w:lastRenderedPageBreak/>
        <w:drawing>
          <wp:inline distT="0" distB="0" distL="0" distR="0" wp14:anchorId="06757118" wp14:editId="57602E3B">
            <wp:extent cx="3658098" cy="1953051"/>
            <wp:effectExtent l="19050" t="19050" r="19050" b="28575"/>
            <wp:docPr id="1710362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774" cy="1974768"/>
                    </a:xfrm>
                    <a:prstGeom prst="rect">
                      <a:avLst/>
                    </a:prstGeom>
                    <a:noFill/>
                    <a:ln w="3175">
                      <a:solidFill>
                        <a:schemeClr val="tx1"/>
                      </a:solidFill>
                    </a:ln>
                  </pic:spPr>
                </pic:pic>
              </a:graphicData>
            </a:graphic>
          </wp:inline>
        </w:drawing>
      </w:r>
    </w:p>
    <w:p w14:paraId="7D57F5F1" w14:textId="6E5A230D" w:rsidR="008E136E" w:rsidRPr="008E136E" w:rsidRDefault="008E136E" w:rsidP="00660EDB">
      <w:pPr>
        <w:jc w:val="center"/>
        <w:rPr>
          <w:rFonts w:ascii="Times New Roman" w:hAnsi="Times New Roman" w:cs="Times New Roman"/>
          <w:i/>
          <w:iCs/>
          <w:sz w:val="22"/>
          <w:szCs w:val="22"/>
        </w:rPr>
      </w:pPr>
      <w:r w:rsidRPr="008E136E">
        <w:rPr>
          <w:rFonts w:ascii="Times New Roman" w:hAnsi="Times New Roman" w:cs="Times New Roman"/>
          <w:i/>
          <w:iCs/>
          <w:sz w:val="22"/>
          <w:szCs w:val="22"/>
        </w:rPr>
        <w:t>Figure 3. Scatter plot showing the relationship between SiO₂ and Fe₂O₃.</w:t>
      </w:r>
    </w:p>
    <w:p w14:paraId="5983812E" w14:textId="32230ECA" w:rsidR="005D0BF1" w:rsidRPr="005D0BF1" w:rsidRDefault="005D0BF1" w:rsidP="008E136E">
      <w:pPr>
        <w:jc w:val="both"/>
        <w:rPr>
          <w:rFonts w:ascii="Times New Roman" w:hAnsi="Times New Roman" w:cs="Times New Roman"/>
        </w:rPr>
      </w:pPr>
      <w:r w:rsidRPr="005D0BF1">
        <w:rPr>
          <w:rFonts w:ascii="Times New Roman" w:hAnsi="Times New Roman" w:cs="Times New Roman"/>
        </w:rPr>
        <w:t xml:space="preserve">The scatter plot </w:t>
      </w:r>
      <w:r w:rsidR="00660EDB" w:rsidRPr="00660EDB">
        <w:rPr>
          <w:rFonts w:ascii="Times New Roman" w:hAnsi="Times New Roman" w:cs="Times New Roman"/>
          <w:i/>
          <w:iCs/>
        </w:rPr>
        <w:t>(Figure 3)</w:t>
      </w:r>
      <w:r w:rsidR="00660EDB">
        <w:rPr>
          <w:rFonts w:ascii="Times New Roman" w:hAnsi="Times New Roman" w:cs="Times New Roman"/>
        </w:rPr>
        <w:t xml:space="preserve"> </w:t>
      </w:r>
      <w:r w:rsidRPr="005D0BF1">
        <w:rPr>
          <w:rFonts w:ascii="Times New Roman" w:hAnsi="Times New Roman" w:cs="Times New Roman"/>
        </w:rPr>
        <w:t>indicates a negative correlation between SiO₂ and Fe₂O₃. As silica increases from 41.51% to 53.37%, iron oxide decreases from 24.20% to 11.39%. This inverse relationship reflects progressive chemical differentiation during tropical weathering. Quartz remains chemically stable, whereas iron accumulates through residual enrichment. The observed trend suggests that soils with relatively balanced proportions of silica and iron oxides provide optimum engineering behaviour because quartz improves skeletal strength while moderate iron contents enhance particle cementation.</w:t>
      </w:r>
    </w:p>
    <w:p w14:paraId="7E91AFC9"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4.4 Relationship Between Al₂O₃ and CaO</w:t>
      </w:r>
    </w:p>
    <w:p w14:paraId="7905DECF" w14:textId="77777777" w:rsidR="00660EDB" w:rsidRDefault="00660EDB" w:rsidP="00660EDB">
      <w:pPr>
        <w:jc w:val="center"/>
        <w:rPr>
          <w:rFonts w:ascii="Times New Roman" w:hAnsi="Times New Roman" w:cs="Times New Roman"/>
          <w:i/>
          <w:iCs/>
          <w:sz w:val="22"/>
          <w:szCs w:val="22"/>
        </w:rPr>
      </w:pPr>
      <w:r>
        <w:rPr>
          <w:rFonts w:ascii="Times New Roman" w:hAnsi="Times New Roman" w:cs="Times New Roman"/>
          <w:noProof/>
        </w:rPr>
        <w:drawing>
          <wp:inline distT="0" distB="0" distL="0" distR="0" wp14:anchorId="641A12C2" wp14:editId="20179945">
            <wp:extent cx="3333750" cy="2292350"/>
            <wp:effectExtent l="0" t="0" r="0" b="0"/>
            <wp:docPr id="153483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914" cy="2298651"/>
                    </a:xfrm>
                    <a:prstGeom prst="rect">
                      <a:avLst/>
                    </a:prstGeom>
                    <a:noFill/>
                    <a:ln>
                      <a:noFill/>
                    </a:ln>
                  </pic:spPr>
                </pic:pic>
              </a:graphicData>
            </a:graphic>
          </wp:inline>
        </w:drawing>
      </w:r>
    </w:p>
    <w:p w14:paraId="5D1BC326" w14:textId="0F34D617" w:rsidR="008E136E" w:rsidRPr="008E136E" w:rsidRDefault="008E136E" w:rsidP="00660EDB">
      <w:pPr>
        <w:jc w:val="center"/>
        <w:rPr>
          <w:rFonts w:ascii="Times New Roman" w:hAnsi="Times New Roman" w:cs="Times New Roman"/>
          <w:i/>
          <w:iCs/>
          <w:sz w:val="22"/>
          <w:szCs w:val="22"/>
        </w:rPr>
      </w:pPr>
      <w:r w:rsidRPr="008E136E">
        <w:rPr>
          <w:rFonts w:ascii="Times New Roman" w:hAnsi="Times New Roman" w:cs="Times New Roman"/>
          <w:i/>
          <w:iCs/>
          <w:sz w:val="22"/>
          <w:szCs w:val="22"/>
        </w:rPr>
        <w:t>Figure 4. Relationship between Al₂O₃ and CaO and its implication for subgrade stability.</w:t>
      </w:r>
    </w:p>
    <w:p w14:paraId="76122ED7" w14:textId="52B8CAC7" w:rsidR="005D0BF1" w:rsidRDefault="005D0BF1" w:rsidP="002457F6">
      <w:pPr>
        <w:jc w:val="both"/>
        <w:rPr>
          <w:rFonts w:ascii="Times New Roman" w:hAnsi="Times New Roman" w:cs="Times New Roman"/>
        </w:rPr>
      </w:pPr>
      <w:r w:rsidRPr="005D0BF1">
        <w:rPr>
          <w:rFonts w:ascii="Times New Roman" w:hAnsi="Times New Roman" w:cs="Times New Roman"/>
        </w:rPr>
        <w:t>The relationship</w:t>
      </w:r>
      <w:r w:rsidR="00660EDB">
        <w:rPr>
          <w:rFonts w:ascii="Times New Roman" w:hAnsi="Times New Roman" w:cs="Times New Roman"/>
        </w:rPr>
        <w:t xml:space="preserve"> (</w:t>
      </w:r>
      <w:r w:rsidR="00660EDB" w:rsidRPr="00660EDB">
        <w:rPr>
          <w:rFonts w:ascii="Times New Roman" w:hAnsi="Times New Roman" w:cs="Times New Roman"/>
          <w:i/>
          <w:iCs/>
        </w:rPr>
        <w:t>Figure 4</w:t>
      </w:r>
      <w:r w:rsidR="00660EDB">
        <w:rPr>
          <w:rFonts w:ascii="Times New Roman" w:hAnsi="Times New Roman" w:cs="Times New Roman"/>
        </w:rPr>
        <w:t>)</w:t>
      </w:r>
      <w:r w:rsidRPr="005D0BF1">
        <w:rPr>
          <w:rFonts w:ascii="Times New Roman" w:hAnsi="Times New Roman" w:cs="Times New Roman"/>
        </w:rPr>
        <w:t xml:space="preserve"> between aluminium oxide and calcium oxide demonstrates a strong influence of chemical weathering on engineering performance. Aluminium oxide increases with increasing feldspar alteration, whereas calcium oxide decreases through leaching. Consequently, an inverse relationship exists between these oxides. Samples containing high Al₂O₃ values such as 25.95% exhibit very low CaO values (0.65%) and correspond to clay-rich subgrade materials that are susceptible to deformation. Conversely, soils with relatively higher CaO values retain more </w:t>
      </w:r>
      <w:r w:rsidRPr="005D0BF1">
        <w:rPr>
          <w:rFonts w:ascii="Times New Roman" w:hAnsi="Times New Roman" w:cs="Times New Roman"/>
        </w:rPr>
        <w:lastRenderedPageBreak/>
        <w:t xml:space="preserve">primary minerals and generally possess greater engineering competence. The observed relationship therefore provides a useful geochemical indicator for evaluating the degree of weathering </w:t>
      </w:r>
      <w:r w:rsidR="00C61E4E">
        <w:rPr>
          <w:rFonts w:ascii="Times New Roman" w:hAnsi="Times New Roman" w:cs="Times New Roman"/>
        </w:rPr>
        <w:t xml:space="preserve">(Figure 5) </w:t>
      </w:r>
      <w:r w:rsidRPr="005D0BF1">
        <w:rPr>
          <w:rFonts w:ascii="Times New Roman" w:hAnsi="Times New Roman" w:cs="Times New Roman"/>
        </w:rPr>
        <w:t>and predicting subgrade stability.</w:t>
      </w:r>
    </w:p>
    <w:p w14:paraId="15C348FE" w14:textId="7A1879AD" w:rsidR="00C61E4E" w:rsidRDefault="00C61E4E" w:rsidP="002457F6">
      <w:pPr>
        <w:jc w:val="both"/>
        <w:rPr>
          <w:rFonts w:ascii="Times New Roman" w:hAnsi="Times New Roman" w:cs="Times New Roman"/>
        </w:rPr>
      </w:pPr>
      <w:r>
        <w:rPr>
          <w:noProof/>
        </w:rPr>
        <w:drawing>
          <wp:inline distT="0" distB="0" distL="0" distR="0" wp14:anchorId="37E2CDC3" wp14:editId="5E9366FC">
            <wp:extent cx="5943600" cy="3961130"/>
            <wp:effectExtent l="0" t="0" r="0" b="1270"/>
            <wp:docPr id="1318123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402AF27" w14:textId="3ABC22E4" w:rsidR="00C61E4E" w:rsidRPr="00C61E4E" w:rsidRDefault="00C61E4E" w:rsidP="00C61E4E">
      <w:pPr>
        <w:jc w:val="center"/>
        <w:rPr>
          <w:rFonts w:ascii="Times New Roman" w:hAnsi="Times New Roman" w:cs="Times New Roman"/>
          <w:i/>
          <w:iCs/>
          <w:sz w:val="22"/>
          <w:szCs w:val="22"/>
        </w:rPr>
      </w:pPr>
      <w:r w:rsidRPr="00C61E4E">
        <w:rPr>
          <w:rFonts w:ascii="Times New Roman" w:hAnsi="Times New Roman" w:cs="Times New Roman"/>
          <w:i/>
          <w:iCs/>
          <w:sz w:val="22"/>
          <w:szCs w:val="22"/>
        </w:rPr>
        <w:t>Figure 5: Relationship between major oxides, CIA, vs VIA, CaO vs Al</w:t>
      </w:r>
      <w:r w:rsidRPr="00C61E4E">
        <w:rPr>
          <w:rFonts w:ascii="Times New Roman" w:hAnsi="Times New Roman" w:cs="Times New Roman"/>
          <w:i/>
          <w:iCs/>
          <w:sz w:val="22"/>
          <w:szCs w:val="22"/>
          <w:vertAlign w:val="subscript"/>
        </w:rPr>
        <w:t>2</w:t>
      </w:r>
      <w:r w:rsidRPr="00C61E4E">
        <w:rPr>
          <w:rFonts w:ascii="Times New Roman" w:hAnsi="Times New Roman" w:cs="Times New Roman"/>
          <w:i/>
          <w:iCs/>
          <w:sz w:val="22"/>
          <w:szCs w:val="22"/>
        </w:rPr>
        <w:t>O</w:t>
      </w:r>
      <w:proofErr w:type="gramStart"/>
      <w:r w:rsidRPr="00C61E4E">
        <w:rPr>
          <w:rFonts w:ascii="Times New Roman" w:hAnsi="Times New Roman" w:cs="Times New Roman"/>
          <w:i/>
          <w:iCs/>
          <w:sz w:val="22"/>
          <w:szCs w:val="22"/>
          <w:vertAlign w:val="subscript"/>
        </w:rPr>
        <w:t>3 ,</w:t>
      </w:r>
      <w:proofErr w:type="gramEnd"/>
      <w:r w:rsidRPr="00C61E4E">
        <w:rPr>
          <w:rFonts w:ascii="Times New Roman" w:hAnsi="Times New Roman" w:cs="Times New Roman"/>
          <w:i/>
          <w:iCs/>
          <w:sz w:val="22"/>
          <w:szCs w:val="22"/>
          <w:vertAlign w:val="subscript"/>
        </w:rPr>
        <w:t xml:space="preserve"> </w:t>
      </w:r>
      <w:r w:rsidRPr="00C61E4E">
        <w:rPr>
          <w:rFonts w:ascii="Times New Roman" w:hAnsi="Times New Roman" w:cs="Times New Roman"/>
          <w:i/>
          <w:iCs/>
          <w:sz w:val="22"/>
          <w:szCs w:val="22"/>
        </w:rPr>
        <w:t>SiO2 vs Total Alkali</w:t>
      </w:r>
    </w:p>
    <w:p w14:paraId="2A5E7EEF"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4.5 Statistical Treatment of the Major Oxide Data</w:t>
      </w:r>
    </w:p>
    <w:p w14:paraId="06386CFF" w14:textId="77777777" w:rsidR="005D0BF1" w:rsidRPr="005D0BF1" w:rsidRDefault="005D0BF1" w:rsidP="002457F6">
      <w:pPr>
        <w:jc w:val="both"/>
        <w:rPr>
          <w:rFonts w:ascii="Times New Roman" w:hAnsi="Times New Roman" w:cs="Times New Roman"/>
        </w:rPr>
      </w:pPr>
      <w:r w:rsidRPr="005D0BF1">
        <w:rPr>
          <w:rFonts w:ascii="Times New Roman" w:hAnsi="Times New Roman" w:cs="Times New Roman"/>
        </w:rPr>
        <w:t>The descriptive statistical analysis of the major oxide concentrations is presented in Table 3. The statistical parameters include the mean, minimum, maximum, standard deviation (SD), coefficient of variation (CV), skewness, and engineering interpretation. These statistics provide insight into the spatial variability of the geochemical composition and the extent of chemical weathering affecting the lateritic subgrade soils.</w:t>
      </w:r>
    </w:p>
    <w:p w14:paraId="23E1F095" w14:textId="77777777" w:rsidR="006A7BB6" w:rsidRDefault="006A7BB6" w:rsidP="00660EDB">
      <w:pPr>
        <w:jc w:val="center"/>
        <w:rPr>
          <w:rFonts w:ascii="Times New Roman" w:hAnsi="Times New Roman" w:cs="Times New Roman"/>
          <w:i/>
          <w:iCs/>
          <w:sz w:val="22"/>
          <w:szCs w:val="22"/>
        </w:rPr>
      </w:pPr>
    </w:p>
    <w:p w14:paraId="38627A1B" w14:textId="77777777" w:rsidR="006A7BB6" w:rsidRDefault="006A7BB6" w:rsidP="00660EDB">
      <w:pPr>
        <w:jc w:val="center"/>
        <w:rPr>
          <w:rFonts w:ascii="Times New Roman" w:hAnsi="Times New Roman" w:cs="Times New Roman"/>
          <w:i/>
          <w:iCs/>
          <w:sz w:val="22"/>
          <w:szCs w:val="22"/>
        </w:rPr>
      </w:pPr>
    </w:p>
    <w:p w14:paraId="70041FFC" w14:textId="77777777" w:rsidR="006A7BB6" w:rsidRDefault="006A7BB6" w:rsidP="00660EDB">
      <w:pPr>
        <w:jc w:val="center"/>
        <w:rPr>
          <w:rFonts w:ascii="Times New Roman" w:hAnsi="Times New Roman" w:cs="Times New Roman"/>
          <w:i/>
          <w:iCs/>
          <w:sz w:val="22"/>
          <w:szCs w:val="22"/>
        </w:rPr>
      </w:pPr>
    </w:p>
    <w:p w14:paraId="2366F430" w14:textId="77777777" w:rsidR="006A7BB6" w:rsidRDefault="006A7BB6" w:rsidP="00660EDB">
      <w:pPr>
        <w:jc w:val="center"/>
        <w:rPr>
          <w:rFonts w:ascii="Times New Roman" w:hAnsi="Times New Roman" w:cs="Times New Roman"/>
          <w:i/>
          <w:iCs/>
          <w:sz w:val="22"/>
          <w:szCs w:val="22"/>
        </w:rPr>
      </w:pPr>
    </w:p>
    <w:p w14:paraId="420CCA38" w14:textId="77777777" w:rsidR="006A7BB6" w:rsidRDefault="006A7BB6" w:rsidP="00660EDB">
      <w:pPr>
        <w:jc w:val="center"/>
        <w:rPr>
          <w:rFonts w:ascii="Times New Roman" w:hAnsi="Times New Roman" w:cs="Times New Roman"/>
          <w:i/>
          <w:iCs/>
          <w:sz w:val="22"/>
          <w:szCs w:val="22"/>
        </w:rPr>
      </w:pPr>
    </w:p>
    <w:p w14:paraId="1C515B11" w14:textId="77777777" w:rsidR="006A7BB6" w:rsidRDefault="006A7BB6" w:rsidP="00660EDB">
      <w:pPr>
        <w:jc w:val="center"/>
        <w:rPr>
          <w:rFonts w:ascii="Times New Roman" w:hAnsi="Times New Roman" w:cs="Times New Roman"/>
          <w:i/>
          <w:iCs/>
          <w:sz w:val="22"/>
          <w:szCs w:val="22"/>
        </w:rPr>
      </w:pPr>
    </w:p>
    <w:p w14:paraId="3DBA21C4" w14:textId="7FB6A127" w:rsidR="005D0BF1" w:rsidRPr="002457F6" w:rsidRDefault="005D0BF1" w:rsidP="00660EDB">
      <w:pPr>
        <w:jc w:val="center"/>
        <w:rPr>
          <w:rFonts w:ascii="Times New Roman" w:hAnsi="Times New Roman" w:cs="Times New Roman"/>
          <w:i/>
          <w:iCs/>
          <w:sz w:val="22"/>
          <w:szCs w:val="22"/>
        </w:rPr>
      </w:pPr>
      <w:r w:rsidRPr="002457F6">
        <w:rPr>
          <w:rFonts w:ascii="Times New Roman" w:hAnsi="Times New Roman" w:cs="Times New Roman"/>
          <w:i/>
          <w:iCs/>
          <w:sz w:val="22"/>
          <w:szCs w:val="22"/>
        </w:rPr>
        <w:lastRenderedPageBreak/>
        <w:t>Table 3. Descriptive statistics of the major oxide composition of the subgrade soils.</w:t>
      </w:r>
    </w:p>
    <w:tbl>
      <w:tblPr>
        <w:tblStyle w:val="PlainTable5"/>
        <w:tblW w:w="0" w:type="auto"/>
        <w:tblLook w:val="04A0" w:firstRow="1" w:lastRow="0" w:firstColumn="1" w:lastColumn="0" w:noHBand="0" w:noVBand="1"/>
      </w:tblPr>
      <w:tblGrid>
        <w:gridCol w:w="837"/>
        <w:gridCol w:w="923"/>
        <w:gridCol w:w="1328"/>
        <w:gridCol w:w="1371"/>
        <w:gridCol w:w="636"/>
        <w:gridCol w:w="818"/>
        <w:gridCol w:w="3447"/>
      </w:tblGrid>
      <w:tr w:rsidR="005D0BF1" w:rsidRPr="005D0BF1" w14:paraId="7FE0DE7A" w14:textId="77777777" w:rsidTr="002457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28AE3FB6" w14:textId="77777777" w:rsidR="005D0BF1" w:rsidRPr="005D0BF1" w:rsidRDefault="005D0BF1" w:rsidP="005D0BF1">
            <w:pPr>
              <w:spacing w:after="160" w:line="278" w:lineRule="auto"/>
              <w:jc w:val="left"/>
              <w:rPr>
                <w:rFonts w:ascii="Times New Roman" w:hAnsi="Times New Roman" w:cs="Times New Roman"/>
              </w:rPr>
            </w:pPr>
            <w:r w:rsidRPr="005D0BF1">
              <w:rPr>
                <w:rFonts w:ascii="Times New Roman" w:hAnsi="Times New Roman" w:cs="Times New Roman"/>
              </w:rPr>
              <w:t>Oxide</w:t>
            </w:r>
          </w:p>
        </w:tc>
        <w:tc>
          <w:tcPr>
            <w:tcW w:w="0" w:type="auto"/>
            <w:tcBorders>
              <w:top w:val="single" w:sz="4" w:space="0" w:color="auto"/>
            </w:tcBorders>
            <w:hideMark/>
          </w:tcPr>
          <w:p w14:paraId="3FCEE4FC" w14:textId="77777777" w:rsidR="005D0BF1" w:rsidRPr="005D0BF1"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Mean (%)</w:t>
            </w:r>
          </w:p>
        </w:tc>
        <w:tc>
          <w:tcPr>
            <w:tcW w:w="0" w:type="auto"/>
            <w:tcBorders>
              <w:top w:val="single" w:sz="4" w:space="0" w:color="auto"/>
            </w:tcBorders>
            <w:hideMark/>
          </w:tcPr>
          <w:p w14:paraId="7F337667" w14:textId="77777777" w:rsidR="005D0BF1" w:rsidRPr="005D0BF1"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Minimum (%)</w:t>
            </w:r>
          </w:p>
        </w:tc>
        <w:tc>
          <w:tcPr>
            <w:tcW w:w="0" w:type="auto"/>
            <w:tcBorders>
              <w:top w:val="single" w:sz="4" w:space="0" w:color="auto"/>
            </w:tcBorders>
            <w:hideMark/>
          </w:tcPr>
          <w:p w14:paraId="74524BF8" w14:textId="77777777" w:rsidR="005D0BF1" w:rsidRPr="005D0BF1"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Maximum (%)</w:t>
            </w:r>
          </w:p>
        </w:tc>
        <w:tc>
          <w:tcPr>
            <w:tcW w:w="0" w:type="auto"/>
            <w:tcBorders>
              <w:top w:val="single" w:sz="4" w:space="0" w:color="auto"/>
            </w:tcBorders>
            <w:hideMark/>
          </w:tcPr>
          <w:p w14:paraId="1439615B" w14:textId="77777777" w:rsidR="005D0BF1" w:rsidRPr="005D0BF1"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SD</w:t>
            </w:r>
          </w:p>
        </w:tc>
        <w:tc>
          <w:tcPr>
            <w:tcW w:w="0" w:type="auto"/>
            <w:tcBorders>
              <w:top w:val="single" w:sz="4" w:space="0" w:color="auto"/>
            </w:tcBorders>
            <w:hideMark/>
          </w:tcPr>
          <w:p w14:paraId="7858A810" w14:textId="77777777" w:rsidR="005D0BF1" w:rsidRPr="005D0BF1"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CV (%)</w:t>
            </w:r>
          </w:p>
        </w:tc>
        <w:tc>
          <w:tcPr>
            <w:tcW w:w="0" w:type="auto"/>
            <w:tcBorders>
              <w:top w:val="single" w:sz="4" w:space="0" w:color="auto"/>
            </w:tcBorders>
            <w:hideMark/>
          </w:tcPr>
          <w:p w14:paraId="7C345D01" w14:textId="77777777" w:rsidR="005D0BF1" w:rsidRPr="005D0BF1" w:rsidRDefault="005D0BF1" w:rsidP="005D0BF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Engineering Interpretation</w:t>
            </w:r>
          </w:p>
        </w:tc>
      </w:tr>
      <w:tr w:rsidR="005D0BF1" w:rsidRPr="005D0BF1" w14:paraId="58DACCB2" w14:textId="77777777" w:rsidTr="0024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C3FCE8" w14:textId="77777777" w:rsidR="005D0BF1" w:rsidRPr="005D0BF1" w:rsidRDefault="005D0BF1" w:rsidP="005D0BF1">
            <w:pPr>
              <w:spacing w:after="160" w:line="278" w:lineRule="auto"/>
              <w:rPr>
                <w:rFonts w:ascii="Times New Roman" w:hAnsi="Times New Roman" w:cs="Times New Roman"/>
              </w:rPr>
            </w:pPr>
            <w:r w:rsidRPr="005D0BF1">
              <w:rPr>
                <w:rFonts w:ascii="Times New Roman" w:hAnsi="Times New Roman" w:cs="Times New Roman"/>
              </w:rPr>
              <w:t>SiO₂</w:t>
            </w:r>
          </w:p>
        </w:tc>
        <w:tc>
          <w:tcPr>
            <w:tcW w:w="0" w:type="auto"/>
            <w:hideMark/>
          </w:tcPr>
          <w:p w14:paraId="29CA4399"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49.70</w:t>
            </w:r>
          </w:p>
        </w:tc>
        <w:tc>
          <w:tcPr>
            <w:tcW w:w="0" w:type="auto"/>
            <w:hideMark/>
          </w:tcPr>
          <w:p w14:paraId="4F900D09"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41.51</w:t>
            </w:r>
          </w:p>
        </w:tc>
        <w:tc>
          <w:tcPr>
            <w:tcW w:w="0" w:type="auto"/>
            <w:hideMark/>
          </w:tcPr>
          <w:p w14:paraId="645104E8"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53.37</w:t>
            </w:r>
          </w:p>
        </w:tc>
        <w:tc>
          <w:tcPr>
            <w:tcW w:w="0" w:type="auto"/>
            <w:hideMark/>
          </w:tcPr>
          <w:p w14:paraId="1336350A"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4.68</w:t>
            </w:r>
          </w:p>
        </w:tc>
        <w:tc>
          <w:tcPr>
            <w:tcW w:w="0" w:type="auto"/>
            <w:hideMark/>
          </w:tcPr>
          <w:p w14:paraId="219D84AB"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9.42</w:t>
            </w:r>
          </w:p>
        </w:tc>
        <w:tc>
          <w:tcPr>
            <w:tcW w:w="0" w:type="auto"/>
            <w:hideMark/>
          </w:tcPr>
          <w:p w14:paraId="32F76B44"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Low variability; quartz is uniformly distributed and contributes to mechanical stability.</w:t>
            </w:r>
          </w:p>
        </w:tc>
      </w:tr>
      <w:tr w:rsidR="005D0BF1" w:rsidRPr="005D0BF1" w14:paraId="676254AD" w14:textId="77777777" w:rsidTr="002457F6">
        <w:tc>
          <w:tcPr>
            <w:cnfStyle w:val="001000000000" w:firstRow="0" w:lastRow="0" w:firstColumn="1" w:lastColumn="0" w:oddVBand="0" w:evenVBand="0" w:oddHBand="0" w:evenHBand="0" w:firstRowFirstColumn="0" w:firstRowLastColumn="0" w:lastRowFirstColumn="0" w:lastRowLastColumn="0"/>
            <w:tcW w:w="0" w:type="auto"/>
            <w:hideMark/>
          </w:tcPr>
          <w:p w14:paraId="5CEB9CF5" w14:textId="77777777" w:rsidR="005D0BF1" w:rsidRPr="005D0BF1" w:rsidRDefault="005D0BF1" w:rsidP="005D0BF1">
            <w:pPr>
              <w:spacing w:after="160" w:line="278" w:lineRule="auto"/>
              <w:rPr>
                <w:rFonts w:ascii="Times New Roman" w:hAnsi="Times New Roman" w:cs="Times New Roman"/>
              </w:rPr>
            </w:pPr>
            <w:r w:rsidRPr="005D0BF1">
              <w:rPr>
                <w:rFonts w:ascii="Times New Roman" w:hAnsi="Times New Roman" w:cs="Times New Roman"/>
              </w:rPr>
              <w:t>Al₂O₃</w:t>
            </w:r>
          </w:p>
        </w:tc>
        <w:tc>
          <w:tcPr>
            <w:tcW w:w="0" w:type="auto"/>
            <w:hideMark/>
          </w:tcPr>
          <w:p w14:paraId="55F14A1B"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22.27</w:t>
            </w:r>
          </w:p>
        </w:tc>
        <w:tc>
          <w:tcPr>
            <w:tcW w:w="0" w:type="auto"/>
            <w:hideMark/>
          </w:tcPr>
          <w:p w14:paraId="24B4C540"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19.69</w:t>
            </w:r>
          </w:p>
        </w:tc>
        <w:tc>
          <w:tcPr>
            <w:tcW w:w="0" w:type="auto"/>
            <w:hideMark/>
          </w:tcPr>
          <w:p w14:paraId="4600011D"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25.95</w:t>
            </w:r>
          </w:p>
        </w:tc>
        <w:tc>
          <w:tcPr>
            <w:tcW w:w="0" w:type="auto"/>
            <w:hideMark/>
          </w:tcPr>
          <w:p w14:paraId="09379FB6"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2.29</w:t>
            </w:r>
          </w:p>
        </w:tc>
        <w:tc>
          <w:tcPr>
            <w:tcW w:w="0" w:type="auto"/>
            <w:hideMark/>
          </w:tcPr>
          <w:p w14:paraId="35F6CB5B"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10.28</w:t>
            </w:r>
          </w:p>
        </w:tc>
        <w:tc>
          <w:tcPr>
            <w:tcW w:w="0" w:type="auto"/>
            <w:hideMark/>
          </w:tcPr>
          <w:p w14:paraId="57E42B6A"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Moderate variability; reflects differences in clay mineral development.</w:t>
            </w:r>
          </w:p>
        </w:tc>
      </w:tr>
      <w:tr w:rsidR="005D0BF1" w:rsidRPr="005D0BF1" w14:paraId="3F0F67D3" w14:textId="77777777" w:rsidTr="0024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576284" w14:textId="77777777" w:rsidR="005D0BF1" w:rsidRPr="005D0BF1" w:rsidRDefault="005D0BF1" w:rsidP="005D0BF1">
            <w:pPr>
              <w:spacing w:after="160" w:line="278" w:lineRule="auto"/>
              <w:rPr>
                <w:rFonts w:ascii="Times New Roman" w:hAnsi="Times New Roman" w:cs="Times New Roman"/>
              </w:rPr>
            </w:pPr>
            <w:r w:rsidRPr="005D0BF1">
              <w:rPr>
                <w:rFonts w:ascii="Times New Roman" w:hAnsi="Times New Roman" w:cs="Times New Roman"/>
              </w:rPr>
              <w:t>Fe₂O₃</w:t>
            </w:r>
          </w:p>
        </w:tc>
        <w:tc>
          <w:tcPr>
            <w:tcW w:w="0" w:type="auto"/>
            <w:hideMark/>
          </w:tcPr>
          <w:p w14:paraId="2D6B2A7C"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15.77</w:t>
            </w:r>
          </w:p>
        </w:tc>
        <w:tc>
          <w:tcPr>
            <w:tcW w:w="0" w:type="auto"/>
            <w:hideMark/>
          </w:tcPr>
          <w:p w14:paraId="0349AA4C"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11.39</w:t>
            </w:r>
          </w:p>
        </w:tc>
        <w:tc>
          <w:tcPr>
            <w:tcW w:w="0" w:type="auto"/>
            <w:hideMark/>
          </w:tcPr>
          <w:p w14:paraId="3C16D185"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24.20</w:t>
            </w:r>
          </w:p>
        </w:tc>
        <w:tc>
          <w:tcPr>
            <w:tcW w:w="0" w:type="auto"/>
            <w:hideMark/>
          </w:tcPr>
          <w:p w14:paraId="52709FBA"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4.28</w:t>
            </w:r>
          </w:p>
        </w:tc>
        <w:tc>
          <w:tcPr>
            <w:tcW w:w="0" w:type="auto"/>
            <w:hideMark/>
          </w:tcPr>
          <w:p w14:paraId="45AC8D31"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27.15</w:t>
            </w:r>
          </w:p>
        </w:tc>
        <w:tc>
          <w:tcPr>
            <w:tcW w:w="0" w:type="auto"/>
            <w:hideMark/>
          </w:tcPr>
          <w:p w14:paraId="07B17CDA"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High variability; indicates differing degrees of lateritisation and iron enrichment.</w:t>
            </w:r>
          </w:p>
        </w:tc>
      </w:tr>
      <w:tr w:rsidR="005D0BF1" w:rsidRPr="005D0BF1" w14:paraId="64C2BE26" w14:textId="77777777" w:rsidTr="002457F6">
        <w:tc>
          <w:tcPr>
            <w:cnfStyle w:val="001000000000" w:firstRow="0" w:lastRow="0" w:firstColumn="1" w:lastColumn="0" w:oddVBand="0" w:evenVBand="0" w:oddHBand="0" w:evenHBand="0" w:firstRowFirstColumn="0" w:firstRowLastColumn="0" w:lastRowFirstColumn="0" w:lastRowLastColumn="0"/>
            <w:tcW w:w="0" w:type="auto"/>
            <w:hideMark/>
          </w:tcPr>
          <w:p w14:paraId="4D0EDF12" w14:textId="77777777" w:rsidR="005D0BF1" w:rsidRPr="005D0BF1" w:rsidRDefault="005D0BF1" w:rsidP="005D0BF1">
            <w:pPr>
              <w:spacing w:after="160" w:line="278" w:lineRule="auto"/>
              <w:rPr>
                <w:rFonts w:ascii="Times New Roman" w:hAnsi="Times New Roman" w:cs="Times New Roman"/>
              </w:rPr>
            </w:pPr>
            <w:r w:rsidRPr="005D0BF1">
              <w:rPr>
                <w:rFonts w:ascii="Times New Roman" w:hAnsi="Times New Roman" w:cs="Times New Roman"/>
              </w:rPr>
              <w:t>CaO</w:t>
            </w:r>
          </w:p>
        </w:tc>
        <w:tc>
          <w:tcPr>
            <w:tcW w:w="0" w:type="auto"/>
            <w:hideMark/>
          </w:tcPr>
          <w:p w14:paraId="4E909213"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1.80</w:t>
            </w:r>
          </w:p>
        </w:tc>
        <w:tc>
          <w:tcPr>
            <w:tcW w:w="0" w:type="auto"/>
            <w:hideMark/>
          </w:tcPr>
          <w:p w14:paraId="1B40C942"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0.65</w:t>
            </w:r>
          </w:p>
        </w:tc>
        <w:tc>
          <w:tcPr>
            <w:tcW w:w="0" w:type="auto"/>
            <w:hideMark/>
          </w:tcPr>
          <w:p w14:paraId="1F75A11A"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4.69</w:t>
            </w:r>
          </w:p>
        </w:tc>
        <w:tc>
          <w:tcPr>
            <w:tcW w:w="0" w:type="auto"/>
            <w:hideMark/>
          </w:tcPr>
          <w:p w14:paraId="7EB217CA"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1.43</w:t>
            </w:r>
          </w:p>
        </w:tc>
        <w:tc>
          <w:tcPr>
            <w:tcW w:w="0" w:type="auto"/>
            <w:hideMark/>
          </w:tcPr>
          <w:p w14:paraId="1147AD2D"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79.44</w:t>
            </w:r>
          </w:p>
        </w:tc>
        <w:tc>
          <w:tcPr>
            <w:tcW w:w="0" w:type="auto"/>
            <w:hideMark/>
          </w:tcPr>
          <w:p w14:paraId="05CB5684"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Very high variability; reflects intense tropical leaching.</w:t>
            </w:r>
          </w:p>
        </w:tc>
      </w:tr>
      <w:tr w:rsidR="005D0BF1" w:rsidRPr="005D0BF1" w14:paraId="6110BFDE" w14:textId="77777777" w:rsidTr="0024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59A7D" w14:textId="77777777" w:rsidR="005D0BF1" w:rsidRPr="005D0BF1" w:rsidRDefault="005D0BF1" w:rsidP="005D0BF1">
            <w:pPr>
              <w:spacing w:after="160" w:line="278" w:lineRule="auto"/>
              <w:rPr>
                <w:rFonts w:ascii="Times New Roman" w:hAnsi="Times New Roman" w:cs="Times New Roman"/>
              </w:rPr>
            </w:pPr>
            <w:r w:rsidRPr="005D0BF1">
              <w:rPr>
                <w:rFonts w:ascii="Times New Roman" w:hAnsi="Times New Roman" w:cs="Times New Roman"/>
              </w:rPr>
              <w:t>K₂O</w:t>
            </w:r>
          </w:p>
        </w:tc>
        <w:tc>
          <w:tcPr>
            <w:tcW w:w="0" w:type="auto"/>
            <w:hideMark/>
          </w:tcPr>
          <w:p w14:paraId="5804695A"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4.71</w:t>
            </w:r>
          </w:p>
        </w:tc>
        <w:tc>
          <w:tcPr>
            <w:tcW w:w="0" w:type="auto"/>
            <w:hideMark/>
          </w:tcPr>
          <w:p w14:paraId="3C4A8786"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3.52</w:t>
            </w:r>
          </w:p>
        </w:tc>
        <w:tc>
          <w:tcPr>
            <w:tcW w:w="0" w:type="auto"/>
            <w:hideMark/>
          </w:tcPr>
          <w:p w14:paraId="123DF3C1"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6.74</w:t>
            </w:r>
          </w:p>
        </w:tc>
        <w:tc>
          <w:tcPr>
            <w:tcW w:w="0" w:type="auto"/>
            <w:hideMark/>
          </w:tcPr>
          <w:p w14:paraId="6DBCDEF2"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1.09</w:t>
            </w:r>
          </w:p>
        </w:tc>
        <w:tc>
          <w:tcPr>
            <w:tcW w:w="0" w:type="auto"/>
            <w:hideMark/>
          </w:tcPr>
          <w:p w14:paraId="01C1CDB9"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23.15</w:t>
            </w:r>
          </w:p>
        </w:tc>
        <w:tc>
          <w:tcPr>
            <w:tcW w:w="0" w:type="auto"/>
            <w:hideMark/>
          </w:tcPr>
          <w:p w14:paraId="02FDE397"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Moderate variability; controlled by feldspar preservation.</w:t>
            </w:r>
          </w:p>
        </w:tc>
      </w:tr>
      <w:tr w:rsidR="005D0BF1" w:rsidRPr="005D0BF1" w14:paraId="6139865E" w14:textId="77777777" w:rsidTr="002457F6">
        <w:tc>
          <w:tcPr>
            <w:cnfStyle w:val="001000000000" w:firstRow="0" w:lastRow="0" w:firstColumn="1" w:lastColumn="0" w:oddVBand="0" w:evenVBand="0" w:oddHBand="0" w:evenHBand="0" w:firstRowFirstColumn="0" w:firstRowLastColumn="0" w:lastRowFirstColumn="0" w:lastRowLastColumn="0"/>
            <w:tcW w:w="0" w:type="auto"/>
            <w:hideMark/>
          </w:tcPr>
          <w:p w14:paraId="5A9D9856" w14:textId="77777777" w:rsidR="005D0BF1" w:rsidRPr="005D0BF1" w:rsidRDefault="005D0BF1" w:rsidP="005D0BF1">
            <w:pPr>
              <w:spacing w:after="160" w:line="278" w:lineRule="auto"/>
              <w:rPr>
                <w:rFonts w:ascii="Times New Roman" w:hAnsi="Times New Roman" w:cs="Times New Roman"/>
              </w:rPr>
            </w:pPr>
            <w:r w:rsidRPr="005D0BF1">
              <w:rPr>
                <w:rFonts w:ascii="Times New Roman" w:hAnsi="Times New Roman" w:cs="Times New Roman"/>
              </w:rPr>
              <w:t>Na₂O</w:t>
            </w:r>
          </w:p>
        </w:tc>
        <w:tc>
          <w:tcPr>
            <w:tcW w:w="0" w:type="auto"/>
            <w:hideMark/>
          </w:tcPr>
          <w:p w14:paraId="6AE9F4A1"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0.26</w:t>
            </w:r>
          </w:p>
        </w:tc>
        <w:tc>
          <w:tcPr>
            <w:tcW w:w="0" w:type="auto"/>
            <w:hideMark/>
          </w:tcPr>
          <w:p w14:paraId="2C5AB914"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0.12</w:t>
            </w:r>
          </w:p>
        </w:tc>
        <w:tc>
          <w:tcPr>
            <w:tcW w:w="0" w:type="auto"/>
            <w:hideMark/>
          </w:tcPr>
          <w:p w14:paraId="2F7B0005"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0.54</w:t>
            </w:r>
          </w:p>
        </w:tc>
        <w:tc>
          <w:tcPr>
            <w:tcW w:w="0" w:type="auto"/>
            <w:hideMark/>
          </w:tcPr>
          <w:p w14:paraId="1CBC8BCC"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0.16</w:t>
            </w:r>
          </w:p>
        </w:tc>
        <w:tc>
          <w:tcPr>
            <w:tcW w:w="0" w:type="auto"/>
            <w:hideMark/>
          </w:tcPr>
          <w:p w14:paraId="084BCBA2"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61.54</w:t>
            </w:r>
          </w:p>
        </w:tc>
        <w:tc>
          <w:tcPr>
            <w:tcW w:w="0" w:type="auto"/>
            <w:hideMark/>
          </w:tcPr>
          <w:p w14:paraId="5ECFB401" w14:textId="77777777" w:rsidR="005D0BF1" w:rsidRPr="005D0BF1" w:rsidRDefault="005D0BF1" w:rsidP="005D0BF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High variability; indicates progressive chemical weathering.</w:t>
            </w:r>
          </w:p>
        </w:tc>
      </w:tr>
      <w:tr w:rsidR="005D0BF1" w:rsidRPr="005D0BF1" w14:paraId="4FA23FD8" w14:textId="77777777" w:rsidTr="0024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76E4B596" w14:textId="77777777" w:rsidR="005D0BF1" w:rsidRPr="005D0BF1" w:rsidRDefault="005D0BF1" w:rsidP="005D0BF1">
            <w:pPr>
              <w:spacing w:after="160" w:line="278" w:lineRule="auto"/>
              <w:rPr>
                <w:rFonts w:ascii="Times New Roman" w:hAnsi="Times New Roman" w:cs="Times New Roman"/>
              </w:rPr>
            </w:pPr>
            <w:r w:rsidRPr="005D0BF1">
              <w:rPr>
                <w:rFonts w:ascii="Times New Roman" w:hAnsi="Times New Roman" w:cs="Times New Roman"/>
              </w:rPr>
              <w:t>MgO</w:t>
            </w:r>
          </w:p>
        </w:tc>
        <w:tc>
          <w:tcPr>
            <w:tcW w:w="0" w:type="auto"/>
            <w:tcBorders>
              <w:bottom w:val="single" w:sz="4" w:space="0" w:color="auto"/>
            </w:tcBorders>
            <w:hideMark/>
          </w:tcPr>
          <w:p w14:paraId="3F173BD8"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0.54</w:t>
            </w:r>
          </w:p>
        </w:tc>
        <w:tc>
          <w:tcPr>
            <w:tcW w:w="0" w:type="auto"/>
            <w:tcBorders>
              <w:bottom w:val="single" w:sz="4" w:space="0" w:color="auto"/>
            </w:tcBorders>
            <w:hideMark/>
          </w:tcPr>
          <w:p w14:paraId="795FAD26"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0.41</w:t>
            </w:r>
          </w:p>
        </w:tc>
        <w:tc>
          <w:tcPr>
            <w:tcW w:w="0" w:type="auto"/>
            <w:tcBorders>
              <w:bottom w:val="single" w:sz="4" w:space="0" w:color="auto"/>
            </w:tcBorders>
            <w:hideMark/>
          </w:tcPr>
          <w:p w14:paraId="66828948"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0.73</w:t>
            </w:r>
          </w:p>
        </w:tc>
        <w:tc>
          <w:tcPr>
            <w:tcW w:w="0" w:type="auto"/>
            <w:tcBorders>
              <w:bottom w:val="single" w:sz="4" w:space="0" w:color="auto"/>
            </w:tcBorders>
            <w:hideMark/>
          </w:tcPr>
          <w:p w14:paraId="38D98060"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0.11</w:t>
            </w:r>
          </w:p>
        </w:tc>
        <w:tc>
          <w:tcPr>
            <w:tcW w:w="0" w:type="auto"/>
            <w:tcBorders>
              <w:bottom w:val="single" w:sz="4" w:space="0" w:color="auto"/>
            </w:tcBorders>
            <w:hideMark/>
          </w:tcPr>
          <w:p w14:paraId="0B1EA7F6"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20.37</w:t>
            </w:r>
          </w:p>
        </w:tc>
        <w:tc>
          <w:tcPr>
            <w:tcW w:w="0" w:type="auto"/>
            <w:tcBorders>
              <w:bottom w:val="single" w:sz="4" w:space="0" w:color="auto"/>
            </w:tcBorders>
            <w:hideMark/>
          </w:tcPr>
          <w:p w14:paraId="321E4DFA" w14:textId="77777777" w:rsidR="005D0BF1" w:rsidRPr="005D0BF1" w:rsidRDefault="005D0BF1" w:rsidP="005D0BF1">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BF1">
              <w:rPr>
                <w:rFonts w:ascii="Times New Roman" w:hAnsi="Times New Roman" w:cs="Times New Roman"/>
              </w:rPr>
              <w:t>Moderate variability; residual ferromagnesian minerals.</w:t>
            </w:r>
          </w:p>
        </w:tc>
      </w:tr>
    </w:tbl>
    <w:p w14:paraId="5957131A" w14:textId="77777777" w:rsidR="002457F6" w:rsidRDefault="002457F6" w:rsidP="005D0BF1">
      <w:pPr>
        <w:rPr>
          <w:rFonts w:ascii="Times New Roman" w:hAnsi="Times New Roman" w:cs="Times New Roman"/>
        </w:rPr>
      </w:pPr>
    </w:p>
    <w:p w14:paraId="6CC73B55" w14:textId="2FD0C2AB" w:rsidR="005D0BF1" w:rsidRPr="005D0BF1" w:rsidRDefault="005D0BF1" w:rsidP="002457F6">
      <w:pPr>
        <w:jc w:val="both"/>
        <w:rPr>
          <w:rFonts w:ascii="Times New Roman" w:hAnsi="Times New Roman" w:cs="Times New Roman"/>
        </w:rPr>
      </w:pPr>
      <w:r w:rsidRPr="005D0BF1">
        <w:rPr>
          <w:rFonts w:ascii="Times New Roman" w:hAnsi="Times New Roman" w:cs="Times New Roman"/>
        </w:rPr>
        <w:t>The statistical results</w:t>
      </w:r>
      <w:r w:rsidR="002457F6">
        <w:rPr>
          <w:rFonts w:ascii="Times New Roman" w:hAnsi="Times New Roman" w:cs="Times New Roman"/>
        </w:rPr>
        <w:t xml:space="preserve"> (</w:t>
      </w:r>
      <w:r w:rsidR="002457F6" w:rsidRPr="002457F6">
        <w:rPr>
          <w:rFonts w:ascii="Times New Roman" w:hAnsi="Times New Roman" w:cs="Times New Roman"/>
          <w:i/>
          <w:iCs/>
        </w:rPr>
        <w:t>Table 3</w:t>
      </w:r>
      <w:r w:rsidR="002457F6">
        <w:rPr>
          <w:rFonts w:ascii="Times New Roman" w:hAnsi="Times New Roman" w:cs="Times New Roman"/>
        </w:rPr>
        <w:t xml:space="preserve">) </w:t>
      </w:r>
      <w:r w:rsidRPr="005D0BF1">
        <w:rPr>
          <w:rFonts w:ascii="Times New Roman" w:hAnsi="Times New Roman" w:cs="Times New Roman"/>
        </w:rPr>
        <w:t>reveal that SiO₂ has the highest average concentration (49.70%) and the lowest coefficient of variation (9.42%). This indicates that quartz is uniformly distributed throughout the study area and provides the principal framework supporting the mechanical stability of the subgrade soils. The relatively small standard deviation (4.68%) suggests that quartz behaves as a stable residual mineral throughout the weathering profile.</w:t>
      </w:r>
      <w:r w:rsidR="002457F6">
        <w:rPr>
          <w:rFonts w:ascii="Times New Roman" w:hAnsi="Times New Roman" w:cs="Times New Roman"/>
        </w:rPr>
        <w:t xml:space="preserve"> </w:t>
      </w:r>
      <w:r w:rsidRPr="005D0BF1">
        <w:rPr>
          <w:rFonts w:ascii="Times New Roman" w:hAnsi="Times New Roman" w:cs="Times New Roman"/>
        </w:rPr>
        <w:t>Aluminium oxide has a mean value of 22.27% and a coefficient of variation of 10.28%, indicating moderate spatial variability. The distribution of Al₂O₃ reflects localized differences in feldspar decomposition and clay mineral formation. Areas with elevated aluminium concentrations are associated with increased kaolinite development and higher moisture sensitivity.</w:t>
      </w:r>
      <w:r w:rsidR="002457F6">
        <w:rPr>
          <w:rFonts w:ascii="Times New Roman" w:hAnsi="Times New Roman" w:cs="Times New Roman"/>
        </w:rPr>
        <w:t xml:space="preserve"> </w:t>
      </w:r>
      <w:r w:rsidRPr="005D0BF1">
        <w:rPr>
          <w:rFonts w:ascii="Times New Roman" w:hAnsi="Times New Roman" w:cs="Times New Roman"/>
        </w:rPr>
        <w:t xml:space="preserve">Iron oxide exhibits a considerably larger coefficient of variation (27.15%), demonstrating that lateritisation varies significantly along the highway. The maximum Fe₂O₃ concentration (24.20%) occurs at Jn6a, while the lowest concentration (11.39%) is recorded at Op8. These differences indicate that iron enrichment </w:t>
      </w:r>
      <w:r w:rsidRPr="005D0BF1">
        <w:rPr>
          <w:rFonts w:ascii="Times New Roman" w:hAnsi="Times New Roman" w:cs="Times New Roman"/>
        </w:rPr>
        <w:lastRenderedPageBreak/>
        <w:t>depends on drainage conditions, topography, groundwater movement, and parent rock composition.</w:t>
      </w:r>
    </w:p>
    <w:p w14:paraId="12B2B05E" w14:textId="2ABDC614" w:rsidR="005D0BF1" w:rsidRPr="005D0BF1" w:rsidRDefault="005D0BF1" w:rsidP="002457F6">
      <w:pPr>
        <w:jc w:val="both"/>
        <w:rPr>
          <w:rFonts w:ascii="Times New Roman" w:hAnsi="Times New Roman" w:cs="Times New Roman"/>
        </w:rPr>
      </w:pPr>
      <w:r w:rsidRPr="005D0BF1">
        <w:rPr>
          <w:rFonts w:ascii="Times New Roman" w:hAnsi="Times New Roman" w:cs="Times New Roman"/>
        </w:rPr>
        <w:t>Calcium oxide possesses the highest coefficient of variation (79.44%), confirming that CaO is the most mobile oxide during tropical weathering. The progressive depletion of calcium results from prolonged chemical leaching under humid climatic conditions. Consequently, CaO provides an excellent indicator of weathering intensity and residual soil maturity.</w:t>
      </w:r>
      <w:r w:rsidR="002457F6">
        <w:rPr>
          <w:rFonts w:ascii="Times New Roman" w:hAnsi="Times New Roman" w:cs="Times New Roman"/>
        </w:rPr>
        <w:t xml:space="preserve"> </w:t>
      </w:r>
      <w:r w:rsidRPr="005D0BF1">
        <w:rPr>
          <w:rFonts w:ascii="Times New Roman" w:hAnsi="Times New Roman" w:cs="Times New Roman"/>
        </w:rPr>
        <w:t>Potassium oxide exhibits moderate variability with a coefficient of variation of 23.15%, reflecting partial preservation of potassium feldspar within relatively fresh weathering profiles. Sodium oxide also shows considerable variability due to its rapid removal during hydrolysis of plagioclase feldspars.</w:t>
      </w:r>
      <w:r w:rsidR="002457F6">
        <w:rPr>
          <w:rFonts w:ascii="Times New Roman" w:hAnsi="Times New Roman" w:cs="Times New Roman"/>
        </w:rPr>
        <w:t xml:space="preserve"> </w:t>
      </w:r>
      <w:r w:rsidRPr="005D0BF1">
        <w:rPr>
          <w:rFonts w:ascii="Times New Roman" w:hAnsi="Times New Roman" w:cs="Times New Roman"/>
        </w:rPr>
        <w:t>Overall, the statistical analysis demonstrates that the chemical composition of the subgrade soils is primarily controlled by differential weathering rather than random geochemical variation. The observed spatial differences explain the inconsistent engineering behaviour of the highway and justify the need for site-specific geochemical characterization before pavement construction.</w:t>
      </w:r>
    </w:p>
    <w:p w14:paraId="5B059D5C"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4.6 Geochemical Implications for Pavement Performance</w:t>
      </w:r>
    </w:p>
    <w:p w14:paraId="3BE0F5FF" w14:textId="73A15EE9" w:rsidR="005D0BF1" w:rsidRPr="005D0BF1" w:rsidRDefault="005D0BF1" w:rsidP="002457F6">
      <w:pPr>
        <w:jc w:val="both"/>
        <w:rPr>
          <w:rFonts w:ascii="Times New Roman" w:hAnsi="Times New Roman" w:cs="Times New Roman"/>
        </w:rPr>
      </w:pPr>
      <w:r w:rsidRPr="005D0BF1">
        <w:rPr>
          <w:rFonts w:ascii="Times New Roman" w:hAnsi="Times New Roman" w:cs="Times New Roman"/>
        </w:rPr>
        <w:t>The geochemical composition of lateritic soils exerts a direct influence on pavement performance through its control of mineral stability, particle bonding, weathering intensity, and moisture sensitivity. The results of this study demonstrate that the engineering behaviour of the Emure–Oba Highway cannot be adequately explained by conventional geotechnical parameters alone.</w:t>
      </w:r>
      <w:r w:rsidR="002457F6">
        <w:rPr>
          <w:rFonts w:ascii="Times New Roman" w:hAnsi="Times New Roman" w:cs="Times New Roman"/>
        </w:rPr>
        <w:t xml:space="preserve"> </w:t>
      </w:r>
      <w:r w:rsidRPr="005D0BF1">
        <w:rPr>
          <w:rFonts w:ascii="Times New Roman" w:hAnsi="Times New Roman" w:cs="Times New Roman"/>
        </w:rPr>
        <w:t>The relatively high silica content observed in stable sections promotes better engineering behaviour because quartz particles possess high compressive strength, excellent abrasion resistance, and minimal volume change during seasonal moisture fluctuations. Consequently, silica-rich soils generally exhibit improved compaction characteristics and reduced susceptibility to deformation.</w:t>
      </w:r>
      <w:r w:rsidR="002457F6">
        <w:rPr>
          <w:rFonts w:ascii="Times New Roman" w:hAnsi="Times New Roman" w:cs="Times New Roman"/>
        </w:rPr>
        <w:t xml:space="preserve"> </w:t>
      </w:r>
      <w:r w:rsidRPr="005D0BF1">
        <w:rPr>
          <w:rFonts w:ascii="Times New Roman" w:hAnsi="Times New Roman" w:cs="Times New Roman"/>
        </w:rPr>
        <w:t>The enrichment of aluminium oxide indicates progressive feldspar weathering and the formation of secondary clay minerals. These clay minerals increase the plasticity of the soil matrix, reduce permeability, and promote water retention within the subgrade. Under repeated traffic loading, these conditions accelerate rutting, differential settlement, and fatigue cracking.</w:t>
      </w:r>
      <w:r w:rsidR="002457F6">
        <w:rPr>
          <w:rFonts w:ascii="Times New Roman" w:hAnsi="Times New Roman" w:cs="Times New Roman"/>
        </w:rPr>
        <w:t xml:space="preserve"> </w:t>
      </w:r>
      <w:r w:rsidRPr="005D0BF1">
        <w:rPr>
          <w:rFonts w:ascii="Times New Roman" w:hAnsi="Times New Roman" w:cs="Times New Roman"/>
        </w:rPr>
        <w:t>Iron oxide contributes positively to pavement performance through the development of ferruginous cementation. Lateritic soils containing moderate iron concentrations generally possess stronger interparticle bonding and improved shear resistance. However, prolonged saturation reduces the effectiveness of iron cementation because water weakens the bonding forces between soil particles. Consequently, iron-rich soils may still experience pavement failure where drainage conditions are poor.</w:t>
      </w:r>
    </w:p>
    <w:p w14:paraId="7439EABD" w14:textId="2239F6E5" w:rsidR="005D0BF1" w:rsidRPr="005D0BF1" w:rsidRDefault="005D0BF1" w:rsidP="002457F6">
      <w:pPr>
        <w:jc w:val="both"/>
        <w:rPr>
          <w:rFonts w:ascii="Times New Roman" w:hAnsi="Times New Roman" w:cs="Times New Roman"/>
        </w:rPr>
      </w:pPr>
      <w:r w:rsidRPr="005D0BF1">
        <w:rPr>
          <w:rFonts w:ascii="Times New Roman" w:hAnsi="Times New Roman" w:cs="Times New Roman"/>
        </w:rPr>
        <w:t>The depletion of calcium oxide throughout most of the study area confirms that extensive tropical weathering has removed chemically mobile elements from the weathering profile. This advanced weathering stage increases the proportion of residual clay minerals while simultaneously reducing the engineering competence of the subgrade.</w:t>
      </w:r>
      <w:r w:rsidR="002457F6">
        <w:rPr>
          <w:rFonts w:ascii="Times New Roman" w:hAnsi="Times New Roman" w:cs="Times New Roman"/>
        </w:rPr>
        <w:t xml:space="preserve"> </w:t>
      </w:r>
      <w:r w:rsidRPr="005D0BF1">
        <w:rPr>
          <w:rFonts w:ascii="Times New Roman" w:hAnsi="Times New Roman" w:cs="Times New Roman"/>
        </w:rPr>
        <w:t xml:space="preserve">The combined behaviour of these oxides demonstrates that geochemical characterization provides a reliable means of predicting pavement </w:t>
      </w:r>
      <w:r w:rsidRPr="005D0BF1">
        <w:rPr>
          <w:rFonts w:ascii="Times New Roman" w:hAnsi="Times New Roman" w:cs="Times New Roman"/>
        </w:rPr>
        <w:lastRenderedPageBreak/>
        <w:t>performance. Consequently, XRF analysis should become an integral component of engineering geological investigations for major highway projects constructed on tropical lateritic soils.</w:t>
      </w:r>
    </w:p>
    <w:p w14:paraId="352FCD1B" w14:textId="77777777" w:rsidR="005D0BF1" w:rsidRPr="002457F6" w:rsidRDefault="005D0BF1" w:rsidP="005D0BF1">
      <w:pPr>
        <w:rPr>
          <w:rFonts w:ascii="Times New Roman" w:hAnsi="Times New Roman" w:cs="Times New Roman"/>
          <w:b/>
          <w:bCs/>
        </w:rPr>
      </w:pPr>
      <w:r w:rsidRPr="002457F6">
        <w:rPr>
          <w:rFonts w:ascii="Times New Roman" w:hAnsi="Times New Roman" w:cs="Times New Roman"/>
          <w:b/>
          <w:bCs/>
        </w:rPr>
        <w:t>5. Conclusions</w:t>
      </w:r>
    </w:p>
    <w:p w14:paraId="2F621880" w14:textId="3F44D44B" w:rsidR="002457F6" w:rsidRDefault="005D0BF1" w:rsidP="005D0BF1">
      <w:pPr>
        <w:jc w:val="both"/>
        <w:rPr>
          <w:rFonts w:ascii="Times New Roman" w:hAnsi="Times New Roman" w:cs="Times New Roman"/>
        </w:rPr>
      </w:pPr>
      <w:r w:rsidRPr="005D0BF1">
        <w:rPr>
          <w:rFonts w:ascii="Times New Roman" w:hAnsi="Times New Roman" w:cs="Times New Roman"/>
        </w:rPr>
        <w:t>This study demonstrates that the engineering behaviour of the Emure–Oba Highway subgrade is fundamentally controlled by the geochemical composition of the lateritic soils developed over the Precambrian Basement Complex. The dominant major oxides are silicon dioxide, aluminium oxide, and iron oxide, which together account for the majority of the soil composition and reflect the intensity of tropical weathering.</w:t>
      </w:r>
      <w:r w:rsidR="002457F6">
        <w:rPr>
          <w:rFonts w:ascii="Times New Roman" w:hAnsi="Times New Roman" w:cs="Times New Roman"/>
        </w:rPr>
        <w:t xml:space="preserve"> </w:t>
      </w:r>
      <w:r w:rsidRPr="005D0BF1">
        <w:rPr>
          <w:rFonts w:ascii="Times New Roman" w:hAnsi="Times New Roman" w:cs="Times New Roman"/>
        </w:rPr>
        <w:t>Silicon dioxide constitutes the most abundant oxide, varying from 41.51% to 53.37%, and provides the principal framework for soil strength and mechanical stability through its association with resistant quartz minerals. Aluminium oxide ranges between 19.69% and 25.95% and reflects the progressive transformation of feldspars into clay minerals, thereby increasing plasticity and moisture sensitivity. Iron oxide varies from 11.39% to 24.20%, indicating differing degrees of lateritisation and residual enrichment. Moderate iron enrichment contributes to particle cementation, although excessive moisture reduces its engineering effectiveness.</w:t>
      </w:r>
      <w:r w:rsidR="002457F6">
        <w:rPr>
          <w:rFonts w:ascii="Times New Roman" w:hAnsi="Times New Roman" w:cs="Times New Roman"/>
        </w:rPr>
        <w:t xml:space="preserve"> </w:t>
      </w:r>
      <w:r w:rsidRPr="005D0BF1">
        <w:rPr>
          <w:rFonts w:ascii="Times New Roman" w:hAnsi="Times New Roman" w:cs="Times New Roman"/>
        </w:rPr>
        <w:t>The statistical analysis demonstrates that silicon dioxide exhibits relatively low variability, whereas calcium oxide and sodium oxide display high coefficients of variation due to advanced tropical leaching. These variations indicate that the subgrade soils have experienced different degrees of chemical weathering despite originating from similar Basement Complex parent rocks.</w:t>
      </w:r>
      <w:r w:rsidR="002457F6">
        <w:rPr>
          <w:rFonts w:ascii="Times New Roman" w:hAnsi="Times New Roman" w:cs="Times New Roman"/>
        </w:rPr>
        <w:t xml:space="preserve"> </w:t>
      </w:r>
      <w:r w:rsidRPr="005D0BF1">
        <w:rPr>
          <w:rFonts w:ascii="Times New Roman" w:hAnsi="Times New Roman" w:cs="Times New Roman"/>
        </w:rPr>
        <w:t>The inverse relationship between SiO₂ and Fe₂O₃ reflects progressive chemical differentiation during lateritisation, while the negative relationship between Al₂O₃ and CaO provides a reliable indicator of weathering intensity and clay mineral development. These geochemical relationships explain the observed differences in pavement performance along the highway.</w:t>
      </w:r>
      <w:r w:rsidR="002457F6">
        <w:rPr>
          <w:rFonts w:ascii="Times New Roman" w:hAnsi="Times New Roman" w:cs="Times New Roman"/>
        </w:rPr>
        <w:t xml:space="preserve"> </w:t>
      </w:r>
    </w:p>
    <w:p w14:paraId="78E66140" w14:textId="4DEA44E6" w:rsidR="005D0BF1" w:rsidRPr="005D0BF1" w:rsidRDefault="005D0BF1" w:rsidP="005D0BF1">
      <w:pPr>
        <w:jc w:val="both"/>
        <w:rPr>
          <w:rFonts w:ascii="Times New Roman" w:hAnsi="Times New Roman" w:cs="Times New Roman"/>
        </w:rPr>
      </w:pPr>
      <w:r w:rsidRPr="005D0BF1">
        <w:rPr>
          <w:rFonts w:ascii="Times New Roman" w:hAnsi="Times New Roman" w:cs="Times New Roman"/>
        </w:rPr>
        <w:t>The study establishes that major oxide composition provides valuable engineering geological information beyond that obtained from conventional geotechnical testing. Geochemical investigation should therefore form an essential component of highway site investigations because it permits early identification of chemically unstable subgrade materials, improves pavement design, and supports the selection of appropriate stabilization techniques for sustainable highway construction.</w:t>
      </w:r>
    </w:p>
    <w:p w14:paraId="2D9B3F22" w14:textId="77777777" w:rsidR="005D0BF1" w:rsidRPr="002457F6" w:rsidRDefault="005D0BF1" w:rsidP="005D0BF1">
      <w:pPr>
        <w:rPr>
          <w:rFonts w:ascii="Times New Roman" w:hAnsi="Times New Roman" w:cs="Times New Roman"/>
          <w:b/>
          <w:bCs/>
        </w:rPr>
      </w:pPr>
      <w:r w:rsidRPr="002457F6">
        <w:rPr>
          <w:rFonts w:ascii="Times New Roman" w:hAnsi="Times New Roman" w:cs="Times New Roman"/>
          <w:b/>
          <w:bCs/>
        </w:rPr>
        <w:t>References</w:t>
      </w:r>
    </w:p>
    <w:p w14:paraId="37D1B5F2" w14:textId="77777777" w:rsidR="005D0BF1" w:rsidRPr="005D0BF1" w:rsidRDefault="005D0BF1" w:rsidP="007E2B73">
      <w:pPr>
        <w:jc w:val="both"/>
        <w:rPr>
          <w:rFonts w:ascii="Times New Roman" w:hAnsi="Times New Roman" w:cs="Times New Roman"/>
        </w:rPr>
      </w:pPr>
      <w:r w:rsidRPr="005D0BF1">
        <w:rPr>
          <w:rFonts w:ascii="Times New Roman" w:hAnsi="Times New Roman" w:cs="Times New Roman"/>
        </w:rPr>
        <w:t xml:space="preserve">Ademila, O. (2018). Engineering geological evaluation of residual lateritic soils for road construction in southwestern Nigeria. </w:t>
      </w:r>
      <w:r w:rsidRPr="005D0BF1">
        <w:rPr>
          <w:rFonts w:ascii="Times New Roman" w:hAnsi="Times New Roman" w:cs="Times New Roman"/>
          <w:i/>
          <w:iCs/>
        </w:rPr>
        <w:t>Environmental Earth Sciences</w:t>
      </w:r>
      <w:r w:rsidRPr="005D0BF1">
        <w:rPr>
          <w:rFonts w:ascii="Times New Roman" w:hAnsi="Times New Roman" w:cs="Times New Roman"/>
        </w:rPr>
        <w:t>, 77(18), 646.</w:t>
      </w:r>
    </w:p>
    <w:p w14:paraId="033DE068" w14:textId="77777777" w:rsidR="005D0BF1" w:rsidRPr="005D0BF1" w:rsidRDefault="005D0BF1" w:rsidP="007E2B73">
      <w:pPr>
        <w:jc w:val="both"/>
        <w:rPr>
          <w:rFonts w:ascii="Times New Roman" w:hAnsi="Times New Roman" w:cs="Times New Roman"/>
        </w:rPr>
      </w:pPr>
      <w:r w:rsidRPr="005D0BF1">
        <w:rPr>
          <w:rFonts w:ascii="Times New Roman" w:hAnsi="Times New Roman" w:cs="Times New Roman"/>
        </w:rPr>
        <w:t xml:space="preserve">Adekunle, T. A., Olatunji, A. S., &amp; Adebayo, O. O. (2024). Geochemical characterization of lateritic soils for pavement applications in tropical environments. </w:t>
      </w:r>
      <w:r w:rsidRPr="005D0BF1">
        <w:rPr>
          <w:rFonts w:ascii="Times New Roman" w:hAnsi="Times New Roman" w:cs="Times New Roman"/>
          <w:i/>
          <w:iCs/>
        </w:rPr>
        <w:t>Bulletin of Engineering Geology and the Environment</w:t>
      </w:r>
      <w:r w:rsidRPr="005D0BF1">
        <w:rPr>
          <w:rFonts w:ascii="Times New Roman" w:hAnsi="Times New Roman" w:cs="Times New Roman"/>
        </w:rPr>
        <w:t>, 83, 112.</w:t>
      </w:r>
    </w:p>
    <w:p w14:paraId="77D6A0F0" w14:textId="77777777" w:rsidR="005D0BF1" w:rsidRPr="005D0BF1" w:rsidRDefault="005D0BF1" w:rsidP="007E2B73">
      <w:pPr>
        <w:jc w:val="both"/>
        <w:rPr>
          <w:rFonts w:ascii="Times New Roman" w:hAnsi="Times New Roman" w:cs="Times New Roman"/>
        </w:rPr>
      </w:pPr>
      <w:r w:rsidRPr="005D0BF1">
        <w:rPr>
          <w:rFonts w:ascii="Times New Roman" w:hAnsi="Times New Roman" w:cs="Times New Roman"/>
        </w:rPr>
        <w:t xml:space="preserve">AASHTO. (2020). </w:t>
      </w:r>
      <w:r w:rsidRPr="005D0BF1">
        <w:rPr>
          <w:rFonts w:ascii="Times New Roman" w:hAnsi="Times New Roman" w:cs="Times New Roman"/>
          <w:i/>
          <w:iCs/>
        </w:rPr>
        <w:t>Standard Specifications for Transportation Materials and Methods of Sampling and Testing</w:t>
      </w:r>
      <w:r w:rsidRPr="005D0BF1">
        <w:rPr>
          <w:rFonts w:ascii="Times New Roman" w:hAnsi="Times New Roman" w:cs="Times New Roman"/>
        </w:rPr>
        <w:t>. Washington, DC.</w:t>
      </w:r>
    </w:p>
    <w:p w14:paraId="7FE90901" w14:textId="77777777" w:rsidR="005D0BF1" w:rsidRPr="005D0BF1" w:rsidRDefault="005D0BF1" w:rsidP="007E2B73">
      <w:pPr>
        <w:jc w:val="both"/>
        <w:rPr>
          <w:rFonts w:ascii="Times New Roman" w:hAnsi="Times New Roman" w:cs="Times New Roman"/>
        </w:rPr>
      </w:pPr>
      <w:r w:rsidRPr="005D0BF1">
        <w:rPr>
          <w:rFonts w:ascii="Times New Roman" w:hAnsi="Times New Roman" w:cs="Times New Roman"/>
        </w:rPr>
        <w:lastRenderedPageBreak/>
        <w:t xml:space="preserve">ASTM International. (2022). </w:t>
      </w:r>
      <w:r w:rsidRPr="005D0BF1">
        <w:rPr>
          <w:rFonts w:ascii="Times New Roman" w:hAnsi="Times New Roman" w:cs="Times New Roman"/>
          <w:i/>
          <w:iCs/>
        </w:rPr>
        <w:t>Annual Book of ASTM Standards: Soil and Rock (Volumes 04.08 and 04.09).</w:t>
      </w:r>
      <w:r w:rsidRPr="005D0BF1">
        <w:rPr>
          <w:rFonts w:ascii="Times New Roman" w:hAnsi="Times New Roman" w:cs="Times New Roman"/>
        </w:rPr>
        <w:t xml:space="preserve"> West Conshohocken, Pennsylvania.</w:t>
      </w:r>
    </w:p>
    <w:p w14:paraId="2A0B58D6" w14:textId="70F19332" w:rsidR="005D0BF1" w:rsidRPr="005D0BF1" w:rsidRDefault="005D0BF1" w:rsidP="005D0BF1">
      <w:pPr>
        <w:rPr>
          <w:rFonts w:ascii="Times New Roman" w:hAnsi="Times New Roman" w:cs="Times New Roman"/>
        </w:rPr>
      </w:pPr>
      <w:r w:rsidRPr="000F44CD">
        <w:rPr>
          <w:rFonts w:ascii="Times New Roman" w:hAnsi="Times New Roman" w:cs="Times New Roman"/>
        </w:rPr>
        <w:t>Bowles</w:t>
      </w:r>
      <w:r w:rsidR="000F44CD" w:rsidRPr="000F44CD">
        <w:rPr>
          <w:rFonts w:ascii="Times New Roman" w:hAnsi="Times New Roman" w:cs="Times New Roman"/>
        </w:rPr>
        <w:t>, J. E.,</w:t>
      </w:r>
      <w:r w:rsidRPr="000F44CD">
        <w:rPr>
          <w:rFonts w:ascii="Times New Roman" w:hAnsi="Times New Roman" w:cs="Times New Roman"/>
        </w:rPr>
        <w:t xml:space="preserve"> (1992). </w:t>
      </w:r>
      <w:r w:rsidRPr="000F44CD">
        <w:rPr>
          <w:rFonts w:ascii="Times New Roman" w:hAnsi="Times New Roman" w:cs="Times New Roman"/>
          <w:i/>
          <w:iCs/>
        </w:rPr>
        <w:t>Engineering Properties of Soils and Their Measurement</w:t>
      </w:r>
      <w:r w:rsidR="000F44CD" w:rsidRPr="000F44CD">
        <w:rPr>
          <w:rFonts w:ascii="Times New Roman" w:hAnsi="Times New Roman" w:cs="Times New Roman"/>
        </w:rPr>
        <w:t xml:space="preserve">. </w:t>
      </w:r>
      <w:r w:rsidR="000F44CD" w:rsidRPr="000F44CD">
        <w:rPr>
          <w:rFonts w:ascii="Times New Roman" w:hAnsi="Times New Roman" w:cs="Times New Roman"/>
        </w:rPr>
        <w:t xml:space="preserve">McGraw-Hill. </w:t>
      </w:r>
      <w:r w:rsidRPr="000F44CD">
        <w:rPr>
          <w:rFonts w:ascii="Times New Roman" w:hAnsi="Times New Roman" w:cs="Times New Roman"/>
        </w:rPr>
        <w:t xml:space="preserve">(4th ed.). </w:t>
      </w:r>
      <w:r w:rsidR="000F44CD" w:rsidRPr="000F44CD">
        <w:rPr>
          <w:rFonts w:ascii="Times New Roman" w:hAnsi="Times New Roman" w:cs="Times New Roman"/>
        </w:rPr>
        <w:t>P68</w:t>
      </w:r>
    </w:p>
    <w:p w14:paraId="105BCBC2" w14:textId="2952B640" w:rsidR="005D0BF1" w:rsidRPr="005D0BF1" w:rsidRDefault="005D0BF1" w:rsidP="005D0BF1">
      <w:pPr>
        <w:rPr>
          <w:rFonts w:ascii="Times New Roman" w:hAnsi="Times New Roman" w:cs="Times New Roman"/>
        </w:rPr>
      </w:pPr>
      <w:r w:rsidRPr="000F44CD">
        <w:rPr>
          <w:rFonts w:ascii="Times New Roman" w:hAnsi="Times New Roman" w:cs="Times New Roman"/>
        </w:rPr>
        <w:t xml:space="preserve">Chen, F. H. (1988). </w:t>
      </w:r>
      <w:r w:rsidRPr="000F44CD">
        <w:rPr>
          <w:rFonts w:ascii="Times New Roman" w:hAnsi="Times New Roman" w:cs="Times New Roman"/>
          <w:i/>
          <w:iCs/>
        </w:rPr>
        <w:t>Foundations on Expansive Soils</w:t>
      </w:r>
      <w:r w:rsidRPr="000F44CD">
        <w:rPr>
          <w:rFonts w:ascii="Times New Roman" w:hAnsi="Times New Roman" w:cs="Times New Roman"/>
        </w:rPr>
        <w:t>. Elsevier</w:t>
      </w:r>
      <w:r w:rsidR="000F44CD">
        <w:rPr>
          <w:rFonts w:ascii="Times New Roman" w:hAnsi="Times New Roman" w:cs="Times New Roman"/>
        </w:rPr>
        <w:t xml:space="preserve"> science publication, 2</w:t>
      </w:r>
      <w:r w:rsidR="000F44CD" w:rsidRPr="000F44CD">
        <w:rPr>
          <w:rFonts w:ascii="Times New Roman" w:hAnsi="Times New Roman" w:cs="Times New Roman"/>
          <w:vertAlign w:val="superscript"/>
        </w:rPr>
        <w:t>nd</w:t>
      </w:r>
      <w:r w:rsidR="000F44CD">
        <w:rPr>
          <w:rFonts w:ascii="Times New Roman" w:hAnsi="Times New Roman" w:cs="Times New Roman"/>
        </w:rPr>
        <w:t xml:space="preserve"> Edition.</w:t>
      </w:r>
      <w:r w:rsidR="000F44CD" w:rsidRPr="000F44CD">
        <w:rPr>
          <w:rFonts w:ascii="Times New Roman" w:hAnsi="Times New Roman" w:cs="Times New Roman"/>
        </w:rPr>
        <w:t xml:space="preserve"> </w:t>
      </w:r>
      <w:r w:rsidR="000F44CD">
        <w:rPr>
          <w:rFonts w:ascii="Times New Roman" w:hAnsi="Times New Roman" w:cs="Times New Roman"/>
        </w:rPr>
        <w:t>p208</w:t>
      </w:r>
    </w:p>
    <w:p w14:paraId="2CA485EE" w14:textId="16E003FF" w:rsidR="005D0BF1" w:rsidRPr="005D0BF1" w:rsidRDefault="005D0BF1" w:rsidP="005D0BF1">
      <w:pPr>
        <w:rPr>
          <w:rFonts w:ascii="Times New Roman" w:hAnsi="Times New Roman" w:cs="Times New Roman"/>
        </w:rPr>
      </w:pPr>
      <w:r w:rsidRPr="005D0BF1">
        <w:rPr>
          <w:rFonts w:ascii="Times New Roman" w:hAnsi="Times New Roman" w:cs="Times New Roman"/>
        </w:rPr>
        <w:t xml:space="preserve">Das, B. M., &amp; Sobhan, K. (2018). </w:t>
      </w:r>
      <w:r w:rsidRPr="005D0BF1">
        <w:rPr>
          <w:rFonts w:ascii="Times New Roman" w:hAnsi="Times New Roman" w:cs="Times New Roman"/>
          <w:i/>
          <w:iCs/>
        </w:rPr>
        <w:t>Principles of Geotechnical Engineering</w:t>
      </w:r>
      <w:r w:rsidRPr="005D0BF1">
        <w:rPr>
          <w:rFonts w:ascii="Times New Roman" w:hAnsi="Times New Roman" w:cs="Times New Roman"/>
        </w:rPr>
        <w:t xml:space="preserve"> (9th ed.). Cengage Learning.</w:t>
      </w:r>
      <w:r w:rsidR="000F44CD">
        <w:rPr>
          <w:rFonts w:ascii="Times New Roman" w:hAnsi="Times New Roman" w:cs="Times New Roman"/>
        </w:rPr>
        <w:t xml:space="preserve"> </w:t>
      </w:r>
    </w:p>
    <w:p w14:paraId="3EB2B4A2" w14:textId="77777777" w:rsidR="005D0BF1" w:rsidRPr="005D0BF1" w:rsidRDefault="005D0BF1" w:rsidP="005D0BF1">
      <w:pPr>
        <w:rPr>
          <w:rFonts w:ascii="Times New Roman" w:hAnsi="Times New Roman" w:cs="Times New Roman"/>
        </w:rPr>
      </w:pPr>
      <w:r w:rsidRPr="005D0BF1">
        <w:rPr>
          <w:rFonts w:ascii="Times New Roman" w:hAnsi="Times New Roman" w:cs="Times New Roman"/>
        </w:rPr>
        <w:t xml:space="preserve">Mitchell, J. K., &amp; Soga, K. (2005). </w:t>
      </w:r>
      <w:r w:rsidRPr="005D0BF1">
        <w:rPr>
          <w:rFonts w:ascii="Times New Roman" w:hAnsi="Times New Roman" w:cs="Times New Roman"/>
          <w:i/>
          <w:iCs/>
        </w:rPr>
        <w:t>Fundamentals of Soil Behavior</w:t>
      </w:r>
      <w:r w:rsidRPr="005D0BF1">
        <w:rPr>
          <w:rFonts w:ascii="Times New Roman" w:hAnsi="Times New Roman" w:cs="Times New Roman"/>
        </w:rPr>
        <w:t xml:space="preserve"> (3rd ed.). John Wiley &amp; Sons.</w:t>
      </w:r>
    </w:p>
    <w:p w14:paraId="68C87507" w14:textId="25D749ED" w:rsidR="005D0BF1" w:rsidRPr="005D0BF1" w:rsidRDefault="005D0BF1" w:rsidP="005D0BF1">
      <w:pPr>
        <w:rPr>
          <w:rFonts w:ascii="Times New Roman" w:hAnsi="Times New Roman" w:cs="Times New Roman"/>
        </w:rPr>
      </w:pPr>
      <w:r w:rsidRPr="000F44CD">
        <w:rPr>
          <w:rFonts w:ascii="Times New Roman" w:hAnsi="Times New Roman" w:cs="Times New Roman"/>
        </w:rPr>
        <w:t xml:space="preserve">Obaje, N. G. (2009). </w:t>
      </w:r>
      <w:r w:rsidRPr="000F44CD">
        <w:rPr>
          <w:rFonts w:ascii="Times New Roman" w:hAnsi="Times New Roman" w:cs="Times New Roman"/>
          <w:i/>
          <w:iCs/>
        </w:rPr>
        <w:t>Geology and Mineral Resources of Nigeria</w:t>
      </w:r>
      <w:r w:rsidR="00AF440E" w:rsidRPr="000F44CD">
        <w:rPr>
          <w:rFonts w:ascii="Times New Roman" w:hAnsi="Times New Roman" w:cs="Times New Roman"/>
          <w:i/>
          <w:iCs/>
        </w:rPr>
        <w:t xml:space="preserve"> lecture notes</w:t>
      </w:r>
      <w:r w:rsidRPr="000F44CD">
        <w:rPr>
          <w:rFonts w:ascii="Times New Roman" w:hAnsi="Times New Roman" w:cs="Times New Roman"/>
        </w:rPr>
        <w:t>. Springer</w:t>
      </w:r>
      <w:r w:rsidR="00AF440E" w:rsidRPr="000F44CD">
        <w:rPr>
          <w:rFonts w:ascii="Times New Roman" w:hAnsi="Times New Roman" w:cs="Times New Roman"/>
        </w:rPr>
        <w:t>-Verlag</w:t>
      </w:r>
      <w:r w:rsidRPr="000F44CD">
        <w:rPr>
          <w:rFonts w:ascii="Times New Roman" w:hAnsi="Times New Roman" w:cs="Times New Roman"/>
        </w:rPr>
        <w:t>.</w:t>
      </w:r>
      <w:r w:rsidR="00AF440E" w:rsidRPr="000F44CD">
        <w:rPr>
          <w:rFonts w:ascii="Times New Roman" w:hAnsi="Times New Roman" w:cs="Times New Roman"/>
        </w:rPr>
        <w:t xml:space="preserve"> Vol. 20.</w:t>
      </w:r>
      <w:r w:rsidR="000F44CD" w:rsidRPr="000F44CD">
        <w:t xml:space="preserve"> </w:t>
      </w:r>
      <w:r w:rsidR="000F44CD" w:rsidRPr="000F44CD">
        <w:rPr>
          <w:rFonts w:ascii="Times New Roman" w:hAnsi="Times New Roman" w:cs="Times New Roman"/>
        </w:rPr>
        <w:t>https://doi.org/10.1007/978-3-540-92685-6</w:t>
      </w:r>
    </w:p>
    <w:p w14:paraId="6D3E8700" w14:textId="77777777" w:rsidR="005D0BF1" w:rsidRPr="005D0BF1" w:rsidRDefault="005D0BF1" w:rsidP="007E2B73">
      <w:pPr>
        <w:jc w:val="both"/>
        <w:rPr>
          <w:rFonts w:ascii="Times New Roman" w:hAnsi="Times New Roman" w:cs="Times New Roman"/>
        </w:rPr>
      </w:pPr>
      <w:r w:rsidRPr="005D0BF1">
        <w:rPr>
          <w:rFonts w:ascii="Times New Roman" w:hAnsi="Times New Roman" w:cs="Times New Roman"/>
        </w:rPr>
        <w:t xml:space="preserve">Olabode, O. A., Adebayo, O. O., &amp; Olatunji, A. S. (2021). Mineralogical and geochemical controls on the engineering properties of lateritic soils in southwestern Nigeria. </w:t>
      </w:r>
      <w:r w:rsidRPr="005D0BF1">
        <w:rPr>
          <w:rFonts w:ascii="Times New Roman" w:hAnsi="Times New Roman" w:cs="Times New Roman"/>
          <w:i/>
          <w:iCs/>
        </w:rPr>
        <w:t>Engineering Geology</w:t>
      </w:r>
      <w:r w:rsidRPr="005D0BF1">
        <w:rPr>
          <w:rFonts w:ascii="Times New Roman" w:hAnsi="Times New Roman" w:cs="Times New Roman"/>
        </w:rPr>
        <w:t>, 287, 106097.</w:t>
      </w:r>
    </w:p>
    <w:p w14:paraId="12CDF5B3" w14:textId="77777777" w:rsidR="005D0BF1" w:rsidRPr="005D0BF1" w:rsidRDefault="005D0BF1" w:rsidP="007E2B73">
      <w:pPr>
        <w:jc w:val="both"/>
        <w:rPr>
          <w:rFonts w:ascii="Times New Roman" w:hAnsi="Times New Roman" w:cs="Times New Roman"/>
        </w:rPr>
      </w:pPr>
      <w:r w:rsidRPr="005D0BF1">
        <w:rPr>
          <w:rFonts w:ascii="Times New Roman" w:hAnsi="Times New Roman" w:cs="Times New Roman"/>
        </w:rPr>
        <w:t xml:space="preserve">Olorunfemi, M. O., &amp; Fasuyi, S. A. (2020). Structural and lithological controls on highway pavement failure in crystalline basement terrains of southwestern Nigeria. </w:t>
      </w:r>
      <w:r w:rsidRPr="005D0BF1">
        <w:rPr>
          <w:rFonts w:ascii="Times New Roman" w:hAnsi="Times New Roman" w:cs="Times New Roman"/>
          <w:i/>
          <w:iCs/>
        </w:rPr>
        <w:t>Journal of African Earth Sciences</w:t>
      </w:r>
      <w:r w:rsidRPr="005D0BF1">
        <w:rPr>
          <w:rFonts w:ascii="Times New Roman" w:hAnsi="Times New Roman" w:cs="Times New Roman"/>
        </w:rPr>
        <w:t>, 168, 103883.</w:t>
      </w:r>
    </w:p>
    <w:p w14:paraId="0257A0AF" w14:textId="2959265D" w:rsidR="005D0BF1" w:rsidRPr="005D0BF1" w:rsidRDefault="005D0BF1" w:rsidP="007E2B73">
      <w:pPr>
        <w:jc w:val="both"/>
        <w:rPr>
          <w:rFonts w:ascii="Times New Roman" w:hAnsi="Times New Roman" w:cs="Times New Roman"/>
        </w:rPr>
      </w:pPr>
      <w:r w:rsidRPr="00F318DE">
        <w:rPr>
          <w:rFonts w:ascii="Times New Roman" w:hAnsi="Times New Roman" w:cs="Times New Roman"/>
        </w:rPr>
        <w:t xml:space="preserve">Rahaman, M. A. (1988). </w:t>
      </w:r>
      <w:r w:rsidRPr="00F318DE">
        <w:rPr>
          <w:rFonts w:ascii="Times New Roman" w:hAnsi="Times New Roman" w:cs="Times New Roman"/>
          <w:i/>
          <w:iCs/>
        </w:rPr>
        <w:t>Recent Advances in the Study of the Basement Complex of Nigeria</w:t>
      </w:r>
      <w:r w:rsidRPr="00F318DE">
        <w:rPr>
          <w:rFonts w:ascii="Times New Roman" w:hAnsi="Times New Roman" w:cs="Times New Roman"/>
        </w:rPr>
        <w:t>. In: Precambrian Geology of Nigeria. Geological Survey of Nigeria.</w:t>
      </w:r>
      <w:r w:rsidR="00F318DE">
        <w:rPr>
          <w:rFonts w:ascii="Times New Roman" w:hAnsi="Times New Roman" w:cs="Times New Roman"/>
        </w:rPr>
        <w:t xml:space="preserve"> Vol 6, No. 4. p11-43</w:t>
      </w:r>
    </w:p>
    <w:p w14:paraId="448F3D65" w14:textId="77777777" w:rsidR="00F176CD" w:rsidRPr="005D0BF1" w:rsidRDefault="00F176CD">
      <w:pPr>
        <w:rPr>
          <w:rFonts w:ascii="Times New Roman" w:hAnsi="Times New Roman" w:cs="Times New Roman"/>
        </w:rPr>
      </w:pPr>
    </w:p>
    <w:sectPr w:rsidR="00F176CD" w:rsidRPr="005D0B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F52CE"/>
    <w:multiLevelType w:val="multilevel"/>
    <w:tmpl w:val="D43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98319B"/>
    <w:multiLevelType w:val="multilevel"/>
    <w:tmpl w:val="7B38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8891652">
    <w:abstractNumId w:val="1"/>
  </w:num>
  <w:num w:numId="2" w16cid:durableId="2083789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BF1"/>
    <w:rsid w:val="000930CB"/>
    <w:rsid w:val="000E08A5"/>
    <w:rsid w:val="000F44CD"/>
    <w:rsid w:val="002457F6"/>
    <w:rsid w:val="003830DA"/>
    <w:rsid w:val="005A1599"/>
    <w:rsid w:val="005D0BF1"/>
    <w:rsid w:val="00660EDB"/>
    <w:rsid w:val="006A7BB6"/>
    <w:rsid w:val="00702C8B"/>
    <w:rsid w:val="00794483"/>
    <w:rsid w:val="007E2B73"/>
    <w:rsid w:val="007F3056"/>
    <w:rsid w:val="008751D3"/>
    <w:rsid w:val="008E136E"/>
    <w:rsid w:val="00912E4D"/>
    <w:rsid w:val="00961602"/>
    <w:rsid w:val="00AF440E"/>
    <w:rsid w:val="00BA5383"/>
    <w:rsid w:val="00C61E4E"/>
    <w:rsid w:val="00F176CD"/>
    <w:rsid w:val="00F31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BF3F5"/>
  <w15:chartTrackingRefBased/>
  <w15:docId w15:val="{2E263087-A1D3-4B3A-8427-2788D1C5F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0B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0B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0B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0B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0B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0B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0B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0B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0B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B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0B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0B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0B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0B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0B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0B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0B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0BF1"/>
    <w:rPr>
      <w:rFonts w:eastAsiaTheme="majorEastAsia" w:cstheme="majorBidi"/>
      <w:color w:val="272727" w:themeColor="text1" w:themeTint="D8"/>
    </w:rPr>
  </w:style>
  <w:style w:type="paragraph" w:styleId="Title">
    <w:name w:val="Title"/>
    <w:basedOn w:val="Normal"/>
    <w:next w:val="Normal"/>
    <w:link w:val="TitleChar"/>
    <w:uiPriority w:val="10"/>
    <w:qFormat/>
    <w:rsid w:val="005D0B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B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0B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0B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0BF1"/>
    <w:pPr>
      <w:spacing w:before="160"/>
      <w:jc w:val="center"/>
    </w:pPr>
    <w:rPr>
      <w:i/>
      <w:iCs/>
      <w:color w:val="404040" w:themeColor="text1" w:themeTint="BF"/>
    </w:rPr>
  </w:style>
  <w:style w:type="character" w:customStyle="1" w:styleId="QuoteChar">
    <w:name w:val="Quote Char"/>
    <w:basedOn w:val="DefaultParagraphFont"/>
    <w:link w:val="Quote"/>
    <w:uiPriority w:val="29"/>
    <w:rsid w:val="005D0BF1"/>
    <w:rPr>
      <w:i/>
      <w:iCs/>
      <w:color w:val="404040" w:themeColor="text1" w:themeTint="BF"/>
    </w:rPr>
  </w:style>
  <w:style w:type="paragraph" w:styleId="ListParagraph">
    <w:name w:val="List Paragraph"/>
    <w:basedOn w:val="Normal"/>
    <w:uiPriority w:val="34"/>
    <w:qFormat/>
    <w:rsid w:val="005D0BF1"/>
    <w:pPr>
      <w:ind w:left="720"/>
      <w:contextualSpacing/>
    </w:pPr>
  </w:style>
  <w:style w:type="character" w:styleId="IntenseEmphasis">
    <w:name w:val="Intense Emphasis"/>
    <w:basedOn w:val="DefaultParagraphFont"/>
    <w:uiPriority w:val="21"/>
    <w:qFormat/>
    <w:rsid w:val="005D0BF1"/>
    <w:rPr>
      <w:i/>
      <w:iCs/>
      <w:color w:val="2F5496" w:themeColor="accent1" w:themeShade="BF"/>
    </w:rPr>
  </w:style>
  <w:style w:type="paragraph" w:styleId="IntenseQuote">
    <w:name w:val="Intense Quote"/>
    <w:basedOn w:val="Normal"/>
    <w:next w:val="Normal"/>
    <w:link w:val="IntenseQuoteChar"/>
    <w:uiPriority w:val="30"/>
    <w:qFormat/>
    <w:rsid w:val="005D0B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0BF1"/>
    <w:rPr>
      <w:i/>
      <w:iCs/>
      <w:color w:val="2F5496" w:themeColor="accent1" w:themeShade="BF"/>
    </w:rPr>
  </w:style>
  <w:style w:type="character" w:styleId="IntenseReference">
    <w:name w:val="Intense Reference"/>
    <w:basedOn w:val="DefaultParagraphFont"/>
    <w:uiPriority w:val="32"/>
    <w:qFormat/>
    <w:rsid w:val="005D0BF1"/>
    <w:rPr>
      <w:b/>
      <w:bCs/>
      <w:smallCaps/>
      <w:color w:val="2F5496" w:themeColor="accent1" w:themeShade="BF"/>
      <w:spacing w:val="5"/>
    </w:rPr>
  </w:style>
  <w:style w:type="paragraph" w:styleId="NoSpacing">
    <w:name w:val="No Spacing"/>
    <w:uiPriority w:val="1"/>
    <w:qFormat/>
    <w:rsid w:val="005D0BF1"/>
    <w:pPr>
      <w:spacing w:after="0" w:line="240" w:lineRule="auto"/>
    </w:pPr>
    <w:rPr>
      <w:rFonts w:ascii="Calibri" w:eastAsia="Calibri" w:hAnsi="Calibri" w:cs="SimSun"/>
      <w:kern w:val="0"/>
      <w:sz w:val="22"/>
      <w:szCs w:val="22"/>
      <w14:ligatures w14:val="none"/>
    </w:rPr>
  </w:style>
  <w:style w:type="character" w:styleId="Hyperlink">
    <w:name w:val="Hyperlink"/>
    <w:basedOn w:val="DefaultParagraphFont"/>
    <w:uiPriority w:val="99"/>
    <w:rsid w:val="005D0BF1"/>
    <w:rPr>
      <w:color w:val="0563C1"/>
      <w:u w:val="single"/>
    </w:rPr>
  </w:style>
  <w:style w:type="table" w:styleId="PlainTable5">
    <w:name w:val="Plain Table 5"/>
    <w:basedOn w:val="TableNormal"/>
    <w:uiPriority w:val="45"/>
    <w:rsid w:val="005A15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wemesamuelng@gmaail.com" TargetMode="External"/><Relationship Id="rId11" Type="http://schemas.openxmlformats.org/officeDocument/2006/relationships/image" Target="media/image5.png"/><Relationship Id="rId5" Type="http://schemas.openxmlformats.org/officeDocument/2006/relationships/hyperlink" Target="mailto:soidowu@futa.edu.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13</Pages>
  <Words>4326</Words>
  <Characters>24663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Simeon IDOWU</dc:creator>
  <cp:keywords/>
  <dc:description/>
  <cp:lastModifiedBy>Simeon IDOWU</cp:lastModifiedBy>
  <cp:revision>10</cp:revision>
  <dcterms:created xsi:type="dcterms:W3CDTF">2026-07-03T20:27:00Z</dcterms:created>
  <dcterms:modified xsi:type="dcterms:W3CDTF">2026-07-04T03:47:00Z</dcterms:modified>
</cp:coreProperties>
</file>