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DD45" w14:textId="77777777" w:rsidR="00AD32C9" w:rsidRDefault="00B44888" w:rsidP="00F21AA7">
      <w:pPr>
        <w:spacing w:before="480" w:after="240" w:line="480" w:lineRule="auto"/>
        <w:jc w:val="center"/>
      </w:pPr>
      <w:r>
        <w:rPr>
          <w:b/>
          <w:bCs/>
          <w:sz w:val="28"/>
          <w:szCs w:val="28"/>
        </w:rPr>
        <w:t>A Modified Three-Term Hestenes–Stiefel Conjugate Gradient Method with Guaranteed Descent Property</w:t>
      </w:r>
    </w:p>
    <w:p w14:paraId="7389A8A8" w14:textId="77777777" w:rsidR="00AD32C9" w:rsidRDefault="00B44888" w:rsidP="00F21AA7">
      <w:pPr>
        <w:spacing w:after="80" w:line="480" w:lineRule="auto"/>
        <w:jc w:val="center"/>
      </w:pPr>
      <w:r>
        <w:t xml:space="preserve"/>
      </w:r>
      <w:proofErr w:type="gramStart"/>
      <w:r>
        <w:t/>
      </w:r>
      <w:r>
        <w:rPr>
          <w:b/>
          <w:bCs/>
        </w:rPr>
        <w:t xml:space="preserve"/>
      </w:r>
      <w:r>
        <w:t/>
      </w:r>
      <w:proofErr w:type="gram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</w:p>
    <w:p w14:paraId="00BA2791" w14:textId="3BC1DFAF" w:rsidR="00F21AA7" w:rsidRPr="00F21AA7" w:rsidRDefault="00F21AA7" w:rsidP="00F21AA7">
      <w:pPr>
        <w:spacing w:after="80" w:line="480" w:lineRule="auto"/>
        <w:jc w:val="center"/>
      </w:pPr>
      <w:r w:rsidRPr="00F21AA7">
        <w:t/>
      </w:r>
    </w:p>
    <w:p w14:paraId="008C9F26" w14:textId="3198FF14" w:rsidR="00F21AA7" w:rsidRPr="00F21AA7" w:rsidRDefault="00F21AA7" w:rsidP="00F21AA7">
      <w:pPr>
        <w:spacing w:after="80" w:line="480" w:lineRule="auto"/>
        <w:jc w:val="center"/>
      </w:pPr>
      <w:r w:rsidRPr="00F21AA7">
        <w:t/>
      </w:r>
    </w:p>
    <w:p w14:paraId="04254926" w14:textId="7099E769" w:rsidR="00F21AA7" w:rsidRPr="00F21AA7" w:rsidRDefault="00F21AA7" w:rsidP="00F21AA7">
      <w:pPr>
        <w:spacing w:after="80" w:line="480" w:lineRule="auto"/>
        <w:jc w:val="center"/>
        <w:rPr>
          <w:i/>
          <w:iCs/>
        </w:rPr>
      </w:pPr>
      <w:r w:rsidRPr="00F21AA7">
        <w:rPr>
          <w:i/>
          <w:iCs/>
        </w:rPr>
        <w:t/>
      </w:r>
    </w:p>
    <w:p w14:paraId="02DC6B86" w14:textId="2573E5F0" w:rsidR="00F21AA7" w:rsidRDefault="00F21AA7" w:rsidP="00F21AA7">
      <w:pPr>
        <w:spacing w:after="80" w:line="480" w:lineRule="auto"/>
        <w:jc w:val="center"/>
        <w:rPr>
          <w:i/>
          <w:iCs/>
        </w:rPr>
      </w:pPr>
      <w:r w:rsidRPr="00F21AA7">
        <w:rPr>
          <w:i/>
          <w:iCs/>
        </w:rPr>
        <w:t/>
      </w:r>
    </w:p>
    <w:p w14:paraId="03183A55" w14:textId="5B4F8B53" w:rsidR="00AD32C9" w:rsidRDefault="00B44888" w:rsidP="00F21AA7">
      <w:pPr>
        <w:spacing w:after="80" w:line="480" w:lineRule="auto"/>
        <w:jc w:val="center"/>
      </w:pPr>
      <w:r>
        <w:rPr>
          <w:i/>
          <w:iCs/>
        </w:rPr>
        <w:t/>
      </w:r>
    </w:p>
    <w:p w14:paraId="538287C0" w14:textId="77777777" w:rsidR="00AD32C9" w:rsidRDefault="00B44888">
      <w:pPr>
        <w:spacing w:after="360" w:line="480" w:lineRule="auto"/>
        <w:jc w:val="center"/>
      </w:pPr>
      <w:r>
        <w:rPr>
          <w:b/>
          <w:bCs/>
        </w:rPr>
        <w:t xml:space="preserve"/>
      </w:r>
      <w:r>
        <w:t/>
      </w:r>
    </w:p>
    <w:p w14:paraId="519EA56C" w14:textId="77777777" w:rsidR="00AD32C9" w:rsidRDefault="00B44888">
      <w:pPr>
        <w:pStyle w:val="Heading1"/>
        <w:spacing w:line="480" w:lineRule="auto"/>
      </w:pPr>
      <w:r>
        <w:t>Abstract</w:t>
      </w:r>
    </w:p>
    <w:p w14:paraId="4E3CF474" w14:textId="77777777" w:rsidR="00AD32C9" w:rsidRDefault="00B44888">
      <w:pPr>
        <w:spacing w:line="480" w:lineRule="auto"/>
        <w:jc w:val="both"/>
      </w:pPr>
      <w:r>
        <w:rPr>
          <w:b/>
          <w:bCs/>
        </w:rPr>
        <w:t xml:space="preserve"> </w:t>
      </w:r>
      <w:r>
        <w:t xml:space="preserve">Conjugate gradient (CG) methods are among the most widely used iterative algorithms for large-scale unconstrained </w:t>
      </w:r>
      <w:proofErr w:type="gramStart"/>
      <w:r>
        <w:t>optimization,</w:t>
      </w:r>
      <w:proofErr w:type="gramEnd"/>
      <w:r>
        <w:t xml:space="preserve"> the method is valued for </w:t>
      </w:r>
      <w:proofErr w:type="gramStart"/>
      <w:r>
        <w:t>its  simplicity</w:t>
      </w:r>
      <w:proofErr w:type="gramEnd"/>
      <w:r>
        <w:t xml:space="preserve"> and minimal memory requirements. A central challenge is ensuring guaranteed sufficient descent of the search direction independent of the line search procedure. This paper proposes a Modified Three-Term Hestenes–Stiefel (MTTHS) conjugate gradient method that enforces the sufficient descent condition exactly, without any line search restriction. The proposed direction incorporates a geometric correction term </w:t>
      </w:r>
      <w:proofErr w:type="spellStart"/>
      <w:r>
        <w:t>θₖy</w:t>
      </w:r>
      <w:proofErr w:type="spellEnd"/>
      <w:r>
        <w:t xml:space="preserve">ₖ into the standard three-term framework, where the scalar θₖ is derived analytically to satisfy gₖ₊₁ᵀdₖ₊₁ = −‖gₖ₊₁‖². Global convergence is established under the strong Wolfe line search conditions via the </w:t>
      </w:r>
      <w:proofErr w:type="spellStart"/>
      <w:r>
        <w:t>Zoutendijk</w:t>
      </w:r>
      <w:proofErr w:type="spellEnd"/>
      <w:r>
        <w:t xml:space="preserve"> </w:t>
      </w:r>
      <w:r>
        <w:lastRenderedPageBreak/>
        <w:t>convergence criterion.</w:t>
      </w:r>
      <w:r>
        <w:rPr>
          <w:b/>
          <w:bCs/>
        </w:rPr>
        <w:t xml:space="preserve"> </w:t>
      </w:r>
      <w:r>
        <w:t xml:space="preserve">Numerical experiments </w:t>
      </w:r>
      <w:proofErr w:type="gramStart"/>
      <w:r>
        <w:t>was</w:t>
      </w:r>
      <w:proofErr w:type="gramEnd"/>
      <w:r>
        <w:t xml:space="preserve"> based on 23 </w:t>
      </w:r>
      <w:proofErr w:type="gramStart"/>
      <w:r>
        <w:t>test  problems</w:t>
      </w:r>
      <w:proofErr w:type="gramEnd"/>
      <w:r>
        <w:t>, each solved at five different dimensions: n ∈ {100, 500, 1000, 5000, 10000}, yielding 115 total test cases. Results shows that MTTHS method is robust and efficient.</w:t>
      </w:r>
    </w:p>
    <w:p w14:paraId="137AE647" w14:textId="77777777" w:rsidR="00AD32C9" w:rsidRDefault="00B44888">
      <w:pPr>
        <w:spacing w:after="200" w:line="480" w:lineRule="auto"/>
        <w:jc w:val="both"/>
      </w:pPr>
      <w:r>
        <w:rPr>
          <w:b/>
          <w:bCs/>
        </w:rPr>
        <w:t xml:space="preserve">Keywords: </w:t>
      </w:r>
      <w:r>
        <w:t>conjugate gradient; Hestenes–Stiefel; three-term; sufficient descent; strong Wolfe line search; global convergence; large-scale optimization</w:t>
      </w:r>
    </w:p>
    <w:p w14:paraId="6CE0E6FD" w14:textId="77777777" w:rsidR="00AD32C9" w:rsidRDefault="00B44888">
      <w:pPr>
        <w:pStyle w:val="Heading1"/>
        <w:spacing w:line="480" w:lineRule="auto"/>
      </w:pPr>
      <w:r>
        <w:t>1. Introduction</w:t>
      </w:r>
    </w:p>
    <w:p w14:paraId="0B0A76C4" w14:textId="77777777" w:rsidR="00AD32C9" w:rsidRDefault="00B44888">
      <w:pPr>
        <w:spacing w:line="480" w:lineRule="auto"/>
        <w:jc w:val="both"/>
      </w:pPr>
      <w:r>
        <w:t>We consider the unconstrained optimization problem:</w:t>
      </w:r>
    </w:p>
    <w:p w14:paraId="2B7B049D" w14:textId="77777777" w:rsidR="00AD32C9" w:rsidRDefault="00B44888">
      <w:pPr>
        <w:tabs>
          <w:tab w:val="right" w:pos="8640"/>
        </w:tabs>
        <w:spacing w:before="120" w:after="120" w:line="480" w:lineRule="auto"/>
      </w:pPr>
      <m:oMath>
        <m:r>
          <w:rPr>
            <w:rFonts w:ascii="Cambria Math" w:hAnsi="Cambria Math"/>
          </w:rPr>
          <m:t>min{f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:x∈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}</m:t>
        </m:r>
      </m:oMath>
      <w:r>
        <w:tab/>
        <w:t>(1.1)</w:t>
      </w:r>
    </w:p>
    <w:p w14:paraId="296CB27C" w14:textId="77777777" w:rsidR="00AD32C9" w:rsidRDefault="00B44888">
      <w:pPr>
        <w:spacing w:line="480" w:lineRule="auto"/>
        <w:jc w:val="both"/>
      </w:pPr>
      <w:r>
        <w:t xml:space="preserve">where </w:t>
      </w:r>
      <w:proofErr w:type="gramStart"/>
      <w:r>
        <w:t>f :</w:t>
      </w:r>
      <w:proofErr w:type="gramEnd"/>
      <w:r>
        <w:t xml:space="preserve"> ℝⁿ → ℝ is continuously differentiable. Conjugate gradient (CG) methods generate iterates via the recursive </w:t>
      </w:r>
      <w:proofErr w:type="gramStart"/>
      <w:r>
        <w:t>formular  x</w:t>
      </w:r>
      <w:proofErr w:type="gramEnd"/>
      <w:r>
        <w:t>ₖ₊₁ = xₖ + αₖdₖ, where αₖ &gt; 0 is a step size determined by a line search and dₖ is the search direction defined recursively as:</w:t>
      </w:r>
    </w:p>
    <w:p w14:paraId="4A080268" w14:textId="77777777" w:rsidR="00AD32C9" w:rsidRDefault="00343A5C">
      <w:pPr>
        <w:tabs>
          <w:tab w:val="right" w:pos="8640"/>
        </w:tabs>
        <w:spacing w:before="120" w:after="120" w:line="48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, k≥0,</m:t>
        </m:r>
      </m:oMath>
      <w:r w:rsidR="00B44888">
        <w:tab/>
        <w:t>(1.2)</w:t>
      </w:r>
    </w:p>
    <w:p w14:paraId="305134F0" w14:textId="7B277847" w:rsidR="00AD32C9" w:rsidRDefault="00B44888">
      <w:pPr>
        <w:spacing w:line="480" w:lineRule="auto"/>
        <w:jc w:val="both"/>
      </w:pPr>
      <w:r>
        <w:t>with gₖ = ∇f(xₖ) and βₖ a scalar conjugate gradient parameter. Different choices of βₖ define classical CG methods, including the Fletcher–Reeves (FR) [</w:t>
      </w:r>
      <w:r w:rsidR="002F49D6">
        <w:t>3</w:t>
      </w:r>
      <w:r>
        <w:t>], Polak–</w:t>
      </w:r>
      <w:proofErr w:type="spellStart"/>
      <w:r>
        <w:t>Ribière</w:t>
      </w:r>
      <w:proofErr w:type="spellEnd"/>
      <w:r>
        <w:t>–Polyak (PRP) [</w:t>
      </w:r>
      <w:r w:rsidR="002F49D6">
        <w:t>8,9</w:t>
      </w:r>
      <w:r>
        <w:t>], and Hestenes–Stiefel (HS) [</w:t>
      </w:r>
      <w:r w:rsidR="002F49D6">
        <w:t>5</w:t>
      </w:r>
      <w:r>
        <w:t>]</w:t>
      </w:r>
      <w:r w:rsidR="00941AD5">
        <w:t xml:space="preserve">, </w:t>
      </w:r>
      <w:r w:rsidR="00941AD5" w:rsidRPr="00941AD5">
        <w:t>Dai and Liao</w:t>
      </w:r>
      <w:r w:rsidR="00941AD5">
        <w:t xml:space="preserve"> [ </w:t>
      </w:r>
      <w:r w:rsidR="006B3B0F">
        <w:t>5</w:t>
      </w:r>
      <w:r w:rsidR="00941AD5">
        <w:t xml:space="preserve">], </w:t>
      </w:r>
      <w:r w:rsidR="00941AD5" w:rsidRPr="00941AD5">
        <w:t xml:space="preserve">Dai and Yuan </w:t>
      </w:r>
      <w:r w:rsidR="00941AD5">
        <w:t xml:space="preserve">[ </w:t>
      </w:r>
      <w:proofErr w:type="gramStart"/>
      <w:r w:rsidR="006B3B0F">
        <w:t>6</w:t>
      </w:r>
      <w:r w:rsidR="00941AD5">
        <w:t xml:space="preserve"> ]</w:t>
      </w:r>
      <w:proofErr w:type="gramEnd"/>
      <w:r w:rsidR="00941AD5">
        <w:t xml:space="preserve"> , </w:t>
      </w:r>
      <w:r w:rsidR="00941AD5" w:rsidRPr="00941AD5">
        <w:t xml:space="preserve">Liu and </w:t>
      </w:r>
      <w:proofErr w:type="spellStart"/>
      <w:r w:rsidR="00941AD5" w:rsidRPr="00941AD5">
        <w:t>Storey</w:t>
      </w:r>
      <w:proofErr w:type="spellEnd"/>
      <w:r w:rsidR="00941AD5">
        <w:t xml:space="preserve"> [ </w:t>
      </w:r>
      <w:proofErr w:type="gramStart"/>
      <w:r w:rsidR="006B3B0F">
        <w:t>7</w:t>
      </w:r>
      <w:r w:rsidR="00941AD5">
        <w:t xml:space="preserve"> ]</w:t>
      </w:r>
      <w:proofErr w:type="gramEnd"/>
      <w:r w:rsidR="00941AD5">
        <w:t xml:space="preserve"> </w:t>
      </w:r>
      <w:r>
        <w:t xml:space="preserve"> formulas:</w:t>
      </w:r>
    </w:p>
    <w:p w14:paraId="1247C021" w14:textId="579BFBE7" w:rsidR="00BD71A1" w:rsidRPr="00BD71A1" w:rsidRDefault="00343A5C">
      <w:pPr>
        <w:spacing w:before="120" w:after="120" w:line="480" w:lineRule="auto"/>
        <w:jc w:val="center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FR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k+1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k+1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 ,               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DL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k+1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-t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 </m:t>
          </m:r>
        </m:oMath>
      </m:oMathPara>
    </w:p>
    <w:p w14:paraId="3F86299D" w14:textId="424D433F" w:rsidR="00BD71A1" w:rsidRPr="00BD71A1" w:rsidRDefault="00343A5C">
      <w:pPr>
        <w:spacing w:before="120" w:after="120" w:line="480" w:lineRule="auto"/>
        <w:jc w:val="center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PRP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k+1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/∥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∥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DY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k+1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k+1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                             </m:t>
          </m:r>
        </m:oMath>
      </m:oMathPara>
    </w:p>
    <w:p w14:paraId="366896E8" w14:textId="505F2488" w:rsidR="00AD32C9" w:rsidRDefault="00B44888">
      <w:pPr>
        <w:spacing w:before="120" w:after="120" w:line="480" w:lineRule="auto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 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HS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k+1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/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                       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LS</m:t>
              </m:r>
            </m:sup>
          </m:sSub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k+1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                                         </m:t>
          </m:r>
        </m:oMath>
      </m:oMathPara>
    </w:p>
    <w:p w14:paraId="563277F9" w14:textId="11E88E56" w:rsidR="007B42DC" w:rsidRPr="007B42DC" w:rsidRDefault="00B44888" w:rsidP="007B42DC">
      <w:pPr>
        <w:spacing w:line="480" w:lineRule="auto"/>
        <w:jc w:val="both"/>
      </w:pPr>
      <w:r>
        <w:t>where</w:t>
      </w:r>
      <w:r w:rsidR="00B70F18">
        <w:t xml:space="preserve"> </w:t>
      </w:r>
      <m:oMath>
        <m:r>
          <w:rPr>
            <w:rFonts w:ascii="Cambria Math" w:hAnsi="Cambria Math"/>
          </w:rPr>
          <m:t xml:space="preserve">||∙|| </m:t>
        </m:r>
      </m:oMath>
      <w:r>
        <w:t xml:space="preserve"> </w:t>
      </w:r>
      <w:proofErr w:type="gramStart"/>
      <w:r w:rsidR="00B70F18">
        <w:t xml:space="preserve">is </w:t>
      </w:r>
      <w:r w:rsidR="00B70F18" w:rsidRPr="00B70F18">
        <w:t xml:space="preserve"> the</w:t>
      </w:r>
      <w:proofErr w:type="gramEnd"/>
      <w:r w:rsidR="00B70F18" w:rsidRPr="00B70F18">
        <w:t xml:space="preserve"> Euclidean norm </w:t>
      </w:r>
      <w:r w:rsidR="00B70F18">
        <w:t xml:space="preserve">and </w:t>
      </w:r>
      <w:r>
        <w:t>yₖ = gₖ₊₁ − gₖ</w:t>
      </w:r>
      <w:r w:rsidR="00B70F18">
        <w:t xml:space="preserve"> is the gradient difference</w:t>
      </w:r>
      <w:r>
        <w:t>.</w:t>
      </w:r>
      <w:r w:rsidR="007B42DC">
        <w:t xml:space="preserve"> </w:t>
      </w:r>
      <w:r w:rsidR="007B42DC" w:rsidRPr="007B42DC">
        <w:t xml:space="preserve">These methods are identical where the objective function </w:t>
      </w:r>
      <m:oMath>
        <m:r>
          <w:rPr>
            <w:rFonts w:ascii="Cambria Math" w:hAnsi="Cambria Math"/>
          </w:rPr>
          <m:t>f(x)</m:t>
        </m:r>
      </m:oMath>
      <w:r w:rsidR="007B42DC" w:rsidRPr="007B42DC">
        <w:t xml:space="preserve"> is quadratic and an exact line search is </w:t>
      </w:r>
      <w:proofErr w:type="gramStart"/>
      <w:r w:rsidR="007B42DC" w:rsidRPr="007B42DC">
        <w:t>used ,</w:t>
      </w:r>
      <w:proofErr w:type="gramEnd"/>
      <w:r w:rsidR="007B42DC" w:rsidRPr="007B42DC">
        <w:t xml:space="preserve"> but for a general objective function, the behaviour of these methods is different.</w:t>
      </w:r>
    </w:p>
    <w:p w14:paraId="65721334" w14:textId="69315E7A" w:rsidR="00AD32C9" w:rsidRDefault="00B44888">
      <w:pPr>
        <w:spacing w:line="480" w:lineRule="auto"/>
        <w:jc w:val="both"/>
      </w:pPr>
      <w:r>
        <w:t xml:space="preserve"> The HS method is particularly attractive because it automatically satisfies the conjugacy condition yₖᵀdₖ₊₁ = 0 exactly, making it one of the most numerically resilient classical methods [5]. However, the HS method does not in general guarantee sufficient descent—that is, gₖᵀdₖ ≤ −c‖gₖ‖² for some constant c &gt; 0 independent of line search—which is a critical property for establishing global convergence [10].</w:t>
      </w:r>
    </w:p>
    <w:p w14:paraId="64579252" w14:textId="77777777" w:rsidR="00AD32C9" w:rsidRDefault="00B44888">
      <w:pPr>
        <w:spacing w:line="480" w:lineRule="auto"/>
        <w:jc w:val="both"/>
      </w:pPr>
      <w:r>
        <w:t xml:space="preserve">To address this limitation, three-term CG methods augment the classical two-term recurrence with an additional correction. Zhang, Zhou, and Li [12] proposed a three-term PRP method satisfying exact sufficient descent. Andrei [1] introduced three-term variants with enhanced numerical stability. More recently, </w:t>
      </w:r>
      <w:proofErr w:type="spellStart"/>
      <w:r>
        <w:t>Narushima</w:t>
      </w:r>
      <w:proofErr w:type="spellEnd"/>
      <w:r>
        <w:t>, Yabe, and Ford [11] established a three-term conjugate gradient method with a guaranteed sufficient descent property under strong Wolfe conditions, while Al-</w:t>
      </w:r>
      <w:proofErr w:type="spellStart"/>
      <w:r>
        <w:t>Baali</w:t>
      </w:r>
      <w:proofErr w:type="spellEnd"/>
      <w:r>
        <w:t xml:space="preserve"> and Grandinetti [2] studied modified HS directions with adaptive corrections. Hager and Zhang [4] developed the CG_DESCENT algorithm, which modifies the search direction to enforce descent, and their work has inspired a class of descent-guaranteed three-term variants [7].</w:t>
      </w:r>
    </w:p>
    <w:p w14:paraId="0E954B3A" w14:textId="77777777" w:rsidR="00AD32C9" w:rsidRDefault="00B44888">
      <w:pPr>
        <w:spacing w:line="480" w:lineRule="auto"/>
      </w:pPr>
      <w:r>
        <w:t xml:space="preserve">This paper </w:t>
      </w:r>
      <w:proofErr w:type="gramStart"/>
      <w:r>
        <w:t>presents  a</w:t>
      </w:r>
      <w:proofErr w:type="gramEnd"/>
      <w:r>
        <w:t xml:space="preserve"> Modified Three-Term Hestenes–Stiefel (MTTHS) method in which the correction scalar θₖ is derived in closed form to enforce the exact descent </w:t>
      </w:r>
      <w:proofErr w:type="gramStart"/>
      <w:r>
        <w:lastRenderedPageBreak/>
        <w:t>condition  g</w:t>
      </w:r>
      <w:proofErr w:type="gramEnd"/>
      <w:r>
        <w:t xml:space="preserve">ₖ₊₁ᵀdₖ₊₁ = −‖gₖ₊₁‖² at every iterate, independent of any line search restriction. We prove global convergence under the strong Wolfe line search via the </w:t>
      </w:r>
      <w:proofErr w:type="spellStart"/>
      <w:r>
        <w:t>Zoutendijk</w:t>
      </w:r>
      <w:proofErr w:type="spellEnd"/>
      <w:r>
        <w:t xml:space="preserve"> condition and validate the method numerically on standard </w:t>
      </w:r>
      <w:proofErr w:type="spellStart"/>
      <w:r>
        <w:t>CUTEst</w:t>
      </w:r>
      <w:proofErr w:type="spellEnd"/>
      <w:r>
        <w:t xml:space="preserve"> benchmarks.</w:t>
      </w:r>
    </w:p>
    <w:p w14:paraId="1073B814" w14:textId="77777777" w:rsidR="00AD32C9" w:rsidRDefault="00B44888">
      <w:pPr>
        <w:spacing w:line="480" w:lineRule="auto"/>
        <w:jc w:val="both"/>
      </w:pPr>
      <w:r>
        <w:t xml:space="preserve">The remainder of the paper is organized as follows. Section 2 states the standard assumptions. Section 3 derives the MTTHS direction and establishes its descent property. Section 4 proves global convergence, reports numerical experiments and performance profiles while section 5 </w:t>
      </w:r>
      <w:proofErr w:type="gramStart"/>
      <w:r>
        <w:t>gives  the</w:t>
      </w:r>
      <w:proofErr w:type="gramEnd"/>
      <w:r>
        <w:t xml:space="preserve"> conclusion.</w:t>
      </w:r>
    </w:p>
    <w:p w14:paraId="0530AB1A" w14:textId="77777777" w:rsidR="00AD32C9" w:rsidRDefault="00B44888">
      <w:pPr>
        <w:pStyle w:val="Heading1"/>
        <w:spacing w:line="480" w:lineRule="auto"/>
      </w:pPr>
      <w:r>
        <w:t>2. The Proposed MTTHS Method</w:t>
      </w:r>
    </w:p>
    <w:p w14:paraId="3720C9FB" w14:textId="77777777" w:rsidR="00AD32C9" w:rsidRDefault="00B44888">
      <w:pPr>
        <w:spacing w:line="480" w:lineRule="auto"/>
        <w:jc w:val="both"/>
      </w:pPr>
      <w:r>
        <w:t xml:space="preserve">In this section, we present a novel </w:t>
      </w:r>
      <w:proofErr w:type="gramStart"/>
      <w:r>
        <w:t>three(</w:t>
      </w:r>
      <w:proofErr w:type="gramEnd"/>
      <w:r>
        <w:t xml:space="preserve">3) term Conjugate gradient method for solving large scale nonlinear minimization problems by </w:t>
      </w:r>
      <w:proofErr w:type="gramStart"/>
      <w:r>
        <w:t>defining  the</w:t>
      </w:r>
      <w:proofErr w:type="gramEnd"/>
      <w:r>
        <w:t xml:space="preserve"> following three-term search direction thus:</w:t>
      </w:r>
    </w:p>
    <w:p w14:paraId="7FF16B3C" w14:textId="77777777" w:rsidR="00AD32C9" w:rsidRDefault="00343A5C">
      <w:pPr>
        <w:tabs>
          <w:tab w:val="right" w:pos="8640"/>
        </w:tabs>
        <w:spacing w:before="120" w:after="120" w:line="48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HS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,</m:t>
        </m:r>
      </m:oMath>
      <w:r w:rsidR="00B44888">
        <w:tab/>
        <w:t>(2.1)</w:t>
      </w:r>
    </w:p>
    <w:p w14:paraId="6BABE0D1" w14:textId="77777777" w:rsidR="00AD32C9" w:rsidRDefault="00B44888">
      <w:pPr>
        <w:spacing w:line="480" w:lineRule="auto"/>
        <w:jc w:val="both"/>
      </w:pPr>
      <w:r>
        <w:t>where βₖ</w:t>
      </w:r>
      <w:r>
        <w:rPr>
          <w:vertAlign w:val="superscript"/>
        </w:rPr>
        <w:t>HS</w:t>
      </w:r>
      <w:r>
        <w:t xml:space="preserve"> = gₖ₊₁ᵀyₖ / (dₖᵀyₖ) is the standard Hestenes–Stiefel parameter and θₖ is a correction scalar to be determined. We require that the direction (2.1) satisfies the exact sufficient descent condition:</w:t>
      </w:r>
    </w:p>
    <w:p w14:paraId="3BDCB43A" w14:textId="77777777" w:rsidR="00AD32C9" w:rsidRDefault="00343A5C">
      <w:pPr>
        <w:tabs>
          <w:tab w:val="right" w:pos="8640"/>
        </w:tabs>
        <w:spacing w:before="120" w:after="120" w:line="480" w:lineRule="auto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k+1</m:t>
            </m:r>
          </m:sub>
          <m:sup>
            <m:r>
              <w:rPr>
                <w:rFonts w:ascii="Cambria Math" w:hAnsi="Cambria Math"/>
              </w:rPr>
              <m:t>T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=-∥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∥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 w:rsidR="00B44888">
        <w:tab/>
        <w:t>(2.2)</w:t>
      </w:r>
    </w:p>
    <w:p w14:paraId="1CFAEA1E" w14:textId="77777777" w:rsidR="00AD32C9" w:rsidRDefault="00B44888">
      <w:pPr>
        <w:spacing w:line="480" w:lineRule="auto"/>
        <w:jc w:val="both"/>
      </w:pPr>
      <w:r>
        <w:t>Taking the inner product of (2.1) with gₖ₊₁ and imposing (2.2):</w:t>
      </w:r>
    </w:p>
    <w:p w14:paraId="60F43A97" w14:textId="77777777" w:rsidR="00AD32C9" w:rsidRDefault="00B44888">
      <w:pPr>
        <w:spacing w:before="120" w:after="120" w:line="480" w:lineRule="auto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-∥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k+1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∥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HS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k+1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k+1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=-∥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k+1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∥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,</m:t>
          </m:r>
        </m:oMath>
      </m:oMathPara>
    </w:p>
    <w:p w14:paraId="1478ADD1" w14:textId="77777777" w:rsidR="00AD32C9" w:rsidRDefault="00B44888">
      <w:pPr>
        <w:spacing w:line="480" w:lineRule="auto"/>
        <w:jc w:val="both"/>
      </w:pPr>
      <w:r>
        <w:t>which gives:</w:t>
      </w:r>
    </w:p>
    <w:p w14:paraId="74B0E12C" w14:textId="77777777" w:rsidR="00AD32C9" w:rsidRDefault="00343A5C">
      <w:pPr>
        <w:spacing w:before="120" w:after="120" w:line="480" w:lineRule="auto"/>
        <w:jc w:val="center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HS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k+1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k+1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=0.</m:t>
          </m:r>
        </m:oMath>
      </m:oMathPara>
    </w:p>
    <w:p w14:paraId="40BB424E" w14:textId="77777777" w:rsidR="00AD32C9" w:rsidRDefault="00B44888">
      <w:pPr>
        <w:spacing w:line="480" w:lineRule="auto"/>
        <w:jc w:val="both"/>
      </w:pPr>
      <w:r>
        <w:lastRenderedPageBreak/>
        <w:t>Provided gₖ₊₁ᵀyₖ ≠ 0, we obtain the closed-form correction scalar:</w:t>
      </w:r>
    </w:p>
    <w:p w14:paraId="6AEB84C6" w14:textId="77777777" w:rsidR="00AD32C9" w:rsidRDefault="00343A5C">
      <w:pPr>
        <w:tabs>
          <w:tab w:val="right" w:pos="8640"/>
        </w:tabs>
        <w:spacing w:before="120" w:after="120" w:line="48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HS</m:t>
            </m:r>
          </m:sup>
        </m:sSubSup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k+1</m:t>
                </m:r>
              </m:sub>
              <m:sup>
                <m:r>
                  <w:rPr>
                    <w:rFonts w:ascii="Cambria Math" w:hAnsi="Cambria Math"/>
                  </w:rPr>
                  <m:t>T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k+1</m:t>
                </m:r>
              </m:sub>
              <m:sup>
                <m:r>
                  <w:rPr>
                    <w:rFonts w:ascii="Cambria Math" w:hAnsi="Cambria Math"/>
                  </w:rPr>
                  <m:t>T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den>
        </m:f>
        <m:r>
          <w:rPr>
            <w:rFonts w:ascii="Cambria Math" w:hAnsi="Cambria Math"/>
          </w:rPr>
          <m:t>.</m:t>
        </m:r>
      </m:oMath>
      <w:r w:rsidR="00B44888">
        <w:tab/>
        <w:t>(2.3)</w:t>
      </w:r>
    </w:p>
    <w:p w14:paraId="685182FC" w14:textId="77777777" w:rsidR="00AD32C9" w:rsidRDefault="00B44888">
      <w:pPr>
        <w:spacing w:line="480" w:lineRule="auto"/>
        <w:jc w:val="both"/>
      </w:pPr>
      <w:r>
        <w:t>Substituting βₖ</w:t>
      </w:r>
      <w:r>
        <w:rPr>
          <w:vertAlign w:val="superscript"/>
        </w:rPr>
        <w:t>HS</w:t>
      </w:r>
      <w:r>
        <w:t xml:space="preserve"> = gₖ₊₁ᵀyₖ / (dₖᵀyₖ) into (2.3) yields the equivalent expression:</w:t>
      </w:r>
    </w:p>
    <w:p w14:paraId="1A1ADC7C" w14:textId="77777777" w:rsidR="00AD32C9" w:rsidRDefault="00343A5C">
      <w:pPr>
        <w:tabs>
          <w:tab w:val="right" w:pos="8640"/>
        </w:tabs>
        <w:spacing w:before="120" w:after="120" w:line="48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k+1</m:t>
                </m:r>
              </m:sub>
              <m:sup>
                <m:r>
                  <w:rPr>
                    <w:rFonts w:ascii="Cambria Math" w:hAnsi="Cambria Math"/>
                  </w:rPr>
                  <m:t>T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  <m:sup>
                <m:r>
                  <w:rPr>
                    <w:rFonts w:ascii="Cambria Math" w:hAnsi="Cambria Math"/>
                  </w:rPr>
                  <m:t>T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den>
        </m:f>
        <m:r>
          <w:rPr>
            <w:rFonts w:ascii="Cambria Math" w:hAnsi="Cambria Math"/>
          </w:rPr>
          <m:t>.</m:t>
        </m:r>
      </m:oMath>
      <w:r w:rsidR="00B44888">
        <w:tab/>
        <w:t>(2.4)</w:t>
      </w:r>
    </w:p>
    <w:p w14:paraId="138939D8" w14:textId="77777777" w:rsidR="00AD32C9" w:rsidRDefault="00B44888">
      <w:pPr>
        <w:spacing w:line="480" w:lineRule="auto"/>
        <w:jc w:val="both"/>
      </w:pPr>
      <w:r>
        <w:t>The MTTHS direction therefore combines the HS conjugacy with a geometrically motivated correction that annihilates the cross term, enforcing (2.2) exactly. Note that when gₖ₊₁ᵀdₖ = 0 (i.e., the residual is orthogonal to the previous direction), θₖ = 0 and the method reduces exactly to the classical HS method.</w:t>
      </w:r>
    </w:p>
    <w:p w14:paraId="127CE12C" w14:textId="77777777" w:rsidR="00AD32C9" w:rsidRDefault="00B44888">
      <w:pPr>
        <w:spacing w:line="480" w:lineRule="auto"/>
        <w:jc w:val="both"/>
      </w:pPr>
      <w:r>
        <w:t>We summarize the MTTHS algorithm as follows:</w:t>
      </w:r>
    </w:p>
    <w:tbl>
      <w:tblPr>
        <w:tblW w:w="97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5"/>
      </w:tblGrid>
      <w:tr w:rsidR="00AD32C9" w14:paraId="395DD787" w14:textId="77777777">
        <w:tc>
          <w:tcPr>
            <w:tcW w:w="9725" w:type="dxa"/>
            <w:shd w:val="clear" w:color="auto" w:fill="FFFFFF" w:themeFill="background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BD71652" w14:textId="22B97725" w:rsidR="00AD32C9" w:rsidRDefault="00B44888">
            <w:pPr>
              <w:spacing w:after="80" w:line="360" w:lineRule="auto"/>
              <w:jc w:val="center"/>
            </w:pPr>
            <w:r>
              <w:rPr>
                <w:b/>
                <w:bCs/>
              </w:rPr>
              <w:t xml:space="preserve">Algorithm </w:t>
            </w:r>
            <w:r w:rsidR="0073423C">
              <w:rPr>
                <w:b/>
                <w:bCs/>
              </w:rPr>
              <w:t>2</w:t>
            </w:r>
            <w:r>
              <w:rPr>
                <w:b/>
                <w:bCs/>
              </w:rPr>
              <w:t>.1: MTTHS Conjugate Gradient Method</w:t>
            </w:r>
          </w:p>
          <w:p w14:paraId="6580309D" w14:textId="77777777" w:rsidR="00AD32C9" w:rsidRDefault="00B44888">
            <w:pPr>
              <w:spacing w:after="60" w:line="360" w:lineRule="auto"/>
            </w:pPr>
            <w:r>
              <w:rPr>
                <w:b/>
                <w:bCs/>
              </w:rPr>
              <w:t xml:space="preserve">Input: </w:t>
            </w:r>
            <w:r>
              <w:t xml:space="preserve">x₀ ∈ ℝⁿ, ε &gt; 0, </w:t>
            </w:r>
            <w:proofErr w:type="gramStart"/>
            <w:r>
              <w:t>k :</w:t>
            </w:r>
            <w:proofErr w:type="gramEnd"/>
            <w:r>
              <w:t>= 0, d</w:t>
            </w:r>
            <w:proofErr w:type="gramStart"/>
            <w:r>
              <w:t>₀ :</w:t>
            </w:r>
            <w:proofErr w:type="gramEnd"/>
            <w:r>
              <w:t>= −g₀ = −∇f(x₀)</w:t>
            </w:r>
          </w:p>
          <w:p w14:paraId="01D5D54D" w14:textId="77777777" w:rsidR="00AD32C9" w:rsidRDefault="00B44888">
            <w:pPr>
              <w:spacing w:after="60" w:line="360" w:lineRule="auto"/>
            </w:pPr>
            <w:r>
              <w:rPr>
                <w:b/>
                <w:bCs/>
              </w:rPr>
              <w:t xml:space="preserve">Step 1: </w:t>
            </w:r>
            <w:r>
              <w:t>If ‖gₖ‖ ≤ ε, stop. Output xₖ.</w:t>
            </w:r>
          </w:p>
          <w:p w14:paraId="03648B6C" w14:textId="77777777" w:rsidR="00AD32C9" w:rsidRDefault="00B44888">
            <w:pPr>
              <w:spacing w:after="60" w:line="360" w:lineRule="auto"/>
            </w:pPr>
            <w:r>
              <w:rPr>
                <w:b/>
                <w:bCs/>
              </w:rPr>
              <w:t xml:space="preserve">Step 2: </w:t>
            </w:r>
            <w:r>
              <w:t>Compute step size αₖ satisfying strong Wolfe conditions (2.1)</w:t>
            </w:r>
            <w:proofErr w:type="gramStart"/>
            <w:r>
              <w:t>–(</w:t>
            </w:r>
            <w:proofErr w:type="gramEnd"/>
            <w:r>
              <w:t>2.2).</w:t>
            </w:r>
          </w:p>
          <w:p w14:paraId="4345544D" w14:textId="77777777" w:rsidR="00AD32C9" w:rsidRDefault="00B44888">
            <w:pPr>
              <w:spacing w:after="60" w:line="360" w:lineRule="auto"/>
            </w:pPr>
            <w:r>
              <w:rPr>
                <w:b/>
                <w:bCs/>
              </w:rPr>
              <w:t xml:space="preserve">Step 3: </w:t>
            </w:r>
            <w:r>
              <w:t>Update: xₖ₊₁ = xₖ + αₖ</w:t>
            </w:r>
            <w:proofErr w:type="gramStart"/>
            <w:r>
              <w:t xml:space="preserve">dₖ,   </w:t>
            </w:r>
            <w:proofErr w:type="gramEnd"/>
            <w:r>
              <w:t>gₖ₊₁ = ∇f(xₖ₊₁</w:t>
            </w:r>
            <w:proofErr w:type="gramStart"/>
            <w:r>
              <w:t>),  y</w:t>
            </w:r>
            <w:proofErr w:type="gramEnd"/>
            <w:r>
              <w:t>ₖ = gₖ₊₁ − gₖ.</w:t>
            </w:r>
          </w:p>
          <w:p w14:paraId="55BFE2EE" w14:textId="77777777" w:rsidR="00AD32C9" w:rsidRDefault="00B44888">
            <w:pPr>
              <w:spacing w:after="60" w:line="360" w:lineRule="auto"/>
            </w:pPr>
            <w:r>
              <w:rPr>
                <w:b/>
                <w:bCs/>
              </w:rPr>
              <w:t xml:space="preserve">Step 4: </w:t>
            </w:r>
            <w:r>
              <w:t>Compute βₖᴴˢ = gₖ₊₁ᵀyₖ / (dₖᵀyₖ). If |dₖᵀyₖ| &lt; ε², set dₖ₊₁ = −gₖ₊₁ (restart).</w:t>
            </w:r>
          </w:p>
          <w:p w14:paraId="3D71B4A1" w14:textId="77777777" w:rsidR="00AD32C9" w:rsidRDefault="00B44888">
            <w:pPr>
              <w:spacing w:after="60" w:line="360" w:lineRule="auto"/>
            </w:pPr>
            <w:r>
              <w:rPr>
                <w:b/>
                <w:bCs/>
              </w:rPr>
              <w:t xml:space="preserve">Step 5: </w:t>
            </w:r>
            <w:r>
              <w:t>Compute θₖ = −(gₖ₊₁ᵀdₖ) / (dₖᵀyₖ).</w:t>
            </w:r>
          </w:p>
          <w:p w14:paraId="4E2B5B1B" w14:textId="77777777" w:rsidR="00AD32C9" w:rsidRDefault="00B44888">
            <w:pPr>
              <w:spacing w:after="60" w:line="360" w:lineRule="auto"/>
            </w:pPr>
            <w:r>
              <w:rPr>
                <w:b/>
                <w:bCs/>
              </w:rPr>
              <w:t xml:space="preserve">Step 6: </w:t>
            </w:r>
            <w:r>
              <w:t>Set dₖ₊₁ = −gₖ₊₁ + βₖᴴˢ dₖ + θₖ yₖ.</w:t>
            </w:r>
          </w:p>
          <w:p w14:paraId="7052F3BF" w14:textId="77777777" w:rsidR="00AD32C9" w:rsidRDefault="00B44888">
            <w:pPr>
              <w:spacing w:after="40" w:line="360" w:lineRule="auto"/>
            </w:pPr>
            <w:r>
              <w:rPr>
                <w:b/>
                <w:bCs/>
              </w:rPr>
              <w:t xml:space="preserve">Step 7: </w:t>
            </w:r>
            <w:r>
              <w:t xml:space="preserve">Set </w:t>
            </w:r>
            <w:proofErr w:type="gramStart"/>
            <w:r>
              <w:t>k :</w:t>
            </w:r>
            <w:proofErr w:type="gramEnd"/>
            <w:r>
              <w:t>= k + 1. Go to Step 1.</w:t>
            </w:r>
          </w:p>
        </w:tc>
      </w:tr>
    </w:tbl>
    <w:p w14:paraId="60223AAC" w14:textId="77777777" w:rsidR="00AD32C9" w:rsidRDefault="00B44888">
      <w:pPr>
        <w:spacing w:line="480" w:lineRule="auto"/>
        <w:jc w:val="both"/>
      </w:pPr>
      <w:r>
        <w:rPr>
          <w:b/>
          <w:bCs/>
        </w:rPr>
        <w:t xml:space="preserve">Remark 3.2. </w:t>
      </w:r>
      <w:r>
        <w:t xml:space="preserve">The restart condition |dₖᵀyₖ| &lt; ε² prevents numerical breakdown when </w:t>
      </w:r>
    </w:p>
    <w:p w14:paraId="1C31B027" w14:textId="77777777" w:rsidR="00AD32C9" w:rsidRDefault="00B44888">
      <w:pPr>
        <w:spacing w:line="480" w:lineRule="auto"/>
        <w:jc w:val="both"/>
      </w:pPr>
      <w:r>
        <w:t>dₖᵀyₖ ≈ 0 and ensures the algorithm is well-defined in practice.</w:t>
      </w:r>
    </w:p>
    <w:p w14:paraId="1F923425" w14:textId="77777777" w:rsidR="0073423C" w:rsidRDefault="0073423C">
      <w:pPr>
        <w:spacing w:line="480" w:lineRule="auto"/>
        <w:jc w:val="both"/>
      </w:pPr>
    </w:p>
    <w:p w14:paraId="393F8F93" w14:textId="401C7A72" w:rsidR="00AD32C9" w:rsidRDefault="00B44888">
      <w:pPr>
        <w:spacing w:line="480" w:lineRule="auto"/>
        <w:jc w:val="both"/>
      </w:pPr>
      <w:r>
        <w:lastRenderedPageBreak/>
        <w:t xml:space="preserve">3. </w:t>
      </w:r>
      <w:r>
        <w:rPr>
          <w:b/>
          <w:bCs/>
        </w:rPr>
        <w:t>CONVERGENCE RESULTS</w:t>
      </w:r>
    </w:p>
    <w:p w14:paraId="5673D836" w14:textId="77777777" w:rsidR="00AD32C9" w:rsidRDefault="00B44888">
      <w:pPr>
        <w:spacing w:line="480" w:lineRule="auto"/>
        <w:jc w:val="both"/>
      </w:pPr>
      <w:r>
        <w:t>We adopt the following standard assumptions throughout the paper.</w:t>
      </w:r>
    </w:p>
    <w:p w14:paraId="353A7958" w14:textId="2C33630B" w:rsidR="00AD32C9" w:rsidRDefault="00B44888">
      <w:pPr>
        <w:spacing w:line="480" w:lineRule="auto"/>
        <w:jc w:val="both"/>
      </w:pPr>
      <w:r>
        <w:rPr>
          <w:b/>
          <w:bCs/>
        </w:rPr>
        <w:t xml:space="preserve">Assumption </w:t>
      </w:r>
      <w:r w:rsidR="0073423C">
        <w:rPr>
          <w:b/>
          <w:bCs/>
        </w:rPr>
        <w:t>3</w:t>
      </w:r>
      <w:r>
        <w:rPr>
          <w:b/>
          <w:bCs/>
        </w:rPr>
        <w:t xml:space="preserve">.1 (Boundedness). </w:t>
      </w:r>
      <w:r>
        <w:t xml:space="preserve">The level set Ω = </w:t>
      </w:r>
      <w:proofErr w:type="gramStart"/>
      <w:r>
        <w:t>{ x</w:t>
      </w:r>
      <w:proofErr w:type="gramEnd"/>
      <w:r>
        <w:t xml:space="preserve"> ∈ ℝ</w:t>
      </w:r>
      <w:proofErr w:type="gramStart"/>
      <w:r>
        <w:t>ⁿ :</w:t>
      </w:r>
      <w:proofErr w:type="gramEnd"/>
      <w:r>
        <w:t xml:space="preserve"> f(x) ≤ f(x₀</w:t>
      </w:r>
      <w:proofErr w:type="gramStart"/>
      <w:r>
        <w:t>) }</w:t>
      </w:r>
      <w:proofErr w:type="gramEnd"/>
      <w:r>
        <w:t xml:space="preserve"> is bounded.</w:t>
      </w:r>
    </w:p>
    <w:p w14:paraId="1F4DE3C3" w14:textId="17A98231" w:rsidR="00AD32C9" w:rsidRDefault="00B44888">
      <w:pPr>
        <w:spacing w:line="480" w:lineRule="auto"/>
        <w:jc w:val="both"/>
      </w:pPr>
      <w:r>
        <w:rPr>
          <w:b/>
          <w:bCs/>
        </w:rPr>
        <w:t xml:space="preserve">Assumption </w:t>
      </w:r>
      <w:r w:rsidR="0073423C">
        <w:rPr>
          <w:b/>
          <w:bCs/>
        </w:rPr>
        <w:t>3</w:t>
      </w:r>
      <w:r>
        <w:rPr>
          <w:b/>
          <w:bCs/>
        </w:rPr>
        <w:t xml:space="preserve">.2 (Smoothness). </w:t>
      </w:r>
      <w:r>
        <w:t xml:space="preserve">f is continuously differentiable on an open neighborhood 𝒩 of Ω, and there exists L &gt; 0 such that ‖∇f(x) − ∇f(y)‖ ≤ </w:t>
      </w:r>
      <w:proofErr w:type="spellStart"/>
      <w:r>
        <w:t>L‖x</w:t>
      </w:r>
      <w:proofErr w:type="spellEnd"/>
      <w:r>
        <w:t xml:space="preserve"> − y‖ for all x, y ∈ 𝒩.</w:t>
      </w:r>
    </w:p>
    <w:p w14:paraId="0A276B90" w14:textId="172C8FB0" w:rsidR="00AD32C9" w:rsidRDefault="00B44888">
      <w:pPr>
        <w:spacing w:line="480" w:lineRule="auto"/>
        <w:jc w:val="both"/>
      </w:pPr>
      <w:r>
        <w:t xml:space="preserve">Under Assumptions </w:t>
      </w:r>
      <w:r w:rsidR="0073423C">
        <w:t>3</w:t>
      </w:r>
      <w:r>
        <w:t>.1–</w:t>
      </w:r>
      <w:r w:rsidR="0073423C">
        <w:t>3</w:t>
      </w:r>
      <w:r>
        <w:t>.2, there exists M &gt; 0 such that ‖gₖ‖ ≤ M for all k.</w:t>
      </w:r>
    </w:p>
    <w:p w14:paraId="25561DE0" w14:textId="77777777" w:rsidR="00AD32C9" w:rsidRDefault="00B44888">
      <w:pPr>
        <w:spacing w:line="480" w:lineRule="auto"/>
        <w:jc w:val="both"/>
      </w:pPr>
      <w:r>
        <w:t>The strong Wolfe conditions require that the step length αₖ satisfies:</w:t>
      </w:r>
    </w:p>
    <w:p w14:paraId="73C4D471" w14:textId="3B021A61" w:rsidR="00AD32C9" w:rsidRDefault="00B44888">
      <w:pPr>
        <w:tabs>
          <w:tab w:val="right" w:pos="8640"/>
        </w:tabs>
        <w:spacing w:before="120" w:after="120" w:line="480" w:lineRule="auto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w:rPr>
            <w:rFonts w:ascii="Cambria Math" w:hAnsi="Cambria Math"/>
          </w:rPr>
          <m:t>≤f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T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,</m:t>
        </m:r>
      </m:oMath>
      <w:r>
        <w:tab/>
        <w:t>(</w:t>
      </w:r>
      <w:r w:rsidR="0073423C">
        <w:t>3</w:t>
      </w:r>
      <w:r>
        <w:t>.1)</w:t>
      </w:r>
    </w:p>
    <w:p w14:paraId="6116EA7C" w14:textId="4962AD69" w:rsidR="00AD32C9" w:rsidRDefault="00343A5C">
      <w:pPr>
        <w:tabs>
          <w:tab w:val="right" w:pos="8640"/>
        </w:tabs>
        <w:spacing w:before="120" w:after="120" w:line="480" w:lineRule="auto"/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k+1</m:t>
                </m:r>
              </m:sub>
              <m:sup>
                <m:r>
                  <w:rPr>
                    <w:rFonts w:ascii="Cambria Math" w:hAnsi="Cambria Math"/>
                  </w:rPr>
                  <m:t>T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  <m:sup>
                <m:r>
                  <w:rPr>
                    <w:rFonts w:ascii="Cambria Math" w:hAnsi="Cambria Math"/>
                  </w:rPr>
                  <m:t>T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w:rPr>
            <w:rFonts w:ascii="Cambria Math" w:hAnsi="Cambria Math"/>
          </w:rPr>
          <m:t>,</m:t>
        </m:r>
      </m:oMath>
      <w:r w:rsidR="00B44888">
        <w:tab/>
        <w:t>(</w:t>
      </w:r>
      <w:r w:rsidR="0073423C">
        <w:t>3</w:t>
      </w:r>
      <w:r w:rsidR="00B44888">
        <w:t>.2)</w:t>
      </w:r>
    </w:p>
    <w:p w14:paraId="472E8591" w14:textId="2AA27B30" w:rsidR="00AD32C9" w:rsidRDefault="00B44888">
      <w:pPr>
        <w:spacing w:line="480" w:lineRule="auto"/>
        <w:jc w:val="both"/>
      </w:pPr>
      <w:r>
        <w:t>where 0 &lt; δ₁ &lt; δ₂ &lt; 1 (typically δ₁ = 10⁻⁴, δ₂ = 0.9). Condition (</w:t>
      </w:r>
      <w:r w:rsidR="0073423C">
        <w:t>3</w:t>
      </w:r>
      <w:r>
        <w:t>.1) is the sufficient decrease (Armijo) condition and (</w:t>
      </w:r>
      <w:r w:rsidR="0073423C">
        <w:t>3</w:t>
      </w:r>
      <w:r>
        <w:t>.2) is the curvature condition.</w:t>
      </w:r>
    </w:p>
    <w:p w14:paraId="5EC6E271" w14:textId="0C009550" w:rsidR="00AD32C9" w:rsidRDefault="00B44888">
      <w:pPr>
        <w:spacing w:line="480" w:lineRule="auto"/>
        <w:jc w:val="both"/>
      </w:pPr>
      <w:r>
        <w:rPr>
          <w:b/>
          <w:bCs/>
        </w:rPr>
        <w:t>Lemma 2.1 (</w:t>
      </w:r>
      <w:proofErr w:type="spellStart"/>
      <w:r>
        <w:rPr>
          <w:b/>
          <w:bCs/>
        </w:rPr>
        <w:t>Zoutendijk</w:t>
      </w:r>
      <w:proofErr w:type="spellEnd"/>
      <w:r>
        <w:rPr>
          <w:b/>
          <w:bCs/>
        </w:rPr>
        <w:t xml:space="preserve">, 1960 [14]). </w:t>
      </w:r>
      <w:r>
        <w:t xml:space="preserve">If Assumptions </w:t>
      </w:r>
      <w:r w:rsidR="0073423C">
        <w:t>3</w:t>
      </w:r>
      <w:r>
        <w:t>.1–</w:t>
      </w:r>
      <w:r w:rsidR="0073423C">
        <w:t>3</w:t>
      </w:r>
      <w:r>
        <w:t>.2 hold and {αₖ} satisfies (</w:t>
      </w:r>
      <w:r w:rsidR="0073423C">
        <w:t>3</w:t>
      </w:r>
      <w:r>
        <w:t>.1)</w:t>
      </w:r>
      <w:proofErr w:type="gramStart"/>
      <w:r>
        <w:t>–(</w:t>
      </w:r>
      <w:proofErr w:type="gramEnd"/>
      <w:r w:rsidR="0073423C">
        <w:t>3</w:t>
      </w:r>
      <w:r>
        <w:t>.2), then:</w:t>
      </w:r>
    </w:p>
    <w:p w14:paraId="0EE9EFEE" w14:textId="1986E013" w:rsidR="00AD32C9" w:rsidRDefault="00343A5C">
      <w:pPr>
        <w:spacing w:before="120" w:after="120" w:line="480" w:lineRule="auto"/>
        <w:jc w:val="center"/>
      </w:pP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∥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∥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&lt;∞.</m:t>
        </m:r>
      </m:oMath>
      <w:r w:rsidR="00B44888">
        <w:tab/>
      </w:r>
      <w:r w:rsidR="00B44888">
        <w:tab/>
      </w:r>
      <w:r w:rsidR="00B44888">
        <w:tab/>
      </w:r>
      <w:r w:rsidR="00B44888">
        <w:tab/>
      </w:r>
      <w:r w:rsidR="00B44888">
        <w:tab/>
      </w:r>
      <w:r w:rsidR="00B44888">
        <w:tab/>
      </w:r>
      <w:r w:rsidR="00B44888">
        <w:tab/>
      </w:r>
      <w:r w:rsidR="00B44888">
        <w:tab/>
      </w:r>
      <w:r w:rsidR="00B44888">
        <w:tab/>
        <w:t>(</w:t>
      </w:r>
      <w:r w:rsidR="0073423C">
        <w:t>3</w:t>
      </w:r>
      <w:r w:rsidR="00B44888">
        <w:t>.3)</w:t>
      </w:r>
    </w:p>
    <w:p w14:paraId="3FA63FFF" w14:textId="77777777" w:rsidR="00AD32C9" w:rsidRDefault="00B44888">
      <w:pPr>
        <w:spacing w:line="480" w:lineRule="auto"/>
        <w:jc w:val="both"/>
      </w:pPr>
      <w:r>
        <w:t>This criterion is the standard tool for establishing global convergence of CG methods.</w:t>
      </w:r>
    </w:p>
    <w:p w14:paraId="67F1FEDD" w14:textId="77777777" w:rsidR="00AD32C9" w:rsidRPr="0073423C" w:rsidRDefault="00B44888">
      <w:pPr>
        <w:spacing w:line="480" w:lineRule="auto"/>
        <w:jc w:val="both"/>
        <w:rPr>
          <w:b/>
          <w:bCs/>
        </w:rPr>
      </w:pPr>
      <w:r w:rsidRPr="0073423C">
        <w:rPr>
          <w:b/>
          <w:bCs/>
        </w:rPr>
        <w:t>3.2 Descent Property</w:t>
      </w:r>
    </w:p>
    <w:p w14:paraId="236484A9" w14:textId="77777777" w:rsidR="0073423C" w:rsidRDefault="00B44888">
      <w:pPr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Theorem 3.1 (Guaranteed Descent). </w:t>
      </w:r>
    </w:p>
    <w:p w14:paraId="49CB4D56" w14:textId="55304FE5" w:rsidR="00AD32C9" w:rsidRDefault="00B44888">
      <w:pPr>
        <w:spacing w:line="480" w:lineRule="auto"/>
        <w:jc w:val="both"/>
      </w:pPr>
      <w:r>
        <w:t>For all k ≥ 0, the MTTHS direction (</w:t>
      </w:r>
      <w:r w:rsidR="00F55DFD">
        <w:t>2</w:t>
      </w:r>
      <w:r>
        <w:t>.1)</w:t>
      </w:r>
      <w:proofErr w:type="gramStart"/>
      <w:r>
        <w:t>–(</w:t>
      </w:r>
      <w:proofErr w:type="gramEnd"/>
      <w:r w:rsidR="00F55DFD">
        <w:t>2</w:t>
      </w:r>
      <w:r>
        <w:t>.4) satisfies:</w:t>
      </w:r>
    </w:p>
    <w:p w14:paraId="1762A90C" w14:textId="7A1E6736" w:rsidR="00AD32C9" w:rsidRDefault="00343A5C">
      <w:pPr>
        <w:tabs>
          <w:tab w:val="right" w:pos="8640"/>
        </w:tabs>
        <w:spacing w:before="120" w:after="120" w:line="480" w:lineRule="auto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k+1</m:t>
            </m:r>
          </m:sub>
          <m:sup>
            <m:r>
              <w:rPr>
                <w:rFonts w:ascii="Cambria Math" w:hAnsi="Cambria Math"/>
              </w:rPr>
              <m:t>T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=-∥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∥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&lt;0, </m:t>
        </m:r>
        <m:r>
          <m:rPr>
            <m:nor/>
          </m:rPr>
          <m:t xml:space="preserve">whenever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≠0.</m:t>
        </m:r>
      </m:oMath>
      <w:r w:rsidR="00B44888">
        <w:tab/>
        <w:t>(3.</w:t>
      </w:r>
      <w:r w:rsidR="00F55DFD">
        <w:t>4</w:t>
      </w:r>
      <w:r w:rsidR="00B44888">
        <w:t>)</w:t>
      </w:r>
    </w:p>
    <w:p w14:paraId="3EFBEBCE" w14:textId="77777777" w:rsidR="00AD32C9" w:rsidRDefault="00B44888">
      <w:pPr>
        <w:spacing w:line="480" w:lineRule="auto"/>
        <w:jc w:val="both"/>
      </w:pPr>
      <w:r>
        <w:rPr>
          <w:b/>
          <w:bCs/>
        </w:rPr>
        <w:t xml:space="preserve">Proof. </w:t>
      </w:r>
      <w:r>
        <w:t>By construction: substituting (3.3) into gₖ₊₁ᵀdₖ₊₁ immediately yields gₖ₊₁ᵀdₖ₊₁ = −‖gₖ₊₁‖² + βₖᴴˢ(gₖ₊₁ᵀdₖ) + θₖ(gₖ₊₁ᵀyₖ) = −‖gₖ₊₁‖². Since gₖ₊₁ ≠ 0, this quantity is strictly negative. □</w:t>
      </w:r>
    </w:p>
    <w:p w14:paraId="61920B63" w14:textId="77777777" w:rsidR="00AD32C9" w:rsidRDefault="00B44888">
      <w:pPr>
        <w:spacing w:line="480" w:lineRule="auto"/>
        <w:jc w:val="both"/>
      </w:pPr>
      <w:r>
        <w:rPr>
          <w:b/>
          <w:bCs/>
        </w:rPr>
        <w:t xml:space="preserve">Remark 3.1. </w:t>
      </w:r>
      <w:r>
        <w:t>The descent property (3.5) is independent of the line search and holds for any step size αₖ &gt; 0, making the method unconditionally descent-satisfying.</w:t>
      </w:r>
    </w:p>
    <w:p w14:paraId="3ACBAEBB" w14:textId="77777777" w:rsidR="00AD32C9" w:rsidRDefault="00B44888">
      <w:pPr>
        <w:pStyle w:val="Heading1"/>
        <w:spacing w:line="480" w:lineRule="auto"/>
      </w:pPr>
      <w:r>
        <w:t xml:space="preserve"> Global Convergence Analysis</w:t>
      </w:r>
    </w:p>
    <w:p w14:paraId="32FB06A3" w14:textId="77777777" w:rsidR="00AD32C9" w:rsidRDefault="00B44888">
      <w:pPr>
        <w:spacing w:line="480" w:lineRule="auto"/>
        <w:jc w:val="both"/>
      </w:pPr>
      <w:r>
        <w:rPr>
          <w:b/>
          <w:bCs/>
        </w:rPr>
        <w:t xml:space="preserve">Lemma 4.1 (Direction Boundedness). </w:t>
      </w:r>
      <w:r>
        <w:t>Under Assumptions 2.1–2.2, the MTTHS direction satisfies ‖dₖ‖ ≤ C for some constant C &gt; 0 depending only on M, L, and δ₂.</w:t>
      </w:r>
    </w:p>
    <w:p w14:paraId="633A78B9" w14:textId="77777777" w:rsidR="00AD32C9" w:rsidRDefault="00B44888">
      <w:pPr>
        <w:spacing w:line="480" w:lineRule="auto"/>
        <w:jc w:val="both"/>
      </w:pPr>
      <w:r>
        <w:rPr>
          <w:b/>
          <w:bCs/>
        </w:rPr>
        <w:t xml:space="preserve">Proof. </w:t>
      </w:r>
      <w:r>
        <w:t>For k = 0, d₀ = −g₀ so ‖d₀‖ = ‖g₀‖ ≤ M. For k ≥ 1, from (3.1):</w:t>
      </w:r>
    </w:p>
    <w:p w14:paraId="5536456B" w14:textId="77777777" w:rsidR="00AD32C9" w:rsidRDefault="00B44888">
      <w:pPr>
        <w:spacing w:before="120" w:after="120" w:line="480" w:lineRule="auto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k+1</m:t>
              </m:r>
            </m:sub>
          </m:sSub>
          <m:r>
            <w:rPr>
              <w:rFonts w:ascii="Cambria Math" w:hAnsi="Cambria Math"/>
            </w:rPr>
            <m:t>∥≤∥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k+1</m:t>
              </m:r>
            </m:sub>
          </m:sSub>
          <m:r>
            <w:rPr>
              <w:rFonts w:ascii="Cambria Math" w:hAnsi="Cambria Math"/>
            </w:rPr>
            <m:t>∥+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HS</m:t>
                  </m:r>
                </m:sup>
              </m:sSubSup>
            </m:e>
          </m:d>
          <m:r>
            <w:rPr>
              <w:rFonts w:ascii="Cambria Math" w:hAnsi="Cambria Math"/>
            </w:rPr>
            <m:t> 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∥+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 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∥.</m:t>
          </m:r>
        </m:oMath>
      </m:oMathPara>
    </w:p>
    <w:p w14:paraId="1E120F83" w14:textId="77777777" w:rsidR="00AD32C9" w:rsidRDefault="00B44888">
      <w:pPr>
        <w:spacing w:line="480" w:lineRule="auto"/>
        <w:jc w:val="both"/>
      </w:pPr>
      <w:r>
        <w:t>Under the strong Wolfe curvature condition (2.2), the identity gₖᵀdₖ ≤ −‖gₖ‖² from Theorem 3.1 and the Lipschitz bound ‖yₖ‖ ≤ L αₖ ‖dₖ‖ imply that ‖dₖ‖ remains bounded by a constant depending on M and the ratio L/δ₁ via standard telescoping arguments [10,12]. The full inductive argument follows the lines of Zhang et al. [12, Lemma 3.2]. □</w:t>
      </w:r>
    </w:p>
    <w:p w14:paraId="35E9CECF" w14:textId="77777777" w:rsidR="00AD32C9" w:rsidRDefault="00B44888">
      <w:pPr>
        <w:spacing w:line="480" w:lineRule="auto"/>
        <w:jc w:val="both"/>
      </w:pPr>
      <w:r>
        <w:rPr>
          <w:b/>
          <w:bCs/>
        </w:rPr>
        <w:t xml:space="preserve">Theorem 4.1 (Global Convergence). </w:t>
      </w:r>
      <w:r>
        <w:t>Suppose Assumptions 2.1–2.2 hold. Let {xₖ} be generated by Algorithm 3.1 with αₖ satisfying the strong Wolfe conditions (2.1)</w:t>
      </w:r>
      <w:proofErr w:type="gramStart"/>
      <w:r>
        <w:t>–(</w:t>
      </w:r>
      <w:proofErr w:type="gramEnd"/>
      <w:r>
        <w:t>2.2). Then:</w:t>
      </w:r>
    </w:p>
    <w:p w14:paraId="65AFBA35" w14:textId="550D718F" w:rsidR="00AD32C9" w:rsidRDefault="00343A5C">
      <w:pPr>
        <w:tabs>
          <w:tab w:val="right" w:pos="8640"/>
        </w:tabs>
        <w:spacing w:before="120" w:after="120" w:line="480" w:lineRule="auto"/>
      </w:pP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w:rPr>
                <w:rFonts w:ascii="Cambria Math" w:hAnsi="Cambria Math"/>
              </w:rPr>
              <m:t>liminf</m:t>
            </m:r>
          </m:e>
          <m:lim>
            <m:r>
              <w:rPr>
                <w:rFonts w:ascii="Cambria Math" w:hAnsi="Cambria Math"/>
              </w:rPr>
              <m:t>k→∞</m:t>
            </m:r>
          </m:lim>
        </m:limLow>
        <m: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∥=0.</m:t>
        </m:r>
      </m:oMath>
      <w:r w:rsidR="00B44888">
        <w:tab/>
        <w:t>(</w:t>
      </w:r>
      <w:r w:rsidR="002F49D6">
        <w:t>3.5</w:t>
      </w:r>
      <w:r w:rsidR="00B44888">
        <w:t>)</w:t>
      </w:r>
    </w:p>
    <w:p w14:paraId="21876962" w14:textId="77777777" w:rsidR="00AD32C9" w:rsidRDefault="00B44888">
      <w:pPr>
        <w:spacing w:line="480" w:lineRule="auto"/>
        <w:jc w:val="both"/>
      </w:pPr>
      <w:r>
        <w:rPr>
          <w:b/>
          <w:bCs/>
        </w:rPr>
        <w:lastRenderedPageBreak/>
        <w:t xml:space="preserve">Proof. </w:t>
      </w:r>
      <w:r>
        <w:t>Suppose for contradiction that ‖gₖ‖ ≥ ε &gt; 0 for all k. From Theorem 3.1, gₖᵀdₖ = −‖gₖ‖² ≤ −ε² &lt; 0, so every direction is a descent direction. By Lemma 4.1, ‖dₖ‖ ≤ C, and hence:</w:t>
      </w:r>
    </w:p>
    <w:p w14:paraId="62E29E2E" w14:textId="77777777" w:rsidR="00AD32C9" w:rsidRDefault="00343A5C">
      <w:pPr>
        <w:spacing w:before="120" w:after="120" w:line="480" w:lineRule="auto"/>
        <w:jc w:val="center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∥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∥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≥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ε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/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&gt;0.</m:t>
          </m:r>
        </m:oMath>
      </m:oMathPara>
    </w:p>
    <w:p w14:paraId="2ADB32CA" w14:textId="77777777" w:rsidR="00AD32C9" w:rsidRDefault="00B44888">
      <w:pPr>
        <w:spacing w:line="480" w:lineRule="auto"/>
        <w:jc w:val="both"/>
      </w:pPr>
      <w:r>
        <w:t>Summing over all k gives ∑ₖ (gₖ</w:t>
      </w:r>
      <w:proofErr w:type="gramStart"/>
      <w:r>
        <w:t>ᵀdₖ)²</w:t>
      </w:r>
      <w:proofErr w:type="gramEnd"/>
      <w:r>
        <w:t xml:space="preserve"> / ‖dₖ‖² = +∞, which contradicts the </w:t>
      </w:r>
      <w:proofErr w:type="spellStart"/>
      <w:r>
        <w:t>Zoutendijk</w:t>
      </w:r>
      <w:proofErr w:type="spellEnd"/>
      <w:r>
        <w:t xml:space="preserve"> condition in Lemma 2.1. Therefore (4.1) must hold. □</w:t>
      </w:r>
    </w:p>
    <w:p w14:paraId="36382E53" w14:textId="77777777" w:rsidR="00AD32C9" w:rsidRDefault="00B44888">
      <w:pPr>
        <w:spacing w:line="480" w:lineRule="auto"/>
        <w:jc w:val="both"/>
      </w:pPr>
      <w:r>
        <w:rPr>
          <w:b/>
          <w:bCs/>
        </w:rPr>
        <w:t xml:space="preserve">Corollary 4.1. </w:t>
      </w:r>
      <w:r>
        <w:t>If f is strictly convex and twice continuously differentiable with positive definite Hessian, then xₖ → x* globally, where x* is the unique minimizer.</w:t>
      </w:r>
    </w:p>
    <w:p w14:paraId="2455EFCF" w14:textId="77777777" w:rsidR="00AD32C9" w:rsidRDefault="00B44888">
      <w:pPr>
        <w:pStyle w:val="Heading1"/>
        <w:spacing w:line="480" w:lineRule="auto"/>
      </w:pPr>
      <w:r>
        <w:t>5. Numerical Experiments</w:t>
      </w:r>
    </w:p>
    <w:p w14:paraId="0FDDA0E2" w14:textId="2A05A2E1" w:rsidR="00AD32C9" w:rsidRDefault="00B44888">
      <w:pPr>
        <w:spacing w:before="120" w:after="120" w:line="280" w:lineRule="auto"/>
        <w:ind w:firstLine="720"/>
        <w:jc w:val="both"/>
      </w:pPr>
      <w:r>
        <w:rPr>
          <w:color w:val="000000"/>
        </w:rPr>
        <w:t xml:space="preserve">This section presents the computational performance of the proposed </w:t>
      </w:r>
      <w:r>
        <w:rPr>
          <w:b/>
          <w:bCs/>
          <w:color w:val="000000"/>
        </w:rPr>
        <w:t>MTTHS</w:t>
      </w:r>
      <w:r>
        <w:rPr>
          <w:color w:val="000000"/>
        </w:rPr>
        <w:t xml:space="preserve"> method against six conjugate gradient methods from the literature: the classical two-term methods </w:t>
      </w:r>
      <w:r>
        <w:rPr>
          <w:i/>
          <w:iCs/>
          <w:color w:val="000000"/>
        </w:rPr>
        <w:t>HS</w:t>
      </w:r>
      <w:r>
        <w:rPr>
          <w:color w:val="000000"/>
        </w:rPr>
        <w:t xml:space="preserve"> [1], </w:t>
      </w:r>
      <w:r>
        <w:rPr>
          <w:i/>
          <w:iCs/>
          <w:color w:val="000000"/>
        </w:rPr>
        <w:t>FR</w:t>
      </w:r>
      <w:r>
        <w:rPr>
          <w:color w:val="000000"/>
        </w:rPr>
        <w:t xml:space="preserve"> [2], and </w:t>
      </w:r>
      <w:r>
        <w:rPr>
          <w:i/>
          <w:iCs/>
          <w:color w:val="000000"/>
        </w:rPr>
        <w:t>PRP</w:t>
      </w:r>
      <w:r>
        <w:rPr>
          <w:color w:val="000000"/>
        </w:rPr>
        <w:t xml:space="preserve"> [3], together with the three-term extensions </w:t>
      </w:r>
      <w:r>
        <w:rPr>
          <w:i/>
          <w:iCs/>
          <w:color w:val="000000"/>
        </w:rPr>
        <w:t>TTPRP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TTFR</w:t>
      </w:r>
      <w:r>
        <w:rPr>
          <w:color w:val="000000"/>
        </w:rPr>
        <w:t xml:space="preserve">, and </w:t>
      </w:r>
      <w:r>
        <w:rPr>
          <w:i/>
          <w:iCs/>
          <w:color w:val="000000"/>
        </w:rPr>
        <w:t>TTDY</w:t>
      </w:r>
      <w:r>
        <w:rPr>
          <w:color w:val="000000"/>
        </w:rPr>
        <w:t>. All methods were implemented in GNU Octave version 7 and executed on a core i</w:t>
      </w:r>
      <w:proofErr w:type="gramStart"/>
      <w:r>
        <w:rPr>
          <w:color w:val="000000"/>
        </w:rPr>
        <w:t>5  workstation</w:t>
      </w:r>
      <w:proofErr w:type="gramEnd"/>
      <w:r>
        <w:rPr>
          <w:color w:val="000000"/>
        </w:rPr>
        <w:t>. No third-party optimi</w:t>
      </w:r>
      <w:r w:rsidR="006B3B0F">
        <w:rPr>
          <w:color w:val="000000"/>
        </w:rPr>
        <w:t>z</w:t>
      </w:r>
      <w:r>
        <w:rPr>
          <w:color w:val="000000"/>
        </w:rPr>
        <w:t>ation libraries were used; every method shares an identical backtracking Armijo line search and termination criterion, so that differences in performance are attributable solely to the search direction formulae.</w:t>
      </w:r>
    </w:p>
    <w:p w14:paraId="4471B8EC" w14:textId="77777777" w:rsidR="00AD32C9" w:rsidRDefault="00B44888">
      <w:pPr>
        <w:pStyle w:val="Heading2"/>
      </w:pPr>
      <w:proofErr w:type="gramStart"/>
      <w:r>
        <w:t>4.1  Implementation</w:t>
      </w:r>
      <w:proofErr w:type="gramEnd"/>
      <w:r>
        <w:t xml:space="preserve"> Details</w:t>
      </w:r>
    </w:p>
    <w:p w14:paraId="59CFFFC3" w14:textId="77777777" w:rsidR="00AD32C9" w:rsidRDefault="00B44888">
      <w:pPr>
        <w:spacing w:before="120" w:after="120" w:line="280" w:lineRule="auto"/>
        <w:ind w:firstLine="720"/>
        <w:jc w:val="both"/>
      </w:pPr>
      <w:r>
        <w:rPr>
          <w:color w:val="000000"/>
        </w:rPr>
        <w:t xml:space="preserve">The common algorithmic parameters are listed in Table 1. The initial step length is set to </w:t>
      </w:r>
      <w:r>
        <w:rPr>
          <w:i/>
          <w:iCs/>
          <w:color w:val="000000"/>
        </w:rPr>
        <w:t>α</w:t>
      </w:r>
      <w:r>
        <w:rPr>
          <w:color w:val="000000"/>
        </w:rPr>
        <w:t xml:space="preserve">₀ = 1 at each iteration. When the curvature condition </w:t>
      </w:r>
      <w:r>
        <w:rPr>
          <w:i/>
          <w:iCs/>
          <w:color w:val="000000"/>
        </w:rPr>
        <w:t>d</w:t>
      </w:r>
      <w:r>
        <w:rPr>
          <w:color w:val="000000"/>
        </w:rPr>
        <w:t>ᵀₖ</w:t>
      </w:r>
      <w:r>
        <w:rPr>
          <w:i/>
          <w:iCs/>
          <w:color w:val="000000"/>
        </w:rPr>
        <w:t>y</w:t>
      </w:r>
      <w:r>
        <w:rPr>
          <w:color w:val="000000"/>
        </w:rPr>
        <w:t xml:space="preserve">ₖ &lt; εᵣ is violated, every method restarts with the steepest-descent direction </w:t>
      </w:r>
      <w:r>
        <w:rPr>
          <w:i/>
          <w:iCs/>
          <w:color w:val="000000"/>
        </w:rPr>
        <w:t>dₖ = −g</w:t>
      </w:r>
      <w:r>
        <w:rPr>
          <w:color w:val="000000"/>
        </w:rPr>
        <w:t>ₖ. For MTTHS, this safeguard is triggered whenever |</w:t>
      </w:r>
      <w:r>
        <w:rPr>
          <w:i/>
          <w:iCs/>
          <w:color w:val="000000"/>
        </w:rPr>
        <w:t>d</w:t>
      </w:r>
      <w:r>
        <w:rPr>
          <w:color w:val="000000"/>
        </w:rPr>
        <w:t>ᵀₖ</w:t>
      </w:r>
      <w:r>
        <w:rPr>
          <w:i/>
          <w:iCs/>
          <w:color w:val="000000"/>
        </w:rPr>
        <w:t>y</w:t>
      </w:r>
      <w:r>
        <w:rPr>
          <w:color w:val="000000"/>
        </w:rPr>
        <w:t>ₖ| &lt; εᵣ, preventing division by zero in the β</w:t>
      </w:r>
      <w:r>
        <w:rPr>
          <w:color w:val="000000"/>
          <w:vertAlign w:val="superscript"/>
        </w:rPr>
        <w:t>HS</w:t>
      </w:r>
      <w:r>
        <w:rPr>
          <w:color w:val="000000"/>
        </w:rPr>
        <w:t xml:space="preserve">ₖ and θₖ </w:t>
      </w:r>
      <w:proofErr w:type="gramStart"/>
      <w:r>
        <w:rPr>
          <w:color w:val="000000"/>
        </w:rPr>
        <w:t>formulae  is</w:t>
      </w:r>
      <w:proofErr w:type="gramEnd"/>
      <w:r>
        <w:rPr>
          <w:color w:val="000000"/>
        </w:rPr>
        <w:t xml:space="preserve"> as formulated in Section 3.</w:t>
      </w:r>
    </w:p>
    <w:p w14:paraId="1B93C75D" w14:textId="77777777" w:rsidR="00AD32C9" w:rsidRDefault="00B44888">
      <w:pPr>
        <w:pStyle w:val="ListParagraph1"/>
        <w:spacing w:before="80" w:after="80"/>
      </w:pPr>
      <w:r>
        <w:rPr>
          <w:color w:val="000000"/>
        </w:rPr>
        <w:t xml:space="preserve">The benchmark suite comprises 23 standard unconstrained </w:t>
      </w:r>
      <w:proofErr w:type="spellStart"/>
      <w:r>
        <w:rPr>
          <w:color w:val="000000"/>
        </w:rPr>
        <w:t>optimisation</w:t>
      </w:r>
      <w:proofErr w:type="spellEnd"/>
      <w:r>
        <w:rPr>
          <w:color w:val="000000"/>
        </w:rPr>
        <w:t xml:space="preserve"> problems drawn from the collections of Andrei [4] and Moré, Garbow and Hillstrom [5]. To assess scalability, each problem is tested at five problem dimensions, </w:t>
      </w:r>
      <w:r>
        <w:rPr>
          <w:i/>
          <w:iCs/>
          <w:color w:val="000000"/>
        </w:rPr>
        <w:t>n</w:t>
      </w:r>
      <w:r>
        <w:rPr>
          <w:color w:val="000000"/>
        </w:rPr>
        <w:t xml:space="preserve"> ∈ {100, 500, 1000, 5000, 10,000}, yielding a total of 23 × 5 = </w:t>
      </w:r>
      <w:r>
        <w:rPr>
          <w:b/>
          <w:bCs/>
          <w:color w:val="000000"/>
        </w:rPr>
        <w:t>115 test instances</w:t>
      </w:r>
      <w:r>
        <w:rPr>
          <w:color w:val="000000"/>
        </w:rPr>
        <w:t xml:space="preserve">. </w:t>
      </w:r>
    </w:p>
    <w:p w14:paraId="0F54075D" w14:textId="77777777" w:rsidR="00AD32C9" w:rsidRDefault="00B44888">
      <w:pPr>
        <w:pStyle w:val="Heading2"/>
        <w:spacing w:before="320" w:after="160" w:line="480" w:lineRule="auto"/>
      </w:pPr>
      <w:r>
        <w:t>Performance Comparison on Selected Problems</w:t>
      </w:r>
    </w:p>
    <w:p w14:paraId="2C2CC58D" w14:textId="77777777" w:rsidR="00A62185" w:rsidRDefault="00A62185">
      <w:pPr>
        <w:spacing w:line="480" w:lineRule="auto"/>
        <w:jc w:val="both"/>
      </w:pPr>
    </w:p>
    <w:p w14:paraId="25AB46B0" w14:textId="45E13A49" w:rsidR="00AD32C9" w:rsidRDefault="00B44888">
      <w:pPr>
        <w:spacing w:line="480" w:lineRule="auto"/>
        <w:jc w:val="both"/>
      </w:pPr>
      <w:r>
        <w:t xml:space="preserve">Table 1 presents </w:t>
      </w:r>
      <w:r w:rsidR="00A62185" w:rsidRPr="00A62185">
        <w:t xml:space="preserve">A comprehensive analysis of </w:t>
      </w:r>
      <w:r w:rsidR="00A62185">
        <w:t>table 1</w:t>
      </w:r>
      <w:r w:rsidR="00A62185" w:rsidRPr="00A62185">
        <w:t xml:space="preserve"> reveals</w:t>
      </w:r>
      <w:r w:rsidR="00A62185">
        <w:t xml:space="preserve"> </w:t>
      </w:r>
      <w:proofErr w:type="gramStart"/>
      <w:r w:rsidR="00A62185">
        <w:t xml:space="preserve">the </w:t>
      </w:r>
      <w:r w:rsidR="00A62185" w:rsidRPr="00A62185">
        <w:t xml:space="preserve"> distinct</w:t>
      </w:r>
      <w:proofErr w:type="gramEnd"/>
      <w:r w:rsidR="00A62185" w:rsidRPr="00A62185">
        <w:t xml:space="preserve"> trade-offs between computational speed, iterative efficiency, and robustness among the evaluated solvers</w:t>
      </w:r>
      <w:r w:rsidR="00A62185">
        <w:t>.</w:t>
      </w:r>
    </w:p>
    <w:p w14:paraId="0B0B2ED7" w14:textId="77777777" w:rsidR="00AD32C9" w:rsidRDefault="00B44888" w:rsidP="00A62185">
      <w:pPr>
        <w:spacing w:after="200" w:line="480" w:lineRule="auto"/>
      </w:pPr>
      <w:r>
        <w:rPr>
          <w:b/>
          <w:bCs/>
        </w:rPr>
        <w:t>Table 1.</w:t>
      </w:r>
      <w:r>
        <w:t xml:space="preserve"> Iteration counts (NI) and CPU times (seconds) for selected benchmark problems. Bold entries denote MTTHS results.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107"/>
        <w:gridCol w:w="1726"/>
        <w:gridCol w:w="1726"/>
        <w:gridCol w:w="1726"/>
      </w:tblGrid>
      <w:tr w:rsidR="009A5EA3" w14:paraId="13FCF98A" w14:textId="77777777" w:rsidTr="009A5EA3">
        <w:tc>
          <w:tcPr>
            <w:tcW w:w="1345" w:type="dxa"/>
          </w:tcPr>
          <w:p w14:paraId="7F9D97D2" w14:textId="6D1952B2" w:rsidR="009A5EA3" w:rsidRDefault="009A5EA3" w:rsidP="00A62185">
            <w:pPr>
              <w:spacing w:after="200" w:line="480" w:lineRule="auto"/>
            </w:pPr>
            <w:r>
              <w:t>Solver</w:t>
            </w:r>
          </w:p>
        </w:tc>
        <w:tc>
          <w:tcPr>
            <w:tcW w:w="2107" w:type="dxa"/>
          </w:tcPr>
          <w:p w14:paraId="5BD64CF9" w14:textId="33CDAABF" w:rsidR="009A5EA3" w:rsidRDefault="009A5EA3" w:rsidP="00A62185">
            <w:pPr>
              <w:spacing w:after="200" w:line="480" w:lineRule="auto"/>
            </w:pPr>
            <w:r>
              <w:t>Total NI</w:t>
            </w:r>
          </w:p>
        </w:tc>
        <w:tc>
          <w:tcPr>
            <w:tcW w:w="1726" w:type="dxa"/>
          </w:tcPr>
          <w:p w14:paraId="4753C5B2" w14:textId="25454B3C" w:rsidR="009A5EA3" w:rsidRDefault="009A5EA3" w:rsidP="00A62185">
            <w:pPr>
              <w:spacing w:after="200" w:line="480" w:lineRule="auto"/>
            </w:pPr>
            <w:r>
              <w:t>Avg NI</w:t>
            </w:r>
          </w:p>
        </w:tc>
        <w:tc>
          <w:tcPr>
            <w:tcW w:w="1726" w:type="dxa"/>
          </w:tcPr>
          <w:p w14:paraId="73D42450" w14:textId="34D684F9" w:rsidR="009A5EA3" w:rsidRDefault="00AE63EE" w:rsidP="00A62185">
            <w:pPr>
              <w:spacing w:after="200" w:line="480" w:lineRule="auto"/>
            </w:pPr>
            <w:r>
              <w:t>Avg CPU</w:t>
            </w:r>
          </w:p>
        </w:tc>
        <w:tc>
          <w:tcPr>
            <w:tcW w:w="1726" w:type="dxa"/>
          </w:tcPr>
          <w:p w14:paraId="2C820B6C" w14:textId="5F55DE92" w:rsidR="009A5EA3" w:rsidRDefault="00AE63EE" w:rsidP="00A62185">
            <w:pPr>
              <w:spacing w:after="200" w:line="480" w:lineRule="auto"/>
            </w:pPr>
            <w:r>
              <w:t>Fails</w:t>
            </w:r>
          </w:p>
        </w:tc>
      </w:tr>
      <w:tr w:rsidR="009A5EA3" w14:paraId="498FB415" w14:textId="77777777" w:rsidTr="009A5EA3">
        <w:tc>
          <w:tcPr>
            <w:tcW w:w="1345" w:type="dxa"/>
          </w:tcPr>
          <w:p w14:paraId="6AFDEBA9" w14:textId="7F438EB5" w:rsidR="009A5EA3" w:rsidRDefault="00AE63EE" w:rsidP="00A62185">
            <w:pPr>
              <w:spacing w:after="200" w:line="480" w:lineRule="auto"/>
            </w:pPr>
            <w:r>
              <w:t>HS</w:t>
            </w:r>
          </w:p>
        </w:tc>
        <w:tc>
          <w:tcPr>
            <w:tcW w:w="2107" w:type="dxa"/>
          </w:tcPr>
          <w:p w14:paraId="2A46AC01" w14:textId="2B4C6396" w:rsidR="009A5EA3" w:rsidRDefault="00AE63EE" w:rsidP="00A62185">
            <w:pPr>
              <w:spacing w:after="200" w:line="480" w:lineRule="auto"/>
            </w:pPr>
            <w:r>
              <w:t>39906</w:t>
            </w:r>
          </w:p>
        </w:tc>
        <w:tc>
          <w:tcPr>
            <w:tcW w:w="1726" w:type="dxa"/>
          </w:tcPr>
          <w:p w14:paraId="744174B5" w14:textId="1125E727" w:rsidR="009A5EA3" w:rsidRDefault="00AE63EE" w:rsidP="00A62185">
            <w:pPr>
              <w:spacing w:after="200" w:line="480" w:lineRule="auto"/>
            </w:pPr>
            <w:r>
              <w:t xml:space="preserve">438.5 </w:t>
            </w:r>
            <w:r>
              <w:tab/>
            </w:r>
          </w:p>
        </w:tc>
        <w:tc>
          <w:tcPr>
            <w:tcW w:w="1726" w:type="dxa"/>
          </w:tcPr>
          <w:p w14:paraId="0E273580" w14:textId="3787D2A1" w:rsidR="009A5EA3" w:rsidRDefault="00AE63EE" w:rsidP="00A62185">
            <w:pPr>
              <w:spacing w:after="200" w:line="480" w:lineRule="auto"/>
            </w:pPr>
            <w:r>
              <w:t xml:space="preserve">7.0158  </w:t>
            </w:r>
          </w:p>
        </w:tc>
        <w:tc>
          <w:tcPr>
            <w:tcW w:w="1726" w:type="dxa"/>
          </w:tcPr>
          <w:p w14:paraId="113C18CA" w14:textId="6DBC5948" w:rsidR="009A5EA3" w:rsidRDefault="00AE63EE" w:rsidP="00A62185">
            <w:pPr>
              <w:spacing w:after="200" w:line="480" w:lineRule="auto"/>
            </w:pPr>
            <w:r>
              <w:t xml:space="preserve">   24</w:t>
            </w:r>
          </w:p>
        </w:tc>
      </w:tr>
      <w:tr w:rsidR="009A5EA3" w14:paraId="679CBE43" w14:textId="77777777" w:rsidTr="009A5EA3">
        <w:tc>
          <w:tcPr>
            <w:tcW w:w="1345" w:type="dxa"/>
          </w:tcPr>
          <w:p w14:paraId="28FC5409" w14:textId="2D83EFA1" w:rsidR="009A5EA3" w:rsidRDefault="00AE63EE" w:rsidP="00A62185">
            <w:pPr>
              <w:spacing w:after="200" w:line="480" w:lineRule="auto"/>
            </w:pPr>
            <w:r>
              <w:t>FR</w:t>
            </w:r>
          </w:p>
        </w:tc>
        <w:tc>
          <w:tcPr>
            <w:tcW w:w="2107" w:type="dxa"/>
          </w:tcPr>
          <w:p w14:paraId="73309EE7" w14:textId="656A7A1D" w:rsidR="009A5EA3" w:rsidRDefault="00AE63EE" w:rsidP="00A62185">
            <w:pPr>
              <w:spacing w:after="200" w:line="480" w:lineRule="auto"/>
            </w:pPr>
            <w:r>
              <w:t>54328</w:t>
            </w:r>
          </w:p>
        </w:tc>
        <w:tc>
          <w:tcPr>
            <w:tcW w:w="1726" w:type="dxa"/>
          </w:tcPr>
          <w:p w14:paraId="2B4D089E" w14:textId="55A64ED7" w:rsidR="009A5EA3" w:rsidRDefault="00AE63EE" w:rsidP="00A62185">
            <w:pPr>
              <w:spacing w:after="200" w:line="480" w:lineRule="auto"/>
            </w:pPr>
            <w:r>
              <w:t>624.5</w:t>
            </w:r>
          </w:p>
        </w:tc>
        <w:tc>
          <w:tcPr>
            <w:tcW w:w="1726" w:type="dxa"/>
          </w:tcPr>
          <w:p w14:paraId="45506340" w14:textId="74026E16" w:rsidR="009A5EA3" w:rsidRDefault="00AE63EE" w:rsidP="00A62185">
            <w:pPr>
              <w:spacing w:after="200" w:line="480" w:lineRule="auto"/>
            </w:pPr>
            <w:r>
              <w:t>8.7581</w:t>
            </w:r>
          </w:p>
        </w:tc>
        <w:tc>
          <w:tcPr>
            <w:tcW w:w="1726" w:type="dxa"/>
          </w:tcPr>
          <w:p w14:paraId="37FC5D86" w14:textId="4E4F4AF2" w:rsidR="009A5EA3" w:rsidRDefault="00AE63EE" w:rsidP="00A62185">
            <w:pPr>
              <w:spacing w:after="200" w:line="480" w:lineRule="auto"/>
            </w:pPr>
            <w:r>
              <w:t>28</w:t>
            </w:r>
          </w:p>
        </w:tc>
      </w:tr>
      <w:tr w:rsidR="009A5EA3" w14:paraId="77128E91" w14:textId="77777777" w:rsidTr="009A5EA3">
        <w:tc>
          <w:tcPr>
            <w:tcW w:w="1345" w:type="dxa"/>
          </w:tcPr>
          <w:p w14:paraId="033BEF5A" w14:textId="121AAF76" w:rsidR="009A5EA3" w:rsidRDefault="00AE63EE" w:rsidP="00A62185">
            <w:pPr>
              <w:spacing w:after="200" w:line="480" w:lineRule="auto"/>
            </w:pPr>
            <w:r>
              <w:t>PRP</w:t>
            </w:r>
          </w:p>
        </w:tc>
        <w:tc>
          <w:tcPr>
            <w:tcW w:w="2107" w:type="dxa"/>
          </w:tcPr>
          <w:p w14:paraId="2D5A0F76" w14:textId="303277CE" w:rsidR="009A5EA3" w:rsidRDefault="00AE63EE" w:rsidP="00A62185">
            <w:pPr>
              <w:spacing w:after="200" w:line="480" w:lineRule="auto"/>
            </w:pPr>
            <w:r>
              <w:t>49133</w:t>
            </w:r>
          </w:p>
        </w:tc>
        <w:tc>
          <w:tcPr>
            <w:tcW w:w="1726" w:type="dxa"/>
          </w:tcPr>
          <w:p w14:paraId="730FEB72" w14:textId="6E160552" w:rsidR="009A5EA3" w:rsidRDefault="00AE63EE" w:rsidP="00A62185">
            <w:pPr>
              <w:spacing w:after="200" w:line="480" w:lineRule="auto"/>
            </w:pPr>
            <w:r>
              <w:t>564.7</w:t>
            </w:r>
          </w:p>
        </w:tc>
        <w:tc>
          <w:tcPr>
            <w:tcW w:w="1726" w:type="dxa"/>
          </w:tcPr>
          <w:p w14:paraId="44C8737E" w14:textId="5AB5D21B" w:rsidR="009A5EA3" w:rsidRDefault="00AE63EE" w:rsidP="00A62185">
            <w:pPr>
              <w:spacing w:after="200" w:line="480" w:lineRule="auto"/>
            </w:pPr>
            <w:r>
              <w:t>7.5507</w:t>
            </w:r>
          </w:p>
        </w:tc>
        <w:tc>
          <w:tcPr>
            <w:tcW w:w="1726" w:type="dxa"/>
          </w:tcPr>
          <w:p w14:paraId="59038502" w14:textId="1485EB51" w:rsidR="009A5EA3" w:rsidRDefault="00AE63EE" w:rsidP="00A62185">
            <w:pPr>
              <w:spacing w:after="200" w:line="480" w:lineRule="auto"/>
            </w:pPr>
            <w:r>
              <w:t>28</w:t>
            </w:r>
          </w:p>
        </w:tc>
      </w:tr>
      <w:tr w:rsidR="009A5EA3" w14:paraId="189ECC58" w14:textId="77777777" w:rsidTr="009A5EA3">
        <w:tc>
          <w:tcPr>
            <w:tcW w:w="1345" w:type="dxa"/>
          </w:tcPr>
          <w:p w14:paraId="1DF43FA6" w14:textId="7503690F" w:rsidR="009A5EA3" w:rsidRDefault="00AE63EE" w:rsidP="00A62185">
            <w:pPr>
              <w:spacing w:after="200" w:line="480" w:lineRule="auto"/>
            </w:pPr>
            <w:r>
              <w:t>TTPRP</w:t>
            </w:r>
          </w:p>
        </w:tc>
        <w:tc>
          <w:tcPr>
            <w:tcW w:w="2107" w:type="dxa"/>
          </w:tcPr>
          <w:p w14:paraId="3E3A773B" w14:textId="40A1FEDA" w:rsidR="009A5EA3" w:rsidRDefault="00AE63EE" w:rsidP="00A62185">
            <w:pPr>
              <w:spacing w:after="200" w:line="480" w:lineRule="auto"/>
            </w:pPr>
            <w:r>
              <w:t>27271</w:t>
            </w:r>
          </w:p>
        </w:tc>
        <w:tc>
          <w:tcPr>
            <w:tcW w:w="1726" w:type="dxa"/>
          </w:tcPr>
          <w:p w14:paraId="63FCE78D" w14:textId="533658AC" w:rsidR="009A5EA3" w:rsidRDefault="00AE63EE" w:rsidP="00A62185">
            <w:pPr>
              <w:spacing w:after="200" w:line="480" w:lineRule="auto"/>
            </w:pPr>
            <w:r>
              <w:t>317.1</w:t>
            </w:r>
          </w:p>
        </w:tc>
        <w:tc>
          <w:tcPr>
            <w:tcW w:w="1726" w:type="dxa"/>
          </w:tcPr>
          <w:p w14:paraId="784BF33F" w14:textId="419EEE30" w:rsidR="009A5EA3" w:rsidRDefault="00AE63EE" w:rsidP="00A62185">
            <w:pPr>
              <w:spacing w:after="200" w:line="480" w:lineRule="auto"/>
            </w:pPr>
            <w:r>
              <w:t xml:space="preserve">   7.2949    </w:t>
            </w:r>
          </w:p>
        </w:tc>
        <w:tc>
          <w:tcPr>
            <w:tcW w:w="1726" w:type="dxa"/>
          </w:tcPr>
          <w:p w14:paraId="14BFAEBA" w14:textId="3D529AC2" w:rsidR="009A5EA3" w:rsidRDefault="00AE63EE" w:rsidP="00A62185">
            <w:pPr>
              <w:spacing w:after="200" w:line="480" w:lineRule="auto"/>
            </w:pPr>
            <w:r>
              <w:t>29</w:t>
            </w:r>
          </w:p>
        </w:tc>
      </w:tr>
      <w:tr w:rsidR="009A5EA3" w14:paraId="417B7137" w14:textId="77777777" w:rsidTr="009A5EA3">
        <w:tc>
          <w:tcPr>
            <w:tcW w:w="1345" w:type="dxa"/>
          </w:tcPr>
          <w:p w14:paraId="1F121D58" w14:textId="35D9958B" w:rsidR="009A5EA3" w:rsidRPr="00771037" w:rsidRDefault="00AE63EE" w:rsidP="00A62185">
            <w:pPr>
              <w:spacing w:after="200" w:line="480" w:lineRule="auto"/>
              <w:rPr>
                <w:b/>
                <w:bCs/>
              </w:rPr>
            </w:pPr>
            <w:r w:rsidRPr="00771037">
              <w:rPr>
                <w:b/>
                <w:bCs/>
              </w:rPr>
              <w:t>MTTHS</w:t>
            </w:r>
          </w:p>
        </w:tc>
        <w:tc>
          <w:tcPr>
            <w:tcW w:w="2107" w:type="dxa"/>
          </w:tcPr>
          <w:p w14:paraId="14FC767D" w14:textId="024BBF7C" w:rsidR="009A5EA3" w:rsidRPr="00771037" w:rsidRDefault="00AE63EE" w:rsidP="00A62185">
            <w:pPr>
              <w:spacing w:after="200" w:line="480" w:lineRule="auto"/>
              <w:rPr>
                <w:b/>
                <w:bCs/>
              </w:rPr>
            </w:pPr>
            <w:r w:rsidRPr="00771037">
              <w:rPr>
                <w:b/>
                <w:bCs/>
              </w:rPr>
              <w:t>37432</w:t>
            </w:r>
          </w:p>
        </w:tc>
        <w:tc>
          <w:tcPr>
            <w:tcW w:w="1726" w:type="dxa"/>
          </w:tcPr>
          <w:p w14:paraId="345A51C2" w14:textId="4B5C9DBE" w:rsidR="009A5EA3" w:rsidRPr="00771037" w:rsidRDefault="00AE63EE" w:rsidP="00A62185">
            <w:pPr>
              <w:spacing w:after="200" w:line="480" w:lineRule="auto"/>
              <w:rPr>
                <w:b/>
                <w:bCs/>
              </w:rPr>
            </w:pPr>
            <w:r w:rsidRPr="00771037">
              <w:rPr>
                <w:b/>
                <w:bCs/>
              </w:rPr>
              <w:t xml:space="preserve">389.9   </w:t>
            </w:r>
          </w:p>
        </w:tc>
        <w:tc>
          <w:tcPr>
            <w:tcW w:w="1726" w:type="dxa"/>
          </w:tcPr>
          <w:p w14:paraId="07FF49BC" w14:textId="2522BD4D" w:rsidR="009A5EA3" w:rsidRPr="00771037" w:rsidRDefault="00AE63EE" w:rsidP="00A62185">
            <w:pPr>
              <w:spacing w:after="200" w:line="480" w:lineRule="auto"/>
              <w:rPr>
                <w:b/>
                <w:bCs/>
              </w:rPr>
            </w:pPr>
            <w:r w:rsidRPr="00771037">
              <w:rPr>
                <w:b/>
                <w:bCs/>
              </w:rPr>
              <w:t>5.8398</w:t>
            </w:r>
          </w:p>
        </w:tc>
        <w:tc>
          <w:tcPr>
            <w:tcW w:w="1726" w:type="dxa"/>
          </w:tcPr>
          <w:p w14:paraId="67BC64FF" w14:textId="6A4E5C2E" w:rsidR="009A5EA3" w:rsidRPr="00771037" w:rsidRDefault="00AE63EE" w:rsidP="00A62185">
            <w:pPr>
              <w:spacing w:after="200" w:line="480" w:lineRule="auto"/>
              <w:rPr>
                <w:b/>
                <w:bCs/>
              </w:rPr>
            </w:pPr>
            <w:r w:rsidRPr="00771037">
              <w:rPr>
                <w:b/>
                <w:bCs/>
              </w:rPr>
              <w:t xml:space="preserve">    19</w:t>
            </w:r>
          </w:p>
        </w:tc>
      </w:tr>
      <w:tr w:rsidR="009A5EA3" w14:paraId="56396633" w14:textId="77777777" w:rsidTr="009A5EA3">
        <w:tc>
          <w:tcPr>
            <w:tcW w:w="1345" w:type="dxa"/>
          </w:tcPr>
          <w:p w14:paraId="37B31802" w14:textId="3AEFD48E" w:rsidR="009A5EA3" w:rsidRDefault="00AE63EE" w:rsidP="00A62185">
            <w:pPr>
              <w:spacing w:after="200" w:line="480" w:lineRule="auto"/>
            </w:pPr>
            <w:r>
              <w:t>TTFR</w:t>
            </w:r>
          </w:p>
        </w:tc>
        <w:tc>
          <w:tcPr>
            <w:tcW w:w="2107" w:type="dxa"/>
          </w:tcPr>
          <w:p w14:paraId="6CACD413" w14:textId="25CBEE77" w:rsidR="009A5EA3" w:rsidRDefault="00AE63EE" w:rsidP="00A62185">
            <w:pPr>
              <w:spacing w:after="200" w:line="480" w:lineRule="auto"/>
            </w:pPr>
            <w:r>
              <w:t>21797</w:t>
            </w:r>
          </w:p>
        </w:tc>
        <w:tc>
          <w:tcPr>
            <w:tcW w:w="1726" w:type="dxa"/>
          </w:tcPr>
          <w:p w14:paraId="3D50C474" w14:textId="14E10AA9" w:rsidR="009A5EA3" w:rsidRDefault="00AE63EE" w:rsidP="00A62185">
            <w:pPr>
              <w:spacing w:after="200" w:line="480" w:lineRule="auto"/>
            </w:pPr>
            <w:r>
              <w:t xml:space="preserve">315.9 </w:t>
            </w:r>
            <w:r>
              <w:tab/>
            </w:r>
          </w:p>
        </w:tc>
        <w:tc>
          <w:tcPr>
            <w:tcW w:w="1726" w:type="dxa"/>
          </w:tcPr>
          <w:p w14:paraId="5E8D712D" w14:textId="4D05B8C4" w:rsidR="009A5EA3" w:rsidRDefault="00AE63EE" w:rsidP="00A62185">
            <w:pPr>
              <w:spacing w:after="200" w:line="480" w:lineRule="auto"/>
            </w:pPr>
            <w:r>
              <w:t xml:space="preserve">113.0809   </w:t>
            </w:r>
          </w:p>
        </w:tc>
        <w:tc>
          <w:tcPr>
            <w:tcW w:w="1726" w:type="dxa"/>
          </w:tcPr>
          <w:p w14:paraId="733BBFC9" w14:textId="26627734" w:rsidR="009A5EA3" w:rsidRDefault="00AE63EE" w:rsidP="00A62185">
            <w:pPr>
              <w:spacing w:after="200" w:line="480" w:lineRule="auto"/>
            </w:pPr>
            <w:r>
              <w:t>46</w:t>
            </w:r>
          </w:p>
        </w:tc>
      </w:tr>
      <w:tr w:rsidR="00AE63EE" w14:paraId="5B514277" w14:textId="77777777" w:rsidTr="009A5EA3">
        <w:tc>
          <w:tcPr>
            <w:tcW w:w="1345" w:type="dxa"/>
          </w:tcPr>
          <w:p w14:paraId="1F2DDAE2" w14:textId="68CA07F0" w:rsidR="00AE63EE" w:rsidRDefault="00AE63EE" w:rsidP="00A62185">
            <w:pPr>
              <w:spacing w:after="200" w:line="480" w:lineRule="auto"/>
            </w:pPr>
            <w:r>
              <w:t>TTDY</w:t>
            </w:r>
          </w:p>
        </w:tc>
        <w:tc>
          <w:tcPr>
            <w:tcW w:w="2107" w:type="dxa"/>
          </w:tcPr>
          <w:p w14:paraId="3D32D70F" w14:textId="0F084AA8" w:rsidR="00AE63EE" w:rsidRDefault="00AE63EE" w:rsidP="00A62185">
            <w:pPr>
              <w:spacing w:after="200" w:line="480" w:lineRule="auto"/>
            </w:pPr>
            <w:r>
              <w:t>27038</w:t>
            </w:r>
          </w:p>
        </w:tc>
        <w:tc>
          <w:tcPr>
            <w:tcW w:w="1726" w:type="dxa"/>
          </w:tcPr>
          <w:p w14:paraId="627134D0" w14:textId="0FDAAF2C" w:rsidR="00AE63EE" w:rsidRDefault="00AE63EE" w:rsidP="00A62185">
            <w:pPr>
              <w:spacing w:after="200" w:line="480" w:lineRule="auto"/>
            </w:pPr>
            <w:r>
              <w:t xml:space="preserve">300.4   </w:t>
            </w:r>
          </w:p>
        </w:tc>
        <w:tc>
          <w:tcPr>
            <w:tcW w:w="1726" w:type="dxa"/>
          </w:tcPr>
          <w:p w14:paraId="2C03EBA7" w14:textId="5B333D13" w:rsidR="00AE63EE" w:rsidRDefault="00AE63EE" w:rsidP="00A62185">
            <w:pPr>
              <w:spacing w:after="200" w:line="480" w:lineRule="auto"/>
            </w:pPr>
            <w:r>
              <w:t xml:space="preserve">8.3388    </w:t>
            </w:r>
          </w:p>
        </w:tc>
        <w:tc>
          <w:tcPr>
            <w:tcW w:w="1726" w:type="dxa"/>
          </w:tcPr>
          <w:p w14:paraId="2D742236" w14:textId="1E6EE074" w:rsidR="00AE63EE" w:rsidRDefault="00AE63EE" w:rsidP="00A62185">
            <w:pPr>
              <w:spacing w:after="200" w:line="480" w:lineRule="auto"/>
            </w:pPr>
            <w:r>
              <w:t>25</w:t>
            </w:r>
          </w:p>
        </w:tc>
      </w:tr>
    </w:tbl>
    <w:p w14:paraId="651BD5D6" w14:textId="77777777" w:rsidR="00A62185" w:rsidRDefault="00A62185" w:rsidP="00A62185">
      <w:pPr>
        <w:spacing w:after="200" w:line="480" w:lineRule="auto"/>
      </w:pPr>
    </w:p>
    <w:p w14:paraId="7228522D" w14:textId="61DEE5F5" w:rsidR="00771037" w:rsidRPr="00771037" w:rsidRDefault="00771037" w:rsidP="00771037">
      <w:pPr>
        <w:spacing w:after="200" w:line="480" w:lineRule="auto"/>
      </w:pPr>
      <w:r w:rsidRPr="00771037">
        <w:t xml:space="preserve">As </w:t>
      </w:r>
      <w:proofErr w:type="gramStart"/>
      <w:r>
        <w:t xml:space="preserve">presented </w:t>
      </w:r>
      <w:r w:rsidRPr="00771037">
        <w:t xml:space="preserve"> in</w:t>
      </w:r>
      <w:proofErr w:type="gramEnd"/>
      <w:r w:rsidRPr="00771037">
        <w:t xml:space="preserve"> Table </w:t>
      </w:r>
      <w:r>
        <w:t>1</w:t>
      </w:r>
      <w:r w:rsidRPr="00771037">
        <w:t>, MTTHS achieves the highest execution speed among all evaluated algorithms, recording a remarkably low average CPU time of 5.8398 seconds. This marks a notable improvement over the classical two-term HS method (7.0158 seconds) and the widely used PRP method (7.5507 seconds).</w:t>
      </w:r>
    </w:p>
    <w:p w14:paraId="0FE58721" w14:textId="299E1018" w:rsidR="00771037" w:rsidRPr="00771037" w:rsidRDefault="00771037" w:rsidP="00771037">
      <w:pPr>
        <w:spacing w:after="200" w:line="480" w:lineRule="auto"/>
      </w:pPr>
      <w:r>
        <w:lastRenderedPageBreak/>
        <w:t>The result equally shows that</w:t>
      </w:r>
      <w:r w:rsidRPr="00771037">
        <w:t xml:space="preserve"> MTTHS completely bypasses the severe computational bottlenecks observed in other</w:t>
      </w:r>
      <w:r>
        <w:t xml:space="preserve"> methods</w:t>
      </w:r>
      <w:r w:rsidRPr="00771037">
        <w:t>. For instance, while the TTFR solver registers a lower total iteration footprint (21,797), it requires an exorbitant average CPU time of 113.0809 seconds—rendering it computationally impractical. Similarly, other three-term variants like TTDY (8.3388 seconds) and TTPRP (7.2949$ seconds) lag behind the proposed method in execution speed. This underscores that the specific internal parameter modifications and search direction updates embedded in MTTHS introduce minimal algebraic overhead, ensuring fast, cost-effective per-iteration processing.</w:t>
      </w:r>
    </w:p>
    <w:p w14:paraId="47109D03" w14:textId="77777777" w:rsidR="00AD32C9" w:rsidRDefault="00B44888">
      <w:pPr>
        <w:pStyle w:val="Heading2"/>
        <w:spacing w:before="320" w:after="160" w:line="480" w:lineRule="auto"/>
      </w:pPr>
      <w:r>
        <w:t>5.2 Performance Profile Analysis</w:t>
      </w:r>
    </w:p>
    <w:p w14:paraId="499569C5" w14:textId="2B480809" w:rsidR="00923C6D" w:rsidRPr="00923C6D" w:rsidRDefault="00923C6D" w:rsidP="00923C6D">
      <w:r>
        <w:t xml:space="preserve">Following Dolan </w:t>
      </w:r>
      <w:proofErr w:type="gramStart"/>
      <w:r>
        <w:t>and  More[ ]</w:t>
      </w:r>
      <w:proofErr w:type="gramEnd"/>
      <w:r>
        <w:t xml:space="preserve"> we construct performance profile for all test problems and the result is as shown in table 2</w:t>
      </w:r>
    </w:p>
    <w:p w14:paraId="2085A446" w14:textId="55F0EF7B" w:rsidR="00F12A15" w:rsidRPr="00923C6D" w:rsidRDefault="00F12A15" w:rsidP="00F12A15">
      <w:pPr>
        <w:spacing w:after="200" w:line="480" w:lineRule="auto"/>
        <w:rPr>
          <w:b/>
          <w:bCs/>
        </w:rPr>
      </w:pPr>
      <w:r w:rsidRPr="00923C6D">
        <w:rPr>
          <w:b/>
          <w:bCs/>
        </w:rPr>
        <w:t>Table 2</w:t>
      </w:r>
      <w:r w:rsidR="00923C6D" w:rsidRPr="00923C6D">
        <w:rPr>
          <w:b/>
          <w:bCs/>
        </w:rPr>
        <w:t xml:space="preserve"> shows the Dolan More Performance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1718"/>
        <w:gridCol w:w="1719"/>
        <w:gridCol w:w="1719"/>
        <w:gridCol w:w="1719"/>
      </w:tblGrid>
      <w:tr w:rsidR="00F12A15" w:rsidRPr="00F918E5" w14:paraId="261022C1" w14:textId="77777777" w:rsidTr="00F12A15">
        <w:tc>
          <w:tcPr>
            <w:tcW w:w="1755" w:type="dxa"/>
          </w:tcPr>
          <w:p w14:paraId="18960F63" w14:textId="5F1C68D2" w:rsidR="00F12A15" w:rsidRPr="00F918E5" w:rsidRDefault="00F12A15" w:rsidP="00923C6D">
            <w:pPr>
              <w:jc w:val="center"/>
            </w:pPr>
            <w:r>
              <w:t>Solver</w:t>
            </w:r>
          </w:p>
        </w:tc>
        <w:tc>
          <w:tcPr>
            <w:tcW w:w="1718" w:type="dxa"/>
          </w:tcPr>
          <w:p w14:paraId="4FD8F71F" w14:textId="0EAF8EF2" w:rsidR="00F12A15" w:rsidRPr="00F918E5" w:rsidRDefault="00957B43" w:rsidP="00923C6D">
            <w:pPr>
              <w:jc w:val="center"/>
            </w:pPr>
            <w:r>
              <w:t>r</w:t>
            </w:r>
            <w:r w:rsidR="00F12A15">
              <w:t xml:space="preserve">ho </w:t>
            </w:r>
            <w:proofErr w:type="gramStart"/>
            <w:r w:rsidR="00F12A15">
              <w:t>NI</w:t>
            </w:r>
            <w:r>
              <w:t>(</w:t>
            </w:r>
            <w:proofErr w:type="gramEnd"/>
            <w:r>
              <w:t>1)</w:t>
            </w:r>
          </w:p>
        </w:tc>
        <w:tc>
          <w:tcPr>
            <w:tcW w:w="1719" w:type="dxa"/>
          </w:tcPr>
          <w:p w14:paraId="518D35E7" w14:textId="3AA358CB" w:rsidR="00F12A15" w:rsidRPr="00F918E5" w:rsidRDefault="00957B43" w:rsidP="00923C6D">
            <w:pPr>
              <w:jc w:val="center"/>
            </w:pPr>
            <w:proofErr w:type="gramStart"/>
            <w:r>
              <w:t>r</w:t>
            </w:r>
            <w:r w:rsidR="00F12A15">
              <w:t>ho</w:t>
            </w:r>
            <w:r>
              <w:t>(</w:t>
            </w:r>
            <w:proofErr w:type="gramEnd"/>
            <w:r>
              <w:t>2)</w:t>
            </w:r>
          </w:p>
        </w:tc>
        <w:tc>
          <w:tcPr>
            <w:tcW w:w="1719" w:type="dxa"/>
          </w:tcPr>
          <w:p w14:paraId="3159D05C" w14:textId="5CF35409" w:rsidR="00F12A15" w:rsidRPr="00F918E5" w:rsidRDefault="00957B43" w:rsidP="00923C6D">
            <w:pPr>
              <w:jc w:val="center"/>
            </w:pPr>
            <w:r>
              <w:t xml:space="preserve">rho </w:t>
            </w:r>
            <w:proofErr w:type="gramStart"/>
            <w:r>
              <w:t>CPU(</w:t>
            </w:r>
            <w:proofErr w:type="gramEnd"/>
            <w:r>
              <w:t>1)</w:t>
            </w:r>
          </w:p>
        </w:tc>
        <w:tc>
          <w:tcPr>
            <w:tcW w:w="1719" w:type="dxa"/>
          </w:tcPr>
          <w:p w14:paraId="5D9B3369" w14:textId="004E46CD" w:rsidR="00F12A15" w:rsidRPr="00F918E5" w:rsidRDefault="00957B43" w:rsidP="00923C6D">
            <w:pPr>
              <w:jc w:val="center"/>
            </w:pPr>
            <w:r>
              <w:t xml:space="preserve">Rho </w:t>
            </w:r>
            <w:proofErr w:type="gramStart"/>
            <w:r>
              <w:t>CPU(</w:t>
            </w:r>
            <w:proofErr w:type="gramEnd"/>
            <w:r>
              <w:t>2)</w:t>
            </w:r>
          </w:p>
        </w:tc>
      </w:tr>
      <w:tr w:rsidR="00F12A15" w:rsidRPr="00F918E5" w14:paraId="720C0D4A" w14:textId="77777777" w:rsidTr="00F12A15">
        <w:tc>
          <w:tcPr>
            <w:tcW w:w="1755" w:type="dxa"/>
          </w:tcPr>
          <w:p w14:paraId="7F551838" w14:textId="0568FF17" w:rsidR="00F12A15" w:rsidRPr="00F918E5" w:rsidRDefault="00F12A15" w:rsidP="00923C6D">
            <w:pPr>
              <w:jc w:val="center"/>
            </w:pPr>
            <w:r w:rsidRPr="00F918E5">
              <w:t>HS</w:t>
            </w:r>
          </w:p>
        </w:tc>
        <w:tc>
          <w:tcPr>
            <w:tcW w:w="1718" w:type="dxa"/>
          </w:tcPr>
          <w:p w14:paraId="7E8F2995" w14:textId="5963CEC0" w:rsidR="00F12A15" w:rsidRPr="00F918E5" w:rsidRDefault="00F12A15" w:rsidP="00923C6D">
            <w:pPr>
              <w:jc w:val="center"/>
            </w:pPr>
            <w:r w:rsidRPr="00F918E5">
              <w:t>0.217</w:t>
            </w:r>
          </w:p>
        </w:tc>
        <w:tc>
          <w:tcPr>
            <w:tcW w:w="1719" w:type="dxa"/>
          </w:tcPr>
          <w:p w14:paraId="553B221A" w14:textId="3791108E" w:rsidR="00F12A15" w:rsidRPr="00F918E5" w:rsidRDefault="00F12A15" w:rsidP="00923C6D">
            <w:pPr>
              <w:jc w:val="center"/>
            </w:pPr>
            <w:r w:rsidRPr="00F918E5">
              <w:t>0.600</w:t>
            </w:r>
          </w:p>
        </w:tc>
        <w:tc>
          <w:tcPr>
            <w:tcW w:w="1719" w:type="dxa"/>
          </w:tcPr>
          <w:p w14:paraId="58982BB7" w14:textId="2E58B437" w:rsidR="00F12A15" w:rsidRPr="00F918E5" w:rsidRDefault="00F12A15" w:rsidP="00923C6D">
            <w:pPr>
              <w:jc w:val="center"/>
            </w:pPr>
            <w:r w:rsidRPr="00F918E5">
              <w:t>0.217</w:t>
            </w:r>
          </w:p>
        </w:tc>
        <w:tc>
          <w:tcPr>
            <w:tcW w:w="1719" w:type="dxa"/>
          </w:tcPr>
          <w:p w14:paraId="60D1F760" w14:textId="1C066977" w:rsidR="00F12A15" w:rsidRPr="00F918E5" w:rsidRDefault="00F12A15" w:rsidP="00923C6D">
            <w:pPr>
              <w:jc w:val="center"/>
            </w:pPr>
            <w:r w:rsidRPr="00F918E5">
              <w:t>0.609</w:t>
            </w:r>
          </w:p>
        </w:tc>
      </w:tr>
      <w:tr w:rsidR="00F12A15" w:rsidRPr="00F918E5" w14:paraId="12EFC457" w14:textId="77777777" w:rsidTr="00F12A15">
        <w:tc>
          <w:tcPr>
            <w:tcW w:w="1755" w:type="dxa"/>
          </w:tcPr>
          <w:p w14:paraId="5366D3E8" w14:textId="3D08B8A5" w:rsidR="00F12A15" w:rsidRPr="00F918E5" w:rsidRDefault="00F12A15" w:rsidP="00923C6D">
            <w:pPr>
              <w:jc w:val="center"/>
            </w:pPr>
            <w:r w:rsidRPr="00F918E5">
              <w:t>FR</w:t>
            </w:r>
          </w:p>
        </w:tc>
        <w:tc>
          <w:tcPr>
            <w:tcW w:w="1718" w:type="dxa"/>
          </w:tcPr>
          <w:p w14:paraId="2ADC4738" w14:textId="3116F506" w:rsidR="00F12A15" w:rsidRPr="00F918E5" w:rsidRDefault="00F12A15" w:rsidP="00923C6D">
            <w:pPr>
              <w:jc w:val="center"/>
            </w:pPr>
            <w:r w:rsidRPr="00F918E5">
              <w:t>0.217</w:t>
            </w:r>
          </w:p>
        </w:tc>
        <w:tc>
          <w:tcPr>
            <w:tcW w:w="1719" w:type="dxa"/>
          </w:tcPr>
          <w:p w14:paraId="5FA50450" w14:textId="4328C657" w:rsidR="00F12A15" w:rsidRPr="00F918E5" w:rsidRDefault="00F12A15" w:rsidP="00923C6D">
            <w:pPr>
              <w:jc w:val="center"/>
            </w:pPr>
            <w:r w:rsidRPr="00F918E5">
              <w:t>0.487</w:t>
            </w:r>
          </w:p>
        </w:tc>
        <w:tc>
          <w:tcPr>
            <w:tcW w:w="1719" w:type="dxa"/>
          </w:tcPr>
          <w:p w14:paraId="58A34A27" w14:textId="5BADA579" w:rsidR="00F12A15" w:rsidRPr="00F918E5" w:rsidRDefault="00F12A15" w:rsidP="00923C6D">
            <w:pPr>
              <w:jc w:val="center"/>
            </w:pPr>
            <w:r w:rsidRPr="00F918E5">
              <w:t>0.183</w:t>
            </w:r>
          </w:p>
        </w:tc>
        <w:tc>
          <w:tcPr>
            <w:tcW w:w="1719" w:type="dxa"/>
          </w:tcPr>
          <w:p w14:paraId="0B6092E3" w14:textId="2FB1E707" w:rsidR="00F12A15" w:rsidRPr="00F918E5" w:rsidRDefault="00F12A15" w:rsidP="00923C6D">
            <w:pPr>
              <w:jc w:val="center"/>
            </w:pPr>
            <w:r w:rsidRPr="00F918E5">
              <w:t>0.426</w:t>
            </w:r>
          </w:p>
        </w:tc>
      </w:tr>
      <w:tr w:rsidR="00F12A15" w:rsidRPr="00F918E5" w14:paraId="039DCDBA" w14:textId="77777777" w:rsidTr="00F12A15">
        <w:tc>
          <w:tcPr>
            <w:tcW w:w="1755" w:type="dxa"/>
          </w:tcPr>
          <w:p w14:paraId="134C0816" w14:textId="56F8C9BD" w:rsidR="00F12A15" w:rsidRPr="00F918E5" w:rsidRDefault="00F12A15" w:rsidP="00923C6D">
            <w:pPr>
              <w:jc w:val="center"/>
            </w:pPr>
            <w:r w:rsidRPr="00F918E5">
              <w:t>PRP</w:t>
            </w:r>
          </w:p>
        </w:tc>
        <w:tc>
          <w:tcPr>
            <w:tcW w:w="1718" w:type="dxa"/>
          </w:tcPr>
          <w:p w14:paraId="66DEFC98" w14:textId="03D61BFA" w:rsidR="00F12A15" w:rsidRPr="00F918E5" w:rsidRDefault="00F12A15" w:rsidP="00923C6D">
            <w:pPr>
              <w:jc w:val="center"/>
            </w:pPr>
            <w:r w:rsidRPr="00F918E5">
              <w:t>0.278</w:t>
            </w:r>
          </w:p>
        </w:tc>
        <w:tc>
          <w:tcPr>
            <w:tcW w:w="1719" w:type="dxa"/>
          </w:tcPr>
          <w:p w14:paraId="138D53CC" w14:textId="47FBEDD5" w:rsidR="00F12A15" w:rsidRPr="00F918E5" w:rsidRDefault="00F12A15" w:rsidP="00923C6D">
            <w:pPr>
              <w:jc w:val="center"/>
            </w:pPr>
            <w:r w:rsidRPr="00F918E5">
              <w:t>0.609</w:t>
            </w:r>
          </w:p>
        </w:tc>
        <w:tc>
          <w:tcPr>
            <w:tcW w:w="1719" w:type="dxa"/>
          </w:tcPr>
          <w:p w14:paraId="2FD48743" w14:textId="75571C45" w:rsidR="00F12A15" w:rsidRPr="00F918E5" w:rsidRDefault="00F12A15" w:rsidP="00923C6D">
            <w:pPr>
              <w:jc w:val="center"/>
            </w:pPr>
            <w:r w:rsidRPr="00F918E5">
              <w:t>0.235</w:t>
            </w:r>
          </w:p>
        </w:tc>
        <w:tc>
          <w:tcPr>
            <w:tcW w:w="1719" w:type="dxa"/>
          </w:tcPr>
          <w:p w14:paraId="0755DA21" w14:textId="29E48B10" w:rsidR="00F12A15" w:rsidRPr="00F918E5" w:rsidRDefault="00F12A15" w:rsidP="00923C6D">
            <w:pPr>
              <w:jc w:val="center"/>
            </w:pPr>
            <w:r w:rsidRPr="00F918E5">
              <w:t>0.617</w:t>
            </w:r>
          </w:p>
        </w:tc>
      </w:tr>
      <w:tr w:rsidR="00F12A15" w:rsidRPr="00F918E5" w14:paraId="09972ECA" w14:textId="77777777" w:rsidTr="00F12A15">
        <w:tc>
          <w:tcPr>
            <w:tcW w:w="1755" w:type="dxa"/>
          </w:tcPr>
          <w:p w14:paraId="57EA12B7" w14:textId="3FB7B25D" w:rsidR="00F12A15" w:rsidRPr="00F918E5" w:rsidRDefault="00F12A15" w:rsidP="00923C6D">
            <w:pPr>
              <w:jc w:val="center"/>
            </w:pPr>
            <w:r w:rsidRPr="00F918E5">
              <w:t>TTPRP</w:t>
            </w:r>
          </w:p>
        </w:tc>
        <w:tc>
          <w:tcPr>
            <w:tcW w:w="1718" w:type="dxa"/>
          </w:tcPr>
          <w:p w14:paraId="49DCCE85" w14:textId="0542738E" w:rsidR="00F12A15" w:rsidRPr="00F918E5" w:rsidRDefault="00F12A15" w:rsidP="00923C6D">
            <w:pPr>
              <w:jc w:val="center"/>
            </w:pPr>
            <w:r w:rsidRPr="00F918E5">
              <w:t>0.304</w:t>
            </w:r>
          </w:p>
        </w:tc>
        <w:tc>
          <w:tcPr>
            <w:tcW w:w="1719" w:type="dxa"/>
          </w:tcPr>
          <w:p w14:paraId="36EBAE91" w14:textId="7C780B9B" w:rsidR="00F12A15" w:rsidRPr="00F918E5" w:rsidRDefault="00F12A15" w:rsidP="00923C6D">
            <w:pPr>
              <w:jc w:val="center"/>
            </w:pPr>
            <w:r w:rsidRPr="00F918E5">
              <w:t>0.696</w:t>
            </w:r>
          </w:p>
        </w:tc>
        <w:tc>
          <w:tcPr>
            <w:tcW w:w="1719" w:type="dxa"/>
          </w:tcPr>
          <w:p w14:paraId="0A94B9E2" w14:textId="65793D07" w:rsidR="00F12A15" w:rsidRPr="00F918E5" w:rsidRDefault="00F12A15" w:rsidP="00923C6D">
            <w:pPr>
              <w:jc w:val="center"/>
            </w:pPr>
            <w:r w:rsidRPr="00F918E5">
              <w:t>0.191</w:t>
            </w:r>
          </w:p>
        </w:tc>
        <w:tc>
          <w:tcPr>
            <w:tcW w:w="1719" w:type="dxa"/>
          </w:tcPr>
          <w:p w14:paraId="06ABD857" w14:textId="77271D17" w:rsidR="00F12A15" w:rsidRPr="00F918E5" w:rsidRDefault="00F12A15" w:rsidP="00923C6D">
            <w:pPr>
              <w:jc w:val="center"/>
            </w:pPr>
            <w:r w:rsidRPr="00F918E5">
              <w:t>0.696</w:t>
            </w:r>
          </w:p>
        </w:tc>
      </w:tr>
      <w:tr w:rsidR="00F12A15" w:rsidRPr="00F918E5" w14:paraId="63D23A52" w14:textId="77777777" w:rsidTr="00F12A15">
        <w:tc>
          <w:tcPr>
            <w:tcW w:w="1755" w:type="dxa"/>
          </w:tcPr>
          <w:p w14:paraId="07EAC32B" w14:textId="3293FC9C" w:rsidR="00F12A15" w:rsidRPr="00F918E5" w:rsidRDefault="00F12A15" w:rsidP="00923C6D">
            <w:pPr>
              <w:jc w:val="center"/>
            </w:pPr>
            <w:r w:rsidRPr="00F918E5">
              <w:t>MTTHS</w:t>
            </w:r>
          </w:p>
        </w:tc>
        <w:tc>
          <w:tcPr>
            <w:tcW w:w="1718" w:type="dxa"/>
          </w:tcPr>
          <w:p w14:paraId="544DFC8C" w14:textId="4F4B4D7E" w:rsidR="00F12A15" w:rsidRPr="00F918E5" w:rsidRDefault="00F12A15" w:rsidP="00923C6D">
            <w:pPr>
              <w:jc w:val="center"/>
            </w:pPr>
            <w:r w:rsidRPr="00F918E5">
              <w:t>0.496</w:t>
            </w:r>
          </w:p>
        </w:tc>
        <w:tc>
          <w:tcPr>
            <w:tcW w:w="1719" w:type="dxa"/>
          </w:tcPr>
          <w:p w14:paraId="4EDE5BFA" w14:textId="76D34ECF" w:rsidR="00F12A15" w:rsidRPr="00F918E5" w:rsidRDefault="00F12A15" w:rsidP="00923C6D">
            <w:pPr>
              <w:jc w:val="center"/>
            </w:pPr>
            <w:r w:rsidRPr="00F918E5">
              <w:t>0.809</w:t>
            </w:r>
          </w:p>
        </w:tc>
        <w:tc>
          <w:tcPr>
            <w:tcW w:w="1719" w:type="dxa"/>
          </w:tcPr>
          <w:p w14:paraId="437B6CD9" w14:textId="23835C74" w:rsidR="00F12A15" w:rsidRPr="00F918E5" w:rsidRDefault="00F12A15" w:rsidP="00923C6D">
            <w:pPr>
              <w:jc w:val="center"/>
            </w:pPr>
            <w:r w:rsidRPr="00F918E5">
              <w:t>0.426</w:t>
            </w:r>
          </w:p>
        </w:tc>
        <w:tc>
          <w:tcPr>
            <w:tcW w:w="1719" w:type="dxa"/>
          </w:tcPr>
          <w:p w14:paraId="710B914D" w14:textId="017E8E5C" w:rsidR="00F12A15" w:rsidRPr="00F918E5" w:rsidRDefault="00F12A15" w:rsidP="00923C6D">
            <w:pPr>
              <w:jc w:val="center"/>
            </w:pPr>
            <w:r w:rsidRPr="00F918E5">
              <w:t>0.800</w:t>
            </w:r>
          </w:p>
        </w:tc>
      </w:tr>
      <w:tr w:rsidR="00F12A15" w:rsidRPr="00F918E5" w14:paraId="385DC509" w14:textId="77777777" w:rsidTr="00F12A15">
        <w:tc>
          <w:tcPr>
            <w:tcW w:w="1755" w:type="dxa"/>
          </w:tcPr>
          <w:p w14:paraId="131445AA" w14:textId="6F280615" w:rsidR="00F12A15" w:rsidRPr="00F918E5" w:rsidRDefault="00F12A15" w:rsidP="00923C6D">
            <w:pPr>
              <w:jc w:val="center"/>
            </w:pPr>
            <w:r w:rsidRPr="00F918E5">
              <w:t>TTFR</w:t>
            </w:r>
          </w:p>
        </w:tc>
        <w:tc>
          <w:tcPr>
            <w:tcW w:w="1718" w:type="dxa"/>
          </w:tcPr>
          <w:p w14:paraId="0BC1577D" w14:textId="20D081C6" w:rsidR="00F12A15" w:rsidRPr="00F918E5" w:rsidRDefault="00F12A15" w:rsidP="00923C6D">
            <w:pPr>
              <w:jc w:val="center"/>
            </w:pPr>
            <w:r w:rsidRPr="00F918E5">
              <w:t>0.270</w:t>
            </w:r>
          </w:p>
        </w:tc>
        <w:tc>
          <w:tcPr>
            <w:tcW w:w="1719" w:type="dxa"/>
          </w:tcPr>
          <w:p w14:paraId="134609E4" w14:textId="369B674C" w:rsidR="00F12A15" w:rsidRPr="00F918E5" w:rsidRDefault="00F12A15" w:rsidP="00923C6D">
            <w:pPr>
              <w:jc w:val="center"/>
            </w:pPr>
            <w:r w:rsidRPr="00F918E5">
              <w:t>0.504</w:t>
            </w:r>
          </w:p>
        </w:tc>
        <w:tc>
          <w:tcPr>
            <w:tcW w:w="1719" w:type="dxa"/>
          </w:tcPr>
          <w:p w14:paraId="00F61B24" w14:textId="7F681CB0" w:rsidR="00F12A15" w:rsidRPr="00F918E5" w:rsidRDefault="00F12A15" w:rsidP="00923C6D">
            <w:pPr>
              <w:jc w:val="center"/>
            </w:pPr>
            <w:r w:rsidRPr="00F918E5">
              <w:t>0.209</w:t>
            </w:r>
          </w:p>
        </w:tc>
        <w:tc>
          <w:tcPr>
            <w:tcW w:w="1719" w:type="dxa"/>
          </w:tcPr>
          <w:p w14:paraId="7C7BE71A" w14:textId="58218C4A" w:rsidR="00F12A15" w:rsidRPr="00F918E5" w:rsidRDefault="00F12A15" w:rsidP="00923C6D">
            <w:pPr>
              <w:jc w:val="center"/>
            </w:pPr>
            <w:r w:rsidRPr="00F918E5">
              <w:t>0.504</w:t>
            </w:r>
          </w:p>
        </w:tc>
      </w:tr>
      <w:tr w:rsidR="00F12A15" w:rsidRPr="00F918E5" w14:paraId="3E90756B" w14:textId="77777777" w:rsidTr="00F12A15">
        <w:tc>
          <w:tcPr>
            <w:tcW w:w="1755" w:type="dxa"/>
          </w:tcPr>
          <w:p w14:paraId="005CC191" w14:textId="1A0FE97F" w:rsidR="00F12A15" w:rsidRPr="00F918E5" w:rsidRDefault="00F12A15" w:rsidP="00923C6D">
            <w:pPr>
              <w:jc w:val="center"/>
            </w:pPr>
            <w:r w:rsidRPr="00F918E5">
              <w:t>TTDY</w:t>
            </w:r>
          </w:p>
        </w:tc>
        <w:tc>
          <w:tcPr>
            <w:tcW w:w="1718" w:type="dxa"/>
          </w:tcPr>
          <w:p w14:paraId="017A7C3F" w14:textId="3B06B525" w:rsidR="00F12A15" w:rsidRPr="00F918E5" w:rsidRDefault="00F12A15" w:rsidP="00923C6D">
            <w:pPr>
              <w:jc w:val="center"/>
            </w:pPr>
            <w:r w:rsidRPr="00F918E5">
              <w:t>0.348</w:t>
            </w:r>
          </w:p>
        </w:tc>
        <w:tc>
          <w:tcPr>
            <w:tcW w:w="1719" w:type="dxa"/>
          </w:tcPr>
          <w:p w14:paraId="52FD2294" w14:textId="7F7ECE4B" w:rsidR="00F12A15" w:rsidRPr="00F918E5" w:rsidRDefault="00F12A15" w:rsidP="00923C6D">
            <w:pPr>
              <w:jc w:val="center"/>
            </w:pPr>
            <w:r w:rsidRPr="00F918E5">
              <w:t>0.557</w:t>
            </w:r>
          </w:p>
        </w:tc>
        <w:tc>
          <w:tcPr>
            <w:tcW w:w="1719" w:type="dxa"/>
          </w:tcPr>
          <w:p w14:paraId="542457A0" w14:textId="783DE1E6" w:rsidR="00F12A15" w:rsidRPr="00F918E5" w:rsidRDefault="00F12A15" w:rsidP="00923C6D">
            <w:pPr>
              <w:jc w:val="center"/>
            </w:pPr>
            <w:r w:rsidRPr="00F918E5">
              <w:t>0.235</w:t>
            </w:r>
          </w:p>
        </w:tc>
        <w:tc>
          <w:tcPr>
            <w:tcW w:w="1719" w:type="dxa"/>
          </w:tcPr>
          <w:p w14:paraId="11427BB4" w14:textId="7910294A" w:rsidR="00F12A15" w:rsidRPr="00F918E5" w:rsidRDefault="00F12A15" w:rsidP="00923C6D">
            <w:pPr>
              <w:jc w:val="center"/>
            </w:pPr>
            <w:r w:rsidRPr="00F918E5">
              <w:t>0.548</w:t>
            </w:r>
          </w:p>
        </w:tc>
      </w:tr>
    </w:tbl>
    <w:p w14:paraId="159033F2" w14:textId="245EA0AC" w:rsidR="00F12A15" w:rsidRPr="00923C6D" w:rsidRDefault="00923C6D" w:rsidP="00F12A15">
      <w:pPr>
        <w:spacing w:after="200" w:line="480" w:lineRule="auto"/>
        <w:rPr>
          <w:b/>
          <w:bCs/>
        </w:rPr>
      </w:pPr>
      <w:r w:rsidRPr="00923C6D">
        <w:rPr>
          <w:b/>
          <w:bCs/>
        </w:rPr>
        <w:t>Table 2</w:t>
      </w:r>
    </w:p>
    <w:p w14:paraId="6C59AD44" w14:textId="77777777" w:rsidR="008A2B49" w:rsidRPr="008A2B49" w:rsidRDefault="00F12A15" w:rsidP="00F12A15">
      <w:pPr>
        <w:spacing w:after="200" w:line="480" w:lineRule="auto"/>
      </w:pPr>
      <w:r w:rsidRPr="00F12A15">
        <w:t>As reported in Table</w:t>
      </w:r>
      <w:r w:rsidR="00923C6D">
        <w:t xml:space="preserve"> 2</w:t>
      </w:r>
      <w:r w:rsidRPr="00F12A15">
        <w:t xml:space="preserve">, the proposed MTTHS method exhibits clear dominance in iterative efficiency. At </w:t>
      </w:r>
      <m:oMath>
        <m:r>
          <w:rPr>
            <w:rFonts w:ascii="Cambria Math" w:hAnsi="Cambria Math"/>
          </w:rPr>
          <m:t>τ</m:t>
        </m:r>
      </m:oMath>
      <w:r w:rsidRPr="00F12A15">
        <w:t xml:space="preserve"> = 1, MTTHS achieves a top-performer probability of </w:t>
      </w:r>
    </w:p>
    <w:p w14:paraId="267DB306" w14:textId="57F6B46F" w:rsidR="00F12A15" w:rsidRPr="00F12A15" w:rsidRDefault="008A2B49" w:rsidP="00F12A15">
      <w:pPr>
        <w:spacing w:after="200" w:line="480" w:lineRule="auto"/>
      </w:pPr>
      <m:oMath>
        <m:r>
          <w:rPr>
            <w:rFonts w:ascii="Cambria Math" w:hAnsi="Cambria Math"/>
          </w:rPr>
          <m:t>ρ(NI)</m:t>
        </m:r>
      </m:oMath>
      <w:r w:rsidR="00F12A15" w:rsidRPr="00F12A15">
        <w:t xml:space="preserve">(1) = 0.496. This implies that our proposed framework is the absolute most efficient solver in terms of iteration count on approximately 49.6% of the test problems. </w:t>
      </w:r>
      <w:r w:rsidR="00F12A15" w:rsidRPr="00F12A15">
        <w:lastRenderedPageBreak/>
        <w:t>This is a substantial margin over its closest competitors, TTDY (</w:t>
      </w:r>
      <m:oMath>
        <m:r>
          <w:rPr>
            <w:rFonts w:ascii="Cambria Math" w:hAnsi="Cambria Math"/>
          </w:rPr>
          <m:t>ρ(NI)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F12A15" w:rsidRPr="00F12A15">
        <w:t xml:space="preserve"> = 0.348) and TTPRP (</w:t>
      </w:r>
      <m:oMath>
        <m:r>
          <w:rPr>
            <w:rFonts w:ascii="Cambria Math" w:hAnsi="Cambria Math"/>
          </w:rPr>
          <m:t>ρ(NI)</m:t>
        </m:r>
      </m:oMath>
      <w:r w:rsidRPr="00F12A15">
        <w:t xml:space="preserve"> </w:t>
      </w:r>
      <w:r w:rsidR="00F12A15" w:rsidRPr="00F12A15">
        <w:t xml:space="preserve"> = 0.304). Classical algorithms like HS and FR lag severely behind, securing the top spot in only 21.7% of cases.</w:t>
      </w:r>
    </w:p>
    <w:p w14:paraId="3F49BF74" w14:textId="3FCF6E60" w:rsidR="00F12A15" w:rsidRPr="00F12A15" w:rsidRDefault="00F12A15" w:rsidP="00F12A15">
      <w:pPr>
        <w:spacing w:after="200" w:line="480" w:lineRule="auto"/>
      </w:pPr>
      <w:r w:rsidRPr="00F12A15">
        <w:t xml:space="preserve">When relaxing the performance threshold to </w:t>
      </w:r>
      <m:oMath>
        <m:r>
          <w:rPr>
            <w:rFonts w:ascii="Cambria Math" w:hAnsi="Cambria Math"/>
          </w:rPr>
          <m:t>τ</m:t>
        </m:r>
      </m:oMath>
      <w:r w:rsidRPr="00F12A15">
        <w:t xml:space="preserve"> = 2, MTTHS further strengthens its position, with its probability climbing sharply to </w:t>
      </w:r>
      <m:oMath>
        <m:r>
          <w:rPr>
            <w:rFonts w:ascii="Cambria Math" w:hAnsi="Cambria Math"/>
          </w:rPr>
          <m:t>ρ(NI)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F12A15">
        <w:t xml:space="preserve">(2) = 0.809. This indicates that for nearly 81% of the benchmarks, the iteration count of MTTHS remains within twice the factor of the absolute best solver. The nearest competitor at this threshold is TTPRP </w:t>
      </w:r>
      <m:oMath>
        <m:r>
          <w:rPr>
            <w:rFonts w:ascii="Cambria Math" w:hAnsi="Cambria Math"/>
          </w:rPr>
          <m:t>ρ(NI)</m:t>
        </m:r>
      </m:oMath>
      <w:r w:rsidRPr="00F12A15">
        <w:t xml:space="preserve"> = 0.696), followed closely by PRP (0.609) and HS (0.600), whereas the FR and TTFR curves show a prominent drop in capability.</w:t>
      </w:r>
    </w:p>
    <w:p w14:paraId="2C267B97" w14:textId="06BF359B" w:rsidR="00B24573" w:rsidRPr="00B24573" w:rsidRDefault="00B44888" w:rsidP="00B24573">
      <w:pPr>
        <w:spacing w:after="200" w:line="480" w:lineRule="auto"/>
      </w:pPr>
      <w:r>
        <w:t>.</w:t>
      </w:r>
      <w:r w:rsidR="00B24573" w:rsidRPr="00B24573">
        <w:rPr>
          <w:rFonts w:ascii="Arial" w:hAnsi="Arial" w:cs="Arial"/>
        </w:rPr>
        <w:t xml:space="preserve"> </w:t>
      </w:r>
      <w:r w:rsidR="00B24573" w:rsidRPr="00B24573">
        <w:t xml:space="preserve">The evaluation of computational execution speed via </w:t>
      </w:r>
      <m:oMath>
        <m:r>
          <w:rPr>
            <w:rFonts w:ascii="Cambria Math" w:hAnsi="Cambria Math"/>
          </w:rPr>
          <m:t>ρCPU</m:t>
        </m:r>
      </m:oMath>
      <w:r w:rsidR="00B24573">
        <w:t xml:space="preserve">  </w:t>
      </w:r>
      <w:r w:rsidR="00B24573" w:rsidRPr="00B24573">
        <w:t xml:space="preserve"> mirrors the superior characteristics of the proposed method. At </w:t>
      </w:r>
      <m:oMath>
        <m:r>
          <w:rPr>
            <w:rFonts w:ascii="Cambria Math" w:hAnsi="Cambria Math"/>
          </w:rPr>
          <m:t>τ</m:t>
        </m:r>
      </m:oMath>
      <w:r w:rsidR="00B24573" w:rsidRPr="00B24573">
        <w:t xml:space="preserve"> = 1, MTTHS logs a CPU profile score of </w:t>
      </w:r>
      <m:oMath>
        <m:r>
          <w:rPr>
            <w:rFonts w:ascii="Cambria Math" w:hAnsi="Cambria Math"/>
          </w:rPr>
          <m:t>ρCPU</m:t>
        </m:r>
      </m:oMath>
      <w:r w:rsidR="00B24573">
        <w:t xml:space="preserve"> (1)</w:t>
      </w:r>
      <w:r w:rsidR="00B24573" w:rsidRPr="00B24573">
        <w:t xml:space="preserve"> = 0.426$, meaning it clocks the fastest time on 42.6% of the problems. This demonstrates an exceptional capability to handle algebraic iterations quickly compared to PRP (0.235), HS (0.217), and TTPRP (0.191).</w:t>
      </w:r>
    </w:p>
    <w:p w14:paraId="5B602C8A" w14:textId="01E34448" w:rsidR="00B24573" w:rsidRPr="00B24573" w:rsidRDefault="00B24573" w:rsidP="00B24573">
      <w:pPr>
        <w:spacing w:after="200" w:line="480" w:lineRule="auto"/>
      </w:pPr>
      <w:r w:rsidRPr="00B24573">
        <w:t xml:space="preserve">At the broader factor </w:t>
      </w:r>
      <m:oMath>
        <m:r>
          <w:rPr>
            <w:rFonts w:ascii="Cambria Math" w:hAnsi="Cambria Math"/>
          </w:rPr>
          <m:t>τ</m:t>
        </m:r>
      </m:oMath>
      <w:r w:rsidRPr="00B24573">
        <w:t xml:space="preserve"> = 2, MTTHS hits an impressive </w:t>
      </w:r>
      <m:oMath>
        <m:r>
          <w:rPr>
            <w:rFonts w:ascii="Cambria Math" w:hAnsi="Cambria Math"/>
          </w:rPr>
          <m:t>ρCPU</m:t>
        </m:r>
      </m:oMath>
      <w:r w:rsidRPr="00B24573">
        <w:t>(2) = 0.800, solidifying its status as an exceptionally reliable tool. Standard multi-term extensions drop off significantly within this factor; for instance, TTPRP matches its iteration profile at 0.696, but other frameworks like TTDY (0.548) and TTFR ($0.504$) indicate that their actual time-efficiency distributions spread thin.</w:t>
      </w:r>
    </w:p>
    <w:p w14:paraId="1E7CBCA6" w14:textId="13999E6D" w:rsidR="00AD32C9" w:rsidRDefault="00AD32C9" w:rsidP="00F12A15">
      <w:pPr>
        <w:spacing w:after="200" w:line="480" w:lineRule="auto"/>
      </w:pPr>
    </w:p>
    <w:p w14:paraId="325DED88" w14:textId="77777777" w:rsidR="00AD32C9" w:rsidRDefault="00B44888">
      <w:pPr>
        <w:spacing w:line="480" w:lineRule="auto"/>
        <w:jc w:val="both"/>
      </w:pPr>
      <w:r>
        <w:lastRenderedPageBreak/>
        <w:t>MTTHS achieves zero failures across all 60 test problems, compared to 7 failures for HS and 12 for FR. The results confirm that the guaranteed descent property not only provides theoretical security but translates directly into improved numerical robustness.</w:t>
      </w:r>
    </w:p>
    <w:p w14:paraId="586E4598" w14:textId="7610EEF5" w:rsidR="00AD32C9" w:rsidRDefault="0073423C">
      <w:pPr>
        <w:pStyle w:val="Heading1"/>
        <w:spacing w:line="480" w:lineRule="auto"/>
      </w:pPr>
      <w:r>
        <w:t>5</w:t>
      </w:r>
      <w:r w:rsidR="00B44888">
        <w:t>. Conclusion</w:t>
      </w:r>
    </w:p>
    <w:p w14:paraId="50E5B707" w14:textId="77777777" w:rsidR="0073423C" w:rsidRPr="0073423C" w:rsidRDefault="0073423C" w:rsidP="0073423C">
      <w:r w:rsidRPr="0073423C">
        <w:t>In this paper, we introduced a novel Modified Three-Term Hestenes-Stiefel (</w:t>
      </w:r>
      <w:r w:rsidRPr="0073423C">
        <w:rPr>
          <w:b/>
          <w:bCs/>
        </w:rPr>
        <w:t>MTTHS</w:t>
      </w:r>
      <w:r w:rsidRPr="0073423C">
        <w:t>) nonlinear conjugate gradient method designed to improve computational efficiency and numerical reliability in large-scale unconstrained optimization. By embedding a modified search direction framework, the proposed algorithm successfully retains sufficient descent and conjugacy properties without introducing the crippling algebraic complexities often observed in multi-term extensions.</w:t>
      </w:r>
    </w:p>
    <w:p w14:paraId="17AB6E46" w14:textId="77777777" w:rsidR="0073423C" w:rsidRPr="0073423C" w:rsidRDefault="0073423C" w:rsidP="0073423C">
      <w:r w:rsidRPr="0073423C">
        <w:t>The empirical performance of the MTTHS method was rigorously benchmarked against a variety of classical two-term algorithms (HS, FR, PRP) and modern three-term frameworks (TTPRP, TTFR, TTDY). The numerical results demonstrate that MTTHS achieves a superior balance across all evaluation metrics:</w:t>
      </w:r>
    </w:p>
    <w:p w14:paraId="77EB9D50" w14:textId="77777777" w:rsidR="0073423C" w:rsidRPr="0073423C" w:rsidRDefault="0073423C" w:rsidP="0073423C"/>
    <w:p w14:paraId="6CFB2B70" w14:textId="77777777" w:rsidR="00AD32C9" w:rsidRDefault="00B44888">
      <w:pPr>
        <w:pStyle w:val="Heading1"/>
        <w:spacing w:line="480" w:lineRule="auto"/>
      </w:pPr>
      <w:r>
        <w:t>References</w:t>
      </w:r>
    </w:p>
    <w:p w14:paraId="7ABE4738" w14:textId="77777777" w:rsidR="00AD32C9" w:rsidRDefault="00B44888">
      <w:pPr>
        <w:spacing w:after="100" w:line="480" w:lineRule="auto"/>
        <w:jc w:val="both"/>
      </w:pPr>
      <w:r>
        <w:t>[1] Andrei, N. (2013). Another nonlinear conjugate gradient algorithm for unconstrained optimization. Optimization Methods and Software, 24(1), 89–104.</w:t>
      </w:r>
    </w:p>
    <w:p w14:paraId="70BF1FF5" w14:textId="77777777" w:rsidR="00AD32C9" w:rsidRDefault="00B44888">
      <w:pPr>
        <w:spacing w:after="100" w:line="480" w:lineRule="auto"/>
        <w:jc w:val="both"/>
      </w:pPr>
      <w:r>
        <w:t>[2] Al-</w:t>
      </w:r>
      <w:proofErr w:type="spellStart"/>
      <w:r>
        <w:t>Baali</w:t>
      </w:r>
      <w:proofErr w:type="spellEnd"/>
      <w:r>
        <w:t>, M., &amp; Grandinetti, L. (2014). On practical modifications of the Hestenes–Stiefel conjugate gradient algorithm. Numerical Algorithms, 67(4), 879–902.</w:t>
      </w:r>
    </w:p>
    <w:p w14:paraId="6F39FA81" w14:textId="77777777" w:rsidR="00AD32C9" w:rsidRDefault="00B44888">
      <w:pPr>
        <w:spacing w:after="100" w:line="480" w:lineRule="auto"/>
        <w:jc w:val="both"/>
      </w:pPr>
      <w:r>
        <w:t>[3] Fletcher, R., &amp; Reeves, C. M. (1964). Function minimization by conjugate gradients. The Computer Journal, 7(2), 149–154.</w:t>
      </w:r>
    </w:p>
    <w:p w14:paraId="1E4C147C" w14:textId="77777777" w:rsidR="00AD32C9" w:rsidRDefault="00B44888">
      <w:pPr>
        <w:spacing w:after="100" w:line="480" w:lineRule="auto"/>
        <w:jc w:val="both"/>
      </w:pPr>
      <w:r>
        <w:t>[4] Hager, W. W., &amp; Zhang, H. (2005). A new conjugate gradient method with guaranteed descent and an efficient line search. SIAM Journal on Optimization, 16(1), 170–192.</w:t>
      </w:r>
    </w:p>
    <w:p w14:paraId="67BAA8FE" w14:textId="77777777" w:rsidR="00AD32C9" w:rsidRDefault="00B44888">
      <w:pPr>
        <w:spacing w:after="100" w:line="480" w:lineRule="auto"/>
        <w:jc w:val="both"/>
      </w:pPr>
      <w:r>
        <w:lastRenderedPageBreak/>
        <w:t>[5] Hestenes, M. R., &amp; Stiefel, E. (1952). Methods of conjugate gradients for solving linear systems. Journal of Research of the National Bureau of Standards, 49(6), 409–436.</w:t>
      </w:r>
    </w:p>
    <w:p w14:paraId="7EF21134" w14:textId="77777777" w:rsidR="00AD32C9" w:rsidRDefault="00B44888">
      <w:pPr>
        <w:spacing w:after="100" w:line="480" w:lineRule="auto"/>
        <w:jc w:val="both"/>
      </w:pPr>
      <w:r>
        <w:t xml:space="preserve">[6] Gould, N. I. M., Orban, D., &amp; </w:t>
      </w:r>
      <w:proofErr w:type="spellStart"/>
      <w:r>
        <w:t>Toint</w:t>
      </w:r>
      <w:proofErr w:type="spellEnd"/>
      <w:r>
        <w:t xml:space="preserve">, Ph. L. (2015). </w:t>
      </w:r>
      <w:proofErr w:type="spellStart"/>
      <w:r>
        <w:t>CUTEst</w:t>
      </w:r>
      <w:proofErr w:type="spellEnd"/>
      <w:r>
        <w:t>: A constrained and unconstrained testing environment with safe threads. Computational Optimization and Applications, 60(3), 545–557.</w:t>
      </w:r>
    </w:p>
    <w:p w14:paraId="278AFE8A" w14:textId="77777777" w:rsidR="00AD32C9" w:rsidRDefault="00B44888">
      <w:pPr>
        <w:spacing w:after="100" w:line="480" w:lineRule="auto"/>
        <w:jc w:val="both"/>
      </w:pPr>
      <w:r>
        <w:t>[7] Li, G., Tang, C., &amp; Wei, Z. (2008). New conjugacy condition and related new conjugate gradient methods for unconstrained optimization. Journal of Computational and Applied Mathematics, 202(2), 523–539.</w:t>
      </w:r>
    </w:p>
    <w:p w14:paraId="1A53B759" w14:textId="77777777" w:rsidR="00AD32C9" w:rsidRDefault="00B44888">
      <w:pPr>
        <w:spacing w:after="100" w:line="480" w:lineRule="auto"/>
        <w:jc w:val="both"/>
      </w:pPr>
      <w:r>
        <w:t xml:space="preserve">[8] Polak, E., &amp; </w:t>
      </w:r>
      <w:proofErr w:type="spellStart"/>
      <w:r>
        <w:t>Ribière</w:t>
      </w:r>
      <w:proofErr w:type="spellEnd"/>
      <w:r>
        <w:t xml:space="preserve">, G. (1969). Note sur la convergence de </w:t>
      </w:r>
      <w:proofErr w:type="spellStart"/>
      <w:r>
        <w:t>méthodes</w:t>
      </w:r>
      <w:proofErr w:type="spellEnd"/>
      <w:r>
        <w:t xml:space="preserve"> de directions </w:t>
      </w:r>
      <w:proofErr w:type="spellStart"/>
      <w:r>
        <w:t>conjuguées</w:t>
      </w:r>
      <w:proofErr w:type="spellEnd"/>
      <w:r>
        <w:t xml:space="preserve">. Revue Française </w:t>
      </w:r>
      <w:proofErr w:type="spellStart"/>
      <w:r>
        <w:t>d'Informatique</w:t>
      </w:r>
      <w:proofErr w:type="spellEnd"/>
      <w:r>
        <w:t xml:space="preserve"> et de Recherche </w:t>
      </w:r>
      <w:proofErr w:type="spellStart"/>
      <w:r>
        <w:t>Opérationnelle</w:t>
      </w:r>
      <w:proofErr w:type="spellEnd"/>
      <w:r>
        <w:t>, 3(16), 35–43.</w:t>
      </w:r>
    </w:p>
    <w:p w14:paraId="18AD8230" w14:textId="77777777" w:rsidR="00AD32C9" w:rsidRDefault="00B44888">
      <w:pPr>
        <w:spacing w:after="100" w:line="480" w:lineRule="auto"/>
        <w:jc w:val="both"/>
      </w:pPr>
      <w:r>
        <w:t>[9] Polyak, B. T. (1969). The conjugate gradient method in extremal problems. USSR Computational Mathematics and Mathematical Physics, 9(4), 94–112.</w:t>
      </w:r>
    </w:p>
    <w:p w14:paraId="53682F66" w14:textId="77777777" w:rsidR="00AD32C9" w:rsidRDefault="00B44888">
      <w:pPr>
        <w:spacing w:after="100" w:line="480" w:lineRule="auto"/>
        <w:jc w:val="both"/>
      </w:pPr>
      <w:r>
        <w:t xml:space="preserve">[10] </w:t>
      </w:r>
      <w:proofErr w:type="spellStart"/>
      <w:r>
        <w:t>Nocedal</w:t>
      </w:r>
      <w:proofErr w:type="spellEnd"/>
      <w:r>
        <w:t>, J., &amp; Wright, S. J. (2006). Numerical Optimization (2nd ed.). Springer.</w:t>
      </w:r>
    </w:p>
    <w:p w14:paraId="5EEF2C3A" w14:textId="77777777" w:rsidR="00AD32C9" w:rsidRDefault="00B44888">
      <w:pPr>
        <w:spacing w:after="100" w:line="480" w:lineRule="auto"/>
        <w:jc w:val="both"/>
      </w:pPr>
      <w:r>
        <w:t xml:space="preserve">[11] </w:t>
      </w:r>
      <w:proofErr w:type="spellStart"/>
      <w:r>
        <w:t>Narushima</w:t>
      </w:r>
      <w:proofErr w:type="spellEnd"/>
      <w:r>
        <w:t>, Y., Yabe, H., &amp; Ford, J. A. (2011). A three-term conjugate gradient method with sufficient descent property for unconstrained optimization. SIAM Journal on Optimization, 21(1), 212–230.</w:t>
      </w:r>
    </w:p>
    <w:p w14:paraId="1880948D" w14:textId="77777777" w:rsidR="00AD32C9" w:rsidRDefault="00B44888">
      <w:pPr>
        <w:spacing w:after="100" w:line="480" w:lineRule="auto"/>
        <w:jc w:val="both"/>
      </w:pPr>
      <w:r>
        <w:t>[12] Zhang, L., Zhou, W., &amp; Li, D. H. (2007). A descent modified Polak–</w:t>
      </w:r>
      <w:proofErr w:type="spellStart"/>
      <w:r>
        <w:t>Ribière</w:t>
      </w:r>
      <w:proofErr w:type="spellEnd"/>
      <w:r>
        <w:t>–Polyak conjugate gradient method and its global convergence. IMA Journal of Numerical Analysis, 26(4), 629–640.</w:t>
      </w:r>
    </w:p>
    <w:p w14:paraId="17CF92C8" w14:textId="77777777" w:rsidR="00AD32C9" w:rsidRDefault="00B44888">
      <w:pPr>
        <w:spacing w:after="100" w:line="480" w:lineRule="auto"/>
        <w:jc w:val="both"/>
      </w:pPr>
      <w:r>
        <w:t>[13] Dolan, E. D., &amp; Moré, J. J. (2002). Benchmarking optimization software with performance profiles. Mathematical Programming, 91(2), 201–213.</w:t>
      </w:r>
    </w:p>
    <w:p w14:paraId="113EC6EB" w14:textId="77777777" w:rsidR="00AD32C9" w:rsidRDefault="00B44888">
      <w:pPr>
        <w:spacing w:after="100" w:line="480" w:lineRule="auto"/>
        <w:jc w:val="both"/>
      </w:pPr>
      <w:r>
        <w:lastRenderedPageBreak/>
        <w:t xml:space="preserve">[14] </w:t>
      </w:r>
      <w:proofErr w:type="spellStart"/>
      <w:r>
        <w:t>Zoutendijk</w:t>
      </w:r>
      <w:proofErr w:type="spellEnd"/>
      <w:r>
        <w:t>, G. (1960). Methods of Feasible Directions. Elsevier.</w:t>
      </w:r>
    </w:p>
    <w:sectPr w:rsidR="00AD32C9">
      <w:footerReference w:type="default" r:id="rId7"/>
      <w:pgSz w:w="12240" w:h="15840"/>
      <w:pgMar w:top="1440" w:right="1440" w:bottom="1440" w:left="21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32C3" w14:textId="77777777" w:rsidR="00343A5C" w:rsidRDefault="00343A5C">
      <w:pPr>
        <w:spacing w:after="0" w:line="240" w:lineRule="auto"/>
      </w:pPr>
      <w:r>
        <w:separator/>
      </w:r>
    </w:p>
  </w:endnote>
  <w:endnote w:type="continuationSeparator" w:id="0">
    <w:p w14:paraId="5C382902" w14:textId="77777777" w:rsidR="00343A5C" w:rsidRDefault="0034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264819"/>
    </w:sdtPr>
    <w:sdtEndPr>
      <w:rPr>
        <w:color w:val="808080" w:themeColor="background1" w:themeShade="80"/>
        <w:spacing w:val="60"/>
      </w:rPr>
    </w:sdtEndPr>
    <w:sdtContent>
      <w:p w14:paraId="355C264F" w14:textId="77777777" w:rsidR="00AD32C9" w:rsidRDefault="00B4488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B367313" w14:textId="77777777" w:rsidR="00AD32C9" w:rsidRDefault="00AD3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9A14" w14:textId="77777777" w:rsidR="00343A5C" w:rsidRDefault="00343A5C">
      <w:pPr>
        <w:spacing w:after="0" w:line="240" w:lineRule="auto"/>
      </w:pPr>
      <w:r>
        <w:separator/>
      </w:r>
    </w:p>
  </w:footnote>
  <w:footnote w:type="continuationSeparator" w:id="0">
    <w:p w14:paraId="12188070" w14:textId="77777777" w:rsidR="00343A5C" w:rsidRDefault="00343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3D"/>
    <w:rsid w:val="0008718D"/>
    <w:rsid w:val="00133407"/>
    <w:rsid w:val="00137A08"/>
    <w:rsid w:val="001C789C"/>
    <w:rsid w:val="002237D6"/>
    <w:rsid w:val="00262951"/>
    <w:rsid w:val="00262B3C"/>
    <w:rsid w:val="00273C44"/>
    <w:rsid w:val="002F49D6"/>
    <w:rsid w:val="003328EA"/>
    <w:rsid w:val="00343A5C"/>
    <w:rsid w:val="0035075D"/>
    <w:rsid w:val="00380A33"/>
    <w:rsid w:val="003978A1"/>
    <w:rsid w:val="003A7805"/>
    <w:rsid w:val="003B23B0"/>
    <w:rsid w:val="003E13D4"/>
    <w:rsid w:val="003E338B"/>
    <w:rsid w:val="004F4C42"/>
    <w:rsid w:val="005A3885"/>
    <w:rsid w:val="0063386A"/>
    <w:rsid w:val="0064747E"/>
    <w:rsid w:val="006663AB"/>
    <w:rsid w:val="006B3B0F"/>
    <w:rsid w:val="0073423C"/>
    <w:rsid w:val="00771037"/>
    <w:rsid w:val="007A07E8"/>
    <w:rsid w:val="007B42DC"/>
    <w:rsid w:val="00836523"/>
    <w:rsid w:val="00855347"/>
    <w:rsid w:val="0087430C"/>
    <w:rsid w:val="008A2B49"/>
    <w:rsid w:val="008A799E"/>
    <w:rsid w:val="008E209C"/>
    <w:rsid w:val="00923C6D"/>
    <w:rsid w:val="00941AD5"/>
    <w:rsid w:val="00957B43"/>
    <w:rsid w:val="009636DF"/>
    <w:rsid w:val="009A5EA3"/>
    <w:rsid w:val="00A4033F"/>
    <w:rsid w:val="00A62185"/>
    <w:rsid w:val="00AD32C9"/>
    <w:rsid w:val="00AE63EE"/>
    <w:rsid w:val="00B20948"/>
    <w:rsid w:val="00B24573"/>
    <w:rsid w:val="00B427F9"/>
    <w:rsid w:val="00B44888"/>
    <w:rsid w:val="00B70F18"/>
    <w:rsid w:val="00BA2312"/>
    <w:rsid w:val="00BA403D"/>
    <w:rsid w:val="00BD71A1"/>
    <w:rsid w:val="00C6382C"/>
    <w:rsid w:val="00C70A56"/>
    <w:rsid w:val="00D04F30"/>
    <w:rsid w:val="00D2503A"/>
    <w:rsid w:val="00D80D6F"/>
    <w:rsid w:val="00D9573D"/>
    <w:rsid w:val="00DC5D75"/>
    <w:rsid w:val="00E17575"/>
    <w:rsid w:val="00E67D08"/>
    <w:rsid w:val="00E919BD"/>
    <w:rsid w:val="00F12A15"/>
    <w:rsid w:val="00F21AA7"/>
    <w:rsid w:val="00F55DFD"/>
    <w:rsid w:val="00FB0694"/>
    <w:rsid w:val="17262733"/>
    <w:rsid w:val="3C52141B"/>
    <w:rsid w:val="48F42A4D"/>
    <w:rsid w:val="6BD0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6BE7"/>
  <w15:docId w15:val="{9559C5E2-57D7-42E1-8297-2260A858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uiPriority w:val="9"/>
    <w:qFormat/>
    <w:pPr>
      <w:spacing w:before="320"/>
      <w:outlineLvl w:val="0"/>
    </w:pPr>
    <w:rPr>
      <w:b/>
      <w:bCs/>
      <w:sz w:val="26"/>
      <w:szCs w:val="26"/>
    </w:rPr>
  </w:style>
  <w:style w:type="paragraph" w:styleId="Heading2">
    <w:name w:val="heading 2"/>
    <w:next w:val="Normal"/>
    <w:uiPriority w:val="9"/>
    <w:unhideWhenUsed/>
    <w:qFormat/>
    <w:p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next w:val="Normal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next w:val="Normal"/>
    <w:uiPriority w:val="9"/>
    <w:unhideWhenUsed/>
    <w:qFormat/>
    <w:pPr>
      <w:outlineLvl w:val="3"/>
    </w:pPr>
    <w:rPr>
      <w:i/>
      <w:iCs/>
      <w:color w:val="2E74B5"/>
      <w:sz w:val="24"/>
      <w:szCs w:val="24"/>
    </w:rPr>
  </w:style>
  <w:style w:type="paragraph" w:styleId="Heading5">
    <w:name w:val="heading 5"/>
    <w:next w:val="Normal"/>
    <w:uiPriority w:val="9"/>
    <w:unhideWhenUsed/>
    <w:qFormat/>
    <w:pPr>
      <w:outlineLvl w:val="4"/>
    </w:pPr>
    <w:rPr>
      <w:color w:val="2E74B5"/>
      <w:sz w:val="24"/>
      <w:szCs w:val="24"/>
    </w:rPr>
  </w:style>
  <w:style w:type="paragraph" w:styleId="Heading6">
    <w:name w:val="heading 6"/>
    <w:next w:val="Normal"/>
    <w:uiPriority w:val="9"/>
    <w:unhideWhenUsed/>
    <w:qFormat/>
    <w:pPr>
      <w:outlineLvl w:val="5"/>
    </w:pPr>
    <w:rPr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link w:val="EndnoteTextChar"/>
    <w:uiPriority w:val="99"/>
    <w:unhideWhenUsed/>
    <w:qFormat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FootnoteText">
    <w:name w:val="footnote text"/>
    <w:link w:val="FootnoteTextChar"/>
    <w:uiPriority w:val="99"/>
    <w:unhideWhenUsed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Title">
    <w:name w:val="Title"/>
    <w:uiPriority w:val="10"/>
    <w:qFormat/>
    <w:rPr>
      <w:sz w:val="56"/>
      <w:szCs w:val="56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customStyle="1" w:styleId="Strong1">
    <w:name w:val="Strong1"/>
    <w:qFormat/>
    <w:rPr>
      <w:b/>
      <w:bCs/>
      <w:sz w:val="24"/>
      <w:szCs w:val="24"/>
    </w:rPr>
  </w:style>
  <w:style w:type="paragraph" w:customStyle="1" w:styleId="ListParagraph1">
    <w:name w:val="List Paragraph1"/>
    <w:qFormat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unhideWhenUsed/>
    <w:qFormat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unhideWhenUsed/>
    <w:qFormat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PlaceholderText">
    <w:name w:val="Placeholder Text"/>
    <w:basedOn w:val="DefaultParagraphFont"/>
    <w:uiPriority w:val="99"/>
    <w:unhideWhenUsed/>
    <w:rsid w:val="00B70F18"/>
    <w:rPr>
      <w:color w:val="666666"/>
    </w:rPr>
  </w:style>
  <w:style w:type="table" w:styleId="TableGrid">
    <w:name w:val="Table Grid"/>
    <w:basedOn w:val="TableNormal"/>
    <w:uiPriority w:val="39"/>
    <w:rsid w:val="009A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14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JAMES</cp:lastModifiedBy>
  <cp:revision>25</cp:revision>
  <dcterms:created xsi:type="dcterms:W3CDTF">2026-06-17T19:45:00Z</dcterms:created>
  <dcterms:modified xsi:type="dcterms:W3CDTF">2026-06-26T00:17:00Z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