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480"/>
        <w:jc w:val="center"/>
      </w:pPr>
      <w:r>
        <w:rPr>
          <w:rFonts w:ascii="Times New Roman" w:cs="Times New Roman" w:eastAsia="Times New Roman" w:hAnsi="Times New Roman"/>
          <w:b/>
          <w:bCs/>
          <w:sz w:val="28"/>
          <w:szCs w:val="28"/>
        </w:rPr>
        <w:t xml:space="preserve">The Social Architecture of Marginality: Deconstructing Disability and Hijra Identity in Mahesh Dattani’s </w:t>
      </w:r>
      <w:r>
        <w:rPr>
          <w:rFonts w:ascii="Times New Roman" w:cs="Times New Roman" w:eastAsia="Times New Roman" w:hAnsi="Times New Roman"/>
          <w:b/>
          <w:bCs/>
          <w:i/>
          <w:iCs/>
          <w:sz w:val="28"/>
          <w:szCs w:val="28"/>
        </w:rPr>
        <w:t xml:space="preserve">Seven Steps Around the Fire</w:t>
      </w:r>
      <w:r>
        <w:rPr>
          <w:rFonts w:ascii="Times New Roman" w:cs="Times New Roman" w:eastAsia="Times New Roman" w:hAnsi="Times New Roman"/>
          <w:b/>
          <w:bCs/>
          <w:sz w:val="28"/>
          <w:szCs w:val="28"/>
        </w:rPr>
        <w:t xml:space="preserve"> and Arundhati Roy’s </w:t>
      </w:r>
      <w:r>
        <w:rPr>
          <w:rFonts w:ascii="Times New Roman" w:cs="Times New Roman" w:eastAsia="Times New Roman" w:hAnsi="Times New Roman"/>
          <w:b/>
          <w:bCs/>
          <w:i/>
          <w:iCs/>
          <w:sz w:val="28"/>
          <w:szCs w:val="28"/>
        </w:rPr>
        <w:t xml:space="preserve">The Ministry of Utmost Happiness</w:t>
      </w:r>
    </w:p>
    <w:p>
      <w:pPr>
        <w:pStyle w:val="Heading1"/>
      </w:pPr>
      <w:r>
        <w:rPr>
          <w:rFonts w:ascii="Times New Roman" w:cs="Times New Roman" w:eastAsia="Times New Roman" w:hAnsi="Times New Roman"/>
          <w:b/>
          <w:bCs/>
          <w:sz w:val="28"/>
          <w:szCs w:val="28"/>
        </w:rPr>
        <w:t xml:space="preserve">1. Introduction: Framing Disability Studies and Its Intersectional Scope</w:t>
      </w:r>
    </w:p>
    <w:p>
      <w:pPr>
        <w:spacing w:after="200"/>
        <w:jc w:val="both"/>
      </w:pPr>
      <w:r>
        <w:rPr>
          <w:rFonts w:ascii="Times New Roman" w:cs="Times New Roman" w:eastAsia="Times New Roman" w:hAnsi="Times New Roman"/>
          <w:sz w:val="24"/>
          <w:szCs w:val="24"/>
        </w:rPr>
        <w:t xml:space="preserve">The field of Disability Studies has evolved significantly, moving beyond traditional medical approaches to become a comprehensive socio-cultural and political discipline. Prominent scholars including Lennard J. Davis, Rosemarie Garland-Thomson, Tobin Siebers, and Robert McRuer have collectively demonstrated that disability should not be viewed as a fixed biological reality but rather as a socially constructed category shaped by normative ideas about the body. In his influential work </w:t>
      </w:r>
      <w:r>
        <w:rPr>
          <w:rFonts w:ascii="Times New Roman" w:cs="Times New Roman" w:eastAsia="Times New Roman" w:hAnsi="Times New Roman"/>
          <w:i/>
          <w:iCs/>
          <w:sz w:val="24"/>
          <w:szCs w:val="24"/>
        </w:rPr>
        <w:t xml:space="preserve">Enforcing Normalcy: Disability, Deafness, and the Body</w:t>
      </w:r>
      <w:r>
        <w:rPr>
          <w:rFonts w:ascii="Times New Roman" w:cs="Times New Roman" w:eastAsia="Times New Roman" w:hAnsi="Times New Roman"/>
          <w:sz w:val="24"/>
          <w:szCs w:val="24"/>
        </w:rPr>
        <w:t xml:space="preserve"> (1995), Davis articulates a foundational premise: “the problem is not the person with disabilities; the problem is the way that normalcy is constructed to create the ‘problem’ of the disabled person” (24). This key understanding enables researchers to apply disability analysis to all bodies that society marks as non-normative, deviant, or “crip.”</w:t>
      </w:r>
    </w:p>
    <w:p>
      <w:pPr>
        <w:spacing w:after="200"/>
        <w:jc w:val="both"/>
      </w:pPr>
      <w:r>
        <w:rPr>
          <w:rFonts w:ascii="Times New Roman" w:cs="Times New Roman" w:eastAsia="Times New Roman" w:hAnsi="Times New Roman"/>
          <w:sz w:val="24"/>
          <w:szCs w:val="24"/>
        </w:rPr>
        <w:t xml:space="preserve">Robert McRuer’s concept of Crip Theory (2006) offers particularly valuable insights for this discussion. McRuer identifies parallels between compulsory heterosexuality and what he calls “compulsory able-bodiedness,” arguing that “able-bodied identity is the dominant, default, ‘normal’ position that a subject is assumed to inhabit” (8). Both systems discipline bodies that fail to meet normative standards. On this basis, the hijra body — existing neither as fully male nor female, whether biologically intersex or transgender — finds itself in a structurally disabling position within society: rendered abject, unproductive, and invisible by dominant social arrangements.</w:t>
      </w:r>
    </w:p>
    <w:p>
      <w:pPr>
        <w:spacing w:after="200"/>
        <w:jc w:val="both"/>
      </w:pPr>
      <w:r>
        <w:rPr>
          <w:rFonts w:ascii="Times New Roman" w:cs="Times New Roman" w:eastAsia="Times New Roman" w:hAnsi="Times New Roman"/>
          <w:sz w:val="24"/>
          <w:szCs w:val="24"/>
        </w:rPr>
        <w:t xml:space="preserve">Using this theoretical framework, the hijra characters in Mahesh Dattani’s </w:t>
      </w:r>
      <w:r>
        <w:rPr>
          <w:rFonts w:ascii="Times New Roman" w:cs="Times New Roman" w:eastAsia="Times New Roman" w:hAnsi="Times New Roman"/>
          <w:i/>
          <w:iCs/>
          <w:sz w:val="24"/>
          <w:szCs w:val="24"/>
        </w:rPr>
        <w:t xml:space="preserve">Seven Steps Around the Fire</w:t>
      </w:r>
      <w:r>
        <w:rPr>
          <w:rFonts w:ascii="Times New Roman" w:cs="Times New Roman" w:eastAsia="Times New Roman" w:hAnsi="Times New Roman"/>
          <w:sz w:val="24"/>
          <w:szCs w:val="24"/>
        </w:rPr>
        <w:t xml:space="preserve"> (1999) and Arundhati Roy’s </w:t>
      </w:r>
      <w:r>
        <w:rPr>
          <w:rFonts w:ascii="Times New Roman" w:cs="Times New Roman" w:eastAsia="Times New Roman" w:hAnsi="Times New Roman"/>
          <w:i/>
          <w:iCs/>
          <w:sz w:val="24"/>
          <w:szCs w:val="24"/>
        </w:rPr>
        <w:t xml:space="preserve">The Ministry of Utmost Happiness</w:t>
      </w:r>
      <w:r>
        <w:rPr>
          <w:rFonts w:ascii="Times New Roman" w:cs="Times New Roman" w:eastAsia="Times New Roman" w:hAnsi="Times New Roman"/>
          <w:sz w:val="24"/>
          <w:szCs w:val="24"/>
        </w:rPr>
        <w:t xml:space="preserve"> (2017) can be understood not only through gender or queer theory but also through a disability studies lens that reveals how their bodily differences become medicalized, stigmatized, institutionally excluded, and simultaneously turned into spectacle. Reading these texts together illuminates the hijra experience as a form of socially produced disablement — one that is structural, epistemic, and deeply political.</w:t>
      </w:r>
    </w:p>
    <w:p>
      <w:pPr>
        <w:pStyle w:val="Heading1"/>
      </w:pPr>
      <w:r>
        <w:rPr>
          <w:rFonts w:ascii="Times New Roman" w:cs="Times New Roman" w:eastAsia="Times New Roman" w:hAnsi="Times New Roman"/>
          <w:b/>
          <w:bCs/>
          <w:sz w:val="28"/>
          <w:szCs w:val="28"/>
        </w:rPr>
        <w:t xml:space="preserve">2. Understanding the Hijra Body Through the Social Model of Disability</w:t>
      </w:r>
    </w:p>
    <w:p>
      <w:pPr>
        <w:spacing w:after="200"/>
        <w:jc w:val="both"/>
      </w:pPr>
      <w:r>
        <w:rPr>
          <w:rFonts w:ascii="Times New Roman" w:cs="Times New Roman" w:eastAsia="Times New Roman" w:hAnsi="Times New Roman"/>
          <w:sz w:val="24"/>
          <w:szCs w:val="24"/>
        </w:rPr>
        <w:t xml:space="preserve">Mike Oliver introduced the Social Model of Disability in his 1990 work </w:t>
      </w:r>
      <w:r>
        <w:rPr>
          <w:rFonts w:ascii="Times New Roman" w:cs="Times New Roman" w:eastAsia="Times New Roman" w:hAnsi="Times New Roman"/>
          <w:i/>
          <w:iCs/>
          <w:sz w:val="24"/>
          <w:szCs w:val="24"/>
        </w:rPr>
        <w:t xml:space="preserve">The Politics of Disablement</w:t>
      </w:r>
      <w:r>
        <w:rPr>
          <w:rFonts w:ascii="Times New Roman" w:cs="Times New Roman" w:eastAsia="Times New Roman" w:hAnsi="Times New Roman"/>
          <w:sz w:val="24"/>
          <w:szCs w:val="24"/>
        </w:rPr>
        <w:t xml:space="preserve">, establishing a crucial distinction between impairment — a physical or psychological difference — and disability — the social exclusion that results when society fails to accommodate that difference. Oliver argues powerfully that “society disables physically impaired people. Disability is something imposed on top of our impairments by the way we are unnecessarily isolated and excluded from full participation in society” (11). This framework shifts the analytical focus from the body itself to the social structures that produce marginalization.</w:t>
      </w:r>
    </w:p>
    <w:p>
      <w:pPr>
        <w:spacing w:after="200"/>
        <w:jc w:val="both"/>
      </w:pPr>
      <w:r>
        <w:rPr>
          <w:rFonts w:ascii="Times New Roman" w:cs="Times New Roman" w:eastAsia="Times New Roman" w:hAnsi="Times New Roman"/>
          <w:sz w:val="24"/>
          <w:szCs w:val="24"/>
        </w:rPr>
        <w:t xml:space="preserve">This model becomes especially illuminating when examining the hijra community in both texts. Hijra bodies are not inherently disabled, but they become socially disabled through a structure that recognizes only a male/female binary, refuses to accommodate third-gender existence, and institutionally excludes hijras from education, property ownership, legal marriage, and civic participation. Dattani’s play illustrates this process vividly. Uma Rao, the sociologist-narrator, reflects in her case notes: “The two events in mainstream Hindu culture where their presence is acceptable — marriage and birth — ironically are the very same privileges denied to them by man and nature” (Dattani 224). The hijras — Kamla, Anarkali, Champa — are not defective individuals but people whose existence society systematically refuses to accommodate.</w:t>
      </w:r>
    </w:p>
    <w:p>
      <w:pPr>
        <w:spacing w:after="200"/>
        <w:jc w:val="both"/>
      </w:pPr>
      <w:r>
        <w:rPr>
          <w:rFonts w:ascii="Times New Roman" w:cs="Times New Roman" w:eastAsia="Times New Roman" w:hAnsi="Times New Roman"/>
          <w:sz w:val="24"/>
          <w:szCs w:val="24"/>
        </w:rPr>
        <w:t xml:space="preserve">Pushed to the urban margins and confined to performing at the celebrations of others, they constitute precisely what disability discourse calls an “invisible minority” — welcome to bless the reproductive and conjugal rituals of normative life, yet excluded from experiencing those rituals themselves. This structural contradiction is the social model’s disabling mechanism made visible.</w:t>
      </w:r>
    </w:p>
    <w:p>
      <w:pPr>
        <w:pStyle w:val="Heading1"/>
      </w:pPr>
      <w:r>
        <w:rPr>
          <w:rFonts w:ascii="Times New Roman" w:cs="Times New Roman" w:eastAsia="Times New Roman" w:hAnsi="Times New Roman"/>
          <w:b/>
          <w:bCs/>
          <w:sz w:val="28"/>
          <w:szCs w:val="28"/>
        </w:rPr>
        <w:t xml:space="preserve">3. Seven Steps Around the Fire: Disability, Abjection, and the Medical/Legal Apparatus</w:t>
      </w:r>
    </w:p>
    <w:p>
      <w:pPr>
        <w:pStyle w:val="Heading2"/>
      </w:pPr>
      <w:r>
        <w:rPr>
          <w:rFonts w:ascii="Times New Roman" w:cs="Times New Roman" w:eastAsia="Times New Roman" w:hAnsi="Times New Roman"/>
          <w:b/>
          <w:bCs/>
          <w:sz w:val="26"/>
          <w:szCs w:val="26"/>
        </w:rPr>
        <w:t xml:space="preserve">3.1 The Medicalized and Criminalized Hijra Body</w:t>
      </w:r>
    </w:p>
    <w:p>
      <w:pPr>
        <w:spacing w:after="200"/>
        <w:jc w:val="both"/>
      </w:pPr>
      <w:r>
        <w:rPr>
          <w:rFonts w:ascii="Times New Roman" w:cs="Times New Roman" w:eastAsia="Times New Roman" w:hAnsi="Times New Roman"/>
          <w:sz w:val="24"/>
          <w:szCs w:val="24"/>
        </w:rPr>
        <w:t xml:space="preserve">In </w:t>
      </w:r>
      <w:r>
        <w:rPr>
          <w:rFonts w:ascii="Times New Roman" w:cs="Times New Roman" w:eastAsia="Times New Roman" w:hAnsi="Times New Roman"/>
          <w:i/>
          <w:iCs/>
          <w:sz w:val="24"/>
          <w:szCs w:val="24"/>
        </w:rPr>
        <w:t xml:space="preserve">Staring: How We Look</w:t>
      </w:r>
      <w:r>
        <w:rPr>
          <w:rFonts w:ascii="Times New Roman" w:cs="Times New Roman" w:eastAsia="Times New Roman" w:hAnsi="Times New Roman"/>
          <w:sz w:val="24"/>
          <w:szCs w:val="24"/>
        </w:rPr>
        <w:t xml:space="preserve"> (2009), Rosemarie Garland-Thomson argues that staring at non-normative bodies is “a social practice that constitutes a relationship” between the normative observer and the marked body — a relationship that consolidates hierarchies of belonging (3). Throughout Dattani’s play, the hijra body is the persistent object of this social stare: displayed as entertainment at weddings, handled by police as evidence, and turned into a research subject by Uma Rao. Even Uma’s initial engagement with Anarkali is framed by the institutionalizing gaze. When she first visits the prison, Constable Munswamy reduces Anarkali to a non-human object: “Why do you want to bring this shame on your family, madam?” and refers to Anarkali throughout as “it” (Dattani 220). This pronominal violence — the grammatical refusal to gender Anarkali as a person — is itself a form of what disability studies identifies as epistemic disablement.</w:t>
      </w:r>
    </w:p>
    <w:p>
      <w:pPr>
        <w:spacing w:after="200"/>
        <w:jc w:val="both"/>
      </w:pPr>
      <w:r>
        <w:rPr>
          <w:rFonts w:ascii="Times New Roman" w:cs="Times New Roman" w:eastAsia="Times New Roman" w:hAnsi="Times New Roman"/>
          <w:sz w:val="24"/>
          <w:szCs w:val="24"/>
        </w:rPr>
        <w:t xml:space="preserve">The murder of Kamla makes the disposability of the hijra body graphically apparent. Munswamy’s report to Uma is starkly clinical: “The body was found by some passer-by, after four days. The temple priest complained about the stench. It was thrown into the pond after being burned” (Dattani 230). This description enacts what McRuer, building on Judith Butler’s theorization of abjection, calls an “ungrievable life” — a life whose loss generates no public mourning, no institutional accountability, no narrative of tragedy. Kamla’s body is not buried; it is discarded, recalling Butler’s argument in </w:t>
      </w:r>
      <w:r>
        <w:rPr>
          <w:rFonts w:ascii="Times New Roman" w:cs="Times New Roman" w:eastAsia="Times New Roman" w:hAnsi="Times New Roman"/>
          <w:i/>
          <w:iCs/>
          <w:sz w:val="24"/>
          <w:szCs w:val="24"/>
        </w:rPr>
        <w:t xml:space="preserve">Precarious Life</w:t>
      </w:r>
      <w:r>
        <w:rPr>
          <w:rFonts w:ascii="Times New Roman" w:cs="Times New Roman" w:eastAsia="Times New Roman" w:hAnsi="Times New Roman"/>
          <w:sz w:val="24"/>
          <w:szCs w:val="24"/>
        </w:rPr>
        <w:t xml:space="preserve"> that grief itself is allocated unequally, and that some lives are rendered unworthy of it from the outset (20). Anarkali’s wrongful imprisonment further crystallizes this dynamic: the legal system does not seek truth but manages the hijra body as a problem of public order, detaining Anarkali precisely because there is “no one else” and “no real proof against her” (Dattani 249).</w:t>
      </w:r>
    </w:p>
    <w:p>
      <w:pPr>
        <w:pStyle w:val="Heading2"/>
      </w:pPr>
      <w:r>
        <w:rPr>
          <w:rFonts w:ascii="Times New Roman" w:cs="Times New Roman" w:eastAsia="Times New Roman" w:hAnsi="Times New Roman"/>
          <w:b/>
          <w:bCs/>
          <w:sz w:val="26"/>
          <w:szCs w:val="26"/>
        </w:rPr>
        <w:t xml:space="preserve">3.2 The Hetero-normative Institution of Marriage as Disabling Structure</w:t>
      </w:r>
    </w:p>
    <w:p>
      <w:pPr>
        <w:spacing w:after="200"/>
        <w:jc w:val="both"/>
      </w:pPr>
      <w:r>
        <w:rPr>
          <w:rFonts w:ascii="Times New Roman" w:cs="Times New Roman" w:eastAsia="Times New Roman" w:hAnsi="Times New Roman"/>
          <w:sz w:val="24"/>
          <w:szCs w:val="24"/>
        </w:rPr>
        <w:t xml:space="preserve">In </w:t>
      </w:r>
      <w:r>
        <w:rPr>
          <w:rFonts w:ascii="Times New Roman" w:cs="Times New Roman" w:eastAsia="Times New Roman" w:hAnsi="Times New Roman"/>
          <w:i/>
          <w:iCs/>
          <w:sz w:val="24"/>
          <w:szCs w:val="24"/>
        </w:rPr>
        <w:t xml:space="preserve">Disability Theory</w:t>
      </w:r>
      <w:r>
        <w:rPr>
          <w:rFonts w:ascii="Times New Roman" w:cs="Times New Roman" w:eastAsia="Times New Roman" w:hAnsi="Times New Roman"/>
          <w:sz w:val="24"/>
          <w:szCs w:val="24"/>
        </w:rPr>
        <w:t xml:space="preserve"> (2008), Tobin Siebers insists that disability is always relational — “produced at the meeting place of body and world” (25). Within Dattani’s play, the institution of marriage functions as precisely this disabling environment: a social space structured so entirely around heterosexual, able-bodied normativity that the hijra body cannot exist within it except as servant and spectator. The play’s title draws from the Hindu wedding ritual of saptapadi — the seven steps around the sacred fire that bind two persons in matrimony — and Dattani employs it with deliberate irony. The revelation that Kamla secretly married Subbu is described by Mr. Sharma as an affront so catastrophic it demands lethal elimination. As Anarkali recounts: “He wanted to marry her . . . I was there at their wedding . . . I saw the men coming for her. I told her to run” (Dattani 258). The marriage that should have been the site of Kamla’s humanity is instead the direct cause of her murder: her love transgresses the compulsory able-bodied heteronormativity that McRuer identifies as the organizing logic of normative social institutions.</w:t>
      </w:r>
    </w:p>
    <w:p>
      <w:pPr>
        <w:pStyle w:val="Heading2"/>
      </w:pPr>
      <w:r>
        <w:rPr>
          <w:rFonts w:ascii="Times New Roman" w:cs="Times New Roman" w:eastAsia="Times New Roman" w:hAnsi="Times New Roman"/>
          <w:b/>
          <w:bCs/>
          <w:sz w:val="26"/>
          <w:szCs w:val="26"/>
        </w:rPr>
        <w:t xml:space="preserve">3.3 Voice, Silence, and the Politics of Representation</w:t>
      </w:r>
    </w:p>
    <w:p>
      <w:pPr>
        <w:spacing w:after="200"/>
        <w:jc w:val="both"/>
      </w:pPr>
      <w:r>
        <w:rPr>
          <w:rFonts w:ascii="Times New Roman" w:cs="Times New Roman" w:eastAsia="Times New Roman" w:hAnsi="Times New Roman"/>
          <w:sz w:val="24"/>
          <w:szCs w:val="24"/>
        </w:rPr>
        <w:t xml:space="preserve">Disability scholars have consistently critiqued the practice of speaking about rather than with marginalized communities. James Charlton’s rallying cry in </w:t>
      </w:r>
      <w:r>
        <w:rPr>
          <w:rFonts w:ascii="Times New Roman" w:cs="Times New Roman" w:eastAsia="Times New Roman" w:hAnsi="Times New Roman"/>
          <w:i/>
          <w:iCs/>
          <w:sz w:val="24"/>
          <w:szCs w:val="24"/>
        </w:rPr>
        <w:t xml:space="preserve">Nothing About Us Without Us</w:t>
      </w:r>
      <w:r>
        <w:rPr>
          <w:rFonts w:ascii="Times New Roman" w:cs="Times New Roman" w:eastAsia="Times New Roman" w:hAnsi="Times New Roman"/>
          <w:sz w:val="24"/>
          <w:szCs w:val="24"/>
        </w:rPr>
        <w:t xml:space="preserve"> (1998) captures this concern directly: “Disabled people have been, and largely still are, excluded from the policies, programs, and research that affect their lives” (3). This critique applies with particular force to the representational structure of Dattani’s play. Uma Rao occupies the role of both researcher and detective — a double position of interpretive authority that inevitably mediates the hijra voice rather than transmitting it. Champa’s frank declaration, “Not even your father-in-law can put them in jail” (Dattani 250), signals the community’s long experience of institutional abandonment, yet it is processed through Uma’s sociological framework, not expressed on its own terms.</w:t>
      </w:r>
    </w:p>
    <w:p>
      <w:pPr>
        <w:spacing w:after="200"/>
        <w:jc w:val="both"/>
      </w:pPr>
      <w:r>
        <w:rPr>
          <w:rFonts w:ascii="Times New Roman" w:cs="Times New Roman" w:eastAsia="Times New Roman" w:hAnsi="Times New Roman"/>
          <w:sz w:val="24"/>
          <w:szCs w:val="24"/>
        </w:rPr>
        <w:t xml:space="preserve">The play’s devastating coda underlines how comprehensively the hijra voice is suppressed by power. Uma reflects in voice-over: “They have no voice. The case was hushed up and was not even reported in the newspapers . . . The police made no arrests. Subbu’s suicide was written off as an accident. The photograph was destroyed” (Dattani 259). This silence is not the absence of speech — the hijras speak throughout the play — but the absence of any institutional structure that would convert their speech into accountability. While Dattani’s text is sympathetically rendered, it remains caught between advocacy and ventriloquism, an ethical tension that disability scholarship continues to interrogate.</w:t>
      </w:r>
    </w:p>
    <w:p>
      <w:pPr>
        <w:pStyle w:val="Heading1"/>
      </w:pPr>
      <w:r>
        <w:rPr>
          <w:rFonts w:ascii="Times New Roman" w:cs="Times New Roman" w:eastAsia="Times New Roman" w:hAnsi="Times New Roman"/>
          <w:b/>
          <w:bCs/>
          <w:sz w:val="28"/>
          <w:szCs w:val="28"/>
        </w:rPr>
        <w:t xml:space="preserve">4. The Ministry of Utmost Happiness: Crip Futurity and Queer/Disabled Worldmaking</w:t>
      </w:r>
    </w:p>
    <w:p>
      <w:pPr>
        <w:pStyle w:val="Heading2"/>
      </w:pPr>
      <w:r>
        <w:rPr>
          <w:rFonts w:ascii="Times New Roman" w:cs="Times New Roman" w:eastAsia="Times New Roman" w:hAnsi="Times New Roman"/>
          <w:b/>
          <w:bCs/>
          <w:sz w:val="26"/>
          <w:szCs w:val="26"/>
        </w:rPr>
        <w:t xml:space="preserve">4.1 Anjum as a Crip/Queer Subject</w:t>
      </w:r>
    </w:p>
    <w:p>
      <w:pPr>
        <w:spacing w:after="200"/>
        <w:jc w:val="both"/>
      </w:pPr>
      <w:r>
        <w:rPr>
          <w:rFonts w:ascii="Times New Roman" w:cs="Times New Roman" w:eastAsia="Times New Roman" w:hAnsi="Times New Roman"/>
          <w:sz w:val="24"/>
          <w:szCs w:val="24"/>
        </w:rPr>
        <w:t xml:space="preserve">Arundhati Roy’s </w:t>
      </w:r>
      <w:r>
        <w:rPr>
          <w:rFonts w:ascii="Times New Roman" w:cs="Times New Roman" w:eastAsia="Times New Roman" w:hAnsi="Times New Roman"/>
          <w:i/>
          <w:iCs/>
          <w:sz w:val="24"/>
          <w:szCs w:val="24"/>
        </w:rPr>
        <w:t xml:space="preserve">The Ministry of Utmost Happiness</w:t>
      </w:r>
      <w:r>
        <w:rPr>
          <w:rFonts w:ascii="Times New Roman" w:cs="Times New Roman" w:eastAsia="Times New Roman" w:hAnsi="Times New Roman"/>
          <w:sz w:val="24"/>
          <w:szCs w:val="24"/>
        </w:rPr>
        <w:t xml:space="preserve"> (2017) offers a considerably more expansive and formally ambitious exploration of the non-normative body. Anjum — born Aftab, intersex, later a transgender woman — drives the novel’s opening movement. From infancy, her body is the site of normalizing medical intervention and familial crisis: “He was not the first. Nor was he the last. There had been others” (Roy 7). When Aftab’s father discovers her intersex condition, his immediate impulse is surgical correction — an attempt to resolve bodily ambiguity through medical violence rather than social accommodation. This response exemplifies what disability scholars identify as compulsory normalization: the social demand that non-standard bodies conform to binary intelligibility.</w:t>
      </w:r>
    </w:p>
    <w:p>
      <w:pPr>
        <w:spacing w:after="200"/>
        <w:jc w:val="both"/>
      </w:pPr>
      <w:r>
        <w:rPr>
          <w:rFonts w:ascii="Times New Roman" w:cs="Times New Roman" w:eastAsia="Times New Roman" w:hAnsi="Times New Roman"/>
          <w:sz w:val="24"/>
          <w:szCs w:val="24"/>
        </w:rPr>
        <w:t xml:space="preserve">McRuer’s Crip Theory provides the conceptual vocabulary for understanding Anjum’s resistance. Where compulsory able-bodiedness requires that non-normative subjects either pass as normal or disappear, Anjum does neither. Roy’s narration refuses pathology and instead traces Anjum’s emergence into a fully inhabited selfhood within the hijra community — the Khwabgah, or House of Dreams. Here, surrounded by other transgender women who have similarly survived the violence of normalization, Anjum finds a language for her experience: “She had been cut from a different cloth, she and the Ustad. They were not like the others” (Roy 9). Rather than rendering her intersex embodiment as tragedy, Roy establishes it as the origin of a distinctive subjectivity — a “crip” refusal, in McRuer’s sense, to accept the terms that normative society imposes.</w:t>
      </w:r>
    </w:p>
    <w:p>
      <w:pPr>
        <w:pStyle w:val="Heading2"/>
      </w:pPr>
      <w:r>
        <w:rPr>
          <w:rFonts w:ascii="Times New Roman" w:cs="Times New Roman" w:eastAsia="Times New Roman" w:hAnsi="Times New Roman"/>
          <w:b/>
          <w:bCs/>
          <w:sz w:val="26"/>
          <w:szCs w:val="26"/>
        </w:rPr>
        <w:t xml:space="preserve">4.2 The Khwabgah as Counter-Institution: Crip/Queer Kinship</w:t>
      </w:r>
    </w:p>
    <w:p>
      <w:pPr>
        <w:spacing w:after="200"/>
        <w:jc w:val="both"/>
      </w:pPr>
      <w:r>
        <w:rPr>
          <w:rFonts w:ascii="Times New Roman" w:cs="Times New Roman" w:eastAsia="Times New Roman" w:hAnsi="Times New Roman"/>
          <w:sz w:val="24"/>
          <w:szCs w:val="24"/>
        </w:rPr>
        <w:t xml:space="preserve">Among Roy’s most transformative conceptual moves is the construction of an alternative community that functions as both haven and counter-institution. What begins as Anjum’s tin shack in a Delhi graveyard grows into the Jannat Guest House — a sanctuary that shelters hijras, abandoned infants, addicts, and political outcasts alike. Roy describes this space with quiet precision: “She had made her life among the remains of the dead. She had lived among the graves” (Roy 50). The graveyard setting is formally significant: it places Anjum’s community in the space society reserves for its discarded, yet within that space she erects something generative — what Alison Kafer, in </w:t>
      </w:r>
      <w:r>
        <w:rPr>
          <w:rFonts w:ascii="Times New Roman" w:cs="Times New Roman" w:eastAsia="Times New Roman" w:hAnsi="Times New Roman"/>
          <w:i/>
          <w:iCs/>
          <w:sz w:val="24"/>
          <w:szCs w:val="24"/>
        </w:rPr>
        <w:t xml:space="preserve">Feminist, Queer, Crip</w:t>
      </w:r>
      <w:r>
        <w:rPr>
          <w:rFonts w:ascii="Times New Roman" w:cs="Times New Roman" w:eastAsia="Times New Roman" w:hAnsi="Times New Roman"/>
          <w:sz w:val="24"/>
          <w:szCs w:val="24"/>
        </w:rPr>
        <w:t xml:space="preserve"> (2013), theorizes as a “crip future”: a world in which non-normative bodies are not merely tolerated but embraced, and in which chosen, non-biological kinship replaces the compulsory family structures from which hijras are expelled (3).</w:t>
      </w:r>
    </w:p>
    <w:p>
      <w:pPr>
        <w:spacing w:after="200"/>
        <w:jc w:val="both"/>
      </w:pPr>
      <w:r>
        <w:rPr>
          <w:rFonts w:ascii="Times New Roman" w:cs="Times New Roman" w:eastAsia="Times New Roman" w:hAnsi="Times New Roman"/>
          <w:sz w:val="24"/>
          <w:szCs w:val="24"/>
        </w:rPr>
        <w:t xml:space="preserve">Roy’s graveyard community is precisely this crip/queer utopia. It gathers those for whom mainstream society has no place — the multiply marginalized — and fashions from their convergence a form of life that is both politically resistant and emotionally sustaining. The very illegibility of this community to normative social structures is part of its critical force: it survives and flourishes in the spaces that dominant institutions cannot see.</w:t>
      </w:r>
    </w:p>
    <w:p>
      <w:pPr>
        <w:pStyle w:val="Heading2"/>
      </w:pPr>
      <w:r>
        <w:rPr>
          <w:rFonts w:ascii="Times New Roman" w:cs="Times New Roman" w:eastAsia="Times New Roman" w:hAnsi="Times New Roman"/>
          <w:b/>
          <w:bCs/>
          <w:sz w:val="26"/>
          <w:szCs w:val="26"/>
        </w:rPr>
        <w:t xml:space="preserve">4.3 Disability and the Spectacular Body: The Tourist Gaze on the Hijra</w:t>
      </w:r>
    </w:p>
    <w:p>
      <w:pPr>
        <w:spacing w:after="200"/>
        <w:jc w:val="both"/>
      </w:pPr>
      <w:r>
        <w:rPr>
          <w:rFonts w:ascii="Times New Roman" w:cs="Times New Roman" w:eastAsia="Times New Roman" w:hAnsi="Times New Roman"/>
          <w:sz w:val="24"/>
          <w:szCs w:val="24"/>
        </w:rPr>
        <w:t xml:space="preserve">Roy is acutely conscious of the risks inherent in turning the hijra body into a spectacle, even in the service of sympathetic representation. Anjum is subjected to constant solicitation by NGOs, journalists, and human rights workers, each seeking to convert her experience into legible, usable content. In this dynamic, she is transformed into what disability scholars term a “supercrip” — a non-normative subject celebrated not for her full humanity but for her exemplary resilience, her capacity to perform suffering and survival for normative audiences. As Roy writes: “She lived in a graveyard and was perfectly happy” (Roy 50) — a sentence whose ironic compression registers precisely the reductive narrative that Anjum must resist. Garland-Thomson’s analysis of the stare as a “relationship” that renders its object into a specimen rather than a subject (3) maps directly onto Anjum’s recurring objectification by the gaze of institutional concern.</w:t>
      </w:r>
    </w:p>
    <w:p>
      <w:pPr>
        <w:pStyle w:val="Heading2"/>
      </w:pPr>
      <w:r>
        <w:rPr>
          <w:rFonts w:ascii="Times New Roman" w:cs="Times New Roman" w:eastAsia="Times New Roman" w:hAnsi="Times New Roman"/>
          <w:b/>
          <w:bCs/>
          <w:sz w:val="26"/>
          <w:szCs w:val="26"/>
        </w:rPr>
        <w:t xml:space="preserve">4.4 Violence, Precarity, and the Ungrievable Body</w:t>
      </w:r>
    </w:p>
    <w:p>
      <w:pPr>
        <w:spacing w:after="200"/>
        <w:jc w:val="both"/>
      </w:pPr>
      <w:r>
        <w:rPr>
          <w:rFonts w:ascii="Times New Roman" w:cs="Times New Roman" w:eastAsia="Times New Roman" w:hAnsi="Times New Roman"/>
          <w:sz w:val="24"/>
          <w:szCs w:val="24"/>
        </w:rPr>
        <w:t xml:space="preserve">Roy situates Anjum’s personal narrative within concentric circles of political violence — the Gujarat massacre, the Kashmir conflict, caste-based atrocity — to demonstrate that the precarity of the hijra body is not separable from the broader precarity of minoritized life in contemporary India. Anjum survives a massacre not because she is recognized as a full human being, but because her killers believe that murdering a hijra carries spiritual misfortune. Roy renders this with unflinching irony: her survival is a byproduct of superstition, not of solidarity. This moment precisely illustrates what Judith Butler, in </w:t>
      </w:r>
      <w:r>
        <w:rPr>
          <w:rFonts w:ascii="Times New Roman" w:cs="Times New Roman" w:eastAsia="Times New Roman" w:hAnsi="Times New Roman"/>
          <w:i/>
          <w:iCs/>
          <w:sz w:val="24"/>
          <w:szCs w:val="24"/>
        </w:rPr>
        <w:t xml:space="preserve">Precarious Life</w:t>
      </w:r>
      <w:r>
        <w:rPr>
          <w:rFonts w:ascii="Times New Roman" w:cs="Times New Roman" w:eastAsia="Times New Roman" w:hAnsi="Times New Roman"/>
          <w:sz w:val="24"/>
          <w:szCs w:val="24"/>
        </w:rPr>
        <w:t xml:space="preserve"> (2004), calls the conditional nature of grievability — the fact that some lives are “supported and maintained” while others are left exposed to harm (22). Anjum’s existence, like that of disabled persons in an ableist world, is contingent and precariously conditional: valued only insofar as it serves, or frightens, normative society.</w:t>
      </w:r>
    </w:p>
    <w:p>
      <w:pPr>
        <w:pStyle w:val="Heading1"/>
      </w:pPr>
      <w:r>
        <w:rPr>
          <w:rFonts w:ascii="Times New Roman" w:cs="Times New Roman" w:eastAsia="Times New Roman" w:hAnsi="Times New Roman"/>
          <w:b/>
          <w:bCs/>
          <w:sz w:val="28"/>
          <w:szCs w:val="28"/>
        </w:rPr>
        <w:t xml:space="preserve">5. Comparative Analysis: Disability Aesthetics and Narrative Form</w:t>
      </w:r>
    </w:p>
    <w:p>
      <w:pPr>
        <w:spacing w:after="200"/>
        <w:jc w:val="both"/>
      </w:pPr>
      <w:r>
        <w:rPr>
          <w:rFonts w:ascii="Times New Roman" w:cs="Times New Roman" w:eastAsia="Times New Roman" w:hAnsi="Times New Roman"/>
          <w:sz w:val="24"/>
          <w:szCs w:val="24"/>
        </w:rPr>
        <w:t xml:space="preserve">Both Dattani and Roy select narrative structures that formally mirror the non-normative identities they represent. Dattani’s radio play — a form without visual bodies — is itself a disabling of the spectacle. By removing the visual dimension, he forces listeners to apprehend the hijra characters through voice and language alone, bypassing the visual stare that Garland-Thomson identifies as the primary mechanism of social othering. The play’s non-linear, investigative temporality — moving between Uma’s present-tense interviews and reconstructed past events — enacts the fragmented, interrupted experience of lives excluded from smooth social progression.</w:t>
      </w:r>
    </w:p>
    <w:p>
      <w:pPr>
        <w:spacing w:after="200"/>
        <w:jc w:val="both"/>
      </w:pPr>
      <w:r>
        <w:rPr>
          <w:rFonts w:ascii="Times New Roman" w:cs="Times New Roman" w:eastAsia="Times New Roman" w:hAnsi="Times New Roman"/>
          <w:sz w:val="24"/>
          <w:szCs w:val="24"/>
        </w:rPr>
        <w:t xml:space="preserve">Roy’s novel deploys what disability theorist Ellen Samuels calls a “broken narrative” — a formal refusal of linear, resolved, able-bodied temporality. </w:t>
      </w:r>
      <w:r>
        <w:rPr>
          <w:rFonts w:ascii="Times New Roman" w:cs="Times New Roman" w:eastAsia="Times New Roman" w:hAnsi="Times New Roman"/>
          <w:i/>
          <w:iCs/>
          <w:sz w:val="24"/>
          <w:szCs w:val="24"/>
        </w:rPr>
        <w:t xml:space="preserve">The Ministry of Utmost Happiness</w:t>
      </w:r>
      <w:r>
        <w:rPr>
          <w:rFonts w:ascii="Times New Roman" w:cs="Times New Roman" w:eastAsia="Times New Roman" w:hAnsi="Times New Roman"/>
          <w:sz w:val="24"/>
          <w:szCs w:val="24"/>
        </w:rPr>
        <w:t xml:space="preserve"> shifts between registers, time frames, perspectives, and genres without warning or resolution, embodying what McRuer describes as resistance to “compulsory able-mindedness” — the cultural insistence that texts, like bodies, should be coherent, progressive, and cleanly concluded (McRuer 30). The novel’s digressive, accumulative structure is itself a crip aesthetic: it insists that the lives it represents cannot be adequately contained in normative narrative form.</w:t>
      </w:r>
    </w:p>
    <w:p>
      <w:pPr>
        <w:pStyle w:val="Heading1"/>
      </w:pPr>
      <w:r>
        <w:rPr>
          <w:rFonts w:ascii="Times New Roman" w:cs="Times New Roman" w:eastAsia="Times New Roman" w:hAnsi="Times New Roman"/>
          <w:b/>
          <w:bCs/>
          <w:sz w:val="28"/>
          <w:szCs w:val="28"/>
        </w:rPr>
        <w:t xml:space="preserve">6. Critical Assessment: Limitations and Possibilities</w:t>
      </w:r>
    </w:p>
    <w:p>
      <w:pPr>
        <w:spacing w:after="200"/>
        <w:jc w:val="both"/>
      </w:pPr>
      <w:r>
        <w:rPr>
          <w:rFonts w:ascii="Times New Roman" w:cs="Times New Roman" w:eastAsia="Times New Roman" w:hAnsi="Times New Roman"/>
          <w:sz w:val="24"/>
          <w:szCs w:val="24"/>
        </w:rPr>
        <w:t xml:space="preserve">Both works carry significant representational achievements alongside genuine limitations. Neither Dattani nor Roy belongs to the hijra community, and disability scholars have consistently emphasized that insider representation is not merely preferable but ethically necessary. Charlton’s principle — “Nothing About Us Without Us” (3) — functions as an ongoing critique of well-meaning outsider authors who claim to speak for communities whose specific embodied knowledges they do not share. In Dattani’s case, the play’s most charged moment of hijra interiority — Anarkali’s anguished confession about scarring Kamla’s face — is mediated through Uma’s sociological register, and the hijra women’s final condition of voicelessness is, paradoxically, represented through a non-hijra playwright’s pen.</w:t>
      </w:r>
    </w:p>
    <w:p>
      <w:pPr>
        <w:spacing w:after="200"/>
        <w:jc w:val="both"/>
      </w:pPr>
      <w:r>
        <w:rPr>
          <w:rFonts w:ascii="Times New Roman" w:cs="Times New Roman" w:eastAsia="Times New Roman" w:hAnsi="Times New Roman"/>
          <w:sz w:val="24"/>
          <w:szCs w:val="24"/>
        </w:rPr>
        <w:t xml:space="preserve">Despite this tension, both works accomplish important cultural labour. Garland-Thomson distinguishes between staring, which objectifies, and recognition, which acknowledges full humanity (Garland-Thomson 185). These texts consistently attempt to move their audiences from the former toward the latter. Anarkali’s declaration to Uma — “If you were a hijra, I would have made you my sister” (Dattani 225) — and Anjum’s creation of a chosen family in the graveyard both articulate a politics of recognition that exceeds the texts’ formal limitations. They insist that hijras are not spectacle or symbol, but complete human beings capable of love, grief, desire, and resistance.</w:t>
      </w:r>
    </w:p>
    <w:p>
      <w:pPr>
        <w:pStyle w:val="Heading1"/>
      </w:pPr>
      <w:r>
        <w:rPr>
          <w:rFonts w:ascii="Times New Roman" w:cs="Times New Roman" w:eastAsia="Times New Roman" w:hAnsi="Times New Roman"/>
          <w:b/>
          <w:bCs/>
          <w:sz w:val="28"/>
          <w:szCs w:val="28"/>
        </w:rPr>
        <w:t xml:space="preserve">7. Conclusion</w:t>
      </w:r>
    </w:p>
    <w:p>
      <w:pPr>
        <w:spacing w:after="200"/>
        <w:jc w:val="both"/>
      </w:pPr>
      <w:r>
        <w:rPr>
          <w:rFonts w:ascii="Times New Roman" w:cs="Times New Roman" w:eastAsia="Times New Roman" w:hAnsi="Times New Roman"/>
          <w:sz w:val="24"/>
          <w:szCs w:val="24"/>
        </w:rPr>
        <w:t xml:space="preserve">Read through the frameworks of Disability Studies, </w:t>
      </w:r>
      <w:r>
        <w:rPr>
          <w:rFonts w:ascii="Times New Roman" w:cs="Times New Roman" w:eastAsia="Times New Roman" w:hAnsi="Times New Roman"/>
          <w:i/>
          <w:iCs/>
          <w:sz w:val="24"/>
          <w:szCs w:val="24"/>
        </w:rPr>
        <w:t xml:space="preserve">Seven Steps Around the Fire</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 xml:space="preserve">The Ministry of Utmost Happiness</w:t>
      </w:r>
      <w:r>
        <w:rPr>
          <w:rFonts w:ascii="Times New Roman" w:cs="Times New Roman" w:eastAsia="Times New Roman" w:hAnsi="Times New Roman"/>
          <w:sz w:val="24"/>
          <w:szCs w:val="24"/>
        </w:rPr>
        <w:t xml:space="preserve"> reveal the social, institutional, and epistemic disabling of hijra bodies in India with striking clarity and critical force. Dattani’s play exposes the legal and familial machinery that renders hijra lives invisible, criminal, and ungrievable — a machinery whose silence Uma acknowledges with quiet devastation in the play’s final lines: “They have no voice” (259). Roy extends this analysis to trace the counter-institutional possibilities that emerge from within marginality itself, demonstrating how a graveyard can become a home, and how the discarded can build communities of extraordinary vitality.</w:t>
      </w:r>
    </w:p>
    <w:p>
      <w:pPr>
        <w:spacing w:after="200"/>
        <w:jc w:val="both"/>
      </w:pPr>
      <w:r>
        <w:rPr>
          <w:rFonts w:ascii="Times New Roman" w:cs="Times New Roman" w:eastAsia="Times New Roman" w:hAnsi="Times New Roman"/>
          <w:sz w:val="24"/>
          <w:szCs w:val="24"/>
        </w:rPr>
        <w:t xml:space="preserve">Read together, these texts — in dialogue with Davis, McRuer, Garland-Thomson, Kafer, Siebers, Oliver, Butler, and Charlton — demonstrate that the hijra experience is not merely a question of gender non-conformity but of full-scale bodily and social disablement. More importantly, they illuminate the remarkable human capacity to create meaningful life, genuine kinship, and what Roy’s title insists upon as the possibility of utmost happiness — even within, and perhaps precisely because of, the spaces that mainstream society has abandoned.</w:t>
      </w:r>
    </w:p>
    <w:p>
      <w:pPr>
        <w:pStyle w:val="Heading1"/>
      </w:pPr>
      <w:r>
        <w:rPr>
          <w:rFonts w:ascii="Times New Roman" w:cs="Times New Roman" w:eastAsia="Times New Roman" w:hAnsi="Times New Roman"/>
          <w:b/>
          <w:bCs/>
          <w:sz w:val="28"/>
          <w:szCs w:val="28"/>
        </w:rPr>
        <w:t xml:space="preserve">Works Cited</w:t>
      </w:r>
    </w:p>
    <w:p>
      <w:pPr>
        <w:spacing w:after="120"/>
        <w:ind w:left="720" w:hanging="720"/>
      </w:pPr>
      <w:r>
        <w:rPr>
          <w:rFonts w:ascii="Times New Roman" w:cs="Times New Roman" w:eastAsia="Times New Roman" w:hAnsi="Times New Roman"/>
          <w:sz w:val="24"/>
          <w:szCs w:val="24"/>
        </w:rPr>
        <w:t xml:space="preserve">Butler, Judith. Precarious Life: The Powers of Mourning and Violence. Verso, 2004.</w:t>
      </w:r>
    </w:p>
    <w:p>
      <w:pPr>
        <w:spacing w:after="120"/>
        <w:ind w:left="720" w:hanging="720"/>
      </w:pPr>
      <w:r>
        <w:rPr>
          <w:rFonts w:ascii="Times New Roman" w:cs="Times New Roman" w:eastAsia="Times New Roman" w:hAnsi="Times New Roman"/>
          <w:sz w:val="24"/>
          <w:szCs w:val="24"/>
        </w:rPr>
        <w:t xml:space="preserve">Charlton, James I. Nothing About Us Without Us: Disability Oppression and Empowerment. U of California P, 1998.</w:t>
      </w:r>
    </w:p>
    <w:p>
      <w:pPr>
        <w:spacing w:after="120"/>
        <w:ind w:left="720" w:hanging="720"/>
      </w:pPr>
      <w:r>
        <w:rPr>
          <w:rFonts w:ascii="Times New Roman" w:cs="Times New Roman" w:eastAsia="Times New Roman" w:hAnsi="Times New Roman"/>
          <w:sz w:val="24"/>
          <w:szCs w:val="24"/>
        </w:rPr>
        <w:t xml:space="preserve">Dattani, Mahesh. “Seven Steps Around the Fire.” Collected Plays. Penguin Books India, 2000, pp. 209–260.</w:t>
      </w:r>
    </w:p>
    <w:p>
      <w:pPr>
        <w:spacing w:after="120"/>
        <w:ind w:left="720" w:hanging="720"/>
      </w:pPr>
      <w:r>
        <w:rPr>
          <w:rFonts w:ascii="Times New Roman" w:cs="Times New Roman" w:eastAsia="Times New Roman" w:hAnsi="Times New Roman"/>
          <w:sz w:val="24"/>
          <w:szCs w:val="24"/>
        </w:rPr>
        <w:t xml:space="preserve">Davis, Lennard J. Enforcing Normalcy: Disability, Deafness, and the Body. Verso, 1995.</w:t>
      </w:r>
    </w:p>
    <w:p>
      <w:pPr>
        <w:spacing w:after="120"/>
        <w:ind w:left="720" w:hanging="720"/>
      </w:pPr>
      <w:r>
        <w:rPr>
          <w:rFonts w:ascii="Times New Roman" w:cs="Times New Roman" w:eastAsia="Times New Roman" w:hAnsi="Times New Roman"/>
          <w:sz w:val="24"/>
          <w:szCs w:val="24"/>
        </w:rPr>
        <w:t xml:space="preserve">Garland-Thomson, Rosemarie. Staring: How We Look. Oxford UP, 2009.</w:t>
      </w:r>
    </w:p>
    <w:p>
      <w:pPr>
        <w:spacing w:after="120"/>
        <w:ind w:left="720" w:hanging="720"/>
      </w:pPr>
      <w:r>
        <w:rPr>
          <w:rFonts w:ascii="Times New Roman" w:cs="Times New Roman" w:eastAsia="Times New Roman" w:hAnsi="Times New Roman"/>
          <w:sz w:val="24"/>
          <w:szCs w:val="24"/>
        </w:rPr>
        <w:t xml:space="preserve">Kafer, Alison. Feminist, Queer, Crip. Indiana UP, 2013.</w:t>
      </w:r>
    </w:p>
    <w:p>
      <w:pPr>
        <w:spacing w:after="120"/>
        <w:ind w:left="720" w:hanging="720"/>
      </w:pPr>
      <w:r>
        <w:rPr>
          <w:rFonts w:ascii="Times New Roman" w:cs="Times New Roman" w:eastAsia="Times New Roman" w:hAnsi="Times New Roman"/>
          <w:sz w:val="24"/>
          <w:szCs w:val="24"/>
        </w:rPr>
        <w:t xml:space="preserve">McRuer, Robert. Crip Theory: Cultural Signs of Queerness and Disability. New York UP, 2006.</w:t>
      </w:r>
    </w:p>
    <w:p>
      <w:pPr>
        <w:spacing w:after="120"/>
        <w:ind w:left="720" w:hanging="720"/>
      </w:pPr>
      <w:r>
        <w:rPr>
          <w:rFonts w:ascii="Times New Roman" w:cs="Times New Roman" w:eastAsia="Times New Roman" w:hAnsi="Times New Roman"/>
          <w:sz w:val="24"/>
          <w:szCs w:val="24"/>
        </w:rPr>
        <w:t xml:space="preserve">Oliver, Mike. The Politics of Disablement: A Sociological Approach. Macmillan, 1990.</w:t>
      </w:r>
    </w:p>
    <w:p>
      <w:pPr>
        <w:spacing w:after="120"/>
        <w:ind w:left="720" w:hanging="720"/>
      </w:pPr>
      <w:r>
        <w:rPr>
          <w:rFonts w:ascii="Times New Roman" w:cs="Times New Roman" w:eastAsia="Times New Roman" w:hAnsi="Times New Roman"/>
          <w:sz w:val="24"/>
          <w:szCs w:val="24"/>
        </w:rPr>
        <w:t xml:space="preserve">Roy, Arundhati. The Ministry of Utmost Happiness. Penguin Random House India, 2017.</w:t>
      </w:r>
    </w:p>
    <w:p>
      <w:pPr>
        <w:spacing w:after="120"/>
        <w:ind w:left="720" w:hanging="720"/>
      </w:pPr>
      <w:r>
        <w:rPr>
          <w:rFonts w:ascii="Times New Roman" w:cs="Times New Roman" w:eastAsia="Times New Roman" w:hAnsi="Times New Roman"/>
          <w:sz w:val="24"/>
          <w:szCs w:val="24"/>
        </w:rPr>
        <w:t xml:space="preserve">Samuels, Ellen. “My Body, My Closet: Invisible Disability and the Limits of Coming-Out Discourse.” GLQ: A Journal of Lesbian and Gay Studies, vol. 9, no. 1-2, 2003, pp. 233–255.</w:t>
      </w:r>
    </w:p>
    <w:p>
      <w:pPr>
        <w:spacing w:after="120"/>
        <w:ind w:left="720" w:hanging="720"/>
      </w:pPr>
      <w:r>
        <w:rPr>
          <w:rFonts w:ascii="Times New Roman" w:cs="Times New Roman" w:eastAsia="Times New Roman" w:hAnsi="Times New Roman"/>
          <w:sz w:val="24"/>
          <w:szCs w:val="24"/>
        </w:rPr>
        <w:t xml:space="preserve">Siebers, Tobin. Disability Theory. U of Michigan P, 2008.</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Times New Roman" w:cs="Times New Roman" w:eastAsia="Times New Roman" w:hAnsi="Times New Roman"/>
      <w:b/>
      <w:bCs/>
      <w:color w:val="000000"/>
      <w:sz w:val="28"/>
      <w:szCs w:val="28"/>
    </w:rPr>
  </w:style>
  <w:style w:type="paragraph" w:styleId="Heading2">
    <w:name w:val="Heading 2"/>
    <w:basedOn w:val="Normal"/>
    <w:next w:val="Normal"/>
    <w:qFormat/>
    <w:pPr>
      <w:spacing w:after="120" w:before="240"/>
      <w:outlineLvl w:val="1"/>
    </w:pPr>
    <w:rPr>
      <w:rFonts w:ascii="Times New Roman" w:cs="Times New Roman" w:eastAsia="Times New Roman" w:hAnsi="Times New Roman"/>
      <w:b/>
      <w:bCs/>
      <w:color w:val="000000"/>
      <w:sz w:val="26"/>
      <w:szCs w:val="26"/>
    </w:rPr>
  </w:style>
  <w:style w:type="paragraph" w:styleId="Heading3">
    <w:name w:val="Heading 3"/>
    <w:basedOn w:val="Normal"/>
    <w:next w:val="Normal"/>
    <w:qFormat/>
    <w:pPr>
      <w:spacing w:after="100" w:before="200"/>
      <w:outlineLvl w:val="2"/>
    </w:pPr>
    <w:rPr>
      <w:rFonts w:ascii="Times New Roman" w:cs="Times New Roman" w:eastAsia="Times New Roman" w:hAnsi="Times New Roman"/>
      <w:b/>
      <w:bCs/>
      <w:i/>
      <w:i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2026-06-02T12:22:03.533Z</dcterms:created>
  <dcterms:modified xsi:type="dcterms:W3CDTF">2026-06-02T12:22:03.533Z</dcterms:modified>
</cp:coreProperties>
</file>

<file path=docProps/custom.xml><?xml version="1.0" encoding="utf-8"?>
<Properties xmlns="http://schemas.openxmlformats.org/officeDocument/2006/custom-properties" xmlns:vt="http://schemas.openxmlformats.org/officeDocument/2006/docPropsVTypes"/>
</file>