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3F88" w14:textId="77777777" w:rsidR="002D615A" w:rsidRDefault="00EB003D">
      <w:pPr>
        <w:spacing w:before="240" w:after="240"/>
        <w:jc w:val="center"/>
      </w:pPr>
      <w:r>
        <w:rPr>
          <w:b/>
          <w:color w:val="003366"/>
          <w:sz w:val="30"/>
        </w:rPr>
        <w:t>Exploring the Impact of a Structured Evidence-Based Physiotherapy Rehabilitation Program on Pain Reduction, Functional Recovery, Hip Mobility, Muscle Performance, and Quality of Life in Individuals With Femoroacetabular Impingement:</w:t>
      </w:r>
      <w:r>
        <w:rPr>
          <w:b/>
          <w:color w:val="003366"/>
          <w:sz w:val="30"/>
        </w:rPr>
        <w:br/>
        <w:t>A Pilot Randomized Controlled Trial</w:t>
      </w:r>
    </w:p>
    <w:p w14:paraId="6DFC2D14" w14:textId="121EA259" w:rsidR="002D615A" w:rsidRDefault="00EB003D">
      <w:pPr>
        <w:spacing w:after="240"/>
        <w:jc w:val="center"/>
      </w:pPr>
      <w:r>
        <w:rPr>
          <w:b/>
        </w:rPr>
        <w:t xml:space="preserve">Dr. </w:t>
      </w:r>
      <w:proofErr w:type="spellStart"/>
      <w:r w:rsidR="00770A6B">
        <w:rPr>
          <w:b/>
        </w:rPr>
        <w:t>Hafiza</w:t>
      </w:r>
      <w:proofErr w:type="spellEnd"/>
      <w:r w:rsidR="00770A6B">
        <w:rPr>
          <w:b/>
        </w:rPr>
        <w:t xml:space="preserve"> </w:t>
      </w:r>
      <w:proofErr w:type="spellStart"/>
      <w:r w:rsidR="00770A6B">
        <w:rPr>
          <w:b/>
        </w:rPr>
        <w:t>mubashra</w:t>
      </w:r>
      <w:proofErr w:type="spellEnd"/>
      <w:r w:rsidR="00770A6B">
        <w:rPr>
          <w:b/>
        </w:rPr>
        <w:t xml:space="preserve"> </w:t>
      </w:r>
      <w:r>
        <w:rPr>
          <w:i/>
          <w:sz w:val="19"/>
        </w:rPr>
        <w:br/>
        <w:t xml:space="preserve">* Corresponding Author Email: </w:t>
      </w:r>
      <w:r w:rsidR="00247734">
        <w:rPr>
          <w:i/>
          <w:sz w:val="19"/>
        </w:rPr>
        <w:t>Hafuzamubashra123@gmail.com</w:t>
      </w:r>
    </w:p>
    <w:p w14:paraId="7E5A4EF3" w14:textId="77777777" w:rsidR="002D615A" w:rsidRDefault="00EB003D">
      <w:pPr>
        <w:pStyle w:val="Heading1"/>
        <w:spacing w:before="280" w:after="80"/>
      </w:pPr>
      <w:r>
        <w:rPr>
          <w:rFonts w:ascii="Times New Roman" w:hAnsi="Times New Roman"/>
          <w:color w:val="003366"/>
          <w:sz w:val="26"/>
        </w:rPr>
        <w:t>Abstract</w:t>
      </w:r>
    </w:p>
    <w:p w14:paraId="6993B5B0" w14:textId="77777777" w:rsidR="002D615A" w:rsidRDefault="00EB003D">
      <w:pPr>
        <w:spacing w:after="120"/>
        <w:jc w:val="both"/>
      </w:pPr>
      <w:r>
        <w:rPr>
          <w:b/>
        </w:rPr>
        <w:t xml:space="preserve">Background: </w:t>
      </w:r>
      <w:r>
        <w:t xml:space="preserve"> Femoroacetabular impingement (FAI) syndrome yields serious structural compromises, dynamic hip pain, and accelerated joint decay in young, physically active populations. Standard lower-extremity conservative paradigms vary heavily and typically ignore progressive, high-load neuromuscular re-education matrices. This pilot randomized controlled trial evaluates the clinical efficacy, safety, and operational feasibility of a 12-week Structured Evidence-Based Physiotherapy (SEBP) framework using a milestone-dri</w:t>
      </w:r>
      <w:r>
        <w:t>ven loading protocol.</w:t>
      </w:r>
    </w:p>
    <w:p w14:paraId="62AE130D" w14:textId="77777777" w:rsidR="002D615A" w:rsidRDefault="00EB003D">
      <w:pPr>
        <w:spacing w:after="120"/>
        <w:jc w:val="both"/>
      </w:pPr>
      <w:r>
        <w:rPr>
          <w:b/>
        </w:rPr>
        <w:t xml:space="preserve">Methods: </w:t>
      </w:r>
      <w:r>
        <w:t xml:space="preserve"> Forty symptomatic FAI participants were randomized 1:1 to either the 3-phase experimental SEBP protocol or a non-progressive lower-limb stretching and low-load Standard Care (SC) group. Outcome measures—Numeric Pain Rating Scale (NPRS), International Hip Outcome Tool (iHOT-33), hand-held dynamometry (HHD), digital goniometry, and health-related quality of life indices (EQ-5D-5L)—were gathered at baseline, 4, 8, and 12 weeks. Statistical processing was enhanced via 2x4 mixed-model ANOVA, Mauchly's test of s</w:t>
      </w:r>
      <w:r>
        <w:t>phericity, and post-hoc pairwise corrections utilizing the Bonferroni method.</w:t>
      </w:r>
    </w:p>
    <w:p w14:paraId="4B1DCC10" w14:textId="77777777" w:rsidR="002D615A" w:rsidRDefault="00EB003D">
      <w:pPr>
        <w:spacing w:after="120"/>
        <w:jc w:val="both"/>
      </w:pPr>
      <w:r>
        <w:rPr>
          <w:b/>
        </w:rPr>
        <w:t xml:space="preserve">Results: </w:t>
      </w:r>
      <w:r>
        <w:t xml:space="preserve"> Mixed-model analysis identified a highly significant group-by-time interaction effect for primary metrics (p &lt; 0.001). At the 12-week terminal assessment, the SEBP cohort demonstrated superior outcomes in pain reduction (NPRS: 2.1 +- 0.6 vs 4.2 +- 1.1 in SC, p &lt; 0.001) and joint function (iHOT-33: 78.5 +- 8.4 vs 55.4 +- 9.1 in SC, p &lt; 0.001). Bonferroni-adjusted post-hoc tests confirmed significant, ongoing interval improvements within the SEBP group at every single evaluation step (p &lt; 0.05), which did no</w:t>
      </w:r>
      <w:r>
        <w:t>t occur in the SC group. Multi-directional muscular torque, passive joint ranges, and quality of life scores favored the structured intervention arm, with zero documented adverse events.</w:t>
      </w:r>
    </w:p>
    <w:p w14:paraId="512A62B2" w14:textId="77777777" w:rsidR="002D615A" w:rsidRDefault="00EB003D">
      <w:pPr>
        <w:spacing w:after="120"/>
        <w:jc w:val="both"/>
      </w:pPr>
      <w:r>
        <w:rPr>
          <w:b/>
        </w:rPr>
        <w:t xml:space="preserve">Conclusion: </w:t>
      </w:r>
      <w:r>
        <w:t xml:space="preserve"> Milestone-driven progressive loading frameworks generate superior and compounding functional value compared to generic standard physical therapy strategies, providing verified treatment effect margins and protocol feasibility to clear the path for large-scale definitive trials.</w:t>
      </w:r>
    </w:p>
    <w:p w14:paraId="62191B2E" w14:textId="77777777" w:rsidR="002D615A" w:rsidRDefault="00EB003D">
      <w:pPr>
        <w:spacing w:after="120"/>
        <w:jc w:val="both"/>
      </w:pPr>
      <w:r>
        <w:rPr>
          <w:b/>
        </w:rPr>
        <w:t xml:space="preserve">Keywords: </w:t>
      </w:r>
      <w:r>
        <w:t xml:space="preserve"> Femoroacetabular Impingement, Hip Arthroscopy, Conservative Management, Core Stabilization, Neuromuscular Re-education, Quality of Life, Sphericity Correction, Bonferroni Post-Hoc.</w:t>
      </w:r>
    </w:p>
    <w:p w14:paraId="7834AFB7" w14:textId="77777777" w:rsidR="002D615A" w:rsidRDefault="00EB003D">
      <w:pPr>
        <w:pStyle w:val="Heading1"/>
        <w:spacing w:before="280" w:after="80"/>
      </w:pPr>
      <w:r>
        <w:rPr>
          <w:rFonts w:ascii="Times New Roman" w:hAnsi="Times New Roman"/>
          <w:color w:val="003366"/>
          <w:sz w:val="26"/>
        </w:rPr>
        <w:lastRenderedPageBreak/>
        <w:t>1. Introduction</w:t>
      </w:r>
    </w:p>
    <w:p w14:paraId="1845F0ED" w14:textId="77777777" w:rsidR="002D615A" w:rsidRDefault="00EB003D">
      <w:pPr>
        <w:spacing w:after="120"/>
        <w:jc w:val="both"/>
      </w:pPr>
      <w:r>
        <w:t>Femoroacetabular impingement (FAI) syndrome represents a prevalent mechanical and motion-related structural disorder affecting young, physically active adults. The syndrome is driven by structural variations of the hip architecture, classified as Cam morphology (aspherical femoral head-neck junction), Pincer morphology (local or generalized over-coverage of the acetabulum), or Mixed morphology. During standard movements combining deep flexion, adduction, and internal rotation, these structural variations tr</w:t>
      </w:r>
      <w:r>
        <w:t>igger premature contact between the bone segments. This mechanical mismatch leads to labral tearing, cartilage delamination, and premature hip joint osteoarthritis.</w:t>
      </w:r>
    </w:p>
    <w:p w14:paraId="4E3867B9" w14:textId="77777777" w:rsidR="002D615A" w:rsidRDefault="00EB003D">
      <w:pPr>
        <w:spacing w:after="120"/>
        <w:jc w:val="both"/>
      </w:pPr>
      <w:r>
        <w:t>While arthroscopic surgical intervention has expanded significantly over the past two decades, recent large-scale clinical trials have highlighted that high-quality physical therapy remains a vital baseline option. However, standard conservative physical therapy often lacks structure, intensity, and progressive loading paradigms. Generic sheets focusing on basic lower-extremity stretching and low-load exercises fail to address the core deficits in eccentric hip abductor strength, pelvic dissociation, and mu</w:t>
      </w:r>
      <w:r>
        <w:t>lti-planar neuromuscular stabilization that characterize symptomatic FAI patients.</w:t>
      </w:r>
    </w:p>
    <w:p w14:paraId="64F003D0" w14:textId="77777777" w:rsidR="002D615A" w:rsidRDefault="00EB003D">
      <w:pPr>
        <w:spacing w:after="120"/>
        <w:jc w:val="both"/>
      </w:pPr>
      <w:r>
        <w:t xml:space="preserve">To bridge this clinical gap, we developed a 12-week Structured Evidence-Based Physiotherapy (SEBP) framework. This program relies on a 3-phase, milestone-driven loading matrix designed to restore dynamic centration of the femoral head and build long-term tissue resilience. The objective of this expanded pilot randomized controlled trial is to evaluate the clinical impact of the SEBP program against traditional Standard Care (SC). Importantly, this paper introduces rigorous statistical adjustments, applying </w:t>
      </w:r>
      <w:r>
        <w:t>Mauchly's sphericity evaluations and Bonferroni-corrected post-hoc pairwise tracking across multiple intermediate timepoints (weeks 4 and 8) to precisely map and validate the clinical recovery curve.</w:t>
      </w:r>
    </w:p>
    <w:p w14:paraId="66CF3A12" w14:textId="77777777" w:rsidR="002D615A" w:rsidRDefault="00EB003D">
      <w:pPr>
        <w:pStyle w:val="Heading1"/>
        <w:spacing w:before="280" w:after="80"/>
      </w:pPr>
      <w:r>
        <w:rPr>
          <w:rFonts w:ascii="Times New Roman" w:hAnsi="Times New Roman"/>
          <w:color w:val="003366"/>
          <w:sz w:val="26"/>
        </w:rPr>
        <w:t>2. Research Methodology</w:t>
      </w:r>
    </w:p>
    <w:p w14:paraId="36F3B9E1" w14:textId="77777777" w:rsidR="002D615A" w:rsidRDefault="00EB003D">
      <w:pPr>
        <w:pStyle w:val="Heading2"/>
        <w:spacing w:before="280" w:after="80"/>
      </w:pPr>
      <w:r>
        <w:rPr>
          <w:rFonts w:ascii="Times New Roman" w:hAnsi="Times New Roman"/>
          <w:color w:val="333333"/>
          <w:sz w:val="23"/>
        </w:rPr>
        <w:t>2.1 Trial Layout and Operational Criteria</w:t>
      </w:r>
    </w:p>
    <w:p w14:paraId="3F2EB173" w14:textId="77777777" w:rsidR="002D615A" w:rsidRDefault="00EB003D">
      <w:pPr>
        <w:spacing w:after="120"/>
        <w:jc w:val="both"/>
      </w:pPr>
      <w:r>
        <w:t>This trial was executed as a parallel-group, 1:1 randomized controlled pilot study across two outpatient orthopedic centers. Included participants were aged 18 to 45 years, presented with insidious groin pain lasting &gt;3 months, and had confirmed clinical and radiographic evidence of FAI syndrome. Individuals with joint space narrowing &lt;2mm, previous hip surgeries, or lumbar radiculopathy were excluded. Group assignment was hidden using sequentially numbered, opaque, sealed envelopes managed by an independen</w:t>
      </w:r>
      <w:r>
        <w:t>t biostatistician. Outcome assessors and data analyzers were fully blinded to allocation.</w:t>
      </w:r>
    </w:p>
    <w:p w14:paraId="7D5A51E7" w14:textId="77777777" w:rsidR="002D615A" w:rsidRDefault="00EB003D">
      <w:pPr>
        <w:pStyle w:val="Heading2"/>
        <w:spacing w:before="280" w:after="80"/>
      </w:pPr>
      <w:r>
        <w:rPr>
          <w:rFonts w:ascii="Times New Roman" w:hAnsi="Times New Roman"/>
          <w:color w:val="333333"/>
          <w:sz w:val="23"/>
        </w:rPr>
        <w:t>2.2 Comprehensive Rehabilitation Matrix</w:t>
      </w:r>
    </w:p>
    <w:p w14:paraId="0D0515EA" w14:textId="77777777" w:rsidR="002D615A" w:rsidRDefault="00EB003D">
      <w:pPr>
        <w:spacing w:after="120"/>
        <w:jc w:val="both"/>
      </w:pPr>
      <w:r>
        <w:t>The technical specifications of the active protocols are outlined below. The experimental SEBP cohort advanced through specialized, milestone-driven phases, while the active control SC cohort executed a standard, low-load lower-extremity sequence.</w:t>
      </w:r>
    </w:p>
    <w:p w14:paraId="17266363" w14:textId="77777777" w:rsidR="002D615A" w:rsidRDefault="00EB003D">
      <w:pPr>
        <w:spacing w:after="120"/>
        <w:jc w:val="both"/>
      </w:pPr>
      <w:r>
        <w:rPr>
          <w:i/>
        </w:rPr>
        <w:t>Table 1: 3-Phase Milestone Matrix for the Structured Evidence-Based Physiotherapy (SEBP) Regimen</w:t>
      </w:r>
    </w:p>
    <w:tbl>
      <w:tblPr>
        <w:tblW w:w="0" w:type="auto"/>
        <w:jc w:val="center"/>
        <w:tblLook w:val="04A0" w:firstRow="1" w:lastRow="0" w:firstColumn="1" w:lastColumn="0" w:noHBand="0" w:noVBand="1"/>
      </w:tblPr>
      <w:tblGrid>
        <w:gridCol w:w="2340"/>
        <w:gridCol w:w="2340"/>
        <w:gridCol w:w="2340"/>
        <w:gridCol w:w="2340"/>
      </w:tblGrid>
      <w:tr w:rsidR="002D615A" w14:paraId="0987A76D" w14:textId="77777777">
        <w:trPr>
          <w:jc w:val="center"/>
        </w:trPr>
        <w:tc>
          <w:tcPr>
            <w:tcW w:w="2340" w:type="dxa"/>
            <w:shd w:val="clear" w:color="auto" w:fill="003366"/>
            <w:vAlign w:val="center"/>
          </w:tcPr>
          <w:p w14:paraId="36BF9B57" w14:textId="77777777" w:rsidR="002D615A" w:rsidRDefault="00EB003D">
            <w:pPr>
              <w:jc w:val="center"/>
            </w:pPr>
            <w:r>
              <w:rPr>
                <w:b/>
                <w:color w:val="FFFFFF"/>
                <w:sz w:val="20"/>
              </w:rPr>
              <w:t>Phase &amp; Timeline</w:t>
            </w:r>
          </w:p>
        </w:tc>
        <w:tc>
          <w:tcPr>
            <w:tcW w:w="2340" w:type="dxa"/>
            <w:shd w:val="clear" w:color="auto" w:fill="003366"/>
            <w:vAlign w:val="center"/>
          </w:tcPr>
          <w:p w14:paraId="6FB7324B" w14:textId="77777777" w:rsidR="002D615A" w:rsidRDefault="00EB003D">
            <w:pPr>
              <w:jc w:val="center"/>
            </w:pPr>
            <w:r>
              <w:rPr>
                <w:b/>
                <w:color w:val="FFFFFF"/>
                <w:sz w:val="20"/>
              </w:rPr>
              <w:t>Primary Biomechanical Focus</w:t>
            </w:r>
          </w:p>
        </w:tc>
        <w:tc>
          <w:tcPr>
            <w:tcW w:w="2340" w:type="dxa"/>
            <w:shd w:val="clear" w:color="auto" w:fill="003366"/>
            <w:vAlign w:val="center"/>
          </w:tcPr>
          <w:p w14:paraId="62115158" w14:textId="77777777" w:rsidR="002D615A" w:rsidRDefault="00EB003D">
            <w:pPr>
              <w:jc w:val="center"/>
            </w:pPr>
            <w:r>
              <w:rPr>
                <w:b/>
                <w:color w:val="FFFFFF"/>
                <w:sz w:val="20"/>
              </w:rPr>
              <w:t>Key Core and Hip Exercises</w:t>
            </w:r>
          </w:p>
        </w:tc>
        <w:tc>
          <w:tcPr>
            <w:tcW w:w="2340" w:type="dxa"/>
            <w:shd w:val="clear" w:color="auto" w:fill="003366"/>
            <w:vAlign w:val="center"/>
          </w:tcPr>
          <w:p w14:paraId="4D6A7E9A" w14:textId="77777777" w:rsidR="002D615A" w:rsidRDefault="00EB003D">
            <w:pPr>
              <w:jc w:val="center"/>
            </w:pPr>
            <w:r>
              <w:rPr>
                <w:b/>
                <w:color w:val="FFFFFF"/>
                <w:sz w:val="20"/>
              </w:rPr>
              <w:t>Progression Criteria</w:t>
            </w:r>
          </w:p>
        </w:tc>
      </w:tr>
      <w:tr w:rsidR="002D615A" w14:paraId="69BCC264" w14:textId="77777777">
        <w:trPr>
          <w:jc w:val="center"/>
        </w:trPr>
        <w:tc>
          <w:tcPr>
            <w:tcW w:w="2340" w:type="dxa"/>
            <w:vAlign w:val="center"/>
          </w:tcPr>
          <w:p w14:paraId="342EAD08" w14:textId="77777777" w:rsidR="002D615A" w:rsidRDefault="00EB003D">
            <w:r>
              <w:rPr>
                <w:sz w:val="20"/>
              </w:rPr>
              <w:t>Phase 1</w:t>
            </w:r>
            <w:r>
              <w:rPr>
                <w:sz w:val="20"/>
              </w:rPr>
              <w:br/>
              <w:t>(Weeks 1-4)</w:t>
            </w:r>
          </w:p>
        </w:tc>
        <w:tc>
          <w:tcPr>
            <w:tcW w:w="2340" w:type="dxa"/>
            <w:vAlign w:val="center"/>
          </w:tcPr>
          <w:p w14:paraId="7DB0DABA" w14:textId="77777777" w:rsidR="002D615A" w:rsidRDefault="00EB003D">
            <w:pPr>
              <w:jc w:val="center"/>
            </w:pPr>
            <w:r>
              <w:rPr>
                <w:sz w:val="20"/>
              </w:rPr>
              <w:t xml:space="preserve">Pain modulation, muscle activation, avoiding </w:t>
            </w:r>
            <w:r>
              <w:rPr>
                <w:sz w:val="20"/>
              </w:rPr>
              <w:lastRenderedPageBreak/>
              <w:t>impingement zones.</w:t>
            </w:r>
          </w:p>
        </w:tc>
        <w:tc>
          <w:tcPr>
            <w:tcW w:w="2340" w:type="dxa"/>
            <w:vAlign w:val="center"/>
          </w:tcPr>
          <w:p w14:paraId="04C41513" w14:textId="77777777" w:rsidR="002D615A" w:rsidRDefault="00EB003D">
            <w:pPr>
              <w:jc w:val="center"/>
            </w:pPr>
            <w:r>
              <w:rPr>
                <w:sz w:val="20"/>
              </w:rPr>
              <w:lastRenderedPageBreak/>
              <w:t>Deep rotator isometric sets, dead-bugs, bird-</w:t>
            </w:r>
            <w:r>
              <w:rPr>
                <w:sz w:val="20"/>
              </w:rPr>
              <w:lastRenderedPageBreak/>
              <w:t>dogs, double-leg bridging, pain-free active-assisted ROM.</w:t>
            </w:r>
          </w:p>
        </w:tc>
        <w:tc>
          <w:tcPr>
            <w:tcW w:w="2340" w:type="dxa"/>
            <w:vAlign w:val="center"/>
          </w:tcPr>
          <w:p w14:paraId="716924FC" w14:textId="77777777" w:rsidR="002D615A" w:rsidRDefault="00EB003D">
            <w:pPr>
              <w:jc w:val="center"/>
            </w:pPr>
            <w:r>
              <w:rPr>
                <w:sz w:val="20"/>
              </w:rPr>
              <w:lastRenderedPageBreak/>
              <w:t xml:space="preserve">NPRS &lt;= 4/10 during daily movements, proper </w:t>
            </w:r>
            <w:r>
              <w:rPr>
                <w:sz w:val="20"/>
              </w:rPr>
              <w:lastRenderedPageBreak/>
              <w:t>pelvic-neutral maintenance.</w:t>
            </w:r>
          </w:p>
        </w:tc>
      </w:tr>
      <w:tr w:rsidR="002D615A" w14:paraId="3A48356B" w14:textId="77777777">
        <w:trPr>
          <w:jc w:val="center"/>
        </w:trPr>
        <w:tc>
          <w:tcPr>
            <w:tcW w:w="2340" w:type="dxa"/>
            <w:shd w:val="clear" w:color="auto" w:fill="F2F5F8"/>
            <w:vAlign w:val="center"/>
          </w:tcPr>
          <w:p w14:paraId="097A7749" w14:textId="77777777" w:rsidR="002D615A" w:rsidRDefault="00EB003D">
            <w:r>
              <w:rPr>
                <w:sz w:val="20"/>
              </w:rPr>
              <w:lastRenderedPageBreak/>
              <w:t>Phase 2</w:t>
            </w:r>
            <w:r>
              <w:rPr>
                <w:sz w:val="20"/>
              </w:rPr>
              <w:br/>
              <w:t>(Weeks 5-8)</w:t>
            </w:r>
          </w:p>
        </w:tc>
        <w:tc>
          <w:tcPr>
            <w:tcW w:w="2340" w:type="dxa"/>
            <w:shd w:val="clear" w:color="auto" w:fill="F2F5F8"/>
            <w:vAlign w:val="center"/>
          </w:tcPr>
          <w:p w14:paraId="3A3ECFC9" w14:textId="77777777" w:rsidR="002D615A" w:rsidRDefault="00EB003D">
            <w:pPr>
              <w:jc w:val="center"/>
            </w:pPr>
            <w:r>
              <w:rPr>
                <w:sz w:val="20"/>
              </w:rPr>
              <w:t>Progressive tissue loading, eccentric control, single-leg stabilization.</w:t>
            </w:r>
          </w:p>
        </w:tc>
        <w:tc>
          <w:tcPr>
            <w:tcW w:w="2340" w:type="dxa"/>
            <w:shd w:val="clear" w:color="auto" w:fill="F2F5F8"/>
            <w:vAlign w:val="center"/>
          </w:tcPr>
          <w:p w14:paraId="16B62891" w14:textId="77777777" w:rsidR="002D615A" w:rsidRDefault="00EB003D">
            <w:pPr>
              <w:jc w:val="center"/>
            </w:pPr>
            <w:r>
              <w:rPr>
                <w:sz w:val="20"/>
              </w:rPr>
              <w:t>Resisted sidestepping with loops, closed-chain slider lunges, single-leg perturbations, core links.</w:t>
            </w:r>
          </w:p>
        </w:tc>
        <w:tc>
          <w:tcPr>
            <w:tcW w:w="2340" w:type="dxa"/>
            <w:shd w:val="clear" w:color="auto" w:fill="F2F5F8"/>
            <w:vAlign w:val="center"/>
          </w:tcPr>
          <w:p w14:paraId="653EEE48" w14:textId="77777777" w:rsidR="002D615A" w:rsidRDefault="00EB003D">
            <w:pPr>
              <w:jc w:val="center"/>
            </w:pPr>
            <w:r>
              <w:rPr>
                <w:sz w:val="20"/>
              </w:rPr>
              <w:t>Symptom-free execution of Phase 2 loads, single-leg balance stability &gt; 30s.</w:t>
            </w:r>
          </w:p>
        </w:tc>
      </w:tr>
      <w:tr w:rsidR="002D615A" w14:paraId="1FFF5BBB" w14:textId="77777777">
        <w:trPr>
          <w:jc w:val="center"/>
        </w:trPr>
        <w:tc>
          <w:tcPr>
            <w:tcW w:w="2340" w:type="dxa"/>
            <w:vAlign w:val="center"/>
          </w:tcPr>
          <w:p w14:paraId="7F362DF9" w14:textId="77777777" w:rsidR="002D615A" w:rsidRDefault="00EB003D">
            <w:r>
              <w:rPr>
                <w:sz w:val="20"/>
              </w:rPr>
              <w:t>Phase 3</w:t>
            </w:r>
            <w:r>
              <w:rPr>
                <w:sz w:val="20"/>
              </w:rPr>
              <w:br/>
              <w:t>(Weeks 9-12)</w:t>
            </w:r>
          </w:p>
        </w:tc>
        <w:tc>
          <w:tcPr>
            <w:tcW w:w="2340" w:type="dxa"/>
            <w:vAlign w:val="center"/>
          </w:tcPr>
          <w:p w14:paraId="5C8E9D12" w14:textId="77777777" w:rsidR="002D615A" w:rsidRDefault="00EB003D">
            <w:pPr>
              <w:jc w:val="center"/>
            </w:pPr>
            <w:r>
              <w:rPr>
                <w:sz w:val="20"/>
              </w:rPr>
              <w:t>Functional movement integration, dynamic speed work, deceleration mechanics.</w:t>
            </w:r>
          </w:p>
        </w:tc>
        <w:tc>
          <w:tcPr>
            <w:tcW w:w="2340" w:type="dxa"/>
            <w:vAlign w:val="center"/>
          </w:tcPr>
          <w:p w14:paraId="662C9FDE" w14:textId="77777777" w:rsidR="002D615A" w:rsidRDefault="00EB003D">
            <w:pPr>
              <w:jc w:val="center"/>
            </w:pPr>
            <w:r>
              <w:rPr>
                <w:sz w:val="20"/>
              </w:rPr>
              <w:t>Multi-directional lunges, advanced plyometrics, agility shuttles, eccentric hip flexor conditioning.</w:t>
            </w:r>
          </w:p>
        </w:tc>
        <w:tc>
          <w:tcPr>
            <w:tcW w:w="2340" w:type="dxa"/>
            <w:vAlign w:val="center"/>
          </w:tcPr>
          <w:p w14:paraId="58FDE9CE" w14:textId="77777777" w:rsidR="002D615A" w:rsidRDefault="00EB003D">
            <w:pPr>
              <w:jc w:val="center"/>
            </w:pPr>
            <w:r>
              <w:rPr>
                <w:sz w:val="20"/>
              </w:rPr>
              <w:t>Full integration of dynamic patterns without pain flare-ups.</w:t>
            </w:r>
          </w:p>
        </w:tc>
      </w:tr>
    </w:tbl>
    <w:p w14:paraId="226ECAE2" w14:textId="77777777" w:rsidR="002D615A" w:rsidRDefault="00EB003D">
      <w:pPr>
        <w:pStyle w:val="Heading2"/>
        <w:spacing w:before="280" w:after="80"/>
      </w:pPr>
      <w:r>
        <w:rPr>
          <w:rFonts w:ascii="Times New Roman" w:hAnsi="Times New Roman"/>
          <w:color w:val="333333"/>
          <w:sz w:val="23"/>
        </w:rPr>
        <w:t>2.3 Rigorous Statistical Modeling Refinement</w:t>
      </w:r>
    </w:p>
    <w:p w14:paraId="0F6A118D" w14:textId="77777777" w:rsidR="002D615A" w:rsidRDefault="00EB003D">
      <w:pPr>
        <w:spacing w:after="120"/>
        <w:jc w:val="both"/>
      </w:pPr>
      <w:r>
        <w:t>Statistical processing was performed utilizing SPSS Version 28.0 and R package 'afex'. Continuous datasets were confirmed normal via Shapiro-Wilk testing. Primary and secondary parameters tracked at four distinct intervals (baseline, week 4, week 8, week 12) were analyzed using a 2x4 mixed-model analysis of variance (ANOVA), with group (SEBP vs SC) as the between-subjects variable and time as the within-subjects variable.</w:t>
      </w:r>
    </w:p>
    <w:p w14:paraId="733012B4" w14:textId="77777777" w:rsidR="002D615A" w:rsidRDefault="00EB003D">
      <w:pPr>
        <w:spacing w:after="120"/>
        <w:jc w:val="both"/>
      </w:pPr>
      <w:r>
        <w:rPr>
          <w:b/>
        </w:rPr>
        <w:t xml:space="preserve">ANOVA Refinement: </w:t>
      </w:r>
      <w:r>
        <w:t>To protect against Type I error inflation from repeated evaluations, the statistical model introduced three validation checks:</w:t>
      </w:r>
    </w:p>
    <w:p w14:paraId="164A8458" w14:textId="77777777" w:rsidR="002D615A" w:rsidRDefault="00EB003D">
      <w:pPr>
        <w:spacing w:after="120"/>
        <w:jc w:val="both"/>
      </w:pPr>
      <w:r>
        <w:rPr>
          <w:b/>
        </w:rPr>
        <w:t xml:space="preserve">1. Sphericity Correction: </w:t>
      </w:r>
      <w:r>
        <w:t>Mauchly's test was applied to all within-subject repeated measures indices. Wherever the sphericity assumption was violated (p &lt; 0.05), degrees of freedom were adjusted using Greenhouse-Geisser epsilon estimates to maintain valid F-ratio tests.</w:t>
      </w:r>
    </w:p>
    <w:p w14:paraId="43C3EEAC" w14:textId="77777777" w:rsidR="002D615A" w:rsidRDefault="00EB003D">
      <w:pPr>
        <w:spacing w:after="120"/>
        <w:jc w:val="both"/>
      </w:pPr>
      <w:r>
        <w:rPr>
          <w:b/>
        </w:rPr>
        <w:t xml:space="preserve">2. Bonferroni Pairwise Adjustment: </w:t>
      </w:r>
      <w:r>
        <w:t>To locate where group divergence occurred across the 12-week timeline, post-hoc pairwise comparisons were calculated across all evaluation steps. Alpha levels were strictly adjusted using the Bonferroni correction, setting individual significance criteria at adjusted alpha = 0.0083 for temporal steps.</w:t>
      </w:r>
    </w:p>
    <w:p w14:paraId="4EA819FF" w14:textId="77777777" w:rsidR="002D615A" w:rsidRDefault="00EB003D">
      <w:pPr>
        <w:spacing w:after="120"/>
        <w:jc w:val="both"/>
      </w:pPr>
      <w:r>
        <w:rPr>
          <w:b/>
        </w:rPr>
        <w:t xml:space="preserve">3. Intention-to-Treat Dropout Processing: </w:t>
      </w:r>
      <w:r>
        <w:t>Missing values resulting from experimental dropouts were addressed under the Missing at Random (MAR) assumption via Multiple Imputation by Chained Equations (MICE), generating 20 imputed data matrices to guarantee robust Intention-to-Treat (ITT) execution.</w:t>
      </w:r>
    </w:p>
    <w:p w14:paraId="21FA197D" w14:textId="77777777" w:rsidR="002D615A" w:rsidRDefault="00EB003D">
      <w:pPr>
        <w:pStyle w:val="Heading1"/>
        <w:spacing w:before="280" w:after="80"/>
      </w:pPr>
      <w:r>
        <w:rPr>
          <w:rFonts w:ascii="Times New Roman" w:hAnsi="Times New Roman"/>
          <w:color w:val="003366"/>
          <w:sz w:val="26"/>
        </w:rPr>
        <w:t>3. Results and Discussion</w:t>
      </w:r>
    </w:p>
    <w:p w14:paraId="12B09FB0" w14:textId="77777777" w:rsidR="002D615A" w:rsidRDefault="00EB003D">
      <w:pPr>
        <w:pStyle w:val="Heading2"/>
        <w:spacing w:before="280" w:after="80"/>
      </w:pPr>
      <w:r>
        <w:rPr>
          <w:rFonts w:ascii="Times New Roman" w:hAnsi="Times New Roman"/>
          <w:color w:val="333333"/>
          <w:sz w:val="23"/>
        </w:rPr>
        <w:t>3.1 Baseline Demographic Parameters</w:t>
      </w:r>
    </w:p>
    <w:p w14:paraId="1CEADD29" w14:textId="77777777" w:rsidR="002D615A" w:rsidRDefault="00EB003D">
      <w:pPr>
        <w:spacing w:after="120"/>
        <w:jc w:val="both"/>
      </w:pPr>
      <w:r>
        <w:t>Table 2 confirms excellent baseline balancing between the experimental and control cohorts, with no statistically significant differences (p &gt; 0.05) across any recorded anthropometric or clinical markers.</w:t>
      </w:r>
    </w:p>
    <w:p w14:paraId="7933268A" w14:textId="77777777" w:rsidR="002D615A" w:rsidRDefault="00EB003D">
      <w:pPr>
        <w:spacing w:after="120"/>
        <w:jc w:val="both"/>
      </w:pPr>
      <w:r>
        <w:rPr>
          <w:i/>
        </w:rPr>
        <w:t>Table 2: Baseline Demographic Profile and Pre-Trial Clinical Indices</w:t>
      </w:r>
    </w:p>
    <w:tbl>
      <w:tblPr>
        <w:tblW w:w="0" w:type="auto"/>
        <w:jc w:val="center"/>
        <w:tblLook w:val="04A0" w:firstRow="1" w:lastRow="0" w:firstColumn="1" w:lastColumn="0" w:noHBand="0" w:noVBand="1"/>
      </w:tblPr>
      <w:tblGrid>
        <w:gridCol w:w="2340"/>
        <w:gridCol w:w="2340"/>
        <w:gridCol w:w="2340"/>
        <w:gridCol w:w="2340"/>
      </w:tblGrid>
      <w:tr w:rsidR="002D615A" w14:paraId="72A1F6C6" w14:textId="77777777">
        <w:trPr>
          <w:jc w:val="center"/>
        </w:trPr>
        <w:tc>
          <w:tcPr>
            <w:tcW w:w="2340" w:type="dxa"/>
            <w:shd w:val="clear" w:color="auto" w:fill="003366"/>
            <w:vAlign w:val="center"/>
          </w:tcPr>
          <w:p w14:paraId="3A5A6243" w14:textId="77777777" w:rsidR="002D615A" w:rsidRDefault="00EB003D">
            <w:pPr>
              <w:jc w:val="center"/>
            </w:pPr>
            <w:r>
              <w:rPr>
                <w:b/>
                <w:color w:val="FFFFFF"/>
                <w:sz w:val="20"/>
              </w:rPr>
              <w:t>Baseline Metric</w:t>
            </w:r>
          </w:p>
        </w:tc>
        <w:tc>
          <w:tcPr>
            <w:tcW w:w="2340" w:type="dxa"/>
            <w:shd w:val="clear" w:color="auto" w:fill="003366"/>
            <w:vAlign w:val="center"/>
          </w:tcPr>
          <w:p w14:paraId="38786DFF" w14:textId="77777777" w:rsidR="002D615A" w:rsidRDefault="00EB003D">
            <w:pPr>
              <w:jc w:val="center"/>
            </w:pPr>
            <w:r>
              <w:rPr>
                <w:b/>
                <w:color w:val="FFFFFF"/>
                <w:sz w:val="20"/>
              </w:rPr>
              <w:t>SEBP Group (n=20)</w:t>
            </w:r>
          </w:p>
        </w:tc>
        <w:tc>
          <w:tcPr>
            <w:tcW w:w="2340" w:type="dxa"/>
            <w:shd w:val="clear" w:color="auto" w:fill="003366"/>
            <w:vAlign w:val="center"/>
          </w:tcPr>
          <w:p w14:paraId="7F209850" w14:textId="77777777" w:rsidR="002D615A" w:rsidRDefault="00EB003D">
            <w:pPr>
              <w:jc w:val="center"/>
            </w:pPr>
            <w:r>
              <w:rPr>
                <w:b/>
                <w:color w:val="FFFFFF"/>
                <w:sz w:val="20"/>
              </w:rPr>
              <w:t>Standard Care (n=20)</w:t>
            </w:r>
          </w:p>
        </w:tc>
        <w:tc>
          <w:tcPr>
            <w:tcW w:w="2340" w:type="dxa"/>
            <w:shd w:val="clear" w:color="auto" w:fill="003366"/>
            <w:vAlign w:val="center"/>
          </w:tcPr>
          <w:p w14:paraId="20803C9C" w14:textId="77777777" w:rsidR="002D615A" w:rsidRDefault="00EB003D">
            <w:pPr>
              <w:jc w:val="center"/>
            </w:pPr>
            <w:r>
              <w:rPr>
                <w:b/>
                <w:color w:val="FFFFFF"/>
                <w:sz w:val="20"/>
              </w:rPr>
              <w:t>p-value</w:t>
            </w:r>
          </w:p>
        </w:tc>
      </w:tr>
      <w:tr w:rsidR="002D615A" w14:paraId="464B4E01" w14:textId="77777777">
        <w:trPr>
          <w:jc w:val="center"/>
        </w:trPr>
        <w:tc>
          <w:tcPr>
            <w:tcW w:w="2340" w:type="dxa"/>
            <w:vAlign w:val="center"/>
          </w:tcPr>
          <w:p w14:paraId="4A84FC6B" w14:textId="77777777" w:rsidR="002D615A" w:rsidRDefault="00EB003D">
            <w:r>
              <w:rPr>
                <w:sz w:val="20"/>
              </w:rPr>
              <w:t>Age (Years, Mean +- SD)</w:t>
            </w:r>
          </w:p>
        </w:tc>
        <w:tc>
          <w:tcPr>
            <w:tcW w:w="2340" w:type="dxa"/>
            <w:vAlign w:val="center"/>
          </w:tcPr>
          <w:p w14:paraId="6AD483B0" w14:textId="77777777" w:rsidR="002D615A" w:rsidRDefault="00EB003D">
            <w:pPr>
              <w:jc w:val="center"/>
            </w:pPr>
            <w:r>
              <w:rPr>
                <w:sz w:val="20"/>
              </w:rPr>
              <w:t>28.1 +- 4.2</w:t>
            </w:r>
          </w:p>
        </w:tc>
        <w:tc>
          <w:tcPr>
            <w:tcW w:w="2340" w:type="dxa"/>
            <w:vAlign w:val="center"/>
          </w:tcPr>
          <w:p w14:paraId="75CCE993" w14:textId="77777777" w:rsidR="002D615A" w:rsidRDefault="00EB003D">
            <w:pPr>
              <w:jc w:val="center"/>
            </w:pPr>
            <w:r>
              <w:rPr>
                <w:sz w:val="20"/>
              </w:rPr>
              <w:t>28.7 +- 5.0</w:t>
            </w:r>
          </w:p>
        </w:tc>
        <w:tc>
          <w:tcPr>
            <w:tcW w:w="2340" w:type="dxa"/>
            <w:vAlign w:val="center"/>
          </w:tcPr>
          <w:p w14:paraId="5129A928" w14:textId="77777777" w:rsidR="002D615A" w:rsidRDefault="00EB003D">
            <w:pPr>
              <w:jc w:val="center"/>
            </w:pPr>
            <w:r>
              <w:rPr>
                <w:sz w:val="20"/>
              </w:rPr>
              <w:t>0.68</w:t>
            </w:r>
          </w:p>
        </w:tc>
      </w:tr>
      <w:tr w:rsidR="002D615A" w14:paraId="50558F2F" w14:textId="77777777">
        <w:trPr>
          <w:jc w:val="center"/>
        </w:trPr>
        <w:tc>
          <w:tcPr>
            <w:tcW w:w="2340" w:type="dxa"/>
            <w:shd w:val="clear" w:color="auto" w:fill="F2F5F8"/>
            <w:vAlign w:val="center"/>
          </w:tcPr>
          <w:p w14:paraId="51FC5A79" w14:textId="77777777" w:rsidR="002D615A" w:rsidRDefault="00EB003D">
            <w:r>
              <w:rPr>
                <w:sz w:val="20"/>
              </w:rPr>
              <w:lastRenderedPageBreak/>
              <w:t>Gender Distribution (Female/Male)</w:t>
            </w:r>
          </w:p>
        </w:tc>
        <w:tc>
          <w:tcPr>
            <w:tcW w:w="2340" w:type="dxa"/>
            <w:shd w:val="clear" w:color="auto" w:fill="F2F5F8"/>
            <w:vAlign w:val="center"/>
          </w:tcPr>
          <w:p w14:paraId="5927B331" w14:textId="77777777" w:rsidR="002D615A" w:rsidRDefault="00EB003D">
            <w:pPr>
              <w:jc w:val="center"/>
            </w:pPr>
            <w:r>
              <w:rPr>
                <w:sz w:val="20"/>
              </w:rPr>
              <w:t>11 / 9</w:t>
            </w:r>
          </w:p>
        </w:tc>
        <w:tc>
          <w:tcPr>
            <w:tcW w:w="2340" w:type="dxa"/>
            <w:shd w:val="clear" w:color="auto" w:fill="F2F5F8"/>
            <w:vAlign w:val="center"/>
          </w:tcPr>
          <w:p w14:paraId="63123378" w14:textId="77777777" w:rsidR="002D615A" w:rsidRDefault="00EB003D">
            <w:pPr>
              <w:jc w:val="center"/>
            </w:pPr>
            <w:r>
              <w:rPr>
                <w:sz w:val="20"/>
              </w:rPr>
              <w:t>11 / 9</w:t>
            </w:r>
          </w:p>
        </w:tc>
        <w:tc>
          <w:tcPr>
            <w:tcW w:w="2340" w:type="dxa"/>
            <w:shd w:val="clear" w:color="auto" w:fill="F2F5F8"/>
            <w:vAlign w:val="center"/>
          </w:tcPr>
          <w:p w14:paraId="4C4D662C" w14:textId="77777777" w:rsidR="002D615A" w:rsidRDefault="00EB003D">
            <w:pPr>
              <w:jc w:val="center"/>
            </w:pPr>
            <w:r>
              <w:rPr>
                <w:sz w:val="20"/>
              </w:rPr>
              <w:t>1.00</w:t>
            </w:r>
          </w:p>
        </w:tc>
      </w:tr>
      <w:tr w:rsidR="002D615A" w14:paraId="74AFD329" w14:textId="77777777">
        <w:trPr>
          <w:jc w:val="center"/>
        </w:trPr>
        <w:tc>
          <w:tcPr>
            <w:tcW w:w="2340" w:type="dxa"/>
            <w:vAlign w:val="center"/>
          </w:tcPr>
          <w:p w14:paraId="7D62D8CF" w14:textId="77777777" w:rsidR="002D615A" w:rsidRDefault="00EB003D">
            <w:r>
              <w:rPr>
                <w:sz w:val="20"/>
              </w:rPr>
              <w:t>Body Mass Index (kg/m2)</w:t>
            </w:r>
          </w:p>
        </w:tc>
        <w:tc>
          <w:tcPr>
            <w:tcW w:w="2340" w:type="dxa"/>
            <w:vAlign w:val="center"/>
          </w:tcPr>
          <w:p w14:paraId="54247C20" w14:textId="77777777" w:rsidR="002D615A" w:rsidRDefault="00EB003D">
            <w:pPr>
              <w:jc w:val="center"/>
            </w:pPr>
            <w:r>
              <w:rPr>
                <w:sz w:val="20"/>
              </w:rPr>
              <w:t>23.8 +- 2.1</w:t>
            </w:r>
          </w:p>
        </w:tc>
        <w:tc>
          <w:tcPr>
            <w:tcW w:w="2340" w:type="dxa"/>
            <w:vAlign w:val="center"/>
          </w:tcPr>
          <w:p w14:paraId="16BACC4B" w14:textId="77777777" w:rsidR="002D615A" w:rsidRDefault="00EB003D">
            <w:pPr>
              <w:jc w:val="center"/>
            </w:pPr>
            <w:r>
              <w:rPr>
                <w:sz w:val="20"/>
              </w:rPr>
              <w:t>24.1 +- 2.4</w:t>
            </w:r>
          </w:p>
        </w:tc>
        <w:tc>
          <w:tcPr>
            <w:tcW w:w="2340" w:type="dxa"/>
            <w:vAlign w:val="center"/>
          </w:tcPr>
          <w:p w14:paraId="173C059B" w14:textId="77777777" w:rsidR="002D615A" w:rsidRDefault="00EB003D">
            <w:pPr>
              <w:jc w:val="center"/>
            </w:pPr>
            <w:r>
              <w:rPr>
                <w:sz w:val="20"/>
              </w:rPr>
              <w:t>0.67</w:t>
            </w:r>
          </w:p>
        </w:tc>
      </w:tr>
      <w:tr w:rsidR="002D615A" w14:paraId="167047A4" w14:textId="77777777">
        <w:trPr>
          <w:jc w:val="center"/>
        </w:trPr>
        <w:tc>
          <w:tcPr>
            <w:tcW w:w="2340" w:type="dxa"/>
            <w:shd w:val="clear" w:color="auto" w:fill="F2F5F8"/>
            <w:vAlign w:val="center"/>
          </w:tcPr>
          <w:p w14:paraId="1844D384" w14:textId="77777777" w:rsidR="002D615A" w:rsidRDefault="00EB003D">
            <w:r>
              <w:rPr>
                <w:sz w:val="20"/>
              </w:rPr>
              <w:t>Symptom Chronicity (Months)</w:t>
            </w:r>
          </w:p>
        </w:tc>
        <w:tc>
          <w:tcPr>
            <w:tcW w:w="2340" w:type="dxa"/>
            <w:shd w:val="clear" w:color="auto" w:fill="F2F5F8"/>
            <w:vAlign w:val="center"/>
          </w:tcPr>
          <w:p w14:paraId="23733FF4" w14:textId="77777777" w:rsidR="002D615A" w:rsidRDefault="00EB003D">
            <w:pPr>
              <w:jc w:val="center"/>
            </w:pPr>
            <w:r>
              <w:rPr>
                <w:sz w:val="20"/>
              </w:rPr>
              <w:t>7.4 +- 2.8</w:t>
            </w:r>
          </w:p>
        </w:tc>
        <w:tc>
          <w:tcPr>
            <w:tcW w:w="2340" w:type="dxa"/>
            <w:shd w:val="clear" w:color="auto" w:fill="F2F5F8"/>
            <w:vAlign w:val="center"/>
          </w:tcPr>
          <w:p w14:paraId="176934AE" w14:textId="77777777" w:rsidR="002D615A" w:rsidRDefault="00EB003D">
            <w:pPr>
              <w:jc w:val="center"/>
            </w:pPr>
            <w:r>
              <w:rPr>
                <w:sz w:val="20"/>
              </w:rPr>
              <w:t>8.1 +- 3.1</w:t>
            </w:r>
          </w:p>
        </w:tc>
        <w:tc>
          <w:tcPr>
            <w:tcW w:w="2340" w:type="dxa"/>
            <w:shd w:val="clear" w:color="auto" w:fill="F2F5F8"/>
            <w:vAlign w:val="center"/>
          </w:tcPr>
          <w:p w14:paraId="3A16C42A" w14:textId="77777777" w:rsidR="002D615A" w:rsidRDefault="00EB003D">
            <w:pPr>
              <w:jc w:val="center"/>
            </w:pPr>
            <w:r>
              <w:rPr>
                <w:sz w:val="20"/>
              </w:rPr>
              <w:t>0.46</w:t>
            </w:r>
          </w:p>
        </w:tc>
      </w:tr>
      <w:tr w:rsidR="002D615A" w14:paraId="27BAC7D2" w14:textId="77777777">
        <w:trPr>
          <w:jc w:val="center"/>
        </w:trPr>
        <w:tc>
          <w:tcPr>
            <w:tcW w:w="2340" w:type="dxa"/>
            <w:vAlign w:val="center"/>
          </w:tcPr>
          <w:p w14:paraId="6C7923E2" w14:textId="77777777" w:rsidR="002D615A" w:rsidRDefault="00EB003D">
            <w:r>
              <w:rPr>
                <w:sz w:val="20"/>
              </w:rPr>
              <w:t>Morphology Class: Cam / Pincer / Mixed</w:t>
            </w:r>
          </w:p>
        </w:tc>
        <w:tc>
          <w:tcPr>
            <w:tcW w:w="2340" w:type="dxa"/>
            <w:vAlign w:val="center"/>
          </w:tcPr>
          <w:p w14:paraId="7E6295FA" w14:textId="77777777" w:rsidR="002D615A" w:rsidRDefault="00EB003D">
            <w:pPr>
              <w:jc w:val="center"/>
            </w:pPr>
            <w:r>
              <w:rPr>
                <w:sz w:val="20"/>
              </w:rPr>
              <w:t>6 / 4 / 10</w:t>
            </w:r>
          </w:p>
        </w:tc>
        <w:tc>
          <w:tcPr>
            <w:tcW w:w="2340" w:type="dxa"/>
            <w:vAlign w:val="center"/>
          </w:tcPr>
          <w:p w14:paraId="272081D8" w14:textId="77777777" w:rsidR="002D615A" w:rsidRDefault="00EB003D">
            <w:pPr>
              <w:jc w:val="center"/>
            </w:pPr>
            <w:r>
              <w:rPr>
                <w:sz w:val="20"/>
              </w:rPr>
              <w:t>5 / 5 / 10</w:t>
            </w:r>
          </w:p>
        </w:tc>
        <w:tc>
          <w:tcPr>
            <w:tcW w:w="2340" w:type="dxa"/>
            <w:vAlign w:val="center"/>
          </w:tcPr>
          <w:p w14:paraId="25221635" w14:textId="77777777" w:rsidR="002D615A" w:rsidRDefault="00EB003D">
            <w:pPr>
              <w:jc w:val="center"/>
            </w:pPr>
            <w:r>
              <w:rPr>
                <w:sz w:val="20"/>
              </w:rPr>
              <w:t>0.92</w:t>
            </w:r>
          </w:p>
        </w:tc>
      </w:tr>
      <w:tr w:rsidR="002D615A" w14:paraId="487B4ED0" w14:textId="77777777">
        <w:trPr>
          <w:jc w:val="center"/>
        </w:trPr>
        <w:tc>
          <w:tcPr>
            <w:tcW w:w="2340" w:type="dxa"/>
            <w:shd w:val="clear" w:color="auto" w:fill="F2F5F8"/>
            <w:vAlign w:val="center"/>
          </w:tcPr>
          <w:p w14:paraId="43909197" w14:textId="77777777" w:rsidR="002D615A" w:rsidRDefault="00EB003D">
            <w:r>
              <w:rPr>
                <w:sz w:val="20"/>
              </w:rPr>
              <w:t>Baseline Pain Index (NPRS, 0-10)</w:t>
            </w:r>
          </w:p>
        </w:tc>
        <w:tc>
          <w:tcPr>
            <w:tcW w:w="2340" w:type="dxa"/>
            <w:shd w:val="clear" w:color="auto" w:fill="F2F5F8"/>
            <w:vAlign w:val="center"/>
          </w:tcPr>
          <w:p w14:paraId="1C2E2094" w14:textId="77777777" w:rsidR="002D615A" w:rsidRDefault="00EB003D">
            <w:pPr>
              <w:jc w:val="center"/>
            </w:pPr>
            <w:r>
              <w:rPr>
                <w:sz w:val="20"/>
              </w:rPr>
              <w:t>6.5 +- 0.8</w:t>
            </w:r>
          </w:p>
        </w:tc>
        <w:tc>
          <w:tcPr>
            <w:tcW w:w="2340" w:type="dxa"/>
            <w:shd w:val="clear" w:color="auto" w:fill="F2F5F8"/>
            <w:vAlign w:val="center"/>
          </w:tcPr>
          <w:p w14:paraId="30A495A0" w14:textId="77777777" w:rsidR="002D615A" w:rsidRDefault="00EB003D">
            <w:pPr>
              <w:jc w:val="center"/>
            </w:pPr>
            <w:r>
              <w:rPr>
                <w:sz w:val="20"/>
              </w:rPr>
              <w:t>6.4 +- 0.9</w:t>
            </w:r>
          </w:p>
        </w:tc>
        <w:tc>
          <w:tcPr>
            <w:tcW w:w="2340" w:type="dxa"/>
            <w:shd w:val="clear" w:color="auto" w:fill="F2F5F8"/>
            <w:vAlign w:val="center"/>
          </w:tcPr>
          <w:p w14:paraId="350CD605" w14:textId="77777777" w:rsidR="002D615A" w:rsidRDefault="00EB003D">
            <w:pPr>
              <w:jc w:val="center"/>
            </w:pPr>
            <w:r>
              <w:rPr>
                <w:sz w:val="20"/>
              </w:rPr>
              <w:t>0.71</w:t>
            </w:r>
          </w:p>
        </w:tc>
      </w:tr>
    </w:tbl>
    <w:p w14:paraId="3D8B68F7" w14:textId="77777777" w:rsidR="002D615A" w:rsidRDefault="00EB003D">
      <w:pPr>
        <w:pStyle w:val="Heading2"/>
        <w:spacing w:before="280" w:after="80"/>
      </w:pPr>
      <w:r>
        <w:rPr>
          <w:rFonts w:ascii="Times New Roman" w:hAnsi="Times New Roman"/>
          <w:color w:val="333333"/>
          <w:sz w:val="23"/>
        </w:rPr>
        <w:t>3.2 Longitudinal ANOVA &amp; Primary Tracking Curves</w:t>
      </w:r>
    </w:p>
    <w:p w14:paraId="284698AF" w14:textId="77777777" w:rsidR="002D615A" w:rsidRDefault="00EB003D">
      <w:pPr>
        <w:spacing w:after="120"/>
        <w:jc w:val="both"/>
      </w:pPr>
      <w:r>
        <w:t>The 2x4 mixed-model ANOVA identified a highly significant group-by-time interaction effect for pain intensity (NPRS: F(2.13, 80.94) = 28.44, p &lt; 0.001, partial eta-squared = 0.43) and patient-reported joint function (iHOT-33: F(1.94, 73.72) = 41.12, p &lt; 0.001, partial eta-squared = 0.52). In both primary models, Mauchly's test indicated a violation of the sphericity assumption (p &lt; 0.01), requiring the application of Greenhouse-Geisser corrections (epsilon = 0.71 for NPRS; epsilon = 0.65 for iHOT-33) to ver</w:t>
      </w:r>
      <w:r>
        <w:t>ify the results.</w:t>
      </w:r>
    </w:p>
    <w:p w14:paraId="375C39F5" w14:textId="77777777" w:rsidR="002D615A" w:rsidRDefault="00EB003D">
      <w:pPr>
        <w:jc w:val="center"/>
      </w:pPr>
      <w:r>
        <w:rPr>
          <w:noProof/>
        </w:rPr>
        <w:drawing>
          <wp:inline distT="0" distB="0" distL="0" distR="0" wp14:anchorId="10CB7947" wp14:editId="68F84021">
            <wp:extent cx="4114800" cy="2532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rs_ijrias_trajectory.png"/>
                    <pic:cNvPicPr/>
                  </pic:nvPicPr>
                  <pic:blipFill>
                    <a:blip r:embed="rId6"/>
                    <a:stretch>
                      <a:fillRect/>
                    </a:stretch>
                  </pic:blipFill>
                  <pic:spPr>
                    <a:xfrm>
                      <a:off x="0" y="0"/>
                      <a:ext cx="4114800" cy="2532185"/>
                    </a:xfrm>
                    <a:prstGeom prst="rect">
                      <a:avLst/>
                    </a:prstGeom>
                  </pic:spPr>
                </pic:pic>
              </a:graphicData>
            </a:graphic>
          </wp:inline>
        </w:drawing>
      </w:r>
    </w:p>
    <w:p w14:paraId="6828314F" w14:textId="77777777" w:rsidR="002D615A" w:rsidRDefault="00EB003D">
      <w:pPr>
        <w:jc w:val="center"/>
      </w:pPr>
      <w:r>
        <w:rPr>
          <w:i/>
          <w:sz w:val="19"/>
        </w:rPr>
        <w:t>Figure 1: Pain intensity trajectory (NPRS) across the 12-week timeline.</w:t>
      </w:r>
    </w:p>
    <w:p w14:paraId="68F8A493" w14:textId="77777777" w:rsidR="002D615A" w:rsidRDefault="00EB003D">
      <w:pPr>
        <w:jc w:val="center"/>
      </w:pPr>
      <w:r>
        <w:rPr>
          <w:noProof/>
        </w:rPr>
        <w:lastRenderedPageBreak/>
        <w:drawing>
          <wp:inline distT="0" distB="0" distL="0" distR="0" wp14:anchorId="16C119B1" wp14:editId="09035DC4">
            <wp:extent cx="4114800" cy="2532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t_ijrias_trajectory.png"/>
                    <pic:cNvPicPr/>
                  </pic:nvPicPr>
                  <pic:blipFill>
                    <a:blip r:embed="rId7"/>
                    <a:stretch>
                      <a:fillRect/>
                    </a:stretch>
                  </pic:blipFill>
                  <pic:spPr>
                    <a:xfrm>
                      <a:off x="0" y="0"/>
                      <a:ext cx="4114800" cy="2532185"/>
                    </a:xfrm>
                    <a:prstGeom prst="rect">
                      <a:avLst/>
                    </a:prstGeom>
                  </pic:spPr>
                </pic:pic>
              </a:graphicData>
            </a:graphic>
          </wp:inline>
        </w:drawing>
      </w:r>
    </w:p>
    <w:p w14:paraId="25CE856E" w14:textId="77777777" w:rsidR="002D615A" w:rsidRDefault="00EB003D">
      <w:pPr>
        <w:jc w:val="center"/>
      </w:pPr>
      <w:r>
        <w:rPr>
          <w:i/>
          <w:sz w:val="19"/>
        </w:rPr>
        <w:t>Figure 2: Functional status improvement trajectory measured via the iHOT-33 scale.</w:t>
      </w:r>
    </w:p>
    <w:p w14:paraId="7EE18142" w14:textId="77777777" w:rsidR="002D615A" w:rsidRDefault="00EB003D">
      <w:pPr>
        <w:spacing w:after="120"/>
        <w:jc w:val="both"/>
      </w:pPr>
      <w:r>
        <w:t>Table 3 presents the granular longitudinal outcomes across all intermediate and terminal evaluation blocks, demonstrating a clear clinical separation between the study arms.</w:t>
      </w:r>
    </w:p>
    <w:p w14:paraId="2C28B8F0" w14:textId="77777777" w:rsidR="002D615A" w:rsidRDefault="00EB003D">
      <w:pPr>
        <w:spacing w:after="120"/>
        <w:jc w:val="both"/>
      </w:pPr>
      <w:r>
        <w:rPr>
          <w:i/>
        </w:rPr>
        <w:t>Table 3: Multi-Point Longitudinal Metrics of Primary and Secondary Variables Across Group Assignments</w:t>
      </w:r>
    </w:p>
    <w:tbl>
      <w:tblPr>
        <w:tblW w:w="0" w:type="auto"/>
        <w:jc w:val="center"/>
        <w:tblLook w:val="04A0" w:firstRow="1" w:lastRow="0" w:firstColumn="1" w:lastColumn="0" w:noHBand="0" w:noVBand="1"/>
      </w:tblPr>
      <w:tblGrid>
        <w:gridCol w:w="1560"/>
        <w:gridCol w:w="1560"/>
        <w:gridCol w:w="1560"/>
        <w:gridCol w:w="1560"/>
        <w:gridCol w:w="1560"/>
        <w:gridCol w:w="1560"/>
      </w:tblGrid>
      <w:tr w:rsidR="002D615A" w14:paraId="3C3DAACB" w14:textId="77777777">
        <w:trPr>
          <w:jc w:val="center"/>
        </w:trPr>
        <w:tc>
          <w:tcPr>
            <w:tcW w:w="1560" w:type="dxa"/>
            <w:shd w:val="clear" w:color="auto" w:fill="003366"/>
            <w:vAlign w:val="center"/>
          </w:tcPr>
          <w:p w14:paraId="314BA1AF" w14:textId="77777777" w:rsidR="002D615A" w:rsidRDefault="00EB003D">
            <w:pPr>
              <w:jc w:val="center"/>
            </w:pPr>
            <w:r>
              <w:rPr>
                <w:b/>
                <w:color w:val="FFFFFF"/>
                <w:sz w:val="20"/>
              </w:rPr>
              <w:t>Clinical Variable</w:t>
            </w:r>
          </w:p>
        </w:tc>
        <w:tc>
          <w:tcPr>
            <w:tcW w:w="1560" w:type="dxa"/>
            <w:shd w:val="clear" w:color="auto" w:fill="003366"/>
            <w:vAlign w:val="center"/>
          </w:tcPr>
          <w:p w14:paraId="3D868FE4" w14:textId="77777777" w:rsidR="002D615A" w:rsidRDefault="00EB003D">
            <w:pPr>
              <w:jc w:val="center"/>
            </w:pPr>
            <w:r>
              <w:rPr>
                <w:b/>
                <w:color w:val="FFFFFF"/>
                <w:sz w:val="20"/>
              </w:rPr>
              <w:t>Group</w:t>
            </w:r>
          </w:p>
        </w:tc>
        <w:tc>
          <w:tcPr>
            <w:tcW w:w="1560" w:type="dxa"/>
            <w:shd w:val="clear" w:color="auto" w:fill="003366"/>
            <w:vAlign w:val="center"/>
          </w:tcPr>
          <w:p w14:paraId="6E4AE515" w14:textId="77777777" w:rsidR="002D615A" w:rsidRDefault="00EB003D">
            <w:pPr>
              <w:jc w:val="center"/>
            </w:pPr>
            <w:r>
              <w:rPr>
                <w:b/>
                <w:color w:val="FFFFFF"/>
                <w:sz w:val="20"/>
              </w:rPr>
              <w:t>Baseline</w:t>
            </w:r>
          </w:p>
        </w:tc>
        <w:tc>
          <w:tcPr>
            <w:tcW w:w="1560" w:type="dxa"/>
            <w:shd w:val="clear" w:color="auto" w:fill="003366"/>
            <w:vAlign w:val="center"/>
          </w:tcPr>
          <w:p w14:paraId="4A434CDE" w14:textId="77777777" w:rsidR="002D615A" w:rsidRDefault="00EB003D">
            <w:pPr>
              <w:jc w:val="center"/>
            </w:pPr>
            <w:r>
              <w:rPr>
                <w:b/>
                <w:color w:val="FFFFFF"/>
                <w:sz w:val="20"/>
              </w:rPr>
              <w:t>Week 4</w:t>
            </w:r>
          </w:p>
        </w:tc>
        <w:tc>
          <w:tcPr>
            <w:tcW w:w="1560" w:type="dxa"/>
            <w:shd w:val="clear" w:color="auto" w:fill="003366"/>
            <w:vAlign w:val="center"/>
          </w:tcPr>
          <w:p w14:paraId="12E8AC41" w14:textId="77777777" w:rsidR="002D615A" w:rsidRDefault="00EB003D">
            <w:pPr>
              <w:jc w:val="center"/>
            </w:pPr>
            <w:r>
              <w:rPr>
                <w:b/>
                <w:color w:val="FFFFFF"/>
                <w:sz w:val="20"/>
              </w:rPr>
              <w:t>Week 8</w:t>
            </w:r>
          </w:p>
        </w:tc>
        <w:tc>
          <w:tcPr>
            <w:tcW w:w="1560" w:type="dxa"/>
            <w:shd w:val="clear" w:color="auto" w:fill="003366"/>
            <w:vAlign w:val="center"/>
          </w:tcPr>
          <w:p w14:paraId="0324F7A8" w14:textId="77777777" w:rsidR="002D615A" w:rsidRDefault="00EB003D">
            <w:pPr>
              <w:jc w:val="center"/>
            </w:pPr>
            <w:r>
              <w:rPr>
                <w:b/>
                <w:color w:val="FFFFFF"/>
                <w:sz w:val="20"/>
              </w:rPr>
              <w:t>Week 12 (Post)</w:t>
            </w:r>
          </w:p>
        </w:tc>
      </w:tr>
      <w:tr w:rsidR="002D615A" w14:paraId="041B234D" w14:textId="77777777">
        <w:trPr>
          <w:jc w:val="center"/>
        </w:trPr>
        <w:tc>
          <w:tcPr>
            <w:tcW w:w="1560" w:type="dxa"/>
            <w:vAlign w:val="center"/>
          </w:tcPr>
          <w:p w14:paraId="24CE0185" w14:textId="77777777" w:rsidR="002D615A" w:rsidRDefault="00EB003D">
            <w:r>
              <w:rPr>
                <w:sz w:val="20"/>
              </w:rPr>
              <w:t>iHOT-33 Functional Score</w:t>
            </w:r>
            <w:r>
              <w:rPr>
                <w:sz w:val="20"/>
              </w:rPr>
              <w:br/>
              <w:t>(Points, 0-100)</w:t>
            </w:r>
          </w:p>
        </w:tc>
        <w:tc>
          <w:tcPr>
            <w:tcW w:w="1560" w:type="dxa"/>
            <w:vAlign w:val="center"/>
          </w:tcPr>
          <w:p w14:paraId="0E1D18A5" w14:textId="77777777" w:rsidR="002D615A" w:rsidRDefault="00EB003D">
            <w:pPr>
              <w:jc w:val="center"/>
            </w:pPr>
            <w:r>
              <w:rPr>
                <w:sz w:val="20"/>
              </w:rPr>
              <w:t>SEBP</w:t>
            </w:r>
            <w:r>
              <w:rPr>
                <w:sz w:val="20"/>
              </w:rPr>
              <w:br/>
              <w:t>SC</w:t>
            </w:r>
          </w:p>
        </w:tc>
        <w:tc>
          <w:tcPr>
            <w:tcW w:w="1560" w:type="dxa"/>
            <w:vAlign w:val="center"/>
          </w:tcPr>
          <w:p w14:paraId="0D4736CE" w14:textId="77777777" w:rsidR="002D615A" w:rsidRDefault="00EB003D">
            <w:pPr>
              <w:jc w:val="center"/>
            </w:pPr>
            <w:r>
              <w:rPr>
                <w:sz w:val="20"/>
              </w:rPr>
              <w:t>42.3 +- 7.2</w:t>
            </w:r>
            <w:r>
              <w:rPr>
                <w:sz w:val="20"/>
              </w:rPr>
              <w:br/>
              <w:t>41.8 +- 6.9</w:t>
            </w:r>
          </w:p>
        </w:tc>
        <w:tc>
          <w:tcPr>
            <w:tcW w:w="1560" w:type="dxa"/>
            <w:vAlign w:val="center"/>
          </w:tcPr>
          <w:p w14:paraId="000E2D8B" w14:textId="77777777" w:rsidR="002D615A" w:rsidRDefault="00EB003D">
            <w:pPr>
              <w:jc w:val="center"/>
            </w:pPr>
            <w:r>
              <w:rPr>
                <w:sz w:val="20"/>
              </w:rPr>
              <w:t>53.1 +- 6.5</w:t>
            </w:r>
            <w:r>
              <w:rPr>
                <w:sz w:val="20"/>
              </w:rPr>
              <w:br/>
              <w:t>45.2 +- 5.8</w:t>
            </w:r>
          </w:p>
        </w:tc>
        <w:tc>
          <w:tcPr>
            <w:tcW w:w="1560" w:type="dxa"/>
            <w:vAlign w:val="center"/>
          </w:tcPr>
          <w:p w14:paraId="3AF5E385" w14:textId="77777777" w:rsidR="002D615A" w:rsidRDefault="00EB003D">
            <w:pPr>
              <w:jc w:val="center"/>
            </w:pPr>
            <w:r>
              <w:rPr>
                <w:sz w:val="20"/>
              </w:rPr>
              <w:t>67.4 +- 7.1</w:t>
            </w:r>
            <w:r>
              <w:rPr>
                <w:sz w:val="20"/>
              </w:rPr>
              <w:br/>
              <w:t>50.8 +- 6.4</w:t>
            </w:r>
          </w:p>
        </w:tc>
        <w:tc>
          <w:tcPr>
            <w:tcW w:w="1560" w:type="dxa"/>
            <w:vAlign w:val="center"/>
          </w:tcPr>
          <w:p w14:paraId="06263DBD" w14:textId="77777777" w:rsidR="002D615A" w:rsidRDefault="00EB003D">
            <w:pPr>
              <w:jc w:val="center"/>
            </w:pPr>
            <w:r>
              <w:rPr>
                <w:sz w:val="20"/>
              </w:rPr>
              <w:t>78.5 +- 8.4</w:t>
            </w:r>
            <w:r>
              <w:rPr>
                <w:sz w:val="20"/>
              </w:rPr>
              <w:br/>
              <w:t>55.4 +- 9.1</w:t>
            </w:r>
          </w:p>
        </w:tc>
      </w:tr>
      <w:tr w:rsidR="002D615A" w14:paraId="6C8A1E6D" w14:textId="77777777">
        <w:trPr>
          <w:jc w:val="center"/>
        </w:trPr>
        <w:tc>
          <w:tcPr>
            <w:tcW w:w="1560" w:type="dxa"/>
            <w:shd w:val="clear" w:color="auto" w:fill="F2F5F8"/>
            <w:vAlign w:val="center"/>
          </w:tcPr>
          <w:p w14:paraId="2025F7D3" w14:textId="77777777" w:rsidR="002D615A" w:rsidRDefault="00EB003D">
            <w:r>
              <w:rPr>
                <w:sz w:val="20"/>
              </w:rPr>
              <w:t>Numeric Pain Scale</w:t>
            </w:r>
            <w:r>
              <w:rPr>
                <w:sz w:val="20"/>
              </w:rPr>
              <w:br/>
              <w:t>(NPRS, 0-10)</w:t>
            </w:r>
          </w:p>
        </w:tc>
        <w:tc>
          <w:tcPr>
            <w:tcW w:w="1560" w:type="dxa"/>
            <w:shd w:val="clear" w:color="auto" w:fill="F2F5F8"/>
            <w:vAlign w:val="center"/>
          </w:tcPr>
          <w:p w14:paraId="6BA10BA1" w14:textId="77777777" w:rsidR="002D615A" w:rsidRDefault="00EB003D">
            <w:pPr>
              <w:jc w:val="center"/>
            </w:pPr>
            <w:r>
              <w:rPr>
                <w:sz w:val="20"/>
              </w:rPr>
              <w:t>SEBP</w:t>
            </w:r>
            <w:r>
              <w:rPr>
                <w:sz w:val="20"/>
              </w:rPr>
              <w:br/>
              <w:t>SC</w:t>
            </w:r>
          </w:p>
        </w:tc>
        <w:tc>
          <w:tcPr>
            <w:tcW w:w="1560" w:type="dxa"/>
            <w:shd w:val="clear" w:color="auto" w:fill="F2F5F8"/>
            <w:vAlign w:val="center"/>
          </w:tcPr>
          <w:p w14:paraId="1C47FF40" w14:textId="77777777" w:rsidR="002D615A" w:rsidRDefault="00EB003D">
            <w:pPr>
              <w:jc w:val="center"/>
            </w:pPr>
            <w:r>
              <w:rPr>
                <w:sz w:val="20"/>
              </w:rPr>
              <w:t>6.5 +- 0.8</w:t>
            </w:r>
            <w:r>
              <w:rPr>
                <w:sz w:val="20"/>
              </w:rPr>
              <w:br/>
              <w:t>6.4 +- 0.9</w:t>
            </w:r>
          </w:p>
        </w:tc>
        <w:tc>
          <w:tcPr>
            <w:tcW w:w="1560" w:type="dxa"/>
            <w:shd w:val="clear" w:color="auto" w:fill="F2F5F8"/>
            <w:vAlign w:val="center"/>
          </w:tcPr>
          <w:p w14:paraId="1117F2F9" w14:textId="77777777" w:rsidR="002D615A" w:rsidRDefault="00EB003D">
            <w:pPr>
              <w:jc w:val="center"/>
            </w:pPr>
            <w:r>
              <w:rPr>
                <w:sz w:val="20"/>
              </w:rPr>
              <w:t>4.2 +- 0.7</w:t>
            </w:r>
            <w:r>
              <w:rPr>
                <w:sz w:val="20"/>
              </w:rPr>
              <w:br/>
              <w:t>5.5 +- 0.8</w:t>
            </w:r>
          </w:p>
        </w:tc>
        <w:tc>
          <w:tcPr>
            <w:tcW w:w="1560" w:type="dxa"/>
            <w:shd w:val="clear" w:color="auto" w:fill="F2F5F8"/>
            <w:vAlign w:val="center"/>
          </w:tcPr>
          <w:p w14:paraId="5ED10130" w14:textId="77777777" w:rsidR="002D615A" w:rsidRDefault="00EB003D">
            <w:pPr>
              <w:jc w:val="center"/>
            </w:pPr>
            <w:r>
              <w:rPr>
                <w:sz w:val="20"/>
              </w:rPr>
              <w:t>2.8 +- 0.5</w:t>
            </w:r>
            <w:r>
              <w:rPr>
                <w:sz w:val="20"/>
              </w:rPr>
              <w:br/>
            </w:r>
            <w:r>
              <w:rPr>
                <w:sz w:val="20"/>
              </w:rPr>
              <w:t>4.8 +- 1.0</w:t>
            </w:r>
          </w:p>
        </w:tc>
        <w:tc>
          <w:tcPr>
            <w:tcW w:w="1560" w:type="dxa"/>
            <w:shd w:val="clear" w:color="auto" w:fill="F2F5F8"/>
            <w:vAlign w:val="center"/>
          </w:tcPr>
          <w:p w14:paraId="13277A43" w14:textId="77777777" w:rsidR="002D615A" w:rsidRDefault="00EB003D">
            <w:pPr>
              <w:jc w:val="center"/>
            </w:pPr>
            <w:r>
              <w:rPr>
                <w:sz w:val="20"/>
              </w:rPr>
              <w:t>2.1 +- 0.6</w:t>
            </w:r>
            <w:r>
              <w:rPr>
                <w:sz w:val="20"/>
              </w:rPr>
              <w:br/>
              <w:t>4.2 +- 1.1</w:t>
            </w:r>
          </w:p>
        </w:tc>
      </w:tr>
      <w:tr w:rsidR="002D615A" w14:paraId="32FBF377" w14:textId="77777777">
        <w:trPr>
          <w:jc w:val="center"/>
        </w:trPr>
        <w:tc>
          <w:tcPr>
            <w:tcW w:w="1560" w:type="dxa"/>
            <w:vAlign w:val="center"/>
          </w:tcPr>
          <w:p w14:paraId="09BE1D62" w14:textId="77777777" w:rsidR="002D615A" w:rsidRDefault="00EB003D">
            <w:r>
              <w:rPr>
                <w:sz w:val="20"/>
              </w:rPr>
              <w:t>Passive Hip Flexion</w:t>
            </w:r>
            <w:r>
              <w:rPr>
                <w:sz w:val="20"/>
              </w:rPr>
              <w:br/>
              <w:t>(Degrees)</w:t>
            </w:r>
          </w:p>
        </w:tc>
        <w:tc>
          <w:tcPr>
            <w:tcW w:w="1560" w:type="dxa"/>
            <w:vAlign w:val="center"/>
          </w:tcPr>
          <w:p w14:paraId="5D79EDB9" w14:textId="77777777" w:rsidR="002D615A" w:rsidRDefault="00EB003D">
            <w:pPr>
              <w:jc w:val="center"/>
            </w:pPr>
            <w:r>
              <w:rPr>
                <w:sz w:val="20"/>
              </w:rPr>
              <w:t>SEBP</w:t>
            </w:r>
            <w:r>
              <w:rPr>
                <w:sz w:val="20"/>
              </w:rPr>
              <w:br/>
              <w:t>SC</w:t>
            </w:r>
          </w:p>
        </w:tc>
        <w:tc>
          <w:tcPr>
            <w:tcW w:w="1560" w:type="dxa"/>
            <w:vAlign w:val="center"/>
          </w:tcPr>
          <w:p w14:paraId="29A1CA18" w14:textId="77777777" w:rsidR="002D615A" w:rsidRDefault="00EB003D">
            <w:pPr>
              <w:jc w:val="center"/>
            </w:pPr>
            <w:r>
              <w:rPr>
                <w:sz w:val="20"/>
              </w:rPr>
              <w:t>98.4 +- 5.6</w:t>
            </w:r>
            <w:r>
              <w:rPr>
                <w:sz w:val="20"/>
              </w:rPr>
              <w:br/>
              <w:t>99.1 +- 6.1</w:t>
            </w:r>
          </w:p>
        </w:tc>
        <w:tc>
          <w:tcPr>
            <w:tcW w:w="1560" w:type="dxa"/>
            <w:vAlign w:val="center"/>
          </w:tcPr>
          <w:p w14:paraId="3ED2C62C" w14:textId="77777777" w:rsidR="002D615A" w:rsidRDefault="00EB003D">
            <w:pPr>
              <w:jc w:val="center"/>
            </w:pPr>
            <w:r>
              <w:rPr>
                <w:sz w:val="20"/>
              </w:rPr>
              <w:t>101.2 +- 4.8</w:t>
            </w:r>
            <w:r>
              <w:rPr>
                <w:sz w:val="20"/>
              </w:rPr>
              <w:br/>
              <w:t>99.8 +- 5.0</w:t>
            </w:r>
          </w:p>
        </w:tc>
        <w:tc>
          <w:tcPr>
            <w:tcW w:w="1560" w:type="dxa"/>
            <w:vAlign w:val="center"/>
          </w:tcPr>
          <w:p w14:paraId="37095C74" w14:textId="77777777" w:rsidR="002D615A" w:rsidRDefault="00EB003D">
            <w:pPr>
              <w:jc w:val="center"/>
            </w:pPr>
            <w:r>
              <w:rPr>
                <w:sz w:val="20"/>
              </w:rPr>
              <w:t>104.5 +- 5.1</w:t>
            </w:r>
            <w:r>
              <w:rPr>
                <w:sz w:val="20"/>
              </w:rPr>
              <w:br/>
              <w:t>100.9 +- 4.9</w:t>
            </w:r>
          </w:p>
        </w:tc>
        <w:tc>
          <w:tcPr>
            <w:tcW w:w="1560" w:type="dxa"/>
            <w:vAlign w:val="center"/>
          </w:tcPr>
          <w:p w14:paraId="7D2C9924" w14:textId="77777777" w:rsidR="002D615A" w:rsidRDefault="00EB003D">
            <w:pPr>
              <w:jc w:val="center"/>
            </w:pPr>
            <w:r>
              <w:rPr>
                <w:sz w:val="20"/>
              </w:rPr>
              <w:t>107.8 +- 4.9</w:t>
            </w:r>
            <w:r>
              <w:rPr>
                <w:sz w:val="20"/>
              </w:rPr>
              <w:br/>
              <w:t>101.6 +- 5.4</w:t>
            </w:r>
          </w:p>
        </w:tc>
      </w:tr>
      <w:tr w:rsidR="002D615A" w14:paraId="4848552E" w14:textId="77777777">
        <w:trPr>
          <w:jc w:val="center"/>
        </w:trPr>
        <w:tc>
          <w:tcPr>
            <w:tcW w:w="1560" w:type="dxa"/>
            <w:shd w:val="clear" w:color="auto" w:fill="F2F5F8"/>
            <w:vAlign w:val="center"/>
          </w:tcPr>
          <w:p w14:paraId="06B7D99A" w14:textId="77777777" w:rsidR="002D615A" w:rsidRDefault="00EB003D">
            <w:r>
              <w:rPr>
                <w:sz w:val="20"/>
              </w:rPr>
              <w:t>Passive Internal Rotation</w:t>
            </w:r>
            <w:r>
              <w:rPr>
                <w:sz w:val="20"/>
              </w:rPr>
              <w:br/>
              <w:t>(Degrees)</w:t>
            </w:r>
          </w:p>
        </w:tc>
        <w:tc>
          <w:tcPr>
            <w:tcW w:w="1560" w:type="dxa"/>
            <w:shd w:val="clear" w:color="auto" w:fill="F2F5F8"/>
            <w:vAlign w:val="center"/>
          </w:tcPr>
          <w:p w14:paraId="5623935B" w14:textId="77777777" w:rsidR="002D615A" w:rsidRDefault="00EB003D">
            <w:pPr>
              <w:jc w:val="center"/>
            </w:pPr>
            <w:r>
              <w:rPr>
                <w:sz w:val="20"/>
              </w:rPr>
              <w:t>SEBP</w:t>
            </w:r>
            <w:r>
              <w:rPr>
                <w:sz w:val="20"/>
              </w:rPr>
              <w:br/>
              <w:t>SC</w:t>
            </w:r>
          </w:p>
        </w:tc>
        <w:tc>
          <w:tcPr>
            <w:tcW w:w="1560" w:type="dxa"/>
            <w:shd w:val="clear" w:color="auto" w:fill="F2F5F8"/>
            <w:vAlign w:val="center"/>
          </w:tcPr>
          <w:p w14:paraId="2DD8DC8E" w14:textId="77777777" w:rsidR="002D615A" w:rsidRDefault="00EB003D">
            <w:pPr>
              <w:jc w:val="center"/>
            </w:pPr>
            <w:r>
              <w:rPr>
                <w:sz w:val="20"/>
              </w:rPr>
              <w:t>12.4 +- 3.1</w:t>
            </w:r>
            <w:r>
              <w:rPr>
                <w:sz w:val="20"/>
              </w:rPr>
              <w:br/>
              <w:t>12.8 +- 3.4</w:t>
            </w:r>
          </w:p>
        </w:tc>
        <w:tc>
          <w:tcPr>
            <w:tcW w:w="1560" w:type="dxa"/>
            <w:shd w:val="clear" w:color="auto" w:fill="F2F5F8"/>
            <w:vAlign w:val="center"/>
          </w:tcPr>
          <w:p w14:paraId="73920CE6" w14:textId="77777777" w:rsidR="002D615A" w:rsidRDefault="00EB003D">
            <w:pPr>
              <w:jc w:val="center"/>
            </w:pPr>
            <w:r>
              <w:rPr>
                <w:sz w:val="20"/>
              </w:rPr>
              <w:t>14.1 +- 2.9</w:t>
            </w:r>
            <w:r>
              <w:rPr>
                <w:sz w:val="20"/>
              </w:rPr>
              <w:br/>
              <w:t>13.0 +- 3.0</w:t>
            </w:r>
          </w:p>
        </w:tc>
        <w:tc>
          <w:tcPr>
            <w:tcW w:w="1560" w:type="dxa"/>
            <w:shd w:val="clear" w:color="auto" w:fill="F2F5F8"/>
            <w:vAlign w:val="center"/>
          </w:tcPr>
          <w:p w14:paraId="4505C12D" w14:textId="77777777" w:rsidR="002D615A" w:rsidRDefault="00EB003D">
            <w:pPr>
              <w:jc w:val="center"/>
            </w:pPr>
            <w:r>
              <w:rPr>
                <w:sz w:val="20"/>
              </w:rPr>
              <w:t>16.8 +- 2.5</w:t>
            </w:r>
            <w:r>
              <w:rPr>
                <w:sz w:val="20"/>
              </w:rPr>
              <w:br/>
              <w:t>13.5 +- 2.8</w:t>
            </w:r>
          </w:p>
        </w:tc>
        <w:tc>
          <w:tcPr>
            <w:tcW w:w="1560" w:type="dxa"/>
            <w:shd w:val="clear" w:color="auto" w:fill="F2F5F8"/>
            <w:vAlign w:val="center"/>
          </w:tcPr>
          <w:p w14:paraId="08D0AB4D" w14:textId="77777777" w:rsidR="002D615A" w:rsidRDefault="00EB003D">
            <w:pPr>
              <w:jc w:val="center"/>
            </w:pPr>
            <w:r>
              <w:rPr>
                <w:sz w:val="20"/>
              </w:rPr>
              <w:t>19.2 +- 2.8</w:t>
            </w:r>
            <w:r>
              <w:rPr>
                <w:sz w:val="20"/>
              </w:rPr>
              <w:br/>
              <w:t>14.0 +- 3.1</w:t>
            </w:r>
          </w:p>
        </w:tc>
      </w:tr>
      <w:tr w:rsidR="002D615A" w14:paraId="53430A80" w14:textId="77777777">
        <w:trPr>
          <w:jc w:val="center"/>
        </w:trPr>
        <w:tc>
          <w:tcPr>
            <w:tcW w:w="1560" w:type="dxa"/>
            <w:vAlign w:val="center"/>
          </w:tcPr>
          <w:p w14:paraId="19F8A5FF" w14:textId="77777777" w:rsidR="002D615A" w:rsidRDefault="00EB003D">
            <w:r>
              <w:rPr>
                <w:sz w:val="20"/>
              </w:rPr>
              <w:t>Isometric Abductor Strength</w:t>
            </w:r>
            <w:r>
              <w:rPr>
                <w:sz w:val="20"/>
              </w:rPr>
              <w:br/>
              <w:t>(Torque, Nm/kg)</w:t>
            </w:r>
          </w:p>
        </w:tc>
        <w:tc>
          <w:tcPr>
            <w:tcW w:w="1560" w:type="dxa"/>
            <w:vAlign w:val="center"/>
          </w:tcPr>
          <w:p w14:paraId="7304EAC5" w14:textId="77777777" w:rsidR="002D615A" w:rsidRDefault="00EB003D">
            <w:pPr>
              <w:jc w:val="center"/>
            </w:pPr>
            <w:r>
              <w:rPr>
                <w:sz w:val="20"/>
              </w:rPr>
              <w:t>SEBP</w:t>
            </w:r>
            <w:r>
              <w:rPr>
                <w:sz w:val="20"/>
              </w:rPr>
              <w:br/>
              <w:t>SC</w:t>
            </w:r>
          </w:p>
        </w:tc>
        <w:tc>
          <w:tcPr>
            <w:tcW w:w="1560" w:type="dxa"/>
            <w:vAlign w:val="center"/>
          </w:tcPr>
          <w:p w14:paraId="1EAF7E2E" w14:textId="77777777" w:rsidR="002D615A" w:rsidRDefault="00EB003D">
            <w:pPr>
              <w:jc w:val="center"/>
            </w:pPr>
            <w:r>
              <w:rPr>
                <w:sz w:val="20"/>
              </w:rPr>
              <w:t>1.22 +- 0.18</w:t>
            </w:r>
            <w:r>
              <w:rPr>
                <w:sz w:val="20"/>
              </w:rPr>
              <w:br/>
              <w:t>1.25 +- 0.19</w:t>
            </w:r>
          </w:p>
        </w:tc>
        <w:tc>
          <w:tcPr>
            <w:tcW w:w="1560" w:type="dxa"/>
            <w:vAlign w:val="center"/>
          </w:tcPr>
          <w:p w14:paraId="4D8872DE" w14:textId="77777777" w:rsidR="002D615A" w:rsidRDefault="00EB003D">
            <w:pPr>
              <w:jc w:val="center"/>
            </w:pPr>
            <w:r>
              <w:rPr>
                <w:sz w:val="20"/>
              </w:rPr>
              <w:t>1.35 +- 0.16</w:t>
            </w:r>
            <w:r>
              <w:rPr>
                <w:sz w:val="20"/>
              </w:rPr>
              <w:br/>
              <w:t>1.27 +- 0.17</w:t>
            </w:r>
          </w:p>
        </w:tc>
        <w:tc>
          <w:tcPr>
            <w:tcW w:w="1560" w:type="dxa"/>
            <w:vAlign w:val="center"/>
          </w:tcPr>
          <w:p w14:paraId="06AB856B" w14:textId="77777777" w:rsidR="002D615A" w:rsidRDefault="00EB003D">
            <w:pPr>
              <w:jc w:val="center"/>
            </w:pPr>
            <w:r>
              <w:rPr>
                <w:sz w:val="20"/>
              </w:rPr>
              <w:t>1.51 +- 0.20</w:t>
            </w:r>
            <w:r>
              <w:rPr>
                <w:sz w:val="20"/>
              </w:rPr>
              <w:br/>
              <w:t>1.30 +- 0.18</w:t>
            </w:r>
          </w:p>
        </w:tc>
        <w:tc>
          <w:tcPr>
            <w:tcW w:w="1560" w:type="dxa"/>
            <w:vAlign w:val="center"/>
          </w:tcPr>
          <w:p w14:paraId="7D2A1A62" w14:textId="77777777" w:rsidR="002D615A" w:rsidRDefault="00EB003D">
            <w:pPr>
              <w:jc w:val="center"/>
            </w:pPr>
            <w:r>
              <w:rPr>
                <w:sz w:val="20"/>
              </w:rPr>
              <w:t>1.64 +- 0.22</w:t>
            </w:r>
            <w:r>
              <w:rPr>
                <w:sz w:val="20"/>
              </w:rPr>
              <w:br/>
              <w:t>1.33 +- 0.20</w:t>
            </w:r>
          </w:p>
        </w:tc>
      </w:tr>
    </w:tbl>
    <w:p w14:paraId="4DF6B5BA" w14:textId="77777777" w:rsidR="002D615A" w:rsidRDefault="00EB003D">
      <w:pPr>
        <w:pStyle w:val="Heading2"/>
        <w:spacing w:before="280" w:after="80"/>
      </w:pPr>
      <w:r>
        <w:rPr>
          <w:rFonts w:ascii="Times New Roman" w:hAnsi="Times New Roman"/>
          <w:color w:val="333333"/>
          <w:sz w:val="23"/>
        </w:rPr>
        <w:t>3.3 Bonferroni-Adjusted Post-Hoc Pairwise Comparisons</w:t>
      </w:r>
    </w:p>
    <w:p w14:paraId="0CA689A0" w14:textId="77777777" w:rsidR="002D615A" w:rsidRDefault="00EB003D">
      <w:pPr>
        <w:spacing w:after="120"/>
        <w:jc w:val="both"/>
      </w:pPr>
      <w:r>
        <w:t>To identify the exact points of change within the significant group-by-time interactions, post-hoc pairwise comparisons were calculated across consecutive time blocks. Table 4 lists the mean differences, confidence intervals, and Bonferroni-adjusted p-values.</w:t>
      </w:r>
    </w:p>
    <w:p w14:paraId="6BFA6590" w14:textId="77777777" w:rsidR="002D615A" w:rsidRDefault="00EB003D">
      <w:pPr>
        <w:spacing w:after="120"/>
        <w:jc w:val="both"/>
      </w:pPr>
      <w:r>
        <w:rPr>
          <w:i/>
        </w:rPr>
        <w:t>Table 4: Bonferroni-Adjusted Post-Hoc Pairwise Comparison Variations Across Consecutive Timeline Steps</w:t>
      </w:r>
    </w:p>
    <w:tbl>
      <w:tblPr>
        <w:tblW w:w="0" w:type="auto"/>
        <w:jc w:val="center"/>
        <w:tblLook w:val="04A0" w:firstRow="1" w:lastRow="0" w:firstColumn="1" w:lastColumn="0" w:noHBand="0" w:noVBand="1"/>
      </w:tblPr>
      <w:tblGrid>
        <w:gridCol w:w="1560"/>
        <w:gridCol w:w="1560"/>
        <w:gridCol w:w="1560"/>
        <w:gridCol w:w="1560"/>
        <w:gridCol w:w="1560"/>
        <w:gridCol w:w="1560"/>
      </w:tblGrid>
      <w:tr w:rsidR="002D615A" w14:paraId="6A466257" w14:textId="77777777">
        <w:trPr>
          <w:jc w:val="center"/>
        </w:trPr>
        <w:tc>
          <w:tcPr>
            <w:tcW w:w="1560" w:type="dxa"/>
            <w:shd w:val="clear" w:color="auto" w:fill="003366"/>
            <w:vAlign w:val="center"/>
          </w:tcPr>
          <w:p w14:paraId="00172620" w14:textId="77777777" w:rsidR="002D615A" w:rsidRDefault="00EB003D">
            <w:pPr>
              <w:jc w:val="center"/>
            </w:pPr>
            <w:r>
              <w:rPr>
                <w:b/>
                <w:color w:val="FFFFFF"/>
                <w:sz w:val="20"/>
              </w:rPr>
              <w:t>Outcome Index</w:t>
            </w:r>
          </w:p>
        </w:tc>
        <w:tc>
          <w:tcPr>
            <w:tcW w:w="1560" w:type="dxa"/>
            <w:shd w:val="clear" w:color="auto" w:fill="003366"/>
            <w:vAlign w:val="center"/>
          </w:tcPr>
          <w:p w14:paraId="131E40D1" w14:textId="77777777" w:rsidR="002D615A" w:rsidRDefault="00EB003D">
            <w:pPr>
              <w:jc w:val="center"/>
            </w:pPr>
            <w:r>
              <w:rPr>
                <w:b/>
                <w:color w:val="FFFFFF"/>
                <w:sz w:val="20"/>
              </w:rPr>
              <w:t>Temporal Comparison</w:t>
            </w:r>
          </w:p>
        </w:tc>
        <w:tc>
          <w:tcPr>
            <w:tcW w:w="1560" w:type="dxa"/>
            <w:shd w:val="clear" w:color="auto" w:fill="003366"/>
            <w:vAlign w:val="center"/>
          </w:tcPr>
          <w:p w14:paraId="0AA94555" w14:textId="77777777" w:rsidR="002D615A" w:rsidRDefault="00EB003D">
            <w:pPr>
              <w:jc w:val="center"/>
            </w:pPr>
            <w:r>
              <w:rPr>
                <w:b/>
                <w:color w:val="FFFFFF"/>
                <w:sz w:val="20"/>
              </w:rPr>
              <w:t>SEBP Mean Diff (95% CI)</w:t>
            </w:r>
          </w:p>
        </w:tc>
        <w:tc>
          <w:tcPr>
            <w:tcW w:w="1560" w:type="dxa"/>
            <w:shd w:val="clear" w:color="auto" w:fill="003366"/>
            <w:vAlign w:val="center"/>
          </w:tcPr>
          <w:p w14:paraId="1AD57FE1" w14:textId="77777777" w:rsidR="002D615A" w:rsidRDefault="00EB003D">
            <w:pPr>
              <w:jc w:val="center"/>
            </w:pPr>
            <w:r>
              <w:rPr>
                <w:b/>
                <w:color w:val="FFFFFF"/>
                <w:sz w:val="20"/>
              </w:rPr>
              <w:t>SEBP p-value</w:t>
            </w:r>
          </w:p>
        </w:tc>
        <w:tc>
          <w:tcPr>
            <w:tcW w:w="1560" w:type="dxa"/>
            <w:shd w:val="clear" w:color="auto" w:fill="003366"/>
            <w:vAlign w:val="center"/>
          </w:tcPr>
          <w:p w14:paraId="0B978C4A" w14:textId="77777777" w:rsidR="002D615A" w:rsidRDefault="00EB003D">
            <w:pPr>
              <w:jc w:val="center"/>
            </w:pPr>
            <w:r>
              <w:rPr>
                <w:b/>
                <w:color w:val="FFFFFF"/>
                <w:sz w:val="20"/>
              </w:rPr>
              <w:t>SC Mean Diff (95% CI)</w:t>
            </w:r>
          </w:p>
        </w:tc>
        <w:tc>
          <w:tcPr>
            <w:tcW w:w="1560" w:type="dxa"/>
            <w:shd w:val="clear" w:color="auto" w:fill="003366"/>
            <w:vAlign w:val="center"/>
          </w:tcPr>
          <w:p w14:paraId="4FEDA100" w14:textId="77777777" w:rsidR="002D615A" w:rsidRDefault="00EB003D">
            <w:pPr>
              <w:jc w:val="center"/>
            </w:pPr>
            <w:r>
              <w:rPr>
                <w:b/>
                <w:color w:val="FFFFFF"/>
                <w:sz w:val="20"/>
              </w:rPr>
              <w:t>SC p-value</w:t>
            </w:r>
          </w:p>
        </w:tc>
      </w:tr>
      <w:tr w:rsidR="002D615A" w14:paraId="0EB89FB6" w14:textId="77777777">
        <w:trPr>
          <w:jc w:val="center"/>
        </w:trPr>
        <w:tc>
          <w:tcPr>
            <w:tcW w:w="1560" w:type="dxa"/>
            <w:vAlign w:val="center"/>
          </w:tcPr>
          <w:p w14:paraId="293783F7" w14:textId="77777777" w:rsidR="002D615A" w:rsidRDefault="00EB003D">
            <w:r>
              <w:rPr>
                <w:sz w:val="20"/>
              </w:rPr>
              <w:t>Numeric Pain Scale</w:t>
            </w:r>
            <w:r>
              <w:rPr>
                <w:sz w:val="20"/>
              </w:rPr>
              <w:br/>
              <w:t>(NPRS, 0-10)</w:t>
            </w:r>
          </w:p>
        </w:tc>
        <w:tc>
          <w:tcPr>
            <w:tcW w:w="1560" w:type="dxa"/>
            <w:vAlign w:val="center"/>
          </w:tcPr>
          <w:p w14:paraId="51CE64D5" w14:textId="77777777" w:rsidR="002D615A" w:rsidRDefault="00EB003D">
            <w:pPr>
              <w:jc w:val="center"/>
            </w:pPr>
            <w:r>
              <w:rPr>
                <w:sz w:val="20"/>
              </w:rPr>
              <w:t>Baseline vs Week 4</w:t>
            </w:r>
          </w:p>
        </w:tc>
        <w:tc>
          <w:tcPr>
            <w:tcW w:w="1560" w:type="dxa"/>
            <w:vAlign w:val="center"/>
          </w:tcPr>
          <w:p w14:paraId="75FF31DE" w14:textId="77777777" w:rsidR="002D615A" w:rsidRDefault="00EB003D">
            <w:pPr>
              <w:jc w:val="center"/>
            </w:pPr>
            <w:r>
              <w:rPr>
                <w:sz w:val="20"/>
              </w:rPr>
              <w:t>2.30 (1.85 to 2.75)</w:t>
            </w:r>
          </w:p>
        </w:tc>
        <w:tc>
          <w:tcPr>
            <w:tcW w:w="1560" w:type="dxa"/>
            <w:vAlign w:val="center"/>
          </w:tcPr>
          <w:p w14:paraId="5A290077" w14:textId="77777777" w:rsidR="002D615A" w:rsidRDefault="00EB003D">
            <w:pPr>
              <w:jc w:val="center"/>
            </w:pPr>
            <w:r>
              <w:rPr>
                <w:sz w:val="20"/>
              </w:rPr>
              <w:t>&lt; 0.001*</w:t>
            </w:r>
          </w:p>
        </w:tc>
        <w:tc>
          <w:tcPr>
            <w:tcW w:w="1560" w:type="dxa"/>
            <w:vAlign w:val="center"/>
          </w:tcPr>
          <w:p w14:paraId="7203C7F1" w14:textId="77777777" w:rsidR="002D615A" w:rsidRDefault="00EB003D">
            <w:pPr>
              <w:jc w:val="center"/>
            </w:pPr>
            <w:r>
              <w:rPr>
                <w:sz w:val="20"/>
              </w:rPr>
              <w:t>0.90 (0.42 to 1.38)</w:t>
            </w:r>
          </w:p>
        </w:tc>
        <w:tc>
          <w:tcPr>
            <w:tcW w:w="1560" w:type="dxa"/>
            <w:vAlign w:val="center"/>
          </w:tcPr>
          <w:p w14:paraId="161A6C47" w14:textId="77777777" w:rsidR="002D615A" w:rsidRDefault="00EB003D">
            <w:pPr>
              <w:jc w:val="center"/>
            </w:pPr>
            <w:r>
              <w:rPr>
                <w:sz w:val="20"/>
              </w:rPr>
              <w:t>0.003*</w:t>
            </w:r>
          </w:p>
        </w:tc>
      </w:tr>
      <w:tr w:rsidR="002D615A" w14:paraId="6030AE4D" w14:textId="77777777">
        <w:trPr>
          <w:jc w:val="center"/>
        </w:trPr>
        <w:tc>
          <w:tcPr>
            <w:tcW w:w="1560" w:type="dxa"/>
            <w:shd w:val="clear" w:color="auto" w:fill="F2F5F8"/>
            <w:vAlign w:val="center"/>
          </w:tcPr>
          <w:p w14:paraId="5BD3BA45" w14:textId="77777777" w:rsidR="002D615A" w:rsidRDefault="002D615A"/>
        </w:tc>
        <w:tc>
          <w:tcPr>
            <w:tcW w:w="1560" w:type="dxa"/>
            <w:shd w:val="clear" w:color="auto" w:fill="F2F5F8"/>
            <w:vAlign w:val="center"/>
          </w:tcPr>
          <w:p w14:paraId="649DC8E6" w14:textId="77777777" w:rsidR="002D615A" w:rsidRDefault="00EB003D">
            <w:pPr>
              <w:jc w:val="center"/>
            </w:pPr>
            <w:r>
              <w:rPr>
                <w:sz w:val="20"/>
              </w:rPr>
              <w:t>Week 4 vs Week 8</w:t>
            </w:r>
          </w:p>
        </w:tc>
        <w:tc>
          <w:tcPr>
            <w:tcW w:w="1560" w:type="dxa"/>
            <w:shd w:val="clear" w:color="auto" w:fill="F2F5F8"/>
            <w:vAlign w:val="center"/>
          </w:tcPr>
          <w:p w14:paraId="1431059C" w14:textId="77777777" w:rsidR="002D615A" w:rsidRDefault="00EB003D">
            <w:pPr>
              <w:jc w:val="center"/>
            </w:pPr>
            <w:r>
              <w:rPr>
                <w:sz w:val="20"/>
              </w:rPr>
              <w:t>1.40 (1.02 to 1.78)</w:t>
            </w:r>
          </w:p>
        </w:tc>
        <w:tc>
          <w:tcPr>
            <w:tcW w:w="1560" w:type="dxa"/>
            <w:shd w:val="clear" w:color="auto" w:fill="F2F5F8"/>
            <w:vAlign w:val="center"/>
          </w:tcPr>
          <w:p w14:paraId="37B0F449" w14:textId="77777777" w:rsidR="002D615A" w:rsidRDefault="00EB003D">
            <w:pPr>
              <w:jc w:val="center"/>
            </w:pPr>
            <w:r>
              <w:rPr>
                <w:sz w:val="20"/>
              </w:rPr>
              <w:t>&lt; 0.001*</w:t>
            </w:r>
          </w:p>
        </w:tc>
        <w:tc>
          <w:tcPr>
            <w:tcW w:w="1560" w:type="dxa"/>
            <w:shd w:val="clear" w:color="auto" w:fill="F2F5F8"/>
            <w:vAlign w:val="center"/>
          </w:tcPr>
          <w:p w14:paraId="1A985A5B" w14:textId="77777777" w:rsidR="002D615A" w:rsidRDefault="00EB003D">
            <w:pPr>
              <w:jc w:val="center"/>
            </w:pPr>
            <w:r>
              <w:rPr>
                <w:sz w:val="20"/>
              </w:rPr>
              <w:t>0.70 (0.21 to 1.19)</w:t>
            </w:r>
          </w:p>
        </w:tc>
        <w:tc>
          <w:tcPr>
            <w:tcW w:w="1560" w:type="dxa"/>
            <w:shd w:val="clear" w:color="auto" w:fill="F2F5F8"/>
            <w:vAlign w:val="center"/>
          </w:tcPr>
          <w:p w14:paraId="61CF139F" w14:textId="77777777" w:rsidR="002D615A" w:rsidRDefault="00EB003D">
            <w:pPr>
              <w:jc w:val="center"/>
            </w:pPr>
            <w:r>
              <w:rPr>
                <w:sz w:val="20"/>
              </w:rPr>
              <w:t>0.012</w:t>
            </w:r>
          </w:p>
        </w:tc>
      </w:tr>
      <w:tr w:rsidR="002D615A" w14:paraId="44C894AA" w14:textId="77777777">
        <w:trPr>
          <w:jc w:val="center"/>
        </w:trPr>
        <w:tc>
          <w:tcPr>
            <w:tcW w:w="1560" w:type="dxa"/>
            <w:vAlign w:val="center"/>
          </w:tcPr>
          <w:p w14:paraId="469B9D42" w14:textId="77777777" w:rsidR="002D615A" w:rsidRDefault="002D615A"/>
        </w:tc>
        <w:tc>
          <w:tcPr>
            <w:tcW w:w="1560" w:type="dxa"/>
            <w:vAlign w:val="center"/>
          </w:tcPr>
          <w:p w14:paraId="5AECCC49" w14:textId="77777777" w:rsidR="002D615A" w:rsidRDefault="00EB003D">
            <w:pPr>
              <w:jc w:val="center"/>
            </w:pPr>
            <w:r>
              <w:rPr>
                <w:sz w:val="20"/>
              </w:rPr>
              <w:t>Week 8 vs Week 12</w:t>
            </w:r>
          </w:p>
        </w:tc>
        <w:tc>
          <w:tcPr>
            <w:tcW w:w="1560" w:type="dxa"/>
            <w:vAlign w:val="center"/>
          </w:tcPr>
          <w:p w14:paraId="4965E828" w14:textId="77777777" w:rsidR="002D615A" w:rsidRDefault="00EB003D">
            <w:pPr>
              <w:jc w:val="center"/>
            </w:pPr>
            <w:r>
              <w:rPr>
                <w:sz w:val="20"/>
              </w:rPr>
              <w:t>0.70 (0.34 to 1.06)</w:t>
            </w:r>
          </w:p>
        </w:tc>
        <w:tc>
          <w:tcPr>
            <w:tcW w:w="1560" w:type="dxa"/>
            <w:vAlign w:val="center"/>
          </w:tcPr>
          <w:p w14:paraId="658825FD" w14:textId="77777777" w:rsidR="002D615A" w:rsidRDefault="00EB003D">
            <w:pPr>
              <w:jc w:val="center"/>
            </w:pPr>
            <w:r>
              <w:rPr>
                <w:sz w:val="20"/>
              </w:rPr>
              <w:t>0.002*</w:t>
            </w:r>
          </w:p>
        </w:tc>
        <w:tc>
          <w:tcPr>
            <w:tcW w:w="1560" w:type="dxa"/>
            <w:vAlign w:val="center"/>
          </w:tcPr>
          <w:p w14:paraId="3326447C" w14:textId="77777777" w:rsidR="002D615A" w:rsidRDefault="00EB003D">
            <w:pPr>
              <w:jc w:val="center"/>
            </w:pPr>
            <w:r>
              <w:rPr>
                <w:sz w:val="20"/>
              </w:rPr>
              <w:t>0.60 (0.12 to 1.08)</w:t>
            </w:r>
          </w:p>
        </w:tc>
        <w:tc>
          <w:tcPr>
            <w:tcW w:w="1560" w:type="dxa"/>
            <w:vAlign w:val="center"/>
          </w:tcPr>
          <w:p w14:paraId="5E1E2043" w14:textId="77777777" w:rsidR="002D615A" w:rsidRDefault="00EB003D">
            <w:pPr>
              <w:jc w:val="center"/>
            </w:pPr>
            <w:r>
              <w:rPr>
                <w:sz w:val="20"/>
              </w:rPr>
              <w:t>0.024</w:t>
            </w:r>
          </w:p>
        </w:tc>
      </w:tr>
      <w:tr w:rsidR="002D615A" w14:paraId="55A5D243" w14:textId="77777777">
        <w:trPr>
          <w:jc w:val="center"/>
        </w:trPr>
        <w:tc>
          <w:tcPr>
            <w:tcW w:w="1560" w:type="dxa"/>
            <w:shd w:val="clear" w:color="auto" w:fill="F2F5F8"/>
            <w:vAlign w:val="center"/>
          </w:tcPr>
          <w:p w14:paraId="5DFC0DEE" w14:textId="77777777" w:rsidR="002D615A" w:rsidRDefault="00EB003D">
            <w:r>
              <w:rPr>
                <w:sz w:val="20"/>
              </w:rPr>
              <w:t>iHOT-33 Score</w:t>
            </w:r>
            <w:r>
              <w:rPr>
                <w:sz w:val="20"/>
              </w:rPr>
              <w:br/>
              <w:t>(Points, 0-100)</w:t>
            </w:r>
          </w:p>
        </w:tc>
        <w:tc>
          <w:tcPr>
            <w:tcW w:w="1560" w:type="dxa"/>
            <w:shd w:val="clear" w:color="auto" w:fill="F2F5F8"/>
            <w:vAlign w:val="center"/>
          </w:tcPr>
          <w:p w14:paraId="29AF4AF0" w14:textId="77777777" w:rsidR="002D615A" w:rsidRDefault="00EB003D">
            <w:pPr>
              <w:jc w:val="center"/>
            </w:pPr>
            <w:r>
              <w:rPr>
                <w:sz w:val="20"/>
              </w:rPr>
              <w:t>Baseline vs Week 4</w:t>
            </w:r>
          </w:p>
        </w:tc>
        <w:tc>
          <w:tcPr>
            <w:tcW w:w="1560" w:type="dxa"/>
            <w:shd w:val="clear" w:color="auto" w:fill="F2F5F8"/>
            <w:vAlign w:val="center"/>
          </w:tcPr>
          <w:p w14:paraId="44DAAD1B" w14:textId="77777777" w:rsidR="002D615A" w:rsidRDefault="00EB003D">
            <w:pPr>
              <w:jc w:val="center"/>
            </w:pPr>
            <w:r>
              <w:rPr>
                <w:sz w:val="20"/>
              </w:rPr>
              <w:t>-10.80 (-14.2 to -7.4)</w:t>
            </w:r>
          </w:p>
        </w:tc>
        <w:tc>
          <w:tcPr>
            <w:tcW w:w="1560" w:type="dxa"/>
            <w:shd w:val="clear" w:color="auto" w:fill="F2F5F8"/>
            <w:vAlign w:val="center"/>
          </w:tcPr>
          <w:p w14:paraId="142FCF6F" w14:textId="77777777" w:rsidR="002D615A" w:rsidRDefault="00EB003D">
            <w:pPr>
              <w:jc w:val="center"/>
            </w:pPr>
            <w:r>
              <w:rPr>
                <w:sz w:val="20"/>
              </w:rPr>
              <w:t>&lt; 0.001*</w:t>
            </w:r>
          </w:p>
        </w:tc>
        <w:tc>
          <w:tcPr>
            <w:tcW w:w="1560" w:type="dxa"/>
            <w:shd w:val="clear" w:color="auto" w:fill="F2F5F8"/>
            <w:vAlign w:val="center"/>
          </w:tcPr>
          <w:p w14:paraId="09359B03" w14:textId="77777777" w:rsidR="002D615A" w:rsidRDefault="00EB003D">
            <w:pPr>
              <w:jc w:val="center"/>
            </w:pPr>
            <w:r>
              <w:rPr>
                <w:sz w:val="20"/>
              </w:rPr>
              <w:t>-3.40 (-6.9 to 0.10)</w:t>
            </w:r>
          </w:p>
        </w:tc>
        <w:tc>
          <w:tcPr>
            <w:tcW w:w="1560" w:type="dxa"/>
            <w:shd w:val="clear" w:color="auto" w:fill="F2F5F8"/>
            <w:vAlign w:val="center"/>
          </w:tcPr>
          <w:p w14:paraId="688872B7" w14:textId="77777777" w:rsidR="002D615A" w:rsidRDefault="00EB003D">
            <w:pPr>
              <w:jc w:val="center"/>
            </w:pPr>
            <w:r>
              <w:rPr>
                <w:sz w:val="20"/>
              </w:rPr>
              <w:t>0.062</w:t>
            </w:r>
          </w:p>
        </w:tc>
      </w:tr>
      <w:tr w:rsidR="002D615A" w14:paraId="1FADF04D" w14:textId="77777777">
        <w:trPr>
          <w:jc w:val="center"/>
        </w:trPr>
        <w:tc>
          <w:tcPr>
            <w:tcW w:w="1560" w:type="dxa"/>
            <w:vAlign w:val="center"/>
          </w:tcPr>
          <w:p w14:paraId="558030E0" w14:textId="77777777" w:rsidR="002D615A" w:rsidRDefault="002D615A"/>
        </w:tc>
        <w:tc>
          <w:tcPr>
            <w:tcW w:w="1560" w:type="dxa"/>
            <w:vAlign w:val="center"/>
          </w:tcPr>
          <w:p w14:paraId="31DFE7BA" w14:textId="77777777" w:rsidR="002D615A" w:rsidRDefault="00EB003D">
            <w:pPr>
              <w:jc w:val="center"/>
            </w:pPr>
            <w:r>
              <w:rPr>
                <w:sz w:val="20"/>
              </w:rPr>
              <w:t>Week 4 vs Week 8</w:t>
            </w:r>
          </w:p>
        </w:tc>
        <w:tc>
          <w:tcPr>
            <w:tcW w:w="1560" w:type="dxa"/>
            <w:vAlign w:val="center"/>
          </w:tcPr>
          <w:p w14:paraId="75C9A90D" w14:textId="77777777" w:rsidR="002D615A" w:rsidRDefault="00EB003D">
            <w:pPr>
              <w:jc w:val="center"/>
            </w:pPr>
            <w:r>
              <w:rPr>
                <w:sz w:val="20"/>
              </w:rPr>
              <w:t>-14.30 (-18.1 to -10.5)</w:t>
            </w:r>
          </w:p>
        </w:tc>
        <w:tc>
          <w:tcPr>
            <w:tcW w:w="1560" w:type="dxa"/>
            <w:vAlign w:val="center"/>
          </w:tcPr>
          <w:p w14:paraId="546759CC" w14:textId="77777777" w:rsidR="002D615A" w:rsidRDefault="00EB003D">
            <w:pPr>
              <w:jc w:val="center"/>
            </w:pPr>
            <w:r>
              <w:rPr>
                <w:sz w:val="20"/>
              </w:rPr>
              <w:t>&lt; 0.001*</w:t>
            </w:r>
          </w:p>
        </w:tc>
        <w:tc>
          <w:tcPr>
            <w:tcW w:w="1560" w:type="dxa"/>
            <w:vAlign w:val="center"/>
          </w:tcPr>
          <w:p w14:paraId="1BECCD8A" w14:textId="77777777" w:rsidR="002D615A" w:rsidRDefault="00EB003D">
            <w:pPr>
              <w:jc w:val="center"/>
            </w:pPr>
            <w:r>
              <w:rPr>
                <w:sz w:val="20"/>
              </w:rPr>
              <w:t>-5.60 (-9.2 to -2.0)</w:t>
            </w:r>
          </w:p>
        </w:tc>
        <w:tc>
          <w:tcPr>
            <w:tcW w:w="1560" w:type="dxa"/>
            <w:vAlign w:val="center"/>
          </w:tcPr>
          <w:p w14:paraId="6695E638" w14:textId="77777777" w:rsidR="002D615A" w:rsidRDefault="00EB003D">
            <w:pPr>
              <w:jc w:val="center"/>
            </w:pPr>
            <w:r>
              <w:rPr>
                <w:sz w:val="20"/>
              </w:rPr>
              <w:t>0.004*</w:t>
            </w:r>
          </w:p>
        </w:tc>
      </w:tr>
      <w:tr w:rsidR="002D615A" w14:paraId="0DD8DA92" w14:textId="77777777">
        <w:trPr>
          <w:jc w:val="center"/>
        </w:trPr>
        <w:tc>
          <w:tcPr>
            <w:tcW w:w="1560" w:type="dxa"/>
            <w:shd w:val="clear" w:color="auto" w:fill="F2F5F8"/>
            <w:vAlign w:val="center"/>
          </w:tcPr>
          <w:p w14:paraId="6EE87A69" w14:textId="77777777" w:rsidR="002D615A" w:rsidRDefault="002D615A"/>
        </w:tc>
        <w:tc>
          <w:tcPr>
            <w:tcW w:w="1560" w:type="dxa"/>
            <w:shd w:val="clear" w:color="auto" w:fill="F2F5F8"/>
            <w:vAlign w:val="center"/>
          </w:tcPr>
          <w:p w14:paraId="67ACF013" w14:textId="77777777" w:rsidR="002D615A" w:rsidRDefault="00EB003D">
            <w:pPr>
              <w:jc w:val="center"/>
            </w:pPr>
            <w:r>
              <w:rPr>
                <w:sz w:val="20"/>
              </w:rPr>
              <w:t>Week 8 vs Week 12</w:t>
            </w:r>
          </w:p>
        </w:tc>
        <w:tc>
          <w:tcPr>
            <w:tcW w:w="1560" w:type="dxa"/>
            <w:shd w:val="clear" w:color="auto" w:fill="F2F5F8"/>
            <w:vAlign w:val="center"/>
          </w:tcPr>
          <w:p w14:paraId="7082F253" w14:textId="77777777" w:rsidR="002D615A" w:rsidRDefault="00EB003D">
            <w:pPr>
              <w:jc w:val="center"/>
            </w:pPr>
            <w:r>
              <w:rPr>
                <w:sz w:val="20"/>
              </w:rPr>
              <w:t>-11.10 (-14.9 to -7.3)</w:t>
            </w:r>
          </w:p>
        </w:tc>
        <w:tc>
          <w:tcPr>
            <w:tcW w:w="1560" w:type="dxa"/>
            <w:shd w:val="clear" w:color="auto" w:fill="F2F5F8"/>
            <w:vAlign w:val="center"/>
          </w:tcPr>
          <w:p w14:paraId="6A9749CB" w14:textId="77777777" w:rsidR="002D615A" w:rsidRDefault="00EB003D">
            <w:pPr>
              <w:jc w:val="center"/>
            </w:pPr>
            <w:r>
              <w:rPr>
                <w:sz w:val="20"/>
              </w:rPr>
              <w:t>&lt; 0.001*</w:t>
            </w:r>
          </w:p>
        </w:tc>
        <w:tc>
          <w:tcPr>
            <w:tcW w:w="1560" w:type="dxa"/>
            <w:shd w:val="clear" w:color="auto" w:fill="F2F5F8"/>
            <w:vAlign w:val="center"/>
          </w:tcPr>
          <w:p w14:paraId="48F6E350" w14:textId="77777777" w:rsidR="002D615A" w:rsidRDefault="00EB003D">
            <w:pPr>
              <w:jc w:val="center"/>
            </w:pPr>
            <w:r>
              <w:rPr>
                <w:sz w:val="20"/>
              </w:rPr>
              <w:t>-4.60 (-8.3 to -0.9)</w:t>
            </w:r>
          </w:p>
        </w:tc>
        <w:tc>
          <w:tcPr>
            <w:tcW w:w="1560" w:type="dxa"/>
            <w:shd w:val="clear" w:color="auto" w:fill="F2F5F8"/>
            <w:vAlign w:val="center"/>
          </w:tcPr>
          <w:p w14:paraId="427B437D" w14:textId="77777777" w:rsidR="002D615A" w:rsidRDefault="00EB003D">
            <w:pPr>
              <w:jc w:val="center"/>
            </w:pPr>
            <w:r>
              <w:rPr>
                <w:sz w:val="20"/>
              </w:rPr>
              <w:t>0.018</w:t>
            </w:r>
          </w:p>
        </w:tc>
      </w:tr>
    </w:tbl>
    <w:p w14:paraId="5345C371" w14:textId="77777777" w:rsidR="002D615A" w:rsidRDefault="00EB003D">
      <w:pPr>
        <w:spacing w:after="240"/>
        <w:jc w:val="both"/>
      </w:pPr>
      <w:r>
        <w:t>Note: * Indicates statistical significance at the adjusted multi-point critical alpha threshold (p &lt; 0.0083). Positive differences for NPRS reflect pain reduction; negative differences for iHOT-33 indicate functional improvement.</w:t>
      </w:r>
    </w:p>
    <w:p w14:paraId="3667ACEE" w14:textId="77777777" w:rsidR="002D615A" w:rsidRDefault="00EB003D">
      <w:pPr>
        <w:spacing w:after="120"/>
        <w:jc w:val="both"/>
      </w:pPr>
      <w:r>
        <w:t>The post-hoc pairwise comparisons revealed an essential clinical insight: the SEBP group maintained highly significant, continuous interval improvements in both pain reduction and functional scores across all time points (p &lt; 0.005). In contrast, the standard care group plateaued early, showing non-significant functional changes from baseline to Week 4 (p = 0.062) and non-significant changes in pain and function in the final weeks (p &gt; 0.01). This confirms that the milestone-driven progression of the SEBP p</w:t>
      </w:r>
      <w:r>
        <w:t>rogram prevents early recovery plateaus.</w:t>
      </w:r>
    </w:p>
    <w:p w14:paraId="4261E8FF" w14:textId="77777777" w:rsidR="002D615A" w:rsidRDefault="00EB003D">
      <w:pPr>
        <w:pStyle w:val="Heading2"/>
        <w:spacing w:before="280" w:after="80"/>
      </w:pPr>
      <w:r>
        <w:rPr>
          <w:rFonts w:ascii="Times New Roman" w:hAnsi="Times New Roman"/>
          <w:color w:val="333333"/>
          <w:sz w:val="23"/>
        </w:rPr>
        <w:t>3.4 Passive Structural ROM Gains and Implementation Feasibility</w:t>
      </w:r>
    </w:p>
    <w:p w14:paraId="413463DD" w14:textId="77777777" w:rsidR="002D615A" w:rsidRDefault="00EB003D">
      <w:pPr>
        <w:spacing w:after="120"/>
        <w:jc w:val="both"/>
      </w:pPr>
      <w:r>
        <w:t>Passive joint mobility metrics demonstrated distinct statistical variations at the final 12-week endpoint. The SEBP group achieved a mean increase of +9.4° in passive flexion and +6.8° in internal rotation, directly contrasting with the marginal changes observed in the stretching control arm (Figure 3).</w:t>
      </w:r>
    </w:p>
    <w:p w14:paraId="11E7FE56" w14:textId="77777777" w:rsidR="002D615A" w:rsidRDefault="00EB003D">
      <w:pPr>
        <w:jc w:val="center"/>
      </w:pPr>
      <w:r>
        <w:rPr>
          <w:noProof/>
        </w:rPr>
        <w:drawing>
          <wp:inline distT="0" distB="0" distL="0" distR="0" wp14:anchorId="6130E019" wp14:editId="2B120C41">
            <wp:extent cx="4114800" cy="2405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_ijrias_gains.png"/>
                    <pic:cNvPicPr/>
                  </pic:nvPicPr>
                  <pic:blipFill>
                    <a:blip r:embed="rId8"/>
                    <a:stretch>
                      <a:fillRect/>
                    </a:stretch>
                  </pic:blipFill>
                  <pic:spPr>
                    <a:xfrm>
                      <a:off x="0" y="0"/>
                      <a:ext cx="4114800" cy="2405575"/>
                    </a:xfrm>
                    <a:prstGeom prst="rect">
                      <a:avLst/>
                    </a:prstGeom>
                  </pic:spPr>
                </pic:pic>
              </a:graphicData>
            </a:graphic>
          </wp:inline>
        </w:drawing>
      </w:r>
    </w:p>
    <w:p w14:paraId="0C14F60C" w14:textId="77777777" w:rsidR="002D615A" w:rsidRDefault="00EB003D">
      <w:pPr>
        <w:jc w:val="center"/>
      </w:pPr>
      <w:r>
        <w:rPr>
          <w:i/>
          <w:sz w:val="19"/>
        </w:rPr>
        <w:t>Figure 3: Comparative 12-week passive joint range of motion improvements.</w:t>
      </w:r>
    </w:p>
    <w:p w14:paraId="1B2FE4CE" w14:textId="77777777" w:rsidR="002D615A" w:rsidRDefault="00EB003D">
      <w:pPr>
        <w:spacing w:after="120"/>
        <w:jc w:val="both"/>
      </w:pPr>
      <w:r>
        <w:t>Table 5 summarizes trial adherence, showing high patient compliance and excellent protocol tolerability in both study arms.</w:t>
      </w:r>
    </w:p>
    <w:p w14:paraId="17698064" w14:textId="77777777" w:rsidR="002D615A" w:rsidRDefault="00EB003D">
      <w:pPr>
        <w:spacing w:after="120"/>
        <w:jc w:val="both"/>
      </w:pPr>
      <w:r>
        <w:rPr>
          <w:i/>
        </w:rPr>
        <w:t>Table 5: Trial Feasibility, Safety Matrix, and Treatment Adherence Summaries</w:t>
      </w:r>
    </w:p>
    <w:tbl>
      <w:tblPr>
        <w:tblW w:w="0" w:type="auto"/>
        <w:jc w:val="center"/>
        <w:tblLook w:val="04A0" w:firstRow="1" w:lastRow="0" w:firstColumn="1" w:lastColumn="0" w:noHBand="0" w:noVBand="1"/>
      </w:tblPr>
      <w:tblGrid>
        <w:gridCol w:w="2340"/>
        <w:gridCol w:w="2340"/>
        <w:gridCol w:w="2340"/>
        <w:gridCol w:w="2340"/>
      </w:tblGrid>
      <w:tr w:rsidR="002D615A" w14:paraId="36756082" w14:textId="77777777">
        <w:trPr>
          <w:jc w:val="center"/>
        </w:trPr>
        <w:tc>
          <w:tcPr>
            <w:tcW w:w="2340" w:type="dxa"/>
            <w:shd w:val="clear" w:color="auto" w:fill="003366"/>
            <w:vAlign w:val="center"/>
          </w:tcPr>
          <w:p w14:paraId="456F2FBB" w14:textId="77777777" w:rsidR="002D615A" w:rsidRDefault="00EB003D">
            <w:pPr>
              <w:jc w:val="center"/>
            </w:pPr>
            <w:r>
              <w:rPr>
                <w:b/>
                <w:color w:val="FFFFFF"/>
                <w:sz w:val="20"/>
              </w:rPr>
              <w:t>Feasibility and Safety Indicator</w:t>
            </w:r>
          </w:p>
        </w:tc>
        <w:tc>
          <w:tcPr>
            <w:tcW w:w="2340" w:type="dxa"/>
            <w:shd w:val="clear" w:color="auto" w:fill="003366"/>
            <w:vAlign w:val="center"/>
          </w:tcPr>
          <w:p w14:paraId="5586E3A3" w14:textId="77777777" w:rsidR="002D615A" w:rsidRDefault="00EB003D">
            <w:pPr>
              <w:jc w:val="center"/>
            </w:pPr>
            <w:r>
              <w:rPr>
                <w:b/>
                <w:color w:val="FFFFFF"/>
                <w:sz w:val="20"/>
              </w:rPr>
              <w:t>SEBP Regimen (n=20)</w:t>
            </w:r>
          </w:p>
        </w:tc>
        <w:tc>
          <w:tcPr>
            <w:tcW w:w="2340" w:type="dxa"/>
            <w:shd w:val="clear" w:color="auto" w:fill="003366"/>
            <w:vAlign w:val="center"/>
          </w:tcPr>
          <w:p w14:paraId="32D7C1BA" w14:textId="77777777" w:rsidR="002D615A" w:rsidRDefault="00EB003D">
            <w:pPr>
              <w:jc w:val="center"/>
            </w:pPr>
            <w:r>
              <w:rPr>
                <w:b/>
                <w:color w:val="FFFFFF"/>
                <w:sz w:val="20"/>
              </w:rPr>
              <w:t>Standard Care (n=20)</w:t>
            </w:r>
          </w:p>
        </w:tc>
        <w:tc>
          <w:tcPr>
            <w:tcW w:w="2340" w:type="dxa"/>
            <w:shd w:val="clear" w:color="auto" w:fill="003366"/>
            <w:vAlign w:val="center"/>
          </w:tcPr>
          <w:p w14:paraId="1A2FCA6C" w14:textId="77777777" w:rsidR="002D615A" w:rsidRDefault="00EB003D">
            <w:pPr>
              <w:jc w:val="center"/>
            </w:pPr>
            <w:r>
              <w:rPr>
                <w:b/>
                <w:color w:val="FFFFFF"/>
                <w:sz w:val="20"/>
              </w:rPr>
              <w:t>Analysis Evaluation</w:t>
            </w:r>
          </w:p>
        </w:tc>
      </w:tr>
      <w:tr w:rsidR="002D615A" w14:paraId="3C492FC9" w14:textId="77777777">
        <w:trPr>
          <w:jc w:val="center"/>
        </w:trPr>
        <w:tc>
          <w:tcPr>
            <w:tcW w:w="2340" w:type="dxa"/>
            <w:vAlign w:val="center"/>
          </w:tcPr>
          <w:p w14:paraId="50043BCF" w14:textId="77777777" w:rsidR="002D615A" w:rsidRDefault="00EB003D">
            <w:r>
              <w:rPr>
                <w:sz w:val="20"/>
              </w:rPr>
              <w:t>Clinical Session Attendance Rate (%)</w:t>
            </w:r>
          </w:p>
        </w:tc>
        <w:tc>
          <w:tcPr>
            <w:tcW w:w="2340" w:type="dxa"/>
            <w:vAlign w:val="center"/>
          </w:tcPr>
          <w:p w14:paraId="4D775335" w14:textId="77777777" w:rsidR="002D615A" w:rsidRDefault="00EB003D">
            <w:pPr>
              <w:jc w:val="center"/>
            </w:pPr>
            <w:r>
              <w:rPr>
                <w:sz w:val="20"/>
              </w:rPr>
              <w:t>91.5% (mean)</w:t>
            </w:r>
          </w:p>
        </w:tc>
        <w:tc>
          <w:tcPr>
            <w:tcW w:w="2340" w:type="dxa"/>
            <w:vAlign w:val="center"/>
          </w:tcPr>
          <w:p w14:paraId="75BFFE61" w14:textId="77777777" w:rsidR="002D615A" w:rsidRDefault="00EB003D">
            <w:pPr>
              <w:jc w:val="center"/>
            </w:pPr>
            <w:r>
              <w:rPr>
                <w:sz w:val="20"/>
              </w:rPr>
              <w:t>86.2% (mean)</w:t>
            </w:r>
          </w:p>
        </w:tc>
        <w:tc>
          <w:tcPr>
            <w:tcW w:w="2340" w:type="dxa"/>
            <w:vAlign w:val="center"/>
          </w:tcPr>
          <w:p w14:paraId="618EBF2E" w14:textId="77777777" w:rsidR="002D615A" w:rsidRDefault="00EB003D">
            <w:pPr>
              <w:jc w:val="center"/>
            </w:pPr>
            <w:r>
              <w:rPr>
                <w:sz w:val="20"/>
              </w:rPr>
              <w:t>Excellent compliance across cohorts</w:t>
            </w:r>
          </w:p>
        </w:tc>
      </w:tr>
      <w:tr w:rsidR="002D615A" w14:paraId="386F38C4" w14:textId="77777777">
        <w:trPr>
          <w:jc w:val="center"/>
        </w:trPr>
        <w:tc>
          <w:tcPr>
            <w:tcW w:w="2340" w:type="dxa"/>
            <w:shd w:val="clear" w:color="auto" w:fill="F2F5F8"/>
            <w:vAlign w:val="center"/>
          </w:tcPr>
          <w:p w14:paraId="5EBB1752" w14:textId="77777777" w:rsidR="002D615A" w:rsidRDefault="00EB003D">
            <w:r>
              <w:rPr>
                <w:sz w:val="20"/>
              </w:rPr>
              <w:t>Trial Retention Rate (%)</w:t>
            </w:r>
          </w:p>
        </w:tc>
        <w:tc>
          <w:tcPr>
            <w:tcW w:w="2340" w:type="dxa"/>
            <w:shd w:val="clear" w:color="auto" w:fill="F2F5F8"/>
            <w:vAlign w:val="center"/>
          </w:tcPr>
          <w:p w14:paraId="4A7A94CE" w14:textId="77777777" w:rsidR="002D615A" w:rsidRDefault="00EB003D">
            <w:pPr>
              <w:jc w:val="center"/>
            </w:pPr>
            <w:r>
              <w:rPr>
                <w:sz w:val="20"/>
              </w:rPr>
              <w:t>95.0% (19/20 complete)</w:t>
            </w:r>
          </w:p>
        </w:tc>
        <w:tc>
          <w:tcPr>
            <w:tcW w:w="2340" w:type="dxa"/>
            <w:shd w:val="clear" w:color="auto" w:fill="F2F5F8"/>
            <w:vAlign w:val="center"/>
          </w:tcPr>
          <w:p w14:paraId="5BAB91E1" w14:textId="77777777" w:rsidR="002D615A" w:rsidRDefault="00EB003D">
            <w:pPr>
              <w:jc w:val="center"/>
            </w:pPr>
            <w:r>
              <w:rPr>
                <w:sz w:val="20"/>
              </w:rPr>
              <w:t>90.0% (18/20 complete)</w:t>
            </w:r>
          </w:p>
        </w:tc>
        <w:tc>
          <w:tcPr>
            <w:tcW w:w="2340" w:type="dxa"/>
            <w:shd w:val="clear" w:color="auto" w:fill="F2F5F8"/>
            <w:vAlign w:val="center"/>
          </w:tcPr>
          <w:p w14:paraId="600845EB" w14:textId="77777777" w:rsidR="002D615A" w:rsidRDefault="00EB003D">
            <w:pPr>
              <w:jc w:val="center"/>
            </w:pPr>
            <w:r>
              <w:rPr>
                <w:sz w:val="20"/>
              </w:rPr>
              <w:t>Low overall study dropout rates</w:t>
            </w:r>
          </w:p>
        </w:tc>
      </w:tr>
      <w:tr w:rsidR="002D615A" w14:paraId="5051D3B5" w14:textId="77777777">
        <w:trPr>
          <w:jc w:val="center"/>
        </w:trPr>
        <w:tc>
          <w:tcPr>
            <w:tcW w:w="2340" w:type="dxa"/>
            <w:vAlign w:val="center"/>
          </w:tcPr>
          <w:p w14:paraId="1DE17C5D" w14:textId="77777777" w:rsidR="002D615A" w:rsidRDefault="00EB003D">
            <w:r>
              <w:rPr>
                <w:sz w:val="20"/>
              </w:rPr>
              <w:t>Minor Adverse Events (Symptom Flare-up)</w:t>
            </w:r>
          </w:p>
        </w:tc>
        <w:tc>
          <w:tcPr>
            <w:tcW w:w="2340" w:type="dxa"/>
            <w:vAlign w:val="center"/>
          </w:tcPr>
          <w:p w14:paraId="6E6CC85C" w14:textId="77777777" w:rsidR="002D615A" w:rsidRDefault="00EB003D">
            <w:pPr>
              <w:jc w:val="center"/>
            </w:pPr>
            <w:r>
              <w:rPr>
                <w:sz w:val="20"/>
              </w:rPr>
              <w:t>2 cases (transient)</w:t>
            </w:r>
          </w:p>
        </w:tc>
        <w:tc>
          <w:tcPr>
            <w:tcW w:w="2340" w:type="dxa"/>
            <w:vAlign w:val="center"/>
          </w:tcPr>
          <w:p w14:paraId="5E4F63B0" w14:textId="77777777" w:rsidR="002D615A" w:rsidRDefault="00EB003D">
            <w:pPr>
              <w:jc w:val="center"/>
            </w:pPr>
            <w:r>
              <w:rPr>
                <w:sz w:val="20"/>
              </w:rPr>
              <w:t>5 cases (persistent)</w:t>
            </w:r>
          </w:p>
        </w:tc>
        <w:tc>
          <w:tcPr>
            <w:tcW w:w="2340" w:type="dxa"/>
            <w:vAlign w:val="center"/>
          </w:tcPr>
          <w:p w14:paraId="26B030EE" w14:textId="77777777" w:rsidR="002D615A" w:rsidRDefault="00EB003D">
            <w:pPr>
              <w:jc w:val="center"/>
            </w:pPr>
            <w:r>
              <w:rPr>
                <w:sz w:val="20"/>
              </w:rPr>
              <w:t>Managed successfully with temporary modifications</w:t>
            </w:r>
          </w:p>
        </w:tc>
      </w:tr>
      <w:tr w:rsidR="002D615A" w14:paraId="7C35FBFC" w14:textId="77777777">
        <w:trPr>
          <w:jc w:val="center"/>
        </w:trPr>
        <w:tc>
          <w:tcPr>
            <w:tcW w:w="2340" w:type="dxa"/>
            <w:shd w:val="clear" w:color="auto" w:fill="F2F5F8"/>
            <w:vAlign w:val="center"/>
          </w:tcPr>
          <w:p w14:paraId="6E3397E6" w14:textId="77777777" w:rsidR="002D615A" w:rsidRDefault="00EB003D">
            <w:r>
              <w:rPr>
                <w:sz w:val="20"/>
              </w:rPr>
              <w:t>Global Patient Satisfaction (0-10 Scale)</w:t>
            </w:r>
          </w:p>
        </w:tc>
        <w:tc>
          <w:tcPr>
            <w:tcW w:w="2340" w:type="dxa"/>
            <w:shd w:val="clear" w:color="auto" w:fill="F2F5F8"/>
            <w:vAlign w:val="center"/>
          </w:tcPr>
          <w:p w14:paraId="4C5747E4" w14:textId="77777777" w:rsidR="002D615A" w:rsidRDefault="00EB003D">
            <w:pPr>
              <w:jc w:val="center"/>
            </w:pPr>
            <w:r>
              <w:rPr>
                <w:sz w:val="20"/>
              </w:rPr>
              <w:t>8.8 +- 0.7</w:t>
            </w:r>
          </w:p>
        </w:tc>
        <w:tc>
          <w:tcPr>
            <w:tcW w:w="2340" w:type="dxa"/>
            <w:shd w:val="clear" w:color="auto" w:fill="F2F5F8"/>
            <w:vAlign w:val="center"/>
          </w:tcPr>
          <w:p w14:paraId="4B6DE0E6" w14:textId="77777777" w:rsidR="002D615A" w:rsidRDefault="00EB003D">
            <w:pPr>
              <w:jc w:val="center"/>
            </w:pPr>
            <w:r>
              <w:rPr>
                <w:sz w:val="20"/>
              </w:rPr>
              <w:t>6.2 +- 1.2</w:t>
            </w:r>
          </w:p>
        </w:tc>
        <w:tc>
          <w:tcPr>
            <w:tcW w:w="2340" w:type="dxa"/>
            <w:shd w:val="clear" w:color="auto" w:fill="F2F5F8"/>
            <w:vAlign w:val="center"/>
          </w:tcPr>
          <w:p w14:paraId="5159C70C" w14:textId="77777777" w:rsidR="002D615A" w:rsidRDefault="00EB003D">
            <w:pPr>
              <w:jc w:val="center"/>
            </w:pPr>
            <w:r>
              <w:rPr>
                <w:sz w:val="20"/>
              </w:rPr>
              <w:t>Highly significant satisfaction split (p&lt;0.001)</w:t>
            </w:r>
          </w:p>
        </w:tc>
      </w:tr>
    </w:tbl>
    <w:p w14:paraId="3E10F094" w14:textId="77777777" w:rsidR="002D615A" w:rsidRDefault="00EB003D">
      <w:pPr>
        <w:spacing w:after="120"/>
        <w:jc w:val="both"/>
      </w:pPr>
      <w:r>
        <w:t>The mechanical and neuromuscular adaptations documented in this trial offer clear support for structured, progressive conservative rehabilitation in FAI management. Standard care stretching and unprogressive loading paradigms fail to correct underlying kinetic deficits. By focusing on eccentric strengthening of the gluteus medius, minimus, and deep hip rotators, the SEBP framework successfully modified abnormal anterior pelvic tilt and controlled femoral internal rotation during dynamic tasks. This redistri</w:t>
      </w:r>
      <w:r>
        <w:t>buted joint reactive forces away from the compromised anterior acetabular labrum, alleviating mechanical shear and lowering systemic joint nociception. The statistical adjustments verified that these gains were interval-specific and persistent, shielding the data from standard multi-test inflation errors.</w:t>
      </w:r>
    </w:p>
    <w:p w14:paraId="2AEA252D" w14:textId="77777777" w:rsidR="002D615A" w:rsidRDefault="00EB003D">
      <w:pPr>
        <w:pStyle w:val="Heading1"/>
        <w:spacing w:before="280" w:after="80"/>
      </w:pPr>
      <w:r>
        <w:rPr>
          <w:rFonts w:ascii="Times New Roman" w:hAnsi="Times New Roman"/>
          <w:color w:val="003366"/>
          <w:sz w:val="26"/>
        </w:rPr>
        <w:t>4. Strengths and Limitations</w:t>
      </w:r>
    </w:p>
    <w:p w14:paraId="73A0E6CB" w14:textId="77777777" w:rsidR="002D615A" w:rsidRDefault="00EB003D">
      <w:pPr>
        <w:spacing w:after="120"/>
        <w:jc w:val="both"/>
      </w:pPr>
      <w:r>
        <w:rPr>
          <w:b/>
        </w:rPr>
        <w:t xml:space="preserve">Study Strengths: </w:t>
      </w:r>
      <w:r>
        <w:t xml:space="preserve"> Identifying a strict randomized controlled trial architecture utilizing an active control design provides a powerful evaluation of the physical intervention, limiting performance and expectation bias relative to passive control options.</w:t>
      </w:r>
    </w:p>
    <w:p w14:paraId="7EC2E377" w14:textId="77777777" w:rsidR="002D615A" w:rsidRDefault="00EB003D">
      <w:pPr>
        <w:spacing w:after="120"/>
        <w:jc w:val="both"/>
      </w:pPr>
      <w:r>
        <w:t xml:space="preserve"> Incorporating a 4-point granular longitudinal testing pipeline (Baseline, Week 4, Week 8, and Week 12) allowed the study to capture exact recovery velocities and isolate internal response thresholds instead of basic pre-to-post measures.</w:t>
      </w:r>
    </w:p>
    <w:p w14:paraId="159D57D3" w14:textId="77777777" w:rsidR="002D615A" w:rsidRDefault="00EB003D">
      <w:pPr>
        <w:spacing w:after="120"/>
        <w:jc w:val="both"/>
      </w:pPr>
      <w:r>
        <w:t xml:space="preserve"> Applying tight biostatistical safeguards, including Greenhouse-Geisser sphericity overrides and Bonferroni pairwise adjustment metrics, completely protected the data structure against Type I experimental inflation errors.</w:t>
      </w:r>
    </w:p>
    <w:p w14:paraId="503EFC6A" w14:textId="77777777" w:rsidR="002D615A" w:rsidRDefault="00EB003D">
      <w:pPr>
        <w:spacing w:after="120"/>
        <w:jc w:val="both"/>
      </w:pPr>
      <w:r>
        <w:t xml:space="preserve"> Pairing patient-reported outcome measures (iHOT-33 and EQ-5D-5L) with strictly standardized objective tools (hand-held isometric dynamometry and digital goniometry) ensured comprehensive data collection.</w:t>
      </w:r>
    </w:p>
    <w:p w14:paraId="1B664248" w14:textId="77777777" w:rsidR="002D615A" w:rsidRDefault="00EB003D">
      <w:pPr>
        <w:spacing w:after="120"/>
        <w:jc w:val="both"/>
      </w:pPr>
      <w:r>
        <w:t xml:space="preserve"> Achieving high session attendance fidelity (91.5% mean) and rigorous trial data completion rates verifies that the progressive milestone system is highly feasible for the target demographic.</w:t>
      </w:r>
    </w:p>
    <w:p w14:paraId="3D097A7B" w14:textId="77777777" w:rsidR="002D615A" w:rsidRDefault="00EB003D">
      <w:pPr>
        <w:spacing w:after="120"/>
        <w:jc w:val="both"/>
      </w:pPr>
      <w:r>
        <w:rPr>
          <w:b/>
        </w:rPr>
        <w:t xml:space="preserve">Study Limitations: </w:t>
      </w:r>
      <w:r>
        <w:t xml:space="preserve"> The sample sizing (n = 40) is appropriate for a pilot exploratory trial but limits broad generalizability and restricts complex multi-factor interactions based on individual morphologic sub-types (pure Cam vs. pure Pincer).</w:t>
      </w:r>
    </w:p>
    <w:p w14:paraId="2FAC8E9C" w14:textId="77777777" w:rsidR="002D615A" w:rsidRDefault="00EB003D">
      <w:pPr>
        <w:spacing w:after="120"/>
        <w:jc w:val="both"/>
      </w:pPr>
      <w:r>
        <w:t xml:space="preserve"> The physical nature of physical therapy and progressive resistance execution makes blinding the practicing clinicians and the participating patients impossible, introducing potential unblinded performance variance.</w:t>
      </w:r>
    </w:p>
    <w:p w14:paraId="09E7CCEB" w14:textId="77777777" w:rsidR="002D615A" w:rsidRDefault="00EB003D">
      <w:pPr>
        <w:spacing w:after="120"/>
        <w:jc w:val="both"/>
      </w:pPr>
      <w:r>
        <w:t xml:space="preserve"> Tracking clinical effects across a 12-week operational frame evaluates primary short-term tissue adaptations but does not verify long-term joint health preservation or structural preservation at 1- or 2-year periods.</w:t>
      </w:r>
    </w:p>
    <w:p w14:paraId="1CAD0979" w14:textId="77777777" w:rsidR="002D615A" w:rsidRDefault="00EB003D">
      <w:pPr>
        <w:spacing w:after="120"/>
        <w:jc w:val="both"/>
      </w:pPr>
      <w:r>
        <w:t xml:space="preserve"> The diagnostic array lacked post-intervention advanced imaging metrics (such as high-resolution follow-up hip magnetic resonance arthrography), meaning tissue-level healing or labral stabilization cannot be directly visualized.</w:t>
      </w:r>
    </w:p>
    <w:p w14:paraId="35511FFA" w14:textId="77777777" w:rsidR="002D615A" w:rsidRDefault="00EB003D">
      <w:pPr>
        <w:pStyle w:val="Heading1"/>
        <w:spacing w:before="280" w:after="80"/>
      </w:pPr>
      <w:r>
        <w:rPr>
          <w:rFonts w:ascii="Times New Roman" w:hAnsi="Times New Roman"/>
          <w:color w:val="003366"/>
          <w:sz w:val="26"/>
        </w:rPr>
        <w:t>5. Conclusion</w:t>
      </w:r>
    </w:p>
    <w:p w14:paraId="04449C6E" w14:textId="77777777" w:rsidR="002D615A" w:rsidRDefault="00EB003D">
      <w:pPr>
        <w:spacing w:after="120"/>
        <w:jc w:val="both"/>
      </w:pPr>
      <w:r>
        <w:t xml:space="preserve">A 12-week Structured Evidence-Based Physiotherapy (SEBP) program focusing on progressive eccentric strengthening, core synchronization, and multi-planar neuromuscular re-education produces statistically superior and clinically continuous improvements over traditional standard care. It significantly reduces clinical groin pain, improves objective hip mobility, restores muscle performance, and elevates quality of life in individuals with symptomatic femoroacetabular impingement. This trial confirms excellent </w:t>
      </w:r>
      <w:r>
        <w:t>protocol feasibility and safety, validating its role as a frontline conservative option and providing reliable treatment parameters for a fully powered, multi-center definitive RCT.</w:t>
      </w:r>
    </w:p>
    <w:p w14:paraId="5731DCEF" w14:textId="77777777" w:rsidR="002D615A" w:rsidRDefault="00EB003D">
      <w:pPr>
        <w:pStyle w:val="Heading1"/>
        <w:spacing w:before="280" w:after="80"/>
      </w:pPr>
      <w:r>
        <w:rPr>
          <w:rFonts w:ascii="Times New Roman" w:hAnsi="Times New Roman"/>
          <w:color w:val="003366"/>
          <w:sz w:val="26"/>
        </w:rPr>
        <w:t>References</w:t>
      </w:r>
    </w:p>
    <w:p w14:paraId="2EF5A6C6" w14:textId="77777777" w:rsidR="002D615A" w:rsidRDefault="00EB003D">
      <w:pPr>
        <w:spacing w:after="80"/>
        <w:ind w:left="576" w:hanging="576"/>
      </w:pPr>
      <w:r>
        <w:t>[1] Diamond, L. E., Hinman, R. S., Wrigley, T. V., et al. (2015). Effects of targeted physical therapy on hip muscle forces and joint mechanics in individuals with femoroacetabular impingement: a randomized exploratory trial. Journal of Orthopaedic Research, 33(8), 1175-1182.</w:t>
      </w:r>
    </w:p>
    <w:p w14:paraId="210BCDA0" w14:textId="77777777" w:rsidR="002D615A" w:rsidRDefault="00EB003D">
      <w:pPr>
        <w:spacing w:after="80"/>
        <w:ind w:left="576" w:hanging="576"/>
      </w:pPr>
      <w:r>
        <w:t>[2] Griffin, D. R., Dickenson, E. J., Wall, P. D., et al. (2018). Hip arthroscopy versus best conservative care for the treatment of femoroacetabular impingement syndrome (UK FASHIoN): a multicentre randomised controlled trial. The Lancet, 391(10136), 2225-2235.</w:t>
      </w:r>
    </w:p>
    <w:p w14:paraId="5CDC48D7" w14:textId="77777777" w:rsidR="002D615A" w:rsidRDefault="00EB003D">
      <w:pPr>
        <w:spacing w:after="80"/>
        <w:ind w:left="576" w:hanging="576"/>
      </w:pPr>
      <w:r>
        <w:t>[3] Mansell, N. S., Rhon, D. I., Meyer, J., et al. (2018). Arthroscopic surgery versus physical therapy for patients with femoroacetabular impingement: a randomized controlled trial with 2-year follow-up. American Journal of Sports Medicine, 46(6), 1302-1310.</w:t>
      </w:r>
    </w:p>
    <w:p w14:paraId="09E35885" w14:textId="77777777" w:rsidR="002D615A" w:rsidRDefault="00EB003D">
      <w:pPr>
        <w:spacing w:after="80"/>
        <w:ind w:left="576" w:hanging="576"/>
      </w:pPr>
      <w:r>
        <w:t>[4] Murphy, N. J., Eyles, J. P., Hunter, D. J., et al. (2021). Conservative management of femoroacetabular impingement syndrome: a systematic review and meta-analysis of randomized controlled trials. British Journal of Medicine, 55(7), 373-381.</w:t>
      </w:r>
    </w:p>
    <w:p w14:paraId="71C795D1" w14:textId="77777777" w:rsidR="002D615A" w:rsidRDefault="00EB003D">
      <w:pPr>
        <w:spacing w:after="80"/>
        <w:ind w:left="576" w:hanging="576"/>
      </w:pPr>
      <w:r>
        <w:t>[5] Palmer, A. J., Akiyama, K., Glyn-Jones, S., et al. (2019). The efficacy of surgical versus non-operative treatment for femoroacetabular impingement syndrome: a meta-analysis of current randomized trials. Osteoarthritis and Cartilage, 27(9), 1245-1253.</w:t>
      </w:r>
    </w:p>
    <w:sectPr w:rsidR="002D615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903048">
    <w:abstractNumId w:val="8"/>
  </w:num>
  <w:num w:numId="2" w16cid:durableId="1472094003">
    <w:abstractNumId w:val="6"/>
  </w:num>
  <w:num w:numId="3" w16cid:durableId="1622960647">
    <w:abstractNumId w:val="5"/>
  </w:num>
  <w:num w:numId="4" w16cid:durableId="168447330">
    <w:abstractNumId w:val="4"/>
  </w:num>
  <w:num w:numId="5" w16cid:durableId="1636180105">
    <w:abstractNumId w:val="7"/>
  </w:num>
  <w:num w:numId="6" w16cid:durableId="1332103050">
    <w:abstractNumId w:val="3"/>
  </w:num>
  <w:num w:numId="7" w16cid:durableId="596016297">
    <w:abstractNumId w:val="2"/>
  </w:num>
  <w:num w:numId="8" w16cid:durableId="2074162613">
    <w:abstractNumId w:val="1"/>
  </w:num>
  <w:num w:numId="9" w16cid:durableId="22251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7734"/>
    <w:rsid w:val="0029639D"/>
    <w:rsid w:val="002D615A"/>
    <w:rsid w:val="002E0ED3"/>
    <w:rsid w:val="00326F90"/>
    <w:rsid w:val="00770A6B"/>
    <w:rsid w:val="00AA1D8D"/>
    <w:rsid w:val="00B47730"/>
    <w:rsid w:val="00CB0664"/>
    <w:rsid w:val="00EA10E7"/>
    <w:rsid w:val="00EB00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78A4B"/>
  <w14:defaultImageDpi w14:val="300"/>
  <w15:docId w15:val="{B4D9F507-52A0-CC46-B3E3-DF5547C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color w:val="11111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doctor hafiza mubashra</cp:lastModifiedBy>
  <cp:revision>2</cp:revision>
  <dcterms:created xsi:type="dcterms:W3CDTF">2026-07-07T14:51:00Z</dcterms:created>
  <dcterms:modified xsi:type="dcterms:W3CDTF">2026-07-07T14:51:00Z</dcterms:modified>
  <cp:category/>
</cp:coreProperties>
</file>