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DAD7" w14:textId="77777777" w:rsidR="00F64F77" w:rsidRDefault="00A6484F" w:rsidP="00F64F77">
      <w:pPr>
        <w:spacing w:after="0" w:line="240" w:lineRule="auto"/>
        <w:jc w:val="center"/>
        <w:rPr>
          <w:rFonts w:ascii="Times New Roman" w:hAnsi="Times New Roman" w:cs="Times New Roman"/>
          <w:b/>
          <w:bCs/>
          <w:sz w:val="36"/>
          <w:szCs w:val="36"/>
          <w:lang w:val="en-US"/>
        </w:rPr>
      </w:pPr>
      <w:r w:rsidRPr="00A6484F">
        <w:rPr>
          <w:rFonts w:ascii="Times New Roman" w:hAnsi="Times New Roman" w:cs="Times New Roman"/>
          <w:b/>
          <w:bCs/>
          <w:sz w:val="36"/>
          <w:szCs w:val="36"/>
          <w:lang w:val="en-US"/>
        </w:rPr>
        <w:t>DEVELOPMENT OF A UNIFIED TIME-TO-MARKET</w:t>
      </w:r>
      <w:r w:rsidR="00F64F77">
        <w:rPr>
          <w:rFonts w:ascii="Times New Roman" w:hAnsi="Times New Roman" w:cs="Times New Roman"/>
          <w:b/>
          <w:bCs/>
          <w:sz w:val="36"/>
          <w:szCs w:val="36"/>
          <w:lang w:val="en-US"/>
        </w:rPr>
        <w:t xml:space="preserve"> </w:t>
      </w:r>
      <w:r w:rsidRPr="00A6484F">
        <w:rPr>
          <w:rFonts w:ascii="Times New Roman" w:hAnsi="Times New Roman" w:cs="Times New Roman"/>
          <w:b/>
          <w:bCs/>
          <w:sz w:val="36"/>
          <w:szCs w:val="36"/>
          <w:lang w:val="en-US"/>
        </w:rPr>
        <w:t>MEASUREMENT</w:t>
      </w:r>
      <w:r>
        <w:rPr>
          <w:rFonts w:ascii="Times New Roman" w:hAnsi="Times New Roman" w:cs="Times New Roman"/>
          <w:b/>
          <w:bCs/>
          <w:sz w:val="36"/>
          <w:szCs w:val="36"/>
          <w:lang w:val="en-US"/>
        </w:rPr>
        <w:t xml:space="preserve"> </w:t>
      </w:r>
      <w:r w:rsidRPr="00A6484F">
        <w:rPr>
          <w:rFonts w:ascii="Times New Roman" w:hAnsi="Times New Roman" w:cs="Times New Roman"/>
          <w:b/>
          <w:bCs/>
          <w:sz w:val="36"/>
          <w:szCs w:val="36"/>
          <w:lang w:val="en-US"/>
        </w:rPr>
        <w:t xml:space="preserve">FRAMEWORK FOR DIGITAL </w:t>
      </w:r>
    </w:p>
    <w:p w14:paraId="6B962100" w14:textId="77777777" w:rsidR="00F64F77" w:rsidRDefault="00A6484F" w:rsidP="00F64F77">
      <w:pPr>
        <w:spacing w:after="0" w:line="240" w:lineRule="auto"/>
        <w:jc w:val="center"/>
        <w:rPr>
          <w:rFonts w:ascii="Times New Roman" w:hAnsi="Times New Roman" w:cs="Times New Roman"/>
          <w:b/>
          <w:bCs/>
          <w:sz w:val="36"/>
          <w:szCs w:val="36"/>
          <w:lang w:val="en-US"/>
        </w:rPr>
      </w:pPr>
      <w:r w:rsidRPr="00A6484F">
        <w:rPr>
          <w:rFonts w:ascii="Times New Roman" w:hAnsi="Times New Roman" w:cs="Times New Roman"/>
          <w:b/>
          <w:bCs/>
          <w:sz w:val="36"/>
          <w:szCs w:val="36"/>
          <w:lang w:val="en-US"/>
        </w:rPr>
        <w:t/>
      </w:r>
      <w:r>
        <w:rPr>
          <w:rFonts w:ascii="Times New Roman" w:hAnsi="Times New Roman" w:cs="Times New Roman"/>
          <w:b/>
          <w:bCs/>
          <w:sz w:val="36"/>
          <w:szCs w:val="36"/>
          <w:lang w:val="en-US"/>
        </w:rPr>
        <w:t xml:space="preserve"/>
      </w:r>
      <w:r w:rsidRPr="00A6484F">
        <w:rPr>
          <w:rFonts w:ascii="Times New Roman" w:hAnsi="Times New Roman" w:cs="Times New Roman"/>
          <w:b/>
          <w:bCs/>
          <w:sz w:val="36"/>
          <w:szCs w:val="36"/>
          <w:lang w:val="en-US"/>
        </w:rPr>
        <w:t xml:space="preserve"/>
      </w:r>
    </w:p>
    <w:p w14:paraId="0F216225" w14:textId="3FBA5D32" w:rsidR="00625055" w:rsidRDefault="00A6484F" w:rsidP="00F64F77">
      <w:pPr>
        <w:spacing w:after="0" w:line="240" w:lineRule="auto"/>
        <w:jc w:val="center"/>
        <w:rPr>
          <w:rFonts w:ascii="Times New Roman" w:hAnsi="Times New Roman" w:cs="Times New Roman"/>
          <w:b/>
          <w:bCs/>
          <w:sz w:val="36"/>
          <w:szCs w:val="36"/>
          <w:lang w:val="en-US"/>
        </w:rPr>
      </w:pPr>
      <w:r w:rsidRPr="00A6484F">
        <w:rPr>
          <w:rFonts w:ascii="Times New Roman" w:hAnsi="Times New Roman" w:cs="Times New Roman"/>
          <w:b/>
          <w:bCs/>
          <w:sz w:val="36"/>
          <w:szCs w:val="36"/>
          <w:lang w:val="en-US"/>
        </w:rPr>
        <w:t/>
      </w:r>
    </w:p>
    <w:p w14:paraId="2EFC7FC9" w14:textId="77777777" w:rsidR="00F64F77" w:rsidRDefault="00F64F77" w:rsidP="00F64F77">
      <w:pPr>
        <w:spacing w:after="0" w:line="240" w:lineRule="auto"/>
        <w:jc w:val="center"/>
        <w:rPr>
          <w:rFonts w:ascii="Times New Roman" w:hAnsi="Times New Roman" w:cs="Times New Roman"/>
          <w:b/>
          <w:bCs/>
          <w:sz w:val="36"/>
          <w:szCs w:val="36"/>
          <w:lang w:val="en-US"/>
        </w:rPr>
      </w:pPr>
    </w:p>
    <w:p w14:paraId="00952643" w14:textId="794A1BF4" w:rsidR="00A6484F" w:rsidRDefault="00A6484F" w:rsidP="00F64F77">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w:r>
    </w:p>
    <w:p w14:paraId="6CA71EE8" w14:textId="1E9CEB6B" w:rsidR="00A6484F" w:rsidRDefault="00A6484F" w:rsidP="00F64F77">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w:r>
    </w:p>
    <w:p w14:paraId="64D38BE7" w14:textId="77777777" w:rsidR="00F64F77" w:rsidRDefault="00F64F77" w:rsidP="00F64F77">
      <w:pPr>
        <w:spacing w:after="0" w:line="240" w:lineRule="auto"/>
        <w:jc w:val="center"/>
        <w:rPr>
          <w:rFonts w:ascii="Times New Roman" w:hAnsi="Times New Roman" w:cs="Times New Roman"/>
          <w:b/>
          <w:bCs/>
          <w:lang w:val="en-US"/>
        </w:rPr>
      </w:pPr>
    </w:p>
    <w:p w14:paraId="17EB128F" w14:textId="77777777" w:rsidR="00F64F77" w:rsidRDefault="00F64F77" w:rsidP="00F64F77">
      <w:pPr>
        <w:spacing w:after="0" w:line="240" w:lineRule="auto"/>
        <w:jc w:val="center"/>
        <w:rPr>
          <w:rFonts w:ascii="Times New Roman" w:hAnsi="Times New Roman" w:cs="Times New Roman"/>
          <w:b/>
          <w:bCs/>
          <w:lang w:val="en-US"/>
        </w:rPr>
      </w:pPr>
    </w:p>
    <w:p w14:paraId="73509288" w14:textId="4BFE8D0A" w:rsidR="00A6484F" w:rsidRPr="00A6484F" w:rsidRDefault="00A6484F" w:rsidP="00A6484F">
      <w:pPr>
        <w:rPr>
          <w:rFonts w:ascii="Times New Roman" w:hAnsi="Times New Roman" w:cs="Times New Roman"/>
          <w:b/>
          <w:bCs/>
          <w:sz w:val="28"/>
          <w:szCs w:val="28"/>
          <w:lang w:val="en-US"/>
        </w:rPr>
      </w:pPr>
      <w:r w:rsidRPr="00A6484F">
        <w:rPr>
          <w:rFonts w:ascii="Times New Roman" w:hAnsi="Times New Roman" w:cs="Times New Roman"/>
          <w:b/>
          <w:bCs/>
          <w:sz w:val="28"/>
          <w:szCs w:val="28"/>
          <w:lang w:val="en-US"/>
        </w:rPr>
        <w:t>ABSTRACT</w:t>
      </w:r>
    </w:p>
    <w:p w14:paraId="17296A85" w14:textId="03BBA339" w:rsidR="00A6484F" w:rsidRPr="00A6484F" w:rsidRDefault="00A6484F" w:rsidP="00A6484F">
      <w:pPr>
        <w:jc w:val="both"/>
        <w:rPr>
          <w:rFonts w:ascii="Times New Roman" w:hAnsi="Times New Roman" w:cs="Times New Roman"/>
          <w:lang w:val="en-US"/>
        </w:rPr>
      </w:pPr>
      <w:r w:rsidRPr="00A6484F">
        <w:rPr>
          <w:rFonts w:ascii="Times New Roman" w:hAnsi="Times New Roman" w:cs="Times New Roman"/>
          <w:lang w:val="en-US"/>
        </w:rPr>
        <w:t xml:space="preserve">This </w:t>
      </w:r>
      <w:r w:rsidR="0095675B">
        <w:rPr>
          <w:rFonts w:ascii="Times New Roman" w:hAnsi="Times New Roman" w:cs="Times New Roman"/>
          <w:lang w:val="en-US"/>
        </w:rPr>
        <w:t>research</w:t>
      </w:r>
      <w:r w:rsidRPr="00A6484F">
        <w:rPr>
          <w:rFonts w:ascii="Times New Roman" w:hAnsi="Times New Roman" w:cs="Times New Roman"/>
          <w:lang w:val="en-US"/>
        </w:rPr>
        <w:t xml:space="preserve"> developed a unified Time-to-Market (TTM) measurement framework for digital journeys delivered on the Salesforce platform using </w:t>
      </w:r>
      <w:proofErr w:type="spellStart"/>
      <w:r w:rsidRPr="00A6484F">
        <w:rPr>
          <w:rFonts w:ascii="Times New Roman" w:hAnsi="Times New Roman" w:cs="Times New Roman"/>
          <w:lang w:val="en-US"/>
        </w:rPr>
        <w:t>OmniStudio</w:t>
      </w:r>
      <w:proofErr w:type="spellEnd"/>
      <w:r w:rsidRPr="00A6484F">
        <w:rPr>
          <w:rFonts w:ascii="Times New Roman" w:hAnsi="Times New Roman" w:cs="Times New Roman"/>
          <w:lang w:val="en-US"/>
        </w:rPr>
        <w:t xml:space="preserve"> and Flow. The study addressed the inconsistency, manual effort, and limited visibility that characterize current TTM tracking in Salesforce delivery initiatives, standardizing initiative intake, guided milestone capture, stage-gate validation, lifecycle monitoring, and automated KPI computation within a single, configuration-first artefact that practitioners can adopt without bespoke code. A descriptive-developmental-evaluative quantitative design was executed through Agile sprints covering requirements, design, build, validation, and stakeholder evaluation. Three instruments were administered to thirty (30) Salesforce IT respondents across insurance, utilities/energy, financial services, manufacturing, technology, and public service: a Pre-Development Needs Assessment, an ISO/IEC 25010 expert evaluation, and a Post-Development Stakeholder Evaluation. KPI computations were independently validated through manual recalculation and boundary testing. Findings showed that Salesforce Flow achieved very high adoption across all represented industries through its backend automation, approval routing, and process standardization capabilities, while </w:t>
      </w:r>
      <w:proofErr w:type="spellStart"/>
      <w:r w:rsidRPr="00A6484F">
        <w:rPr>
          <w:rFonts w:ascii="Times New Roman" w:hAnsi="Times New Roman" w:cs="Times New Roman"/>
          <w:lang w:val="en-US"/>
        </w:rPr>
        <w:t>OmniStudio</w:t>
      </w:r>
      <w:proofErr w:type="spellEnd"/>
      <w:r w:rsidRPr="00A6484F">
        <w:rPr>
          <w:rFonts w:ascii="Times New Roman" w:hAnsi="Times New Roman" w:cs="Times New Roman"/>
          <w:lang w:val="en-US"/>
        </w:rPr>
        <w:t xml:space="preserve"> added value primarily in customer-facing guided journeys and frontend orchestration; a hybrid </w:t>
      </w:r>
      <w:proofErr w:type="spellStart"/>
      <w:r w:rsidRPr="00A6484F">
        <w:rPr>
          <w:rFonts w:ascii="Times New Roman" w:hAnsi="Times New Roman" w:cs="Times New Roman"/>
          <w:lang w:val="en-US"/>
        </w:rPr>
        <w:t>OmniStudio</w:t>
      </w:r>
      <w:proofErr w:type="spellEnd"/>
      <w:r w:rsidRPr="00A6484F">
        <w:rPr>
          <w:rFonts w:ascii="Times New Roman" w:hAnsi="Times New Roman" w:cs="Times New Roman"/>
          <w:lang w:val="en-US"/>
        </w:rPr>
        <w:t>-plus-Flow configuration received the highest perceived-effectiveness rating. The framework processed 225 initiatives, 592 milestone records, and 245 computed KPI records, producing multi-sector TTM summaries including average cycle times of 76.0 days for insurance and 138.0 days for public sector. ISO/IEC 25010 evaluation yielded an overall rating of 4.61 (Excellent), led by compatibility (4.75), functional suitability (4.74), and security (4.74). One-way ANOVA across sector groupings detected no statistically significant differences (p &gt; 0.05), indicating consistent performance across sectors at the available sample size. The study contributes a reusable, configuration-first reference architecture for measuring TTM on Salesforce and offers a basis for further research on cross-organizational TTM benchmarking with stratified sectoral sampling.</w:t>
      </w:r>
    </w:p>
    <w:p w14:paraId="27851AED" w14:textId="45009C1A" w:rsidR="00A6484F" w:rsidRDefault="00A6484F" w:rsidP="00A6484F">
      <w:pPr>
        <w:pStyle w:val="BodyText"/>
        <w:spacing w:line="240" w:lineRule="auto"/>
        <w:jc w:val="both"/>
      </w:pPr>
      <w:r w:rsidRPr="004A4F5A">
        <w:rPr>
          <w:b/>
          <w:bCs/>
        </w:rPr>
        <w:t>Keywords:</w:t>
      </w:r>
      <w:r>
        <w:rPr>
          <w:i/>
          <w:iCs/>
        </w:rPr>
        <w:t xml:space="preserve"> </w:t>
      </w:r>
      <w:r>
        <w:t xml:space="preserve">Agile delivery, Digital Journeys, KPI measurement framework, Salesforce </w:t>
      </w:r>
      <w:proofErr w:type="spellStart"/>
      <w:r>
        <w:t>OmniStudio</w:t>
      </w:r>
      <w:proofErr w:type="spellEnd"/>
      <w:r>
        <w:t>, Salesforce Flow</w:t>
      </w:r>
    </w:p>
    <w:p w14:paraId="4C78E1CE" w14:textId="37D561E7" w:rsidR="00A6484F" w:rsidRDefault="004A4F5A" w:rsidP="004A4F5A">
      <w:pPr>
        <w:pStyle w:val="Heading1"/>
        <w:rPr>
          <w:rFonts w:ascii="Times New Roman" w:hAnsi="Times New Roman" w:cs="Times New Roman"/>
          <w:b/>
          <w:bCs/>
          <w:color w:val="000000" w:themeColor="text1"/>
          <w:sz w:val="28"/>
          <w:szCs w:val="28"/>
          <w:lang w:val="en-US"/>
        </w:rPr>
      </w:pPr>
      <w:r w:rsidRPr="004A4F5A">
        <w:rPr>
          <w:rFonts w:ascii="Times New Roman" w:hAnsi="Times New Roman" w:cs="Times New Roman"/>
          <w:b/>
          <w:bCs/>
          <w:sz w:val="28"/>
          <w:szCs w:val="28"/>
          <w:lang w:val="en-US"/>
        </w:rPr>
        <w:t xml:space="preserve"> </w:t>
      </w:r>
      <w:r w:rsidRPr="004A4F5A">
        <w:rPr>
          <w:rFonts w:ascii="Times New Roman" w:hAnsi="Times New Roman" w:cs="Times New Roman"/>
          <w:b/>
          <w:bCs/>
          <w:color w:val="000000" w:themeColor="text1"/>
          <w:sz w:val="28"/>
          <w:szCs w:val="28"/>
          <w:lang w:val="en-US"/>
        </w:rPr>
        <w:t>INTRODUCTION</w:t>
      </w:r>
    </w:p>
    <w:p w14:paraId="3480C675" w14:textId="77777777" w:rsidR="004A4F5A" w:rsidRPr="004A4F5A" w:rsidRDefault="004A4F5A" w:rsidP="00747803">
      <w:pPr>
        <w:pStyle w:val="isselectedend"/>
        <w:spacing w:before="240" w:beforeAutospacing="0" w:after="240" w:afterAutospacing="0"/>
        <w:contextualSpacing/>
        <w:jc w:val="both"/>
        <w:rPr>
          <w:rFonts w:eastAsiaTheme="minorHAnsi"/>
          <w:kern w:val="2"/>
          <w:lang w:val="en-US"/>
          <w14:ligatures w14:val="standardContextual"/>
        </w:rPr>
      </w:pPr>
      <w:r w:rsidRPr="004A4F5A">
        <w:rPr>
          <w:rFonts w:eastAsiaTheme="minorHAnsi"/>
          <w:kern w:val="2"/>
          <w:lang w:val="en-US"/>
          <w14:ligatures w14:val="standardContextual"/>
        </w:rPr>
        <w:t xml:space="preserve">Organizations are increasingly required to deliver digital services faster, more consistently, and with clearer operational visibility. In modern enterprise environments, digital journeys are no longer limited to simple online forms or isolated customer touchpoints. They now involve guided interactions, automated approvals, milestone monitoring, integration with external systems, reporting dashboards, and governance controls. For many organizations using Salesforce, </w:t>
      </w:r>
      <w:proofErr w:type="spellStart"/>
      <w:r w:rsidRPr="004A4F5A">
        <w:rPr>
          <w:rFonts w:eastAsiaTheme="minorHAnsi"/>
          <w:kern w:val="2"/>
          <w:lang w:val="en-US"/>
          <w14:ligatures w14:val="standardContextual"/>
        </w:rPr>
        <w:t>OmniStudio</w:t>
      </w:r>
      <w:proofErr w:type="spellEnd"/>
      <w:r w:rsidRPr="004A4F5A">
        <w:rPr>
          <w:rFonts w:eastAsiaTheme="minorHAnsi"/>
          <w:kern w:val="2"/>
          <w:lang w:val="en-US"/>
          <w14:ligatures w14:val="standardContextual"/>
        </w:rPr>
        <w:t xml:space="preserve"> and Flow have become important low-code tools for configuring these journeys.</w:t>
      </w:r>
    </w:p>
    <w:p w14:paraId="4B4A36DE" w14:textId="77777777" w:rsidR="004A4F5A" w:rsidRPr="004A4F5A" w:rsidRDefault="004A4F5A" w:rsidP="00747803">
      <w:pPr>
        <w:pStyle w:val="isselectedend"/>
        <w:spacing w:before="240" w:beforeAutospacing="0" w:after="240" w:afterAutospacing="0"/>
        <w:contextualSpacing/>
        <w:jc w:val="both"/>
        <w:rPr>
          <w:rFonts w:eastAsiaTheme="minorHAnsi"/>
          <w:kern w:val="2"/>
          <w:lang w:val="en-US"/>
          <w14:ligatures w14:val="standardContextual"/>
        </w:rPr>
      </w:pPr>
      <w:r w:rsidRPr="004A4F5A">
        <w:rPr>
          <w:rFonts w:eastAsiaTheme="minorHAnsi"/>
          <w:kern w:val="2"/>
          <w:lang w:val="en-US"/>
          <w14:ligatures w14:val="standardContextual"/>
        </w:rPr>
        <w:t xml:space="preserve">Despite the growing adoption of low-code tools, a persistent problem remains: delivery speed is often discussed but not consistently measured. Different teams may define time-to-market from different starting points. Some may measure from concept approval, others from build start, and others from production release. This creates </w:t>
      </w:r>
      <w:r w:rsidRPr="004A4F5A">
        <w:rPr>
          <w:rFonts w:eastAsiaTheme="minorHAnsi"/>
          <w:kern w:val="2"/>
          <w:lang w:val="en-US"/>
          <w14:ligatures w14:val="standardContextual"/>
        </w:rPr>
        <w:lastRenderedPageBreak/>
        <w:t>inconsistent reporting and makes it difficult to compare delivery performance across projects, departments, and sectors.</w:t>
      </w:r>
    </w:p>
    <w:p w14:paraId="7927BD9C" w14:textId="77777777" w:rsidR="004A4F5A" w:rsidRPr="004A4F5A" w:rsidRDefault="004A4F5A" w:rsidP="00747803">
      <w:pPr>
        <w:pStyle w:val="isselectedend"/>
        <w:spacing w:before="240" w:beforeAutospacing="0" w:after="240" w:afterAutospacing="0"/>
        <w:contextualSpacing/>
        <w:jc w:val="both"/>
        <w:rPr>
          <w:rFonts w:eastAsiaTheme="minorHAnsi"/>
          <w:kern w:val="2"/>
          <w:lang w:val="en-US"/>
          <w14:ligatures w14:val="standardContextual"/>
        </w:rPr>
      </w:pPr>
      <w:r w:rsidRPr="004A4F5A">
        <w:rPr>
          <w:rFonts w:eastAsiaTheme="minorHAnsi"/>
          <w:kern w:val="2"/>
          <w:lang w:val="en-US"/>
          <w14:ligatures w14:val="standardContextual"/>
        </w:rPr>
        <w:t>This study responded to that gap by developing a unified time-to-market measurement framework for Salesforce-based digital journeys. The framework was designed as a reusable software artifact that standardizes initiative intake, milestone capture, stage-gate validation, lifecycle monitoring, indicator computation, application programming interface-based integration, and dashboard reporting. Instead of treating time-to-market as a general claim of faster delivery, the study treated it as a measurable and comparable delivery-performance construct.</w:t>
      </w:r>
    </w:p>
    <w:p w14:paraId="04A1F725" w14:textId="77777777" w:rsidR="004A4F5A" w:rsidRPr="004A4F5A" w:rsidRDefault="004A4F5A" w:rsidP="00747803">
      <w:pPr>
        <w:pStyle w:val="isselectedend"/>
        <w:spacing w:before="240" w:beforeAutospacing="0" w:after="240" w:afterAutospacing="0"/>
        <w:contextualSpacing/>
        <w:jc w:val="both"/>
        <w:rPr>
          <w:rFonts w:eastAsiaTheme="minorHAnsi"/>
          <w:kern w:val="2"/>
          <w:lang w:val="en-US"/>
          <w14:ligatures w14:val="standardContextual"/>
        </w:rPr>
      </w:pPr>
      <w:r w:rsidRPr="004A4F5A">
        <w:rPr>
          <w:rFonts w:eastAsiaTheme="minorHAnsi"/>
          <w:kern w:val="2"/>
          <w:lang w:val="en-US"/>
          <w14:ligatures w14:val="standardContextual"/>
        </w:rPr>
        <w:t xml:space="preserve">The study focused on Salesforce information technology community respondents from multiple industry contexts, including insurance, utilities and energy, financial services, manufacturing, technology, and public service. It examined how Salesforce </w:t>
      </w:r>
      <w:proofErr w:type="spellStart"/>
      <w:r w:rsidRPr="004A4F5A">
        <w:rPr>
          <w:rFonts w:eastAsiaTheme="minorHAnsi"/>
          <w:kern w:val="2"/>
          <w:lang w:val="en-US"/>
          <w14:ligatures w14:val="standardContextual"/>
        </w:rPr>
        <w:t>OmniStudio</w:t>
      </w:r>
      <w:proofErr w:type="spellEnd"/>
      <w:r w:rsidRPr="004A4F5A">
        <w:rPr>
          <w:rFonts w:eastAsiaTheme="minorHAnsi"/>
          <w:kern w:val="2"/>
          <w:lang w:val="en-US"/>
          <w14:ligatures w14:val="standardContextual"/>
        </w:rPr>
        <w:t xml:space="preserve"> and Flow were used in digital journey delivery, developed a framework for standardized measurement, evaluated the framework using ISO/IEC 25010:2023 Product Quality characteristics, and gathered stakeholder feedback on governance capability, operational effectiveness, framework practicality, adoption readiness, and scalability.</w:t>
      </w:r>
    </w:p>
    <w:p w14:paraId="54930874" w14:textId="77777777" w:rsidR="004A4F5A" w:rsidRPr="004A4F5A" w:rsidRDefault="004A4F5A" w:rsidP="00747803">
      <w:pPr>
        <w:pStyle w:val="NormalWeb"/>
        <w:spacing w:before="240" w:beforeAutospacing="0" w:after="240" w:afterAutospacing="0"/>
        <w:contextualSpacing/>
        <w:jc w:val="both"/>
        <w:rPr>
          <w:rFonts w:eastAsiaTheme="minorHAnsi"/>
          <w:kern w:val="2"/>
          <w:lang w:val="en-US"/>
          <w14:ligatures w14:val="standardContextual"/>
        </w:rPr>
      </w:pPr>
      <w:r w:rsidRPr="004A4F5A">
        <w:rPr>
          <w:rFonts w:eastAsiaTheme="minorHAnsi"/>
          <w:kern w:val="2"/>
          <w:lang w:val="en-US"/>
          <w14:ligatures w14:val="standardContextual"/>
        </w:rPr>
        <w:t xml:space="preserve">The main objective of the study was to develop and evaluate a unified framework for standardized cross-sector collection and analysis of time-to-market data using Salesforce </w:t>
      </w:r>
      <w:proofErr w:type="spellStart"/>
      <w:r w:rsidRPr="004A4F5A">
        <w:rPr>
          <w:rFonts w:eastAsiaTheme="minorHAnsi"/>
          <w:kern w:val="2"/>
          <w:lang w:val="en-US"/>
          <w14:ligatures w14:val="standardContextual"/>
        </w:rPr>
        <w:t>OmniStudio</w:t>
      </w:r>
      <w:proofErr w:type="spellEnd"/>
      <w:r w:rsidRPr="004A4F5A">
        <w:rPr>
          <w:rFonts w:eastAsiaTheme="minorHAnsi"/>
          <w:kern w:val="2"/>
          <w:lang w:val="en-US"/>
          <w14:ligatures w14:val="standardContextual"/>
        </w:rPr>
        <w:t xml:space="preserve"> and Salesforce Flow. Specifically, the study sought to assess platform adoption, design and develop the framework, evaluate software quality, and determine stakeholder perception of the framework’s practical value.</w:t>
      </w:r>
    </w:p>
    <w:p w14:paraId="48AF2DF0" w14:textId="0AF15FCD" w:rsidR="004A4F5A" w:rsidRDefault="004A4F5A" w:rsidP="004A4F5A">
      <w:pPr>
        <w:pStyle w:val="Heading1"/>
        <w:rPr>
          <w:rFonts w:ascii="Times New Roman" w:hAnsi="Times New Roman" w:cs="Times New Roman"/>
          <w:b/>
          <w:bCs/>
          <w:color w:val="000000" w:themeColor="text1"/>
          <w:sz w:val="28"/>
          <w:szCs w:val="28"/>
          <w:lang w:val="en-US"/>
        </w:rPr>
      </w:pPr>
      <w:r w:rsidRPr="004A4F5A">
        <w:rPr>
          <w:rFonts w:ascii="Times New Roman" w:hAnsi="Times New Roman" w:cs="Times New Roman"/>
          <w:b/>
          <w:bCs/>
          <w:color w:val="000000" w:themeColor="text1"/>
          <w:sz w:val="28"/>
          <w:szCs w:val="28"/>
          <w:lang w:val="en-US"/>
        </w:rPr>
        <w:t>METHODOLOGY</w:t>
      </w:r>
    </w:p>
    <w:p w14:paraId="3203C7B7" w14:textId="77777777" w:rsidR="004A4F5A" w:rsidRPr="004A4F5A" w:rsidRDefault="004A4F5A" w:rsidP="00747803">
      <w:pPr>
        <w:pStyle w:val="NormalWeb"/>
        <w:spacing w:before="240" w:beforeAutospacing="0" w:after="240" w:afterAutospacing="0"/>
        <w:jc w:val="both"/>
      </w:pPr>
      <w:r w:rsidRPr="004A4F5A">
        <w:t xml:space="preserve">The study employed a </w:t>
      </w:r>
      <w:r w:rsidRPr="004A4F5A">
        <w:rPr>
          <w:rStyle w:val="Strong"/>
          <w:rFonts w:eastAsiaTheme="majorEastAsia"/>
          <w:b w:val="0"/>
          <w:bCs w:val="0"/>
        </w:rPr>
        <w:t>descriptive-developmental-evaluative quantitative research design</w:t>
      </w:r>
      <w:r w:rsidRPr="004A4F5A">
        <w:rPr>
          <w:b/>
          <w:bCs/>
        </w:rPr>
        <w:t xml:space="preserve"> </w:t>
      </w:r>
      <w:r w:rsidRPr="004A4F5A">
        <w:t xml:space="preserve">with limited qualitative improvement notes. It was descriptive because it examined how Salesforce </w:t>
      </w:r>
      <w:proofErr w:type="spellStart"/>
      <w:r w:rsidRPr="004A4F5A">
        <w:t>OmniStudio</w:t>
      </w:r>
      <w:proofErr w:type="spellEnd"/>
      <w:r w:rsidRPr="004A4F5A">
        <w:t xml:space="preserve"> and Flow were used by Salesforce IT community respondents across multiple industry contexts. It was developmental because it produced a working Salesforce-native software artifact. It was evaluative because the completed framework was assessed using ISO/IEC 25010:2023 Product Quality characteristics and post-development stakeholder evaluation.</w:t>
      </w:r>
    </w:p>
    <w:p w14:paraId="56118242" w14:textId="77777777" w:rsidR="004A4F5A" w:rsidRPr="004A4F5A" w:rsidRDefault="004A4F5A" w:rsidP="00747803">
      <w:pPr>
        <w:pStyle w:val="NormalWeb"/>
        <w:spacing w:before="240" w:beforeAutospacing="0" w:after="240" w:afterAutospacing="0"/>
        <w:jc w:val="both"/>
      </w:pPr>
      <w:r w:rsidRPr="004A4F5A">
        <w:t xml:space="preserve">The framework was developed using </w:t>
      </w:r>
      <w:r w:rsidRPr="004A4F5A">
        <w:rPr>
          <w:rStyle w:val="Strong"/>
          <w:rFonts w:eastAsiaTheme="majorEastAsia"/>
          <w:b w:val="0"/>
          <w:bCs w:val="0"/>
        </w:rPr>
        <w:t>Agile Software Development</w:t>
      </w:r>
      <w:r w:rsidRPr="004A4F5A">
        <w:rPr>
          <w:b/>
          <w:bCs/>
        </w:rPr>
        <w:t>,</w:t>
      </w:r>
      <w:r w:rsidRPr="004A4F5A">
        <w:t xml:space="preserve"> covering requirements gathering, design, build, validation, and stakeholder evaluation. The artifact was organized into four functional capability groups: integration, validation, monitoring, and reporting. These included standardized initiative intake, API-based data integration, guided milestone capture, stage-gate validation, lifecycle monitoring, Flow-based KPI computation, and dashboard-based analytics.</w:t>
      </w:r>
    </w:p>
    <w:p w14:paraId="78BF0274" w14:textId="77777777" w:rsidR="004A4F5A" w:rsidRPr="004A4F5A" w:rsidRDefault="004A4F5A" w:rsidP="00747803">
      <w:pPr>
        <w:pStyle w:val="NormalWeb"/>
        <w:spacing w:before="240" w:beforeAutospacing="0" w:after="240" w:afterAutospacing="0"/>
        <w:jc w:val="both"/>
      </w:pPr>
      <w:r w:rsidRPr="004A4F5A">
        <w:t xml:space="preserve">Thirty Salesforce IT respondents participated in the study. They represented multiple sectors, including insurance, utilities/energy, financial services, manufacturing, technology, and public service. Three research instruments were used: a Pre-Development Needs Assessment, an ISO/IEC 25010 Expert Evaluation, and a Post-Development Stakeholder Evaluation. KPI computations were independently validated through manual recalculation and boundary testing to ensure measurement correctness and reliability. </w:t>
      </w:r>
    </w:p>
    <w:p w14:paraId="52CE0C3C" w14:textId="77777777" w:rsidR="004A4F5A" w:rsidRPr="004A4F5A" w:rsidRDefault="004A4F5A" w:rsidP="00747803">
      <w:pPr>
        <w:pStyle w:val="NormalWeb"/>
        <w:spacing w:before="240" w:beforeAutospacing="0" w:after="240" w:afterAutospacing="0"/>
        <w:jc w:val="both"/>
      </w:pPr>
      <w:r w:rsidRPr="004A4F5A">
        <w:t>Quantitative data were analyzed using frequencies, percentages, weighted means, standard deviations, Cronbach’s alpha, Pearson correlation, and one-way ANOVA. Objectives related to respondent profile, platform adoption, and stakeholder ratings were treated descriptively, while ISO/IEC 25010 ratings were further examined using reliability and inferential analysis.</w:t>
      </w:r>
    </w:p>
    <w:p w14:paraId="17E16D8E" w14:textId="047F6C53" w:rsidR="004A4F5A" w:rsidRDefault="004A4F5A" w:rsidP="004A4F5A">
      <w:pPr>
        <w:pStyle w:val="Heading1"/>
        <w:rPr>
          <w:rFonts w:ascii="Times New Roman" w:hAnsi="Times New Roman" w:cs="Times New Roman"/>
          <w:b/>
          <w:bCs/>
          <w:color w:val="000000" w:themeColor="text1"/>
          <w:sz w:val="28"/>
          <w:szCs w:val="28"/>
          <w:lang w:val="en-US"/>
        </w:rPr>
      </w:pPr>
      <w:r w:rsidRPr="004A4F5A">
        <w:rPr>
          <w:rFonts w:ascii="Times New Roman" w:hAnsi="Times New Roman" w:cs="Times New Roman"/>
          <w:b/>
          <w:bCs/>
          <w:color w:val="000000" w:themeColor="text1"/>
          <w:sz w:val="28"/>
          <w:szCs w:val="28"/>
          <w:lang w:val="en-US"/>
        </w:rPr>
        <w:t>RESULT</w:t>
      </w:r>
      <w:r>
        <w:rPr>
          <w:rFonts w:ascii="Times New Roman" w:hAnsi="Times New Roman" w:cs="Times New Roman"/>
          <w:b/>
          <w:bCs/>
          <w:color w:val="000000" w:themeColor="text1"/>
          <w:sz w:val="28"/>
          <w:szCs w:val="28"/>
          <w:lang w:val="en-US"/>
        </w:rPr>
        <w:t>S</w:t>
      </w:r>
    </w:p>
    <w:p w14:paraId="1784E48B" w14:textId="77777777" w:rsidR="004A4F5A" w:rsidRDefault="004A4F5A" w:rsidP="00747803">
      <w:pPr>
        <w:pStyle w:val="NormalWeb"/>
        <w:spacing w:before="240" w:beforeAutospacing="0" w:after="240" w:afterAutospacing="0"/>
        <w:jc w:val="both"/>
      </w:pPr>
      <w:r>
        <w:t xml:space="preserve">The findings showed that </w:t>
      </w:r>
      <w:r w:rsidRPr="00747803">
        <w:t>Salesforce Flow achieved very high adoption</w:t>
      </w:r>
      <w:r>
        <w:t xml:space="preserve"> across all represented industries, mainly because of its backend automation capabilities, including workflow orchestration, approval routing, alerts, and process standardization. Salesforce </w:t>
      </w:r>
      <w:proofErr w:type="spellStart"/>
      <w:r>
        <w:t>OmniStudio</w:t>
      </w:r>
      <w:proofErr w:type="spellEnd"/>
      <w:r>
        <w:t xml:space="preserve"> was found to add the greatest value in customer-facing guided workflows, reusable integration services, and frontend digital orchestration. The hybrid use of </w:t>
      </w:r>
      <w:proofErr w:type="spellStart"/>
      <w:r>
        <w:t>OmniStudio</w:t>
      </w:r>
      <w:proofErr w:type="spellEnd"/>
      <w:r>
        <w:t xml:space="preserve"> and Flow received the highest perceived effectiveness rating, suggesting that the two platforms complement each other when frontend journey guidance and backend automation are both required.</w:t>
      </w:r>
    </w:p>
    <w:p w14:paraId="60405AC5" w14:textId="77777777" w:rsidR="004A4F5A" w:rsidRDefault="004A4F5A" w:rsidP="00747803">
      <w:pPr>
        <w:pStyle w:val="NormalWeb"/>
        <w:spacing w:before="240" w:beforeAutospacing="0" w:after="240" w:afterAutospacing="0"/>
        <w:jc w:val="both"/>
      </w:pPr>
      <w:r>
        <w:lastRenderedPageBreak/>
        <w:t xml:space="preserve">The developed framework successfully processed </w:t>
      </w:r>
      <w:r w:rsidRPr="00747803">
        <w:t xml:space="preserve">225 initiatives, 592 milestone records, </w:t>
      </w:r>
      <w:r w:rsidRPr="004A4F5A">
        <w:t>and</w:t>
      </w:r>
      <w:r w:rsidRPr="00747803">
        <w:t xml:space="preserve"> 245 computed KPI records</w:t>
      </w:r>
      <w:r>
        <w:t xml:space="preserve">. It generated multi-sector TTM summaries, including average cycle times of </w:t>
      </w:r>
      <w:r w:rsidRPr="00747803">
        <w:t>76.0 days for insurance</w:t>
      </w:r>
      <w:r>
        <w:t xml:space="preserve"> and </w:t>
      </w:r>
      <w:r w:rsidRPr="00747803">
        <w:t>138.0 days for public sector</w:t>
      </w:r>
      <w:r>
        <w:t xml:space="preserve"> initiatives. These results demonstrated that the framework could consolidate milestone data and produce comparable descriptive TTM indicators across different sector contexts. </w:t>
      </w:r>
    </w:p>
    <w:p w14:paraId="1FE73333" w14:textId="77777777" w:rsidR="004A4F5A" w:rsidRDefault="004A4F5A" w:rsidP="00747803">
      <w:pPr>
        <w:pStyle w:val="NormalWeb"/>
        <w:spacing w:before="240" w:beforeAutospacing="0" w:after="240" w:afterAutospacing="0"/>
        <w:jc w:val="both"/>
      </w:pPr>
      <w:r>
        <w:t xml:space="preserve">The ISO/IEC 25010 evaluation produced an overall rating of </w:t>
      </w:r>
      <w:r w:rsidRPr="00747803">
        <w:t>4.61</w:t>
      </w:r>
      <w:r>
        <w:t xml:space="preserve">, interpreted as </w:t>
      </w:r>
      <w:r w:rsidRPr="00747803">
        <w:t>Excellent</w:t>
      </w:r>
      <w:r>
        <w:t xml:space="preserve">. The highest-rated characteristics were compatibility at </w:t>
      </w:r>
      <w:r w:rsidRPr="00747803">
        <w:t>4.75</w:t>
      </w:r>
      <w:r>
        <w:t xml:space="preserve">, functional suitability at </w:t>
      </w:r>
      <w:r w:rsidRPr="00747803">
        <w:t xml:space="preserve">4.74, </w:t>
      </w:r>
      <w:r>
        <w:t xml:space="preserve">and security at </w:t>
      </w:r>
      <w:r w:rsidRPr="00747803">
        <w:t>4.74.</w:t>
      </w:r>
      <w:r>
        <w:t xml:space="preserve"> These results indicate that evaluators perceived the framework as functionally complete, compatible with Salesforce-native delivery environments, and capable of supporting secure measurement workflows.</w:t>
      </w:r>
    </w:p>
    <w:p w14:paraId="03A3FA22" w14:textId="77777777" w:rsidR="004A4F5A" w:rsidRDefault="004A4F5A" w:rsidP="00747803">
      <w:pPr>
        <w:pStyle w:val="NormalWeb"/>
        <w:spacing w:before="240" w:beforeAutospacing="0" w:after="240" w:afterAutospacing="0"/>
        <w:jc w:val="both"/>
      </w:pPr>
      <w:r>
        <w:t xml:space="preserve">The one-way ANOVA across sector groupings found </w:t>
      </w:r>
      <w:r w:rsidRPr="00747803">
        <w:t>no statistically significant differences</w:t>
      </w:r>
      <w:r>
        <w:t xml:space="preserve"> in ISO/IEC 25010 ratings at the available sample size, with p-values greater than 0.05. This suggests that the framework’s perceived quality was generally consistent across the represented sectors. Stakeholder evaluation also showed very high ratings for practicality, adoption readiness, and scalability. In particular, long-term sustainability received a high scalability score of </w:t>
      </w:r>
      <w:r w:rsidRPr="00747803">
        <w:t>4.57,</w:t>
      </w:r>
      <w:r>
        <w:t xml:space="preserve"> indicating that respondents viewed the framework as suitable for broader enterprise use when supported by appropriate governance controls.</w:t>
      </w:r>
    </w:p>
    <w:p w14:paraId="3FDC29B2" w14:textId="717416A3" w:rsidR="004A4F5A" w:rsidRDefault="004A4F5A" w:rsidP="004A4F5A">
      <w:pPr>
        <w:pStyle w:val="Heading1"/>
        <w:rPr>
          <w:rFonts w:ascii="Times New Roman" w:hAnsi="Times New Roman" w:cs="Times New Roman"/>
          <w:b/>
          <w:bCs/>
          <w:color w:val="000000" w:themeColor="text1"/>
          <w:sz w:val="28"/>
          <w:szCs w:val="28"/>
          <w:lang w:val="en-US"/>
        </w:rPr>
      </w:pPr>
      <w:r w:rsidRPr="004A4F5A">
        <w:rPr>
          <w:rFonts w:ascii="Times New Roman" w:hAnsi="Times New Roman" w:cs="Times New Roman"/>
          <w:b/>
          <w:bCs/>
          <w:color w:val="000000" w:themeColor="text1"/>
          <w:sz w:val="28"/>
          <w:szCs w:val="28"/>
          <w:lang w:val="en-US"/>
        </w:rPr>
        <w:t>DISCUSSION</w:t>
      </w:r>
    </w:p>
    <w:p w14:paraId="277568D9" w14:textId="77777777" w:rsidR="004A4F5A" w:rsidRDefault="004A4F5A" w:rsidP="00747803">
      <w:pPr>
        <w:pStyle w:val="NormalWeb"/>
        <w:spacing w:before="240" w:beforeAutospacing="0" w:after="240" w:afterAutospacing="0"/>
        <w:jc w:val="both"/>
      </w:pPr>
      <w:r>
        <w:t>The results indicate that a unified TTM measurement framework can address one of the major weaknesses in digital journey delivery: inconsistent measurement. By standardizing milestones, validation rules, lifecycle tracking, KPI formulas, and dashboard reporting, the framework provides a common structure for comparing delivery performance across initiatives and sectors. This is important because without common milestone definitions, TTM data can become apples-to-oranges reporting dressed up as analytics—polished, but not always meaningful.</w:t>
      </w:r>
    </w:p>
    <w:p w14:paraId="5E441E21" w14:textId="77777777" w:rsidR="004A4F5A" w:rsidRDefault="004A4F5A" w:rsidP="00747803">
      <w:pPr>
        <w:pStyle w:val="NormalWeb"/>
        <w:spacing w:before="240" w:beforeAutospacing="0" w:after="240" w:afterAutospacing="0"/>
        <w:jc w:val="both"/>
      </w:pPr>
      <w:r>
        <w:t xml:space="preserve">The strong adoption of Salesforce Flow suggests that backend automation remains the operational backbone of many Salesforce implementations. Flow’s ability to enforce processes, automate routing, trigger notifications, and compute KPIs makes it highly suitable for measurement and governance tasks. </w:t>
      </w:r>
      <w:proofErr w:type="spellStart"/>
      <w:r>
        <w:t>OmniStudio</w:t>
      </w:r>
      <w:proofErr w:type="spellEnd"/>
      <w:r>
        <w:t xml:space="preserve">, on the other hand, appears strongest where guided user experiences, structured data entry, and frontend orchestration are needed. The finding that hybrid </w:t>
      </w:r>
      <w:proofErr w:type="spellStart"/>
      <w:r>
        <w:t>OmniStudio</w:t>
      </w:r>
      <w:proofErr w:type="spellEnd"/>
      <w:r>
        <w:t>-plus-Flow implementation received the highest perceived effectiveness supports the idea that the best Salesforce delivery model is not necessarily one tool replacing another, but the right tool doing the right job.</w:t>
      </w:r>
    </w:p>
    <w:p w14:paraId="7644B4E5" w14:textId="77777777" w:rsidR="004A4F5A" w:rsidRDefault="004A4F5A" w:rsidP="00747803">
      <w:pPr>
        <w:pStyle w:val="NormalWeb"/>
        <w:spacing w:before="240" w:beforeAutospacing="0" w:after="240" w:afterAutospacing="0"/>
        <w:jc w:val="both"/>
      </w:pPr>
      <w:r>
        <w:t>The Excellent ISO/IEC 25010 rating suggests that the framework was perceived as a high-quality software artifact. Functional suitability was high because the framework met its intended measurement functions. Compatibility was high because it aligned with Salesforce-native architecture and external data integration needs. Security was high because role-based access, validation rules, and protected milestone records supported confidentiality and data integrity.</w:t>
      </w:r>
    </w:p>
    <w:p w14:paraId="44DCBE63" w14:textId="77777777" w:rsidR="004A4F5A" w:rsidRDefault="004A4F5A" w:rsidP="00747803">
      <w:pPr>
        <w:pStyle w:val="NormalWeb"/>
        <w:spacing w:before="240" w:beforeAutospacing="0" w:after="240" w:afterAutospacing="0"/>
        <w:jc w:val="both"/>
      </w:pPr>
      <w:r>
        <w:t>The absence of statistically significant differences across sectors should be interpreted carefully. It does not prove that the framework performs identically in all industries. Rather, it indicates that within the available sample, respondents across sectors rated the framework consistently. Since the study used purposive sampling and demonstration-based evaluation, the findings support initial feasibility and perceived quality, but not full production-level generalizability.</w:t>
      </w:r>
    </w:p>
    <w:p w14:paraId="5E17AF3D" w14:textId="3DDCDE24" w:rsidR="004A4F5A" w:rsidRDefault="004A4F5A" w:rsidP="004A4F5A">
      <w:pPr>
        <w:pStyle w:val="Heading1"/>
        <w:rPr>
          <w:rFonts w:ascii="Times New Roman" w:hAnsi="Times New Roman" w:cs="Times New Roman"/>
          <w:b/>
          <w:bCs/>
          <w:color w:val="000000" w:themeColor="text1"/>
          <w:sz w:val="28"/>
          <w:szCs w:val="28"/>
          <w:lang w:val="en-US"/>
        </w:rPr>
      </w:pPr>
      <w:r w:rsidRPr="004A4F5A">
        <w:rPr>
          <w:rFonts w:ascii="Times New Roman" w:hAnsi="Times New Roman" w:cs="Times New Roman"/>
          <w:b/>
          <w:bCs/>
          <w:color w:val="000000" w:themeColor="text1"/>
          <w:sz w:val="28"/>
          <w:szCs w:val="28"/>
          <w:lang w:val="en-US"/>
        </w:rPr>
        <w:t>CONCLUSION</w:t>
      </w:r>
    </w:p>
    <w:p w14:paraId="43ED959A" w14:textId="77777777" w:rsidR="004A4F5A" w:rsidRDefault="004A4F5A" w:rsidP="00747803">
      <w:pPr>
        <w:pStyle w:val="NormalWeb"/>
        <w:spacing w:before="240" w:beforeAutospacing="0" w:after="240" w:afterAutospacing="0"/>
        <w:jc w:val="both"/>
      </w:pPr>
      <w:r>
        <w:t xml:space="preserve">The study successfully developed and evaluated a unified Salesforce-native TTM measurement framework for digital journeys using </w:t>
      </w:r>
      <w:proofErr w:type="spellStart"/>
      <w:r>
        <w:t>OmniStudio</w:t>
      </w:r>
      <w:proofErr w:type="spellEnd"/>
      <w:r>
        <w:t xml:space="preserve"> and Flow. The framework addressed inconsistent TTM tracking by standardizing initiative intake, milestone capture, stage-gate validation, lifecycle monitoring, KPI computation, API-based integration, and dashboard analytics.</w:t>
      </w:r>
    </w:p>
    <w:p w14:paraId="0C911010" w14:textId="77777777" w:rsidR="004A4F5A" w:rsidRDefault="004A4F5A" w:rsidP="00747803">
      <w:pPr>
        <w:pStyle w:val="NormalWeb"/>
        <w:spacing w:before="240" w:beforeAutospacing="0" w:after="240" w:afterAutospacing="0"/>
        <w:jc w:val="both"/>
      </w:pPr>
      <w:r>
        <w:lastRenderedPageBreak/>
        <w:t xml:space="preserve">Findings showed that Salesforce Flow was highly adopted for backend automation and process standardization, while </w:t>
      </w:r>
      <w:proofErr w:type="spellStart"/>
      <w:r>
        <w:t>OmniStudio</w:t>
      </w:r>
      <w:proofErr w:type="spellEnd"/>
      <w:r>
        <w:t xml:space="preserve"> contributed strongly to guided frontend journeys and orchestration. The hybrid use of both tools was perceived as the most effective implementation strategy. The framework demonstrated technical feasibility by processing 225 initiatives, 592 milestone records, and 245 computed KPI records. Its ISO/IEC 25010 evaluation yielded an Excellent overall rating, and stakeholder feedback indicated strong practicality, adoption readiness, and scalability.</w:t>
      </w:r>
    </w:p>
    <w:p w14:paraId="3421E47E" w14:textId="77777777" w:rsidR="004A4F5A" w:rsidRDefault="004A4F5A" w:rsidP="00747803">
      <w:pPr>
        <w:pStyle w:val="NormalWeb"/>
        <w:spacing w:before="240" w:beforeAutospacing="0" w:after="240" w:afterAutospacing="0"/>
        <w:jc w:val="both"/>
      </w:pPr>
      <w:r>
        <w:t>Overall, the study contributes a reusable, configuration-first reference architecture for measuring TTM in Salesforce digital journey delivery. It provides both a practical artifact for organizations and an initial evidence base for future research on cross-sector TTM benchmarking.</w:t>
      </w:r>
    </w:p>
    <w:p w14:paraId="70B257CE" w14:textId="2F5E7106" w:rsidR="004A4F5A" w:rsidRDefault="004A4F5A" w:rsidP="004A4F5A">
      <w:pPr>
        <w:pStyle w:val="Heading1"/>
        <w:rPr>
          <w:rFonts w:ascii="Times New Roman" w:hAnsi="Times New Roman" w:cs="Times New Roman"/>
          <w:b/>
          <w:bCs/>
          <w:color w:val="000000" w:themeColor="text1"/>
          <w:sz w:val="28"/>
          <w:szCs w:val="28"/>
          <w:lang w:val="en-US"/>
        </w:rPr>
      </w:pPr>
      <w:r w:rsidRPr="004A4F5A">
        <w:rPr>
          <w:rFonts w:ascii="Times New Roman" w:hAnsi="Times New Roman" w:cs="Times New Roman"/>
          <w:b/>
          <w:bCs/>
          <w:color w:val="000000" w:themeColor="text1"/>
          <w:sz w:val="28"/>
          <w:szCs w:val="28"/>
          <w:lang w:val="en-US"/>
        </w:rPr>
        <w:t>REFERENCES</w:t>
      </w:r>
    </w:p>
    <w:p w14:paraId="252865FD" w14:textId="7A4A9AFA" w:rsidR="004A4F5A" w:rsidRDefault="004A4F5A" w:rsidP="00F64F77">
      <w:pPr>
        <w:pStyle w:val="isselectedend"/>
        <w:numPr>
          <w:ilvl w:val="0"/>
          <w:numId w:val="1"/>
        </w:numPr>
        <w:jc w:val="both"/>
      </w:pPr>
      <w:r>
        <w:t xml:space="preserve">Almeida, F., Simões, J., &amp; Lopes, S. F. S. F. (2022). Exploring the benefits of combining DevOps and Agile. </w:t>
      </w:r>
      <w:r>
        <w:rPr>
          <w:rStyle w:val="Emphasis"/>
          <w:rFonts w:eastAsiaTheme="majorEastAsia"/>
        </w:rPr>
        <w:t>Future Internet, 14</w:t>
      </w:r>
      <w:r>
        <w:t xml:space="preserve">(2), 63. </w:t>
      </w:r>
      <w:r w:rsidRPr="004A4F5A">
        <w:rPr>
          <w:rFonts w:eastAsiaTheme="majorEastAsia"/>
        </w:rPr>
        <w:t>https://doi.org/10.3390/fi14020063</w:t>
      </w:r>
    </w:p>
    <w:p w14:paraId="19DD7055" w14:textId="77777777" w:rsidR="004A4F5A" w:rsidRDefault="004A4F5A" w:rsidP="00F64F77">
      <w:pPr>
        <w:pStyle w:val="isselectedend"/>
        <w:numPr>
          <w:ilvl w:val="0"/>
          <w:numId w:val="1"/>
        </w:numPr>
        <w:jc w:val="both"/>
      </w:pPr>
      <w:r>
        <w:t xml:space="preserve">Böck, A. C., &amp; Frank, U. (2021). Low-code platform. </w:t>
      </w:r>
      <w:r>
        <w:rPr>
          <w:rStyle w:val="Emphasis"/>
          <w:rFonts w:eastAsiaTheme="majorEastAsia"/>
        </w:rPr>
        <w:t>Business and Information Systems Engineering, 63</w:t>
      </w:r>
      <w:r>
        <w:t>, 733–740.</w:t>
      </w:r>
    </w:p>
    <w:p w14:paraId="5F2B230D" w14:textId="77777777" w:rsidR="004A4F5A" w:rsidRDefault="004A4F5A" w:rsidP="00F64F77">
      <w:pPr>
        <w:pStyle w:val="isselectedend"/>
        <w:numPr>
          <w:ilvl w:val="0"/>
          <w:numId w:val="1"/>
        </w:numPr>
        <w:jc w:val="both"/>
      </w:pPr>
      <w:proofErr w:type="spellStart"/>
      <w:r>
        <w:t>Bucaioni</w:t>
      </w:r>
      <w:proofErr w:type="spellEnd"/>
      <w:r>
        <w:t xml:space="preserve">, A., Cicchetti, A., &amp; Ciccozzi, F. (2022). Low-code development and model-driven engineering: Two sides of the same coin? </w:t>
      </w:r>
      <w:r>
        <w:rPr>
          <w:rStyle w:val="Emphasis"/>
          <w:rFonts w:eastAsiaTheme="majorEastAsia"/>
        </w:rPr>
        <w:t>Software and Systems Modeling, 21</w:t>
      </w:r>
      <w:r>
        <w:t>, 437–446.</w:t>
      </w:r>
    </w:p>
    <w:p w14:paraId="14EC9014" w14:textId="797FAF45" w:rsidR="004A4F5A" w:rsidRDefault="004A4F5A" w:rsidP="00F64F77">
      <w:pPr>
        <w:pStyle w:val="isselectedend"/>
        <w:numPr>
          <w:ilvl w:val="0"/>
          <w:numId w:val="1"/>
        </w:numPr>
        <w:jc w:val="both"/>
      </w:pPr>
      <w:r>
        <w:t xml:space="preserve">International Organization for Standardization. (2023). </w:t>
      </w:r>
      <w:r>
        <w:rPr>
          <w:rStyle w:val="Emphasis"/>
          <w:rFonts w:eastAsiaTheme="majorEastAsia"/>
        </w:rPr>
        <w:t>ISO/IEC 25010:2023 Systems and software engineering — Systems and software Quality Requirements and Evaluation — Product quality model</w:t>
      </w:r>
      <w:r>
        <w:t xml:space="preserve">. ISO. </w:t>
      </w:r>
      <w:r w:rsidRPr="004A4F5A">
        <w:rPr>
          <w:rFonts w:eastAsiaTheme="majorEastAsia"/>
        </w:rPr>
        <w:t>https://www.iso.org/standard/78176.html</w:t>
      </w:r>
    </w:p>
    <w:p w14:paraId="52600763" w14:textId="2242DE03" w:rsidR="004A4F5A" w:rsidRDefault="004A4F5A" w:rsidP="00F64F77">
      <w:pPr>
        <w:pStyle w:val="isselectedend"/>
        <w:numPr>
          <w:ilvl w:val="0"/>
          <w:numId w:val="1"/>
        </w:numPr>
        <w:jc w:val="both"/>
      </w:pPr>
      <w:r>
        <w:t xml:space="preserve">López-Fernández, D., Díaz, J., &amp; García-Martín, J. (2022). DevOps team structures: Characterization and implications. </w:t>
      </w:r>
      <w:r>
        <w:rPr>
          <w:rStyle w:val="Emphasis"/>
          <w:rFonts w:eastAsiaTheme="majorEastAsia"/>
        </w:rPr>
        <w:t>IEEE Transactions on Software Engineering, 48</w:t>
      </w:r>
      <w:r>
        <w:t xml:space="preserve">(10), 3716–3736. </w:t>
      </w:r>
      <w:r w:rsidRPr="004A4F5A">
        <w:rPr>
          <w:rFonts w:eastAsiaTheme="majorEastAsia"/>
        </w:rPr>
        <w:t>https://doi.org/10.1109/TSE.2021.3102982</w:t>
      </w:r>
    </w:p>
    <w:p w14:paraId="49083CAD" w14:textId="48EB08BC" w:rsidR="004A4F5A" w:rsidRDefault="004A4F5A" w:rsidP="00F64F77">
      <w:pPr>
        <w:pStyle w:val="isselectedend"/>
        <w:numPr>
          <w:ilvl w:val="0"/>
          <w:numId w:val="1"/>
        </w:numPr>
        <w:jc w:val="both"/>
      </w:pPr>
      <w:proofErr w:type="spellStart"/>
      <w:r>
        <w:t>Pechlivanidis</w:t>
      </w:r>
      <w:proofErr w:type="spellEnd"/>
      <w:r>
        <w:t xml:space="preserve">, K., &amp; Wagenaar, G. (2022). Rapid delivery of software: The effect of alignment on time to market. </w:t>
      </w:r>
      <w:r>
        <w:rPr>
          <w:rStyle w:val="Emphasis"/>
          <w:rFonts w:eastAsiaTheme="majorEastAsia"/>
        </w:rPr>
        <w:t>Lecture Notes in Computer Science</w:t>
      </w:r>
      <w:r>
        <w:t xml:space="preserve">, 351–365. </w:t>
      </w:r>
      <w:r w:rsidRPr="004A4F5A">
        <w:rPr>
          <w:rFonts w:eastAsiaTheme="majorEastAsia"/>
        </w:rPr>
        <w:t>https://doi.org/10.1007/978-3-031-21388-5_24</w:t>
      </w:r>
    </w:p>
    <w:p w14:paraId="5C0C9F46" w14:textId="4F1A71B2" w:rsidR="004A4F5A" w:rsidRDefault="004A4F5A" w:rsidP="00F64F77">
      <w:pPr>
        <w:pStyle w:val="isselectedend"/>
        <w:numPr>
          <w:ilvl w:val="0"/>
          <w:numId w:val="1"/>
        </w:numPr>
        <w:jc w:val="both"/>
      </w:pPr>
      <w:r>
        <w:t xml:space="preserve">Sallin, M., Kropp, M., &amp; Anslow, C. (2021). Measuring software delivery performance using the four key metrics of DevOps. In </w:t>
      </w:r>
      <w:r>
        <w:rPr>
          <w:rStyle w:val="Emphasis"/>
          <w:rFonts w:eastAsiaTheme="majorEastAsia"/>
        </w:rPr>
        <w:t>Agile Processes in Software Engineering and Extreme Programming</w:t>
      </w:r>
      <w:r>
        <w:t xml:space="preserve"> (pp. 103–119). Springer. </w:t>
      </w:r>
      <w:r w:rsidRPr="004A4F5A">
        <w:rPr>
          <w:rFonts w:eastAsiaTheme="majorEastAsia"/>
        </w:rPr>
        <w:t>https://doi.org/10.1007/978-3-030-78098-2_7</w:t>
      </w:r>
    </w:p>
    <w:p w14:paraId="6B4725E1" w14:textId="456A5ABA" w:rsidR="004A4F5A" w:rsidRDefault="004A4F5A" w:rsidP="00F64F77">
      <w:pPr>
        <w:pStyle w:val="isselectedend"/>
        <w:numPr>
          <w:ilvl w:val="0"/>
          <w:numId w:val="1"/>
        </w:numPr>
        <w:jc w:val="both"/>
      </w:pPr>
      <w:r>
        <w:t xml:space="preserve">Salesforce. (2023). </w:t>
      </w:r>
      <w:r>
        <w:rPr>
          <w:rStyle w:val="Emphasis"/>
          <w:rFonts w:eastAsiaTheme="majorEastAsia"/>
        </w:rPr>
        <w:t>Salesforce Flow overview</w:t>
      </w:r>
      <w:r>
        <w:t xml:space="preserve">. Salesforce Help. </w:t>
      </w:r>
      <w:r w:rsidRPr="004A4F5A">
        <w:rPr>
          <w:rFonts w:eastAsiaTheme="majorEastAsia"/>
        </w:rPr>
        <w:t>https://help.salesforce.com/s/articleView?id=sf.flow.htm&amp;type=5</w:t>
      </w:r>
    </w:p>
    <w:p w14:paraId="238526B2" w14:textId="2EFFF070" w:rsidR="004A4F5A" w:rsidRDefault="004A4F5A" w:rsidP="00F64F77">
      <w:pPr>
        <w:pStyle w:val="isselectedend"/>
        <w:numPr>
          <w:ilvl w:val="0"/>
          <w:numId w:val="1"/>
        </w:numPr>
        <w:jc w:val="both"/>
      </w:pPr>
      <w:r>
        <w:t xml:space="preserve">Salesforce. (2024). </w:t>
      </w:r>
      <w:r>
        <w:rPr>
          <w:rStyle w:val="Emphasis"/>
          <w:rFonts w:eastAsiaTheme="majorEastAsia"/>
        </w:rPr>
        <w:t xml:space="preserve">Introducing </w:t>
      </w:r>
      <w:proofErr w:type="spellStart"/>
      <w:r>
        <w:rPr>
          <w:rStyle w:val="Emphasis"/>
          <w:rFonts w:eastAsiaTheme="majorEastAsia"/>
        </w:rPr>
        <w:t>OmniStudio</w:t>
      </w:r>
      <w:proofErr w:type="spellEnd"/>
      <w:r>
        <w:t xml:space="preserve">. Salesforce. </w:t>
      </w:r>
      <w:r w:rsidRPr="004A4F5A">
        <w:rPr>
          <w:rFonts w:eastAsiaTheme="majorEastAsia"/>
        </w:rPr>
        <w:t>https://www.salesforce.com/content/dam/web/en_us/www/documents/industries/omnistudio-datasheet.pdf</w:t>
      </w:r>
    </w:p>
    <w:p w14:paraId="1B1411B6" w14:textId="680FEA70" w:rsidR="004A4F5A" w:rsidRPr="004A4F5A" w:rsidRDefault="004A4F5A" w:rsidP="00F64F77">
      <w:pPr>
        <w:pStyle w:val="NormalWeb"/>
        <w:numPr>
          <w:ilvl w:val="0"/>
          <w:numId w:val="1"/>
        </w:numPr>
        <w:jc w:val="both"/>
      </w:pPr>
      <w:proofErr w:type="spellStart"/>
      <w:r>
        <w:t>Sambhe</w:t>
      </w:r>
      <w:proofErr w:type="spellEnd"/>
      <w:r>
        <w:t xml:space="preserve">, N., </w:t>
      </w:r>
      <w:proofErr w:type="spellStart"/>
      <w:r>
        <w:t>Yenurkar</w:t>
      </w:r>
      <w:proofErr w:type="spellEnd"/>
      <w:r>
        <w:t xml:space="preserve">, G., Karale, S., </w:t>
      </w:r>
      <w:proofErr w:type="spellStart"/>
      <w:r>
        <w:t>Umate</w:t>
      </w:r>
      <w:proofErr w:type="spellEnd"/>
      <w:r>
        <w:t xml:space="preserve">, L., &amp; </w:t>
      </w:r>
      <w:proofErr w:type="spellStart"/>
      <w:r>
        <w:t>Khekare</w:t>
      </w:r>
      <w:proofErr w:type="spellEnd"/>
      <w:r>
        <w:t xml:space="preserve">, G. (2022). Enhancing Customer 360 with better service management using Salesforce CRM. </w:t>
      </w:r>
      <w:r>
        <w:rPr>
          <w:rStyle w:val="Emphasis"/>
          <w:rFonts w:eastAsiaTheme="majorEastAsia"/>
        </w:rPr>
        <w:t>2022 International Conference on Emerging Trends in Engineering and Medical Sciences</w:t>
      </w:r>
      <w:r>
        <w:t>, 130–134.</w:t>
      </w:r>
      <w:r w:rsidR="00F64F77">
        <w:t xml:space="preserve"> </w:t>
      </w:r>
      <w:r w:rsidRPr="004A4F5A">
        <w:rPr>
          <w:rFonts w:eastAsiaTheme="majorEastAsia"/>
        </w:rPr>
        <w:t>https://doi.org/10.1109/ICETEMS56252.2022.10093576</w:t>
      </w:r>
    </w:p>
    <w:sectPr w:rsidR="004A4F5A" w:rsidRPr="004A4F5A" w:rsidSect="00A6484F">
      <w:pgSz w:w="11906" w:h="16838"/>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F3F8" w14:textId="77777777" w:rsidR="00FD195A" w:rsidRDefault="00FD195A" w:rsidP="00A6484F">
      <w:pPr>
        <w:spacing w:after="0" w:line="240" w:lineRule="auto"/>
      </w:pPr>
      <w:r>
        <w:separator/>
      </w:r>
    </w:p>
  </w:endnote>
  <w:endnote w:type="continuationSeparator" w:id="0">
    <w:p w14:paraId="3E8EDEAD" w14:textId="77777777" w:rsidR="00FD195A" w:rsidRDefault="00FD195A" w:rsidP="00A6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F4AE" w14:textId="77777777" w:rsidR="00FD195A" w:rsidRDefault="00FD195A" w:rsidP="00A6484F">
      <w:pPr>
        <w:spacing w:after="0" w:line="240" w:lineRule="auto"/>
      </w:pPr>
      <w:r>
        <w:separator/>
      </w:r>
    </w:p>
  </w:footnote>
  <w:footnote w:type="continuationSeparator" w:id="0">
    <w:p w14:paraId="5F375EB7" w14:textId="77777777" w:rsidR="00FD195A" w:rsidRDefault="00FD195A" w:rsidP="00A64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F10E6"/>
    <w:multiLevelType w:val="hybridMultilevel"/>
    <w:tmpl w:val="189EE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33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4F"/>
    <w:rsid w:val="00301006"/>
    <w:rsid w:val="004A4F5A"/>
    <w:rsid w:val="005F6930"/>
    <w:rsid w:val="00625055"/>
    <w:rsid w:val="00747803"/>
    <w:rsid w:val="00867406"/>
    <w:rsid w:val="009441F2"/>
    <w:rsid w:val="0095675B"/>
    <w:rsid w:val="00A6484F"/>
    <w:rsid w:val="00C22786"/>
    <w:rsid w:val="00DA6E12"/>
    <w:rsid w:val="00ED78BF"/>
    <w:rsid w:val="00F64F77"/>
    <w:rsid w:val="00FD195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5CD03576"/>
  <w15:chartTrackingRefBased/>
  <w15:docId w15:val="{CDFD0B1B-4491-7B4F-A5EA-42410070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84F"/>
    <w:rPr>
      <w:rFonts w:eastAsiaTheme="majorEastAsia" w:cstheme="majorBidi"/>
      <w:color w:val="272727" w:themeColor="text1" w:themeTint="D8"/>
    </w:rPr>
  </w:style>
  <w:style w:type="paragraph" w:styleId="Title">
    <w:name w:val="Title"/>
    <w:basedOn w:val="Normal"/>
    <w:next w:val="Normal"/>
    <w:link w:val="TitleChar"/>
    <w:uiPriority w:val="10"/>
    <w:qFormat/>
    <w:rsid w:val="00A64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84F"/>
    <w:pPr>
      <w:spacing w:before="160"/>
      <w:jc w:val="center"/>
    </w:pPr>
    <w:rPr>
      <w:i/>
      <w:iCs/>
      <w:color w:val="404040" w:themeColor="text1" w:themeTint="BF"/>
    </w:rPr>
  </w:style>
  <w:style w:type="character" w:customStyle="1" w:styleId="QuoteChar">
    <w:name w:val="Quote Char"/>
    <w:basedOn w:val="DefaultParagraphFont"/>
    <w:link w:val="Quote"/>
    <w:uiPriority w:val="29"/>
    <w:rsid w:val="00A6484F"/>
    <w:rPr>
      <w:i/>
      <w:iCs/>
      <w:color w:val="404040" w:themeColor="text1" w:themeTint="BF"/>
    </w:rPr>
  </w:style>
  <w:style w:type="paragraph" w:styleId="ListParagraph">
    <w:name w:val="List Paragraph"/>
    <w:basedOn w:val="Normal"/>
    <w:uiPriority w:val="34"/>
    <w:qFormat/>
    <w:rsid w:val="00A6484F"/>
    <w:pPr>
      <w:ind w:left="720"/>
      <w:contextualSpacing/>
    </w:pPr>
  </w:style>
  <w:style w:type="character" w:styleId="IntenseEmphasis">
    <w:name w:val="Intense Emphasis"/>
    <w:basedOn w:val="DefaultParagraphFont"/>
    <w:uiPriority w:val="21"/>
    <w:qFormat/>
    <w:rsid w:val="00A6484F"/>
    <w:rPr>
      <w:i/>
      <w:iCs/>
      <w:color w:val="0F4761" w:themeColor="accent1" w:themeShade="BF"/>
    </w:rPr>
  </w:style>
  <w:style w:type="paragraph" w:styleId="IntenseQuote">
    <w:name w:val="Intense Quote"/>
    <w:basedOn w:val="Normal"/>
    <w:next w:val="Normal"/>
    <w:link w:val="IntenseQuoteChar"/>
    <w:uiPriority w:val="30"/>
    <w:qFormat/>
    <w:rsid w:val="00A64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84F"/>
    <w:rPr>
      <w:i/>
      <w:iCs/>
      <w:color w:val="0F4761" w:themeColor="accent1" w:themeShade="BF"/>
    </w:rPr>
  </w:style>
  <w:style w:type="character" w:styleId="IntenseReference">
    <w:name w:val="Intense Reference"/>
    <w:basedOn w:val="DefaultParagraphFont"/>
    <w:uiPriority w:val="32"/>
    <w:qFormat/>
    <w:rsid w:val="00A6484F"/>
    <w:rPr>
      <w:b/>
      <w:bCs/>
      <w:smallCaps/>
      <w:color w:val="0F4761" w:themeColor="accent1" w:themeShade="BF"/>
      <w:spacing w:val="5"/>
    </w:rPr>
  </w:style>
  <w:style w:type="paragraph" w:styleId="Header">
    <w:name w:val="header"/>
    <w:basedOn w:val="Normal"/>
    <w:link w:val="HeaderChar"/>
    <w:uiPriority w:val="99"/>
    <w:unhideWhenUsed/>
    <w:rsid w:val="00A64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84F"/>
  </w:style>
  <w:style w:type="paragraph" w:styleId="Footer">
    <w:name w:val="footer"/>
    <w:basedOn w:val="Normal"/>
    <w:link w:val="FooterChar"/>
    <w:uiPriority w:val="99"/>
    <w:unhideWhenUsed/>
    <w:rsid w:val="00A64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84F"/>
  </w:style>
  <w:style w:type="paragraph" w:styleId="BodyText">
    <w:name w:val="Body Text"/>
    <w:basedOn w:val="Normal"/>
    <w:link w:val="BodyTextChar"/>
    <w:qFormat/>
    <w:rsid w:val="00A6484F"/>
    <w:pPr>
      <w:spacing w:before="180" w:after="180" w:line="480" w:lineRule="auto"/>
      <w:ind w:firstLine="720"/>
    </w:pPr>
    <w:rPr>
      <w:rFonts w:ascii="Times New Roman" w:eastAsia="Times New Roman" w:hAnsi="Times New Roman"/>
      <w:kern w:val="0"/>
      <w:lang w:val="en-US" w:eastAsia="zh-CN"/>
      <w14:ligatures w14:val="none"/>
    </w:rPr>
  </w:style>
  <w:style w:type="character" w:customStyle="1" w:styleId="BodyTextChar">
    <w:name w:val="Body Text Char"/>
    <w:basedOn w:val="DefaultParagraphFont"/>
    <w:link w:val="BodyText"/>
    <w:rsid w:val="00A6484F"/>
    <w:rPr>
      <w:rFonts w:ascii="Times New Roman" w:eastAsia="Times New Roman" w:hAnsi="Times New Roman"/>
      <w:kern w:val="0"/>
      <w:lang w:val="en-US" w:eastAsia="zh-CN"/>
      <w14:ligatures w14:val="none"/>
    </w:rPr>
  </w:style>
  <w:style w:type="character" w:styleId="CommentReference">
    <w:name w:val="annotation reference"/>
    <w:basedOn w:val="DefaultParagraphFont"/>
    <w:uiPriority w:val="99"/>
    <w:semiHidden/>
    <w:unhideWhenUsed/>
    <w:rsid w:val="00A6484F"/>
    <w:rPr>
      <w:sz w:val="16"/>
      <w:szCs w:val="16"/>
    </w:rPr>
  </w:style>
  <w:style w:type="paragraph" w:styleId="CommentText">
    <w:name w:val="annotation text"/>
    <w:basedOn w:val="Normal"/>
    <w:link w:val="CommentTextChar"/>
    <w:uiPriority w:val="99"/>
    <w:semiHidden/>
    <w:unhideWhenUsed/>
    <w:rsid w:val="00A6484F"/>
    <w:pPr>
      <w:spacing w:after="0" w:line="240" w:lineRule="auto"/>
      <w:ind w:firstLine="720"/>
    </w:pPr>
    <w:rPr>
      <w:rFonts w:ascii="Times New Roman" w:eastAsia="Times New Roman" w:hAnsi="Times New Roman"/>
      <w:kern w:val="0"/>
      <w:sz w:val="20"/>
      <w:szCs w:val="20"/>
      <w:lang w:val="en-US" w:eastAsia="zh-CN"/>
      <w14:ligatures w14:val="none"/>
    </w:rPr>
  </w:style>
  <w:style w:type="character" w:customStyle="1" w:styleId="CommentTextChar">
    <w:name w:val="Comment Text Char"/>
    <w:basedOn w:val="DefaultParagraphFont"/>
    <w:link w:val="CommentText"/>
    <w:uiPriority w:val="99"/>
    <w:semiHidden/>
    <w:rsid w:val="00A6484F"/>
    <w:rPr>
      <w:rFonts w:ascii="Times New Roman" w:eastAsia="Times New Roman" w:hAnsi="Times New Roman"/>
      <w:kern w:val="0"/>
      <w:sz w:val="20"/>
      <w:szCs w:val="20"/>
      <w:lang w:val="en-US" w:eastAsia="zh-CN"/>
      <w14:ligatures w14:val="none"/>
    </w:rPr>
  </w:style>
  <w:style w:type="paragraph" w:customStyle="1" w:styleId="isselectedend">
    <w:name w:val="isselectedend"/>
    <w:basedOn w:val="Normal"/>
    <w:rsid w:val="004A4F5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4A4F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A4F5A"/>
    <w:rPr>
      <w:b/>
      <w:bCs/>
    </w:rPr>
  </w:style>
  <w:style w:type="character" w:styleId="Emphasis">
    <w:name w:val="Emphasis"/>
    <w:basedOn w:val="DefaultParagraphFont"/>
    <w:uiPriority w:val="20"/>
    <w:qFormat/>
    <w:rsid w:val="004A4F5A"/>
    <w:rPr>
      <w:i/>
      <w:iCs/>
    </w:rPr>
  </w:style>
  <w:style w:type="character" w:styleId="Hyperlink">
    <w:name w:val="Hyperlink"/>
    <w:basedOn w:val="DefaultParagraphFont"/>
    <w:uiPriority w:val="99"/>
    <w:semiHidden/>
    <w:unhideWhenUsed/>
    <w:rsid w:val="004A4F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curtpc</dc:creator>
  <cp:keywords/>
  <dc:description/>
  <cp:lastModifiedBy>curtpc</cp:lastModifiedBy>
  <cp:revision>4</cp:revision>
  <dcterms:created xsi:type="dcterms:W3CDTF">2026-06-14T22:43:00Z</dcterms:created>
  <dcterms:modified xsi:type="dcterms:W3CDTF">2026-06-14T23:13:00Z</dcterms:modified>
</cp:coreProperties>
</file>