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1DC9" w14:textId="2AB6B79B" w:rsidR="007B5BC4" w:rsidRDefault="00795734" w:rsidP="00C66B68">
      <w:pPr>
        <w:spacing w:before="240" w:after="240"/>
        <w:jc w:val="center"/>
        <w:rPr>
          <w:b/>
          <w:bCs/>
          <w:sz w:val="36"/>
          <w:szCs w:val="36"/>
          <w:lang w:val="en-PH"/>
        </w:rPr>
      </w:pPr>
      <w:r w:rsidRPr="00C66B68">
        <w:rPr>
          <w:b/>
          <w:bCs/>
          <w:sz w:val="36"/>
          <w:szCs w:val="36"/>
          <w:lang w:val="en-PH"/>
        </w:rPr>
        <w:t xml:space="preserve">The Impact of Welding Competencies of Senior Highschool and Differentiated Instruction on </w:t>
      </w:r>
      <w:r>
        <w:rPr>
          <w:b/>
          <w:bCs/>
          <w:sz w:val="36"/>
          <w:szCs w:val="36"/>
          <w:lang w:val="en-PH"/>
        </w:rPr>
        <w:t>t</w:t>
      </w:r>
      <w:r w:rsidRPr="00C66B68">
        <w:rPr>
          <w:b/>
          <w:bCs/>
          <w:sz w:val="36"/>
          <w:szCs w:val="36"/>
          <w:lang w:val="en-PH"/>
        </w:rPr>
        <w:t xml:space="preserve">he Academic Performance </w:t>
      </w:r>
      <w:r>
        <w:rPr>
          <w:b/>
          <w:bCs/>
          <w:sz w:val="36"/>
          <w:szCs w:val="36"/>
          <w:lang w:val="en-PH"/>
        </w:rPr>
        <w:t>o</w:t>
      </w:r>
      <w:r w:rsidRPr="00C66B68">
        <w:rPr>
          <w:b/>
          <w:bCs/>
          <w:sz w:val="36"/>
          <w:szCs w:val="36"/>
          <w:lang w:val="en-PH"/>
        </w:rPr>
        <w:t xml:space="preserve">f College Welding Students </w:t>
      </w:r>
    </w:p>
    <w:p w14:paraId="3B314054" w14:textId="020A0591" w:rsidR="00C66B68" w:rsidRPr="00795734" w:rsidRDefault="00C66B68" w:rsidP="00C66B68">
      <w:pPr>
        <w:spacing w:before="240" w:after="240"/>
        <w:jc w:val="center"/>
        <w:rPr>
          <w:b/>
          <w:bCs/>
          <w:sz w:val="24"/>
          <w:szCs w:val="24"/>
          <w:lang w:val="en-PH"/>
        </w:rPr>
      </w:pPr>
      <w:r w:rsidRPr="00795734">
        <w:rPr>
          <w:b/>
          <w:bCs/>
          <w:sz w:val="24"/>
          <w:szCs w:val="24"/>
          <w:lang w:val="en-PH"/>
        </w:rPr>
        <w:t>Joana M. Sumalinog</w:t>
      </w:r>
    </w:p>
    <w:p w14:paraId="47B4BD5C" w14:textId="558449F1" w:rsidR="00C66B68" w:rsidRPr="00795734" w:rsidRDefault="00C66B68" w:rsidP="00795734">
      <w:pPr>
        <w:spacing w:before="240" w:after="240"/>
        <w:jc w:val="center"/>
        <w:rPr>
          <w:b/>
          <w:bCs/>
          <w:sz w:val="24"/>
          <w:szCs w:val="24"/>
          <w:lang w:val="en-PH"/>
        </w:rPr>
      </w:pPr>
      <w:r w:rsidRPr="00795734">
        <w:rPr>
          <w:b/>
          <w:bCs/>
          <w:sz w:val="24"/>
          <w:szCs w:val="24"/>
          <w:lang w:val="en-PH"/>
        </w:rPr>
        <w:t>Cebu Technological University – Main Campus</w:t>
      </w:r>
    </w:p>
    <w:p w14:paraId="68A7181E" w14:textId="45168DE4" w:rsidR="00C66B68" w:rsidRDefault="00795734" w:rsidP="00BB7EF0">
      <w:pPr>
        <w:spacing w:before="240" w:after="240"/>
        <w:jc w:val="both"/>
        <w:rPr>
          <w:b/>
          <w:bCs/>
          <w:sz w:val="24"/>
          <w:szCs w:val="24"/>
          <w:lang w:val="en-PH"/>
        </w:rPr>
      </w:pPr>
      <w:r w:rsidRPr="00795734">
        <w:rPr>
          <w:b/>
          <w:bCs/>
          <w:sz w:val="28"/>
          <w:szCs w:val="28"/>
          <w:lang w:val="en-PH"/>
        </w:rPr>
        <w:t>ABSTRACT</w:t>
      </w:r>
    </w:p>
    <w:p w14:paraId="1C44DBA7" w14:textId="1BFFF2E9" w:rsidR="00795734" w:rsidRPr="00795734" w:rsidRDefault="00795734" w:rsidP="00BB7EF0">
      <w:pPr>
        <w:spacing w:before="240" w:after="240"/>
        <w:ind w:firstLine="720"/>
        <w:jc w:val="both"/>
        <w:rPr>
          <w:sz w:val="24"/>
          <w:szCs w:val="24"/>
          <w:lang w:val="en-PH"/>
        </w:rPr>
      </w:pPr>
      <w:r w:rsidRPr="00795734">
        <w:rPr>
          <w:sz w:val="24"/>
          <w:szCs w:val="24"/>
          <w:lang w:val="en-PH"/>
        </w:rPr>
        <w:t>This study aims to know the effect of welding competencies at Senior High School (SHS) and differentiated instruction on the academic performance of college students at Cebu Technological University–Main Campus enrolled in the Bachelor of Technical-Vocational Teacher Education (BTVTED) major in Welding and Fabrication Technology during the academic year of 2025–2026. This study employs a descriptive-correlational research design and seeks to establish the correlation of the students’ foundation in welding at the SHS level, their exposure to differentiated instruction, and their performance in welding courses in college. There were 46 students, who were randomly selected across various year levels, who took part in this study. The primary data collection tool used was a structured survey that assessed SHS welding competencies, academic preparedness, practical skills, and technical knowledge, as well as the students’ description of differentiated instruction in terms of content, process, and product. Students who had welding competencies at the SHS level exhibited greater academic achievement, and the differentiated instruction design also fostered better learning outcomes because it addressed various learning needs. This study, as a result of data analysis, proposed the instructional enhancement plan with the elements of bridging programs, hands-on workshops, Differentiated Instruction (DI) training for the faculty, and the alignment of SHS competencies to the college welding curriculum. The study underscored the significance of welding as a SHS competency and as a frontline academic strategy for students to succeed in technical-vocational higher education. The findings open avenues for the educators, the administrators, and the policymakers on how to provide solutions to challenges that students face in terms of their level of technical skills and overall academic performance.</w:t>
      </w:r>
    </w:p>
    <w:p w14:paraId="3CCAF644" w14:textId="3094CF9E" w:rsidR="00C66B68" w:rsidRPr="00795734" w:rsidRDefault="00795734" w:rsidP="00BB7EF0">
      <w:pPr>
        <w:spacing w:before="240" w:after="240"/>
        <w:jc w:val="both"/>
        <w:rPr>
          <w:sz w:val="24"/>
          <w:szCs w:val="24"/>
          <w:lang w:val="en-PH"/>
        </w:rPr>
      </w:pPr>
      <w:r w:rsidRPr="00795734">
        <w:rPr>
          <w:b/>
          <w:bCs/>
          <w:sz w:val="24"/>
          <w:szCs w:val="24"/>
          <w:lang w:val="en-PH"/>
        </w:rPr>
        <w:t>Keywords:</w:t>
      </w:r>
      <w:r>
        <w:rPr>
          <w:sz w:val="24"/>
          <w:szCs w:val="24"/>
          <w:lang w:val="en-PH"/>
        </w:rPr>
        <w:t xml:space="preserve"> </w:t>
      </w:r>
      <w:r w:rsidRPr="00795734">
        <w:rPr>
          <w:sz w:val="24"/>
          <w:szCs w:val="24"/>
          <w:lang w:val="en-PH"/>
        </w:rPr>
        <w:t>Technology and Vocational Education, SHS welding competencies, differentiated instruction, academic performance, descriptive-correlational design, Cebu City Philippines</w:t>
      </w:r>
    </w:p>
    <w:p w14:paraId="421FEC75" w14:textId="38391DA0" w:rsidR="00BB7EF0" w:rsidRDefault="00BB7EF0" w:rsidP="00BB7EF0">
      <w:pPr>
        <w:spacing w:before="240" w:after="240"/>
        <w:jc w:val="both"/>
        <w:rPr>
          <w:b/>
          <w:bCs/>
          <w:sz w:val="28"/>
          <w:szCs w:val="28"/>
          <w:lang w:val="en-PH"/>
        </w:rPr>
      </w:pPr>
      <w:r>
        <w:rPr>
          <w:b/>
          <w:bCs/>
          <w:sz w:val="28"/>
          <w:szCs w:val="28"/>
          <w:lang w:val="en-PH"/>
        </w:rPr>
        <w:t>INTRODUCTION</w:t>
      </w:r>
    </w:p>
    <w:p w14:paraId="6849B7A8" w14:textId="77777777" w:rsidR="00BB7EF0" w:rsidRPr="00BB7EF0" w:rsidRDefault="00BB7EF0" w:rsidP="00BB7EF0">
      <w:pPr>
        <w:spacing w:before="240" w:after="240"/>
        <w:ind w:firstLine="720"/>
        <w:jc w:val="both"/>
        <w:rPr>
          <w:sz w:val="24"/>
          <w:szCs w:val="24"/>
          <w:lang w:val="en-PH"/>
        </w:rPr>
      </w:pPr>
      <w:r w:rsidRPr="00BB7EF0">
        <w:rPr>
          <w:sz w:val="24"/>
          <w:szCs w:val="24"/>
          <w:lang w:val="en-PH"/>
        </w:rPr>
        <w:t>Technical-Vocational education is a way for students to learn how to work in specific fields. In those industries, people need to know how theories work and how to perform tasks by hand. Welding is one example of a skill that many employers in the manufacturing sector require. To meet this need, the Senior High School track for Technical-Vocational-Livelihood offers a focus on welding. With this program, students learn basic academic facts and how to use tools - those skills are intended to help learners when they move into college courses for welding. And the lessons prepare them for when they begin to work in the industry.</w:t>
      </w:r>
    </w:p>
    <w:p w14:paraId="6F1791C1" w14:textId="0E14B884" w:rsidR="00BB7EF0" w:rsidRPr="00BB7EF0" w:rsidRDefault="00BB7EF0" w:rsidP="00BB7EF0">
      <w:pPr>
        <w:spacing w:before="240" w:after="240"/>
        <w:ind w:firstLine="720"/>
        <w:jc w:val="both"/>
        <w:rPr>
          <w:sz w:val="24"/>
          <w:szCs w:val="24"/>
          <w:lang w:val="en-PH"/>
        </w:rPr>
      </w:pPr>
      <w:r w:rsidRPr="00BB7EF0">
        <w:rPr>
          <w:sz w:val="24"/>
          <w:szCs w:val="24"/>
          <w:lang w:val="en-PH"/>
        </w:rPr>
        <w:t>As some instructors observe, students differ in how they prepare for college welding courses. In many cases those who studied related subjects are ready for the curriculum. For instance, a student might understand how a specific tool functions before the class begins. It is common for the individuals to adjust when they start new programs - but those from unrelated backgrounds often find it hard to comprehend basic concepts. If a student lacks experience, they may not follow a procedure with accuracy. There are also times when a person cannot perform a manual task in a way that saves time. On this basis the skills a student gains in school are what determine how they perform later. Due to the gaps, teachers must provide extra help so that everyone can succeed.</w:t>
      </w:r>
    </w:p>
    <w:p w14:paraId="763F7E43" w14:textId="4BF767CF" w:rsidR="00BB7EF0" w:rsidRPr="00BB7EF0" w:rsidRDefault="00BB7EF0" w:rsidP="00BB7EF0">
      <w:pPr>
        <w:spacing w:before="240" w:after="240"/>
        <w:ind w:firstLine="720"/>
        <w:jc w:val="both"/>
        <w:rPr>
          <w:sz w:val="24"/>
          <w:szCs w:val="24"/>
          <w:lang w:val="en-PH"/>
        </w:rPr>
      </w:pPr>
      <w:r w:rsidRPr="00BB7EF0">
        <w:rPr>
          <w:sz w:val="24"/>
          <w:szCs w:val="24"/>
          <w:lang w:val="en-PH"/>
        </w:rPr>
        <w:t xml:space="preserve">Through the researcher’s direct involvement and encounters regarding college welding students, it has been observed that students with SHS welding backgrounds have a relatively easier time understanding </w:t>
      </w:r>
      <w:r w:rsidRPr="00BB7EF0">
        <w:rPr>
          <w:sz w:val="24"/>
          <w:szCs w:val="24"/>
          <w:lang w:val="en-PH"/>
        </w:rPr>
        <w:lastRenderedPageBreak/>
        <w:t>theoretical as well as hand-on concepts. On the other hand, students with no previous welding training tend to depend more on their instructors, taking longer to reach that same proficiency. Additionally, the use of differentiated instruction in college welding courses—modifying content, process, and product to serve an array of student functionality—is likely a moderator of these differences. Yet, the level of success of these tactics in improving academic performance has yet to be systematically measured. These observations indicate a need for empirical investigation on the degree of relationships between SHS welding competencies, differentiated instruction and performance.</w:t>
      </w:r>
    </w:p>
    <w:p w14:paraId="7CDBD8EE" w14:textId="6D565174" w:rsidR="00BB7EF0" w:rsidRPr="00BB7EF0" w:rsidRDefault="00BB7EF0" w:rsidP="00BB7EF0">
      <w:pPr>
        <w:spacing w:before="240" w:after="240"/>
        <w:ind w:firstLine="720"/>
        <w:jc w:val="both"/>
        <w:rPr>
          <w:sz w:val="24"/>
          <w:szCs w:val="24"/>
          <w:lang w:val="en-PH"/>
        </w:rPr>
      </w:pPr>
      <w:r w:rsidRPr="00BB7EF0">
        <w:rPr>
          <w:sz w:val="24"/>
          <w:szCs w:val="24"/>
          <w:lang w:val="en-PH"/>
        </w:rPr>
        <w:t>Given this context, the researcher carried out a quantitative, descriptive-correlational study to ascertain what impact SHS welding competencies and differentiated instruction had on college welding students’ academic performance. The study employs structured questionnaires to examine the participants’ degree of preparedness, practical skills, technical knowledge, and experiences in implementing differentiated instruction so that insights can be garnered for aligning the curriculum and instructional strategies between theory from SHS through college towards efficient welding education.</w:t>
      </w:r>
    </w:p>
    <w:p w14:paraId="61927C7C" w14:textId="237FC681" w:rsidR="00BB7EF0" w:rsidRPr="00BB7EF0" w:rsidRDefault="00BB7EF0" w:rsidP="00BB7EF0">
      <w:pPr>
        <w:spacing w:before="240" w:after="240"/>
        <w:ind w:firstLine="720"/>
        <w:jc w:val="both"/>
        <w:rPr>
          <w:sz w:val="24"/>
          <w:szCs w:val="24"/>
          <w:lang w:val="en-PH"/>
        </w:rPr>
      </w:pPr>
      <w:r w:rsidRPr="00BB7EF0">
        <w:rPr>
          <w:sz w:val="24"/>
          <w:szCs w:val="24"/>
          <w:lang w:val="en-PH"/>
        </w:rPr>
        <w:t>Through the researcher’s experience and observation, there is a noticeable gap between what the intended purpose of SHS (TVL) (welding program) and what students are ready for when entering college welding courses. Despite the intention of the curriculum to produce both competent and skilled welders, students come from various trained backgrounds generally with little or no welding prior training causing a difference in their performance and preparedness to work tasks. Although differentiated instruction is commonly employed in response to these differences, there are little empirical data quantifying its efficacy for closing the gap. There is a gap that someday we should systematically investigate prior skills and pedagogy definition in order to develop more responsive programs that ensure every student meets the expected fluency in welding instruction.</w:t>
      </w:r>
    </w:p>
    <w:p w14:paraId="7A90D2B1" w14:textId="60E39FC0" w:rsidR="00C66B68" w:rsidRPr="004F3807" w:rsidRDefault="004F3807" w:rsidP="00BB7EF0">
      <w:pPr>
        <w:spacing w:before="240" w:after="240"/>
        <w:jc w:val="both"/>
        <w:rPr>
          <w:b/>
          <w:bCs/>
          <w:sz w:val="28"/>
          <w:szCs w:val="28"/>
          <w:lang w:val="en-PH"/>
        </w:rPr>
      </w:pPr>
      <w:r w:rsidRPr="004F3807">
        <w:rPr>
          <w:b/>
          <w:bCs/>
          <w:sz w:val="28"/>
          <w:szCs w:val="28"/>
          <w:lang w:val="en-PH"/>
        </w:rPr>
        <w:t>THEORETICAL BACKGROUND</w:t>
      </w:r>
    </w:p>
    <w:p w14:paraId="2EEFE4E9" w14:textId="77777777" w:rsidR="004F3807" w:rsidRPr="004F3807" w:rsidRDefault="004F3807" w:rsidP="004F3807">
      <w:pPr>
        <w:spacing w:before="240" w:after="240"/>
        <w:ind w:firstLine="720"/>
        <w:jc w:val="both"/>
        <w:rPr>
          <w:sz w:val="24"/>
          <w:szCs w:val="24"/>
          <w:lang w:val="en-PH"/>
        </w:rPr>
      </w:pPr>
      <w:r w:rsidRPr="004F3807">
        <w:rPr>
          <w:sz w:val="24"/>
          <w:szCs w:val="24"/>
          <w:lang w:val="en-PH"/>
        </w:rPr>
        <w:t>Education is a crucial element of the overall development of students preparing them for entry into workforces, especially in technical and vocational fields such as welding and fabrication technology. In our country, the 12-year basic education program (K to 12) considers senior high school as a pivotal stage where students can be equipped with academic, practical and technical competencies through the Technical-Vocational-Livelihood strand, specifically the welding specialization. Among other factors, the differences in SHS welding education and the use of differentiated instruction in college could have effects on the level of students' adaptation to the requirements of both theory and practice that they will meet in their program and could have an impact on their academic results. This paper aims to identify how the welding competencies acquired in SHS and differentiated instruction contribute to the academic performance of college welding students. These theories, the Constructivist Learning Theory, Differentiated Instruction Theory, and College and Career</w:t>
      </w:r>
      <w:r>
        <w:rPr>
          <w:sz w:val="24"/>
          <w:szCs w:val="24"/>
          <w:lang w:val="en-PH"/>
        </w:rPr>
        <w:t xml:space="preserve"> </w:t>
      </w:r>
      <w:r w:rsidRPr="004F3807">
        <w:rPr>
          <w:sz w:val="24"/>
          <w:szCs w:val="24"/>
          <w:lang w:val="en-PH"/>
        </w:rPr>
        <w:t>Readiness Model, focus on the fact that students' prior schooling and the ways they are taught in the classroom are major factors in determining their academic performance. This research further supports education reforms in the country such as Republic Act No. 10533 or the Enhanced Basic Education Act of 2013, Republic Act No. 7722 or the Higher Education Act of 1994, and Republic Act No. 7796 or the TESDA Act of 1994. These laws aim to provide quality technical education that is industry relevant and outcome-based. Hence, these theoretical and legal bases point out the need to study the impact of SHS welding skills and differentiated instruction on the academic performance of students taking up Bachelor of Technical-Vocational Teacher Education (BTVTED) major in Welding and Fabrication Technology.</w:t>
      </w:r>
    </w:p>
    <w:p w14:paraId="442D81DB" w14:textId="77777777" w:rsidR="004F3807" w:rsidRPr="004F3807" w:rsidRDefault="004F3807" w:rsidP="004F3807">
      <w:pPr>
        <w:spacing w:before="240" w:after="240"/>
        <w:ind w:firstLine="720"/>
        <w:jc w:val="both"/>
        <w:rPr>
          <w:sz w:val="24"/>
          <w:szCs w:val="24"/>
          <w:lang w:val="en-PH"/>
        </w:rPr>
      </w:pPr>
      <w:r w:rsidRPr="004F3807">
        <w:rPr>
          <w:sz w:val="24"/>
          <w:szCs w:val="24"/>
          <w:lang w:val="en-PH"/>
        </w:rPr>
        <w:t xml:space="preserve">This research is based on the Constructivist Learning Theory by Jean Piaget (1972) and Lev Vygotsky (1978) as interpreted by </w:t>
      </w:r>
      <w:proofErr w:type="spellStart"/>
      <w:r w:rsidRPr="004F3807">
        <w:rPr>
          <w:sz w:val="24"/>
          <w:szCs w:val="24"/>
          <w:lang w:val="en-PH"/>
        </w:rPr>
        <w:t>Kouicem</w:t>
      </w:r>
      <w:proofErr w:type="spellEnd"/>
      <w:r w:rsidRPr="004F3807">
        <w:rPr>
          <w:sz w:val="24"/>
          <w:szCs w:val="24"/>
          <w:lang w:val="en-PH"/>
        </w:rPr>
        <w:t xml:space="preserve"> (2020). The theory suggests that learning happens when people actively form their understanding of the world through experiences. The Senior High School (SHS) Technical-Vocational-Livelihood (TVL) strand with a welding focus, in this case, is students' prior learning. This background is the reference point for entering college for further welding skills and knowledge development. Learners who have gone through the SHS TVL welding curriculum should be able to show higher level of academic and practical readiness compared to those who do not belong to the welding strands.</w:t>
      </w:r>
    </w:p>
    <w:p w14:paraId="20DB85C7" w14:textId="77777777" w:rsidR="004F3807" w:rsidRPr="004F3807" w:rsidRDefault="004F3807" w:rsidP="004F3807">
      <w:pPr>
        <w:spacing w:before="240" w:after="240"/>
        <w:ind w:firstLine="720"/>
        <w:jc w:val="both"/>
        <w:rPr>
          <w:sz w:val="24"/>
          <w:szCs w:val="24"/>
          <w:lang w:val="en-PH"/>
        </w:rPr>
      </w:pPr>
      <w:r w:rsidRPr="004F3807">
        <w:rPr>
          <w:sz w:val="24"/>
          <w:szCs w:val="24"/>
          <w:lang w:val="en-PH"/>
        </w:rPr>
        <w:t>Scaffolding and tailoring the teaching approach to the level of readiness of each child was all important, as Vygotsky explained in his ideas about the Zone of Proximal Development. In short, these ideas underpin that high school welding skills and college pedagogical support foster better academic achievement and experiential learning.</w:t>
      </w:r>
    </w:p>
    <w:p w14:paraId="20A7E741" w14:textId="77777777" w:rsidR="004F3807" w:rsidRPr="004F3807" w:rsidRDefault="004F3807" w:rsidP="004F3807">
      <w:pPr>
        <w:spacing w:before="240" w:after="240"/>
        <w:ind w:firstLine="720"/>
        <w:jc w:val="both"/>
        <w:rPr>
          <w:sz w:val="24"/>
          <w:szCs w:val="24"/>
          <w:lang w:val="en-PH"/>
        </w:rPr>
      </w:pPr>
      <w:r w:rsidRPr="004F3807">
        <w:rPr>
          <w:sz w:val="24"/>
          <w:szCs w:val="24"/>
          <w:lang w:val="en-PH"/>
        </w:rPr>
        <w:t xml:space="preserve">The study is also informed by Differentiated Instruction Theory (Tomlinson, 2017), which posits that teaching should be responsive to students’ differences by readiness, interests, and learning styles through process, content, and product. This permits the instructors to modify their tactics when teaching college welding courses so as to assist students, coming from a range of S.H.S. backgrounds and with various levels of previous knowledge, reach proficiency. </w:t>
      </w:r>
    </w:p>
    <w:p w14:paraId="645F78C9" w14:textId="77777777" w:rsidR="004F3807" w:rsidRPr="004F3807" w:rsidRDefault="004F3807" w:rsidP="004F3807">
      <w:pPr>
        <w:spacing w:before="240" w:after="240"/>
        <w:ind w:firstLine="720"/>
        <w:jc w:val="both"/>
        <w:rPr>
          <w:sz w:val="24"/>
          <w:szCs w:val="24"/>
          <w:lang w:val="en-PH"/>
        </w:rPr>
      </w:pPr>
      <w:r w:rsidRPr="004F3807">
        <w:rPr>
          <w:sz w:val="24"/>
          <w:szCs w:val="24"/>
          <w:lang w:val="en-PH"/>
        </w:rPr>
        <w:t>Also (Conley, 2007), College and Career Readiness Model (2007) offer you a framework for comprehending how SHS prep helps with college ability. The model outlines four aspects of readiness: 1) key cognitive strategies; 2) key content knowledge; 3) academic behaviors; and 4) contextual skills and awareness. Students with good study skills, technical training and applicable experience gained through SHS welding programs are ready for college-level welding courses. Thus, this model strengthens the aim of the study that is to find a connection between prior learning experience and academic performance in higher education.</w:t>
      </w:r>
    </w:p>
    <w:p w14:paraId="3DA99E7F" w14:textId="77777777" w:rsidR="004F3807" w:rsidRPr="004F3807" w:rsidRDefault="004F3807" w:rsidP="004F3807">
      <w:pPr>
        <w:spacing w:before="240" w:after="240"/>
        <w:ind w:firstLine="720"/>
        <w:jc w:val="both"/>
        <w:rPr>
          <w:sz w:val="24"/>
          <w:szCs w:val="24"/>
          <w:lang w:val="en-PH"/>
        </w:rPr>
      </w:pPr>
      <w:r w:rsidRPr="004F3807">
        <w:rPr>
          <w:sz w:val="24"/>
          <w:szCs w:val="24"/>
          <w:lang w:val="en-PH"/>
        </w:rPr>
        <w:t>These theories will provide the base of this study. Based on the Constructivist Learning Theory, the welding training of SHS students could affect their readiness to college level welding. Based on Differentiated Instruction Theory, the teaching strategies of the instructor could affect the readiness of the students with different welding learning experience. Based on the College and Career Readiness Model, the SHS training could affect the college level academic performance in term of cognitive and skill readiness. Based on these theories, the educational background and instructional practices influence the academic performance of BTVTED students majoring in Welding and Fabrication Technology.</w:t>
      </w:r>
    </w:p>
    <w:p w14:paraId="2F32420F" w14:textId="77777777" w:rsidR="004F3807" w:rsidRPr="004F3807" w:rsidRDefault="004F3807" w:rsidP="004F3807">
      <w:pPr>
        <w:spacing w:before="240" w:after="240"/>
        <w:ind w:firstLine="720"/>
        <w:jc w:val="both"/>
        <w:rPr>
          <w:sz w:val="24"/>
          <w:szCs w:val="24"/>
          <w:lang w:val="en-PH"/>
        </w:rPr>
      </w:pPr>
      <w:r w:rsidRPr="004F3807">
        <w:rPr>
          <w:sz w:val="24"/>
          <w:szCs w:val="24"/>
          <w:lang w:val="en-PH"/>
        </w:rPr>
        <w:t>Republic Act No. 10533, also called the Enhanced Basic Education Act of 2013, is one of the bases of this study. With its provision to implement the K to 12 program or curriculum, including the Senior High School (SHS) Technical-Vocational-Livelihood (TVL) Track, it is designed to train students in welding-related industry. Under SHS, Industrial Arts, Welding strand, students shall take welding-related specialized subjects that will enable them to master the fundamentals of welding and gain basic skills before being introduced into the advanced welding courses offered in colleges. Therefore, this will directly influence the result of the current study as to the welding competency gained in the Senior High School on the performance of welding related majors in BTVTED or its equivalent.</w:t>
      </w:r>
    </w:p>
    <w:p w14:paraId="361CFDB6" w14:textId="77777777" w:rsidR="004F3807" w:rsidRPr="004F3807" w:rsidRDefault="004F3807" w:rsidP="004F3807">
      <w:pPr>
        <w:spacing w:before="240" w:after="240"/>
        <w:ind w:firstLine="720"/>
        <w:jc w:val="both"/>
        <w:rPr>
          <w:sz w:val="24"/>
          <w:szCs w:val="24"/>
          <w:lang w:val="en-PH"/>
        </w:rPr>
      </w:pPr>
      <w:r w:rsidRPr="004F3807">
        <w:rPr>
          <w:sz w:val="24"/>
          <w:szCs w:val="24"/>
          <w:lang w:val="en-PH"/>
        </w:rPr>
        <w:t>Republic Act No. 7722 (1994), also known as the Higher Education Act of 1994, provides the legal foundation for the current study, as it mandates the Commission on Higher Education (CHED) to supervise the quality and relevance of tertiary-level education courses. This includes welding programs offered in BTVTED and comparable technical-vocational institutions. This study aligns with the law’s focus on ensuring effective teaching and quality education, specifically exploring differentiated instruction to account for the varied academic backgrounds and skills of students, thereby promoting better academic performance.</w:t>
      </w:r>
    </w:p>
    <w:p w14:paraId="113DF4CE" w14:textId="77777777" w:rsidR="004F3807" w:rsidRPr="004F3807" w:rsidRDefault="004F3807" w:rsidP="004F3807">
      <w:pPr>
        <w:spacing w:before="240" w:after="240"/>
        <w:ind w:firstLine="720"/>
        <w:jc w:val="both"/>
        <w:rPr>
          <w:sz w:val="24"/>
          <w:szCs w:val="24"/>
          <w:lang w:val="en-PH"/>
        </w:rPr>
      </w:pPr>
      <w:r w:rsidRPr="004F3807">
        <w:rPr>
          <w:sz w:val="24"/>
          <w:szCs w:val="24"/>
          <w:lang w:val="en-PH"/>
        </w:rPr>
        <w:t>Republic Act No. 7796 (1994.), known as the Technical Education and Skills Development Act of 1994, created the Technical Education and Skills Development Authority (TESDA) for the purpose of providing competency-based technical and vocational training, among other things, in welding. It advocates the combination of theory with practice as a significant component in the mastery of skill and expertise in welding. It is the basis of the current study in investigating the effect of SHS welding competency and the application of differentiated instructions in college, on the performance of welding students in the welding major. Moreover, it provides standards for training and assessment in welding. Lastly, it promotes continuous skills development and conformity to standards and industry needs.</w:t>
      </w:r>
    </w:p>
    <w:p w14:paraId="69473D59" w14:textId="1578B45F" w:rsidR="004F3807" w:rsidRDefault="004F3807" w:rsidP="004F3807">
      <w:pPr>
        <w:spacing w:before="240" w:after="240"/>
        <w:ind w:firstLine="720"/>
        <w:jc w:val="both"/>
        <w:rPr>
          <w:sz w:val="24"/>
          <w:szCs w:val="24"/>
          <w:lang w:val="en-PH"/>
        </w:rPr>
      </w:pPr>
      <w:r w:rsidRPr="004F3807">
        <w:rPr>
          <w:sz w:val="24"/>
          <w:szCs w:val="24"/>
          <w:lang w:val="en-PH"/>
        </w:rPr>
        <w:t>The theories and legal foundations of this study provide a framework for understanding how Senior High School (SHS) welding competencies and differentiated instruction affect the academic performance of college welding students. The Constructivist Learning Theory explains how learners build new welding knowledge from prior SHS TVL–Industrial Arts experiences, while the Differentiated Instruction Theory emphasizes adaptive teaching for students with varying preparedness, and Conley’s College and Career Readiness Model links SHS training to college success by highlighting cognitive, technical, and practical readiness. These viewpoints are undergirded by RA No. 10533 or the K to 12 Basic Education Act which prescribes SHS vocational competencies. Moreover, the viewpoints of these laws are bolstered by the provisions of RA No. 7722 or the Higher Education Act, promoting the provision of quality higher education and RA No. 7796 or the Technical Education and Skills Development Act that provides for competency-based training. All these underscores the significance of exploring the effects of SHS weld competencies and differentiated instruction in terms of students’ performance on the BTVTED program, as well as identifying the alignment on the curriculum design and instructional implementation across the levels of education and the learning disparity among students. They further stress on the importance of formative assessment to determine the gap in students’ readiness, which can be used as a basis for determining appropriate teaching practices, thus emphasizing on the progression from SHS to college which is learner-centered and industry-relevant in terms of learning outcomes which in turn can inform the formulation of context-sensitive and data-based intervention plan to address the identified needs and enhance the students’ performance in the teaching and learning process of weld competencies</w:t>
      </w:r>
      <w:r>
        <w:rPr>
          <w:sz w:val="24"/>
          <w:szCs w:val="24"/>
          <w:lang w:val="en-PH"/>
        </w:rPr>
        <w:t>.</w:t>
      </w:r>
    </w:p>
    <w:p w14:paraId="5DE1794E" w14:textId="555504E7" w:rsidR="002B7D4A" w:rsidRPr="002B7D4A" w:rsidRDefault="002B7D4A" w:rsidP="002B7D4A">
      <w:pPr>
        <w:spacing w:before="240" w:after="240"/>
        <w:jc w:val="both"/>
        <w:rPr>
          <w:b/>
          <w:bCs/>
          <w:sz w:val="24"/>
          <w:szCs w:val="24"/>
          <w:lang w:val="en-PH"/>
        </w:rPr>
      </w:pPr>
      <w:r w:rsidRPr="002B7D4A">
        <w:rPr>
          <w:b/>
          <w:bCs/>
          <w:sz w:val="24"/>
          <w:szCs w:val="24"/>
          <w:lang w:val="en-PH"/>
        </w:rPr>
        <w:t>Figure 1. Theoretical and Conceptual Framework of the Study</w:t>
      </w:r>
    </w:p>
    <w:p w14:paraId="36D73153" w14:textId="449E2810" w:rsidR="004F3807" w:rsidRDefault="004F3807" w:rsidP="004F3807">
      <w:pPr>
        <w:spacing w:before="240" w:after="240"/>
        <w:ind w:firstLine="720"/>
        <w:jc w:val="center"/>
        <w:rPr>
          <w:sz w:val="24"/>
          <w:szCs w:val="24"/>
          <w:lang w:val="en-PH"/>
        </w:rPr>
      </w:pPr>
      <w:r w:rsidRPr="004F3807">
        <w:rPr>
          <w:noProof/>
          <w:sz w:val="24"/>
          <w:szCs w:val="24"/>
          <w:lang w:val="en-PH"/>
        </w:rPr>
        <w:drawing>
          <wp:inline distT="0" distB="0" distL="0" distR="0" wp14:anchorId="0273BC1E" wp14:editId="643C3F52">
            <wp:extent cx="5082540" cy="6472052"/>
            <wp:effectExtent l="0" t="0" r="3810" b="5080"/>
            <wp:docPr id="1059142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42675" name=""/>
                    <pic:cNvPicPr/>
                  </pic:nvPicPr>
                  <pic:blipFill rotWithShape="1">
                    <a:blip r:embed="rId7"/>
                    <a:srcRect b="7334"/>
                    <a:stretch>
                      <a:fillRect/>
                    </a:stretch>
                  </pic:blipFill>
                  <pic:spPr bwMode="auto">
                    <a:xfrm>
                      <a:off x="0" y="0"/>
                      <a:ext cx="5095397" cy="6488424"/>
                    </a:xfrm>
                    <a:prstGeom prst="rect">
                      <a:avLst/>
                    </a:prstGeom>
                    <a:ln>
                      <a:noFill/>
                    </a:ln>
                    <a:extLst>
                      <a:ext uri="{53640926-AAD7-44D8-BBD7-CCE9431645EC}">
                        <a14:shadowObscured xmlns:a14="http://schemas.microsoft.com/office/drawing/2010/main"/>
                      </a:ext>
                    </a:extLst>
                  </pic:spPr>
                </pic:pic>
              </a:graphicData>
            </a:graphic>
          </wp:inline>
        </w:drawing>
      </w:r>
    </w:p>
    <w:p w14:paraId="3C034451" w14:textId="459EA673" w:rsidR="004F3807" w:rsidRPr="00543E11" w:rsidRDefault="00543E11" w:rsidP="00BB7EF0">
      <w:pPr>
        <w:spacing w:before="240" w:after="240"/>
        <w:jc w:val="both"/>
        <w:rPr>
          <w:b/>
          <w:bCs/>
          <w:sz w:val="28"/>
          <w:szCs w:val="28"/>
          <w:lang w:val="en-PH"/>
        </w:rPr>
      </w:pPr>
      <w:r w:rsidRPr="00543E11">
        <w:rPr>
          <w:b/>
          <w:bCs/>
          <w:sz w:val="28"/>
          <w:szCs w:val="28"/>
          <w:lang w:val="en-PH"/>
        </w:rPr>
        <w:t>RESEARCH METHODOLOGY</w:t>
      </w:r>
    </w:p>
    <w:p w14:paraId="6A836622" w14:textId="52EB97E0" w:rsidR="004F3807" w:rsidRDefault="00543E11" w:rsidP="00543E11">
      <w:pPr>
        <w:spacing w:before="240" w:after="240"/>
        <w:ind w:firstLine="720"/>
        <w:jc w:val="both"/>
        <w:rPr>
          <w:sz w:val="24"/>
          <w:szCs w:val="24"/>
          <w:lang w:val="en-PH"/>
        </w:rPr>
      </w:pPr>
      <w:r w:rsidRPr="00543E11">
        <w:rPr>
          <w:sz w:val="24"/>
          <w:szCs w:val="24"/>
          <w:lang w:val="en-PH"/>
        </w:rPr>
        <w:t>This reveals the process of carrying out this study. It presents the overall plan of the research, the people who participated, the instruments, and the methods for collecting and analyzing the data. It aims to present a clear picture of how the researcher studied the link between Senior High School welding competencies, differentiated instruction, and the academic performance of college welding students. Besides, it guarantees that the methods used are suitable, orderly, and trustworthy for responding to the research questions.</w:t>
      </w:r>
    </w:p>
    <w:p w14:paraId="3E4C01D3" w14:textId="77777777" w:rsidR="00543E11" w:rsidRDefault="00543E11" w:rsidP="00BB7EF0">
      <w:pPr>
        <w:spacing w:before="240" w:after="240"/>
        <w:jc w:val="both"/>
        <w:rPr>
          <w:b/>
          <w:bCs/>
          <w:sz w:val="24"/>
          <w:szCs w:val="24"/>
          <w:lang w:val="en-PH"/>
        </w:rPr>
      </w:pPr>
      <w:r w:rsidRPr="00543E11">
        <w:rPr>
          <w:b/>
          <w:bCs/>
          <w:sz w:val="24"/>
          <w:szCs w:val="24"/>
          <w:lang w:val="en-PH"/>
        </w:rPr>
        <w:t>Design</w:t>
      </w:r>
    </w:p>
    <w:p w14:paraId="7AE50C33" w14:textId="72405153" w:rsidR="00543E11" w:rsidRPr="00543E11" w:rsidRDefault="00543E11" w:rsidP="00543E11">
      <w:pPr>
        <w:spacing w:before="240" w:after="240"/>
        <w:ind w:firstLine="720"/>
        <w:jc w:val="both"/>
        <w:rPr>
          <w:sz w:val="24"/>
          <w:szCs w:val="24"/>
          <w:lang w:val="en-PH"/>
        </w:rPr>
      </w:pPr>
      <w:r w:rsidRPr="00543E11">
        <w:rPr>
          <w:sz w:val="24"/>
          <w:szCs w:val="24"/>
          <w:lang w:val="en-PH"/>
        </w:rPr>
        <w:t>This study adopted a descriptive-correlational approach to explore how the Senior High School (SHS) welding skills and differentiated instruction of the students affected their academic performance in college welding. The design fit well with the purpose of the study because it allowed the researcher to characterize the respondents and find out the linkages among variables without interference. Creswell (2017) points out that correlational studies measure the extent and way of the relationships among variables, whereas Seeram (2019) states that they are good at figuring out the factors that impact educational results. The focus was on college students pursuing a Bachelor of Technical-Vocational Teacher Education (BTVTED) degree, majoring in Welding and Fabrication Technology. This study examined how their SHS welding competencies and experience of receiving differentiated instruction were related to their academic performance in the welding courses. Different instruments were used for the collection of primary data, and statistical methods were applied for revealing the degree and role of the relationships among the variables.</w:t>
      </w:r>
    </w:p>
    <w:p w14:paraId="7BD29039" w14:textId="77777777" w:rsidR="00543E11" w:rsidRDefault="00543E11" w:rsidP="00BB7EF0">
      <w:pPr>
        <w:spacing w:before="240" w:after="240"/>
        <w:jc w:val="both"/>
        <w:rPr>
          <w:b/>
          <w:bCs/>
          <w:sz w:val="24"/>
          <w:szCs w:val="24"/>
          <w:lang w:val="en-PH"/>
        </w:rPr>
      </w:pPr>
      <w:r>
        <w:rPr>
          <w:b/>
          <w:bCs/>
          <w:sz w:val="24"/>
          <w:szCs w:val="24"/>
          <w:lang w:val="en-PH"/>
        </w:rPr>
        <w:t>Environment</w:t>
      </w:r>
    </w:p>
    <w:p w14:paraId="08E7821E" w14:textId="77777777" w:rsidR="006B2D0D" w:rsidRPr="006B2D0D" w:rsidRDefault="006B2D0D" w:rsidP="006B2D0D">
      <w:pPr>
        <w:spacing w:before="240" w:after="240"/>
        <w:ind w:firstLine="720"/>
        <w:jc w:val="both"/>
        <w:rPr>
          <w:sz w:val="24"/>
          <w:szCs w:val="24"/>
          <w:lang w:val="en-PH"/>
        </w:rPr>
      </w:pPr>
      <w:r w:rsidRPr="006B2D0D">
        <w:rPr>
          <w:sz w:val="24"/>
          <w:szCs w:val="24"/>
          <w:lang w:val="en-PH"/>
        </w:rPr>
        <w:t>This study was conducted at Cebu Technological University – Main Campus (CTU–Main), located along M.J. Cuenco Avenue, Cebu City. As the flagship campus of the CTU system, it is one of state universities in the Visayas, known for providing quality higher and technical vocational education. Guided by its mission to promote innovation, research, and lifelong learning, CTU– Main serves a diverse student population from across the Philippines, fostering academic excellence and technical competence.</w:t>
      </w:r>
    </w:p>
    <w:p w14:paraId="34777B96" w14:textId="77777777" w:rsidR="006B2D0D" w:rsidRPr="006B2D0D" w:rsidRDefault="006B2D0D" w:rsidP="006B2D0D">
      <w:pPr>
        <w:spacing w:before="240" w:after="240"/>
        <w:ind w:firstLine="720"/>
        <w:jc w:val="both"/>
        <w:rPr>
          <w:sz w:val="24"/>
          <w:szCs w:val="24"/>
          <w:lang w:val="en-PH"/>
        </w:rPr>
      </w:pPr>
      <w:r w:rsidRPr="006B2D0D">
        <w:rPr>
          <w:sz w:val="24"/>
          <w:szCs w:val="24"/>
          <w:lang w:val="en-PH"/>
        </w:rPr>
        <w:t>The university offers various programs in science, engineering, and technology, including Welding and Fabrication Technology, which is one of the programs offered under the College of Education. It is equipped with last facilities such as laboratories, fabrication shops, and simulation rooms that support both theoretical and pragmatic learning. effective faculty members train students in welding techniques, fabrication processes, and safety standards aligned with industry practices.</w:t>
      </w:r>
    </w:p>
    <w:p w14:paraId="19D0F2A4" w14:textId="77777777" w:rsidR="006B2D0D" w:rsidRDefault="006B2D0D" w:rsidP="006B2D0D">
      <w:pPr>
        <w:spacing w:before="240" w:after="240"/>
        <w:ind w:firstLine="720"/>
        <w:jc w:val="both"/>
        <w:rPr>
          <w:sz w:val="24"/>
          <w:szCs w:val="24"/>
          <w:lang w:val="en-PH"/>
        </w:rPr>
      </w:pPr>
      <w:r w:rsidRPr="006B2D0D">
        <w:rPr>
          <w:sz w:val="24"/>
          <w:szCs w:val="24"/>
          <w:lang w:val="en-PH"/>
        </w:rPr>
        <w:t>Situated at the center of Cebu City, CTU–Main is very proximate to industrial and commercial sites for on-the-job and hands-on trainings. Linkages guarantee competent graduates right after college. Thus, this campus is conducive for assessing the impact of Senior High School foundation and differentiated instruction on academic performance of college welding students.</w:t>
      </w:r>
    </w:p>
    <w:p w14:paraId="2C8E303E" w14:textId="60117C0D" w:rsidR="006B2D0D" w:rsidRDefault="006B2D0D" w:rsidP="006B2D0D">
      <w:pPr>
        <w:spacing w:before="240" w:after="240"/>
        <w:jc w:val="both"/>
        <w:rPr>
          <w:b/>
          <w:bCs/>
          <w:sz w:val="24"/>
          <w:szCs w:val="24"/>
          <w:lang w:val="en-PH"/>
        </w:rPr>
      </w:pPr>
      <w:r>
        <w:rPr>
          <w:b/>
          <w:bCs/>
          <w:sz w:val="24"/>
          <w:szCs w:val="24"/>
          <w:lang w:val="en-PH"/>
        </w:rPr>
        <w:t>Respondents</w:t>
      </w:r>
    </w:p>
    <w:p w14:paraId="5E687B9A" w14:textId="77777777" w:rsidR="006B2D0D" w:rsidRDefault="006B2D0D" w:rsidP="006B2D0D">
      <w:pPr>
        <w:spacing w:before="240" w:after="240"/>
        <w:ind w:firstLine="720"/>
        <w:jc w:val="both"/>
        <w:rPr>
          <w:sz w:val="24"/>
          <w:szCs w:val="24"/>
          <w:lang w:val="en-PH"/>
        </w:rPr>
      </w:pPr>
      <w:r w:rsidRPr="006B2D0D">
        <w:rPr>
          <w:sz w:val="24"/>
          <w:szCs w:val="24"/>
          <w:lang w:val="en-PH"/>
        </w:rPr>
        <w:t>The respondents of the research comprised 72 college students enrolled in the BTVTED major in Welding and Fabrication Technology in Cebu Technological University Main Campus. The said respondents have been randomly chosen from all year levels, thus allowing the research to obtain differing opinions about welding and fabrication lessons. As can be seen in Table 1 below, there are 19 first-year students, 17 second-year students, 19 third-year students, and 17 fourth-year students as respondents of the study. Nevertheless, only 46 respondents answered the questionnaire form, considering the availability of the respondents during the conduct of the study.</w:t>
      </w:r>
    </w:p>
    <w:p w14:paraId="5D22AE3D" w14:textId="2B50DB78" w:rsidR="004F3807" w:rsidRDefault="00543E11" w:rsidP="006B2D0D">
      <w:pPr>
        <w:spacing w:before="240" w:after="240"/>
        <w:ind w:firstLine="720"/>
        <w:jc w:val="both"/>
        <w:rPr>
          <w:sz w:val="24"/>
          <w:szCs w:val="24"/>
          <w:lang w:val="en-PH"/>
        </w:rPr>
      </w:pPr>
      <w:r w:rsidRPr="006B2D0D">
        <w:rPr>
          <w:sz w:val="24"/>
          <w:szCs w:val="24"/>
          <w:lang w:val="en-PH"/>
        </w:rPr>
        <w:br/>
      </w:r>
    </w:p>
    <w:p w14:paraId="15D8D7E4" w14:textId="77777777" w:rsidR="006B2D0D" w:rsidRDefault="006B2D0D" w:rsidP="006B2D0D">
      <w:pPr>
        <w:spacing w:before="240" w:after="240"/>
        <w:ind w:firstLine="720"/>
        <w:jc w:val="both"/>
        <w:rPr>
          <w:sz w:val="24"/>
          <w:szCs w:val="24"/>
          <w:lang w:val="en-PH"/>
        </w:rPr>
      </w:pPr>
    </w:p>
    <w:tbl>
      <w:tblPr>
        <w:tblStyle w:val="TableGrid"/>
        <w:tblW w:w="8133"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721"/>
        <w:gridCol w:w="1721"/>
        <w:gridCol w:w="1721"/>
      </w:tblGrid>
      <w:tr w:rsidR="002B7D4A" w:rsidRPr="006B2D0D" w14:paraId="4CEC09D3" w14:textId="77777777" w:rsidTr="002B7D4A">
        <w:trPr>
          <w:trHeight w:val="517"/>
        </w:trPr>
        <w:tc>
          <w:tcPr>
            <w:tcW w:w="8133" w:type="dxa"/>
            <w:gridSpan w:val="4"/>
            <w:tcBorders>
              <w:top w:val="nil"/>
              <w:bottom w:val="single" w:sz="4" w:space="0" w:color="auto"/>
            </w:tcBorders>
          </w:tcPr>
          <w:p w14:paraId="5DBD9438" w14:textId="40296BD6" w:rsidR="002B7D4A" w:rsidRPr="006B2D0D" w:rsidRDefault="002B7D4A" w:rsidP="002B7D4A">
            <w:pPr>
              <w:rPr>
                <w:rFonts w:eastAsia="Calibri"/>
                <w:b/>
                <w:color w:val="000000" w:themeColor="text1"/>
                <w:sz w:val="24"/>
                <w:szCs w:val="24"/>
              </w:rPr>
            </w:pPr>
            <w:r w:rsidRPr="006B2D0D">
              <w:rPr>
                <w:rFonts w:eastAsia="Calibri"/>
                <w:b/>
                <w:color w:val="000000" w:themeColor="text1"/>
                <w:sz w:val="24"/>
                <w:szCs w:val="24"/>
              </w:rPr>
              <w:t>Table 1</w:t>
            </w:r>
            <w:r>
              <w:rPr>
                <w:rFonts w:eastAsia="Calibri"/>
                <w:b/>
                <w:color w:val="000000" w:themeColor="text1"/>
                <w:sz w:val="24"/>
                <w:szCs w:val="24"/>
              </w:rPr>
              <w:t xml:space="preserve">. </w:t>
            </w:r>
            <w:r w:rsidRPr="006B2D0D">
              <w:rPr>
                <w:rFonts w:eastAsia="Calibri"/>
                <w:b/>
                <w:color w:val="000000" w:themeColor="text1"/>
                <w:sz w:val="24"/>
                <w:szCs w:val="24"/>
              </w:rPr>
              <w:t>Distribution of Respondents</w:t>
            </w:r>
          </w:p>
        </w:tc>
      </w:tr>
      <w:tr w:rsidR="002B7D4A" w:rsidRPr="006B2D0D" w14:paraId="292AE6B7" w14:textId="77777777" w:rsidTr="002B7D4A">
        <w:trPr>
          <w:trHeight w:val="318"/>
        </w:trPr>
        <w:tc>
          <w:tcPr>
            <w:tcW w:w="2970" w:type="dxa"/>
            <w:tcBorders>
              <w:top w:val="single" w:sz="4" w:space="0" w:color="auto"/>
              <w:bottom w:val="single" w:sz="4" w:space="0" w:color="auto"/>
            </w:tcBorders>
          </w:tcPr>
          <w:p w14:paraId="1641C98F" w14:textId="77777777" w:rsidR="002B7D4A" w:rsidRPr="002B7D4A" w:rsidRDefault="002B7D4A" w:rsidP="007233F6">
            <w:pPr>
              <w:jc w:val="center"/>
              <w:rPr>
                <w:color w:val="000000" w:themeColor="text1"/>
                <w:sz w:val="24"/>
                <w:szCs w:val="24"/>
              </w:rPr>
            </w:pPr>
            <w:r w:rsidRPr="002B7D4A">
              <w:rPr>
                <w:color w:val="000000" w:themeColor="text1"/>
                <w:sz w:val="24"/>
                <w:szCs w:val="24"/>
              </w:rPr>
              <w:t>Category</w:t>
            </w:r>
          </w:p>
        </w:tc>
        <w:tc>
          <w:tcPr>
            <w:tcW w:w="1721" w:type="dxa"/>
            <w:tcBorders>
              <w:top w:val="single" w:sz="4" w:space="0" w:color="auto"/>
              <w:bottom w:val="single" w:sz="4" w:space="0" w:color="auto"/>
            </w:tcBorders>
          </w:tcPr>
          <w:p w14:paraId="74DE279F" w14:textId="77777777" w:rsidR="002B7D4A" w:rsidRPr="002B7D4A" w:rsidRDefault="002B7D4A" w:rsidP="007233F6">
            <w:pPr>
              <w:jc w:val="center"/>
              <w:rPr>
                <w:color w:val="000000" w:themeColor="text1"/>
                <w:sz w:val="24"/>
                <w:szCs w:val="24"/>
              </w:rPr>
            </w:pPr>
            <w:r w:rsidRPr="002B7D4A">
              <w:rPr>
                <w:color w:val="000000" w:themeColor="text1"/>
                <w:sz w:val="24"/>
                <w:szCs w:val="24"/>
              </w:rPr>
              <w:t>Year Level</w:t>
            </w:r>
          </w:p>
        </w:tc>
        <w:tc>
          <w:tcPr>
            <w:tcW w:w="1721" w:type="dxa"/>
            <w:tcBorders>
              <w:top w:val="single" w:sz="4" w:space="0" w:color="auto"/>
              <w:bottom w:val="single" w:sz="4" w:space="0" w:color="auto"/>
            </w:tcBorders>
            <w:vAlign w:val="center"/>
          </w:tcPr>
          <w:p w14:paraId="09A2F334" w14:textId="77777777" w:rsidR="002B7D4A" w:rsidRPr="002B7D4A" w:rsidRDefault="002B7D4A" w:rsidP="007233F6">
            <w:pPr>
              <w:jc w:val="center"/>
              <w:rPr>
                <w:color w:val="000000" w:themeColor="text1"/>
                <w:sz w:val="24"/>
                <w:szCs w:val="24"/>
              </w:rPr>
            </w:pPr>
            <w:r w:rsidRPr="002B7D4A">
              <w:rPr>
                <w:color w:val="000000" w:themeColor="text1"/>
                <w:sz w:val="24"/>
                <w:szCs w:val="24"/>
              </w:rPr>
              <w:t>Sample (n)</w:t>
            </w:r>
          </w:p>
        </w:tc>
        <w:tc>
          <w:tcPr>
            <w:tcW w:w="1721" w:type="dxa"/>
            <w:tcBorders>
              <w:top w:val="single" w:sz="4" w:space="0" w:color="auto"/>
              <w:bottom w:val="single" w:sz="4" w:space="0" w:color="auto"/>
            </w:tcBorders>
            <w:vAlign w:val="center"/>
          </w:tcPr>
          <w:p w14:paraId="4B58CFDB" w14:textId="77777777" w:rsidR="002B7D4A" w:rsidRPr="002B7D4A" w:rsidRDefault="002B7D4A" w:rsidP="007233F6">
            <w:pPr>
              <w:jc w:val="center"/>
              <w:rPr>
                <w:color w:val="000000" w:themeColor="text1"/>
                <w:sz w:val="24"/>
                <w:szCs w:val="24"/>
              </w:rPr>
            </w:pPr>
            <w:r w:rsidRPr="002B7D4A">
              <w:rPr>
                <w:color w:val="000000" w:themeColor="text1"/>
                <w:sz w:val="24"/>
                <w:szCs w:val="24"/>
              </w:rPr>
              <w:t>Percentage (%)</w:t>
            </w:r>
          </w:p>
        </w:tc>
      </w:tr>
      <w:tr w:rsidR="002B7D4A" w:rsidRPr="006B2D0D" w14:paraId="6909C40C" w14:textId="77777777" w:rsidTr="002B7D4A">
        <w:trPr>
          <w:trHeight w:val="318"/>
        </w:trPr>
        <w:tc>
          <w:tcPr>
            <w:tcW w:w="2970" w:type="dxa"/>
            <w:vMerge w:val="restart"/>
            <w:tcBorders>
              <w:top w:val="single" w:sz="4" w:space="0" w:color="auto"/>
            </w:tcBorders>
            <w:vAlign w:val="center"/>
          </w:tcPr>
          <w:p w14:paraId="6DE1D25E" w14:textId="77777777" w:rsidR="002B7D4A" w:rsidRPr="002B7D4A" w:rsidRDefault="002B7D4A" w:rsidP="007233F6">
            <w:pPr>
              <w:jc w:val="center"/>
              <w:rPr>
                <w:color w:val="000000" w:themeColor="text1"/>
                <w:sz w:val="24"/>
                <w:szCs w:val="24"/>
              </w:rPr>
            </w:pPr>
            <w:r w:rsidRPr="002B7D4A">
              <w:rPr>
                <w:color w:val="000000" w:themeColor="text1"/>
                <w:sz w:val="24"/>
                <w:szCs w:val="24"/>
                <w:lang w:val="en-PH"/>
              </w:rPr>
              <w:t>BTVTED – Welding and Fabrication Technology</w:t>
            </w:r>
          </w:p>
        </w:tc>
        <w:tc>
          <w:tcPr>
            <w:tcW w:w="1721" w:type="dxa"/>
            <w:tcBorders>
              <w:top w:val="single" w:sz="4" w:space="0" w:color="auto"/>
            </w:tcBorders>
          </w:tcPr>
          <w:p w14:paraId="0B5062D4" w14:textId="77777777" w:rsidR="002B7D4A" w:rsidRPr="002B7D4A" w:rsidRDefault="002B7D4A" w:rsidP="007233F6">
            <w:pPr>
              <w:jc w:val="center"/>
              <w:rPr>
                <w:color w:val="000000" w:themeColor="text1"/>
                <w:sz w:val="24"/>
                <w:szCs w:val="24"/>
              </w:rPr>
            </w:pPr>
            <w:r w:rsidRPr="002B7D4A">
              <w:rPr>
                <w:color w:val="000000" w:themeColor="text1"/>
                <w:sz w:val="24"/>
                <w:szCs w:val="24"/>
              </w:rPr>
              <w:t>1</w:t>
            </w:r>
            <w:r w:rsidRPr="002B7D4A">
              <w:rPr>
                <w:color w:val="000000" w:themeColor="text1"/>
                <w:sz w:val="24"/>
                <w:szCs w:val="24"/>
                <w:vertAlign w:val="superscript"/>
              </w:rPr>
              <w:t>st</w:t>
            </w:r>
            <w:r w:rsidRPr="002B7D4A">
              <w:rPr>
                <w:color w:val="000000" w:themeColor="text1"/>
                <w:sz w:val="24"/>
                <w:szCs w:val="24"/>
              </w:rPr>
              <w:t xml:space="preserve"> Year</w:t>
            </w:r>
          </w:p>
        </w:tc>
        <w:tc>
          <w:tcPr>
            <w:tcW w:w="1721" w:type="dxa"/>
            <w:tcBorders>
              <w:top w:val="single" w:sz="4" w:space="0" w:color="auto"/>
            </w:tcBorders>
          </w:tcPr>
          <w:p w14:paraId="25EC0A1A" w14:textId="77777777" w:rsidR="002B7D4A" w:rsidRPr="002B7D4A" w:rsidRDefault="002B7D4A" w:rsidP="007233F6">
            <w:pPr>
              <w:jc w:val="center"/>
              <w:rPr>
                <w:color w:val="000000" w:themeColor="text1"/>
                <w:sz w:val="24"/>
                <w:szCs w:val="24"/>
              </w:rPr>
            </w:pPr>
            <w:r w:rsidRPr="002B7D4A">
              <w:rPr>
                <w:color w:val="000000" w:themeColor="text1"/>
                <w:sz w:val="24"/>
                <w:szCs w:val="24"/>
              </w:rPr>
              <w:t>19</w:t>
            </w:r>
          </w:p>
        </w:tc>
        <w:tc>
          <w:tcPr>
            <w:tcW w:w="1721" w:type="dxa"/>
            <w:tcBorders>
              <w:top w:val="single" w:sz="4" w:space="0" w:color="auto"/>
            </w:tcBorders>
          </w:tcPr>
          <w:p w14:paraId="6B4C4BED" w14:textId="77777777" w:rsidR="002B7D4A" w:rsidRPr="002B7D4A" w:rsidRDefault="002B7D4A" w:rsidP="007233F6">
            <w:pPr>
              <w:jc w:val="center"/>
              <w:rPr>
                <w:color w:val="000000" w:themeColor="text1"/>
                <w:sz w:val="24"/>
                <w:szCs w:val="24"/>
              </w:rPr>
            </w:pPr>
            <w:r w:rsidRPr="002B7D4A">
              <w:rPr>
                <w:color w:val="000000" w:themeColor="text1"/>
                <w:sz w:val="24"/>
                <w:szCs w:val="24"/>
                <w:lang w:val="en-PH"/>
              </w:rPr>
              <w:t>26.39%</w:t>
            </w:r>
          </w:p>
        </w:tc>
      </w:tr>
      <w:tr w:rsidR="002B7D4A" w:rsidRPr="006B2D0D" w14:paraId="6CC7C3B9" w14:textId="77777777" w:rsidTr="002B7D4A">
        <w:trPr>
          <w:trHeight w:val="318"/>
        </w:trPr>
        <w:tc>
          <w:tcPr>
            <w:tcW w:w="2970" w:type="dxa"/>
            <w:vMerge/>
            <w:hideMark/>
          </w:tcPr>
          <w:p w14:paraId="36B2F16D" w14:textId="77777777" w:rsidR="002B7D4A" w:rsidRPr="002B7D4A" w:rsidRDefault="002B7D4A" w:rsidP="007233F6">
            <w:pPr>
              <w:rPr>
                <w:color w:val="000000" w:themeColor="text1"/>
                <w:sz w:val="24"/>
                <w:szCs w:val="24"/>
              </w:rPr>
            </w:pPr>
          </w:p>
        </w:tc>
        <w:tc>
          <w:tcPr>
            <w:tcW w:w="1721" w:type="dxa"/>
          </w:tcPr>
          <w:p w14:paraId="09E4C01D" w14:textId="77777777" w:rsidR="002B7D4A" w:rsidRPr="002B7D4A" w:rsidRDefault="002B7D4A" w:rsidP="007233F6">
            <w:pPr>
              <w:jc w:val="center"/>
              <w:rPr>
                <w:color w:val="000000" w:themeColor="text1"/>
                <w:sz w:val="24"/>
                <w:szCs w:val="24"/>
              </w:rPr>
            </w:pPr>
            <w:r w:rsidRPr="002B7D4A">
              <w:rPr>
                <w:color w:val="000000" w:themeColor="text1"/>
                <w:sz w:val="24"/>
                <w:szCs w:val="24"/>
              </w:rPr>
              <w:t>2</w:t>
            </w:r>
            <w:r w:rsidRPr="002B7D4A">
              <w:rPr>
                <w:color w:val="000000" w:themeColor="text1"/>
                <w:sz w:val="24"/>
                <w:szCs w:val="24"/>
                <w:vertAlign w:val="superscript"/>
              </w:rPr>
              <w:t>nd</w:t>
            </w:r>
            <w:r w:rsidRPr="002B7D4A">
              <w:rPr>
                <w:color w:val="000000" w:themeColor="text1"/>
                <w:sz w:val="24"/>
                <w:szCs w:val="24"/>
              </w:rPr>
              <w:t xml:space="preserve"> Year</w:t>
            </w:r>
          </w:p>
        </w:tc>
        <w:tc>
          <w:tcPr>
            <w:tcW w:w="1721" w:type="dxa"/>
          </w:tcPr>
          <w:p w14:paraId="27AAC006" w14:textId="77777777" w:rsidR="002B7D4A" w:rsidRPr="002B7D4A" w:rsidRDefault="002B7D4A" w:rsidP="007233F6">
            <w:pPr>
              <w:jc w:val="center"/>
              <w:rPr>
                <w:color w:val="000000" w:themeColor="text1"/>
                <w:sz w:val="24"/>
                <w:szCs w:val="24"/>
              </w:rPr>
            </w:pPr>
            <w:r w:rsidRPr="002B7D4A">
              <w:rPr>
                <w:color w:val="000000" w:themeColor="text1"/>
                <w:sz w:val="24"/>
                <w:szCs w:val="24"/>
              </w:rPr>
              <w:t>17</w:t>
            </w:r>
          </w:p>
        </w:tc>
        <w:tc>
          <w:tcPr>
            <w:tcW w:w="1721" w:type="dxa"/>
          </w:tcPr>
          <w:p w14:paraId="5C957574" w14:textId="77777777" w:rsidR="002B7D4A" w:rsidRPr="002B7D4A" w:rsidRDefault="002B7D4A" w:rsidP="007233F6">
            <w:pPr>
              <w:jc w:val="center"/>
              <w:rPr>
                <w:color w:val="000000" w:themeColor="text1"/>
                <w:sz w:val="24"/>
                <w:szCs w:val="24"/>
              </w:rPr>
            </w:pPr>
            <w:r w:rsidRPr="002B7D4A">
              <w:rPr>
                <w:color w:val="000000" w:themeColor="text1"/>
                <w:sz w:val="24"/>
                <w:szCs w:val="24"/>
                <w:lang w:val="en-PH"/>
              </w:rPr>
              <w:t>23.61%</w:t>
            </w:r>
          </w:p>
        </w:tc>
      </w:tr>
      <w:tr w:rsidR="002B7D4A" w:rsidRPr="006B2D0D" w14:paraId="629BC2F4" w14:textId="77777777" w:rsidTr="002B7D4A">
        <w:trPr>
          <w:trHeight w:val="318"/>
        </w:trPr>
        <w:tc>
          <w:tcPr>
            <w:tcW w:w="2970" w:type="dxa"/>
            <w:vMerge/>
          </w:tcPr>
          <w:p w14:paraId="46AC6F37" w14:textId="77777777" w:rsidR="002B7D4A" w:rsidRPr="002B7D4A" w:rsidRDefault="002B7D4A" w:rsidP="007233F6">
            <w:pPr>
              <w:rPr>
                <w:color w:val="000000" w:themeColor="text1"/>
                <w:sz w:val="24"/>
                <w:szCs w:val="24"/>
              </w:rPr>
            </w:pPr>
          </w:p>
        </w:tc>
        <w:tc>
          <w:tcPr>
            <w:tcW w:w="1721" w:type="dxa"/>
          </w:tcPr>
          <w:p w14:paraId="6033771B" w14:textId="77777777" w:rsidR="002B7D4A" w:rsidRPr="002B7D4A" w:rsidRDefault="002B7D4A" w:rsidP="007233F6">
            <w:pPr>
              <w:jc w:val="center"/>
              <w:rPr>
                <w:color w:val="000000" w:themeColor="text1"/>
                <w:sz w:val="24"/>
                <w:szCs w:val="24"/>
              </w:rPr>
            </w:pPr>
            <w:r w:rsidRPr="002B7D4A">
              <w:rPr>
                <w:color w:val="000000" w:themeColor="text1"/>
                <w:sz w:val="24"/>
                <w:szCs w:val="24"/>
              </w:rPr>
              <w:t>3</w:t>
            </w:r>
            <w:r w:rsidRPr="002B7D4A">
              <w:rPr>
                <w:color w:val="000000" w:themeColor="text1"/>
                <w:sz w:val="24"/>
                <w:szCs w:val="24"/>
                <w:vertAlign w:val="superscript"/>
              </w:rPr>
              <w:t>rd</w:t>
            </w:r>
            <w:r w:rsidRPr="002B7D4A">
              <w:rPr>
                <w:color w:val="000000" w:themeColor="text1"/>
                <w:sz w:val="24"/>
                <w:szCs w:val="24"/>
              </w:rPr>
              <w:t xml:space="preserve"> Year </w:t>
            </w:r>
          </w:p>
        </w:tc>
        <w:tc>
          <w:tcPr>
            <w:tcW w:w="1721" w:type="dxa"/>
          </w:tcPr>
          <w:p w14:paraId="316D36C1" w14:textId="77777777" w:rsidR="002B7D4A" w:rsidRPr="002B7D4A" w:rsidRDefault="002B7D4A" w:rsidP="007233F6">
            <w:pPr>
              <w:jc w:val="center"/>
              <w:rPr>
                <w:color w:val="000000" w:themeColor="text1"/>
                <w:sz w:val="24"/>
                <w:szCs w:val="24"/>
              </w:rPr>
            </w:pPr>
            <w:r w:rsidRPr="002B7D4A">
              <w:rPr>
                <w:color w:val="000000" w:themeColor="text1"/>
                <w:sz w:val="24"/>
                <w:szCs w:val="24"/>
              </w:rPr>
              <w:t>19</w:t>
            </w:r>
          </w:p>
        </w:tc>
        <w:tc>
          <w:tcPr>
            <w:tcW w:w="1721" w:type="dxa"/>
          </w:tcPr>
          <w:p w14:paraId="45DA4BD3" w14:textId="77777777" w:rsidR="002B7D4A" w:rsidRPr="002B7D4A" w:rsidRDefault="002B7D4A" w:rsidP="007233F6">
            <w:pPr>
              <w:jc w:val="center"/>
              <w:rPr>
                <w:color w:val="000000" w:themeColor="text1"/>
                <w:sz w:val="24"/>
                <w:szCs w:val="24"/>
              </w:rPr>
            </w:pPr>
            <w:r w:rsidRPr="002B7D4A">
              <w:rPr>
                <w:color w:val="000000" w:themeColor="text1"/>
                <w:sz w:val="24"/>
                <w:szCs w:val="24"/>
                <w:lang w:val="en-PH"/>
              </w:rPr>
              <w:t>26.39%</w:t>
            </w:r>
          </w:p>
        </w:tc>
      </w:tr>
      <w:tr w:rsidR="002B7D4A" w:rsidRPr="006B2D0D" w14:paraId="7D0A3935" w14:textId="77777777" w:rsidTr="002B7D4A">
        <w:trPr>
          <w:trHeight w:val="318"/>
        </w:trPr>
        <w:tc>
          <w:tcPr>
            <w:tcW w:w="2970" w:type="dxa"/>
            <w:vMerge/>
          </w:tcPr>
          <w:p w14:paraId="0C92FAA9" w14:textId="77777777" w:rsidR="002B7D4A" w:rsidRPr="002B7D4A" w:rsidRDefault="002B7D4A" w:rsidP="007233F6">
            <w:pPr>
              <w:rPr>
                <w:color w:val="000000" w:themeColor="text1"/>
                <w:sz w:val="24"/>
                <w:szCs w:val="24"/>
              </w:rPr>
            </w:pPr>
          </w:p>
        </w:tc>
        <w:tc>
          <w:tcPr>
            <w:tcW w:w="1721" w:type="dxa"/>
          </w:tcPr>
          <w:p w14:paraId="7DA6EE12" w14:textId="77777777" w:rsidR="002B7D4A" w:rsidRPr="002B7D4A" w:rsidRDefault="002B7D4A" w:rsidP="007233F6">
            <w:pPr>
              <w:jc w:val="center"/>
              <w:rPr>
                <w:color w:val="000000" w:themeColor="text1"/>
                <w:sz w:val="24"/>
                <w:szCs w:val="24"/>
              </w:rPr>
            </w:pPr>
            <w:r w:rsidRPr="002B7D4A">
              <w:rPr>
                <w:color w:val="000000" w:themeColor="text1"/>
                <w:sz w:val="24"/>
                <w:szCs w:val="24"/>
              </w:rPr>
              <w:t>4</w:t>
            </w:r>
            <w:r w:rsidRPr="002B7D4A">
              <w:rPr>
                <w:color w:val="000000" w:themeColor="text1"/>
                <w:sz w:val="24"/>
                <w:szCs w:val="24"/>
                <w:vertAlign w:val="superscript"/>
              </w:rPr>
              <w:t>th</w:t>
            </w:r>
            <w:r w:rsidRPr="002B7D4A">
              <w:rPr>
                <w:color w:val="000000" w:themeColor="text1"/>
                <w:sz w:val="24"/>
                <w:szCs w:val="24"/>
              </w:rPr>
              <w:t xml:space="preserve"> year</w:t>
            </w:r>
          </w:p>
        </w:tc>
        <w:tc>
          <w:tcPr>
            <w:tcW w:w="1721" w:type="dxa"/>
          </w:tcPr>
          <w:p w14:paraId="08083017" w14:textId="77777777" w:rsidR="002B7D4A" w:rsidRPr="002B7D4A" w:rsidRDefault="002B7D4A" w:rsidP="007233F6">
            <w:pPr>
              <w:jc w:val="center"/>
              <w:rPr>
                <w:color w:val="000000" w:themeColor="text1"/>
                <w:sz w:val="24"/>
                <w:szCs w:val="24"/>
              </w:rPr>
            </w:pPr>
            <w:r w:rsidRPr="002B7D4A">
              <w:rPr>
                <w:color w:val="000000" w:themeColor="text1"/>
                <w:sz w:val="24"/>
                <w:szCs w:val="24"/>
              </w:rPr>
              <w:t>17</w:t>
            </w:r>
          </w:p>
        </w:tc>
        <w:tc>
          <w:tcPr>
            <w:tcW w:w="1721" w:type="dxa"/>
          </w:tcPr>
          <w:p w14:paraId="3D298619" w14:textId="77777777" w:rsidR="002B7D4A" w:rsidRPr="002B7D4A" w:rsidRDefault="002B7D4A" w:rsidP="007233F6">
            <w:pPr>
              <w:jc w:val="center"/>
              <w:rPr>
                <w:color w:val="000000" w:themeColor="text1"/>
                <w:sz w:val="24"/>
                <w:szCs w:val="24"/>
              </w:rPr>
            </w:pPr>
            <w:r w:rsidRPr="002B7D4A">
              <w:rPr>
                <w:color w:val="000000" w:themeColor="text1"/>
                <w:sz w:val="24"/>
                <w:szCs w:val="24"/>
                <w:lang w:val="en-PH"/>
              </w:rPr>
              <w:t>23.61%</w:t>
            </w:r>
          </w:p>
        </w:tc>
      </w:tr>
      <w:tr w:rsidR="002B7D4A" w:rsidRPr="006B2D0D" w14:paraId="0E8F69E4" w14:textId="77777777" w:rsidTr="002B7D4A">
        <w:trPr>
          <w:trHeight w:val="318"/>
        </w:trPr>
        <w:tc>
          <w:tcPr>
            <w:tcW w:w="2970" w:type="dxa"/>
            <w:hideMark/>
          </w:tcPr>
          <w:p w14:paraId="0C419514" w14:textId="77777777" w:rsidR="002B7D4A" w:rsidRPr="002B7D4A" w:rsidRDefault="002B7D4A" w:rsidP="007233F6">
            <w:pPr>
              <w:rPr>
                <w:b/>
                <w:bCs/>
                <w:color w:val="000000" w:themeColor="text1"/>
                <w:sz w:val="24"/>
                <w:szCs w:val="24"/>
              </w:rPr>
            </w:pPr>
            <w:r w:rsidRPr="002B7D4A">
              <w:rPr>
                <w:b/>
                <w:bCs/>
                <w:color w:val="000000" w:themeColor="text1"/>
                <w:sz w:val="24"/>
                <w:szCs w:val="24"/>
              </w:rPr>
              <w:t>Total</w:t>
            </w:r>
          </w:p>
        </w:tc>
        <w:tc>
          <w:tcPr>
            <w:tcW w:w="1721" w:type="dxa"/>
          </w:tcPr>
          <w:p w14:paraId="4B00C641" w14:textId="77777777" w:rsidR="002B7D4A" w:rsidRPr="002B7D4A" w:rsidRDefault="002B7D4A" w:rsidP="007233F6">
            <w:pPr>
              <w:jc w:val="center"/>
              <w:rPr>
                <w:b/>
                <w:bCs/>
                <w:color w:val="000000" w:themeColor="text1"/>
                <w:sz w:val="24"/>
                <w:szCs w:val="24"/>
              </w:rPr>
            </w:pPr>
          </w:p>
        </w:tc>
        <w:tc>
          <w:tcPr>
            <w:tcW w:w="1721" w:type="dxa"/>
          </w:tcPr>
          <w:p w14:paraId="77C288F9" w14:textId="77777777" w:rsidR="002B7D4A" w:rsidRPr="002B7D4A" w:rsidRDefault="002B7D4A" w:rsidP="007233F6">
            <w:pPr>
              <w:jc w:val="center"/>
              <w:rPr>
                <w:b/>
                <w:bCs/>
                <w:color w:val="000000" w:themeColor="text1"/>
                <w:sz w:val="24"/>
                <w:szCs w:val="24"/>
              </w:rPr>
            </w:pPr>
            <w:r w:rsidRPr="002B7D4A">
              <w:rPr>
                <w:b/>
                <w:bCs/>
                <w:color w:val="000000" w:themeColor="text1"/>
                <w:sz w:val="24"/>
                <w:szCs w:val="24"/>
              </w:rPr>
              <w:t>72</w:t>
            </w:r>
          </w:p>
        </w:tc>
        <w:tc>
          <w:tcPr>
            <w:tcW w:w="1721" w:type="dxa"/>
          </w:tcPr>
          <w:p w14:paraId="7D0D9EBB" w14:textId="77777777" w:rsidR="002B7D4A" w:rsidRPr="002B7D4A" w:rsidRDefault="002B7D4A" w:rsidP="007233F6">
            <w:pPr>
              <w:jc w:val="center"/>
              <w:rPr>
                <w:b/>
                <w:bCs/>
                <w:color w:val="000000" w:themeColor="text1"/>
                <w:sz w:val="24"/>
                <w:szCs w:val="24"/>
              </w:rPr>
            </w:pPr>
            <w:r w:rsidRPr="002B7D4A">
              <w:rPr>
                <w:b/>
                <w:bCs/>
                <w:color w:val="000000" w:themeColor="text1"/>
                <w:sz w:val="24"/>
                <w:szCs w:val="24"/>
              </w:rPr>
              <w:t>100%</w:t>
            </w:r>
          </w:p>
        </w:tc>
      </w:tr>
    </w:tbl>
    <w:p w14:paraId="127A23C5" w14:textId="04610E1D" w:rsidR="004E38A0" w:rsidRDefault="004E38A0" w:rsidP="006B2D0D">
      <w:pPr>
        <w:spacing w:before="240" w:after="240"/>
        <w:jc w:val="both"/>
        <w:rPr>
          <w:b/>
          <w:bCs/>
          <w:sz w:val="24"/>
          <w:szCs w:val="24"/>
          <w:lang w:val="en-PH"/>
        </w:rPr>
      </w:pPr>
      <w:r>
        <w:rPr>
          <w:b/>
          <w:bCs/>
          <w:sz w:val="24"/>
          <w:szCs w:val="24"/>
          <w:lang w:val="en-PH"/>
        </w:rPr>
        <w:t>Instrument</w:t>
      </w:r>
    </w:p>
    <w:p w14:paraId="7A2F9512" w14:textId="77777777" w:rsidR="004E38A0" w:rsidRPr="004E38A0" w:rsidRDefault="004E38A0" w:rsidP="004E38A0">
      <w:pPr>
        <w:spacing w:before="240" w:after="240"/>
        <w:ind w:firstLine="720"/>
        <w:jc w:val="both"/>
        <w:rPr>
          <w:sz w:val="24"/>
          <w:szCs w:val="24"/>
          <w:lang w:val="en-PH"/>
        </w:rPr>
      </w:pPr>
      <w:r w:rsidRPr="004E38A0">
        <w:rPr>
          <w:sz w:val="24"/>
          <w:szCs w:val="24"/>
          <w:lang w:val="en-PH"/>
        </w:rPr>
        <w:t>The survey questionnaire used in this study was adopted from Alinea et al. (2024) and Perez (2024). Modifications were made to fit the objective of the study which is to determine the influence of Senior High School (SHS) welding competencies and differentiated instruction on the academic performance of college welding students, as well as to obtain information on SHS graduates’ skills perception before enrolling in college, how they perceived their academic preparedness upon entering college, and how they perceived differentiated instruction. It also aimed to assess students’ skills perception after completing SHS prior entering college since there will be no experts’ ratings for such matter if taken separately. Students belong to the first batch of K-12 program where basic education implementation was extended from 10 years to 13 years.</w:t>
      </w:r>
    </w:p>
    <w:p w14:paraId="0E76BE17" w14:textId="77777777" w:rsidR="004E38A0" w:rsidRPr="004E38A0" w:rsidRDefault="004E38A0" w:rsidP="004E38A0">
      <w:pPr>
        <w:spacing w:before="240" w:after="240"/>
        <w:ind w:firstLine="720"/>
        <w:jc w:val="both"/>
        <w:rPr>
          <w:sz w:val="24"/>
          <w:szCs w:val="24"/>
          <w:lang w:val="en-PH"/>
        </w:rPr>
      </w:pPr>
      <w:r w:rsidRPr="004E38A0">
        <w:rPr>
          <w:sz w:val="24"/>
          <w:szCs w:val="24"/>
          <w:lang w:val="en-PH"/>
        </w:rPr>
        <w:t>The instrument is composed of three parts. Part I – Profile of the Respondents elicits information on gender, age, year level in college, SHS strand graduated from and previous knowledge about welding during SHS. Part II – Senior High School Welding Competencies gauges students’ academic preparedness, practical skill and technical understanding on welding through 31 items while Part III – Differentiated Instruction Practices measures students’ perception on content differentiation (8), process differentiation (3) and product differentiation (4) implemented in their college welding classes through 15 items. These three parts collectively provide a holistic view of the imprints of prior SHS preparation and experiences on differentiated instruction in college.</w:t>
      </w:r>
    </w:p>
    <w:p w14:paraId="0169B411" w14:textId="7C673738" w:rsidR="004E38A0" w:rsidRDefault="004E38A0" w:rsidP="004E38A0">
      <w:pPr>
        <w:spacing w:before="240" w:after="240"/>
        <w:ind w:firstLine="720"/>
        <w:jc w:val="both"/>
        <w:rPr>
          <w:sz w:val="24"/>
          <w:szCs w:val="24"/>
          <w:lang w:val="en-PH"/>
        </w:rPr>
      </w:pPr>
      <w:r w:rsidRPr="004E38A0">
        <w:rPr>
          <w:sz w:val="24"/>
          <w:szCs w:val="24"/>
          <w:lang w:val="en-PH"/>
        </w:rPr>
        <w:t>A 5-point Likert scale was used to rate each of the statements, which made it possible to quantifiably analyze their own perceptions and competencies from (1) Strongly Disagree to (5) Strongly Agree. The study is fully assured that the respondents' answers are kept in the strictest of confidence and protected by the provisions of the Data Privacy Act of 2012 (Republic Act No. 10173). The information that is collected will be used only for research and will be reported in a form that will not reveal the identity of any individual.</w:t>
      </w:r>
    </w:p>
    <w:p w14:paraId="04EC17A6" w14:textId="6E230DBD" w:rsidR="004E38A0" w:rsidRPr="004E38A0" w:rsidRDefault="004E38A0" w:rsidP="004E38A0">
      <w:pPr>
        <w:spacing w:before="240" w:after="240"/>
        <w:jc w:val="both"/>
        <w:rPr>
          <w:b/>
          <w:bCs/>
          <w:sz w:val="24"/>
          <w:szCs w:val="24"/>
          <w:lang w:val="en-PH"/>
        </w:rPr>
      </w:pPr>
      <w:r>
        <w:rPr>
          <w:b/>
          <w:bCs/>
          <w:sz w:val="24"/>
          <w:szCs w:val="24"/>
          <w:lang w:val="en-PH"/>
        </w:rPr>
        <w:t>Data Gathering Procedure</w:t>
      </w:r>
    </w:p>
    <w:p w14:paraId="3C4710A7" w14:textId="77777777" w:rsidR="004E38A0" w:rsidRDefault="004E38A0" w:rsidP="004E38A0">
      <w:pPr>
        <w:spacing w:before="240" w:after="240"/>
        <w:ind w:firstLine="720"/>
        <w:jc w:val="both"/>
        <w:rPr>
          <w:sz w:val="24"/>
          <w:szCs w:val="24"/>
          <w:lang w:val="en-PH"/>
        </w:rPr>
      </w:pPr>
      <w:r w:rsidRPr="004E38A0">
        <w:rPr>
          <w:sz w:val="24"/>
          <w:szCs w:val="24"/>
          <w:lang w:val="en-PH"/>
        </w:rPr>
        <w:t>The methodology section is essential since it gives a detailed account of how the data was collected, thus positioning the research as credible and reliable. Through the open and clear presentation of these processes, the writer provides the readers with the opportunity to determine the precision of the research. This consists of three parts which together have all the steps of data collection.</w:t>
      </w:r>
      <w:r w:rsidRPr="004E38A0">
        <w:rPr>
          <w:sz w:val="24"/>
          <w:szCs w:val="24"/>
          <w:lang w:val="en-PH"/>
        </w:rPr>
        <w:tab/>
      </w:r>
    </w:p>
    <w:p w14:paraId="6332FC4C" w14:textId="64556D18" w:rsidR="004E38A0" w:rsidRPr="004E38A0" w:rsidRDefault="004E38A0" w:rsidP="004E38A0">
      <w:pPr>
        <w:spacing w:before="240" w:after="240"/>
        <w:ind w:firstLine="720"/>
        <w:jc w:val="both"/>
        <w:rPr>
          <w:sz w:val="24"/>
          <w:szCs w:val="24"/>
          <w:lang w:val="en-PH"/>
        </w:rPr>
      </w:pPr>
      <w:r w:rsidRPr="004E38A0">
        <w:rPr>
          <w:b/>
          <w:bCs/>
          <w:sz w:val="24"/>
          <w:szCs w:val="24"/>
          <w:lang w:val="en-PH"/>
        </w:rPr>
        <w:t>Preliminary stage.</w:t>
      </w:r>
      <w:r w:rsidRPr="004E38A0">
        <w:rPr>
          <w:sz w:val="24"/>
          <w:szCs w:val="24"/>
          <w:lang w:val="en-PH"/>
        </w:rPr>
        <w:t xml:space="preserve"> This stage included sending of letter of request for permission to undertake the study at the research site. The letters were sent to all the respective authorities through the Department Head of the program. This phase was also responsible for making of the informed consent which was sent to the respondents for reading and confirmation.  The researcher moved to the next phase once all the documentation was completed.</w:t>
      </w:r>
    </w:p>
    <w:p w14:paraId="3605D477" w14:textId="77777777" w:rsidR="004E38A0" w:rsidRPr="004E38A0" w:rsidRDefault="004E38A0" w:rsidP="004E38A0">
      <w:pPr>
        <w:spacing w:before="240" w:after="240"/>
        <w:jc w:val="both"/>
        <w:rPr>
          <w:sz w:val="24"/>
          <w:szCs w:val="24"/>
          <w:lang w:val="en-PH"/>
        </w:rPr>
      </w:pPr>
      <w:r w:rsidRPr="004E38A0">
        <w:rPr>
          <w:sz w:val="24"/>
          <w:szCs w:val="24"/>
          <w:lang w:val="en-PH"/>
        </w:rPr>
        <w:tab/>
      </w:r>
      <w:r w:rsidRPr="004E38A0">
        <w:rPr>
          <w:b/>
          <w:bCs/>
          <w:sz w:val="24"/>
          <w:szCs w:val="24"/>
          <w:lang w:val="en-PH"/>
        </w:rPr>
        <w:t>Data gathering stage.</w:t>
      </w:r>
      <w:r w:rsidRPr="004E38A0">
        <w:rPr>
          <w:sz w:val="24"/>
          <w:szCs w:val="24"/>
          <w:lang w:val="en-PH"/>
        </w:rPr>
        <w:t xml:space="preserve"> The questionnaire was administered after a brief orientation, which guided participants on completing the instrument, explained the response format and timing, and emphasized the confidentiality of personal information under the Data Privacy Act.</w:t>
      </w:r>
    </w:p>
    <w:p w14:paraId="02205052" w14:textId="0D56B5D5" w:rsidR="004E38A0" w:rsidRPr="004E38A0" w:rsidRDefault="004E38A0" w:rsidP="004E38A0">
      <w:pPr>
        <w:spacing w:before="240" w:after="240"/>
        <w:jc w:val="both"/>
        <w:rPr>
          <w:sz w:val="24"/>
          <w:szCs w:val="24"/>
          <w:lang w:val="en-PH"/>
        </w:rPr>
      </w:pPr>
      <w:r w:rsidRPr="004E38A0">
        <w:rPr>
          <w:sz w:val="24"/>
          <w:szCs w:val="24"/>
          <w:lang w:val="en-PH"/>
        </w:rPr>
        <w:tab/>
      </w:r>
      <w:r w:rsidRPr="004E38A0">
        <w:rPr>
          <w:b/>
          <w:bCs/>
          <w:sz w:val="24"/>
          <w:szCs w:val="24"/>
          <w:lang w:val="en-PH"/>
        </w:rPr>
        <w:t>Post Data Gathering stage</w:t>
      </w:r>
      <w:r w:rsidRPr="004E38A0">
        <w:rPr>
          <w:sz w:val="24"/>
          <w:szCs w:val="24"/>
          <w:lang w:val="en-PH"/>
        </w:rPr>
        <w:t>. Once data collection was completed and the study objectives was achieved, the raw data that was gathered from the questionnaires was undergo rigorous statistical computations. These processed data will then be prepared for comprehensive presentation, in-depth analysis, and insightful interpretation.</w:t>
      </w:r>
    </w:p>
    <w:p w14:paraId="179EB08B" w14:textId="53E4FAE6" w:rsidR="006B2D0D" w:rsidRPr="006B2D0D" w:rsidRDefault="006B2D0D" w:rsidP="006B2D0D">
      <w:pPr>
        <w:spacing w:before="240" w:after="240"/>
        <w:jc w:val="both"/>
        <w:rPr>
          <w:b/>
          <w:bCs/>
          <w:sz w:val="28"/>
          <w:szCs w:val="28"/>
          <w:lang w:val="en-PH"/>
        </w:rPr>
      </w:pPr>
      <w:r w:rsidRPr="006B2D0D">
        <w:rPr>
          <w:b/>
          <w:bCs/>
          <w:sz w:val="28"/>
          <w:szCs w:val="28"/>
          <w:lang w:val="en-PH"/>
        </w:rPr>
        <w:t>RESULTS AND DISCUSSIONS</w:t>
      </w:r>
    </w:p>
    <w:p w14:paraId="46F8016D" w14:textId="55CE9DAB" w:rsidR="004F3807" w:rsidRPr="00795734" w:rsidRDefault="004E38A0" w:rsidP="004E38A0">
      <w:pPr>
        <w:spacing w:before="240" w:after="240"/>
        <w:ind w:firstLine="720"/>
        <w:jc w:val="both"/>
        <w:rPr>
          <w:sz w:val="24"/>
          <w:szCs w:val="24"/>
          <w:lang w:val="en-PH"/>
        </w:rPr>
      </w:pPr>
      <w:r w:rsidRPr="004E38A0">
        <w:rPr>
          <w:sz w:val="24"/>
          <w:szCs w:val="24"/>
          <w:lang w:val="en-PH"/>
        </w:rPr>
        <w:t>This presents the study’s findings based on the data collected from the respondents. It explains how the data was analyzed and describes the respondents’ profile to give a clear view of who participated in the study. The results are presented in an organized way to show key patterns and relationships.</w:t>
      </w:r>
    </w:p>
    <w:p w14:paraId="29ABE75F" w14:textId="1120C1FD" w:rsidR="00C66B68" w:rsidRPr="004E38A0" w:rsidRDefault="004E38A0" w:rsidP="00BB7EF0">
      <w:pPr>
        <w:spacing w:before="240" w:after="240"/>
        <w:jc w:val="both"/>
        <w:rPr>
          <w:b/>
          <w:bCs/>
          <w:sz w:val="24"/>
          <w:szCs w:val="24"/>
          <w:lang w:val="en-PH"/>
        </w:rPr>
      </w:pPr>
      <w:r w:rsidRPr="004E38A0">
        <w:rPr>
          <w:b/>
          <w:bCs/>
          <w:sz w:val="24"/>
          <w:szCs w:val="24"/>
          <w:lang w:val="en-PH"/>
        </w:rPr>
        <w:t>PROFILE OF THE RESPONDENTS</w:t>
      </w:r>
    </w:p>
    <w:p w14:paraId="6F2C7FBE" w14:textId="5AEBB482" w:rsidR="00C66B68" w:rsidRDefault="004E38A0" w:rsidP="004E38A0">
      <w:pPr>
        <w:spacing w:before="240" w:after="240"/>
        <w:ind w:firstLine="720"/>
        <w:jc w:val="both"/>
        <w:rPr>
          <w:sz w:val="24"/>
          <w:szCs w:val="24"/>
          <w:lang w:val="en-PH"/>
        </w:rPr>
      </w:pPr>
      <w:r w:rsidRPr="004E38A0">
        <w:rPr>
          <w:sz w:val="24"/>
          <w:szCs w:val="24"/>
          <w:lang w:val="en-PH"/>
        </w:rPr>
        <w:t>In the following part are discussed the findings one by one concerning the profile of the respondent’s gender-wise whether it is male or female, their year level, and their completed senior high school strand.</w:t>
      </w:r>
    </w:p>
    <w:p w14:paraId="791AE7E9" w14:textId="3A3896F3" w:rsidR="004E38A0" w:rsidRPr="004E38A0" w:rsidRDefault="004E38A0" w:rsidP="004E38A0">
      <w:pPr>
        <w:spacing w:before="240" w:after="240"/>
        <w:jc w:val="both"/>
        <w:rPr>
          <w:b/>
          <w:bCs/>
          <w:sz w:val="24"/>
          <w:szCs w:val="24"/>
          <w:lang w:val="en-PH"/>
        </w:rPr>
      </w:pPr>
      <w:r w:rsidRPr="004E38A0">
        <w:rPr>
          <w:b/>
          <w:bCs/>
          <w:sz w:val="24"/>
          <w:szCs w:val="24"/>
          <w:lang w:val="en-PH"/>
        </w:rPr>
        <w:t>Age and Gender</w:t>
      </w:r>
    </w:p>
    <w:p w14:paraId="02E6B03E" w14:textId="35C63B7A" w:rsidR="00C66B68" w:rsidRDefault="004E38A0" w:rsidP="004E38A0">
      <w:pPr>
        <w:spacing w:before="240" w:after="240"/>
        <w:ind w:firstLine="720"/>
        <w:jc w:val="both"/>
        <w:rPr>
          <w:sz w:val="24"/>
          <w:szCs w:val="24"/>
          <w:lang w:val="en-PH"/>
        </w:rPr>
      </w:pPr>
      <w:r w:rsidRPr="004E38A0">
        <w:rPr>
          <w:sz w:val="24"/>
          <w:szCs w:val="24"/>
          <w:lang w:val="en-PH"/>
        </w:rPr>
        <w:t>The distribution of the respondents according to age and gender was presented in Table 2, showing the frequency and percentage of male and female participants across the specified age groups.</w:t>
      </w:r>
    </w:p>
    <w:p w14:paraId="6E024614" w14:textId="14EF40FC" w:rsidR="002B7D4A" w:rsidRPr="002B7D4A" w:rsidRDefault="002B7D4A" w:rsidP="002B7D4A">
      <w:pPr>
        <w:spacing w:before="240" w:after="240"/>
        <w:rPr>
          <w:b/>
          <w:bCs/>
          <w:color w:val="000000" w:themeColor="text1"/>
          <w:sz w:val="24"/>
          <w:szCs w:val="24"/>
        </w:rPr>
      </w:pPr>
      <w:r w:rsidRPr="004E38A0">
        <w:rPr>
          <w:b/>
          <w:bCs/>
          <w:color w:val="000000" w:themeColor="text1"/>
          <w:sz w:val="24"/>
          <w:szCs w:val="24"/>
        </w:rPr>
        <w:t>Table 2</w:t>
      </w:r>
      <w:r>
        <w:rPr>
          <w:b/>
          <w:bCs/>
          <w:color w:val="000000" w:themeColor="text1"/>
          <w:sz w:val="24"/>
          <w:szCs w:val="24"/>
        </w:rPr>
        <w:t xml:space="preserve">. </w:t>
      </w:r>
      <w:r w:rsidRPr="004E38A0">
        <w:rPr>
          <w:b/>
          <w:bCs/>
          <w:color w:val="000000" w:themeColor="text1"/>
          <w:sz w:val="24"/>
          <w:szCs w:val="24"/>
        </w:rPr>
        <w:t xml:space="preserve">Age and Gender of the Respondents </w:t>
      </w:r>
    </w:p>
    <w:tbl>
      <w:tblPr>
        <w:tblW w:w="7570" w:type="dxa"/>
        <w:tblLook w:val="04A0" w:firstRow="1" w:lastRow="0" w:firstColumn="1" w:lastColumn="0" w:noHBand="0" w:noVBand="1"/>
      </w:tblPr>
      <w:tblGrid>
        <w:gridCol w:w="1701"/>
        <w:gridCol w:w="483"/>
        <w:gridCol w:w="1438"/>
        <w:gridCol w:w="824"/>
        <w:gridCol w:w="1140"/>
        <w:gridCol w:w="567"/>
        <w:gridCol w:w="1417"/>
      </w:tblGrid>
      <w:tr w:rsidR="004E38A0" w:rsidRPr="00461DDB" w14:paraId="1B172D35" w14:textId="77777777" w:rsidTr="002B7D4A">
        <w:trPr>
          <w:trHeight w:val="263"/>
        </w:trPr>
        <w:tc>
          <w:tcPr>
            <w:tcW w:w="1701" w:type="dxa"/>
            <w:vMerge w:val="restart"/>
            <w:tcBorders>
              <w:top w:val="single" w:sz="4" w:space="0" w:color="auto"/>
            </w:tcBorders>
            <w:noWrap/>
            <w:vAlign w:val="center"/>
            <w:hideMark/>
          </w:tcPr>
          <w:p w14:paraId="5ABE2430"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 xml:space="preserve">Age </w:t>
            </w:r>
          </w:p>
        </w:tc>
        <w:tc>
          <w:tcPr>
            <w:tcW w:w="1921" w:type="dxa"/>
            <w:gridSpan w:val="2"/>
            <w:tcBorders>
              <w:top w:val="single" w:sz="4" w:space="0" w:color="auto"/>
            </w:tcBorders>
            <w:noWrap/>
            <w:vAlign w:val="center"/>
            <w:hideMark/>
          </w:tcPr>
          <w:p w14:paraId="4B7F2FFC"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 xml:space="preserve">Female </w:t>
            </w:r>
          </w:p>
        </w:tc>
        <w:tc>
          <w:tcPr>
            <w:tcW w:w="1964" w:type="dxa"/>
            <w:gridSpan w:val="2"/>
            <w:tcBorders>
              <w:top w:val="single" w:sz="4" w:space="0" w:color="auto"/>
            </w:tcBorders>
            <w:noWrap/>
            <w:vAlign w:val="center"/>
            <w:hideMark/>
          </w:tcPr>
          <w:p w14:paraId="6960BB9F"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 xml:space="preserve">Male </w:t>
            </w:r>
          </w:p>
        </w:tc>
        <w:tc>
          <w:tcPr>
            <w:tcW w:w="1984" w:type="dxa"/>
            <w:gridSpan w:val="2"/>
            <w:tcBorders>
              <w:top w:val="single" w:sz="4" w:space="0" w:color="auto"/>
            </w:tcBorders>
            <w:noWrap/>
            <w:vAlign w:val="center"/>
            <w:hideMark/>
          </w:tcPr>
          <w:p w14:paraId="3F0AC43D"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 xml:space="preserve">Total </w:t>
            </w:r>
          </w:p>
        </w:tc>
      </w:tr>
      <w:tr w:rsidR="004E38A0" w:rsidRPr="00461DDB" w14:paraId="5497C35D" w14:textId="77777777" w:rsidTr="002B7D4A">
        <w:trPr>
          <w:trHeight w:val="263"/>
        </w:trPr>
        <w:tc>
          <w:tcPr>
            <w:tcW w:w="1701" w:type="dxa"/>
            <w:vMerge/>
            <w:tcBorders>
              <w:bottom w:val="single" w:sz="4" w:space="0" w:color="auto"/>
            </w:tcBorders>
            <w:vAlign w:val="center"/>
            <w:hideMark/>
          </w:tcPr>
          <w:p w14:paraId="632E03F2" w14:textId="77777777" w:rsidR="004E38A0" w:rsidRPr="004E38A0" w:rsidRDefault="004E38A0" w:rsidP="004E38A0">
            <w:pPr>
              <w:rPr>
                <w:b/>
                <w:bCs/>
                <w:color w:val="000000" w:themeColor="text1"/>
                <w:sz w:val="24"/>
                <w:szCs w:val="24"/>
              </w:rPr>
            </w:pPr>
          </w:p>
        </w:tc>
        <w:tc>
          <w:tcPr>
            <w:tcW w:w="483" w:type="dxa"/>
            <w:tcBorders>
              <w:bottom w:val="single" w:sz="4" w:space="0" w:color="auto"/>
            </w:tcBorders>
            <w:noWrap/>
            <w:vAlign w:val="center"/>
            <w:hideMark/>
          </w:tcPr>
          <w:p w14:paraId="775A55DE"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f</w:t>
            </w:r>
          </w:p>
        </w:tc>
        <w:tc>
          <w:tcPr>
            <w:tcW w:w="1438" w:type="dxa"/>
            <w:tcBorders>
              <w:bottom w:val="single" w:sz="4" w:space="0" w:color="auto"/>
            </w:tcBorders>
            <w:noWrap/>
            <w:vAlign w:val="center"/>
            <w:hideMark/>
          </w:tcPr>
          <w:p w14:paraId="5F9D289F"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w:t>
            </w:r>
          </w:p>
        </w:tc>
        <w:tc>
          <w:tcPr>
            <w:tcW w:w="824" w:type="dxa"/>
            <w:tcBorders>
              <w:bottom w:val="single" w:sz="4" w:space="0" w:color="auto"/>
            </w:tcBorders>
            <w:noWrap/>
            <w:vAlign w:val="center"/>
            <w:hideMark/>
          </w:tcPr>
          <w:p w14:paraId="2B2C4915"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f</w:t>
            </w:r>
          </w:p>
        </w:tc>
        <w:tc>
          <w:tcPr>
            <w:tcW w:w="1140" w:type="dxa"/>
            <w:tcBorders>
              <w:bottom w:val="single" w:sz="4" w:space="0" w:color="auto"/>
            </w:tcBorders>
            <w:noWrap/>
            <w:vAlign w:val="center"/>
            <w:hideMark/>
          </w:tcPr>
          <w:p w14:paraId="5CFC84FE"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w:t>
            </w:r>
          </w:p>
        </w:tc>
        <w:tc>
          <w:tcPr>
            <w:tcW w:w="567" w:type="dxa"/>
            <w:tcBorders>
              <w:bottom w:val="single" w:sz="4" w:space="0" w:color="auto"/>
            </w:tcBorders>
            <w:noWrap/>
            <w:vAlign w:val="center"/>
            <w:hideMark/>
          </w:tcPr>
          <w:p w14:paraId="5E86E05C"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f</w:t>
            </w:r>
          </w:p>
        </w:tc>
        <w:tc>
          <w:tcPr>
            <w:tcW w:w="1417" w:type="dxa"/>
            <w:tcBorders>
              <w:bottom w:val="single" w:sz="4" w:space="0" w:color="auto"/>
            </w:tcBorders>
            <w:noWrap/>
            <w:vAlign w:val="center"/>
            <w:hideMark/>
          </w:tcPr>
          <w:p w14:paraId="775A0C53"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w:t>
            </w:r>
          </w:p>
        </w:tc>
      </w:tr>
      <w:tr w:rsidR="004E38A0" w:rsidRPr="00461DDB" w14:paraId="145C70BB" w14:textId="77777777" w:rsidTr="002B7D4A">
        <w:trPr>
          <w:trHeight w:val="263"/>
        </w:trPr>
        <w:tc>
          <w:tcPr>
            <w:tcW w:w="1701" w:type="dxa"/>
            <w:tcBorders>
              <w:top w:val="single" w:sz="4" w:space="0" w:color="auto"/>
            </w:tcBorders>
            <w:noWrap/>
            <w:vAlign w:val="center"/>
            <w:hideMark/>
          </w:tcPr>
          <w:p w14:paraId="5D2EA053" w14:textId="77777777" w:rsidR="004E38A0" w:rsidRPr="004E38A0" w:rsidRDefault="004E38A0" w:rsidP="004E38A0">
            <w:pPr>
              <w:jc w:val="center"/>
              <w:rPr>
                <w:color w:val="000000" w:themeColor="text1"/>
                <w:sz w:val="24"/>
                <w:szCs w:val="24"/>
              </w:rPr>
            </w:pPr>
            <w:r w:rsidRPr="004E38A0">
              <w:rPr>
                <w:color w:val="000000" w:themeColor="text1"/>
                <w:sz w:val="24"/>
                <w:szCs w:val="24"/>
              </w:rPr>
              <w:t>26 and above</w:t>
            </w:r>
          </w:p>
        </w:tc>
        <w:tc>
          <w:tcPr>
            <w:tcW w:w="483" w:type="dxa"/>
            <w:tcBorders>
              <w:top w:val="single" w:sz="4" w:space="0" w:color="auto"/>
            </w:tcBorders>
            <w:noWrap/>
            <w:vAlign w:val="center"/>
            <w:hideMark/>
          </w:tcPr>
          <w:p w14:paraId="60C96C50" w14:textId="77777777" w:rsidR="004E38A0" w:rsidRPr="004E38A0" w:rsidRDefault="004E38A0" w:rsidP="004E38A0">
            <w:pPr>
              <w:jc w:val="center"/>
              <w:rPr>
                <w:color w:val="000000" w:themeColor="text1"/>
                <w:sz w:val="24"/>
                <w:szCs w:val="24"/>
              </w:rPr>
            </w:pPr>
            <w:r w:rsidRPr="004E38A0">
              <w:rPr>
                <w:color w:val="000000" w:themeColor="text1"/>
                <w:sz w:val="24"/>
                <w:szCs w:val="24"/>
              </w:rPr>
              <w:t>0</w:t>
            </w:r>
          </w:p>
        </w:tc>
        <w:tc>
          <w:tcPr>
            <w:tcW w:w="1438" w:type="dxa"/>
            <w:tcBorders>
              <w:top w:val="single" w:sz="4" w:space="0" w:color="auto"/>
            </w:tcBorders>
            <w:noWrap/>
            <w:vAlign w:val="center"/>
            <w:hideMark/>
          </w:tcPr>
          <w:p w14:paraId="2A4D22F0" w14:textId="77777777" w:rsidR="004E38A0" w:rsidRPr="004E38A0" w:rsidRDefault="004E38A0" w:rsidP="004E38A0">
            <w:pPr>
              <w:jc w:val="center"/>
              <w:rPr>
                <w:color w:val="000000" w:themeColor="text1"/>
                <w:sz w:val="24"/>
                <w:szCs w:val="24"/>
              </w:rPr>
            </w:pPr>
            <w:r w:rsidRPr="004E38A0">
              <w:rPr>
                <w:color w:val="000000" w:themeColor="text1"/>
                <w:sz w:val="24"/>
                <w:szCs w:val="24"/>
              </w:rPr>
              <w:t>0.00</w:t>
            </w:r>
          </w:p>
        </w:tc>
        <w:tc>
          <w:tcPr>
            <w:tcW w:w="824" w:type="dxa"/>
            <w:tcBorders>
              <w:top w:val="single" w:sz="4" w:space="0" w:color="auto"/>
            </w:tcBorders>
            <w:noWrap/>
            <w:vAlign w:val="center"/>
            <w:hideMark/>
          </w:tcPr>
          <w:p w14:paraId="6C421DE9" w14:textId="77777777" w:rsidR="004E38A0" w:rsidRPr="004E38A0" w:rsidRDefault="004E38A0" w:rsidP="004E38A0">
            <w:pPr>
              <w:jc w:val="center"/>
              <w:rPr>
                <w:color w:val="000000" w:themeColor="text1"/>
                <w:sz w:val="24"/>
                <w:szCs w:val="24"/>
              </w:rPr>
            </w:pPr>
            <w:r w:rsidRPr="004E38A0">
              <w:rPr>
                <w:color w:val="000000" w:themeColor="text1"/>
                <w:sz w:val="24"/>
                <w:szCs w:val="24"/>
              </w:rPr>
              <w:t>1</w:t>
            </w:r>
          </w:p>
        </w:tc>
        <w:tc>
          <w:tcPr>
            <w:tcW w:w="1140" w:type="dxa"/>
            <w:tcBorders>
              <w:top w:val="single" w:sz="4" w:space="0" w:color="auto"/>
            </w:tcBorders>
            <w:noWrap/>
            <w:vAlign w:val="center"/>
            <w:hideMark/>
          </w:tcPr>
          <w:p w14:paraId="3F8273D9" w14:textId="77777777" w:rsidR="004E38A0" w:rsidRPr="004E38A0" w:rsidRDefault="004E38A0" w:rsidP="004E38A0">
            <w:pPr>
              <w:jc w:val="center"/>
              <w:rPr>
                <w:color w:val="000000" w:themeColor="text1"/>
                <w:sz w:val="24"/>
                <w:szCs w:val="24"/>
              </w:rPr>
            </w:pPr>
            <w:r w:rsidRPr="004E38A0">
              <w:rPr>
                <w:color w:val="000000" w:themeColor="text1"/>
                <w:sz w:val="24"/>
                <w:szCs w:val="24"/>
              </w:rPr>
              <w:t>2.17</w:t>
            </w:r>
          </w:p>
        </w:tc>
        <w:tc>
          <w:tcPr>
            <w:tcW w:w="567" w:type="dxa"/>
            <w:tcBorders>
              <w:top w:val="single" w:sz="4" w:space="0" w:color="auto"/>
            </w:tcBorders>
            <w:noWrap/>
            <w:vAlign w:val="center"/>
            <w:hideMark/>
          </w:tcPr>
          <w:p w14:paraId="0AA31D95" w14:textId="77777777" w:rsidR="004E38A0" w:rsidRPr="004E38A0" w:rsidRDefault="004E38A0" w:rsidP="004E38A0">
            <w:pPr>
              <w:jc w:val="center"/>
              <w:rPr>
                <w:color w:val="000000" w:themeColor="text1"/>
                <w:sz w:val="24"/>
                <w:szCs w:val="24"/>
              </w:rPr>
            </w:pPr>
            <w:r w:rsidRPr="004E38A0">
              <w:rPr>
                <w:color w:val="000000" w:themeColor="text1"/>
                <w:sz w:val="24"/>
                <w:szCs w:val="24"/>
              </w:rPr>
              <w:t>1</w:t>
            </w:r>
          </w:p>
        </w:tc>
        <w:tc>
          <w:tcPr>
            <w:tcW w:w="1417" w:type="dxa"/>
            <w:tcBorders>
              <w:top w:val="single" w:sz="4" w:space="0" w:color="auto"/>
            </w:tcBorders>
            <w:noWrap/>
            <w:vAlign w:val="center"/>
            <w:hideMark/>
          </w:tcPr>
          <w:p w14:paraId="2EB29720" w14:textId="77777777" w:rsidR="004E38A0" w:rsidRPr="004E38A0" w:rsidRDefault="004E38A0" w:rsidP="004E38A0">
            <w:pPr>
              <w:jc w:val="center"/>
              <w:rPr>
                <w:color w:val="000000" w:themeColor="text1"/>
                <w:sz w:val="24"/>
                <w:szCs w:val="24"/>
              </w:rPr>
            </w:pPr>
            <w:r w:rsidRPr="004E38A0">
              <w:rPr>
                <w:color w:val="000000" w:themeColor="text1"/>
                <w:sz w:val="24"/>
                <w:szCs w:val="24"/>
              </w:rPr>
              <w:t>2.17</w:t>
            </w:r>
          </w:p>
        </w:tc>
      </w:tr>
      <w:tr w:rsidR="004E38A0" w:rsidRPr="00461DDB" w14:paraId="5EC675DE" w14:textId="77777777" w:rsidTr="002B7D4A">
        <w:trPr>
          <w:trHeight w:val="263"/>
        </w:trPr>
        <w:tc>
          <w:tcPr>
            <w:tcW w:w="1701" w:type="dxa"/>
            <w:noWrap/>
            <w:vAlign w:val="center"/>
            <w:hideMark/>
          </w:tcPr>
          <w:p w14:paraId="395D8210" w14:textId="77777777" w:rsidR="004E38A0" w:rsidRPr="004E38A0" w:rsidRDefault="004E38A0" w:rsidP="004E38A0">
            <w:pPr>
              <w:jc w:val="center"/>
              <w:rPr>
                <w:color w:val="000000" w:themeColor="text1"/>
                <w:sz w:val="24"/>
                <w:szCs w:val="24"/>
              </w:rPr>
            </w:pPr>
            <w:r w:rsidRPr="004E38A0">
              <w:rPr>
                <w:color w:val="000000" w:themeColor="text1"/>
                <w:sz w:val="24"/>
                <w:szCs w:val="24"/>
              </w:rPr>
              <w:t>21-25</w:t>
            </w:r>
          </w:p>
        </w:tc>
        <w:tc>
          <w:tcPr>
            <w:tcW w:w="483" w:type="dxa"/>
            <w:noWrap/>
            <w:vAlign w:val="center"/>
            <w:hideMark/>
          </w:tcPr>
          <w:p w14:paraId="53536844" w14:textId="77777777" w:rsidR="004E38A0" w:rsidRPr="004E38A0" w:rsidRDefault="004E38A0" w:rsidP="004E38A0">
            <w:pPr>
              <w:jc w:val="center"/>
              <w:rPr>
                <w:color w:val="000000" w:themeColor="text1"/>
                <w:sz w:val="24"/>
                <w:szCs w:val="24"/>
              </w:rPr>
            </w:pPr>
            <w:r w:rsidRPr="004E38A0">
              <w:rPr>
                <w:color w:val="000000" w:themeColor="text1"/>
                <w:sz w:val="24"/>
                <w:szCs w:val="24"/>
              </w:rPr>
              <w:t>11</w:t>
            </w:r>
          </w:p>
        </w:tc>
        <w:tc>
          <w:tcPr>
            <w:tcW w:w="1438" w:type="dxa"/>
            <w:noWrap/>
            <w:vAlign w:val="center"/>
            <w:hideMark/>
          </w:tcPr>
          <w:p w14:paraId="41D3EB58" w14:textId="77777777" w:rsidR="004E38A0" w:rsidRPr="004E38A0" w:rsidRDefault="004E38A0" w:rsidP="004E38A0">
            <w:pPr>
              <w:jc w:val="center"/>
              <w:rPr>
                <w:color w:val="000000" w:themeColor="text1"/>
                <w:sz w:val="24"/>
                <w:szCs w:val="24"/>
              </w:rPr>
            </w:pPr>
            <w:r w:rsidRPr="004E38A0">
              <w:rPr>
                <w:color w:val="000000" w:themeColor="text1"/>
                <w:sz w:val="24"/>
                <w:szCs w:val="24"/>
              </w:rPr>
              <w:t>23.91</w:t>
            </w:r>
          </w:p>
        </w:tc>
        <w:tc>
          <w:tcPr>
            <w:tcW w:w="824" w:type="dxa"/>
            <w:noWrap/>
            <w:vAlign w:val="center"/>
            <w:hideMark/>
          </w:tcPr>
          <w:p w14:paraId="79F8655C" w14:textId="77777777" w:rsidR="004E38A0" w:rsidRPr="004E38A0" w:rsidRDefault="004E38A0" w:rsidP="004E38A0">
            <w:pPr>
              <w:jc w:val="center"/>
              <w:rPr>
                <w:color w:val="000000" w:themeColor="text1"/>
                <w:sz w:val="24"/>
                <w:szCs w:val="24"/>
              </w:rPr>
            </w:pPr>
            <w:r w:rsidRPr="004E38A0">
              <w:rPr>
                <w:color w:val="000000" w:themeColor="text1"/>
                <w:sz w:val="24"/>
                <w:szCs w:val="24"/>
              </w:rPr>
              <w:t>10</w:t>
            </w:r>
          </w:p>
        </w:tc>
        <w:tc>
          <w:tcPr>
            <w:tcW w:w="1140" w:type="dxa"/>
            <w:noWrap/>
            <w:vAlign w:val="center"/>
            <w:hideMark/>
          </w:tcPr>
          <w:p w14:paraId="495564D2" w14:textId="77777777" w:rsidR="004E38A0" w:rsidRPr="004E38A0" w:rsidRDefault="004E38A0" w:rsidP="004E38A0">
            <w:pPr>
              <w:jc w:val="center"/>
              <w:rPr>
                <w:color w:val="000000" w:themeColor="text1"/>
                <w:sz w:val="24"/>
                <w:szCs w:val="24"/>
              </w:rPr>
            </w:pPr>
            <w:r w:rsidRPr="004E38A0">
              <w:rPr>
                <w:color w:val="000000" w:themeColor="text1"/>
                <w:sz w:val="24"/>
                <w:szCs w:val="24"/>
              </w:rPr>
              <w:t>21.74</w:t>
            </w:r>
          </w:p>
        </w:tc>
        <w:tc>
          <w:tcPr>
            <w:tcW w:w="567" w:type="dxa"/>
            <w:noWrap/>
            <w:vAlign w:val="center"/>
            <w:hideMark/>
          </w:tcPr>
          <w:p w14:paraId="6C09A36E" w14:textId="77777777" w:rsidR="004E38A0" w:rsidRPr="004E38A0" w:rsidRDefault="004E38A0" w:rsidP="004E38A0">
            <w:pPr>
              <w:jc w:val="center"/>
              <w:rPr>
                <w:color w:val="000000" w:themeColor="text1"/>
                <w:sz w:val="24"/>
                <w:szCs w:val="24"/>
              </w:rPr>
            </w:pPr>
            <w:r w:rsidRPr="004E38A0">
              <w:rPr>
                <w:color w:val="000000" w:themeColor="text1"/>
                <w:sz w:val="24"/>
                <w:szCs w:val="24"/>
              </w:rPr>
              <w:t>21</w:t>
            </w:r>
          </w:p>
        </w:tc>
        <w:tc>
          <w:tcPr>
            <w:tcW w:w="1417" w:type="dxa"/>
            <w:noWrap/>
            <w:vAlign w:val="center"/>
            <w:hideMark/>
          </w:tcPr>
          <w:p w14:paraId="48CF9651" w14:textId="77777777" w:rsidR="004E38A0" w:rsidRPr="004E38A0" w:rsidRDefault="004E38A0" w:rsidP="004E38A0">
            <w:pPr>
              <w:jc w:val="center"/>
              <w:rPr>
                <w:color w:val="000000" w:themeColor="text1"/>
                <w:sz w:val="24"/>
                <w:szCs w:val="24"/>
              </w:rPr>
            </w:pPr>
            <w:r w:rsidRPr="004E38A0">
              <w:rPr>
                <w:color w:val="000000" w:themeColor="text1"/>
                <w:sz w:val="24"/>
                <w:szCs w:val="24"/>
              </w:rPr>
              <w:t>45.65</w:t>
            </w:r>
          </w:p>
        </w:tc>
      </w:tr>
      <w:tr w:rsidR="004E38A0" w:rsidRPr="00461DDB" w14:paraId="05CF0B66" w14:textId="77777777" w:rsidTr="002B7D4A">
        <w:trPr>
          <w:trHeight w:val="263"/>
        </w:trPr>
        <w:tc>
          <w:tcPr>
            <w:tcW w:w="1701" w:type="dxa"/>
            <w:noWrap/>
            <w:vAlign w:val="center"/>
            <w:hideMark/>
          </w:tcPr>
          <w:p w14:paraId="7EA4BAAF" w14:textId="77777777" w:rsidR="004E38A0" w:rsidRPr="004E38A0" w:rsidRDefault="004E38A0" w:rsidP="004E38A0">
            <w:pPr>
              <w:jc w:val="center"/>
              <w:rPr>
                <w:color w:val="000000" w:themeColor="text1"/>
                <w:sz w:val="24"/>
                <w:szCs w:val="24"/>
              </w:rPr>
            </w:pPr>
            <w:r w:rsidRPr="004E38A0">
              <w:rPr>
                <w:color w:val="000000" w:themeColor="text1"/>
                <w:sz w:val="24"/>
                <w:szCs w:val="24"/>
              </w:rPr>
              <w:t xml:space="preserve">16-20 </w:t>
            </w:r>
          </w:p>
        </w:tc>
        <w:tc>
          <w:tcPr>
            <w:tcW w:w="483" w:type="dxa"/>
            <w:noWrap/>
            <w:vAlign w:val="center"/>
            <w:hideMark/>
          </w:tcPr>
          <w:p w14:paraId="109AC124" w14:textId="77777777" w:rsidR="004E38A0" w:rsidRPr="004E38A0" w:rsidRDefault="004E38A0" w:rsidP="004E38A0">
            <w:pPr>
              <w:jc w:val="center"/>
              <w:rPr>
                <w:color w:val="000000" w:themeColor="text1"/>
                <w:sz w:val="24"/>
                <w:szCs w:val="24"/>
              </w:rPr>
            </w:pPr>
            <w:r w:rsidRPr="004E38A0">
              <w:rPr>
                <w:color w:val="000000" w:themeColor="text1"/>
                <w:sz w:val="24"/>
                <w:szCs w:val="24"/>
              </w:rPr>
              <w:t>17</w:t>
            </w:r>
          </w:p>
        </w:tc>
        <w:tc>
          <w:tcPr>
            <w:tcW w:w="1438" w:type="dxa"/>
            <w:noWrap/>
            <w:vAlign w:val="center"/>
            <w:hideMark/>
          </w:tcPr>
          <w:p w14:paraId="1BF03568" w14:textId="77777777" w:rsidR="004E38A0" w:rsidRPr="004E38A0" w:rsidRDefault="004E38A0" w:rsidP="004E38A0">
            <w:pPr>
              <w:jc w:val="center"/>
              <w:rPr>
                <w:color w:val="000000" w:themeColor="text1"/>
                <w:sz w:val="24"/>
                <w:szCs w:val="24"/>
              </w:rPr>
            </w:pPr>
            <w:r w:rsidRPr="004E38A0">
              <w:rPr>
                <w:color w:val="000000" w:themeColor="text1"/>
                <w:sz w:val="24"/>
                <w:szCs w:val="24"/>
              </w:rPr>
              <w:t>36.96</w:t>
            </w:r>
          </w:p>
        </w:tc>
        <w:tc>
          <w:tcPr>
            <w:tcW w:w="824" w:type="dxa"/>
            <w:noWrap/>
            <w:vAlign w:val="center"/>
            <w:hideMark/>
          </w:tcPr>
          <w:p w14:paraId="693D9A84" w14:textId="77777777" w:rsidR="004E38A0" w:rsidRPr="004E38A0" w:rsidRDefault="004E38A0" w:rsidP="004E38A0">
            <w:pPr>
              <w:jc w:val="center"/>
              <w:rPr>
                <w:color w:val="000000" w:themeColor="text1"/>
                <w:sz w:val="24"/>
                <w:szCs w:val="24"/>
              </w:rPr>
            </w:pPr>
            <w:r w:rsidRPr="004E38A0">
              <w:rPr>
                <w:color w:val="000000" w:themeColor="text1"/>
                <w:sz w:val="24"/>
                <w:szCs w:val="24"/>
              </w:rPr>
              <w:t>7</w:t>
            </w:r>
          </w:p>
        </w:tc>
        <w:tc>
          <w:tcPr>
            <w:tcW w:w="1140" w:type="dxa"/>
            <w:noWrap/>
            <w:vAlign w:val="center"/>
            <w:hideMark/>
          </w:tcPr>
          <w:p w14:paraId="7B5D9B95" w14:textId="77777777" w:rsidR="004E38A0" w:rsidRPr="004E38A0" w:rsidRDefault="004E38A0" w:rsidP="004E38A0">
            <w:pPr>
              <w:jc w:val="center"/>
              <w:rPr>
                <w:color w:val="000000" w:themeColor="text1"/>
                <w:sz w:val="24"/>
                <w:szCs w:val="24"/>
              </w:rPr>
            </w:pPr>
            <w:r w:rsidRPr="004E38A0">
              <w:rPr>
                <w:color w:val="000000" w:themeColor="text1"/>
                <w:sz w:val="24"/>
                <w:szCs w:val="24"/>
              </w:rPr>
              <w:t>15.22</w:t>
            </w:r>
          </w:p>
        </w:tc>
        <w:tc>
          <w:tcPr>
            <w:tcW w:w="567" w:type="dxa"/>
            <w:noWrap/>
            <w:vAlign w:val="center"/>
            <w:hideMark/>
          </w:tcPr>
          <w:p w14:paraId="512696F8" w14:textId="77777777" w:rsidR="004E38A0" w:rsidRPr="004E38A0" w:rsidRDefault="004E38A0" w:rsidP="004E38A0">
            <w:pPr>
              <w:jc w:val="center"/>
              <w:rPr>
                <w:color w:val="000000" w:themeColor="text1"/>
                <w:sz w:val="24"/>
                <w:szCs w:val="24"/>
              </w:rPr>
            </w:pPr>
            <w:r w:rsidRPr="004E38A0">
              <w:rPr>
                <w:color w:val="000000" w:themeColor="text1"/>
                <w:sz w:val="24"/>
                <w:szCs w:val="24"/>
              </w:rPr>
              <w:t>24</w:t>
            </w:r>
          </w:p>
        </w:tc>
        <w:tc>
          <w:tcPr>
            <w:tcW w:w="1417" w:type="dxa"/>
            <w:noWrap/>
            <w:vAlign w:val="center"/>
            <w:hideMark/>
          </w:tcPr>
          <w:p w14:paraId="507A7B0A" w14:textId="77777777" w:rsidR="004E38A0" w:rsidRPr="004E38A0" w:rsidRDefault="004E38A0" w:rsidP="004E38A0">
            <w:pPr>
              <w:jc w:val="center"/>
              <w:rPr>
                <w:color w:val="000000" w:themeColor="text1"/>
                <w:sz w:val="24"/>
                <w:szCs w:val="24"/>
              </w:rPr>
            </w:pPr>
            <w:r w:rsidRPr="004E38A0">
              <w:rPr>
                <w:color w:val="000000" w:themeColor="text1"/>
                <w:sz w:val="24"/>
                <w:szCs w:val="24"/>
              </w:rPr>
              <w:t>52.17</w:t>
            </w:r>
          </w:p>
        </w:tc>
      </w:tr>
      <w:tr w:rsidR="004E38A0" w:rsidRPr="00461DDB" w14:paraId="139D32A4" w14:textId="77777777" w:rsidTr="002B7D4A">
        <w:trPr>
          <w:trHeight w:val="263"/>
        </w:trPr>
        <w:tc>
          <w:tcPr>
            <w:tcW w:w="1701" w:type="dxa"/>
            <w:tcBorders>
              <w:bottom w:val="single" w:sz="4" w:space="0" w:color="auto"/>
            </w:tcBorders>
            <w:noWrap/>
            <w:vAlign w:val="center"/>
            <w:hideMark/>
          </w:tcPr>
          <w:p w14:paraId="72F4F695"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Total</w:t>
            </w:r>
          </w:p>
        </w:tc>
        <w:tc>
          <w:tcPr>
            <w:tcW w:w="483" w:type="dxa"/>
            <w:tcBorders>
              <w:bottom w:val="single" w:sz="4" w:space="0" w:color="auto"/>
            </w:tcBorders>
            <w:noWrap/>
            <w:vAlign w:val="center"/>
            <w:hideMark/>
          </w:tcPr>
          <w:p w14:paraId="3AA4AA9D"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28</w:t>
            </w:r>
          </w:p>
        </w:tc>
        <w:tc>
          <w:tcPr>
            <w:tcW w:w="1438" w:type="dxa"/>
            <w:tcBorders>
              <w:bottom w:val="single" w:sz="4" w:space="0" w:color="auto"/>
            </w:tcBorders>
            <w:noWrap/>
            <w:vAlign w:val="center"/>
            <w:hideMark/>
          </w:tcPr>
          <w:p w14:paraId="5A3225DF"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60.87</w:t>
            </w:r>
          </w:p>
        </w:tc>
        <w:tc>
          <w:tcPr>
            <w:tcW w:w="824" w:type="dxa"/>
            <w:tcBorders>
              <w:bottom w:val="single" w:sz="4" w:space="0" w:color="auto"/>
            </w:tcBorders>
            <w:noWrap/>
            <w:vAlign w:val="center"/>
            <w:hideMark/>
          </w:tcPr>
          <w:p w14:paraId="50E3B7E0"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18</w:t>
            </w:r>
          </w:p>
        </w:tc>
        <w:tc>
          <w:tcPr>
            <w:tcW w:w="1140" w:type="dxa"/>
            <w:tcBorders>
              <w:bottom w:val="single" w:sz="4" w:space="0" w:color="auto"/>
            </w:tcBorders>
            <w:noWrap/>
            <w:vAlign w:val="center"/>
            <w:hideMark/>
          </w:tcPr>
          <w:p w14:paraId="4B11DA60"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39.13</w:t>
            </w:r>
          </w:p>
        </w:tc>
        <w:tc>
          <w:tcPr>
            <w:tcW w:w="567" w:type="dxa"/>
            <w:tcBorders>
              <w:bottom w:val="single" w:sz="4" w:space="0" w:color="auto"/>
            </w:tcBorders>
            <w:noWrap/>
            <w:vAlign w:val="center"/>
            <w:hideMark/>
          </w:tcPr>
          <w:p w14:paraId="06F37217"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46</w:t>
            </w:r>
          </w:p>
        </w:tc>
        <w:tc>
          <w:tcPr>
            <w:tcW w:w="1417" w:type="dxa"/>
            <w:tcBorders>
              <w:bottom w:val="single" w:sz="4" w:space="0" w:color="auto"/>
            </w:tcBorders>
            <w:noWrap/>
            <w:vAlign w:val="center"/>
            <w:hideMark/>
          </w:tcPr>
          <w:p w14:paraId="446C8E55"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100.00</w:t>
            </w:r>
          </w:p>
        </w:tc>
      </w:tr>
    </w:tbl>
    <w:p w14:paraId="05B24199" w14:textId="77777777" w:rsidR="004E38A0" w:rsidRPr="004E38A0" w:rsidRDefault="004E38A0" w:rsidP="003614AD">
      <w:pPr>
        <w:spacing w:before="240" w:after="240"/>
        <w:ind w:firstLine="720"/>
        <w:jc w:val="both"/>
        <w:rPr>
          <w:sz w:val="24"/>
          <w:szCs w:val="24"/>
          <w:lang w:val="en-PH"/>
        </w:rPr>
      </w:pPr>
      <w:r w:rsidRPr="004E38A0">
        <w:rPr>
          <w:sz w:val="24"/>
          <w:szCs w:val="24"/>
          <w:lang w:val="en-PH"/>
        </w:rPr>
        <w:t>Table 2 shows the respondents’ ages and genders. Most people surveyed were 16–20 years old, 52.17%. Next were those aged 21–25 at 45.65%. Only one respondent, 2.17%, was 26 or older. Of the respondents, 60.87% were women and 39.13% were men, showing that more women took part in the study. The study found that artificial neural networks predicted students’ performance the best. It also showed that academic, demographic, and personal factors had a strong impact. This matches earlier research suggesting that learning habits change with age and education level. It may also explain why younger students in college welding classes adapt at different rates and develop skills differently (</w:t>
      </w:r>
      <w:proofErr w:type="spellStart"/>
      <w:r w:rsidRPr="004E38A0">
        <w:rPr>
          <w:sz w:val="24"/>
          <w:szCs w:val="24"/>
          <w:lang w:val="en-PH"/>
        </w:rPr>
        <w:t>Alsariera</w:t>
      </w:r>
      <w:proofErr w:type="spellEnd"/>
      <w:r w:rsidRPr="004E38A0">
        <w:rPr>
          <w:sz w:val="24"/>
          <w:szCs w:val="24"/>
          <w:lang w:val="en-PH"/>
        </w:rPr>
        <w:t xml:space="preserve"> et al., 2022). Research found that how involved students were depended on their age and gender. Boys tended to show stronger thinking and feelings in class, and age also played a big role in emotional engagement. These results fit with the idea that better emotion regulation, active participation, and younger students’ greater hands-on involvement can help build practical abilities like welding skills (Zhao et al., 2023). Even so, many schools still kept gender and sexual diversity topics out of their lessons. Still, research shows that adding gender diversity, especially in technical classes, can make classrooms more welcoming, support better teamwork, and help students communicate with different communities in a respectful, effective way (López-Orozco et al., 2022).</w:t>
      </w:r>
    </w:p>
    <w:p w14:paraId="1BB77439" w14:textId="228B330C" w:rsidR="00C66B68" w:rsidRPr="004E38A0" w:rsidRDefault="004E38A0" w:rsidP="003614AD">
      <w:pPr>
        <w:spacing w:before="240" w:after="240"/>
        <w:ind w:firstLine="720"/>
        <w:jc w:val="both"/>
        <w:rPr>
          <w:sz w:val="24"/>
          <w:szCs w:val="24"/>
          <w:lang w:val="en-PH"/>
        </w:rPr>
      </w:pPr>
      <w:r w:rsidRPr="004E38A0">
        <w:rPr>
          <w:sz w:val="24"/>
          <w:szCs w:val="24"/>
          <w:lang w:val="en-PH"/>
        </w:rPr>
        <w:t>In conclusion, the predominance of young and female respondents provided a perspective on how age and gender related to the acquisition of welding competencies and responsiveness to differentiated instruction in college welding programs.</w:t>
      </w:r>
    </w:p>
    <w:p w14:paraId="358C60FC" w14:textId="50F614EF" w:rsidR="004E38A0" w:rsidRPr="003614AD" w:rsidRDefault="004E38A0" w:rsidP="003614AD">
      <w:pPr>
        <w:spacing w:before="240" w:after="240"/>
        <w:jc w:val="both"/>
        <w:rPr>
          <w:b/>
          <w:bCs/>
          <w:sz w:val="24"/>
          <w:szCs w:val="24"/>
          <w:lang w:val="en-PH"/>
        </w:rPr>
      </w:pPr>
      <w:r w:rsidRPr="004E38A0">
        <w:rPr>
          <w:b/>
          <w:bCs/>
          <w:sz w:val="24"/>
          <w:szCs w:val="24"/>
          <w:lang w:val="en-PH"/>
        </w:rPr>
        <w:t>Year Level</w:t>
      </w:r>
    </w:p>
    <w:p w14:paraId="61537885" w14:textId="1E1436E5" w:rsidR="00BB7EF0" w:rsidRDefault="004E38A0" w:rsidP="003614AD">
      <w:pPr>
        <w:spacing w:before="240" w:after="240"/>
        <w:ind w:firstLine="720"/>
        <w:jc w:val="both"/>
        <w:rPr>
          <w:sz w:val="24"/>
          <w:szCs w:val="24"/>
          <w:lang w:val="en-PH"/>
        </w:rPr>
      </w:pPr>
      <w:r w:rsidRPr="004E38A0">
        <w:rPr>
          <w:sz w:val="24"/>
          <w:szCs w:val="24"/>
          <w:lang w:val="en-PH"/>
        </w:rPr>
        <w:t>Table 3 gives information regarding the number of respondents per year level, including their corresponding percentage in each year level. It becomes evident from the table how many respondents are there from first-year, second-year, third-year, and fourth-year students. With the help of the table, it becomes clear as to how each year level is distributed and how perspectives from each year level are considered while conducting this research. The information provided by the table assists in getting an idea about the overall representation of the respondents used in this research. In addition, with the help of the table, it can be determined that information was collected from those who have attended welding and fabrication subjects.</w:t>
      </w:r>
    </w:p>
    <w:p w14:paraId="7B0BCA3E" w14:textId="128524EE" w:rsidR="002B7D4A" w:rsidRPr="002B7D4A" w:rsidRDefault="002B7D4A" w:rsidP="002B7D4A">
      <w:pPr>
        <w:spacing w:before="240" w:after="240"/>
        <w:jc w:val="both"/>
        <w:rPr>
          <w:b/>
          <w:bCs/>
          <w:sz w:val="24"/>
          <w:szCs w:val="24"/>
          <w:lang w:val="en-PH"/>
        </w:rPr>
      </w:pPr>
      <w:r w:rsidRPr="002B7D4A">
        <w:rPr>
          <w:b/>
          <w:bCs/>
          <w:sz w:val="24"/>
          <w:szCs w:val="24"/>
          <w:lang w:val="en-PH"/>
        </w:rPr>
        <w:t>Table 3</w:t>
      </w:r>
      <w:r w:rsidRPr="002B7D4A">
        <w:rPr>
          <w:b/>
          <w:bCs/>
          <w:sz w:val="24"/>
          <w:szCs w:val="24"/>
          <w:lang w:val="en-PH"/>
        </w:rPr>
        <w:t xml:space="preserve">. </w:t>
      </w:r>
      <w:r w:rsidRPr="002B7D4A">
        <w:rPr>
          <w:b/>
          <w:bCs/>
          <w:sz w:val="24"/>
          <w:szCs w:val="24"/>
          <w:lang w:val="en-PH"/>
        </w:rPr>
        <w:t>Year Level of the Respondents</w:t>
      </w:r>
    </w:p>
    <w:tbl>
      <w:tblPr>
        <w:tblW w:w="5755" w:type="dxa"/>
        <w:tblLook w:val="04A0" w:firstRow="1" w:lastRow="0" w:firstColumn="1" w:lastColumn="0" w:noHBand="0" w:noVBand="1"/>
      </w:tblPr>
      <w:tblGrid>
        <w:gridCol w:w="2245"/>
        <w:gridCol w:w="1800"/>
        <w:gridCol w:w="1710"/>
      </w:tblGrid>
      <w:tr w:rsidR="004E38A0" w:rsidRPr="004E38A0" w14:paraId="7B5C6A41" w14:textId="77777777" w:rsidTr="002B7D4A">
        <w:trPr>
          <w:trHeight w:val="288"/>
        </w:trPr>
        <w:tc>
          <w:tcPr>
            <w:tcW w:w="2245" w:type="dxa"/>
            <w:tcBorders>
              <w:top w:val="single" w:sz="4" w:space="0" w:color="auto"/>
              <w:bottom w:val="single" w:sz="4" w:space="0" w:color="auto"/>
            </w:tcBorders>
            <w:noWrap/>
            <w:vAlign w:val="center"/>
            <w:hideMark/>
          </w:tcPr>
          <w:p w14:paraId="5129F079" w14:textId="77777777" w:rsidR="004E38A0" w:rsidRPr="004E38A0" w:rsidRDefault="004E38A0" w:rsidP="007233F6">
            <w:pPr>
              <w:jc w:val="center"/>
              <w:rPr>
                <w:b/>
                <w:bCs/>
                <w:color w:val="000000" w:themeColor="text1"/>
                <w:sz w:val="24"/>
                <w:szCs w:val="24"/>
              </w:rPr>
            </w:pPr>
            <w:r w:rsidRPr="004E38A0">
              <w:rPr>
                <w:b/>
                <w:bCs/>
                <w:color w:val="000000" w:themeColor="text1"/>
                <w:sz w:val="24"/>
                <w:szCs w:val="24"/>
              </w:rPr>
              <w:t xml:space="preserve">Year Level </w:t>
            </w:r>
          </w:p>
        </w:tc>
        <w:tc>
          <w:tcPr>
            <w:tcW w:w="1800" w:type="dxa"/>
            <w:tcBorders>
              <w:top w:val="single" w:sz="4" w:space="0" w:color="auto"/>
              <w:bottom w:val="single" w:sz="4" w:space="0" w:color="auto"/>
            </w:tcBorders>
            <w:noWrap/>
            <w:vAlign w:val="center"/>
            <w:hideMark/>
          </w:tcPr>
          <w:p w14:paraId="50FB395B" w14:textId="77777777" w:rsidR="004E38A0" w:rsidRPr="004E38A0" w:rsidRDefault="004E38A0" w:rsidP="007233F6">
            <w:pPr>
              <w:jc w:val="center"/>
              <w:rPr>
                <w:b/>
                <w:bCs/>
                <w:color w:val="000000" w:themeColor="text1"/>
                <w:sz w:val="24"/>
                <w:szCs w:val="24"/>
              </w:rPr>
            </w:pPr>
            <w:r w:rsidRPr="004E38A0">
              <w:rPr>
                <w:b/>
                <w:bCs/>
                <w:color w:val="000000" w:themeColor="text1"/>
                <w:sz w:val="24"/>
                <w:szCs w:val="24"/>
              </w:rPr>
              <w:t>f</w:t>
            </w:r>
          </w:p>
        </w:tc>
        <w:tc>
          <w:tcPr>
            <w:tcW w:w="1710" w:type="dxa"/>
            <w:tcBorders>
              <w:top w:val="single" w:sz="4" w:space="0" w:color="auto"/>
              <w:bottom w:val="single" w:sz="4" w:space="0" w:color="auto"/>
            </w:tcBorders>
            <w:noWrap/>
            <w:vAlign w:val="center"/>
            <w:hideMark/>
          </w:tcPr>
          <w:p w14:paraId="50D44B5F" w14:textId="77777777" w:rsidR="004E38A0" w:rsidRPr="004E38A0" w:rsidRDefault="004E38A0" w:rsidP="007233F6">
            <w:pPr>
              <w:jc w:val="center"/>
              <w:rPr>
                <w:b/>
                <w:bCs/>
                <w:color w:val="000000" w:themeColor="text1"/>
                <w:sz w:val="24"/>
                <w:szCs w:val="24"/>
              </w:rPr>
            </w:pPr>
            <w:r w:rsidRPr="004E38A0">
              <w:rPr>
                <w:b/>
                <w:bCs/>
                <w:color w:val="000000" w:themeColor="text1"/>
                <w:sz w:val="24"/>
                <w:szCs w:val="24"/>
              </w:rPr>
              <w:t>%</w:t>
            </w:r>
          </w:p>
        </w:tc>
      </w:tr>
      <w:tr w:rsidR="004E38A0" w:rsidRPr="004E38A0" w14:paraId="6CDE5503" w14:textId="77777777" w:rsidTr="002B7D4A">
        <w:trPr>
          <w:trHeight w:val="288"/>
        </w:trPr>
        <w:tc>
          <w:tcPr>
            <w:tcW w:w="2245" w:type="dxa"/>
            <w:tcBorders>
              <w:top w:val="single" w:sz="4" w:space="0" w:color="auto"/>
            </w:tcBorders>
            <w:noWrap/>
            <w:vAlign w:val="center"/>
            <w:hideMark/>
          </w:tcPr>
          <w:p w14:paraId="23652B4A" w14:textId="77777777" w:rsidR="004E38A0" w:rsidRPr="004E38A0" w:rsidRDefault="004E38A0" w:rsidP="007233F6">
            <w:pPr>
              <w:jc w:val="center"/>
              <w:rPr>
                <w:color w:val="000000" w:themeColor="text1"/>
                <w:sz w:val="24"/>
                <w:szCs w:val="24"/>
              </w:rPr>
            </w:pPr>
            <w:r w:rsidRPr="004E38A0">
              <w:rPr>
                <w:color w:val="000000" w:themeColor="text1"/>
                <w:sz w:val="24"/>
                <w:szCs w:val="24"/>
              </w:rPr>
              <w:t>4th Year</w:t>
            </w:r>
          </w:p>
        </w:tc>
        <w:tc>
          <w:tcPr>
            <w:tcW w:w="1800" w:type="dxa"/>
            <w:tcBorders>
              <w:top w:val="single" w:sz="4" w:space="0" w:color="auto"/>
            </w:tcBorders>
            <w:noWrap/>
            <w:vAlign w:val="center"/>
            <w:hideMark/>
          </w:tcPr>
          <w:p w14:paraId="7B3A6A1B" w14:textId="77777777" w:rsidR="004E38A0" w:rsidRPr="004E38A0" w:rsidRDefault="004E38A0" w:rsidP="007233F6">
            <w:pPr>
              <w:jc w:val="center"/>
              <w:rPr>
                <w:color w:val="000000" w:themeColor="text1"/>
                <w:sz w:val="24"/>
                <w:szCs w:val="24"/>
              </w:rPr>
            </w:pPr>
            <w:r w:rsidRPr="004E38A0">
              <w:rPr>
                <w:color w:val="000000" w:themeColor="text1"/>
                <w:sz w:val="24"/>
                <w:szCs w:val="24"/>
              </w:rPr>
              <w:t>11</w:t>
            </w:r>
          </w:p>
        </w:tc>
        <w:tc>
          <w:tcPr>
            <w:tcW w:w="1710" w:type="dxa"/>
            <w:tcBorders>
              <w:top w:val="single" w:sz="4" w:space="0" w:color="auto"/>
            </w:tcBorders>
            <w:noWrap/>
            <w:vAlign w:val="center"/>
            <w:hideMark/>
          </w:tcPr>
          <w:p w14:paraId="0B057ECE" w14:textId="77777777" w:rsidR="004E38A0" w:rsidRPr="004E38A0" w:rsidRDefault="004E38A0" w:rsidP="007233F6">
            <w:pPr>
              <w:jc w:val="center"/>
              <w:rPr>
                <w:color w:val="000000" w:themeColor="text1"/>
                <w:sz w:val="24"/>
                <w:szCs w:val="24"/>
              </w:rPr>
            </w:pPr>
            <w:r w:rsidRPr="004E38A0">
              <w:rPr>
                <w:color w:val="000000" w:themeColor="text1"/>
                <w:sz w:val="24"/>
                <w:szCs w:val="24"/>
              </w:rPr>
              <w:t>23.91</w:t>
            </w:r>
          </w:p>
        </w:tc>
      </w:tr>
      <w:tr w:rsidR="004E38A0" w:rsidRPr="004E38A0" w14:paraId="624A67B4" w14:textId="77777777" w:rsidTr="002B7D4A">
        <w:trPr>
          <w:trHeight w:val="288"/>
        </w:trPr>
        <w:tc>
          <w:tcPr>
            <w:tcW w:w="2245" w:type="dxa"/>
            <w:noWrap/>
            <w:vAlign w:val="center"/>
            <w:hideMark/>
          </w:tcPr>
          <w:p w14:paraId="28704C6D" w14:textId="77777777" w:rsidR="004E38A0" w:rsidRPr="004E38A0" w:rsidRDefault="004E38A0" w:rsidP="007233F6">
            <w:pPr>
              <w:jc w:val="center"/>
              <w:rPr>
                <w:color w:val="000000" w:themeColor="text1"/>
                <w:sz w:val="24"/>
                <w:szCs w:val="24"/>
              </w:rPr>
            </w:pPr>
            <w:r w:rsidRPr="004E38A0">
              <w:rPr>
                <w:color w:val="000000" w:themeColor="text1"/>
                <w:sz w:val="24"/>
                <w:szCs w:val="24"/>
              </w:rPr>
              <w:t>3rd Year</w:t>
            </w:r>
          </w:p>
        </w:tc>
        <w:tc>
          <w:tcPr>
            <w:tcW w:w="1800" w:type="dxa"/>
            <w:noWrap/>
            <w:vAlign w:val="center"/>
            <w:hideMark/>
          </w:tcPr>
          <w:p w14:paraId="7730C0A5" w14:textId="77777777" w:rsidR="004E38A0" w:rsidRPr="004E38A0" w:rsidRDefault="004E38A0" w:rsidP="007233F6">
            <w:pPr>
              <w:jc w:val="center"/>
              <w:rPr>
                <w:color w:val="000000" w:themeColor="text1"/>
                <w:sz w:val="24"/>
                <w:szCs w:val="24"/>
              </w:rPr>
            </w:pPr>
            <w:r w:rsidRPr="004E38A0">
              <w:rPr>
                <w:color w:val="000000" w:themeColor="text1"/>
                <w:sz w:val="24"/>
                <w:szCs w:val="24"/>
              </w:rPr>
              <w:t>13</w:t>
            </w:r>
          </w:p>
        </w:tc>
        <w:tc>
          <w:tcPr>
            <w:tcW w:w="1710" w:type="dxa"/>
            <w:noWrap/>
            <w:vAlign w:val="center"/>
            <w:hideMark/>
          </w:tcPr>
          <w:p w14:paraId="245B6BFC" w14:textId="77777777" w:rsidR="004E38A0" w:rsidRPr="004E38A0" w:rsidRDefault="004E38A0" w:rsidP="007233F6">
            <w:pPr>
              <w:jc w:val="center"/>
              <w:rPr>
                <w:color w:val="000000" w:themeColor="text1"/>
                <w:sz w:val="24"/>
                <w:szCs w:val="24"/>
              </w:rPr>
            </w:pPr>
            <w:r w:rsidRPr="004E38A0">
              <w:rPr>
                <w:color w:val="000000" w:themeColor="text1"/>
                <w:sz w:val="24"/>
                <w:szCs w:val="24"/>
              </w:rPr>
              <w:t>28.26</w:t>
            </w:r>
          </w:p>
        </w:tc>
      </w:tr>
      <w:tr w:rsidR="004E38A0" w:rsidRPr="004E38A0" w14:paraId="37A77EAE" w14:textId="77777777" w:rsidTr="002B7D4A">
        <w:trPr>
          <w:trHeight w:val="288"/>
        </w:trPr>
        <w:tc>
          <w:tcPr>
            <w:tcW w:w="2245" w:type="dxa"/>
            <w:noWrap/>
            <w:vAlign w:val="center"/>
            <w:hideMark/>
          </w:tcPr>
          <w:p w14:paraId="5B795754" w14:textId="77777777" w:rsidR="004E38A0" w:rsidRPr="004E38A0" w:rsidRDefault="004E38A0" w:rsidP="007233F6">
            <w:pPr>
              <w:jc w:val="center"/>
              <w:rPr>
                <w:color w:val="000000" w:themeColor="text1"/>
                <w:sz w:val="24"/>
                <w:szCs w:val="24"/>
              </w:rPr>
            </w:pPr>
            <w:r w:rsidRPr="004E38A0">
              <w:rPr>
                <w:color w:val="000000" w:themeColor="text1"/>
                <w:sz w:val="24"/>
                <w:szCs w:val="24"/>
              </w:rPr>
              <w:t>2nd Year</w:t>
            </w:r>
          </w:p>
        </w:tc>
        <w:tc>
          <w:tcPr>
            <w:tcW w:w="1800" w:type="dxa"/>
            <w:noWrap/>
            <w:vAlign w:val="center"/>
            <w:hideMark/>
          </w:tcPr>
          <w:p w14:paraId="591823C8" w14:textId="77777777" w:rsidR="004E38A0" w:rsidRPr="004E38A0" w:rsidRDefault="004E38A0" w:rsidP="007233F6">
            <w:pPr>
              <w:jc w:val="center"/>
              <w:rPr>
                <w:color w:val="000000" w:themeColor="text1"/>
                <w:sz w:val="24"/>
                <w:szCs w:val="24"/>
              </w:rPr>
            </w:pPr>
            <w:r w:rsidRPr="004E38A0">
              <w:rPr>
                <w:color w:val="000000" w:themeColor="text1"/>
                <w:sz w:val="24"/>
                <w:szCs w:val="24"/>
              </w:rPr>
              <w:t>12</w:t>
            </w:r>
          </w:p>
        </w:tc>
        <w:tc>
          <w:tcPr>
            <w:tcW w:w="1710" w:type="dxa"/>
            <w:noWrap/>
            <w:vAlign w:val="center"/>
            <w:hideMark/>
          </w:tcPr>
          <w:p w14:paraId="0E218993" w14:textId="77777777" w:rsidR="004E38A0" w:rsidRPr="004E38A0" w:rsidRDefault="004E38A0" w:rsidP="007233F6">
            <w:pPr>
              <w:jc w:val="center"/>
              <w:rPr>
                <w:color w:val="000000" w:themeColor="text1"/>
                <w:sz w:val="24"/>
                <w:szCs w:val="24"/>
              </w:rPr>
            </w:pPr>
            <w:r w:rsidRPr="004E38A0">
              <w:rPr>
                <w:color w:val="000000" w:themeColor="text1"/>
                <w:sz w:val="24"/>
                <w:szCs w:val="24"/>
              </w:rPr>
              <w:t>26.09</w:t>
            </w:r>
          </w:p>
        </w:tc>
      </w:tr>
      <w:tr w:rsidR="004E38A0" w:rsidRPr="004E38A0" w14:paraId="0F19C67D" w14:textId="77777777" w:rsidTr="002B7D4A">
        <w:trPr>
          <w:trHeight w:val="288"/>
        </w:trPr>
        <w:tc>
          <w:tcPr>
            <w:tcW w:w="2245" w:type="dxa"/>
            <w:noWrap/>
            <w:vAlign w:val="center"/>
            <w:hideMark/>
          </w:tcPr>
          <w:p w14:paraId="2FB3AE7B" w14:textId="77777777" w:rsidR="004E38A0" w:rsidRPr="004E38A0" w:rsidRDefault="004E38A0" w:rsidP="007233F6">
            <w:pPr>
              <w:jc w:val="center"/>
              <w:rPr>
                <w:color w:val="000000" w:themeColor="text1"/>
                <w:sz w:val="24"/>
                <w:szCs w:val="24"/>
              </w:rPr>
            </w:pPr>
            <w:r w:rsidRPr="004E38A0">
              <w:rPr>
                <w:color w:val="000000" w:themeColor="text1"/>
                <w:sz w:val="24"/>
                <w:szCs w:val="24"/>
              </w:rPr>
              <w:t>1st Year</w:t>
            </w:r>
          </w:p>
        </w:tc>
        <w:tc>
          <w:tcPr>
            <w:tcW w:w="1800" w:type="dxa"/>
            <w:noWrap/>
            <w:vAlign w:val="center"/>
            <w:hideMark/>
          </w:tcPr>
          <w:p w14:paraId="1B397349" w14:textId="77777777" w:rsidR="004E38A0" w:rsidRPr="004E38A0" w:rsidRDefault="004E38A0" w:rsidP="007233F6">
            <w:pPr>
              <w:jc w:val="center"/>
              <w:rPr>
                <w:color w:val="000000" w:themeColor="text1"/>
                <w:sz w:val="24"/>
                <w:szCs w:val="24"/>
              </w:rPr>
            </w:pPr>
            <w:r w:rsidRPr="004E38A0">
              <w:rPr>
                <w:color w:val="000000" w:themeColor="text1"/>
                <w:sz w:val="24"/>
                <w:szCs w:val="24"/>
              </w:rPr>
              <w:t>10</w:t>
            </w:r>
          </w:p>
        </w:tc>
        <w:tc>
          <w:tcPr>
            <w:tcW w:w="1710" w:type="dxa"/>
            <w:noWrap/>
            <w:vAlign w:val="center"/>
            <w:hideMark/>
          </w:tcPr>
          <w:p w14:paraId="06087FC1" w14:textId="77777777" w:rsidR="004E38A0" w:rsidRPr="004E38A0" w:rsidRDefault="004E38A0" w:rsidP="007233F6">
            <w:pPr>
              <w:jc w:val="center"/>
              <w:rPr>
                <w:color w:val="000000" w:themeColor="text1"/>
                <w:sz w:val="24"/>
                <w:szCs w:val="24"/>
              </w:rPr>
            </w:pPr>
            <w:r w:rsidRPr="004E38A0">
              <w:rPr>
                <w:color w:val="000000" w:themeColor="text1"/>
                <w:sz w:val="24"/>
                <w:szCs w:val="24"/>
              </w:rPr>
              <w:t>21.74</w:t>
            </w:r>
          </w:p>
        </w:tc>
      </w:tr>
      <w:tr w:rsidR="004E38A0" w:rsidRPr="004E38A0" w14:paraId="70B58C08" w14:textId="77777777" w:rsidTr="002B7D4A">
        <w:trPr>
          <w:trHeight w:val="288"/>
        </w:trPr>
        <w:tc>
          <w:tcPr>
            <w:tcW w:w="2245" w:type="dxa"/>
            <w:tcBorders>
              <w:bottom w:val="single" w:sz="4" w:space="0" w:color="auto"/>
            </w:tcBorders>
            <w:noWrap/>
            <w:vAlign w:val="center"/>
            <w:hideMark/>
          </w:tcPr>
          <w:p w14:paraId="6AE065CD" w14:textId="77777777" w:rsidR="004E38A0" w:rsidRPr="004E38A0" w:rsidRDefault="004E38A0" w:rsidP="007233F6">
            <w:pPr>
              <w:jc w:val="center"/>
              <w:rPr>
                <w:b/>
                <w:bCs/>
                <w:color w:val="000000" w:themeColor="text1"/>
                <w:sz w:val="24"/>
                <w:szCs w:val="24"/>
              </w:rPr>
            </w:pPr>
            <w:r w:rsidRPr="004E38A0">
              <w:rPr>
                <w:b/>
                <w:bCs/>
                <w:color w:val="000000" w:themeColor="text1"/>
                <w:sz w:val="24"/>
                <w:szCs w:val="24"/>
              </w:rPr>
              <w:t xml:space="preserve">Total </w:t>
            </w:r>
          </w:p>
        </w:tc>
        <w:tc>
          <w:tcPr>
            <w:tcW w:w="1800" w:type="dxa"/>
            <w:tcBorders>
              <w:bottom w:val="single" w:sz="4" w:space="0" w:color="auto"/>
            </w:tcBorders>
            <w:noWrap/>
            <w:vAlign w:val="center"/>
            <w:hideMark/>
          </w:tcPr>
          <w:p w14:paraId="3DAE52BF" w14:textId="77777777" w:rsidR="004E38A0" w:rsidRPr="004E38A0" w:rsidRDefault="004E38A0" w:rsidP="007233F6">
            <w:pPr>
              <w:jc w:val="center"/>
              <w:rPr>
                <w:b/>
                <w:bCs/>
                <w:color w:val="000000" w:themeColor="text1"/>
                <w:sz w:val="24"/>
                <w:szCs w:val="24"/>
              </w:rPr>
            </w:pPr>
            <w:r w:rsidRPr="004E38A0">
              <w:rPr>
                <w:b/>
                <w:bCs/>
                <w:color w:val="000000" w:themeColor="text1"/>
                <w:sz w:val="24"/>
                <w:szCs w:val="24"/>
              </w:rPr>
              <w:t>46</w:t>
            </w:r>
          </w:p>
        </w:tc>
        <w:tc>
          <w:tcPr>
            <w:tcW w:w="1710" w:type="dxa"/>
            <w:tcBorders>
              <w:bottom w:val="single" w:sz="4" w:space="0" w:color="auto"/>
            </w:tcBorders>
            <w:noWrap/>
            <w:vAlign w:val="center"/>
            <w:hideMark/>
          </w:tcPr>
          <w:p w14:paraId="63A94B2B" w14:textId="77777777" w:rsidR="004E38A0" w:rsidRPr="004E38A0" w:rsidRDefault="004E38A0" w:rsidP="007233F6">
            <w:pPr>
              <w:jc w:val="center"/>
              <w:rPr>
                <w:b/>
                <w:bCs/>
                <w:color w:val="000000" w:themeColor="text1"/>
                <w:sz w:val="24"/>
                <w:szCs w:val="24"/>
              </w:rPr>
            </w:pPr>
            <w:r w:rsidRPr="004E38A0">
              <w:rPr>
                <w:b/>
                <w:bCs/>
                <w:color w:val="000000" w:themeColor="text1"/>
                <w:sz w:val="24"/>
                <w:szCs w:val="24"/>
              </w:rPr>
              <w:t>100.00</w:t>
            </w:r>
          </w:p>
        </w:tc>
      </w:tr>
    </w:tbl>
    <w:p w14:paraId="26F97D9C" w14:textId="77777777" w:rsidR="003614AD" w:rsidRPr="003614AD" w:rsidRDefault="003614AD" w:rsidP="002B7D4A">
      <w:pPr>
        <w:spacing w:before="240" w:after="240"/>
        <w:ind w:firstLine="720"/>
        <w:jc w:val="both"/>
        <w:rPr>
          <w:sz w:val="24"/>
          <w:szCs w:val="24"/>
          <w:lang w:val="en-PH"/>
        </w:rPr>
      </w:pPr>
      <w:r w:rsidRPr="003614AD">
        <w:rPr>
          <w:sz w:val="24"/>
          <w:szCs w:val="24"/>
          <w:lang w:val="en-PH"/>
        </w:rPr>
        <w:t xml:space="preserve">The year level distribution of the respondents is presented in Table 3. Of the 46, the most common year was third-year with 13 respondents (28.26%) and second-year following closely behind at 12 (26.09%). A total of 11 respondents (23.91%) were fourth-year students and first-year students contributed the smallest number with only 10 respondents (21.74%). This distribution indicated a fairly even spread across various year levels, providing greater diversity of opinions, whilst also demonstrating the potential benefits of </w:t>
      </w:r>
      <w:proofErr w:type="spellStart"/>
      <w:r w:rsidRPr="003614AD">
        <w:rPr>
          <w:sz w:val="24"/>
          <w:szCs w:val="24"/>
          <w:lang w:val="en-PH"/>
        </w:rPr>
        <w:t>utilising</w:t>
      </w:r>
      <w:proofErr w:type="spellEnd"/>
      <w:r w:rsidRPr="003614AD">
        <w:rPr>
          <w:sz w:val="24"/>
          <w:szCs w:val="24"/>
          <w:lang w:val="en-PH"/>
        </w:rPr>
        <w:t xml:space="preserve"> numerous respondents to enhance research findings (Parker-Shandal, 2023).</w:t>
      </w:r>
    </w:p>
    <w:p w14:paraId="4C549E44" w14:textId="77777777" w:rsidR="003614AD" w:rsidRPr="003614AD" w:rsidRDefault="003614AD" w:rsidP="003614AD">
      <w:pPr>
        <w:spacing w:before="240" w:after="240"/>
        <w:ind w:firstLine="720"/>
        <w:jc w:val="both"/>
        <w:rPr>
          <w:sz w:val="24"/>
          <w:szCs w:val="24"/>
          <w:lang w:val="en-PH"/>
        </w:rPr>
      </w:pPr>
      <w:r w:rsidRPr="003614AD">
        <w:rPr>
          <w:sz w:val="24"/>
          <w:szCs w:val="24"/>
          <w:lang w:val="en-PH"/>
        </w:rPr>
        <w:t>The pattern followed the usual trend of students in higher education, with students in their second and third year participating more than freshmen or those in their final year. Also, there was generally strong student retention and progression as learners moved through their academic programs (Marzouk, 2025). The presence of all years in the program facilitated capturing differences in students' experiences and showing age- and sociodemographic-related variations in preferences (Sayeed et al., 2021).</w:t>
      </w:r>
    </w:p>
    <w:p w14:paraId="5450A3AE" w14:textId="65487350" w:rsidR="00BB7EF0" w:rsidRDefault="003614AD" w:rsidP="003614AD">
      <w:pPr>
        <w:spacing w:before="240" w:after="240"/>
        <w:ind w:firstLine="720"/>
        <w:jc w:val="both"/>
        <w:rPr>
          <w:sz w:val="24"/>
          <w:szCs w:val="24"/>
          <w:lang w:val="en-PH"/>
        </w:rPr>
      </w:pPr>
      <w:r w:rsidRPr="003614AD">
        <w:rPr>
          <w:sz w:val="24"/>
          <w:szCs w:val="24"/>
          <w:lang w:val="en-PH"/>
        </w:rPr>
        <w:t>Overall, table 3 data have shown that the sample encompassed students from all the different year levels, with a small focus on the middle years only, which made the perspective quite balanced when it came to interpreting the present study's findings.</w:t>
      </w:r>
    </w:p>
    <w:p w14:paraId="66E3E7D0" w14:textId="5A92A20C" w:rsidR="002B7D4A" w:rsidRPr="002B7D4A" w:rsidRDefault="002B7D4A" w:rsidP="002B7D4A">
      <w:pPr>
        <w:spacing w:before="240" w:after="240"/>
        <w:jc w:val="both"/>
        <w:rPr>
          <w:b/>
          <w:bCs/>
          <w:sz w:val="24"/>
          <w:szCs w:val="24"/>
          <w:lang w:val="en-PH"/>
        </w:rPr>
      </w:pPr>
      <w:r w:rsidRPr="002B7D4A">
        <w:rPr>
          <w:b/>
          <w:bCs/>
          <w:sz w:val="24"/>
          <w:szCs w:val="24"/>
          <w:lang w:val="en-PH"/>
        </w:rPr>
        <w:t>Senior High School Strand Completed</w:t>
      </w:r>
    </w:p>
    <w:p w14:paraId="5B6697F0" w14:textId="734835CB" w:rsidR="002B7D4A" w:rsidRDefault="002B7D4A" w:rsidP="002B7D4A">
      <w:pPr>
        <w:spacing w:before="240" w:after="240"/>
        <w:ind w:firstLine="720"/>
        <w:jc w:val="both"/>
        <w:rPr>
          <w:sz w:val="24"/>
          <w:szCs w:val="24"/>
          <w:lang w:val="en-PH"/>
        </w:rPr>
      </w:pPr>
      <w:r w:rsidRPr="002B7D4A">
        <w:rPr>
          <w:sz w:val="24"/>
          <w:szCs w:val="24"/>
          <w:lang w:val="en-PH"/>
        </w:rPr>
        <w:t>The distribution of the respondents according to the Senior High School (SHS) strand they completed was given. This was done to know how the SHS strands have prepared the respondents in relation to their chosen field and skill set, as summarized in Table 4.</w:t>
      </w:r>
    </w:p>
    <w:p w14:paraId="6E99D769" w14:textId="5053868B" w:rsidR="003050C2" w:rsidRPr="003050C2" w:rsidRDefault="003050C2" w:rsidP="003050C2">
      <w:pPr>
        <w:spacing w:before="240" w:after="240"/>
        <w:jc w:val="both"/>
        <w:rPr>
          <w:b/>
          <w:bCs/>
          <w:sz w:val="24"/>
          <w:szCs w:val="24"/>
          <w:lang w:val="en-PH"/>
        </w:rPr>
      </w:pPr>
      <w:r w:rsidRPr="003050C2">
        <w:rPr>
          <w:b/>
          <w:bCs/>
          <w:sz w:val="24"/>
          <w:szCs w:val="24"/>
          <w:lang w:val="en-PH"/>
        </w:rPr>
        <w:t>Table 4. Respondents’ Senior High School Strand Completed</w:t>
      </w:r>
    </w:p>
    <w:tbl>
      <w:tblPr>
        <w:tblW w:w="8676" w:type="dxa"/>
        <w:tblLook w:val="04A0" w:firstRow="1" w:lastRow="0" w:firstColumn="1" w:lastColumn="0" w:noHBand="0" w:noVBand="1"/>
      </w:tblPr>
      <w:tblGrid>
        <w:gridCol w:w="7110"/>
        <w:gridCol w:w="615"/>
        <w:gridCol w:w="951"/>
      </w:tblGrid>
      <w:tr w:rsidR="002B7D4A" w:rsidRPr="00461DDB" w14:paraId="0B8AFB95" w14:textId="77777777" w:rsidTr="003050C2">
        <w:trPr>
          <w:trHeight w:val="288"/>
        </w:trPr>
        <w:tc>
          <w:tcPr>
            <w:tcW w:w="7110" w:type="dxa"/>
            <w:tcBorders>
              <w:top w:val="single" w:sz="4" w:space="0" w:color="auto"/>
              <w:bottom w:val="single" w:sz="4" w:space="0" w:color="auto"/>
            </w:tcBorders>
            <w:noWrap/>
            <w:vAlign w:val="center"/>
            <w:hideMark/>
          </w:tcPr>
          <w:p w14:paraId="0CE28770" w14:textId="77777777" w:rsidR="002B7D4A" w:rsidRPr="003050C2" w:rsidRDefault="002B7D4A" w:rsidP="007233F6">
            <w:pPr>
              <w:jc w:val="center"/>
              <w:rPr>
                <w:b/>
                <w:bCs/>
                <w:color w:val="000000" w:themeColor="text1"/>
                <w:sz w:val="24"/>
                <w:szCs w:val="24"/>
              </w:rPr>
            </w:pPr>
            <w:r w:rsidRPr="003050C2">
              <w:rPr>
                <w:b/>
                <w:bCs/>
                <w:color w:val="000000" w:themeColor="text1"/>
                <w:sz w:val="24"/>
                <w:szCs w:val="24"/>
              </w:rPr>
              <w:t xml:space="preserve">SHS Strand </w:t>
            </w:r>
          </w:p>
        </w:tc>
        <w:tc>
          <w:tcPr>
            <w:tcW w:w="615" w:type="dxa"/>
            <w:tcBorders>
              <w:top w:val="single" w:sz="4" w:space="0" w:color="auto"/>
              <w:bottom w:val="single" w:sz="4" w:space="0" w:color="auto"/>
            </w:tcBorders>
            <w:noWrap/>
            <w:vAlign w:val="center"/>
            <w:hideMark/>
          </w:tcPr>
          <w:p w14:paraId="69729C97" w14:textId="77777777" w:rsidR="002B7D4A" w:rsidRPr="003050C2" w:rsidRDefault="002B7D4A" w:rsidP="007233F6">
            <w:pPr>
              <w:jc w:val="center"/>
              <w:rPr>
                <w:b/>
                <w:bCs/>
                <w:color w:val="000000" w:themeColor="text1"/>
                <w:sz w:val="24"/>
                <w:szCs w:val="24"/>
              </w:rPr>
            </w:pPr>
            <w:r w:rsidRPr="003050C2">
              <w:rPr>
                <w:b/>
                <w:bCs/>
                <w:color w:val="000000" w:themeColor="text1"/>
                <w:sz w:val="24"/>
                <w:szCs w:val="24"/>
              </w:rPr>
              <w:t>f</w:t>
            </w:r>
          </w:p>
        </w:tc>
        <w:tc>
          <w:tcPr>
            <w:tcW w:w="951" w:type="dxa"/>
            <w:tcBorders>
              <w:top w:val="single" w:sz="4" w:space="0" w:color="auto"/>
              <w:bottom w:val="single" w:sz="4" w:space="0" w:color="auto"/>
            </w:tcBorders>
            <w:noWrap/>
            <w:vAlign w:val="center"/>
            <w:hideMark/>
          </w:tcPr>
          <w:p w14:paraId="6CEE42F1" w14:textId="77777777" w:rsidR="002B7D4A" w:rsidRPr="003050C2" w:rsidRDefault="002B7D4A" w:rsidP="007233F6">
            <w:pPr>
              <w:jc w:val="center"/>
              <w:rPr>
                <w:b/>
                <w:bCs/>
                <w:color w:val="000000" w:themeColor="text1"/>
                <w:sz w:val="24"/>
                <w:szCs w:val="24"/>
              </w:rPr>
            </w:pPr>
            <w:r w:rsidRPr="003050C2">
              <w:rPr>
                <w:b/>
                <w:bCs/>
                <w:color w:val="000000" w:themeColor="text1"/>
                <w:sz w:val="24"/>
                <w:szCs w:val="24"/>
              </w:rPr>
              <w:t>%</w:t>
            </w:r>
          </w:p>
        </w:tc>
      </w:tr>
      <w:tr w:rsidR="002B7D4A" w:rsidRPr="00461DDB" w14:paraId="3B271777" w14:textId="77777777" w:rsidTr="003050C2">
        <w:trPr>
          <w:trHeight w:val="288"/>
        </w:trPr>
        <w:tc>
          <w:tcPr>
            <w:tcW w:w="7110" w:type="dxa"/>
            <w:tcBorders>
              <w:top w:val="single" w:sz="4" w:space="0" w:color="auto"/>
            </w:tcBorders>
            <w:noWrap/>
            <w:vAlign w:val="center"/>
            <w:hideMark/>
          </w:tcPr>
          <w:p w14:paraId="6DE2497C" w14:textId="77777777" w:rsidR="002B7D4A" w:rsidRPr="003050C2" w:rsidRDefault="002B7D4A" w:rsidP="007233F6">
            <w:pPr>
              <w:rPr>
                <w:color w:val="000000" w:themeColor="text1"/>
                <w:sz w:val="24"/>
                <w:szCs w:val="24"/>
              </w:rPr>
            </w:pPr>
            <w:r w:rsidRPr="003050C2">
              <w:rPr>
                <w:color w:val="000000" w:themeColor="text1"/>
                <w:sz w:val="24"/>
                <w:szCs w:val="24"/>
              </w:rPr>
              <w:t>Accountancy, Business, and Management (ABM)</w:t>
            </w:r>
          </w:p>
        </w:tc>
        <w:tc>
          <w:tcPr>
            <w:tcW w:w="615" w:type="dxa"/>
            <w:tcBorders>
              <w:top w:val="single" w:sz="4" w:space="0" w:color="auto"/>
            </w:tcBorders>
            <w:noWrap/>
            <w:vAlign w:val="center"/>
            <w:hideMark/>
          </w:tcPr>
          <w:p w14:paraId="1D2A0965" w14:textId="77777777" w:rsidR="002B7D4A" w:rsidRPr="003050C2" w:rsidRDefault="002B7D4A" w:rsidP="007233F6">
            <w:pPr>
              <w:jc w:val="center"/>
              <w:rPr>
                <w:color w:val="000000" w:themeColor="text1"/>
                <w:sz w:val="24"/>
                <w:szCs w:val="24"/>
              </w:rPr>
            </w:pPr>
            <w:r w:rsidRPr="003050C2">
              <w:rPr>
                <w:color w:val="000000" w:themeColor="text1"/>
                <w:sz w:val="24"/>
                <w:szCs w:val="24"/>
              </w:rPr>
              <w:t>3</w:t>
            </w:r>
          </w:p>
        </w:tc>
        <w:tc>
          <w:tcPr>
            <w:tcW w:w="951" w:type="dxa"/>
            <w:tcBorders>
              <w:top w:val="single" w:sz="4" w:space="0" w:color="auto"/>
            </w:tcBorders>
            <w:noWrap/>
            <w:vAlign w:val="center"/>
            <w:hideMark/>
          </w:tcPr>
          <w:p w14:paraId="70B7182B" w14:textId="77777777" w:rsidR="002B7D4A" w:rsidRPr="003050C2" w:rsidRDefault="002B7D4A" w:rsidP="007233F6">
            <w:pPr>
              <w:jc w:val="center"/>
              <w:rPr>
                <w:color w:val="000000" w:themeColor="text1"/>
                <w:sz w:val="24"/>
                <w:szCs w:val="24"/>
              </w:rPr>
            </w:pPr>
            <w:r w:rsidRPr="003050C2">
              <w:rPr>
                <w:color w:val="000000" w:themeColor="text1"/>
                <w:sz w:val="24"/>
                <w:szCs w:val="24"/>
              </w:rPr>
              <w:t>6.52</w:t>
            </w:r>
          </w:p>
        </w:tc>
      </w:tr>
      <w:tr w:rsidR="002B7D4A" w:rsidRPr="00461DDB" w14:paraId="47ABDC09" w14:textId="77777777" w:rsidTr="003050C2">
        <w:trPr>
          <w:trHeight w:val="288"/>
        </w:trPr>
        <w:tc>
          <w:tcPr>
            <w:tcW w:w="7110" w:type="dxa"/>
            <w:noWrap/>
            <w:vAlign w:val="center"/>
            <w:hideMark/>
          </w:tcPr>
          <w:p w14:paraId="65BC1528" w14:textId="77777777" w:rsidR="002B7D4A" w:rsidRPr="003050C2" w:rsidRDefault="002B7D4A" w:rsidP="007233F6">
            <w:pPr>
              <w:rPr>
                <w:color w:val="000000" w:themeColor="text1"/>
                <w:sz w:val="24"/>
                <w:szCs w:val="24"/>
              </w:rPr>
            </w:pPr>
            <w:r w:rsidRPr="003050C2">
              <w:rPr>
                <w:color w:val="000000" w:themeColor="text1"/>
                <w:sz w:val="24"/>
                <w:szCs w:val="24"/>
              </w:rPr>
              <w:t>General Academic Strand (GAS)</w:t>
            </w:r>
          </w:p>
        </w:tc>
        <w:tc>
          <w:tcPr>
            <w:tcW w:w="615" w:type="dxa"/>
            <w:noWrap/>
            <w:vAlign w:val="center"/>
            <w:hideMark/>
          </w:tcPr>
          <w:p w14:paraId="7B849311" w14:textId="77777777" w:rsidR="002B7D4A" w:rsidRPr="003050C2" w:rsidRDefault="002B7D4A" w:rsidP="007233F6">
            <w:pPr>
              <w:jc w:val="center"/>
              <w:rPr>
                <w:color w:val="000000" w:themeColor="text1"/>
                <w:sz w:val="24"/>
                <w:szCs w:val="24"/>
              </w:rPr>
            </w:pPr>
            <w:r w:rsidRPr="003050C2">
              <w:rPr>
                <w:color w:val="000000" w:themeColor="text1"/>
                <w:sz w:val="24"/>
                <w:szCs w:val="24"/>
              </w:rPr>
              <w:t>10</w:t>
            </w:r>
          </w:p>
        </w:tc>
        <w:tc>
          <w:tcPr>
            <w:tcW w:w="951" w:type="dxa"/>
            <w:noWrap/>
            <w:vAlign w:val="center"/>
            <w:hideMark/>
          </w:tcPr>
          <w:p w14:paraId="280AF6D4" w14:textId="77777777" w:rsidR="002B7D4A" w:rsidRPr="003050C2" w:rsidRDefault="002B7D4A" w:rsidP="007233F6">
            <w:pPr>
              <w:jc w:val="center"/>
              <w:rPr>
                <w:color w:val="000000" w:themeColor="text1"/>
                <w:sz w:val="24"/>
                <w:szCs w:val="24"/>
              </w:rPr>
            </w:pPr>
            <w:r w:rsidRPr="003050C2">
              <w:rPr>
                <w:color w:val="000000" w:themeColor="text1"/>
                <w:sz w:val="24"/>
                <w:szCs w:val="24"/>
              </w:rPr>
              <w:t>21.74</w:t>
            </w:r>
          </w:p>
        </w:tc>
      </w:tr>
      <w:tr w:rsidR="002B7D4A" w:rsidRPr="00461DDB" w14:paraId="10295EE0" w14:textId="77777777" w:rsidTr="003050C2">
        <w:trPr>
          <w:trHeight w:val="288"/>
        </w:trPr>
        <w:tc>
          <w:tcPr>
            <w:tcW w:w="7110" w:type="dxa"/>
            <w:noWrap/>
            <w:vAlign w:val="center"/>
            <w:hideMark/>
          </w:tcPr>
          <w:p w14:paraId="272527E1" w14:textId="77777777" w:rsidR="002B7D4A" w:rsidRPr="003050C2" w:rsidRDefault="002B7D4A" w:rsidP="007233F6">
            <w:pPr>
              <w:rPr>
                <w:color w:val="000000" w:themeColor="text1"/>
                <w:sz w:val="24"/>
                <w:szCs w:val="24"/>
              </w:rPr>
            </w:pPr>
            <w:r w:rsidRPr="003050C2">
              <w:rPr>
                <w:color w:val="000000" w:themeColor="text1"/>
                <w:sz w:val="24"/>
                <w:szCs w:val="24"/>
              </w:rPr>
              <w:t>Humanities and Social Sciences (HUMSS)</w:t>
            </w:r>
          </w:p>
        </w:tc>
        <w:tc>
          <w:tcPr>
            <w:tcW w:w="615" w:type="dxa"/>
            <w:noWrap/>
            <w:vAlign w:val="center"/>
            <w:hideMark/>
          </w:tcPr>
          <w:p w14:paraId="577797B6" w14:textId="77777777" w:rsidR="002B7D4A" w:rsidRPr="003050C2" w:rsidRDefault="002B7D4A" w:rsidP="007233F6">
            <w:pPr>
              <w:jc w:val="center"/>
              <w:rPr>
                <w:color w:val="000000" w:themeColor="text1"/>
                <w:sz w:val="24"/>
                <w:szCs w:val="24"/>
              </w:rPr>
            </w:pPr>
            <w:r w:rsidRPr="003050C2">
              <w:rPr>
                <w:color w:val="000000" w:themeColor="text1"/>
                <w:sz w:val="24"/>
                <w:szCs w:val="24"/>
              </w:rPr>
              <w:t>16</w:t>
            </w:r>
          </w:p>
        </w:tc>
        <w:tc>
          <w:tcPr>
            <w:tcW w:w="951" w:type="dxa"/>
            <w:noWrap/>
            <w:vAlign w:val="center"/>
            <w:hideMark/>
          </w:tcPr>
          <w:p w14:paraId="22040B11" w14:textId="77777777" w:rsidR="002B7D4A" w:rsidRPr="003050C2" w:rsidRDefault="002B7D4A" w:rsidP="007233F6">
            <w:pPr>
              <w:jc w:val="center"/>
              <w:rPr>
                <w:color w:val="000000" w:themeColor="text1"/>
                <w:sz w:val="24"/>
                <w:szCs w:val="24"/>
              </w:rPr>
            </w:pPr>
            <w:r w:rsidRPr="003050C2">
              <w:rPr>
                <w:color w:val="000000" w:themeColor="text1"/>
                <w:sz w:val="24"/>
                <w:szCs w:val="24"/>
              </w:rPr>
              <w:t>34.78</w:t>
            </w:r>
          </w:p>
        </w:tc>
      </w:tr>
      <w:tr w:rsidR="002B7D4A" w:rsidRPr="00461DDB" w14:paraId="5CBF66B4" w14:textId="77777777" w:rsidTr="003050C2">
        <w:trPr>
          <w:trHeight w:val="288"/>
        </w:trPr>
        <w:tc>
          <w:tcPr>
            <w:tcW w:w="7110" w:type="dxa"/>
            <w:noWrap/>
            <w:vAlign w:val="center"/>
            <w:hideMark/>
          </w:tcPr>
          <w:p w14:paraId="1E2966BB" w14:textId="77777777" w:rsidR="002B7D4A" w:rsidRPr="003050C2" w:rsidRDefault="002B7D4A" w:rsidP="007233F6">
            <w:pPr>
              <w:rPr>
                <w:color w:val="000000" w:themeColor="text1"/>
                <w:sz w:val="24"/>
                <w:szCs w:val="24"/>
              </w:rPr>
            </w:pPr>
            <w:r w:rsidRPr="003050C2">
              <w:rPr>
                <w:color w:val="000000" w:themeColor="text1"/>
                <w:sz w:val="24"/>
                <w:szCs w:val="24"/>
              </w:rPr>
              <w:t xml:space="preserve">Information Communication and Technology (ICT) </w:t>
            </w:r>
          </w:p>
        </w:tc>
        <w:tc>
          <w:tcPr>
            <w:tcW w:w="615" w:type="dxa"/>
            <w:noWrap/>
            <w:vAlign w:val="center"/>
            <w:hideMark/>
          </w:tcPr>
          <w:p w14:paraId="3556E5FB" w14:textId="77777777" w:rsidR="002B7D4A" w:rsidRPr="003050C2" w:rsidRDefault="002B7D4A" w:rsidP="007233F6">
            <w:pPr>
              <w:jc w:val="center"/>
              <w:rPr>
                <w:color w:val="000000" w:themeColor="text1"/>
                <w:sz w:val="24"/>
                <w:szCs w:val="24"/>
              </w:rPr>
            </w:pPr>
            <w:r w:rsidRPr="003050C2">
              <w:rPr>
                <w:color w:val="000000" w:themeColor="text1"/>
                <w:sz w:val="24"/>
                <w:szCs w:val="24"/>
              </w:rPr>
              <w:t>1</w:t>
            </w:r>
          </w:p>
        </w:tc>
        <w:tc>
          <w:tcPr>
            <w:tcW w:w="951" w:type="dxa"/>
            <w:noWrap/>
            <w:vAlign w:val="center"/>
            <w:hideMark/>
          </w:tcPr>
          <w:p w14:paraId="61C1A40D" w14:textId="77777777" w:rsidR="002B7D4A" w:rsidRPr="003050C2" w:rsidRDefault="002B7D4A" w:rsidP="007233F6">
            <w:pPr>
              <w:jc w:val="center"/>
              <w:rPr>
                <w:color w:val="000000" w:themeColor="text1"/>
                <w:sz w:val="24"/>
                <w:szCs w:val="24"/>
              </w:rPr>
            </w:pPr>
            <w:r w:rsidRPr="003050C2">
              <w:rPr>
                <w:color w:val="000000" w:themeColor="text1"/>
                <w:sz w:val="24"/>
                <w:szCs w:val="24"/>
              </w:rPr>
              <w:t>2.17</w:t>
            </w:r>
          </w:p>
        </w:tc>
      </w:tr>
      <w:tr w:rsidR="002B7D4A" w:rsidRPr="00461DDB" w14:paraId="51F11084" w14:textId="77777777" w:rsidTr="003050C2">
        <w:trPr>
          <w:trHeight w:val="288"/>
        </w:trPr>
        <w:tc>
          <w:tcPr>
            <w:tcW w:w="7110" w:type="dxa"/>
            <w:noWrap/>
            <w:vAlign w:val="center"/>
            <w:hideMark/>
          </w:tcPr>
          <w:p w14:paraId="35D3FB61" w14:textId="77777777" w:rsidR="002B7D4A" w:rsidRPr="003050C2" w:rsidRDefault="002B7D4A" w:rsidP="007233F6">
            <w:pPr>
              <w:rPr>
                <w:color w:val="000000" w:themeColor="text1"/>
                <w:sz w:val="24"/>
                <w:szCs w:val="24"/>
              </w:rPr>
            </w:pPr>
            <w:r w:rsidRPr="003050C2">
              <w:rPr>
                <w:color w:val="000000" w:themeColor="text1"/>
                <w:sz w:val="24"/>
                <w:szCs w:val="24"/>
              </w:rPr>
              <w:t>Science, Technology, Engineering, and Mathematics (STEM)</w:t>
            </w:r>
          </w:p>
        </w:tc>
        <w:tc>
          <w:tcPr>
            <w:tcW w:w="615" w:type="dxa"/>
            <w:noWrap/>
            <w:vAlign w:val="center"/>
            <w:hideMark/>
          </w:tcPr>
          <w:p w14:paraId="205F98F9" w14:textId="77777777" w:rsidR="002B7D4A" w:rsidRPr="003050C2" w:rsidRDefault="002B7D4A" w:rsidP="007233F6">
            <w:pPr>
              <w:jc w:val="center"/>
              <w:rPr>
                <w:color w:val="000000" w:themeColor="text1"/>
                <w:sz w:val="24"/>
                <w:szCs w:val="24"/>
              </w:rPr>
            </w:pPr>
            <w:r w:rsidRPr="003050C2">
              <w:rPr>
                <w:color w:val="000000" w:themeColor="text1"/>
                <w:sz w:val="24"/>
                <w:szCs w:val="24"/>
              </w:rPr>
              <w:t>1</w:t>
            </w:r>
          </w:p>
        </w:tc>
        <w:tc>
          <w:tcPr>
            <w:tcW w:w="951" w:type="dxa"/>
            <w:noWrap/>
            <w:vAlign w:val="center"/>
            <w:hideMark/>
          </w:tcPr>
          <w:p w14:paraId="0E7C4F0B" w14:textId="77777777" w:rsidR="002B7D4A" w:rsidRPr="003050C2" w:rsidRDefault="002B7D4A" w:rsidP="007233F6">
            <w:pPr>
              <w:jc w:val="center"/>
              <w:rPr>
                <w:color w:val="000000" w:themeColor="text1"/>
                <w:sz w:val="24"/>
                <w:szCs w:val="24"/>
              </w:rPr>
            </w:pPr>
            <w:r w:rsidRPr="003050C2">
              <w:rPr>
                <w:color w:val="000000" w:themeColor="text1"/>
                <w:sz w:val="24"/>
                <w:szCs w:val="24"/>
              </w:rPr>
              <w:t>2.17</w:t>
            </w:r>
          </w:p>
        </w:tc>
      </w:tr>
      <w:tr w:rsidR="002B7D4A" w:rsidRPr="00461DDB" w14:paraId="0BB19A6A" w14:textId="77777777" w:rsidTr="003050C2">
        <w:trPr>
          <w:trHeight w:val="288"/>
        </w:trPr>
        <w:tc>
          <w:tcPr>
            <w:tcW w:w="7110" w:type="dxa"/>
            <w:noWrap/>
            <w:vAlign w:val="center"/>
            <w:hideMark/>
          </w:tcPr>
          <w:p w14:paraId="281388A6" w14:textId="77777777" w:rsidR="002B7D4A" w:rsidRPr="003050C2" w:rsidRDefault="002B7D4A" w:rsidP="007233F6">
            <w:pPr>
              <w:rPr>
                <w:color w:val="000000" w:themeColor="text1"/>
                <w:sz w:val="24"/>
                <w:szCs w:val="24"/>
              </w:rPr>
            </w:pPr>
            <w:r w:rsidRPr="003050C2">
              <w:rPr>
                <w:color w:val="000000" w:themeColor="text1"/>
                <w:sz w:val="24"/>
                <w:szCs w:val="24"/>
              </w:rPr>
              <w:t>Technical-Vocational-Livelihood (TVL)</w:t>
            </w:r>
          </w:p>
        </w:tc>
        <w:tc>
          <w:tcPr>
            <w:tcW w:w="615" w:type="dxa"/>
            <w:noWrap/>
            <w:vAlign w:val="center"/>
            <w:hideMark/>
          </w:tcPr>
          <w:p w14:paraId="106E02FA" w14:textId="77777777" w:rsidR="002B7D4A" w:rsidRPr="003050C2" w:rsidRDefault="002B7D4A" w:rsidP="007233F6">
            <w:pPr>
              <w:jc w:val="center"/>
              <w:rPr>
                <w:color w:val="000000" w:themeColor="text1"/>
                <w:sz w:val="24"/>
                <w:szCs w:val="24"/>
              </w:rPr>
            </w:pPr>
            <w:r w:rsidRPr="003050C2">
              <w:rPr>
                <w:color w:val="000000" w:themeColor="text1"/>
                <w:sz w:val="24"/>
                <w:szCs w:val="24"/>
              </w:rPr>
              <w:t>15</w:t>
            </w:r>
          </w:p>
        </w:tc>
        <w:tc>
          <w:tcPr>
            <w:tcW w:w="951" w:type="dxa"/>
            <w:noWrap/>
            <w:vAlign w:val="center"/>
            <w:hideMark/>
          </w:tcPr>
          <w:p w14:paraId="6774ECE9" w14:textId="77777777" w:rsidR="002B7D4A" w:rsidRPr="003050C2" w:rsidRDefault="002B7D4A" w:rsidP="007233F6">
            <w:pPr>
              <w:jc w:val="center"/>
              <w:rPr>
                <w:color w:val="000000" w:themeColor="text1"/>
                <w:sz w:val="24"/>
                <w:szCs w:val="24"/>
              </w:rPr>
            </w:pPr>
            <w:r w:rsidRPr="003050C2">
              <w:rPr>
                <w:color w:val="000000" w:themeColor="text1"/>
                <w:sz w:val="24"/>
                <w:szCs w:val="24"/>
              </w:rPr>
              <w:t>32.61</w:t>
            </w:r>
          </w:p>
        </w:tc>
      </w:tr>
      <w:tr w:rsidR="002B7D4A" w:rsidRPr="00461DDB" w14:paraId="79D32D9A" w14:textId="77777777" w:rsidTr="003050C2">
        <w:trPr>
          <w:trHeight w:val="288"/>
        </w:trPr>
        <w:tc>
          <w:tcPr>
            <w:tcW w:w="7110" w:type="dxa"/>
            <w:tcBorders>
              <w:bottom w:val="single" w:sz="4" w:space="0" w:color="auto"/>
            </w:tcBorders>
            <w:noWrap/>
            <w:vAlign w:val="center"/>
            <w:hideMark/>
          </w:tcPr>
          <w:p w14:paraId="377D79F9" w14:textId="77777777" w:rsidR="002B7D4A" w:rsidRPr="003050C2" w:rsidRDefault="002B7D4A" w:rsidP="003050C2">
            <w:pPr>
              <w:rPr>
                <w:b/>
                <w:bCs/>
                <w:color w:val="000000" w:themeColor="text1"/>
                <w:sz w:val="24"/>
                <w:szCs w:val="24"/>
              </w:rPr>
            </w:pPr>
            <w:r w:rsidRPr="003050C2">
              <w:rPr>
                <w:b/>
                <w:bCs/>
                <w:color w:val="000000" w:themeColor="text1"/>
                <w:sz w:val="24"/>
                <w:szCs w:val="24"/>
              </w:rPr>
              <w:t>Total</w:t>
            </w:r>
          </w:p>
        </w:tc>
        <w:tc>
          <w:tcPr>
            <w:tcW w:w="615" w:type="dxa"/>
            <w:tcBorders>
              <w:bottom w:val="single" w:sz="4" w:space="0" w:color="auto"/>
            </w:tcBorders>
            <w:noWrap/>
            <w:vAlign w:val="center"/>
            <w:hideMark/>
          </w:tcPr>
          <w:p w14:paraId="63BD1867" w14:textId="77777777" w:rsidR="002B7D4A" w:rsidRPr="003050C2" w:rsidRDefault="002B7D4A" w:rsidP="007233F6">
            <w:pPr>
              <w:jc w:val="center"/>
              <w:rPr>
                <w:b/>
                <w:bCs/>
                <w:color w:val="000000" w:themeColor="text1"/>
                <w:sz w:val="24"/>
                <w:szCs w:val="24"/>
              </w:rPr>
            </w:pPr>
            <w:r w:rsidRPr="003050C2">
              <w:rPr>
                <w:b/>
                <w:bCs/>
                <w:color w:val="000000" w:themeColor="text1"/>
                <w:sz w:val="24"/>
                <w:szCs w:val="24"/>
              </w:rPr>
              <w:t>46</w:t>
            </w:r>
          </w:p>
        </w:tc>
        <w:tc>
          <w:tcPr>
            <w:tcW w:w="951" w:type="dxa"/>
            <w:tcBorders>
              <w:bottom w:val="single" w:sz="4" w:space="0" w:color="auto"/>
            </w:tcBorders>
            <w:noWrap/>
            <w:vAlign w:val="center"/>
            <w:hideMark/>
          </w:tcPr>
          <w:p w14:paraId="685E042D" w14:textId="77777777" w:rsidR="002B7D4A" w:rsidRPr="003050C2" w:rsidRDefault="002B7D4A" w:rsidP="007233F6">
            <w:pPr>
              <w:jc w:val="center"/>
              <w:rPr>
                <w:b/>
                <w:bCs/>
                <w:color w:val="000000" w:themeColor="text1"/>
                <w:sz w:val="24"/>
                <w:szCs w:val="24"/>
              </w:rPr>
            </w:pPr>
            <w:r w:rsidRPr="003050C2">
              <w:rPr>
                <w:b/>
                <w:bCs/>
                <w:color w:val="000000" w:themeColor="text1"/>
                <w:sz w:val="24"/>
                <w:szCs w:val="24"/>
              </w:rPr>
              <w:t>100.00</w:t>
            </w:r>
          </w:p>
        </w:tc>
      </w:tr>
    </w:tbl>
    <w:p w14:paraId="5CFCC066" w14:textId="77777777" w:rsidR="003050C2" w:rsidRPr="003050C2" w:rsidRDefault="003050C2" w:rsidP="003050C2">
      <w:pPr>
        <w:spacing w:before="240" w:after="240"/>
        <w:ind w:firstLine="720"/>
        <w:jc w:val="both"/>
        <w:rPr>
          <w:sz w:val="24"/>
          <w:szCs w:val="24"/>
          <w:lang w:val="en-PH"/>
        </w:rPr>
      </w:pPr>
      <w:r w:rsidRPr="003050C2">
        <w:rPr>
          <w:sz w:val="24"/>
          <w:szCs w:val="24"/>
          <w:lang w:val="en-PH"/>
        </w:rPr>
        <w:t xml:space="preserve">As presented in Table 4, Distribution of the Respondent By their Senior High School (SHS) strand Most of them were from HUMSS (16 respondents, 34.78%) and TVL (15 respondents, 32.61%), followed by GAS (10 respondents, 21.74%), ABM (3 respondents, 6.52%), and only one respondent each from ICT and STEM (2.17% each). </w:t>
      </w:r>
    </w:p>
    <w:p w14:paraId="676DE4FD" w14:textId="77777777" w:rsidR="003050C2" w:rsidRPr="003050C2" w:rsidRDefault="003050C2" w:rsidP="003050C2">
      <w:pPr>
        <w:spacing w:before="240" w:after="240"/>
        <w:ind w:firstLine="720"/>
        <w:jc w:val="both"/>
        <w:rPr>
          <w:sz w:val="24"/>
          <w:szCs w:val="24"/>
          <w:lang w:val="en-PH"/>
        </w:rPr>
      </w:pPr>
      <w:r w:rsidRPr="003050C2">
        <w:rPr>
          <w:sz w:val="24"/>
          <w:szCs w:val="24"/>
          <w:lang w:val="en-PH"/>
        </w:rPr>
        <w:t xml:space="preserve">In addition, the results of the study indicated that TVL students at the Senior High School level in the Philippines were ready for work as far as their work-related behaviors, communication skills, technical skills, and technology use skills were concerned although improvements in technical skills and technology use skills were necessary. Such results can be explained by the assumption that due to the high number of TVL graduates, they become more qualified in welding due to the fact that the learning process at the SHS level prepares students for their future work in terms of acquiring necessary practical skills, developing cognitive abilities, habits, and attitudes (Areisy &amp; </w:t>
      </w:r>
      <w:proofErr w:type="spellStart"/>
      <w:r w:rsidRPr="003050C2">
        <w:rPr>
          <w:sz w:val="24"/>
          <w:szCs w:val="24"/>
          <w:lang w:val="en-PH"/>
        </w:rPr>
        <w:t>Sudira</w:t>
      </w:r>
      <w:proofErr w:type="spellEnd"/>
      <w:r w:rsidRPr="003050C2">
        <w:rPr>
          <w:sz w:val="24"/>
          <w:szCs w:val="24"/>
          <w:lang w:val="en-PH"/>
        </w:rPr>
        <w:t>, 2022). Moreover, according to the results of the study, mismatches occurred because students' academic tracks were chosen based on barriers to the learning process, lack of access to certain strands, as well as financial and geographic barriers; however, they showed resilience and adaptability during the educational process that can be associated with the fact that those students who took college courses that do not correspond to their SHS strands, for instance, students majoring in HUMSS and GAS, were having problems in welding courses (Abata, 2025). Furthermore, the authors of the paper indicate the growing trend in researching Differentiated Instruction in higher education since the focus is shifted to its practical application through technology integration, therefore, there was a great need for differentiated instruction among welding students because of the low number of STEM and ICT students who received more scientific and technical preparation (</w:t>
      </w:r>
      <w:proofErr w:type="spellStart"/>
      <w:r w:rsidRPr="003050C2">
        <w:rPr>
          <w:sz w:val="24"/>
          <w:szCs w:val="24"/>
          <w:lang w:val="en-PH"/>
        </w:rPr>
        <w:t>Suprayogi</w:t>
      </w:r>
      <w:proofErr w:type="spellEnd"/>
      <w:r w:rsidRPr="003050C2">
        <w:rPr>
          <w:sz w:val="24"/>
          <w:szCs w:val="24"/>
          <w:lang w:val="en-PH"/>
        </w:rPr>
        <w:t xml:space="preserve"> &amp; </w:t>
      </w:r>
      <w:proofErr w:type="spellStart"/>
      <w:r w:rsidRPr="003050C2">
        <w:rPr>
          <w:sz w:val="24"/>
          <w:szCs w:val="24"/>
          <w:lang w:val="en-PH"/>
        </w:rPr>
        <w:t>Suwarno</w:t>
      </w:r>
      <w:proofErr w:type="spellEnd"/>
      <w:r w:rsidRPr="003050C2">
        <w:rPr>
          <w:sz w:val="24"/>
          <w:szCs w:val="24"/>
          <w:lang w:val="en-PH"/>
        </w:rPr>
        <w:t>, 2024).</w:t>
      </w:r>
    </w:p>
    <w:p w14:paraId="3284FE7F" w14:textId="77777777" w:rsidR="00C25616" w:rsidRDefault="003050C2" w:rsidP="00C25616">
      <w:pPr>
        <w:spacing w:before="240" w:after="240"/>
        <w:ind w:firstLine="720"/>
        <w:jc w:val="both"/>
        <w:rPr>
          <w:sz w:val="24"/>
          <w:szCs w:val="24"/>
          <w:lang w:val="en-PH"/>
        </w:rPr>
      </w:pPr>
      <w:r w:rsidRPr="003050C2">
        <w:rPr>
          <w:sz w:val="24"/>
          <w:szCs w:val="24"/>
          <w:lang w:val="en-PH"/>
        </w:rPr>
        <w:t>On the whole, there were varying degrees of technicality and non-technicality in the SHS strands of the respondents, possibly affecting their capabilities in welding and their performance in college.</w:t>
      </w:r>
    </w:p>
    <w:p w14:paraId="5614B28C" w14:textId="4820EF31" w:rsidR="00C25616" w:rsidRPr="00C25616" w:rsidRDefault="00C25616" w:rsidP="00C25616">
      <w:pPr>
        <w:spacing w:before="240" w:after="240"/>
        <w:jc w:val="both"/>
        <w:rPr>
          <w:b/>
          <w:bCs/>
          <w:sz w:val="24"/>
          <w:szCs w:val="24"/>
          <w:lang w:val="en-PH"/>
        </w:rPr>
      </w:pPr>
      <w:r w:rsidRPr="00C25616">
        <w:rPr>
          <w:b/>
          <w:bCs/>
          <w:sz w:val="24"/>
          <w:szCs w:val="24"/>
          <w:lang w:val="en-PH"/>
        </w:rPr>
        <w:t>Enrollment in Welding under the TVL Track in Senior High School</w:t>
      </w:r>
    </w:p>
    <w:p w14:paraId="0C805A9C" w14:textId="48DEF62A" w:rsidR="00C25616" w:rsidRDefault="00C25616" w:rsidP="00C25616">
      <w:pPr>
        <w:spacing w:before="240" w:after="240"/>
        <w:ind w:firstLine="720"/>
        <w:jc w:val="both"/>
        <w:rPr>
          <w:sz w:val="24"/>
          <w:szCs w:val="24"/>
          <w:lang w:val="en-PH"/>
        </w:rPr>
      </w:pPr>
      <w:r w:rsidRPr="00C25616">
        <w:rPr>
          <w:sz w:val="24"/>
          <w:szCs w:val="24"/>
          <w:lang w:val="en-PH"/>
        </w:rPr>
        <w:t>The enrollment of the respondents taking welding subject under the TVL track in SHS is discussed, particularly their number who have finished their formal study on welding. These statistics will give an indication of their knowledge about welding and how this may affect their readiness to take up welding classes in college, as depicted in Table 5 below.</w:t>
      </w:r>
    </w:p>
    <w:p w14:paraId="73E0482B" w14:textId="17862F80" w:rsidR="00C25616" w:rsidRPr="00C25616" w:rsidRDefault="00C25616" w:rsidP="00C25616">
      <w:pPr>
        <w:spacing w:before="240" w:after="240"/>
        <w:jc w:val="both"/>
        <w:rPr>
          <w:b/>
          <w:bCs/>
          <w:sz w:val="24"/>
          <w:szCs w:val="24"/>
          <w:lang w:val="en-PH"/>
        </w:rPr>
      </w:pPr>
      <w:r w:rsidRPr="00C25616">
        <w:rPr>
          <w:b/>
          <w:bCs/>
          <w:sz w:val="24"/>
          <w:szCs w:val="24"/>
          <w:lang w:val="en-PH"/>
        </w:rPr>
        <w:t>Table 5</w:t>
      </w:r>
      <w:r w:rsidRPr="00C25616">
        <w:rPr>
          <w:b/>
          <w:bCs/>
          <w:sz w:val="24"/>
          <w:szCs w:val="24"/>
          <w:lang w:val="en-PH"/>
        </w:rPr>
        <w:t xml:space="preserve">. </w:t>
      </w:r>
      <w:r w:rsidRPr="00C25616">
        <w:rPr>
          <w:b/>
          <w:bCs/>
          <w:sz w:val="24"/>
          <w:szCs w:val="24"/>
          <w:lang w:val="en-PH"/>
        </w:rPr>
        <w:t>Respondents’ Enrollment in Welding under the TVL Track in Senior High School</w:t>
      </w:r>
    </w:p>
    <w:tbl>
      <w:tblPr>
        <w:tblW w:w="6928" w:type="dxa"/>
        <w:tblLook w:val="04A0" w:firstRow="1" w:lastRow="0" w:firstColumn="1" w:lastColumn="0" w:noHBand="0" w:noVBand="1"/>
      </w:tblPr>
      <w:tblGrid>
        <w:gridCol w:w="3686"/>
        <w:gridCol w:w="483"/>
        <w:gridCol w:w="2759"/>
      </w:tblGrid>
      <w:tr w:rsidR="00C25616" w:rsidRPr="00C25616" w14:paraId="2FAB398D" w14:textId="77777777" w:rsidTr="00C25616">
        <w:trPr>
          <w:trHeight w:val="288"/>
        </w:trPr>
        <w:tc>
          <w:tcPr>
            <w:tcW w:w="3686" w:type="dxa"/>
            <w:tcBorders>
              <w:top w:val="single" w:sz="4" w:space="0" w:color="auto"/>
              <w:bottom w:val="single" w:sz="4" w:space="0" w:color="auto"/>
            </w:tcBorders>
            <w:noWrap/>
            <w:vAlign w:val="center"/>
            <w:hideMark/>
          </w:tcPr>
          <w:p w14:paraId="40D428B5" w14:textId="77777777" w:rsidR="00C25616" w:rsidRPr="00C25616" w:rsidRDefault="00C25616" w:rsidP="007233F6">
            <w:pPr>
              <w:jc w:val="center"/>
              <w:rPr>
                <w:b/>
                <w:bCs/>
                <w:color w:val="000000" w:themeColor="text1"/>
                <w:sz w:val="24"/>
                <w:szCs w:val="24"/>
              </w:rPr>
            </w:pPr>
            <w:r w:rsidRPr="00C25616">
              <w:rPr>
                <w:b/>
                <w:bCs/>
                <w:color w:val="000000" w:themeColor="text1"/>
                <w:sz w:val="24"/>
                <w:szCs w:val="24"/>
              </w:rPr>
              <w:t>Enrolled in TVL Welding</w:t>
            </w:r>
          </w:p>
        </w:tc>
        <w:tc>
          <w:tcPr>
            <w:tcW w:w="483" w:type="dxa"/>
            <w:tcBorders>
              <w:top w:val="single" w:sz="4" w:space="0" w:color="auto"/>
              <w:bottom w:val="single" w:sz="4" w:space="0" w:color="auto"/>
            </w:tcBorders>
            <w:noWrap/>
            <w:vAlign w:val="center"/>
            <w:hideMark/>
          </w:tcPr>
          <w:p w14:paraId="262A8AF6" w14:textId="77777777" w:rsidR="00C25616" w:rsidRPr="00C25616" w:rsidRDefault="00C25616" w:rsidP="007233F6">
            <w:pPr>
              <w:jc w:val="center"/>
              <w:rPr>
                <w:b/>
                <w:bCs/>
                <w:color w:val="000000" w:themeColor="text1"/>
                <w:sz w:val="24"/>
                <w:szCs w:val="24"/>
              </w:rPr>
            </w:pPr>
            <w:r w:rsidRPr="00C25616">
              <w:rPr>
                <w:b/>
                <w:bCs/>
                <w:color w:val="000000" w:themeColor="text1"/>
                <w:sz w:val="24"/>
                <w:szCs w:val="24"/>
              </w:rPr>
              <w:t>f</w:t>
            </w:r>
          </w:p>
        </w:tc>
        <w:tc>
          <w:tcPr>
            <w:tcW w:w="2759" w:type="dxa"/>
            <w:tcBorders>
              <w:top w:val="single" w:sz="4" w:space="0" w:color="auto"/>
              <w:bottom w:val="single" w:sz="4" w:space="0" w:color="auto"/>
            </w:tcBorders>
            <w:noWrap/>
            <w:vAlign w:val="center"/>
            <w:hideMark/>
          </w:tcPr>
          <w:p w14:paraId="4921C5BA" w14:textId="77777777" w:rsidR="00C25616" w:rsidRPr="00C25616" w:rsidRDefault="00C25616" w:rsidP="007233F6">
            <w:pPr>
              <w:jc w:val="center"/>
              <w:rPr>
                <w:b/>
                <w:bCs/>
                <w:color w:val="000000" w:themeColor="text1"/>
                <w:sz w:val="24"/>
                <w:szCs w:val="24"/>
              </w:rPr>
            </w:pPr>
            <w:r w:rsidRPr="00C25616">
              <w:rPr>
                <w:b/>
                <w:bCs/>
                <w:color w:val="000000" w:themeColor="text1"/>
                <w:sz w:val="24"/>
                <w:szCs w:val="24"/>
              </w:rPr>
              <w:t>%</w:t>
            </w:r>
          </w:p>
        </w:tc>
      </w:tr>
      <w:tr w:rsidR="00C25616" w:rsidRPr="00C25616" w14:paraId="7C5F0365" w14:textId="77777777" w:rsidTr="00C25616">
        <w:trPr>
          <w:trHeight w:val="288"/>
        </w:trPr>
        <w:tc>
          <w:tcPr>
            <w:tcW w:w="3686" w:type="dxa"/>
            <w:tcBorders>
              <w:top w:val="single" w:sz="4" w:space="0" w:color="auto"/>
            </w:tcBorders>
            <w:noWrap/>
            <w:vAlign w:val="center"/>
            <w:hideMark/>
          </w:tcPr>
          <w:p w14:paraId="56CBACEA" w14:textId="77777777" w:rsidR="00C25616" w:rsidRPr="00C25616" w:rsidRDefault="00C25616" w:rsidP="007233F6">
            <w:pPr>
              <w:jc w:val="center"/>
              <w:rPr>
                <w:color w:val="000000" w:themeColor="text1"/>
                <w:sz w:val="24"/>
                <w:szCs w:val="24"/>
              </w:rPr>
            </w:pPr>
            <w:r w:rsidRPr="00C25616">
              <w:rPr>
                <w:color w:val="000000" w:themeColor="text1"/>
                <w:sz w:val="24"/>
                <w:szCs w:val="24"/>
              </w:rPr>
              <w:t>No</w:t>
            </w:r>
          </w:p>
        </w:tc>
        <w:tc>
          <w:tcPr>
            <w:tcW w:w="483" w:type="dxa"/>
            <w:tcBorders>
              <w:top w:val="single" w:sz="4" w:space="0" w:color="auto"/>
            </w:tcBorders>
            <w:noWrap/>
            <w:vAlign w:val="center"/>
            <w:hideMark/>
          </w:tcPr>
          <w:p w14:paraId="5EB56CEA" w14:textId="77777777" w:rsidR="00C25616" w:rsidRPr="00C25616" w:rsidRDefault="00C25616" w:rsidP="007233F6">
            <w:pPr>
              <w:jc w:val="center"/>
              <w:rPr>
                <w:color w:val="000000" w:themeColor="text1"/>
                <w:sz w:val="24"/>
                <w:szCs w:val="24"/>
              </w:rPr>
            </w:pPr>
            <w:r w:rsidRPr="00C25616">
              <w:rPr>
                <w:color w:val="000000" w:themeColor="text1"/>
                <w:sz w:val="24"/>
                <w:szCs w:val="24"/>
              </w:rPr>
              <w:t>38</w:t>
            </w:r>
          </w:p>
        </w:tc>
        <w:tc>
          <w:tcPr>
            <w:tcW w:w="2759" w:type="dxa"/>
            <w:tcBorders>
              <w:top w:val="single" w:sz="4" w:space="0" w:color="auto"/>
            </w:tcBorders>
            <w:noWrap/>
            <w:vAlign w:val="center"/>
            <w:hideMark/>
          </w:tcPr>
          <w:p w14:paraId="71203A07" w14:textId="77777777" w:rsidR="00C25616" w:rsidRPr="00C25616" w:rsidRDefault="00C25616" w:rsidP="007233F6">
            <w:pPr>
              <w:jc w:val="center"/>
              <w:rPr>
                <w:color w:val="000000" w:themeColor="text1"/>
                <w:sz w:val="24"/>
                <w:szCs w:val="24"/>
              </w:rPr>
            </w:pPr>
            <w:r w:rsidRPr="00C25616">
              <w:rPr>
                <w:color w:val="000000" w:themeColor="text1"/>
                <w:sz w:val="24"/>
                <w:szCs w:val="24"/>
              </w:rPr>
              <w:t>82.61</w:t>
            </w:r>
          </w:p>
        </w:tc>
      </w:tr>
      <w:tr w:rsidR="00C25616" w:rsidRPr="00C25616" w14:paraId="10473A3F" w14:textId="77777777" w:rsidTr="00C25616">
        <w:trPr>
          <w:trHeight w:val="288"/>
        </w:trPr>
        <w:tc>
          <w:tcPr>
            <w:tcW w:w="3686" w:type="dxa"/>
            <w:noWrap/>
            <w:vAlign w:val="center"/>
            <w:hideMark/>
          </w:tcPr>
          <w:p w14:paraId="64122669" w14:textId="77777777" w:rsidR="00C25616" w:rsidRPr="00C25616" w:rsidRDefault="00C25616" w:rsidP="007233F6">
            <w:pPr>
              <w:jc w:val="center"/>
              <w:rPr>
                <w:color w:val="000000" w:themeColor="text1"/>
                <w:sz w:val="24"/>
                <w:szCs w:val="24"/>
              </w:rPr>
            </w:pPr>
            <w:r w:rsidRPr="00C25616">
              <w:rPr>
                <w:color w:val="000000" w:themeColor="text1"/>
                <w:sz w:val="24"/>
                <w:szCs w:val="24"/>
              </w:rPr>
              <w:t>Yes</w:t>
            </w:r>
          </w:p>
        </w:tc>
        <w:tc>
          <w:tcPr>
            <w:tcW w:w="483" w:type="dxa"/>
            <w:noWrap/>
            <w:vAlign w:val="center"/>
            <w:hideMark/>
          </w:tcPr>
          <w:p w14:paraId="27587991" w14:textId="77777777" w:rsidR="00C25616" w:rsidRPr="00C25616" w:rsidRDefault="00C25616" w:rsidP="007233F6">
            <w:pPr>
              <w:jc w:val="center"/>
              <w:rPr>
                <w:color w:val="000000" w:themeColor="text1"/>
                <w:sz w:val="24"/>
                <w:szCs w:val="24"/>
              </w:rPr>
            </w:pPr>
            <w:r w:rsidRPr="00C25616">
              <w:rPr>
                <w:color w:val="000000" w:themeColor="text1"/>
                <w:sz w:val="24"/>
                <w:szCs w:val="24"/>
              </w:rPr>
              <w:t>8</w:t>
            </w:r>
          </w:p>
        </w:tc>
        <w:tc>
          <w:tcPr>
            <w:tcW w:w="2759" w:type="dxa"/>
            <w:noWrap/>
            <w:vAlign w:val="center"/>
            <w:hideMark/>
          </w:tcPr>
          <w:p w14:paraId="083C66FA" w14:textId="77777777" w:rsidR="00C25616" w:rsidRPr="00C25616" w:rsidRDefault="00C25616" w:rsidP="007233F6">
            <w:pPr>
              <w:jc w:val="center"/>
              <w:rPr>
                <w:color w:val="000000" w:themeColor="text1"/>
                <w:sz w:val="24"/>
                <w:szCs w:val="24"/>
              </w:rPr>
            </w:pPr>
            <w:r w:rsidRPr="00C25616">
              <w:rPr>
                <w:color w:val="000000" w:themeColor="text1"/>
                <w:sz w:val="24"/>
                <w:szCs w:val="24"/>
              </w:rPr>
              <w:t>17.39</w:t>
            </w:r>
          </w:p>
        </w:tc>
      </w:tr>
      <w:tr w:rsidR="00C25616" w:rsidRPr="00C25616" w14:paraId="0DF5B858" w14:textId="77777777" w:rsidTr="00C25616">
        <w:trPr>
          <w:trHeight w:val="288"/>
        </w:trPr>
        <w:tc>
          <w:tcPr>
            <w:tcW w:w="3686" w:type="dxa"/>
            <w:tcBorders>
              <w:bottom w:val="single" w:sz="4" w:space="0" w:color="auto"/>
            </w:tcBorders>
            <w:noWrap/>
            <w:vAlign w:val="center"/>
            <w:hideMark/>
          </w:tcPr>
          <w:p w14:paraId="179249EC" w14:textId="77777777" w:rsidR="00C25616" w:rsidRPr="00C25616" w:rsidRDefault="00C25616" w:rsidP="007233F6">
            <w:pPr>
              <w:jc w:val="center"/>
              <w:rPr>
                <w:b/>
                <w:bCs/>
                <w:color w:val="000000" w:themeColor="text1"/>
                <w:sz w:val="24"/>
                <w:szCs w:val="24"/>
              </w:rPr>
            </w:pPr>
            <w:r w:rsidRPr="00C25616">
              <w:rPr>
                <w:b/>
                <w:bCs/>
                <w:color w:val="000000" w:themeColor="text1"/>
                <w:sz w:val="24"/>
                <w:szCs w:val="24"/>
              </w:rPr>
              <w:t xml:space="preserve">Total </w:t>
            </w:r>
          </w:p>
        </w:tc>
        <w:tc>
          <w:tcPr>
            <w:tcW w:w="483" w:type="dxa"/>
            <w:tcBorders>
              <w:bottom w:val="single" w:sz="4" w:space="0" w:color="auto"/>
            </w:tcBorders>
            <w:noWrap/>
            <w:vAlign w:val="center"/>
            <w:hideMark/>
          </w:tcPr>
          <w:p w14:paraId="622A9DB4" w14:textId="77777777" w:rsidR="00C25616" w:rsidRPr="00C25616" w:rsidRDefault="00C25616" w:rsidP="007233F6">
            <w:pPr>
              <w:jc w:val="center"/>
              <w:rPr>
                <w:b/>
                <w:bCs/>
                <w:color w:val="000000" w:themeColor="text1"/>
                <w:sz w:val="24"/>
                <w:szCs w:val="24"/>
              </w:rPr>
            </w:pPr>
            <w:r w:rsidRPr="00C25616">
              <w:rPr>
                <w:b/>
                <w:bCs/>
                <w:color w:val="000000" w:themeColor="text1"/>
                <w:sz w:val="24"/>
                <w:szCs w:val="24"/>
              </w:rPr>
              <w:t>46</w:t>
            </w:r>
          </w:p>
        </w:tc>
        <w:tc>
          <w:tcPr>
            <w:tcW w:w="2759" w:type="dxa"/>
            <w:tcBorders>
              <w:bottom w:val="single" w:sz="4" w:space="0" w:color="auto"/>
            </w:tcBorders>
            <w:noWrap/>
            <w:vAlign w:val="center"/>
            <w:hideMark/>
          </w:tcPr>
          <w:p w14:paraId="17F0DA5C" w14:textId="77777777" w:rsidR="00C25616" w:rsidRPr="00C25616" w:rsidRDefault="00C25616" w:rsidP="007233F6">
            <w:pPr>
              <w:jc w:val="center"/>
              <w:rPr>
                <w:b/>
                <w:bCs/>
                <w:color w:val="000000" w:themeColor="text1"/>
                <w:sz w:val="24"/>
                <w:szCs w:val="24"/>
              </w:rPr>
            </w:pPr>
            <w:r w:rsidRPr="00C25616">
              <w:rPr>
                <w:b/>
                <w:bCs/>
                <w:color w:val="000000" w:themeColor="text1"/>
                <w:sz w:val="24"/>
                <w:szCs w:val="24"/>
              </w:rPr>
              <w:t>100.00</w:t>
            </w:r>
          </w:p>
        </w:tc>
      </w:tr>
    </w:tbl>
    <w:p w14:paraId="4F0537AE" w14:textId="77777777" w:rsidR="00C25616" w:rsidRPr="00C25616" w:rsidRDefault="00C25616" w:rsidP="00C25616">
      <w:pPr>
        <w:spacing w:before="240" w:after="240"/>
        <w:ind w:firstLine="720"/>
        <w:jc w:val="both"/>
        <w:rPr>
          <w:sz w:val="24"/>
          <w:szCs w:val="24"/>
          <w:lang w:val="en-PH"/>
        </w:rPr>
      </w:pPr>
      <w:r w:rsidRPr="00C25616">
        <w:rPr>
          <w:sz w:val="24"/>
          <w:szCs w:val="24"/>
          <w:lang w:val="en-PH"/>
        </w:rPr>
        <w:t xml:space="preserve">Table 5 displays the respondents' exposure to welding courses under the TVL track in their SHS education. From the findings presented, a large percentage of the respondents or 82.61% (38) had never taken any form of welding course in their senior high school education while only 17.39% (8) had been trained in TVL welding courses. Higher education mismatch literature posits that college students enrolled in institutions that do not match their educational preparation exhibit diverse results; hence, it is no surprise that most students enrolled in college welding without any prior exposure to structured welding education experience problems in gaining initial proficiency, confidence, and practical application (Wyness, 2023). On the other hand, students having some knowledge in TVL welding have already acquired basic and soft skills; they understand how welding works; they have been exposed to welding materials and processes; and more importantly, they have been taught the safety measures. Moreover, the quality of their training, involvement in internships, and economic environment make them perceive themselves as highly employable and competent, thus giving them an edge as far as coping up with college welding activities is concerned (Jr &amp; </w:t>
      </w:r>
      <w:proofErr w:type="spellStart"/>
      <w:r w:rsidRPr="00C25616">
        <w:rPr>
          <w:sz w:val="24"/>
          <w:szCs w:val="24"/>
          <w:lang w:val="en-PH"/>
        </w:rPr>
        <w:t>Habibun</w:t>
      </w:r>
      <w:proofErr w:type="spellEnd"/>
      <w:r w:rsidRPr="00C25616">
        <w:rPr>
          <w:sz w:val="24"/>
          <w:szCs w:val="24"/>
          <w:lang w:val="en-PH"/>
        </w:rPr>
        <w:t>, 2025). Furthermore, the research results reveal that teaching practices of differentiation are greatly influenced by teachers' philosophy, especially a growth mindset and student-centered ethical perspective, which will determine the frequency of use of the practice. It makes sense for vocational teachers to employ different strategies when dealing with students with various skill levels and minimal previous experiences (</w:t>
      </w:r>
      <w:proofErr w:type="spellStart"/>
      <w:r w:rsidRPr="00C25616">
        <w:rPr>
          <w:sz w:val="24"/>
          <w:szCs w:val="24"/>
          <w:lang w:val="en-PH"/>
        </w:rPr>
        <w:t>Gheyssens</w:t>
      </w:r>
      <w:proofErr w:type="spellEnd"/>
      <w:r w:rsidRPr="00C25616">
        <w:rPr>
          <w:sz w:val="24"/>
          <w:szCs w:val="24"/>
          <w:lang w:val="en-PH"/>
        </w:rPr>
        <w:t xml:space="preserve"> et al., 2022).</w:t>
      </w:r>
    </w:p>
    <w:p w14:paraId="0AC61856" w14:textId="1635E38F" w:rsidR="00C25616" w:rsidRDefault="00C25616" w:rsidP="00C25616">
      <w:pPr>
        <w:spacing w:before="240" w:after="240"/>
        <w:ind w:firstLine="720"/>
        <w:jc w:val="both"/>
        <w:rPr>
          <w:sz w:val="24"/>
          <w:szCs w:val="24"/>
          <w:lang w:val="en-PH"/>
        </w:rPr>
      </w:pPr>
      <w:r w:rsidRPr="00C25616">
        <w:rPr>
          <w:sz w:val="24"/>
          <w:szCs w:val="24"/>
          <w:lang w:val="en-PH"/>
        </w:rPr>
        <w:t>Overall, the results showed that a mere minority of students had acquired any formal education in welding prior to entering college, with the rest having to rely solely on their college experience in learning how to perform welding-related tasks. This made it crucial to have specific strategies used during the educational process in order to accommodate different students and their unique circumstances. Differentiated instruction became a must because it allowed for teachers to tailor lessons specifically for individual students and thus ensure success and proficiency in welding practices. Through differentiating the lessons for individual students based on their prior experience, educators managed to build students' confidence and prepare them for more difficult tasks in the future.</w:t>
      </w:r>
    </w:p>
    <w:p w14:paraId="5B242F98" w14:textId="77777777" w:rsidR="00C25616" w:rsidRDefault="00C25616" w:rsidP="00C25616">
      <w:pPr>
        <w:spacing w:before="240" w:after="240"/>
        <w:jc w:val="both"/>
        <w:rPr>
          <w:sz w:val="24"/>
          <w:szCs w:val="24"/>
          <w:lang w:val="en-PH"/>
        </w:rPr>
      </w:pPr>
    </w:p>
    <w:p w14:paraId="63FCE40B" w14:textId="30CA36B2" w:rsidR="002B7D4A" w:rsidRPr="003050C2" w:rsidRDefault="003050C2" w:rsidP="002B7D4A">
      <w:pPr>
        <w:spacing w:before="240" w:after="240"/>
        <w:jc w:val="both"/>
        <w:rPr>
          <w:b/>
          <w:bCs/>
          <w:sz w:val="24"/>
          <w:szCs w:val="24"/>
          <w:lang w:val="en-PH"/>
        </w:rPr>
      </w:pPr>
      <w:r w:rsidRPr="003050C2">
        <w:rPr>
          <w:b/>
          <w:bCs/>
          <w:sz w:val="24"/>
          <w:szCs w:val="24"/>
          <w:lang w:val="en-PH"/>
        </w:rPr>
        <w:t>RESPONDENT'S PERCEIVED LEVEL OF SHS WELDING COMPETENCIES</w:t>
      </w:r>
    </w:p>
    <w:p w14:paraId="38EE1B71" w14:textId="39DDCE67" w:rsidR="003050C2" w:rsidRDefault="003050C2" w:rsidP="003050C2">
      <w:pPr>
        <w:spacing w:before="240" w:after="240"/>
        <w:ind w:firstLine="720"/>
        <w:jc w:val="both"/>
        <w:rPr>
          <w:sz w:val="24"/>
          <w:szCs w:val="24"/>
          <w:lang w:val="en-PH"/>
        </w:rPr>
      </w:pPr>
      <w:r w:rsidRPr="003050C2">
        <w:rPr>
          <w:sz w:val="24"/>
          <w:szCs w:val="24"/>
          <w:lang w:val="en-PH"/>
        </w:rPr>
        <w:t>The following part highlights the perception of the respondents on their SHS welding competency level based on three major components: readiness for learning, experience in performing tasks, and technical expertise in welding. This information is quite helpful in understanding the way the respondents perceived themselves when assessing their readiness for learning, welding experience, and level of competency in welding, all of which could have affected their performance during the college welding course. Understanding such perceptions can help identify different teaching approaches to improve academic and technical success in welding classes.</w:t>
      </w:r>
    </w:p>
    <w:p w14:paraId="011488B4" w14:textId="637EAF01" w:rsidR="003050C2" w:rsidRPr="003050C2" w:rsidRDefault="003050C2" w:rsidP="002B7D4A">
      <w:pPr>
        <w:spacing w:before="240" w:after="240"/>
        <w:jc w:val="both"/>
        <w:rPr>
          <w:b/>
          <w:bCs/>
          <w:sz w:val="24"/>
          <w:szCs w:val="24"/>
          <w:lang w:val="en-PH"/>
        </w:rPr>
      </w:pPr>
      <w:r w:rsidRPr="003050C2">
        <w:rPr>
          <w:b/>
          <w:bCs/>
          <w:sz w:val="24"/>
          <w:szCs w:val="24"/>
          <w:lang w:val="en-PH"/>
        </w:rPr>
        <w:t>Academic Preparedness</w:t>
      </w:r>
    </w:p>
    <w:p w14:paraId="0FA03009" w14:textId="0F5F910E" w:rsidR="003050C2" w:rsidRDefault="003050C2" w:rsidP="003050C2">
      <w:pPr>
        <w:spacing w:before="240" w:after="240"/>
        <w:ind w:firstLine="720"/>
        <w:jc w:val="both"/>
        <w:rPr>
          <w:sz w:val="24"/>
          <w:szCs w:val="24"/>
          <w:lang w:val="en-PH"/>
        </w:rPr>
      </w:pPr>
      <w:r w:rsidRPr="003050C2">
        <w:rPr>
          <w:sz w:val="24"/>
          <w:szCs w:val="24"/>
          <w:lang w:val="en-PH"/>
        </w:rPr>
        <w:t>Respondents’ SHS welding competence was analyzed to assess their preparedness for college, focusing on study skills, welding theory, problem-solving, and overall readiness, as shown in Table 6</w:t>
      </w:r>
      <w:r>
        <w:rPr>
          <w:sz w:val="24"/>
          <w:szCs w:val="24"/>
          <w:lang w:val="en-PH"/>
        </w:rPr>
        <w:t>.</w:t>
      </w:r>
    </w:p>
    <w:p w14:paraId="48C04A5F" w14:textId="18BC6CA2" w:rsidR="003050C2" w:rsidRPr="003050C2" w:rsidRDefault="003050C2" w:rsidP="003050C2">
      <w:pPr>
        <w:spacing w:before="240" w:after="240"/>
        <w:jc w:val="both"/>
        <w:rPr>
          <w:b/>
          <w:bCs/>
          <w:sz w:val="24"/>
          <w:szCs w:val="24"/>
          <w:lang w:val="en-PH"/>
        </w:rPr>
      </w:pPr>
      <w:r w:rsidRPr="003050C2">
        <w:rPr>
          <w:b/>
          <w:bCs/>
          <w:sz w:val="24"/>
          <w:szCs w:val="24"/>
          <w:lang w:val="en-PH"/>
        </w:rPr>
        <w:t>Table 6</w:t>
      </w:r>
      <w:r w:rsidRPr="003050C2">
        <w:rPr>
          <w:b/>
          <w:bCs/>
          <w:sz w:val="24"/>
          <w:szCs w:val="24"/>
          <w:lang w:val="en-PH"/>
        </w:rPr>
        <w:t xml:space="preserve">. </w:t>
      </w:r>
      <w:r w:rsidRPr="003050C2">
        <w:rPr>
          <w:b/>
          <w:bCs/>
          <w:sz w:val="24"/>
          <w:szCs w:val="24"/>
          <w:lang w:val="en-PH"/>
        </w:rPr>
        <w:t>Respondent's Perceived Level of SHS Welding Competencies</w:t>
      </w:r>
      <w:r w:rsidRPr="003050C2">
        <w:rPr>
          <w:b/>
          <w:bCs/>
          <w:sz w:val="24"/>
          <w:szCs w:val="24"/>
          <w:lang w:val="en-PH"/>
        </w:rPr>
        <w:t xml:space="preserve"> </w:t>
      </w:r>
      <w:r w:rsidRPr="003050C2">
        <w:rPr>
          <w:b/>
          <w:bCs/>
          <w:sz w:val="24"/>
          <w:szCs w:val="24"/>
          <w:lang w:val="en-PH"/>
        </w:rPr>
        <w:t>in Terms of Academic Preparedness</w:t>
      </w:r>
    </w:p>
    <w:tbl>
      <w:tblPr>
        <w:tblW w:w="9558" w:type="dxa"/>
        <w:tblLook w:val="04A0" w:firstRow="1" w:lastRow="0" w:firstColumn="1" w:lastColumn="0" w:noHBand="0" w:noVBand="1"/>
      </w:tblPr>
      <w:tblGrid>
        <w:gridCol w:w="617"/>
        <w:gridCol w:w="4782"/>
        <w:gridCol w:w="721"/>
        <w:gridCol w:w="900"/>
        <w:gridCol w:w="2538"/>
      </w:tblGrid>
      <w:tr w:rsidR="003050C2" w:rsidRPr="00461DDB" w14:paraId="023D4A6A" w14:textId="77777777" w:rsidTr="003050C2">
        <w:trPr>
          <w:trHeight w:val="203"/>
        </w:trPr>
        <w:tc>
          <w:tcPr>
            <w:tcW w:w="617" w:type="dxa"/>
            <w:tcBorders>
              <w:top w:val="single" w:sz="4" w:space="0" w:color="auto"/>
              <w:bottom w:val="single" w:sz="4" w:space="0" w:color="auto"/>
            </w:tcBorders>
            <w:noWrap/>
            <w:vAlign w:val="center"/>
            <w:hideMark/>
          </w:tcPr>
          <w:p w14:paraId="50C1E937" w14:textId="77777777" w:rsidR="003050C2" w:rsidRPr="003050C2" w:rsidRDefault="003050C2" w:rsidP="007233F6">
            <w:pPr>
              <w:jc w:val="center"/>
              <w:rPr>
                <w:b/>
                <w:bCs/>
                <w:color w:val="000000" w:themeColor="text1"/>
                <w:sz w:val="24"/>
                <w:szCs w:val="24"/>
              </w:rPr>
            </w:pPr>
            <w:r w:rsidRPr="003050C2">
              <w:rPr>
                <w:b/>
                <w:bCs/>
                <w:color w:val="000000" w:themeColor="text1"/>
                <w:sz w:val="24"/>
                <w:szCs w:val="24"/>
              </w:rPr>
              <w:t>S/N</w:t>
            </w:r>
          </w:p>
        </w:tc>
        <w:tc>
          <w:tcPr>
            <w:tcW w:w="4782" w:type="dxa"/>
            <w:tcBorders>
              <w:top w:val="single" w:sz="4" w:space="0" w:color="auto"/>
              <w:bottom w:val="single" w:sz="4" w:space="0" w:color="auto"/>
            </w:tcBorders>
            <w:noWrap/>
            <w:vAlign w:val="center"/>
            <w:hideMark/>
          </w:tcPr>
          <w:p w14:paraId="3A1CC776" w14:textId="77777777" w:rsidR="003050C2" w:rsidRPr="003050C2" w:rsidRDefault="003050C2" w:rsidP="007233F6">
            <w:pPr>
              <w:jc w:val="center"/>
              <w:rPr>
                <w:b/>
                <w:bCs/>
                <w:color w:val="000000" w:themeColor="text1"/>
                <w:sz w:val="24"/>
                <w:szCs w:val="24"/>
              </w:rPr>
            </w:pPr>
            <w:r w:rsidRPr="003050C2">
              <w:rPr>
                <w:b/>
                <w:bCs/>
                <w:color w:val="000000" w:themeColor="text1"/>
                <w:sz w:val="24"/>
                <w:szCs w:val="24"/>
              </w:rPr>
              <w:t xml:space="preserve">Indicators </w:t>
            </w:r>
          </w:p>
        </w:tc>
        <w:tc>
          <w:tcPr>
            <w:tcW w:w="721" w:type="dxa"/>
            <w:tcBorders>
              <w:top w:val="single" w:sz="4" w:space="0" w:color="auto"/>
              <w:bottom w:val="single" w:sz="4" w:space="0" w:color="auto"/>
            </w:tcBorders>
            <w:noWrap/>
            <w:vAlign w:val="center"/>
            <w:hideMark/>
          </w:tcPr>
          <w:p w14:paraId="7D1CC398" w14:textId="77777777" w:rsidR="003050C2" w:rsidRPr="003050C2" w:rsidRDefault="003050C2" w:rsidP="007233F6">
            <w:pPr>
              <w:jc w:val="center"/>
              <w:rPr>
                <w:b/>
                <w:bCs/>
                <w:color w:val="000000" w:themeColor="text1"/>
                <w:sz w:val="24"/>
                <w:szCs w:val="24"/>
              </w:rPr>
            </w:pPr>
            <w:r w:rsidRPr="003050C2">
              <w:rPr>
                <w:b/>
                <w:bCs/>
                <w:color w:val="000000" w:themeColor="text1"/>
                <w:sz w:val="24"/>
                <w:szCs w:val="24"/>
              </w:rPr>
              <w:t>WM</w:t>
            </w:r>
          </w:p>
        </w:tc>
        <w:tc>
          <w:tcPr>
            <w:tcW w:w="900" w:type="dxa"/>
            <w:tcBorders>
              <w:top w:val="single" w:sz="4" w:space="0" w:color="auto"/>
              <w:bottom w:val="single" w:sz="4" w:space="0" w:color="auto"/>
            </w:tcBorders>
            <w:noWrap/>
            <w:vAlign w:val="center"/>
            <w:hideMark/>
          </w:tcPr>
          <w:p w14:paraId="5388943B" w14:textId="77777777" w:rsidR="003050C2" w:rsidRPr="003050C2" w:rsidRDefault="003050C2" w:rsidP="007233F6">
            <w:pPr>
              <w:jc w:val="center"/>
              <w:rPr>
                <w:b/>
                <w:bCs/>
                <w:color w:val="000000" w:themeColor="text1"/>
                <w:sz w:val="24"/>
                <w:szCs w:val="24"/>
              </w:rPr>
            </w:pPr>
            <w:r w:rsidRPr="003050C2">
              <w:rPr>
                <w:b/>
                <w:bCs/>
                <w:color w:val="000000" w:themeColor="text1"/>
                <w:sz w:val="24"/>
                <w:szCs w:val="24"/>
              </w:rPr>
              <w:t>SD</w:t>
            </w:r>
          </w:p>
        </w:tc>
        <w:tc>
          <w:tcPr>
            <w:tcW w:w="2538" w:type="dxa"/>
            <w:tcBorders>
              <w:top w:val="single" w:sz="4" w:space="0" w:color="auto"/>
              <w:bottom w:val="single" w:sz="4" w:space="0" w:color="auto"/>
            </w:tcBorders>
            <w:noWrap/>
            <w:vAlign w:val="center"/>
            <w:hideMark/>
          </w:tcPr>
          <w:p w14:paraId="39AB7892" w14:textId="77777777" w:rsidR="003050C2" w:rsidRPr="003050C2" w:rsidRDefault="003050C2" w:rsidP="007233F6">
            <w:pPr>
              <w:jc w:val="center"/>
              <w:rPr>
                <w:b/>
                <w:bCs/>
                <w:color w:val="000000" w:themeColor="text1"/>
                <w:sz w:val="24"/>
                <w:szCs w:val="24"/>
              </w:rPr>
            </w:pPr>
            <w:r w:rsidRPr="003050C2">
              <w:rPr>
                <w:b/>
                <w:bCs/>
                <w:color w:val="000000" w:themeColor="text1"/>
                <w:sz w:val="24"/>
                <w:szCs w:val="24"/>
              </w:rPr>
              <w:t xml:space="preserve">Verbal Description </w:t>
            </w:r>
          </w:p>
        </w:tc>
      </w:tr>
      <w:tr w:rsidR="003050C2" w:rsidRPr="00461DDB" w14:paraId="15302F10" w14:textId="77777777" w:rsidTr="003050C2">
        <w:trPr>
          <w:trHeight w:val="203"/>
        </w:trPr>
        <w:tc>
          <w:tcPr>
            <w:tcW w:w="617" w:type="dxa"/>
            <w:tcBorders>
              <w:top w:val="single" w:sz="4" w:space="0" w:color="auto"/>
            </w:tcBorders>
            <w:noWrap/>
            <w:vAlign w:val="center"/>
            <w:hideMark/>
          </w:tcPr>
          <w:p w14:paraId="045C8207"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1</w:t>
            </w:r>
          </w:p>
        </w:tc>
        <w:tc>
          <w:tcPr>
            <w:tcW w:w="4782" w:type="dxa"/>
            <w:tcBorders>
              <w:top w:val="single" w:sz="4" w:space="0" w:color="auto"/>
            </w:tcBorders>
            <w:noWrap/>
            <w:vAlign w:val="center"/>
            <w:hideMark/>
          </w:tcPr>
          <w:p w14:paraId="6BF4FEE4"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xml:space="preserve">My SHS education helped me develop study habits useful for college welding courses. </w:t>
            </w:r>
          </w:p>
        </w:tc>
        <w:tc>
          <w:tcPr>
            <w:tcW w:w="721" w:type="dxa"/>
            <w:tcBorders>
              <w:top w:val="single" w:sz="4" w:space="0" w:color="auto"/>
            </w:tcBorders>
            <w:noWrap/>
            <w:vAlign w:val="center"/>
            <w:hideMark/>
          </w:tcPr>
          <w:p w14:paraId="30E35214"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2.72</w:t>
            </w:r>
          </w:p>
        </w:tc>
        <w:tc>
          <w:tcPr>
            <w:tcW w:w="900" w:type="dxa"/>
            <w:tcBorders>
              <w:top w:val="single" w:sz="4" w:space="0" w:color="auto"/>
            </w:tcBorders>
            <w:noWrap/>
            <w:vAlign w:val="center"/>
            <w:hideMark/>
          </w:tcPr>
          <w:p w14:paraId="1BD08B21"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1.46</w:t>
            </w:r>
          </w:p>
        </w:tc>
        <w:tc>
          <w:tcPr>
            <w:tcW w:w="2538" w:type="dxa"/>
            <w:tcBorders>
              <w:top w:val="single" w:sz="4" w:space="0" w:color="auto"/>
            </w:tcBorders>
            <w:noWrap/>
            <w:vAlign w:val="center"/>
            <w:hideMark/>
          </w:tcPr>
          <w:p w14:paraId="2A763DDE"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Moderate</w:t>
            </w:r>
          </w:p>
        </w:tc>
      </w:tr>
      <w:tr w:rsidR="003050C2" w:rsidRPr="00461DDB" w14:paraId="6CB69B31" w14:textId="77777777" w:rsidTr="003050C2">
        <w:trPr>
          <w:trHeight w:val="203"/>
        </w:trPr>
        <w:tc>
          <w:tcPr>
            <w:tcW w:w="617" w:type="dxa"/>
            <w:noWrap/>
            <w:vAlign w:val="center"/>
            <w:hideMark/>
          </w:tcPr>
          <w:p w14:paraId="748A423D"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2</w:t>
            </w:r>
          </w:p>
        </w:tc>
        <w:tc>
          <w:tcPr>
            <w:tcW w:w="4782" w:type="dxa"/>
            <w:noWrap/>
            <w:vAlign w:val="center"/>
            <w:hideMark/>
          </w:tcPr>
          <w:p w14:paraId="771C1EA9"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xml:space="preserve">I was academically prepared for theoretical concepts in college welding subjects. </w:t>
            </w:r>
          </w:p>
        </w:tc>
        <w:tc>
          <w:tcPr>
            <w:tcW w:w="721" w:type="dxa"/>
            <w:noWrap/>
            <w:vAlign w:val="center"/>
            <w:hideMark/>
          </w:tcPr>
          <w:p w14:paraId="0CD12705"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2.76</w:t>
            </w:r>
          </w:p>
        </w:tc>
        <w:tc>
          <w:tcPr>
            <w:tcW w:w="900" w:type="dxa"/>
            <w:noWrap/>
            <w:vAlign w:val="center"/>
            <w:hideMark/>
          </w:tcPr>
          <w:p w14:paraId="4ED29467"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1.23</w:t>
            </w:r>
          </w:p>
        </w:tc>
        <w:tc>
          <w:tcPr>
            <w:tcW w:w="2538" w:type="dxa"/>
            <w:noWrap/>
            <w:vAlign w:val="center"/>
            <w:hideMark/>
          </w:tcPr>
          <w:p w14:paraId="7F9405FC"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Moderate</w:t>
            </w:r>
          </w:p>
        </w:tc>
      </w:tr>
      <w:tr w:rsidR="003050C2" w:rsidRPr="00461DDB" w14:paraId="124336B5" w14:textId="77777777" w:rsidTr="003050C2">
        <w:trPr>
          <w:trHeight w:val="203"/>
        </w:trPr>
        <w:tc>
          <w:tcPr>
            <w:tcW w:w="617" w:type="dxa"/>
            <w:noWrap/>
            <w:vAlign w:val="center"/>
            <w:hideMark/>
          </w:tcPr>
          <w:p w14:paraId="346C9060"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3</w:t>
            </w:r>
          </w:p>
        </w:tc>
        <w:tc>
          <w:tcPr>
            <w:tcW w:w="4782" w:type="dxa"/>
            <w:noWrap/>
            <w:vAlign w:val="center"/>
            <w:hideMark/>
          </w:tcPr>
          <w:p w14:paraId="43EB8A2B"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xml:space="preserve">I had sufficient mathematics knowledge before entering college. </w:t>
            </w:r>
          </w:p>
        </w:tc>
        <w:tc>
          <w:tcPr>
            <w:tcW w:w="721" w:type="dxa"/>
            <w:noWrap/>
            <w:vAlign w:val="center"/>
            <w:hideMark/>
          </w:tcPr>
          <w:p w14:paraId="3E205E8D"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3.15</w:t>
            </w:r>
          </w:p>
        </w:tc>
        <w:tc>
          <w:tcPr>
            <w:tcW w:w="900" w:type="dxa"/>
            <w:noWrap/>
            <w:vAlign w:val="center"/>
            <w:hideMark/>
          </w:tcPr>
          <w:p w14:paraId="7AD81346"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1.03</w:t>
            </w:r>
          </w:p>
        </w:tc>
        <w:tc>
          <w:tcPr>
            <w:tcW w:w="2538" w:type="dxa"/>
            <w:noWrap/>
            <w:vAlign w:val="center"/>
            <w:hideMark/>
          </w:tcPr>
          <w:p w14:paraId="4E684C48"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Moderate</w:t>
            </w:r>
          </w:p>
        </w:tc>
      </w:tr>
      <w:tr w:rsidR="003050C2" w:rsidRPr="00461DDB" w14:paraId="6DD164FE" w14:textId="77777777" w:rsidTr="003050C2">
        <w:trPr>
          <w:trHeight w:val="203"/>
        </w:trPr>
        <w:tc>
          <w:tcPr>
            <w:tcW w:w="617" w:type="dxa"/>
            <w:noWrap/>
            <w:vAlign w:val="center"/>
            <w:hideMark/>
          </w:tcPr>
          <w:p w14:paraId="37967B59"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4</w:t>
            </w:r>
          </w:p>
        </w:tc>
        <w:tc>
          <w:tcPr>
            <w:tcW w:w="4782" w:type="dxa"/>
            <w:noWrap/>
            <w:vAlign w:val="center"/>
            <w:hideMark/>
          </w:tcPr>
          <w:p w14:paraId="2306C4A6"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xml:space="preserve">I had sufficient science knowledge before entering college. </w:t>
            </w:r>
          </w:p>
        </w:tc>
        <w:tc>
          <w:tcPr>
            <w:tcW w:w="721" w:type="dxa"/>
            <w:noWrap/>
            <w:vAlign w:val="center"/>
            <w:hideMark/>
          </w:tcPr>
          <w:p w14:paraId="55B2DA70"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3.30</w:t>
            </w:r>
          </w:p>
        </w:tc>
        <w:tc>
          <w:tcPr>
            <w:tcW w:w="900" w:type="dxa"/>
            <w:noWrap/>
            <w:vAlign w:val="center"/>
            <w:hideMark/>
          </w:tcPr>
          <w:p w14:paraId="4972D520"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0.96</w:t>
            </w:r>
          </w:p>
        </w:tc>
        <w:tc>
          <w:tcPr>
            <w:tcW w:w="2538" w:type="dxa"/>
            <w:noWrap/>
            <w:vAlign w:val="center"/>
            <w:hideMark/>
          </w:tcPr>
          <w:p w14:paraId="55670FAE"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Moderate</w:t>
            </w:r>
          </w:p>
        </w:tc>
      </w:tr>
      <w:tr w:rsidR="003050C2" w:rsidRPr="00461DDB" w14:paraId="5DF757A4" w14:textId="77777777" w:rsidTr="003050C2">
        <w:trPr>
          <w:trHeight w:val="203"/>
        </w:trPr>
        <w:tc>
          <w:tcPr>
            <w:tcW w:w="617" w:type="dxa"/>
            <w:noWrap/>
            <w:vAlign w:val="center"/>
            <w:hideMark/>
          </w:tcPr>
          <w:p w14:paraId="151C5BDD"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5</w:t>
            </w:r>
          </w:p>
        </w:tc>
        <w:tc>
          <w:tcPr>
            <w:tcW w:w="4782" w:type="dxa"/>
            <w:noWrap/>
            <w:vAlign w:val="center"/>
            <w:hideMark/>
          </w:tcPr>
          <w:p w14:paraId="7BFCDCDC"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xml:space="preserve">I developed problem-solving skills applicable to welding tasks. </w:t>
            </w:r>
          </w:p>
        </w:tc>
        <w:tc>
          <w:tcPr>
            <w:tcW w:w="721" w:type="dxa"/>
            <w:noWrap/>
            <w:vAlign w:val="center"/>
            <w:hideMark/>
          </w:tcPr>
          <w:p w14:paraId="2EB1F13D"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3.04</w:t>
            </w:r>
          </w:p>
        </w:tc>
        <w:tc>
          <w:tcPr>
            <w:tcW w:w="900" w:type="dxa"/>
            <w:noWrap/>
            <w:vAlign w:val="center"/>
            <w:hideMark/>
          </w:tcPr>
          <w:p w14:paraId="7B807AD0"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1.01</w:t>
            </w:r>
          </w:p>
        </w:tc>
        <w:tc>
          <w:tcPr>
            <w:tcW w:w="2538" w:type="dxa"/>
            <w:noWrap/>
            <w:vAlign w:val="center"/>
            <w:hideMark/>
          </w:tcPr>
          <w:p w14:paraId="0AF46C9C"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Moderate</w:t>
            </w:r>
          </w:p>
        </w:tc>
      </w:tr>
      <w:tr w:rsidR="003050C2" w:rsidRPr="00461DDB" w14:paraId="4D3E1B9B" w14:textId="77777777" w:rsidTr="003050C2">
        <w:trPr>
          <w:trHeight w:val="203"/>
        </w:trPr>
        <w:tc>
          <w:tcPr>
            <w:tcW w:w="617" w:type="dxa"/>
            <w:noWrap/>
            <w:vAlign w:val="center"/>
            <w:hideMark/>
          </w:tcPr>
          <w:p w14:paraId="74EA068B"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6</w:t>
            </w:r>
          </w:p>
        </w:tc>
        <w:tc>
          <w:tcPr>
            <w:tcW w:w="4782" w:type="dxa"/>
            <w:noWrap/>
            <w:vAlign w:val="center"/>
            <w:hideMark/>
          </w:tcPr>
          <w:p w14:paraId="5109E5C6"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xml:space="preserve">I could understand welding theories taught in college without difficulty. </w:t>
            </w:r>
          </w:p>
        </w:tc>
        <w:tc>
          <w:tcPr>
            <w:tcW w:w="721" w:type="dxa"/>
            <w:noWrap/>
            <w:vAlign w:val="center"/>
            <w:hideMark/>
          </w:tcPr>
          <w:p w14:paraId="03C0D0B3"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2.89</w:t>
            </w:r>
          </w:p>
        </w:tc>
        <w:tc>
          <w:tcPr>
            <w:tcW w:w="900" w:type="dxa"/>
            <w:noWrap/>
            <w:vAlign w:val="center"/>
            <w:hideMark/>
          </w:tcPr>
          <w:p w14:paraId="1713087F"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0.97</w:t>
            </w:r>
          </w:p>
        </w:tc>
        <w:tc>
          <w:tcPr>
            <w:tcW w:w="2538" w:type="dxa"/>
            <w:noWrap/>
            <w:vAlign w:val="center"/>
            <w:hideMark/>
          </w:tcPr>
          <w:p w14:paraId="50399CB8"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Moderate</w:t>
            </w:r>
          </w:p>
        </w:tc>
      </w:tr>
      <w:tr w:rsidR="003050C2" w:rsidRPr="00461DDB" w14:paraId="204C5141" w14:textId="77777777" w:rsidTr="003050C2">
        <w:trPr>
          <w:trHeight w:val="203"/>
        </w:trPr>
        <w:tc>
          <w:tcPr>
            <w:tcW w:w="617" w:type="dxa"/>
            <w:noWrap/>
            <w:vAlign w:val="center"/>
            <w:hideMark/>
          </w:tcPr>
          <w:p w14:paraId="62B5DE33"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7</w:t>
            </w:r>
          </w:p>
        </w:tc>
        <w:tc>
          <w:tcPr>
            <w:tcW w:w="4782" w:type="dxa"/>
            <w:noWrap/>
            <w:vAlign w:val="center"/>
            <w:hideMark/>
          </w:tcPr>
          <w:p w14:paraId="761A4302"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xml:space="preserve">My SHS background helped me perform better in college welding subjects. </w:t>
            </w:r>
          </w:p>
        </w:tc>
        <w:tc>
          <w:tcPr>
            <w:tcW w:w="721" w:type="dxa"/>
            <w:noWrap/>
            <w:vAlign w:val="center"/>
            <w:hideMark/>
          </w:tcPr>
          <w:p w14:paraId="6889A6ED"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2.70</w:t>
            </w:r>
          </w:p>
        </w:tc>
        <w:tc>
          <w:tcPr>
            <w:tcW w:w="900" w:type="dxa"/>
            <w:noWrap/>
            <w:vAlign w:val="center"/>
            <w:hideMark/>
          </w:tcPr>
          <w:p w14:paraId="03D5AE0A"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1.24</w:t>
            </w:r>
          </w:p>
        </w:tc>
        <w:tc>
          <w:tcPr>
            <w:tcW w:w="2538" w:type="dxa"/>
            <w:noWrap/>
            <w:vAlign w:val="center"/>
            <w:hideMark/>
          </w:tcPr>
          <w:p w14:paraId="3782643D"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Moderate</w:t>
            </w:r>
          </w:p>
        </w:tc>
      </w:tr>
      <w:tr w:rsidR="003050C2" w:rsidRPr="00461DDB" w14:paraId="211788B4" w14:textId="77777777" w:rsidTr="003050C2">
        <w:trPr>
          <w:trHeight w:val="203"/>
        </w:trPr>
        <w:tc>
          <w:tcPr>
            <w:tcW w:w="617" w:type="dxa"/>
            <w:noWrap/>
            <w:vAlign w:val="center"/>
            <w:hideMark/>
          </w:tcPr>
          <w:p w14:paraId="2AD5DCF7"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8</w:t>
            </w:r>
          </w:p>
        </w:tc>
        <w:tc>
          <w:tcPr>
            <w:tcW w:w="4782" w:type="dxa"/>
            <w:noWrap/>
            <w:vAlign w:val="center"/>
            <w:hideMark/>
          </w:tcPr>
          <w:p w14:paraId="698ACBF7"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xml:space="preserve">I could relate theoretical knowledge from SHS to welding applications in college. </w:t>
            </w:r>
          </w:p>
        </w:tc>
        <w:tc>
          <w:tcPr>
            <w:tcW w:w="721" w:type="dxa"/>
            <w:noWrap/>
            <w:vAlign w:val="center"/>
            <w:hideMark/>
          </w:tcPr>
          <w:p w14:paraId="0CBFB393"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2.67</w:t>
            </w:r>
          </w:p>
        </w:tc>
        <w:tc>
          <w:tcPr>
            <w:tcW w:w="900" w:type="dxa"/>
            <w:noWrap/>
            <w:vAlign w:val="center"/>
            <w:hideMark/>
          </w:tcPr>
          <w:p w14:paraId="3158D702"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1.19</w:t>
            </w:r>
          </w:p>
        </w:tc>
        <w:tc>
          <w:tcPr>
            <w:tcW w:w="2538" w:type="dxa"/>
            <w:noWrap/>
            <w:vAlign w:val="center"/>
            <w:hideMark/>
          </w:tcPr>
          <w:p w14:paraId="383D41F1"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Moderate</w:t>
            </w:r>
          </w:p>
        </w:tc>
      </w:tr>
      <w:tr w:rsidR="003050C2" w:rsidRPr="00461DDB" w14:paraId="5700ADEA" w14:textId="77777777" w:rsidTr="003050C2">
        <w:trPr>
          <w:trHeight w:val="203"/>
        </w:trPr>
        <w:tc>
          <w:tcPr>
            <w:tcW w:w="617" w:type="dxa"/>
            <w:noWrap/>
            <w:vAlign w:val="center"/>
            <w:hideMark/>
          </w:tcPr>
          <w:p w14:paraId="1EE4262D"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9</w:t>
            </w:r>
          </w:p>
        </w:tc>
        <w:tc>
          <w:tcPr>
            <w:tcW w:w="4782" w:type="dxa"/>
            <w:noWrap/>
            <w:vAlign w:val="center"/>
            <w:hideMark/>
          </w:tcPr>
          <w:p w14:paraId="31995C72"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xml:space="preserve">I needed minimal additional guidance from college instructors. </w:t>
            </w:r>
          </w:p>
        </w:tc>
        <w:tc>
          <w:tcPr>
            <w:tcW w:w="721" w:type="dxa"/>
            <w:noWrap/>
            <w:vAlign w:val="center"/>
            <w:hideMark/>
          </w:tcPr>
          <w:p w14:paraId="637C61EB"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3.76</w:t>
            </w:r>
          </w:p>
        </w:tc>
        <w:tc>
          <w:tcPr>
            <w:tcW w:w="900" w:type="dxa"/>
            <w:noWrap/>
            <w:vAlign w:val="center"/>
            <w:hideMark/>
          </w:tcPr>
          <w:p w14:paraId="35C572C7"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1.08</w:t>
            </w:r>
          </w:p>
        </w:tc>
        <w:tc>
          <w:tcPr>
            <w:tcW w:w="2538" w:type="dxa"/>
            <w:noWrap/>
            <w:vAlign w:val="center"/>
            <w:hideMark/>
          </w:tcPr>
          <w:p w14:paraId="72D1002D"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High</w:t>
            </w:r>
          </w:p>
        </w:tc>
      </w:tr>
      <w:tr w:rsidR="003050C2" w:rsidRPr="00461DDB" w14:paraId="1BA73E86" w14:textId="77777777" w:rsidTr="003050C2">
        <w:trPr>
          <w:trHeight w:val="203"/>
        </w:trPr>
        <w:tc>
          <w:tcPr>
            <w:tcW w:w="617" w:type="dxa"/>
            <w:noWrap/>
            <w:vAlign w:val="center"/>
            <w:hideMark/>
          </w:tcPr>
          <w:p w14:paraId="501CD5AE"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10</w:t>
            </w:r>
          </w:p>
        </w:tc>
        <w:tc>
          <w:tcPr>
            <w:tcW w:w="4782" w:type="dxa"/>
            <w:noWrap/>
            <w:vAlign w:val="center"/>
            <w:hideMark/>
          </w:tcPr>
          <w:p w14:paraId="7D3E4EB9"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xml:space="preserve">My SHS foundation positively influenced my academic performance in welding. </w:t>
            </w:r>
          </w:p>
        </w:tc>
        <w:tc>
          <w:tcPr>
            <w:tcW w:w="721" w:type="dxa"/>
            <w:noWrap/>
            <w:vAlign w:val="center"/>
            <w:hideMark/>
          </w:tcPr>
          <w:p w14:paraId="5A5EF93B"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2.85</w:t>
            </w:r>
          </w:p>
        </w:tc>
        <w:tc>
          <w:tcPr>
            <w:tcW w:w="900" w:type="dxa"/>
            <w:noWrap/>
            <w:vAlign w:val="center"/>
            <w:hideMark/>
          </w:tcPr>
          <w:p w14:paraId="088C272D"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1.15</w:t>
            </w:r>
          </w:p>
        </w:tc>
        <w:tc>
          <w:tcPr>
            <w:tcW w:w="2538" w:type="dxa"/>
            <w:noWrap/>
            <w:vAlign w:val="center"/>
            <w:hideMark/>
          </w:tcPr>
          <w:p w14:paraId="03C79B8E"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Moderate</w:t>
            </w:r>
          </w:p>
        </w:tc>
      </w:tr>
      <w:tr w:rsidR="003050C2" w:rsidRPr="00461DDB" w14:paraId="7E76FC39" w14:textId="77777777" w:rsidTr="003050C2">
        <w:trPr>
          <w:trHeight w:val="95"/>
        </w:trPr>
        <w:tc>
          <w:tcPr>
            <w:tcW w:w="617" w:type="dxa"/>
            <w:noWrap/>
            <w:vAlign w:val="center"/>
            <w:hideMark/>
          </w:tcPr>
          <w:p w14:paraId="7A166D66"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w:t>
            </w:r>
          </w:p>
        </w:tc>
        <w:tc>
          <w:tcPr>
            <w:tcW w:w="4782" w:type="dxa"/>
            <w:noWrap/>
            <w:vAlign w:val="center"/>
            <w:hideMark/>
          </w:tcPr>
          <w:p w14:paraId="496FD046" w14:textId="77777777" w:rsidR="003050C2" w:rsidRPr="003050C2" w:rsidRDefault="003050C2" w:rsidP="007233F6">
            <w:pPr>
              <w:pStyle w:val="NoSpacing"/>
              <w:jc w:val="center"/>
              <w:rPr>
                <w:rFonts w:ascii="Times New Roman" w:hAnsi="Times New Roman" w:cs="Times New Roman"/>
                <w:b/>
                <w:bCs/>
                <w:color w:val="000000" w:themeColor="text1"/>
                <w:sz w:val="24"/>
                <w:szCs w:val="24"/>
              </w:rPr>
            </w:pPr>
            <w:r w:rsidRPr="003050C2">
              <w:rPr>
                <w:rFonts w:ascii="Times New Roman" w:hAnsi="Times New Roman" w:cs="Times New Roman"/>
                <w:b/>
                <w:bCs/>
                <w:color w:val="000000" w:themeColor="text1"/>
                <w:sz w:val="24"/>
                <w:szCs w:val="24"/>
              </w:rPr>
              <w:t>Aggregate Weighted Mean</w:t>
            </w:r>
          </w:p>
        </w:tc>
        <w:tc>
          <w:tcPr>
            <w:tcW w:w="721" w:type="dxa"/>
            <w:noWrap/>
            <w:vAlign w:val="center"/>
            <w:hideMark/>
          </w:tcPr>
          <w:p w14:paraId="6195EEC3" w14:textId="77777777" w:rsidR="003050C2" w:rsidRPr="003050C2" w:rsidRDefault="003050C2" w:rsidP="007233F6">
            <w:pPr>
              <w:pStyle w:val="NoSpacing"/>
              <w:jc w:val="center"/>
              <w:rPr>
                <w:rFonts w:ascii="Times New Roman" w:hAnsi="Times New Roman" w:cs="Times New Roman"/>
                <w:b/>
                <w:bCs/>
                <w:color w:val="000000" w:themeColor="text1"/>
                <w:sz w:val="24"/>
                <w:szCs w:val="24"/>
              </w:rPr>
            </w:pPr>
            <w:r w:rsidRPr="003050C2">
              <w:rPr>
                <w:rFonts w:ascii="Times New Roman" w:hAnsi="Times New Roman" w:cs="Times New Roman"/>
                <w:b/>
                <w:bCs/>
                <w:color w:val="000000" w:themeColor="text1"/>
                <w:sz w:val="24"/>
                <w:szCs w:val="24"/>
              </w:rPr>
              <w:t>2.98</w:t>
            </w:r>
          </w:p>
        </w:tc>
        <w:tc>
          <w:tcPr>
            <w:tcW w:w="900" w:type="dxa"/>
            <w:noWrap/>
            <w:vAlign w:val="center"/>
            <w:hideMark/>
          </w:tcPr>
          <w:p w14:paraId="4FF586CE" w14:textId="77777777" w:rsidR="003050C2" w:rsidRPr="003050C2" w:rsidRDefault="003050C2" w:rsidP="007233F6">
            <w:pPr>
              <w:pStyle w:val="NoSpacing"/>
              <w:jc w:val="center"/>
              <w:rPr>
                <w:rFonts w:ascii="Times New Roman" w:hAnsi="Times New Roman" w:cs="Times New Roman"/>
                <w:b/>
                <w:bCs/>
                <w:color w:val="000000" w:themeColor="text1"/>
                <w:sz w:val="24"/>
                <w:szCs w:val="24"/>
              </w:rPr>
            </w:pPr>
          </w:p>
        </w:tc>
        <w:tc>
          <w:tcPr>
            <w:tcW w:w="2538" w:type="dxa"/>
            <w:noWrap/>
            <w:vAlign w:val="bottom"/>
            <w:hideMark/>
          </w:tcPr>
          <w:p w14:paraId="1941701E" w14:textId="77777777" w:rsidR="003050C2" w:rsidRPr="003050C2" w:rsidRDefault="003050C2" w:rsidP="007233F6">
            <w:pPr>
              <w:pStyle w:val="NoSpacing"/>
              <w:jc w:val="center"/>
              <w:rPr>
                <w:rFonts w:ascii="Times New Roman" w:hAnsi="Times New Roman" w:cs="Times New Roman"/>
                <w:b/>
                <w:bCs/>
                <w:color w:val="000000" w:themeColor="text1"/>
                <w:sz w:val="24"/>
                <w:szCs w:val="24"/>
              </w:rPr>
            </w:pPr>
            <w:r w:rsidRPr="003050C2">
              <w:rPr>
                <w:rFonts w:ascii="Times New Roman" w:hAnsi="Times New Roman" w:cs="Times New Roman"/>
                <w:b/>
                <w:bCs/>
                <w:color w:val="000000" w:themeColor="text1"/>
                <w:sz w:val="24"/>
                <w:szCs w:val="24"/>
              </w:rPr>
              <w:t>Moderate</w:t>
            </w:r>
          </w:p>
        </w:tc>
      </w:tr>
      <w:tr w:rsidR="003050C2" w:rsidRPr="00461DDB" w14:paraId="1ED4F048" w14:textId="77777777" w:rsidTr="003050C2">
        <w:trPr>
          <w:trHeight w:val="203"/>
        </w:trPr>
        <w:tc>
          <w:tcPr>
            <w:tcW w:w="617" w:type="dxa"/>
            <w:tcBorders>
              <w:bottom w:val="single" w:sz="4" w:space="0" w:color="auto"/>
            </w:tcBorders>
            <w:noWrap/>
            <w:vAlign w:val="center"/>
            <w:hideMark/>
          </w:tcPr>
          <w:p w14:paraId="35B701EE"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w:t>
            </w:r>
          </w:p>
        </w:tc>
        <w:tc>
          <w:tcPr>
            <w:tcW w:w="4782" w:type="dxa"/>
            <w:tcBorders>
              <w:bottom w:val="single" w:sz="4" w:space="0" w:color="auto"/>
            </w:tcBorders>
            <w:noWrap/>
            <w:vAlign w:val="center"/>
            <w:hideMark/>
          </w:tcPr>
          <w:p w14:paraId="48D1DE9A" w14:textId="77777777" w:rsidR="003050C2" w:rsidRPr="003050C2" w:rsidRDefault="003050C2" w:rsidP="007233F6">
            <w:pPr>
              <w:pStyle w:val="NoSpacing"/>
              <w:jc w:val="center"/>
              <w:rPr>
                <w:rFonts w:ascii="Times New Roman" w:hAnsi="Times New Roman" w:cs="Times New Roman"/>
                <w:b/>
                <w:bCs/>
                <w:color w:val="000000" w:themeColor="text1"/>
                <w:sz w:val="24"/>
                <w:szCs w:val="24"/>
              </w:rPr>
            </w:pPr>
            <w:r w:rsidRPr="003050C2">
              <w:rPr>
                <w:rFonts w:ascii="Times New Roman" w:hAnsi="Times New Roman" w:cs="Times New Roman"/>
                <w:b/>
                <w:bCs/>
                <w:color w:val="000000" w:themeColor="text1"/>
                <w:sz w:val="24"/>
                <w:szCs w:val="24"/>
              </w:rPr>
              <w:t>Aggregate Standard Deviation</w:t>
            </w:r>
          </w:p>
        </w:tc>
        <w:tc>
          <w:tcPr>
            <w:tcW w:w="721" w:type="dxa"/>
            <w:tcBorders>
              <w:bottom w:val="single" w:sz="4" w:space="0" w:color="auto"/>
            </w:tcBorders>
            <w:noWrap/>
            <w:vAlign w:val="center"/>
            <w:hideMark/>
          </w:tcPr>
          <w:p w14:paraId="36559D4D" w14:textId="77777777" w:rsidR="003050C2" w:rsidRPr="003050C2" w:rsidRDefault="003050C2" w:rsidP="007233F6">
            <w:pPr>
              <w:pStyle w:val="NoSpacing"/>
              <w:jc w:val="center"/>
              <w:rPr>
                <w:rFonts w:ascii="Times New Roman" w:hAnsi="Times New Roman" w:cs="Times New Roman"/>
                <w:b/>
                <w:bCs/>
                <w:color w:val="000000" w:themeColor="text1"/>
                <w:sz w:val="24"/>
                <w:szCs w:val="24"/>
              </w:rPr>
            </w:pPr>
          </w:p>
        </w:tc>
        <w:tc>
          <w:tcPr>
            <w:tcW w:w="900" w:type="dxa"/>
            <w:tcBorders>
              <w:bottom w:val="single" w:sz="4" w:space="0" w:color="auto"/>
            </w:tcBorders>
            <w:noWrap/>
            <w:vAlign w:val="center"/>
            <w:hideMark/>
          </w:tcPr>
          <w:p w14:paraId="0D806745" w14:textId="77777777" w:rsidR="003050C2" w:rsidRPr="003050C2" w:rsidRDefault="003050C2" w:rsidP="007233F6">
            <w:pPr>
              <w:pStyle w:val="NoSpacing"/>
              <w:jc w:val="center"/>
              <w:rPr>
                <w:rFonts w:ascii="Times New Roman" w:hAnsi="Times New Roman" w:cs="Times New Roman"/>
                <w:b/>
                <w:bCs/>
                <w:color w:val="000000" w:themeColor="text1"/>
                <w:sz w:val="24"/>
                <w:szCs w:val="24"/>
              </w:rPr>
            </w:pPr>
            <w:r w:rsidRPr="003050C2">
              <w:rPr>
                <w:rFonts w:ascii="Times New Roman" w:hAnsi="Times New Roman" w:cs="Times New Roman"/>
                <w:b/>
                <w:bCs/>
                <w:color w:val="000000" w:themeColor="text1"/>
                <w:sz w:val="24"/>
                <w:szCs w:val="24"/>
              </w:rPr>
              <w:t>1.13</w:t>
            </w:r>
          </w:p>
        </w:tc>
        <w:tc>
          <w:tcPr>
            <w:tcW w:w="2538" w:type="dxa"/>
            <w:tcBorders>
              <w:bottom w:val="single" w:sz="4" w:space="0" w:color="auto"/>
            </w:tcBorders>
            <w:noWrap/>
            <w:vAlign w:val="center"/>
            <w:hideMark/>
          </w:tcPr>
          <w:p w14:paraId="120682CF" w14:textId="77777777" w:rsidR="003050C2" w:rsidRPr="003050C2" w:rsidRDefault="003050C2" w:rsidP="007233F6">
            <w:pPr>
              <w:pStyle w:val="NoSpacing"/>
              <w:jc w:val="center"/>
              <w:rPr>
                <w:rFonts w:ascii="Times New Roman" w:hAnsi="Times New Roman" w:cs="Times New Roman"/>
                <w:b/>
                <w:bCs/>
                <w:color w:val="000000" w:themeColor="text1"/>
                <w:sz w:val="24"/>
                <w:szCs w:val="24"/>
              </w:rPr>
            </w:pPr>
          </w:p>
        </w:tc>
      </w:tr>
    </w:tbl>
    <w:p w14:paraId="5FFE54DF" w14:textId="5849C5F4" w:rsidR="005A68A8" w:rsidRPr="005A68A8" w:rsidRDefault="005A68A8" w:rsidP="005A68A8">
      <w:pPr>
        <w:spacing w:after="240"/>
        <w:rPr>
          <w:color w:val="000000" w:themeColor="text1"/>
          <w:sz w:val="16"/>
          <w:szCs w:val="14"/>
        </w:rPr>
      </w:pPr>
      <w:r w:rsidRPr="005A68A8">
        <w:rPr>
          <w:b/>
          <w:bCs/>
          <w:color w:val="000000" w:themeColor="text1"/>
          <w:sz w:val="16"/>
          <w:szCs w:val="14"/>
        </w:rPr>
        <w:t>Legend:</w:t>
      </w:r>
      <w:r w:rsidRPr="005A68A8">
        <w:rPr>
          <w:color w:val="000000" w:themeColor="text1"/>
          <w:sz w:val="16"/>
          <w:szCs w:val="14"/>
        </w:rPr>
        <w:t xml:space="preserve"> 4.21-5.00 – Very High; 3.41-4.20 – High; 2.61-3.40 – Moderate; 1.81-2.60 – Low; 1.00-1.80 – Very Low </w:t>
      </w:r>
    </w:p>
    <w:p w14:paraId="7F06D3A0" w14:textId="0EB20F36" w:rsidR="003050C2" w:rsidRPr="003050C2" w:rsidRDefault="003050C2" w:rsidP="003050C2">
      <w:pPr>
        <w:spacing w:before="240" w:after="240"/>
        <w:ind w:firstLine="720"/>
        <w:jc w:val="both"/>
        <w:rPr>
          <w:sz w:val="24"/>
          <w:szCs w:val="24"/>
          <w:lang w:val="en-PH"/>
        </w:rPr>
      </w:pPr>
      <w:r w:rsidRPr="003050C2">
        <w:rPr>
          <w:sz w:val="24"/>
          <w:szCs w:val="24"/>
          <w:lang w:val="en-PH"/>
        </w:rPr>
        <w:t>The table 6 highlights the respondents' perceived competence of Senior High School (SHS) welding in relation to their preparedness for college welding classes. With regard to the weighted means, it shows that the overall result falls under the Moderate category, meaning that respondents feel their SHS academic preparedness is good but lacks the strength to fully meet the requirements of college welding classes. In connection with the above discussion, the results show that there exists a positive correlation between the students' prior knowledge in mathematics and their critical thinking performance. This can be attributed to the fact that SHS has provided some level of foundation for the learners, but they need more academic strength in order to comprehend the theories, measurements, and calculations related to welding in higher levels (Kania et al., 2023). According to the study, high aspirations of SHS students significantly contribute to their college readiness, while their moderate study habits and welding concepts indicate partial readiness, implying that SHS learners require additional strengthening for college welding classes (</w:t>
      </w:r>
      <w:proofErr w:type="spellStart"/>
      <w:r w:rsidRPr="003050C2">
        <w:rPr>
          <w:sz w:val="24"/>
          <w:szCs w:val="24"/>
          <w:lang w:val="en-PH"/>
        </w:rPr>
        <w:t>Seisa</w:t>
      </w:r>
      <w:proofErr w:type="spellEnd"/>
      <w:r w:rsidRPr="003050C2">
        <w:rPr>
          <w:sz w:val="24"/>
          <w:szCs w:val="24"/>
          <w:lang w:val="en-PH"/>
        </w:rPr>
        <w:t xml:space="preserve"> &amp; </w:t>
      </w:r>
      <w:proofErr w:type="spellStart"/>
      <w:r w:rsidRPr="003050C2">
        <w:rPr>
          <w:sz w:val="24"/>
          <w:szCs w:val="24"/>
          <w:lang w:val="en-PH"/>
        </w:rPr>
        <w:t>Galabo</w:t>
      </w:r>
      <w:proofErr w:type="spellEnd"/>
      <w:r w:rsidRPr="003050C2">
        <w:rPr>
          <w:sz w:val="24"/>
          <w:szCs w:val="24"/>
          <w:lang w:val="en-PH"/>
        </w:rPr>
        <w:t>, 2023). Likewise, in line with the findings of the study, reinforcement learning helps personalize and adapt learning; therefore, the need to bridge the gap created by the moderate competence of the students in applying SHS lessons to college welding through reinforcement learning is critical (Fahad Mon et al., 2023).The findings suggest that student success in higher education is strongly influenced by internal psychological factors, as students’ ability to work with minimal instructor guidance aligns with evidence that learning independence, initial technical ability, and self-confidence are key drivers of cognitive, emotional, and behavioral engagement, which can be further strengthened through adaptive blended and reinforcement learning environments (</w:t>
      </w:r>
      <w:proofErr w:type="spellStart"/>
      <w:r w:rsidRPr="003050C2">
        <w:rPr>
          <w:sz w:val="24"/>
          <w:szCs w:val="24"/>
          <w:lang w:val="en-PH"/>
        </w:rPr>
        <w:t>Prananto</w:t>
      </w:r>
      <w:proofErr w:type="spellEnd"/>
      <w:r w:rsidRPr="003050C2">
        <w:rPr>
          <w:sz w:val="24"/>
          <w:szCs w:val="24"/>
          <w:lang w:val="en-PH"/>
        </w:rPr>
        <w:t xml:space="preserve"> et al., 2025).</w:t>
      </w:r>
    </w:p>
    <w:p w14:paraId="59E5D4D0" w14:textId="43F194AA" w:rsidR="003050C2" w:rsidRDefault="003050C2" w:rsidP="003050C2">
      <w:pPr>
        <w:spacing w:before="240" w:after="240"/>
        <w:ind w:firstLine="720"/>
        <w:jc w:val="both"/>
        <w:rPr>
          <w:sz w:val="24"/>
          <w:szCs w:val="24"/>
          <w:lang w:val="en-PH"/>
        </w:rPr>
      </w:pPr>
      <w:r w:rsidRPr="003050C2">
        <w:rPr>
          <w:sz w:val="24"/>
          <w:szCs w:val="24"/>
          <w:lang w:val="en-PH"/>
        </w:rPr>
        <w:t>In conclusion, the weighted mean score of 2.98 reflects a moderately good level of academic readiness among the respondents. It is evident from the result that although Senior High School welding students managed to acquire a certain level of academic preparation through their training, there are still gaps that they need to fill in preparation for college education. Thus, it is clear that there are some academic strengths that they possess but are not enough to cope with the demands of higher learning. Due to such an observation, the importance of adopting differentiated instruction in college becomes necessary. Through this method, instructors will be able to customize the delivery of instruction and assessment to suit individual students’ academic strengths and weaknesses.</w:t>
      </w:r>
    </w:p>
    <w:p w14:paraId="74A9A53D" w14:textId="7F0D4B43" w:rsidR="003050C2" w:rsidRPr="003050C2" w:rsidRDefault="003050C2" w:rsidP="002B7D4A">
      <w:pPr>
        <w:spacing w:before="240" w:after="240"/>
        <w:jc w:val="both"/>
        <w:rPr>
          <w:b/>
          <w:bCs/>
          <w:sz w:val="24"/>
          <w:szCs w:val="24"/>
          <w:lang w:val="en-PH"/>
        </w:rPr>
      </w:pPr>
      <w:r w:rsidRPr="003050C2">
        <w:rPr>
          <w:b/>
          <w:bCs/>
          <w:sz w:val="24"/>
          <w:szCs w:val="24"/>
          <w:lang w:val="en-PH"/>
        </w:rPr>
        <w:t>Practical Skills</w:t>
      </w:r>
    </w:p>
    <w:p w14:paraId="639D58E5" w14:textId="0D33724C" w:rsidR="003050C2" w:rsidRDefault="003050C2" w:rsidP="005A68A8">
      <w:pPr>
        <w:spacing w:before="240" w:after="240"/>
        <w:ind w:firstLine="720"/>
        <w:jc w:val="both"/>
        <w:rPr>
          <w:sz w:val="24"/>
          <w:szCs w:val="24"/>
          <w:lang w:val="en-PH"/>
        </w:rPr>
      </w:pPr>
      <w:r w:rsidRPr="003050C2">
        <w:rPr>
          <w:sz w:val="24"/>
          <w:szCs w:val="24"/>
          <w:lang w:val="en-PH"/>
        </w:rPr>
        <w:t xml:space="preserve">The self-assessed practical skills in welding of the respondents were examined in order to determine their level of practical skills, adherence to safety procedures, and readiness to engage in college welding activities. The analysis considered various aspects of practical skills including appropriate use of welding equipment, proper conduct of the welding procedure, creation of safe working conditions, and ability to comprehend technical instructions accurately. The results of such self-assessments were able to provide information on how the previous exposure to practical activities at SHS prepared the respondents to carry out complicated welding processes in college. Such results were used to point out areas where the </w:t>
      </w:r>
      <w:proofErr w:type="gramStart"/>
      <w:r w:rsidRPr="003050C2">
        <w:rPr>
          <w:sz w:val="24"/>
          <w:szCs w:val="24"/>
          <w:lang w:val="en-PH"/>
        </w:rPr>
        <w:t>respondents</w:t>
      </w:r>
      <w:proofErr w:type="gramEnd"/>
      <w:r w:rsidRPr="003050C2">
        <w:rPr>
          <w:sz w:val="24"/>
          <w:szCs w:val="24"/>
          <w:lang w:val="en-PH"/>
        </w:rPr>
        <w:t xml:space="preserve"> demonstrated strengths and weaknesses with regard to practical competencies in welding so that necessary support may be provided in order to meet the required levels of proficiency in the subject matter. Results are provided in Table 7.</w:t>
      </w:r>
    </w:p>
    <w:p w14:paraId="128EEB24" w14:textId="759F168F" w:rsidR="003237C8" w:rsidRPr="003237C8" w:rsidRDefault="003237C8" w:rsidP="003237C8">
      <w:pPr>
        <w:spacing w:before="240" w:after="240"/>
        <w:jc w:val="both"/>
        <w:rPr>
          <w:b/>
          <w:bCs/>
          <w:sz w:val="24"/>
          <w:szCs w:val="24"/>
          <w:lang w:val="en-PH"/>
        </w:rPr>
      </w:pPr>
      <w:r w:rsidRPr="003237C8">
        <w:rPr>
          <w:b/>
          <w:bCs/>
          <w:sz w:val="24"/>
          <w:szCs w:val="24"/>
          <w:lang w:val="en-PH"/>
        </w:rPr>
        <w:t>Table 7</w:t>
      </w:r>
      <w:r w:rsidRPr="003237C8">
        <w:rPr>
          <w:b/>
          <w:bCs/>
          <w:sz w:val="24"/>
          <w:szCs w:val="24"/>
          <w:lang w:val="en-PH"/>
        </w:rPr>
        <w:t xml:space="preserve">. </w:t>
      </w:r>
      <w:r w:rsidRPr="003237C8">
        <w:rPr>
          <w:b/>
          <w:bCs/>
          <w:sz w:val="24"/>
          <w:szCs w:val="24"/>
          <w:lang w:val="en-PH"/>
        </w:rPr>
        <w:t xml:space="preserve">Respondent's Perceived Level of SHS Welding </w:t>
      </w:r>
      <w:r w:rsidRPr="003237C8">
        <w:rPr>
          <w:b/>
          <w:bCs/>
          <w:sz w:val="24"/>
          <w:szCs w:val="24"/>
          <w:lang w:val="en-PH"/>
        </w:rPr>
        <w:t>Competencies in</w:t>
      </w:r>
      <w:r w:rsidRPr="003237C8">
        <w:rPr>
          <w:b/>
          <w:bCs/>
          <w:sz w:val="24"/>
          <w:szCs w:val="24"/>
          <w:lang w:val="en-PH"/>
        </w:rPr>
        <w:t xml:space="preserve"> Terms of Practical Skills</w:t>
      </w:r>
    </w:p>
    <w:tbl>
      <w:tblPr>
        <w:tblW w:w="9288" w:type="dxa"/>
        <w:tblLook w:val="04A0" w:firstRow="1" w:lastRow="0" w:firstColumn="1" w:lastColumn="0" w:noHBand="0" w:noVBand="1"/>
      </w:tblPr>
      <w:tblGrid>
        <w:gridCol w:w="616"/>
        <w:gridCol w:w="4754"/>
        <w:gridCol w:w="744"/>
        <w:gridCol w:w="816"/>
        <w:gridCol w:w="2358"/>
      </w:tblGrid>
      <w:tr w:rsidR="003050C2" w:rsidRPr="003237C8" w14:paraId="4DA18716" w14:textId="77777777" w:rsidTr="003237C8">
        <w:trPr>
          <w:trHeight w:val="273"/>
        </w:trPr>
        <w:tc>
          <w:tcPr>
            <w:tcW w:w="616" w:type="dxa"/>
            <w:tcBorders>
              <w:top w:val="single" w:sz="4" w:space="0" w:color="auto"/>
              <w:bottom w:val="single" w:sz="4" w:space="0" w:color="auto"/>
            </w:tcBorders>
            <w:noWrap/>
            <w:vAlign w:val="center"/>
            <w:hideMark/>
          </w:tcPr>
          <w:p w14:paraId="72270631" w14:textId="77777777" w:rsidR="003050C2" w:rsidRPr="003237C8" w:rsidRDefault="003050C2" w:rsidP="007233F6">
            <w:pPr>
              <w:jc w:val="center"/>
              <w:rPr>
                <w:b/>
                <w:bCs/>
                <w:color w:val="000000" w:themeColor="text1"/>
                <w:sz w:val="24"/>
                <w:szCs w:val="24"/>
              </w:rPr>
            </w:pPr>
            <w:r w:rsidRPr="003237C8">
              <w:rPr>
                <w:b/>
                <w:bCs/>
                <w:color w:val="000000" w:themeColor="text1"/>
                <w:sz w:val="24"/>
                <w:szCs w:val="24"/>
              </w:rPr>
              <w:t>S/N</w:t>
            </w:r>
          </w:p>
        </w:tc>
        <w:tc>
          <w:tcPr>
            <w:tcW w:w="4754" w:type="dxa"/>
            <w:tcBorders>
              <w:top w:val="single" w:sz="4" w:space="0" w:color="auto"/>
              <w:bottom w:val="single" w:sz="4" w:space="0" w:color="auto"/>
            </w:tcBorders>
            <w:noWrap/>
            <w:vAlign w:val="center"/>
            <w:hideMark/>
          </w:tcPr>
          <w:p w14:paraId="5E2572BF" w14:textId="77777777" w:rsidR="003050C2" w:rsidRPr="003237C8" w:rsidRDefault="003050C2" w:rsidP="007233F6">
            <w:pPr>
              <w:jc w:val="center"/>
              <w:rPr>
                <w:b/>
                <w:bCs/>
                <w:color w:val="000000" w:themeColor="text1"/>
                <w:sz w:val="24"/>
                <w:szCs w:val="24"/>
              </w:rPr>
            </w:pPr>
            <w:r w:rsidRPr="003237C8">
              <w:rPr>
                <w:b/>
                <w:bCs/>
                <w:color w:val="000000" w:themeColor="text1"/>
                <w:sz w:val="24"/>
                <w:szCs w:val="24"/>
              </w:rPr>
              <w:t xml:space="preserve">Indicators </w:t>
            </w:r>
          </w:p>
        </w:tc>
        <w:tc>
          <w:tcPr>
            <w:tcW w:w="744" w:type="dxa"/>
            <w:tcBorders>
              <w:top w:val="single" w:sz="4" w:space="0" w:color="auto"/>
              <w:bottom w:val="single" w:sz="4" w:space="0" w:color="auto"/>
            </w:tcBorders>
            <w:noWrap/>
            <w:vAlign w:val="center"/>
            <w:hideMark/>
          </w:tcPr>
          <w:p w14:paraId="5DAFE76C" w14:textId="77777777" w:rsidR="003050C2" w:rsidRPr="003237C8" w:rsidRDefault="003050C2" w:rsidP="007233F6">
            <w:pPr>
              <w:jc w:val="center"/>
              <w:rPr>
                <w:b/>
                <w:bCs/>
                <w:color w:val="000000" w:themeColor="text1"/>
                <w:sz w:val="24"/>
                <w:szCs w:val="24"/>
              </w:rPr>
            </w:pPr>
            <w:r w:rsidRPr="003237C8">
              <w:rPr>
                <w:b/>
                <w:bCs/>
                <w:color w:val="000000" w:themeColor="text1"/>
                <w:sz w:val="24"/>
                <w:szCs w:val="24"/>
              </w:rPr>
              <w:t>WM</w:t>
            </w:r>
          </w:p>
        </w:tc>
        <w:tc>
          <w:tcPr>
            <w:tcW w:w="816" w:type="dxa"/>
            <w:tcBorders>
              <w:top w:val="single" w:sz="4" w:space="0" w:color="auto"/>
              <w:bottom w:val="single" w:sz="4" w:space="0" w:color="auto"/>
            </w:tcBorders>
            <w:noWrap/>
            <w:vAlign w:val="center"/>
            <w:hideMark/>
          </w:tcPr>
          <w:p w14:paraId="404DF280" w14:textId="77777777" w:rsidR="003050C2" w:rsidRPr="003237C8" w:rsidRDefault="003050C2" w:rsidP="007233F6">
            <w:pPr>
              <w:jc w:val="center"/>
              <w:rPr>
                <w:b/>
                <w:bCs/>
                <w:color w:val="000000" w:themeColor="text1"/>
                <w:sz w:val="24"/>
                <w:szCs w:val="24"/>
              </w:rPr>
            </w:pPr>
            <w:r w:rsidRPr="003237C8">
              <w:rPr>
                <w:b/>
                <w:bCs/>
                <w:color w:val="000000" w:themeColor="text1"/>
                <w:sz w:val="24"/>
                <w:szCs w:val="24"/>
              </w:rPr>
              <w:t>SD</w:t>
            </w:r>
          </w:p>
        </w:tc>
        <w:tc>
          <w:tcPr>
            <w:tcW w:w="2358" w:type="dxa"/>
            <w:tcBorders>
              <w:top w:val="single" w:sz="4" w:space="0" w:color="auto"/>
              <w:bottom w:val="single" w:sz="4" w:space="0" w:color="auto"/>
            </w:tcBorders>
            <w:noWrap/>
            <w:vAlign w:val="center"/>
            <w:hideMark/>
          </w:tcPr>
          <w:p w14:paraId="095CF14B" w14:textId="77777777" w:rsidR="003050C2" w:rsidRPr="003237C8" w:rsidRDefault="003050C2" w:rsidP="007233F6">
            <w:pPr>
              <w:jc w:val="center"/>
              <w:rPr>
                <w:b/>
                <w:bCs/>
                <w:color w:val="000000" w:themeColor="text1"/>
                <w:sz w:val="24"/>
                <w:szCs w:val="24"/>
              </w:rPr>
            </w:pPr>
            <w:r w:rsidRPr="003237C8">
              <w:rPr>
                <w:b/>
                <w:bCs/>
                <w:color w:val="000000" w:themeColor="text1"/>
                <w:sz w:val="24"/>
                <w:szCs w:val="24"/>
              </w:rPr>
              <w:t xml:space="preserve">Verbal Description </w:t>
            </w:r>
          </w:p>
        </w:tc>
      </w:tr>
      <w:tr w:rsidR="003050C2" w:rsidRPr="003237C8" w14:paraId="4CFD729E" w14:textId="77777777" w:rsidTr="003237C8">
        <w:trPr>
          <w:trHeight w:val="263"/>
        </w:trPr>
        <w:tc>
          <w:tcPr>
            <w:tcW w:w="616" w:type="dxa"/>
            <w:tcBorders>
              <w:top w:val="single" w:sz="4" w:space="0" w:color="auto"/>
            </w:tcBorders>
            <w:noWrap/>
            <w:vAlign w:val="center"/>
            <w:hideMark/>
          </w:tcPr>
          <w:p w14:paraId="48C843B7"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w:t>
            </w:r>
          </w:p>
        </w:tc>
        <w:tc>
          <w:tcPr>
            <w:tcW w:w="4754" w:type="dxa"/>
            <w:tcBorders>
              <w:top w:val="single" w:sz="4" w:space="0" w:color="auto"/>
            </w:tcBorders>
            <w:noWrap/>
            <w:vAlign w:val="center"/>
            <w:hideMark/>
          </w:tcPr>
          <w:p w14:paraId="45DA8C76"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xml:space="preserve">I had opportunities to prepare materials, tools, and equipment for welding before college. </w:t>
            </w:r>
          </w:p>
        </w:tc>
        <w:tc>
          <w:tcPr>
            <w:tcW w:w="744" w:type="dxa"/>
            <w:tcBorders>
              <w:top w:val="single" w:sz="4" w:space="0" w:color="auto"/>
            </w:tcBorders>
            <w:noWrap/>
            <w:vAlign w:val="center"/>
            <w:hideMark/>
          </w:tcPr>
          <w:p w14:paraId="6C4B618F"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2.67</w:t>
            </w:r>
          </w:p>
        </w:tc>
        <w:tc>
          <w:tcPr>
            <w:tcW w:w="816" w:type="dxa"/>
            <w:tcBorders>
              <w:top w:val="single" w:sz="4" w:space="0" w:color="auto"/>
            </w:tcBorders>
            <w:noWrap/>
            <w:vAlign w:val="center"/>
            <w:hideMark/>
          </w:tcPr>
          <w:p w14:paraId="22EA8ADC"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1.14</w:t>
            </w:r>
          </w:p>
        </w:tc>
        <w:tc>
          <w:tcPr>
            <w:tcW w:w="2358" w:type="dxa"/>
            <w:tcBorders>
              <w:top w:val="single" w:sz="4" w:space="0" w:color="auto"/>
            </w:tcBorders>
            <w:noWrap/>
            <w:vAlign w:val="center"/>
            <w:hideMark/>
          </w:tcPr>
          <w:p w14:paraId="1ADDE095"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Moderate</w:t>
            </w:r>
          </w:p>
        </w:tc>
      </w:tr>
      <w:tr w:rsidR="003050C2" w:rsidRPr="003237C8" w14:paraId="19316D17" w14:textId="77777777" w:rsidTr="003237C8">
        <w:trPr>
          <w:trHeight w:val="263"/>
        </w:trPr>
        <w:tc>
          <w:tcPr>
            <w:tcW w:w="616" w:type="dxa"/>
            <w:noWrap/>
            <w:vAlign w:val="center"/>
            <w:hideMark/>
          </w:tcPr>
          <w:p w14:paraId="322303F8"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2</w:t>
            </w:r>
          </w:p>
        </w:tc>
        <w:tc>
          <w:tcPr>
            <w:tcW w:w="4754" w:type="dxa"/>
            <w:noWrap/>
            <w:vAlign w:val="center"/>
            <w:hideMark/>
          </w:tcPr>
          <w:p w14:paraId="045C2281"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xml:space="preserve">I was familiar with performing welding operations. </w:t>
            </w:r>
          </w:p>
        </w:tc>
        <w:tc>
          <w:tcPr>
            <w:tcW w:w="744" w:type="dxa"/>
            <w:noWrap/>
            <w:vAlign w:val="center"/>
            <w:hideMark/>
          </w:tcPr>
          <w:p w14:paraId="5DA4676F"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2.87</w:t>
            </w:r>
          </w:p>
        </w:tc>
        <w:tc>
          <w:tcPr>
            <w:tcW w:w="816" w:type="dxa"/>
            <w:noWrap/>
            <w:vAlign w:val="center"/>
            <w:hideMark/>
          </w:tcPr>
          <w:p w14:paraId="0720EC7D"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1.22</w:t>
            </w:r>
          </w:p>
        </w:tc>
        <w:tc>
          <w:tcPr>
            <w:tcW w:w="2358" w:type="dxa"/>
            <w:noWrap/>
            <w:vAlign w:val="center"/>
            <w:hideMark/>
          </w:tcPr>
          <w:p w14:paraId="151D1EC0"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Moderate</w:t>
            </w:r>
          </w:p>
        </w:tc>
      </w:tr>
      <w:tr w:rsidR="003050C2" w:rsidRPr="003237C8" w14:paraId="506E9B3F" w14:textId="77777777" w:rsidTr="003237C8">
        <w:trPr>
          <w:trHeight w:val="263"/>
        </w:trPr>
        <w:tc>
          <w:tcPr>
            <w:tcW w:w="616" w:type="dxa"/>
            <w:noWrap/>
            <w:vAlign w:val="center"/>
            <w:hideMark/>
          </w:tcPr>
          <w:p w14:paraId="1832CDD2"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3</w:t>
            </w:r>
          </w:p>
        </w:tc>
        <w:tc>
          <w:tcPr>
            <w:tcW w:w="4754" w:type="dxa"/>
            <w:noWrap/>
            <w:vAlign w:val="center"/>
            <w:hideMark/>
          </w:tcPr>
          <w:p w14:paraId="700EA92F"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xml:space="preserve">I could follow welding procedures accurately. </w:t>
            </w:r>
          </w:p>
        </w:tc>
        <w:tc>
          <w:tcPr>
            <w:tcW w:w="744" w:type="dxa"/>
            <w:noWrap/>
            <w:vAlign w:val="center"/>
            <w:hideMark/>
          </w:tcPr>
          <w:p w14:paraId="7D7D5D3E"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3.07</w:t>
            </w:r>
          </w:p>
        </w:tc>
        <w:tc>
          <w:tcPr>
            <w:tcW w:w="816" w:type="dxa"/>
            <w:noWrap/>
            <w:vAlign w:val="center"/>
            <w:hideMark/>
          </w:tcPr>
          <w:p w14:paraId="4D6F0663"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1.18</w:t>
            </w:r>
          </w:p>
        </w:tc>
        <w:tc>
          <w:tcPr>
            <w:tcW w:w="2358" w:type="dxa"/>
            <w:noWrap/>
            <w:vAlign w:val="center"/>
            <w:hideMark/>
          </w:tcPr>
          <w:p w14:paraId="3754EF57"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Moderate</w:t>
            </w:r>
          </w:p>
        </w:tc>
      </w:tr>
      <w:tr w:rsidR="003050C2" w:rsidRPr="003237C8" w14:paraId="15AD0150" w14:textId="77777777" w:rsidTr="003237C8">
        <w:trPr>
          <w:trHeight w:val="263"/>
        </w:trPr>
        <w:tc>
          <w:tcPr>
            <w:tcW w:w="616" w:type="dxa"/>
            <w:noWrap/>
            <w:vAlign w:val="center"/>
            <w:hideMark/>
          </w:tcPr>
          <w:p w14:paraId="3E469408"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4</w:t>
            </w:r>
          </w:p>
        </w:tc>
        <w:tc>
          <w:tcPr>
            <w:tcW w:w="4754" w:type="dxa"/>
            <w:noWrap/>
            <w:vAlign w:val="center"/>
            <w:hideMark/>
          </w:tcPr>
          <w:p w14:paraId="34A9D012"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xml:space="preserve">I applied proper safety procedures and consistently used PPE. </w:t>
            </w:r>
          </w:p>
        </w:tc>
        <w:tc>
          <w:tcPr>
            <w:tcW w:w="744" w:type="dxa"/>
            <w:noWrap/>
            <w:vAlign w:val="center"/>
            <w:hideMark/>
          </w:tcPr>
          <w:p w14:paraId="71A02238"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3.67</w:t>
            </w:r>
          </w:p>
        </w:tc>
        <w:tc>
          <w:tcPr>
            <w:tcW w:w="816" w:type="dxa"/>
            <w:noWrap/>
            <w:vAlign w:val="center"/>
            <w:hideMark/>
          </w:tcPr>
          <w:p w14:paraId="274DBCD3"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1.21</w:t>
            </w:r>
          </w:p>
        </w:tc>
        <w:tc>
          <w:tcPr>
            <w:tcW w:w="2358" w:type="dxa"/>
            <w:noWrap/>
            <w:vAlign w:val="center"/>
            <w:hideMark/>
          </w:tcPr>
          <w:p w14:paraId="6C51B581"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High</w:t>
            </w:r>
          </w:p>
        </w:tc>
      </w:tr>
      <w:tr w:rsidR="003050C2" w:rsidRPr="003237C8" w14:paraId="51D59AEF" w14:textId="77777777" w:rsidTr="003237C8">
        <w:trPr>
          <w:trHeight w:val="263"/>
        </w:trPr>
        <w:tc>
          <w:tcPr>
            <w:tcW w:w="616" w:type="dxa"/>
            <w:noWrap/>
            <w:vAlign w:val="center"/>
            <w:hideMark/>
          </w:tcPr>
          <w:p w14:paraId="29181FD3"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5</w:t>
            </w:r>
          </w:p>
        </w:tc>
        <w:tc>
          <w:tcPr>
            <w:tcW w:w="4754" w:type="dxa"/>
            <w:noWrap/>
            <w:vAlign w:val="center"/>
            <w:hideMark/>
          </w:tcPr>
          <w:p w14:paraId="1D899940"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xml:space="preserve">I could produce welding outputs according to specifications and quality standards. </w:t>
            </w:r>
          </w:p>
        </w:tc>
        <w:tc>
          <w:tcPr>
            <w:tcW w:w="744" w:type="dxa"/>
            <w:noWrap/>
            <w:vAlign w:val="center"/>
            <w:hideMark/>
          </w:tcPr>
          <w:p w14:paraId="42C8FD8C"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3.07</w:t>
            </w:r>
          </w:p>
        </w:tc>
        <w:tc>
          <w:tcPr>
            <w:tcW w:w="816" w:type="dxa"/>
            <w:noWrap/>
            <w:vAlign w:val="center"/>
            <w:hideMark/>
          </w:tcPr>
          <w:p w14:paraId="33B3C0C6"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1.14</w:t>
            </w:r>
          </w:p>
        </w:tc>
        <w:tc>
          <w:tcPr>
            <w:tcW w:w="2358" w:type="dxa"/>
            <w:noWrap/>
            <w:vAlign w:val="center"/>
            <w:hideMark/>
          </w:tcPr>
          <w:p w14:paraId="11F72866"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Moderate</w:t>
            </w:r>
          </w:p>
        </w:tc>
      </w:tr>
      <w:tr w:rsidR="003050C2" w:rsidRPr="003237C8" w14:paraId="213FE7B6" w14:textId="77777777" w:rsidTr="003237C8">
        <w:trPr>
          <w:trHeight w:val="263"/>
        </w:trPr>
        <w:tc>
          <w:tcPr>
            <w:tcW w:w="616" w:type="dxa"/>
            <w:noWrap/>
            <w:vAlign w:val="center"/>
            <w:hideMark/>
          </w:tcPr>
          <w:p w14:paraId="0AA5A06A"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6</w:t>
            </w:r>
          </w:p>
        </w:tc>
        <w:tc>
          <w:tcPr>
            <w:tcW w:w="4754" w:type="dxa"/>
            <w:noWrap/>
            <w:vAlign w:val="center"/>
            <w:hideMark/>
          </w:tcPr>
          <w:p w14:paraId="0F07B0F7"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xml:space="preserve">I could check and inspect welds for quality and accuracy. </w:t>
            </w:r>
          </w:p>
        </w:tc>
        <w:tc>
          <w:tcPr>
            <w:tcW w:w="744" w:type="dxa"/>
            <w:noWrap/>
            <w:vAlign w:val="center"/>
            <w:hideMark/>
          </w:tcPr>
          <w:p w14:paraId="351CBEE2"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3.04</w:t>
            </w:r>
          </w:p>
        </w:tc>
        <w:tc>
          <w:tcPr>
            <w:tcW w:w="816" w:type="dxa"/>
            <w:noWrap/>
            <w:vAlign w:val="center"/>
            <w:hideMark/>
          </w:tcPr>
          <w:p w14:paraId="2AD3C50F"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1.23</w:t>
            </w:r>
          </w:p>
        </w:tc>
        <w:tc>
          <w:tcPr>
            <w:tcW w:w="2358" w:type="dxa"/>
            <w:noWrap/>
            <w:vAlign w:val="center"/>
            <w:hideMark/>
          </w:tcPr>
          <w:p w14:paraId="193BABF0"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Moderate</w:t>
            </w:r>
          </w:p>
        </w:tc>
      </w:tr>
      <w:tr w:rsidR="003050C2" w:rsidRPr="003237C8" w14:paraId="47BAD7C9" w14:textId="77777777" w:rsidTr="003237C8">
        <w:trPr>
          <w:trHeight w:val="263"/>
        </w:trPr>
        <w:tc>
          <w:tcPr>
            <w:tcW w:w="616" w:type="dxa"/>
            <w:noWrap/>
            <w:vAlign w:val="center"/>
            <w:hideMark/>
          </w:tcPr>
          <w:p w14:paraId="2BA8FC92"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7</w:t>
            </w:r>
          </w:p>
        </w:tc>
        <w:tc>
          <w:tcPr>
            <w:tcW w:w="4754" w:type="dxa"/>
            <w:noWrap/>
            <w:vAlign w:val="center"/>
            <w:hideMark/>
          </w:tcPr>
          <w:p w14:paraId="0CEE4382"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xml:space="preserve">I developed good hand-eye coordination and technical craftsmanship. </w:t>
            </w:r>
          </w:p>
        </w:tc>
        <w:tc>
          <w:tcPr>
            <w:tcW w:w="744" w:type="dxa"/>
            <w:noWrap/>
            <w:vAlign w:val="center"/>
            <w:hideMark/>
          </w:tcPr>
          <w:p w14:paraId="2BA09D3B"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3.04</w:t>
            </w:r>
          </w:p>
        </w:tc>
        <w:tc>
          <w:tcPr>
            <w:tcW w:w="816" w:type="dxa"/>
            <w:noWrap/>
            <w:vAlign w:val="center"/>
            <w:hideMark/>
          </w:tcPr>
          <w:p w14:paraId="4BBCB374"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1.07</w:t>
            </w:r>
          </w:p>
        </w:tc>
        <w:tc>
          <w:tcPr>
            <w:tcW w:w="2358" w:type="dxa"/>
            <w:noWrap/>
            <w:vAlign w:val="center"/>
            <w:hideMark/>
          </w:tcPr>
          <w:p w14:paraId="213D4CDF"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Moderate</w:t>
            </w:r>
          </w:p>
        </w:tc>
      </w:tr>
      <w:tr w:rsidR="003050C2" w:rsidRPr="003237C8" w14:paraId="60374AD8" w14:textId="77777777" w:rsidTr="003237C8">
        <w:trPr>
          <w:trHeight w:val="263"/>
        </w:trPr>
        <w:tc>
          <w:tcPr>
            <w:tcW w:w="616" w:type="dxa"/>
            <w:noWrap/>
            <w:vAlign w:val="center"/>
            <w:hideMark/>
          </w:tcPr>
          <w:p w14:paraId="65F50C83"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8</w:t>
            </w:r>
          </w:p>
        </w:tc>
        <w:tc>
          <w:tcPr>
            <w:tcW w:w="4754" w:type="dxa"/>
            <w:noWrap/>
            <w:vAlign w:val="center"/>
            <w:hideMark/>
          </w:tcPr>
          <w:p w14:paraId="04EDFD46"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xml:space="preserve">I was confident performing welding tasks before entering college. </w:t>
            </w:r>
          </w:p>
        </w:tc>
        <w:tc>
          <w:tcPr>
            <w:tcW w:w="744" w:type="dxa"/>
            <w:noWrap/>
            <w:vAlign w:val="center"/>
            <w:hideMark/>
          </w:tcPr>
          <w:p w14:paraId="391A0753"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2.65</w:t>
            </w:r>
          </w:p>
        </w:tc>
        <w:tc>
          <w:tcPr>
            <w:tcW w:w="816" w:type="dxa"/>
            <w:noWrap/>
            <w:vAlign w:val="center"/>
            <w:hideMark/>
          </w:tcPr>
          <w:p w14:paraId="3697CB07"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1.30</w:t>
            </w:r>
          </w:p>
        </w:tc>
        <w:tc>
          <w:tcPr>
            <w:tcW w:w="2358" w:type="dxa"/>
            <w:noWrap/>
            <w:vAlign w:val="center"/>
            <w:hideMark/>
          </w:tcPr>
          <w:p w14:paraId="78549724"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Moderate</w:t>
            </w:r>
          </w:p>
        </w:tc>
      </w:tr>
      <w:tr w:rsidR="003050C2" w:rsidRPr="003237C8" w14:paraId="0548A522" w14:textId="77777777" w:rsidTr="003237C8">
        <w:trPr>
          <w:trHeight w:val="263"/>
        </w:trPr>
        <w:tc>
          <w:tcPr>
            <w:tcW w:w="616" w:type="dxa"/>
            <w:noWrap/>
            <w:vAlign w:val="center"/>
            <w:hideMark/>
          </w:tcPr>
          <w:p w14:paraId="443F2998"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9</w:t>
            </w:r>
          </w:p>
        </w:tc>
        <w:tc>
          <w:tcPr>
            <w:tcW w:w="4754" w:type="dxa"/>
            <w:noWrap/>
            <w:vAlign w:val="center"/>
            <w:hideMark/>
          </w:tcPr>
          <w:p w14:paraId="462B7FFD"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xml:space="preserve">SHS practical training helped me adapt quickly to college-level welding tasks. </w:t>
            </w:r>
          </w:p>
        </w:tc>
        <w:tc>
          <w:tcPr>
            <w:tcW w:w="744" w:type="dxa"/>
            <w:noWrap/>
            <w:vAlign w:val="center"/>
            <w:hideMark/>
          </w:tcPr>
          <w:p w14:paraId="0DD9E99A"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2.70</w:t>
            </w:r>
          </w:p>
        </w:tc>
        <w:tc>
          <w:tcPr>
            <w:tcW w:w="816" w:type="dxa"/>
            <w:noWrap/>
            <w:vAlign w:val="center"/>
            <w:hideMark/>
          </w:tcPr>
          <w:p w14:paraId="7BE36081"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1.21</w:t>
            </w:r>
          </w:p>
        </w:tc>
        <w:tc>
          <w:tcPr>
            <w:tcW w:w="2358" w:type="dxa"/>
            <w:noWrap/>
            <w:vAlign w:val="center"/>
            <w:hideMark/>
          </w:tcPr>
          <w:p w14:paraId="5CFA3178"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Moderate</w:t>
            </w:r>
          </w:p>
        </w:tc>
      </w:tr>
      <w:tr w:rsidR="003050C2" w:rsidRPr="003237C8" w14:paraId="5A7B1AA5" w14:textId="77777777" w:rsidTr="003237C8">
        <w:trPr>
          <w:trHeight w:val="263"/>
        </w:trPr>
        <w:tc>
          <w:tcPr>
            <w:tcW w:w="616" w:type="dxa"/>
            <w:noWrap/>
            <w:vAlign w:val="center"/>
            <w:hideMark/>
          </w:tcPr>
          <w:p w14:paraId="4EF3C957"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10</w:t>
            </w:r>
          </w:p>
        </w:tc>
        <w:tc>
          <w:tcPr>
            <w:tcW w:w="4754" w:type="dxa"/>
            <w:noWrap/>
            <w:vAlign w:val="center"/>
            <w:hideMark/>
          </w:tcPr>
          <w:p w14:paraId="797FED16"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xml:space="preserve">I needed minimal supervision during hands-on activities. </w:t>
            </w:r>
          </w:p>
        </w:tc>
        <w:tc>
          <w:tcPr>
            <w:tcW w:w="744" w:type="dxa"/>
            <w:noWrap/>
            <w:vAlign w:val="center"/>
            <w:hideMark/>
          </w:tcPr>
          <w:p w14:paraId="3BB76711"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3.20</w:t>
            </w:r>
          </w:p>
        </w:tc>
        <w:tc>
          <w:tcPr>
            <w:tcW w:w="816" w:type="dxa"/>
            <w:noWrap/>
            <w:vAlign w:val="center"/>
            <w:hideMark/>
          </w:tcPr>
          <w:p w14:paraId="05F9DD9B"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1.19</w:t>
            </w:r>
          </w:p>
        </w:tc>
        <w:tc>
          <w:tcPr>
            <w:tcW w:w="2358" w:type="dxa"/>
            <w:noWrap/>
            <w:vAlign w:val="center"/>
            <w:hideMark/>
          </w:tcPr>
          <w:p w14:paraId="5DB74266"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Moderate</w:t>
            </w:r>
          </w:p>
        </w:tc>
      </w:tr>
      <w:tr w:rsidR="003050C2" w:rsidRPr="003237C8" w14:paraId="1BE045D9" w14:textId="77777777" w:rsidTr="003237C8">
        <w:trPr>
          <w:trHeight w:val="273"/>
        </w:trPr>
        <w:tc>
          <w:tcPr>
            <w:tcW w:w="616" w:type="dxa"/>
            <w:noWrap/>
            <w:vAlign w:val="center"/>
            <w:hideMark/>
          </w:tcPr>
          <w:p w14:paraId="3FBA12BE"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w:t>
            </w:r>
          </w:p>
        </w:tc>
        <w:tc>
          <w:tcPr>
            <w:tcW w:w="4754" w:type="dxa"/>
            <w:noWrap/>
            <w:vAlign w:val="center"/>
            <w:hideMark/>
          </w:tcPr>
          <w:p w14:paraId="606DE4F4" w14:textId="77777777" w:rsidR="003050C2" w:rsidRPr="003237C8" w:rsidRDefault="003050C2" w:rsidP="007233F6">
            <w:pPr>
              <w:pStyle w:val="NoSpacing"/>
              <w:jc w:val="center"/>
              <w:rPr>
                <w:rFonts w:ascii="Times New Roman" w:hAnsi="Times New Roman" w:cs="Times New Roman"/>
                <w:b/>
                <w:bCs/>
                <w:color w:val="000000" w:themeColor="text1"/>
                <w:sz w:val="24"/>
                <w:szCs w:val="24"/>
              </w:rPr>
            </w:pPr>
            <w:r w:rsidRPr="003237C8">
              <w:rPr>
                <w:rFonts w:ascii="Times New Roman" w:hAnsi="Times New Roman" w:cs="Times New Roman"/>
                <w:b/>
                <w:bCs/>
                <w:color w:val="000000" w:themeColor="text1"/>
                <w:sz w:val="24"/>
                <w:szCs w:val="24"/>
              </w:rPr>
              <w:t>Aggregate Weighted Mean</w:t>
            </w:r>
          </w:p>
        </w:tc>
        <w:tc>
          <w:tcPr>
            <w:tcW w:w="744" w:type="dxa"/>
            <w:noWrap/>
            <w:vAlign w:val="center"/>
            <w:hideMark/>
          </w:tcPr>
          <w:p w14:paraId="72F54DFD" w14:textId="77777777" w:rsidR="003050C2" w:rsidRPr="003237C8" w:rsidRDefault="003050C2" w:rsidP="007233F6">
            <w:pPr>
              <w:pStyle w:val="NoSpacing"/>
              <w:jc w:val="center"/>
              <w:rPr>
                <w:rFonts w:ascii="Times New Roman" w:hAnsi="Times New Roman" w:cs="Times New Roman"/>
                <w:b/>
                <w:bCs/>
                <w:color w:val="000000" w:themeColor="text1"/>
                <w:sz w:val="24"/>
                <w:szCs w:val="24"/>
              </w:rPr>
            </w:pPr>
            <w:r w:rsidRPr="003237C8">
              <w:rPr>
                <w:rFonts w:ascii="Times New Roman" w:hAnsi="Times New Roman" w:cs="Times New Roman"/>
                <w:b/>
                <w:bCs/>
                <w:color w:val="000000" w:themeColor="text1"/>
                <w:sz w:val="24"/>
                <w:szCs w:val="24"/>
              </w:rPr>
              <w:t>3.00</w:t>
            </w:r>
          </w:p>
        </w:tc>
        <w:tc>
          <w:tcPr>
            <w:tcW w:w="816" w:type="dxa"/>
            <w:noWrap/>
            <w:vAlign w:val="center"/>
            <w:hideMark/>
          </w:tcPr>
          <w:p w14:paraId="47BDCB96" w14:textId="77777777" w:rsidR="003050C2" w:rsidRPr="003237C8" w:rsidRDefault="003050C2" w:rsidP="007233F6">
            <w:pPr>
              <w:pStyle w:val="NoSpacing"/>
              <w:jc w:val="center"/>
              <w:rPr>
                <w:rFonts w:ascii="Times New Roman" w:hAnsi="Times New Roman" w:cs="Times New Roman"/>
                <w:b/>
                <w:bCs/>
                <w:color w:val="000000" w:themeColor="text1"/>
                <w:sz w:val="24"/>
                <w:szCs w:val="24"/>
              </w:rPr>
            </w:pPr>
          </w:p>
        </w:tc>
        <w:tc>
          <w:tcPr>
            <w:tcW w:w="2358" w:type="dxa"/>
            <w:noWrap/>
            <w:vAlign w:val="center"/>
            <w:hideMark/>
          </w:tcPr>
          <w:p w14:paraId="573809E4" w14:textId="77777777" w:rsidR="003050C2" w:rsidRPr="003237C8" w:rsidRDefault="003050C2" w:rsidP="007233F6">
            <w:pPr>
              <w:pStyle w:val="NoSpacing"/>
              <w:jc w:val="center"/>
              <w:rPr>
                <w:rFonts w:ascii="Times New Roman" w:hAnsi="Times New Roman" w:cs="Times New Roman"/>
                <w:b/>
                <w:bCs/>
                <w:color w:val="000000" w:themeColor="text1"/>
                <w:sz w:val="24"/>
                <w:szCs w:val="24"/>
              </w:rPr>
            </w:pPr>
            <w:r w:rsidRPr="003237C8">
              <w:rPr>
                <w:rFonts w:ascii="Times New Roman" w:hAnsi="Times New Roman" w:cs="Times New Roman"/>
                <w:b/>
                <w:bCs/>
                <w:color w:val="000000" w:themeColor="text1"/>
                <w:sz w:val="24"/>
                <w:szCs w:val="24"/>
              </w:rPr>
              <w:t>Moderate</w:t>
            </w:r>
          </w:p>
        </w:tc>
      </w:tr>
      <w:tr w:rsidR="003050C2" w:rsidRPr="003237C8" w14:paraId="2549E212" w14:textId="77777777" w:rsidTr="003237C8">
        <w:trPr>
          <w:trHeight w:val="273"/>
        </w:trPr>
        <w:tc>
          <w:tcPr>
            <w:tcW w:w="616" w:type="dxa"/>
            <w:tcBorders>
              <w:bottom w:val="single" w:sz="4" w:space="0" w:color="auto"/>
            </w:tcBorders>
            <w:noWrap/>
            <w:vAlign w:val="center"/>
            <w:hideMark/>
          </w:tcPr>
          <w:p w14:paraId="05E45D64"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w:t>
            </w:r>
          </w:p>
        </w:tc>
        <w:tc>
          <w:tcPr>
            <w:tcW w:w="4754" w:type="dxa"/>
            <w:tcBorders>
              <w:bottom w:val="single" w:sz="4" w:space="0" w:color="auto"/>
            </w:tcBorders>
            <w:noWrap/>
            <w:vAlign w:val="center"/>
            <w:hideMark/>
          </w:tcPr>
          <w:p w14:paraId="24DF8AB7" w14:textId="77777777" w:rsidR="003050C2" w:rsidRPr="003237C8" w:rsidRDefault="003050C2" w:rsidP="007233F6">
            <w:pPr>
              <w:pStyle w:val="NoSpacing"/>
              <w:jc w:val="center"/>
              <w:rPr>
                <w:rFonts w:ascii="Times New Roman" w:hAnsi="Times New Roman" w:cs="Times New Roman"/>
                <w:b/>
                <w:bCs/>
                <w:color w:val="000000" w:themeColor="text1"/>
                <w:sz w:val="24"/>
                <w:szCs w:val="24"/>
              </w:rPr>
            </w:pPr>
            <w:r w:rsidRPr="003237C8">
              <w:rPr>
                <w:rFonts w:ascii="Times New Roman" w:hAnsi="Times New Roman" w:cs="Times New Roman"/>
                <w:b/>
                <w:bCs/>
                <w:color w:val="000000" w:themeColor="text1"/>
                <w:sz w:val="24"/>
                <w:szCs w:val="24"/>
              </w:rPr>
              <w:t>Aggregate Standard Deviation</w:t>
            </w:r>
          </w:p>
        </w:tc>
        <w:tc>
          <w:tcPr>
            <w:tcW w:w="744" w:type="dxa"/>
            <w:tcBorders>
              <w:bottom w:val="single" w:sz="4" w:space="0" w:color="auto"/>
            </w:tcBorders>
            <w:noWrap/>
            <w:vAlign w:val="center"/>
            <w:hideMark/>
          </w:tcPr>
          <w:p w14:paraId="2ED9499A" w14:textId="77777777" w:rsidR="003050C2" w:rsidRPr="003237C8" w:rsidRDefault="003050C2" w:rsidP="007233F6">
            <w:pPr>
              <w:pStyle w:val="NoSpacing"/>
              <w:jc w:val="center"/>
              <w:rPr>
                <w:rFonts w:ascii="Times New Roman" w:hAnsi="Times New Roman" w:cs="Times New Roman"/>
                <w:b/>
                <w:bCs/>
                <w:color w:val="000000" w:themeColor="text1"/>
                <w:sz w:val="24"/>
                <w:szCs w:val="24"/>
              </w:rPr>
            </w:pPr>
          </w:p>
        </w:tc>
        <w:tc>
          <w:tcPr>
            <w:tcW w:w="816" w:type="dxa"/>
            <w:tcBorders>
              <w:bottom w:val="single" w:sz="4" w:space="0" w:color="auto"/>
            </w:tcBorders>
            <w:noWrap/>
            <w:vAlign w:val="center"/>
            <w:hideMark/>
          </w:tcPr>
          <w:p w14:paraId="60E9587C" w14:textId="77777777" w:rsidR="003050C2" w:rsidRPr="003237C8" w:rsidRDefault="003050C2" w:rsidP="007233F6">
            <w:pPr>
              <w:pStyle w:val="NoSpacing"/>
              <w:jc w:val="center"/>
              <w:rPr>
                <w:rFonts w:ascii="Times New Roman" w:hAnsi="Times New Roman" w:cs="Times New Roman"/>
                <w:b/>
                <w:bCs/>
                <w:color w:val="000000" w:themeColor="text1"/>
                <w:sz w:val="24"/>
                <w:szCs w:val="24"/>
              </w:rPr>
            </w:pPr>
            <w:r w:rsidRPr="003237C8">
              <w:rPr>
                <w:rFonts w:ascii="Times New Roman" w:hAnsi="Times New Roman" w:cs="Times New Roman"/>
                <w:b/>
                <w:bCs/>
                <w:color w:val="000000" w:themeColor="text1"/>
                <w:sz w:val="24"/>
                <w:szCs w:val="24"/>
              </w:rPr>
              <w:t>1.19</w:t>
            </w:r>
          </w:p>
        </w:tc>
        <w:tc>
          <w:tcPr>
            <w:tcW w:w="2358" w:type="dxa"/>
            <w:tcBorders>
              <w:bottom w:val="single" w:sz="4" w:space="0" w:color="auto"/>
            </w:tcBorders>
            <w:noWrap/>
            <w:vAlign w:val="center"/>
            <w:hideMark/>
          </w:tcPr>
          <w:p w14:paraId="72F46815" w14:textId="77777777" w:rsidR="003050C2" w:rsidRPr="003237C8" w:rsidRDefault="003050C2" w:rsidP="007233F6">
            <w:pPr>
              <w:pStyle w:val="NoSpacing"/>
              <w:jc w:val="center"/>
              <w:rPr>
                <w:rFonts w:ascii="Times New Roman" w:hAnsi="Times New Roman" w:cs="Times New Roman"/>
                <w:b/>
                <w:bCs/>
                <w:color w:val="000000" w:themeColor="text1"/>
                <w:sz w:val="24"/>
                <w:szCs w:val="24"/>
              </w:rPr>
            </w:pPr>
          </w:p>
        </w:tc>
      </w:tr>
    </w:tbl>
    <w:p w14:paraId="2E5629C8" w14:textId="77777777" w:rsidR="005A68A8" w:rsidRPr="005A68A8" w:rsidRDefault="005A68A8" w:rsidP="005A68A8">
      <w:pPr>
        <w:spacing w:after="240"/>
        <w:rPr>
          <w:color w:val="000000" w:themeColor="text1"/>
          <w:sz w:val="16"/>
          <w:szCs w:val="14"/>
        </w:rPr>
      </w:pPr>
      <w:r w:rsidRPr="005A68A8">
        <w:rPr>
          <w:b/>
          <w:bCs/>
          <w:color w:val="000000" w:themeColor="text1"/>
          <w:sz w:val="16"/>
          <w:szCs w:val="14"/>
        </w:rPr>
        <w:t>Legend:</w:t>
      </w:r>
      <w:r w:rsidRPr="005A68A8">
        <w:rPr>
          <w:color w:val="000000" w:themeColor="text1"/>
          <w:sz w:val="16"/>
          <w:szCs w:val="14"/>
        </w:rPr>
        <w:t xml:space="preserve"> 4.21-5.00 – Very High; 3.41-4.20 – High; 2.61-3.40 – Moderate; 1.81-2.60 – Low; 1.00-1.80 – Very Low </w:t>
      </w:r>
    </w:p>
    <w:p w14:paraId="661F3B14" w14:textId="77777777" w:rsidR="005A68A8" w:rsidRPr="005A68A8" w:rsidRDefault="005A68A8" w:rsidP="005A68A8">
      <w:pPr>
        <w:spacing w:before="240" w:after="240"/>
        <w:ind w:firstLine="720"/>
        <w:jc w:val="both"/>
        <w:rPr>
          <w:sz w:val="24"/>
          <w:szCs w:val="24"/>
          <w:lang w:val="en-PH"/>
        </w:rPr>
      </w:pPr>
      <w:r w:rsidRPr="005A68A8">
        <w:rPr>
          <w:sz w:val="24"/>
          <w:szCs w:val="24"/>
          <w:lang w:val="en-PH"/>
        </w:rPr>
        <w:t>As shown on Table 7, the SHS welding competence level was determined based on the practical skills perception of the respondents. The average score obtained through the computation of weighted means amounted to 3.00 which implies a moderate proficiency level of the students. Most of the items such as adherence to the process of welding, the quality of the output produced based on set standards, and enhancement of the coordination of the eyes and hands of the student were classified as “Moderate.” However, safety measures and proper use of PPE were rated as “High” with WM= 3.67.</w:t>
      </w:r>
    </w:p>
    <w:p w14:paraId="5904B3FF" w14:textId="572A5BBC" w:rsidR="003050C2" w:rsidRDefault="005A68A8" w:rsidP="005A68A8">
      <w:pPr>
        <w:spacing w:before="240" w:after="240"/>
        <w:ind w:firstLine="720"/>
        <w:jc w:val="both"/>
        <w:rPr>
          <w:sz w:val="24"/>
          <w:szCs w:val="24"/>
          <w:lang w:val="en-PH"/>
        </w:rPr>
      </w:pPr>
      <w:r w:rsidRPr="005A68A8">
        <w:rPr>
          <w:sz w:val="24"/>
          <w:szCs w:val="24"/>
          <w:lang w:val="en-PH"/>
        </w:rPr>
        <w:t>The research indicated that SHS has a positive impact on students' readiness for employment. However, it has room for improvement with regards to incorporating practical skills into the curriculum, which corresponds with the conclusion that the students have moderate levels of practical skills when it comes to welding because SHS gave them basic practical training, but not advanced skills, and more training is needed at a college level (Castro et al., 2025). The study also revealed that incorporating project-based and inquiry-based learning improves cooperation, problem-solving, and critical thinking skills, which corroborates the conclusion that participating in practice-oriented and project-based courses increases self-confidence and academic performance and facilitates the transition to higher education welding tasks (Zhou et al., 2025). From the study, it is evident that practice-based activities improve students' critical thinking skills, problem-solving skills, and application of theory into practice since curriculum-based practice-based training improves theoretical understanding, practical skills, and soft skills including independent decision making, resulting in more independence and improved academic achievement (</w:t>
      </w:r>
      <w:proofErr w:type="spellStart"/>
      <w:r w:rsidRPr="005A68A8">
        <w:rPr>
          <w:sz w:val="24"/>
          <w:szCs w:val="24"/>
          <w:lang w:val="en-PH"/>
        </w:rPr>
        <w:t>Amirgalina</w:t>
      </w:r>
      <w:proofErr w:type="spellEnd"/>
      <w:r w:rsidRPr="005A68A8">
        <w:rPr>
          <w:sz w:val="24"/>
          <w:szCs w:val="24"/>
          <w:lang w:val="en-PH"/>
        </w:rPr>
        <w:t xml:space="preserve"> et al., 2025). Generally, from the data collected, the respondents possessed average welding skills in SHS, highlighting the importance of personalized education in college to polish their skills for enhanced academic success.</w:t>
      </w:r>
    </w:p>
    <w:p w14:paraId="07B531CF" w14:textId="55D1509C" w:rsidR="003050C2" w:rsidRPr="005A68A8" w:rsidRDefault="005A68A8" w:rsidP="002B7D4A">
      <w:pPr>
        <w:spacing w:before="240" w:after="240"/>
        <w:jc w:val="both"/>
        <w:rPr>
          <w:b/>
          <w:bCs/>
          <w:sz w:val="24"/>
          <w:szCs w:val="24"/>
          <w:lang w:val="en-PH"/>
        </w:rPr>
      </w:pPr>
      <w:r w:rsidRPr="005A68A8">
        <w:rPr>
          <w:b/>
          <w:bCs/>
          <w:sz w:val="24"/>
          <w:szCs w:val="24"/>
          <w:lang w:val="en-PH"/>
        </w:rPr>
        <w:t>Technical Knowledge Related to Welding</w:t>
      </w:r>
    </w:p>
    <w:p w14:paraId="64EC2229" w14:textId="6862523B" w:rsidR="003050C2" w:rsidRDefault="005A68A8" w:rsidP="005A68A8">
      <w:pPr>
        <w:spacing w:before="240" w:after="240"/>
        <w:ind w:firstLine="720"/>
        <w:jc w:val="both"/>
        <w:rPr>
          <w:sz w:val="24"/>
          <w:szCs w:val="24"/>
          <w:lang w:val="en-PH"/>
        </w:rPr>
      </w:pPr>
      <w:r w:rsidRPr="005A68A8">
        <w:rPr>
          <w:sz w:val="24"/>
          <w:szCs w:val="24"/>
          <w:lang w:val="en-PH"/>
        </w:rPr>
        <w:t xml:space="preserve">The </w:t>
      </w:r>
      <w:proofErr w:type="gramStart"/>
      <w:r w:rsidRPr="005A68A8">
        <w:rPr>
          <w:sz w:val="24"/>
          <w:szCs w:val="24"/>
          <w:lang w:val="en-PH"/>
        </w:rPr>
        <w:t>respondents’</w:t>
      </w:r>
      <w:proofErr w:type="gramEnd"/>
      <w:r w:rsidRPr="005A68A8">
        <w:rPr>
          <w:sz w:val="24"/>
          <w:szCs w:val="24"/>
          <w:lang w:val="en-PH"/>
        </w:rPr>
        <w:t xml:space="preserve"> perceived welding skills competency as regards to technical know-how was considered in relation to their mastery of materials, equipment, methods, and standards which affected their academic performance in college, as presented in Table 8.</w:t>
      </w:r>
    </w:p>
    <w:p w14:paraId="48126622" w14:textId="0C96C1A4" w:rsidR="007C1B96" w:rsidRPr="007C1B96" w:rsidRDefault="007C1B96" w:rsidP="007C1B96">
      <w:pPr>
        <w:spacing w:before="240" w:after="240"/>
        <w:jc w:val="both"/>
        <w:rPr>
          <w:b/>
          <w:bCs/>
          <w:sz w:val="24"/>
          <w:szCs w:val="24"/>
          <w:lang w:val="en-PH"/>
        </w:rPr>
      </w:pPr>
      <w:r w:rsidRPr="007C1B96">
        <w:rPr>
          <w:b/>
          <w:bCs/>
          <w:sz w:val="24"/>
          <w:szCs w:val="24"/>
          <w:lang w:val="en-PH"/>
        </w:rPr>
        <w:t>Table 8</w:t>
      </w:r>
      <w:r w:rsidRPr="007C1B96">
        <w:rPr>
          <w:b/>
          <w:bCs/>
          <w:sz w:val="24"/>
          <w:szCs w:val="24"/>
          <w:lang w:val="en-PH"/>
        </w:rPr>
        <w:t xml:space="preserve">. </w:t>
      </w:r>
      <w:r w:rsidRPr="007C1B96">
        <w:rPr>
          <w:b/>
          <w:bCs/>
          <w:sz w:val="24"/>
          <w:szCs w:val="24"/>
          <w:lang w:val="en-PH"/>
        </w:rPr>
        <w:t>Respondent's Perceived Level of SHS Welding Competencies</w:t>
      </w:r>
      <w:r w:rsidRPr="007C1B96">
        <w:rPr>
          <w:b/>
          <w:bCs/>
          <w:sz w:val="24"/>
          <w:szCs w:val="24"/>
          <w:lang w:val="en-PH"/>
        </w:rPr>
        <w:t xml:space="preserve"> </w:t>
      </w:r>
      <w:r w:rsidRPr="007C1B96">
        <w:rPr>
          <w:b/>
          <w:bCs/>
          <w:sz w:val="24"/>
          <w:szCs w:val="24"/>
          <w:lang w:val="en-PH"/>
        </w:rPr>
        <w:t>in Terms of Technical Knowledge Related to Welding</w:t>
      </w:r>
    </w:p>
    <w:tbl>
      <w:tblPr>
        <w:tblW w:w="8550" w:type="dxa"/>
        <w:tblLook w:val="04A0" w:firstRow="1" w:lastRow="0" w:firstColumn="1" w:lastColumn="0" w:noHBand="0" w:noVBand="1"/>
      </w:tblPr>
      <w:tblGrid>
        <w:gridCol w:w="720"/>
        <w:gridCol w:w="5010"/>
        <w:gridCol w:w="684"/>
        <w:gridCol w:w="684"/>
        <w:gridCol w:w="1452"/>
      </w:tblGrid>
      <w:tr w:rsidR="007C1B96" w:rsidRPr="007C1B96" w14:paraId="2F1ECFCD" w14:textId="77777777" w:rsidTr="007233F6">
        <w:trPr>
          <w:trHeight w:val="267"/>
        </w:trPr>
        <w:tc>
          <w:tcPr>
            <w:tcW w:w="720" w:type="dxa"/>
            <w:tcBorders>
              <w:top w:val="single" w:sz="4" w:space="0" w:color="auto"/>
              <w:bottom w:val="single" w:sz="4" w:space="0" w:color="auto"/>
            </w:tcBorders>
            <w:noWrap/>
            <w:vAlign w:val="center"/>
            <w:hideMark/>
          </w:tcPr>
          <w:p w14:paraId="0EE62841" w14:textId="77777777" w:rsidR="007C1B96" w:rsidRPr="007C1B96" w:rsidRDefault="007C1B96" w:rsidP="007233F6">
            <w:pPr>
              <w:jc w:val="center"/>
              <w:rPr>
                <w:b/>
                <w:bCs/>
                <w:color w:val="000000" w:themeColor="text1"/>
                <w:sz w:val="24"/>
                <w:szCs w:val="24"/>
              </w:rPr>
            </w:pPr>
            <w:r w:rsidRPr="007C1B96">
              <w:rPr>
                <w:b/>
                <w:bCs/>
                <w:color w:val="000000" w:themeColor="text1"/>
                <w:sz w:val="24"/>
                <w:szCs w:val="24"/>
              </w:rPr>
              <w:t>S/N</w:t>
            </w:r>
          </w:p>
        </w:tc>
        <w:tc>
          <w:tcPr>
            <w:tcW w:w="5010" w:type="dxa"/>
            <w:tcBorders>
              <w:top w:val="single" w:sz="4" w:space="0" w:color="auto"/>
              <w:bottom w:val="single" w:sz="4" w:space="0" w:color="auto"/>
            </w:tcBorders>
            <w:noWrap/>
            <w:vAlign w:val="center"/>
            <w:hideMark/>
          </w:tcPr>
          <w:p w14:paraId="2EA307C7" w14:textId="77777777" w:rsidR="007C1B96" w:rsidRPr="007C1B96" w:rsidRDefault="007C1B96" w:rsidP="007233F6">
            <w:pPr>
              <w:jc w:val="center"/>
              <w:rPr>
                <w:b/>
                <w:bCs/>
                <w:color w:val="000000" w:themeColor="text1"/>
                <w:sz w:val="24"/>
                <w:szCs w:val="24"/>
              </w:rPr>
            </w:pPr>
            <w:r w:rsidRPr="007C1B96">
              <w:rPr>
                <w:b/>
                <w:bCs/>
                <w:color w:val="000000" w:themeColor="text1"/>
                <w:sz w:val="24"/>
                <w:szCs w:val="24"/>
              </w:rPr>
              <w:t xml:space="preserve">Indicators </w:t>
            </w:r>
          </w:p>
        </w:tc>
        <w:tc>
          <w:tcPr>
            <w:tcW w:w="684" w:type="dxa"/>
            <w:tcBorders>
              <w:top w:val="single" w:sz="4" w:space="0" w:color="auto"/>
              <w:bottom w:val="single" w:sz="4" w:space="0" w:color="auto"/>
            </w:tcBorders>
            <w:noWrap/>
            <w:vAlign w:val="center"/>
            <w:hideMark/>
          </w:tcPr>
          <w:p w14:paraId="3F6E1FAE" w14:textId="77777777" w:rsidR="007C1B96" w:rsidRPr="007C1B96" w:rsidRDefault="007C1B96" w:rsidP="007233F6">
            <w:pPr>
              <w:jc w:val="center"/>
              <w:rPr>
                <w:b/>
                <w:bCs/>
                <w:color w:val="000000" w:themeColor="text1"/>
                <w:sz w:val="24"/>
                <w:szCs w:val="24"/>
              </w:rPr>
            </w:pPr>
            <w:r w:rsidRPr="007C1B96">
              <w:rPr>
                <w:b/>
                <w:bCs/>
                <w:color w:val="000000" w:themeColor="text1"/>
                <w:sz w:val="24"/>
                <w:szCs w:val="24"/>
              </w:rPr>
              <w:t>WM</w:t>
            </w:r>
          </w:p>
        </w:tc>
        <w:tc>
          <w:tcPr>
            <w:tcW w:w="684" w:type="dxa"/>
            <w:tcBorders>
              <w:top w:val="single" w:sz="4" w:space="0" w:color="auto"/>
              <w:bottom w:val="single" w:sz="4" w:space="0" w:color="auto"/>
            </w:tcBorders>
            <w:noWrap/>
            <w:vAlign w:val="center"/>
            <w:hideMark/>
          </w:tcPr>
          <w:p w14:paraId="7EC22D80" w14:textId="77777777" w:rsidR="007C1B96" w:rsidRPr="007C1B96" w:rsidRDefault="007C1B96" w:rsidP="007233F6">
            <w:pPr>
              <w:jc w:val="center"/>
              <w:rPr>
                <w:b/>
                <w:bCs/>
                <w:color w:val="000000" w:themeColor="text1"/>
                <w:sz w:val="24"/>
                <w:szCs w:val="24"/>
              </w:rPr>
            </w:pPr>
            <w:r w:rsidRPr="007C1B96">
              <w:rPr>
                <w:b/>
                <w:bCs/>
                <w:color w:val="000000" w:themeColor="text1"/>
                <w:sz w:val="24"/>
                <w:szCs w:val="24"/>
              </w:rPr>
              <w:t>SD</w:t>
            </w:r>
          </w:p>
        </w:tc>
        <w:tc>
          <w:tcPr>
            <w:tcW w:w="1452" w:type="dxa"/>
            <w:tcBorders>
              <w:top w:val="single" w:sz="4" w:space="0" w:color="auto"/>
              <w:bottom w:val="single" w:sz="4" w:space="0" w:color="auto"/>
            </w:tcBorders>
            <w:noWrap/>
            <w:vAlign w:val="center"/>
            <w:hideMark/>
          </w:tcPr>
          <w:p w14:paraId="7A5878CA" w14:textId="77777777" w:rsidR="007C1B96" w:rsidRPr="007C1B96" w:rsidRDefault="007C1B96" w:rsidP="007233F6">
            <w:pPr>
              <w:jc w:val="center"/>
              <w:rPr>
                <w:b/>
                <w:bCs/>
                <w:color w:val="000000" w:themeColor="text1"/>
                <w:sz w:val="24"/>
                <w:szCs w:val="24"/>
              </w:rPr>
            </w:pPr>
            <w:r w:rsidRPr="007C1B96">
              <w:rPr>
                <w:b/>
                <w:bCs/>
                <w:color w:val="000000" w:themeColor="text1"/>
                <w:sz w:val="24"/>
                <w:szCs w:val="24"/>
              </w:rPr>
              <w:t xml:space="preserve">Verbal Description </w:t>
            </w:r>
          </w:p>
        </w:tc>
      </w:tr>
      <w:tr w:rsidR="007C1B96" w:rsidRPr="007C1B96" w14:paraId="524AB261" w14:textId="77777777" w:rsidTr="007233F6">
        <w:trPr>
          <w:trHeight w:val="257"/>
        </w:trPr>
        <w:tc>
          <w:tcPr>
            <w:tcW w:w="720" w:type="dxa"/>
            <w:tcBorders>
              <w:top w:val="single" w:sz="4" w:space="0" w:color="auto"/>
            </w:tcBorders>
            <w:noWrap/>
            <w:vAlign w:val="center"/>
            <w:hideMark/>
          </w:tcPr>
          <w:p w14:paraId="4C16AD09"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w:t>
            </w:r>
          </w:p>
        </w:tc>
        <w:tc>
          <w:tcPr>
            <w:tcW w:w="5010" w:type="dxa"/>
            <w:tcBorders>
              <w:top w:val="single" w:sz="4" w:space="0" w:color="auto"/>
            </w:tcBorders>
            <w:noWrap/>
            <w:vAlign w:val="center"/>
            <w:hideMark/>
          </w:tcPr>
          <w:p w14:paraId="1CF909A3" w14:textId="77777777" w:rsidR="007C1B96" w:rsidRPr="007C1B96" w:rsidRDefault="007C1B96" w:rsidP="007233F6">
            <w:pPr>
              <w:pStyle w:val="NoSpacing"/>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 xml:space="preserve">I had knowledge of different metals and materials before college. </w:t>
            </w:r>
          </w:p>
        </w:tc>
        <w:tc>
          <w:tcPr>
            <w:tcW w:w="684" w:type="dxa"/>
            <w:tcBorders>
              <w:top w:val="single" w:sz="4" w:space="0" w:color="auto"/>
            </w:tcBorders>
            <w:noWrap/>
            <w:vAlign w:val="center"/>
            <w:hideMark/>
          </w:tcPr>
          <w:p w14:paraId="18F3841D"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2.70</w:t>
            </w:r>
          </w:p>
        </w:tc>
        <w:tc>
          <w:tcPr>
            <w:tcW w:w="684" w:type="dxa"/>
            <w:tcBorders>
              <w:top w:val="single" w:sz="4" w:space="0" w:color="auto"/>
            </w:tcBorders>
            <w:noWrap/>
            <w:vAlign w:val="center"/>
            <w:hideMark/>
          </w:tcPr>
          <w:p w14:paraId="51201477"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1.17</w:t>
            </w:r>
          </w:p>
        </w:tc>
        <w:tc>
          <w:tcPr>
            <w:tcW w:w="1452" w:type="dxa"/>
            <w:tcBorders>
              <w:top w:val="single" w:sz="4" w:space="0" w:color="auto"/>
            </w:tcBorders>
            <w:noWrap/>
            <w:vAlign w:val="center"/>
            <w:hideMark/>
          </w:tcPr>
          <w:p w14:paraId="56BE0174"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Moderate</w:t>
            </w:r>
          </w:p>
        </w:tc>
      </w:tr>
      <w:tr w:rsidR="007C1B96" w:rsidRPr="007C1B96" w14:paraId="4C4F1CDC" w14:textId="77777777" w:rsidTr="007233F6">
        <w:trPr>
          <w:trHeight w:val="257"/>
        </w:trPr>
        <w:tc>
          <w:tcPr>
            <w:tcW w:w="720" w:type="dxa"/>
            <w:noWrap/>
            <w:vAlign w:val="center"/>
            <w:hideMark/>
          </w:tcPr>
          <w:p w14:paraId="16AA1B04"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2</w:t>
            </w:r>
          </w:p>
        </w:tc>
        <w:tc>
          <w:tcPr>
            <w:tcW w:w="5010" w:type="dxa"/>
            <w:noWrap/>
            <w:vAlign w:val="center"/>
            <w:hideMark/>
          </w:tcPr>
          <w:p w14:paraId="16DB31E3" w14:textId="77777777" w:rsidR="007C1B96" w:rsidRPr="007C1B96" w:rsidRDefault="007C1B96" w:rsidP="007233F6">
            <w:pPr>
              <w:pStyle w:val="NoSpacing"/>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 xml:space="preserve">I understood the properties of metals used in welding. </w:t>
            </w:r>
          </w:p>
        </w:tc>
        <w:tc>
          <w:tcPr>
            <w:tcW w:w="684" w:type="dxa"/>
            <w:noWrap/>
            <w:vAlign w:val="center"/>
            <w:hideMark/>
          </w:tcPr>
          <w:p w14:paraId="7215853D"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2.89</w:t>
            </w:r>
          </w:p>
        </w:tc>
        <w:tc>
          <w:tcPr>
            <w:tcW w:w="684" w:type="dxa"/>
            <w:noWrap/>
            <w:vAlign w:val="center"/>
            <w:hideMark/>
          </w:tcPr>
          <w:p w14:paraId="3EA562B5"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1.20</w:t>
            </w:r>
          </w:p>
        </w:tc>
        <w:tc>
          <w:tcPr>
            <w:tcW w:w="1452" w:type="dxa"/>
            <w:noWrap/>
            <w:vAlign w:val="center"/>
            <w:hideMark/>
          </w:tcPr>
          <w:p w14:paraId="69C882CF"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Moderate</w:t>
            </w:r>
          </w:p>
        </w:tc>
      </w:tr>
      <w:tr w:rsidR="007C1B96" w:rsidRPr="007C1B96" w14:paraId="517F4BFD" w14:textId="77777777" w:rsidTr="007233F6">
        <w:trPr>
          <w:trHeight w:val="257"/>
        </w:trPr>
        <w:tc>
          <w:tcPr>
            <w:tcW w:w="720" w:type="dxa"/>
            <w:noWrap/>
            <w:vAlign w:val="center"/>
            <w:hideMark/>
          </w:tcPr>
          <w:p w14:paraId="1212FFB6"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3</w:t>
            </w:r>
          </w:p>
        </w:tc>
        <w:tc>
          <w:tcPr>
            <w:tcW w:w="5010" w:type="dxa"/>
            <w:noWrap/>
            <w:vAlign w:val="center"/>
            <w:hideMark/>
          </w:tcPr>
          <w:p w14:paraId="7DE8B025" w14:textId="77777777" w:rsidR="007C1B96" w:rsidRPr="007C1B96" w:rsidRDefault="007C1B96" w:rsidP="007233F6">
            <w:pPr>
              <w:pStyle w:val="NoSpacing"/>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 xml:space="preserve">I was familiar with workshop tools and equipment. </w:t>
            </w:r>
          </w:p>
        </w:tc>
        <w:tc>
          <w:tcPr>
            <w:tcW w:w="684" w:type="dxa"/>
            <w:noWrap/>
            <w:vAlign w:val="center"/>
            <w:hideMark/>
          </w:tcPr>
          <w:p w14:paraId="62BA8322"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3.35</w:t>
            </w:r>
          </w:p>
        </w:tc>
        <w:tc>
          <w:tcPr>
            <w:tcW w:w="684" w:type="dxa"/>
            <w:noWrap/>
            <w:vAlign w:val="center"/>
            <w:hideMark/>
          </w:tcPr>
          <w:p w14:paraId="2845ADC2"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1.18</w:t>
            </w:r>
          </w:p>
        </w:tc>
        <w:tc>
          <w:tcPr>
            <w:tcW w:w="1452" w:type="dxa"/>
            <w:noWrap/>
            <w:vAlign w:val="center"/>
            <w:hideMark/>
          </w:tcPr>
          <w:p w14:paraId="1427AF5D"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Moderate</w:t>
            </w:r>
          </w:p>
        </w:tc>
      </w:tr>
      <w:tr w:rsidR="007C1B96" w:rsidRPr="007C1B96" w14:paraId="5C33455C" w14:textId="77777777" w:rsidTr="007233F6">
        <w:trPr>
          <w:trHeight w:val="257"/>
        </w:trPr>
        <w:tc>
          <w:tcPr>
            <w:tcW w:w="720" w:type="dxa"/>
            <w:noWrap/>
            <w:vAlign w:val="center"/>
            <w:hideMark/>
          </w:tcPr>
          <w:p w14:paraId="1B931482"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4</w:t>
            </w:r>
          </w:p>
        </w:tc>
        <w:tc>
          <w:tcPr>
            <w:tcW w:w="5010" w:type="dxa"/>
            <w:noWrap/>
            <w:vAlign w:val="center"/>
            <w:hideMark/>
          </w:tcPr>
          <w:p w14:paraId="748692C5" w14:textId="77777777" w:rsidR="007C1B96" w:rsidRPr="007C1B96" w:rsidRDefault="007C1B96" w:rsidP="007233F6">
            <w:pPr>
              <w:pStyle w:val="NoSpacing"/>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 xml:space="preserve">I understood basic fabrication procedures. </w:t>
            </w:r>
          </w:p>
        </w:tc>
        <w:tc>
          <w:tcPr>
            <w:tcW w:w="684" w:type="dxa"/>
            <w:noWrap/>
            <w:vAlign w:val="center"/>
            <w:hideMark/>
          </w:tcPr>
          <w:p w14:paraId="69B97DB5"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2.85</w:t>
            </w:r>
          </w:p>
        </w:tc>
        <w:tc>
          <w:tcPr>
            <w:tcW w:w="684" w:type="dxa"/>
            <w:noWrap/>
            <w:vAlign w:val="center"/>
            <w:hideMark/>
          </w:tcPr>
          <w:p w14:paraId="0C18898F"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1.28</w:t>
            </w:r>
          </w:p>
        </w:tc>
        <w:tc>
          <w:tcPr>
            <w:tcW w:w="1452" w:type="dxa"/>
            <w:noWrap/>
            <w:vAlign w:val="center"/>
            <w:hideMark/>
          </w:tcPr>
          <w:p w14:paraId="2461EFA5"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Moderate</w:t>
            </w:r>
          </w:p>
        </w:tc>
      </w:tr>
      <w:tr w:rsidR="007C1B96" w:rsidRPr="007C1B96" w14:paraId="481BCCE4" w14:textId="77777777" w:rsidTr="007233F6">
        <w:trPr>
          <w:trHeight w:val="257"/>
        </w:trPr>
        <w:tc>
          <w:tcPr>
            <w:tcW w:w="720" w:type="dxa"/>
            <w:noWrap/>
            <w:vAlign w:val="center"/>
            <w:hideMark/>
          </w:tcPr>
          <w:p w14:paraId="35F8D202"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5</w:t>
            </w:r>
          </w:p>
        </w:tc>
        <w:tc>
          <w:tcPr>
            <w:tcW w:w="5010" w:type="dxa"/>
            <w:noWrap/>
            <w:vAlign w:val="center"/>
            <w:hideMark/>
          </w:tcPr>
          <w:p w14:paraId="259D6CAC" w14:textId="77777777" w:rsidR="007C1B96" w:rsidRPr="007C1B96" w:rsidRDefault="007C1B96" w:rsidP="007233F6">
            <w:pPr>
              <w:pStyle w:val="NoSpacing"/>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 xml:space="preserve">I had exposure to basic welding or industrial tasks before college. </w:t>
            </w:r>
          </w:p>
        </w:tc>
        <w:tc>
          <w:tcPr>
            <w:tcW w:w="684" w:type="dxa"/>
            <w:noWrap/>
            <w:vAlign w:val="center"/>
            <w:hideMark/>
          </w:tcPr>
          <w:p w14:paraId="235EC313"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2.48</w:t>
            </w:r>
          </w:p>
        </w:tc>
        <w:tc>
          <w:tcPr>
            <w:tcW w:w="684" w:type="dxa"/>
            <w:noWrap/>
            <w:vAlign w:val="center"/>
            <w:hideMark/>
          </w:tcPr>
          <w:p w14:paraId="056E7969"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1.30</w:t>
            </w:r>
          </w:p>
        </w:tc>
        <w:tc>
          <w:tcPr>
            <w:tcW w:w="1452" w:type="dxa"/>
            <w:noWrap/>
            <w:vAlign w:val="center"/>
            <w:hideMark/>
          </w:tcPr>
          <w:p w14:paraId="7A346BE3"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Low</w:t>
            </w:r>
          </w:p>
        </w:tc>
      </w:tr>
      <w:tr w:rsidR="007C1B96" w:rsidRPr="007C1B96" w14:paraId="11B8E84E" w14:textId="77777777" w:rsidTr="007233F6">
        <w:trPr>
          <w:trHeight w:val="257"/>
        </w:trPr>
        <w:tc>
          <w:tcPr>
            <w:tcW w:w="720" w:type="dxa"/>
            <w:noWrap/>
            <w:vAlign w:val="center"/>
            <w:hideMark/>
          </w:tcPr>
          <w:p w14:paraId="6D90102E"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6</w:t>
            </w:r>
          </w:p>
        </w:tc>
        <w:tc>
          <w:tcPr>
            <w:tcW w:w="5010" w:type="dxa"/>
            <w:noWrap/>
            <w:vAlign w:val="center"/>
            <w:hideMark/>
          </w:tcPr>
          <w:p w14:paraId="4AC9AE3F" w14:textId="77777777" w:rsidR="007C1B96" w:rsidRPr="007C1B96" w:rsidRDefault="007C1B96" w:rsidP="007233F6">
            <w:pPr>
              <w:pStyle w:val="NoSpacing"/>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 xml:space="preserve">I understood the importance of worksite safety and health standards. </w:t>
            </w:r>
          </w:p>
        </w:tc>
        <w:tc>
          <w:tcPr>
            <w:tcW w:w="684" w:type="dxa"/>
            <w:noWrap/>
            <w:vAlign w:val="center"/>
            <w:hideMark/>
          </w:tcPr>
          <w:p w14:paraId="362E7257"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3.59</w:t>
            </w:r>
          </w:p>
        </w:tc>
        <w:tc>
          <w:tcPr>
            <w:tcW w:w="684" w:type="dxa"/>
            <w:noWrap/>
            <w:vAlign w:val="center"/>
            <w:hideMark/>
          </w:tcPr>
          <w:p w14:paraId="2EE54A13"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1.42</w:t>
            </w:r>
          </w:p>
        </w:tc>
        <w:tc>
          <w:tcPr>
            <w:tcW w:w="1452" w:type="dxa"/>
            <w:noWrap/>
            <w:vAlign w:val="center"/>
            <w:hideMark/>
          </w:tcPr>
          <w:p w14:paraId="2D5785E8"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High</w:t>
            </w:r>
          </w:p>
        </w:tc>
      </w:tr>
      <w:tr w:rsidR="007C1B96" w:rsidRPr="007C1B96" w14:paraId="5E7EE49F" w14:textId="77777777" w:rsidTr="007233F6">
        <w:trPr>
          <w:trHeight w:val="257"/>
        </w:trPr>
        <w:tc>
          <w:tcPr>
            <w:tcW w:w="720" w:type="dxa"/>
            <w:noWrap/>
            <w:vAlign w:val="center"/>
            <w:hideMark/>
          </w:tcPr>
          <w:p w14:paraId="7DB4B5B3"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7</w:t>
            </w:r>
          </w:p>
        </w:tc>
        <w:tc>
          <w:tcPr>
            <w:tcW w:w="5010" w:type="dxa"/>
            <w:noWrap/>
            <w:vAlign w:val="center"/>
            <w:hideMark/>
          </w:tcPr>
          <w:p w14:paraId="18AB8B2B" w14:textId="77777777" w:rsidR="007C1B96" w:rsidRPr="007C1B96" w:rsidRDefault="007C1B96" w:rsidP="007233F6">
            <w:pPr>
              <w:pStyle w:val="NoSpacing"/>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 xml:space="preserve">I could read and interpret welding drawings or diagrams. </w:t>
            </w:r>
          </w:p>
        </w:tc>
        <w:tc>
          <w:tcPr>
            <w:tcW w:w="684" w:type="dxa"/>
            <w:noWrap/>
            <w:vAlign w:val="center"/>
            <w:hideMark/>
          </w:tcPr>
          <w:p w14:paraId="08069CE8"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2.80</w:t>
            </w:r>
          </w:p>
        </w:tc>
        <w:tc>
          <w:tcPr>
            <w:tcW w:w="684" w:type="dxa"/>
            <w:noWrap/>
            <w:vAlign w:val="center"/>
            <w:hideMark/>
          </w:tcPr>
          <w:p w14:paraId="00BE312C"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1.20</w:t>
            </w:r>
          </w:p>
        </w:tc>
        <w:tc>
          <w:tcPr>
            <w:tcW w:w="1452" w:type="dxa"/>
            <w:noWrap/>
            <w:vAlign w:val="center"/>
            <w:hideMark/>
          </w:tcPr>
          <w:p w14:paraId="1B712400"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Moderate</w:t>
            </w:r>
          </w:p>
        </w:tc>
      </w:tr>
      <w:tr w:rsidR="007C1B96" w:rsidRPr="007C1B96" w14:paraId="35D32911" w14:textId="77777777" w:rsidTr="007233F6">
        <w:trPr>
          <w:trHeight w:val="257"/>
        </w:trPr>
        <w:tc>
          <w:tcPr>
            <w:tcW w:w="720" w:type="dxa"/>
            <w:noWrap/>
            <w:vAlign w:val="center"/>
            <w:hideMark/>
          </w:tcPr>
          <w:p w14:paraId="45159E30"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8</w:t>
            </w:r>
          </w:p>
        </w:tc>
        <w:tc>
          <w:tcPr>
            <w:tcW w:w="5010" w:type="dxa"/>
            <w:noWrap/>
            <w:vAlign w:val="center"/>
            <w:hideMark/>
          </w:tcPr>
          <w:p w14:paraId="69626151" w14:textId="77777777" w:rsidR="007C1B96" w:rsidRPr="007C1B96" w:rsidRDefault="007C1B96" w:rsidP="007233F6">
            <w:pPr>
              <w:pStyle w:val="NoSpacing"/>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 xml:space="preserve">I could apply theoretical knowledge in practical tasks. </w:t>
            </w:r>
          </w:p>
        </w:tc>
        <w:tc>
          <w:tcPr>
            <w:tcW w:w="684" w:type="dxa"/>
            <w:noWrap/>
            <w:vAlign w:val="center"/>
            <w:hideMark/>
          </w:tcPr>
          <w:p w14:paraId="7E3C3E02"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2.87</w:t>
            </w:r>
          </w:p>
        </w:tc>
        <w:tc>
          <w:tcPr>
            <w:tcW w:w="684" w:type="dxa"/>
            <w:noWrap/>
            <w:vAlign w:val="center"/>
            <w:hideMark/>
          </w:tcPr>
          <w:p w14:paraId="6823CDE8"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1.17</w:t>
            </w:r>
          </w:p>
        </w:tc>
        <w:tc>
          <w:tcPr>
            <w:tcW w:w="1452" w:type="dxa"/>
            <w:noWrap/>
            <w:vAlign w:val="center"/>
            <w:hideMark/>
          </w:tcPr>
          <w:p w14:paraId="409F2ECC"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Moderate</w:t>
            </w:r>
          </w:p>
        </w:tc>
      </w:tr>
      <w:tr w:rsidR="007C1B96" w:rsidRPr="007C1B96" w14:paraId="319E14A6" w14:textId="77777777" w:rsidTr="007233F6">
        <w:trPr>
          <w:trHeight w:val="257"/>
        </w:trPr>
        <w:tc>
          <w:tcPr>
            <w:tcW w:w="720" w:type="dxa"/>
            <w:noWrap/>
            <w:vAlign w:val="center"/>
            <w:hideMark/>
          </w:tcPr>
          <w:p w14:paraId="00DB4CAB"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9</w:t>
            </w:r>
          </w:p>
        </w:tc>
        <w:tc>
          <w:tcPr>
            <w:tcW w:w="5010" w:type="dxa"/>
            <w:noWrap/>
            <w:vAlign w:val="center"/>
            <w:hideMark/>
          </w:tcPr>
          <w:p w14:paraId="7818E747" w14:textId="77777777" w:rsidR="007C1B96" w:rsidRPr="007C1B96" w:rsidRDefault="007C1B96" w:rsidP="007233F6">
            <w:pPr>
              <w:pStyle w:val="NoSpacing"/>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 xml:space="preserve">Support from instructors helped me improved my technical knowledge. </w:t>
            </w:r>
          </w:p>
        </w:tc>
        <w:tc>
          <w:tcPr>
            <w:tcW w:w="684" w:type="dxa"/>
            <w:noWrap/>
            <w:vAlign w:val="center"/>
            <w:hideMark/>
          </w:tcPr>
          <w:p w14:paraId="6E6D809C"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3.74</w:t>
            </w:r>
          </w:p>
        </w:tc>
        <w:tc>
          <w:tcPr>
            <w:tcW w:w="684" w:type="dxa"/>
            <w:noWrap/>
            <w:vAlign w:val="center"/>
            <w:hideMark/>
          </w:tcPr>
          <w:p w14:paraId="79EBC2C0"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1.10</w:t>
            </w:r>
          </w:p>
        </w:tc>
        <w:tc>
          <w:tcPr>
            <w:tcW w:w="1452" w:type="dxa"/>
            <w:noWrap/>
            <w:vAlign w:val="center"/>
            <w:hideMark/>
          </w:tcPr>
          <w:p w14:paraId="649B371C"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High</w:t>
            </w:r>
          </w:p>
        </w:tc>
      </w:tr>
      <w:tr w:rsidR="007C1B96" w:rsidRPr="007C1B96" w14:paraId="7343C3A6" w14:textId="77777777" w:rsidTr="007233F6">
        <w:trPr>
          <w:trHeight w:val="257"/>
        </w:trPr>
        <w:tc>
          <w:tcPr>
            <w:tcW w:w="720" w:type="dxa"/>
            <w:noWrap/>
            <w:vAlign w:val="center"/>
            <w:hideMark/>
          </w:tcPr>
          <w:p w14:paraId="188AF83A"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10</w:t>
            </w:r>
          </w:p>
        </w:tc>
        <w:tc>
          <w:tcPr>
            <w:tcW w:w="5010" w:type="dxa"/>
            <w:noWrap/>
            <w:vAlign w:val="center"/>
            <w:hideMark/>
          </w:tcPr>
          <w:p w14:paraId="26618D55" w14:textId="77777777" w:rsidR="007C1B96" w:rsidRPr="007C1B96" w:rsidRDefault="007C1B96" w:rsidP="007233F6">
            <w:pPr>
              <w:pStyle w:val="NoSpacing"/>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 xml:space="preserve">My technical knowledge from SHS contributed to better performance in college welding courses. </w:t>
            </w:r>
          </w:p>
        </w:tc>
        <w:tc>
          <w:tcPr>
            <w:tcW w:w="684" w:type="dxa"/>
            <w:noWrap/>
            <w:vAlign w:val="center"/>
            <w:hideMark/>
          </w:tcPr>
          <w:p w14:paraId="0777BB91"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2.52</w:t>
            </w:r>
          </w:p>
        </w:tc>
        <w:tc>
          <w:tcPr>
            <w:tcW w:w="684" w:type="dxa"/>
            <w:noWrap/>
            <w:vAlign w:val="center"/>
            <w:hideMark/>
          </w:tcPr>
          <w:p w14:paraId="17635A4F"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1.26</w:t>
            </w:r>
          </w:p>
        </w:tc>
        <w:tc>
          <w:tcPr>
            <w:tcW w:w="1452" w:type="dxa"/>
            <w:noWrap/>
            <w:vAlign w:val="center"/>
            <w:hideMark/>
          </w:tcPr>
          <w:p w14:paraId="598C37C1"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Low</w:t>
            </w:r>
          </w:p>
        </w:tc>
      </w:tr>
      <w:tr w:rsidR="007C1B96" w:rsidRPr="007C1B96" w14:paraId="052AB43F" w14:textId="77777777" w:rsidTr="007233F6">
        <w:trPr>
          <w:trHeight w:val="267"/>
        </w:trPr>
        <w:tc>
          <w:tcPr>
            <w:tcW w:w="720" w:type="dxa"/>
            <w:noWrap/>
            <w:vAlign w:val="center"/>
            <w:hideMark/>
          </w:tcPr>
          <w:p w14:paraId="09B59DA9" w14:textId="77777777" w:rsidR="007C1B96" w:rsidRPr="007C1B96" w:rsidRDefault="007C1B96" w:rsidP="007233F6">
            <w:pPr>
              <w:pStyle w:val="NoSpacing"/>
              <w:jc w:val="center"/>
              <w:rPr>
                <w:rFonts w:ascii="Times New Roman" w:hAnsi="Times New Roman" w:cs="Times New Roman"/>
                <w:color w:val="000000" w:themeColor="text1"/>
                <w:sz w:val="24"/>
                <w:szCs w:val="24"/>
              </w:rPr>
            </w:pPr>
          </w:p>
        </w:tc>
        <w:tc>
          <w:tcPr>
            <w:tcW w:w="5010" w:type="dxa"/>
            <w:noWrap/>
            <w:vAlign w:val="center"/>
            <w:hideMark/>
          </w:tcPr>
          <w:p w14:paraId="176E14AB" w14:textId="77777777" w:rsidR="007C1B96" w:rsidRPr="007C1B96" w:rsidRDefault="007C1B96" w:rsidP="007233F6">
            <w:pPr>
              <w:pStyle w:val="NoSpacing"/>
              <w:rPr>
                <w:rFonts w:ascii="Times New Roman" w:hAnsi="Times New Roman" w:cs="Times New Roman"/>
                <w:b/>
                <w:bCs/>
                <w:color w:val="000000" w:themeColor="text1"/>
                <w:sz w:val="24"/>
                <w:szCs w:val="24"/>
              </w:rPr>
            </w:pPr>
            <w:r w:rsidRPr="007C1B96">
              <w:rPr>
                <w:rFonts w:ascii="Times New Roman" w:hAnsi="Times New Roman" w:cs="Times New Roman"/>
                <w:b/>
                <w:bCs/>
                <w:color w:val="000000" w:themeColor="text1"/>
                <w:sz w:val="24"/>
                <w:szCs w:val="24"/>
              </w:rPr>
              <w:t>Aggregate Weighted Mean</w:t>
            </w:r>
          </w:p>
        </w:tc>
        <w:tc>
          <w:tcPr>
            <w:tcW w:w="684" w:type="dxa"/>
            <w:noWrap/>
            <w:vAlign w:val="center"/>
            <w:hideMark/>
          </w:tcPr>
          <w:p w14:paraId="751BA767" w14:textId="77777777" w:rsidR="007C1B96" w:rsidRPr="007C1B96" w:rsidRDefault="007C1B96" w:rsidP="007233F6">
            <w:pPr>
              <w:pStyle w:val="NoSpacing"/>
              <w:jc w:val="center"/>
              <w:rPr>
                <w:rFonts w:ascii="Times New Roman" w:hAnsi="Times New Roman" w:cs="Times New Roman"/>
                <w:b/>
                <w:bCs/>
                <w:color w:val="000000" w:themeColor="text1"/>
                <w:sz w:val="24"/>
                <w:szCs w:val="24"/>
              </w:rPr>
            </w:pPr>
            <w:r w:rsidRPr="007C1B96">
              <w:rPr>
                <w:rFonts w:ascii="Times New Roman" w:hAnsi="Times New Roman" w:cs="Times New Roman"/>
                <w:b/>
                <w:bCs/>
                <w:color w:val="000000" w:themeColor="text1"/>
                <w:sz w:val="24"/>
                <w:szCs w:val="24"/>
              </w:rPr>
              <w:t>2.98</w:t>
            </w:r>
          </w:p>
        </w:tc>
        <w:tc>
          <w:tcPr>
            <w:tcW w:w="684" w:type="dxa"/>
            <w:noWrap/>
            <w:vAlign w:val="center"/>
            <w:hideMark/>
          </w:tcPr>
          <w:p w14:paraId="40F21EF7" w14:textId="77777777" w:rsidR="007C1B96" w:rsidRPr="007C1B96" w:rsidRDefault="007C1B96" w:rsidP="007233F6">
            <w:pPr>
              <w:pStyle w:val="NoSpacing"/>
              <w:jc w:val="center"/>
              <w:rPr>
                <w:rFonts w:ascii="Times New Roman" w:hAnsi="Times New Roman" w:cs="Times New Roman"/>
                <w:b/>
                <w:bCs/>
                <w:color w:val="000000" w:themeColor="text1"/>
                <w:sz w:val="24"/>
                <w:szCs w:val="24"/>
              </w:rPr>
            </w:pPr>
          </w:p>
        </w:tc>
        <w:tc>
          <w:tcPr>
            <w:tcW w:w="1452" w:type="dxa"/>
            <w:noWrap/>
            <w:vAlign w:val="center"/>
            <w:hideMark/>
          </w:tcPr>
          <w:p w14:paraId="239AD002" w14:textId="77777777" w:rsidR="007C1B96" w:rsidRPr="007C1B96" w:rsidRDefault="007C1B96" w:rsidP="007233F6">
            <w:pPr>
              <w:pStyle w:val="NoSpacing"/>
              <w:jc w:val="center"/>
              <w:rPr>
                <w:rFonts w:ascii="Times New Roman" w:hAnsi="Times New Roman" w:cs="Times New Roman"/>
                <w:b/>
                <w:bCs/>
                <w:color w:val="000000" w:themeColor="text1"/>
                <w:sz w:val="24"/>
                <w:szCs w:val="24"/>
              </w:rPr>
            </w:pPr>
            <w:r w:rsidRPr="007C1B96">
              <w:rPr>
                <w:rFonts w:ascii="Times New Roman" w:hAnsi="Times New Roman" w:cs="Times New Roman"/>
                <w:b/>
                <w:bCs/>
                <w:color w:val="000000" w:themeColor="text1"/>
                <w:sz w:val="24"/>
                <w:szCs w:val="24"/>
              </w:rPr>
              <w:t>Moderate</w:t>
            </w:r>
          </w:p>
        </w:tc>
      </w:tr>
      <w:tr w:rsidR="007C1B96" w:rsidRPr="007C1B96" w14:paraId="5F2667B1" w14:textId="77777777" w:rsidTr="007233F6">
        <w:trPr>
          <w:trHeight w:val="267"/>
        </w:trPr>
        <w:tc>
          <w:tcPr>
            <w:tcW w:w="720" w:type="dxa"/>
            <w:tcBorders>
              <w:bottom w:val="single" w:sz="4" w:space="0" w:color="auto"/>
            </w:tcBorders>
            <w:noWrap/>
            <w:vAlign w:val="center"/>
            <w:hideMark/>
          </w:tcPr>
          <w:p w14:paraId="52518E5B" w14:textId="77777777" w:rsidR="007C1B96" w:rsidRPr="007C1B96" w:rsidRDefault="007C1B96" w:rsidP="007233F6">
            <w:pPr>
              <w:pStyle w:val="NoSpacing"/>
              <w:jc w:val="center"/>
              <w:rPr>
                <w:rFonts w:ascii="Times New Roman" w:hAnsi="Times New Roman" w:cs="Times New Roman"/>
                <w:color w:val="000000" w:themeColor="text1"/>
                <w:sz w:val="24"/>
                <w:szCs w:val="24"/>
              </w:rPr>
            </w:pPr>
          </w:p>
        </w:tc>
        <w:tc>
          <w:tcPr>
            <w:tcW w:w="5010" w:type="dxa"/>
            <w:tcBorders>
              <w:bottom w:val="single" w:sz="4" w:space="0" w:color="auto"/>
            </w:tcBorders>
            <w:noWrap/>
            <w:vAlign w:val="center"/>
            <w:hideMark/>
          </w:tcPr>
          <w:p w14:paraId="1DCF1F1D" w14:textId="77777777" w:rsidR="007C1B96" w:rsidRPr="007C1B96" w:rsidRDefault="007C1B96" w:rsidP="007233F6">
            <w:pPr>
              <w:pStyle w:val="NoSpacing"/>
              <w:rPr>
                <w:rFonts w:ascii="Times New Roman" w:hAnsi="Times New Roman" w:cs="Times New Roman"/>
                <w:b/>
                <w:bCs/>
                <w:color w:val="000000" w:themeColor="text1"/>
                <w:sz w:val="24"/>
                <w:szCs w:val="24"/>
              </w:rPr>
            </w:pPr>
            <w:r w:rsidRPr="007C1B96">
              <w:rPr>
                <w:rFonts w:ascii="Times New Roman" w:hAnsi="Times New Roman" w:cs="Times New Roman"/>
                <w:b/>
                <w:bCs/>
                <w:color w:val="000000" w:themeColor="text1"/>
                <w:sz w:val="24"/>
                <w:szCs w:val="24"/>
              </w:rPr>
              <w:t xml:space="preserve">Aggregate Standard Deviation </w:t>
            </w:r>
          </w:p>
        </w:tc>
        <w:tc>
          <w:tcPr>
            <w:tcW w:w="684" w:type="dxa"/>
            <w:tcBorders>
              <w:bottom w:val="single" w:sz="4" w:space="0" w:color="auto"/>
            </w:tcBorders>
            <w:noWrap/>
            <w:vAlign w:val="center"/>
            <w:hideMark/>
          </w:tcPr>
          <w:p w14:paraId="2DE95E26" w14:textId="77777777" w:rsidR="007C1B96" w:rsidRPr="007C1B96" w:rsidRDefault="007C1B96" w:rsidP="007233F6">
            <w:pPr>
              <w:pStyle w:val="NoSpacing"/>
              <w:jc w:val="center"/>
              <w:rPr>
                <w:rFonts w:ascii="Times New Roman" w:hAnsi="Times New Roman" w:cs="Times New Roman"/>
                <w:b/>
                <w:bCs/>
                <w:color w:val="000000" w:themeColor="text1"/>
                <w:sz w:val="24"/>
                <w:szCs w:val="24"/>
              </w:rPr>
            </w:pPr>
          </w:p>
        </w:tc>
        <w:tc>
          <w:tcPr>
            <w:tcW w:w="684" w:type="dxa"/>
            <w:tcBorders>
              <w:bottom w:val="single" w:sz="4" w:space="0" w:color="auto"/>
            </w:tcBorders>
            <w:noWrap/>
            <w:vAlign w:val="center"/>
            <w:hideMark/>
          </w:tcPr>
          <w:p w14:paraId="6CCD9DA3" w14:textId="77777777" w:rsidR="007C1B96" w:rsidRPr="007C1B96" w:rsidRDefault="007C1B96" w:rsidP="007233F6">
            <w:pPr>
              <w:pStyle w:val="NoSpacing"/>
              <w:jc w:val="center"/>
              <w:rPr>
                <w:rFonts w:ascii="Times New Roman" w:hAnsi="Times New Roman" w:cs="Times New Roman"/>
                <w:b/>
                <w:bCs/>
                <w:color w:val="000000" w:themeColor="text1"/>
                <w:sz w:val="24"/>
                <w:szCs w:val="24"/>
              </w:rPr>
            </w:pPr>
            <w:r w:rsidRPr="007C1B96">
              <w:rPr>
                <w:rFonts w:ascii="Times New Roman" w:hAnsi="Times New Roman" w:cs="Times New Roman"/>
                <w:b/>
                <w:bCs/>
                <w:color w:val="000000" w:themeColor="text1"/>
                <w:sz w:val="24"/>
                <w:szCs w:val="24"/>
              </w:rPr>
              <w:t>1.23</w:t>
            </w:r>
          </w:p>
        </w:tc>
        <w:tc>
          <w:tcPr>
            <w:tcW w:w="1452" w:type="dxa"/>
            <w:tcBorders>
              <w:bottom w:val="single" w:sz="4" w:space="0" w:color="auto"/>
            </w:tcBorders>
            <w:noWrap/>
            <w:vAlign w:val="center"/>
            <w:hideMark/>
          </w:tcPr>
          <w:p w14:paraId="27255B25" w14:textId="77777777" w:rsidR="007C1B96" w:rsidRPr="007C1B96" w:rsidRDefault="007C1B96" w:rsidP="007233F6">
            <w:pPr>
              <w:pStyle w:val="NoSpacing"/>
              <w:jc w:val="center"/>
              <w:rPr>
                <w:rFonts w:ascii="Times New Roman" w:hAnsi="Times New Roman" w:cs="Times New Roman"/>
                <w:b/>
                <w:bCs/>
                <w:color w:val="000000" w:themeColor="text1"/>
                <w:sz w:val="24"/>
                <w:szCs w:val="24"/>
              </w:rPr>
            </w:pPr>
          </w:p>
        </w:tc>
      </w:tr>
    </w:tbl>
    <w:p w14:paraId="7DC8A2B6" w14:textId="77777777" w:rsidR="007C1B96" w:rsidRPr="005A68A8" w:rsidRDefault="007C1B96" w:rsidP="007C1B96">
      <w:pPr>
        <w:spacing w:after="240"/>
        <w:rPr>
          <w:color w:val="000000" w:themeColor="text1"/>
          <w:sz w:val="16"/>
          <w:szCs w:val="14"/>
        </w:rPr>
      </w:pPr>
      <w:r w:rsidRPr="005A68A8">
        <w:rPr>
          <w:b/>
          <w:bCs/>
          <w:color w:val="000000" w:themeColor="text1"/>
          <w:sz w:val="16"/>
          <w:szCs w:val="14"/>
        </w:rPr>
        <w:t>Legend:</w:t>
      </w:r>
      <w:r w:rsidRPr="005A68A8">
        <w:rPr>
          <w:color w:val="000000" w:themeColor="text1"/>
          <w:sz w:val="16"/>
          <w:szCs w:val="14"/>
        </w:rPr>
        <w:t xml:space="preserve"> 4.21-5.00 – Very High; 3.41-4.20 – High; 2.61-3.40 – Moderate; 1.81-2.60 – Low; 1.00-1.80 – Very Low </w:t>
      </w:r>
    </w:p>
    <w:p w14:paraId="0ACDD30C" w14:textId="77777777" w:rsidR="007C1B96" w:rsidRPr="007C1B96" w:rsidRDefault="007C1B96" w:rsidP="007C1B96">
      <w:pPr>
        <w:spacing w:before="240" w:after="240"/>
        <w:ind w:firstLine="720"/>
        <w:jc w:val="both"/>
        <w:rPr>
          <w:sz w:val="24"/>
          <w:szCs w:val="24"/>
          <w:lang w:val="en-PH"/>
        </w:rPr>
      </w:pPr>
      <w:r w:rsidRPr="007C1B96">
        <w:rPr>
          <w:sz w:val="24"/>
          <w:szCs w:val="24"/>
          <w:lang w:val="en-PH"/>
        </w:rPr>
        <w:t>Table 8 showed the level of perception of the respondents regarding their SHS welding competencies in relation to technical knowledge concerning welding. An average weighted mean score of 2.98 was observed in this study, showing that there is a moderate level of perception regarding the respondents’ level of SHS technical knowledge about welding. Indicators such as knowledge of metals, fabrication process, weld drawing, and application of theoretical knowledge received moderate scores. Moreover, high levels were obtained for work site safety and instructors’ support with a weighted mean of 3.59 and 3.74, respectively. This shows that the respondents have a great deal of awareness about work safety requirements as well as the significant role of their instructors in developing their skills. On the other hand, basic welding processes and contribution of SHS technical knowledge were rated low with a score of 2.48 and 2.52, respectively.</w:t>
      </w:r>
    </w:p>
    <w:p w14:paraId="15262FE8" w14:textId="77777777" w:rsidR="007C1B96" w:rsidRPr="007C1B96" w:rsidRDefault="007C1B96" w:rsidP="007C1B96">
      <w:pPr>
        <w:spacing w:before="240" w:after="240"/>
        <w:ind w:firstLine="720"/>
        <w:jc w:val="both"/>
        <w:rPr>
          <w:sz w:val="24"/>
          <w:szCs w:val="24"/>
          <w:lang w:val="en-PH"/>
        </w:rPr>
      </w:pPr>
      <w:r w:rsidRPr="007C1B96">
        <w:rPr>
          <w:sz w:val="24"/>
          <w:szCs w:val="24"/>
          <w:lang w:val="en-PH"/>
        </w:rPr>
        <w:t>Based on the results of this research, it can be established that the TVL students exhibit fairly adequate college readiness in terms of academic competence, technical expertise, and socio-emotional development. On the other hand, these learners have much room for improvement in terms of independent learning ability, adaptive technical expertise, and self-regulation. This finding reinforces the fact that the learners' average technical expertise is ascribed to appropriate preparation in the foundation which should be further built up at the college level in order to gain advanced technical expertise, hence the need for alignment between SHS and college in developing advanced technical expertise (Trinidad et al., 2025). Another finding that stands out in the study is that the inclusion of OSH in vocational training requires more than mere rule compliance. This is evident from the scores obtained in safety awareness and instructor assistance, implying that guided learning is a vital element in attaining technical proficiency. In contrast, differentiated instruction proved to be very effective in boosting the engagement levels among learners; nevertheless, it showed limited effects on the performance level of the students, which was consistent with the findings that indicated that the absence of practical experiences highlighted the effectiveness of differentiated instruction in improving students’ academic performance (Ramilo &amp; Ting, 2025).</w:t>
      </w:r>
    </w:p>
    <w:p w14:paraId="3862BAFF" w14:textId="750881C3" w:rsidR="003050C2" w:rsidRDefault="007C1B96" w:rsidP="007C1B96">
      <w:pPr>
        <w:spacing w:before="240" w:after="240"/>
        <w:ind w:firstLine="720"/>
        <w:jc w:val="both"/>
        <w:rPr>
          <w:sz w:val="24"/>
          <w:szCs w:val="24"/>
          <w:lang w:val="en-PH"/>
        </w:rPr>
      </w:pPr>
      <w:r w:rsidRPr="007C1B96">
        <w:rPr>
          <w:sz w:val="24"/>
          <w:szCs w:val="24"/>
          <w:lang w:val="en-PH"/>
        </w:rPr>
        <w:t>Overall, the data suggested that while respondents possessed a moderate level of technical knowledge from SHS, targeted instructional strategies in college were necessary to strengthen competencies and improve performance in welding programs.</w:t>
      </w:r>
    </w:p>
    <w:p w14:paraId="7FE7B3BB" w14:textId="4AC34C9B" w:rsidR="003050C2" w:rsidRPr="007C1B96" w:rsidRDefault="007C1B96" w:rsidP="002B7D4A">
      <w:pPr>
        <w:spacing w:before="240" w:after="240"/>
        <w:jc w:val="both"/>
        <w:rPr>
          <w:b/>
          <w:bCs/>
          <w:sz w:val="24"/>
          <w:szCs w:val="24"/>
          <w:lang w:val="en-PH"/>
        </w:rPr>
      </w:pPr>
      <w:r w:rsidRPr="007C1B96">
        <w:rPr>
          <w:b/>
          <w:bCs/>
          <w:sz w:val="24"/>
          <w:szCs w:val="24"/>
          <w:lang w:val="en-PH"/>
        </w:rPr>
        <w:t>Summary on the Respondents’ Perceived Level of SHS Welding Competencies</w:t>
      </w:r>
    </w:p>
    <w:p w14:paraId="6B615367" w14:textId="03ADC170" w:rsidR="007C1B96" w:rsidRDefault="007C1B96" w:rsidP="007C1B96">
      <w:pPr>
        <w:spacing w:before="240" w:after="240"/>
        <w:ind w:firstLine="720"/>
        <w:jc w:val="both"/>
        <w:rPr>
          <w:sz w:val="24"/>
          <w:szCs w:val="24"/>
          <w:lang w:val="en-PH"/>
        </w:rPr>
      </w:pPr>
      <w:r w:rsidRPr="007C1B96">
        <w:rPr>
          <w:sz w:val="24"/>
          <w:szCs w:val="24"/>
          <w:lang w:val="en-PH"/>
        </w:rPr>
        <w:t>The analysis of the respondents’ self-perception regarding their proficiency in welding skills at the Senior High School (SHS) level in terms of academic preparation, skill development, and knowledge regarding welding was given. The statistical measures used include the computation of weighted means, standard deviation, and description in words. This will help in understanding the self-perception of the respondents on their SHS welding competencies, as shown in Table 9.</w:t>
      </w:r>
    </w:p>
    <w:p w14:paraId="3F1211BE" w14:textId="396A77F2" w:rsidR="00F3687E" w:rsidRPr="00F3687E" w:rsidRDefault="00F3687E" w:rsidP="00F3687E">
      <w:pPr>
        <w:spacing w:before="240" w:after="240"/>
        <w:jc w:val="both"/>
        <w:rPr>
          <w:b/>
          <w:bCs/>
          <w:sz w:val="24"/>
          <w:szCs w:val="24"/>
          <w:lang w:val="en-PH"/>
        </w:rPr>
      </w:pPr>
      <w:r w:rsidRPr="00F3687E">
        <w:rPr>
          <w:b/>
          <w:bCs/>
          <w:sz w:val="24"/>
          <w:szCs w:val="24"/>
          <w:lang w:val="en-PH"/>
        </w:rPr>
        <w:t>Table 9</w:t>
      </w:r>
      <w:r w:rsidRPr="00F3687E">
        <w:rPr>
          <w:b/>
          <w:bCs/>
          <w:sz w:val="24"/>
          <w:szCs w:val="24"/>
          <w:lang w:val="en-PH"/>
        </w:rPr>
        <w:t xml:space="preserve">. </w:t>
      </w:r>
      <w:r w:rsidRPr="00F3687E">
        <w:rPr>
          <w:b/>
          <w:bCs/>
          <w:sz w:val="24"/>
          <w:szCs w:val="24"/>
          <w:lang w:val="en-PH"/>
        </w:rPr>
        <w:t>Summary on the Respondents’ Perceived Level</w:t>
      </w:r>
      <w:r w:rsidRPr="00F3687E">
        <w:rPr>
          <w:b/>
          <w:bCs/>
          <w:sz w:val="24"/>
          <w:szCs w:val="24"/>
          <w:lang w:val="en-PH"/>
        </w:rPr>
        <w:t xml:space="preserve"> </w:t>
      </w:r>
      <w:r w:rsidRPr="00F3687E">
        <w:rPr>
          <w:b/>
          <w:bCs/>
          <w:sz w:val="24"/>
          <w:szCs w:val="24"/>
          <w:lang w:val="en-PH"/>
        </w:rPr>
        <w:t>of SHS Welding Competencies</w:t>
      </w:r>
    </w:p>
    <w:tbl>
      <w:tblPr>
        <w:tblW w:w="8568" w:type="dxa"/>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4673"/>
        <w:gridCol w:w="709"/>
        <w:gridCol w:w="708"/>
        <w:gridCol w:w="2478"/>
      </w:tblGrid>
      <w:tr w:rsidR="00F3687E" w:rsidRPr="00F3687E" w14:paraId="2173617E" w14:textId="77777777" w:rsidTr="00F3687E">
        <w:trPr>
          <w:trHeight w:val="414"/>
        </w:trPr>
        <w:tc>
          <w:tcPr>
            <w:tcW w:w="4673" w:type="dxa"/>
            <w:tcBorders>
              <w:top w:val="single" w:sz="4" w:space="0" w:color="auto"/>
              <w:bottom w:val="single" w:sz="4" w:space="0" w:color="auto"/>
              <w:right w:val="nil"/>
            </w:tcBorders>
            <w:vAlign w:val="center"/>
          </w:tcPr>
          <w:p w14:paraId="178EC2B1" w14:textId="77777777" w:rsidR="00F3687E" w:rsidRPr="00F3687E" w:rsidRDefault="00F3687E" w:rsidP="00F3687E">
            <w:pPr>
              <w:pStyle w:val="NoSpacing"/>
              <w:spacing w:line="360" w:lineRule="auto"/>
              <w:jc w:val="center"/>
              <w:rPr>
                <w:rFonts w:ascii="Times New Roman" w:hAnsi="Times New Roman" w:cs="Times New Roman"/>
                <w:b/>
                <w:color w:val="000000" w:themeColor="text1"/>
                <w:sz w:val="24"/>
                <w:szCs w:val="24"/>
              </w:rPr>
            </w:pPr>
            <w:bookmarkStart w:id="0" w:name="_Hlk210839277"/>
            <w:r w:rsidRPr="00F3687E">
              <w:rPr>
                <w:rFonts w:ascii="Times New Roman" w:hAnsi="Times New Roman" w:cs="Times New Roman"/>
                <w:b/>
                <w:color w:val="000000" w:themeColor="text1"/>
                <w:sz w:val="24"/>
                <w:szCs w:val="24"/>
              </w:rPr>
              <w:t>Components</w:t>
            </w:r>
          </w:p>
        </w:tc>
        <w:tc>
          <w:tcPr>
            <w:tcW w:w="709" w:type="dxa"/>
            <w:tcBorders>
              <w:top w:val="single" w:sz="4" w:space="0" w:color="auto"/>
              <w:left w:val="nil"/>
              <w:bottom w:val="single" w:sz="4" w:space="0" w:color="auto"/>
              <w:right w:val="nil"/>
            </w:tcBorders>
            <w:vAlign w:val="center"/>
          </w:tcPr>
          <w:p w14:paraId="5ACFC994" w14:textId="77777777" w:rsidR="00F3687E" w:rsidRPr="00F3687E" w:rsidRDefault="00F3687E" w:rsidP="00F3687E">
            <w:pPr>
              <w:pStyle w:val="NoSpacing"/>
              <w:spacing w:line="360" w:lineRule="auto"/>
              <w:jc w:val="center"/>
              <w:rPr>
                <w:rFonts w:ascii="Times New Roman" w:hAnsi="Times New Roman" w:cs="Times New Roman"/>
                <w:b/>
                <w:color w:val="000000" w:themeColor="text1"/>
                <w:sz w:val="24"/>
                <w:szCs w:val="24"/>
              </w:rPr>
            </w:pPr>
            <w:r w:rsidRPr="00F3687E">
              <w:rPr>
                <w:rFonts w:ascii="Times New Roman" w:hAnsi="Times New Roman" w:cs="Times New Roman"/>
                <w:b/>
                <w:color w:val="000000" w:themeColor="text1"/>
                <w:sz w:val="24"/>
                <w:szCs w:val="24"/>
              </w:rPr>
              <w:t>WM</w:t>
            </w:r>
          </w:p>
        </w:tc>
        <w:tc>
          <w:tcPr>
            <w:tcW w:w="708" w:type="dxa"/>
            <w:tcBorders>
              <w:top w:val="single" w:sz="4" w:space="0" w:color="auto"/>
              <w:left w:val="nil"/>
              <w:bottom w:val="single" w:sz="4" w:space="0" w:color="auto"/>
              <w:right w:val="nil"/>
            </w:tcBorders>
            <w:vAlign w:val="center"/>
          </w:tcPr>
          <w:p w14:paraId="70752554" w14:textId="77777777" w:rsidR="00F3687E" w:rsidRPr="00F3687E" w:rsidRDefault="00F3687E" w:rsidP="00F3687E">
            <w:pPr>
              <w:pStyle w:val="NoSpacing"/>
              <w:spacing w:line="360" w:lineRule="auto"/>
              <w:jc w:val="center"/>
              <w:rPr>
                <w:rFonts w:ascii="Times New Roman" w:hAnsi="Times New Roman" w:cs="Times New Roman"/>
                <w:b/>
                <w:color w:val="000000" w:themeColor="text1"/>
                <w:sz w:val="24"/>
                <w:szCs w:val="24"/>
              </w:rPr>
            </w:pPr>
            <w:r w:rsidRPr="00F3687E">
              <w:rPr>
                <w:rFonts w:ascii="Times New Roman" w:hAnsi="Times New Roman" w:cs="Times New Roman"/>
                <w:b/>
                <w:color w:val="000000" w:themeColor="text1"/>
                <w:sz w:val="24"/>
                <w:szCs w:val="24"/>
              </w:rPr>
              <w:t>SD</w:t>
            </w:r>
          </w:p>
        </w:tc>
        <w:tc>
          <w:tcPr>
            <w:tcW w:w="2478" w:type="dxa"/>
            <w:tcBorders>
              <w:top w:val="single" w:sz="4" w:space="0" w:color="auto"/>
              <w:left w:val="nil"/>
              <w:bottom w:val="single" w:sz="4" w:space="0" w:color="auto"/>
            </w:tcBorders>
            <w:vAlign w:val="center"/>
          </w:tcPr>
          <w:p w14:paraId="5925FD4D" w14:textId="77777777" w:rsidR="00F3687E" w:rsidRPr="00F3687E" w:rsidRDefault="00F3687E" w:rsidP="00F3687E">
            <w:pPr>
              <w:pStyle w:val="NoSpacing"/>
              <w:spacing w:line="360" w:lineRule="auto"/>
              <w:jc w:val="center"/>
              <w:rPr>
                <w:rFonts w:ascii="Times New Roman" w:hAnsi="Times New Roman" w:cs="Times New Roman"/>
                <w:b/>
                <w:color w:val="000000" w:themeColor="text1"/>
                <w:sz w:val="24"/>
                <w:szCs w:val="24"/>
              </w:rPr>
            </w:pPr>
            <w:r w:rsidRPr="00F3687E">
              <w:rPr>
                <w:rFonts w:ascii="Times New Roman" w:hAnsi="Times New Roman" w:cs="Times New Roman"/>
                <w:b/>
                <w:color w:val="000000" w:themeColor="text1"/>
                <w:sz w:val="24"/>
                <w:szCs w:val="24"/>
              </w:rPr>
              <w:t>Verbal Description</w:t>
            </w:r>
          </w:p>
        </w:tc>
      </w:tr>
      <w:tr w:rsidR="00F3687E" w:rsidRPr="00F3687E" w14:paraId="1522F3BF" w14:textId="77777777" w:rsidTr="00F3687E">
        <w:trPr>
          <w:trHeight w:val="159"/>
        </w:trPr>
        <w:tc>
          <w:tcPr>
            <w:tcW w:w="4673" w:type="dxa"/>
            <w:tcBorders>
              <w:top w:val="single" w:sz="4" w:space="0" w:color="auto"/>
              <w:bottom w:val="nil"/>
              <w:right w:val="nil"/>
            </w:tcBorders>
            <w:vAlign w:val="center"/>
          </w:tcPr>
          <w:p w14:paraId="626FF58A"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rPr>
              <w:t>Academic Preparedness</w:t>
            </w:r>
          </w:p>
        </w:tc>
        <w:tc>
          <w:tcPr>
            <w:tcW w:w="709" w:type="dxa"/>
            <w:tcBorders>
              <w:top w:val="nil"/>
              <w:left w:val="nil"/>
              <w:bottom w:val="nil"/>
              <w:right w:val="nil"/>
            </w:tcBorders>
            <w:vAlign w:val="center"/>
          </w:tcPr>
          <w:p w14:paraId="7C2B9602"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rPr>
              <w:t>2.98</w:t>
            </w:r>
          </w:p>
        </w:tc>
        <w:tc>
          <w:tcPr>
            <w:tcW w:w="708" w:type="dxa"/>
            <w:tcBorders>
              <w:top w:val="nil"/>
              <w:left w:val="nil"/>
              <w:bottom w:val="nil"/>
              <w:right w:val="nil"/>
            </w:tcBorders>
            <w:vAlign w:val="center"/>
          </w:tcPr>
          <w:p w14:paraId="2F26B3A1"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rPr>
              <w:t>1.13</w:t>
            </w:r>
          </w:p>
        </w:tc>
        <w:tc>
          <w:tcPr>
            <w:tcW w:w="2478" w:type="dxa"/>
            <w:tcBorders>
              <w:top w:val="single" w:sz="4" w:space="0" w:color="auto"/>
              <w:left w:val="nil"/>
              <w:bottom w:val="nil"/>
            </w:tcBorders>
            <w:vAlign w:val="center"/>
          </w:tcPr>
          <w:p w14:paraId="7AC5E65A"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rPr>
              <w:t>Moderate</w:t>
            </w:r>
          </w:p>
        </w:tc>
      </w:tr>
      <w:tr w:rsidR="00F3687E" w:rsidRPr="00F3687E" w14:paraId="7F81B45C" w14:textId="77777777" w:rsidTr="00F3687E">
        <w:trPr>
          <w:trHeight w:val="193"/>
        </w:trPr>
        <w:tc>
          <w:tcPr>
            <w:tcW w:w="4673" w:type="dxa"/>
            <w:tcBorders>
              <w:top w:val="nil"/>
              <w:bottom w:val="nil"/>
              <w:right w:val="nil"/>
            </w:tcBorders>
            <w:vAlign w:val="center"/>
          </w:tcPr>
          <w:p w14:paraId="78EDB356"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lang w:val="en-PH"/>
              </w:rPr>
              <w:t>Practical Skills</w:t>
            </w:r>
          </w:p>
        </w:tc>
        <w:tc>
          <w:tcPr>
            <w:tcW w:w="709" w:type="dxa"/>
            <w:tcBorders>
              <w:top w:val="nil"/>
              <w:left w:val="nil"/>
              <w:bottom w:val="nil"/>
              <w:right w:val="nil"/>
            </w:tcBorders>
            <w:vAlign w:val="center"/>
          </w:tcPr>
          <w:p w14:paraId="5205D8FC"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rPr>
              <w:t>3.00</w:t>
            </w:r>
          </w:p>
        </w:tc>
        <w:tc>
          <w:tcPr>
            <w:tcW w:w="708" w:type="dxa"/>
            <w:tcBorders>
              <w:top w:val="nil"/>
              <w:left w:val="nil"/>
              <w:bottom w:val="nil"/>
              <w:right w:val="nil"/>
            </w:tcBorders>
            <w:vAlign w:val="center"/>
          </w:tcPr>
          <w:p w14:paraId="4562275E"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rPr>
              <w:t>1.19</w:t>
            </w:r>
          </w:p>
        </w:tc>
        <w:tc>
          <w:tcPr>
            <w:tcW w:w="2478" w:type="dxa"/>
            <w:tcBorders>
              <w:top w:val="nil"/>
              <w:left w:val="nil"/>
              <w:bottom w:val="nil"/>
            </w:tcBorders>
            <w:vAlign w:val="center"/>
          </w:tcPr>
          <w:p w14:paraId="618D2999"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rPr>
              <w:t>Moderate</w:t>
            </w:r>
          </w:p>
        </w:tc>
      </w:tr>
      <w:tr w:rsidR="00F3687E" w:rsidRPr="00F3687E" w14:paraId="3AC79913" w14:textId="77777777" w:rsidTr="00F3687E">
        <w:trPr>
          <w:trHeight w:val="79"/>
        </w:trPr>
        <w:tc>
          <w:tcPr>
            <w:tcW w:w="4673" w:type="dxa"/>
            <w:tcBorders>
              <w:top w:val="nil"/>
              <w:bottom w:val="nil"/>
              <w:right w:val="nil"/>
            </w:tcBorders>
            <w:vAlign w:val="center"/>
          </w:tcPr>
          <w:p w14:paraId="2DF12F33"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lang w:val="en-PH"/>
              </w:rPr>
              <w:t>Technical Knowledge Related to Welding</w:t>
            </w:r>
          </w:p>
        </w:tc>
        <w:tc>
          <w:tcPr>
            <w:tcW w:w="709" w:type="dxa"/>
            <w:tcBorders>
              <w:top w:val="nil"/>
              <w:left w:val="nil"/>
              <w:bottom w:val="nil"/>
              <w:right w:val="nil"/>
            </w:tcBorders>
            <w:vAlign w:val="center"/>
          </w:tcPr>
          <w:p w14:paraId="18AC8215"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rPr>
              <w:t>2.98</w:t>
            </w:r>
          </w:p>
        </w:tc>
        <w:tc>
          <w:tcPr>
            <w:tcW w:w="708" w:type="dxa"/>
            <w:tcBorders>
              <w:top w:val="nil"/>
              <w:left w:val="nil"/>
              <w:bottom w:val="nil"/>
              <w:right w:val="nil"/>
            </w:tcBorders>
            <w:vAlign w:val="center"/>
          </w:tcPr>
          <w:p w14:paraId="2D072F34"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rPr>
              <w:t>1.23</w:t>
            </w:r>
          </w:p>
        </w:tc>
        <w:tc>
          <w:tcPr>
            <w:tcW w:w="2478" w:type="dxa"/>
            <w:tcBorders>
              <w:top w:val="nil"/>
              <w:left w:val="nil"/>
              <w:bottom w:val="nil"/>
            </w:tcBorders>
            <w:vAlign w:val="center"/>
          </w:tcPr>
          <w:p w14:paraId="07AAB3FD"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rPr>
              <w:t>Moderate</w:t>
            </w:r>
          </w:p>
        </w:tc>
      </w:tr>
      <w:tr w:rsidR="00F3687E" w:rsidRPr="00F3687E" w14:paraId="0EE061CA" w14:textId="77777777" w:rsidTr="00F3687E">
        <w:trPr>
          <w:trHeight w:val="79"/>
        </w:trPr>
        <w:tc>
          <w:tcPr>
            <w:tcW w:w="4673" w:type="dxa"/>
            <w:tcBorders>
              <w:top w:val="nil"/>
              <w:bottom w:val="nil"/>
              <w:right w:val="nil"/>
            </w:tcBorders>
            <w:vAlign w:val="center"/>
          </w:tcPr>
          <w:p w14:paraId="16482F2B"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lang w:val="en-PH"/>
              </w:rPr>
            </w:pPr>
            <w:r w:rsidRPr="00F3687E">
              <w:rPr>
                <w:rFonts w:ascii="Times New Roman" w:hAnsi="Times New Roman" w:cs="Times New Roman"/>
                <w:b/>
                <w:bCs/>
                <w:color w:val="000000" w:themeColor="text1"/>
                <w:sz w:val="24"/>
                <w:szCs w:val="24"/>
              </w:rPr>
              <w:t>Grand Mean</w:t>
            </w:r>
          </w:p>
        </w:tc>
        <w:tc>
          <w:tcPr>
            <w:tcW w:w="709" w:type="dxa"/>
            <w:tcBorders>
              <w:top w:val="nil"/>
              <w:left w:val="nil"/>
              <w:bottom w:val="nil"/>
              <w:right w:val="nil"/>
            </w:tcBorders>
            <w:vAlign w:val="center"/>
          </w:tcPr>
          <w:p w14:paraId="6A46401D"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b/>
                <w:bCs/>
                <w:color w:val="000000" w:themeColor="text1"/>
                <w:sz w:val="24"/>
                <w:szCs w:val="24"/>
              </w:rPr>
              <w:t>2.99</w:t>
            </w:r>
          </w:p>
        </w:tc>
        <w:tc>
          <w:tcPr>
            <w:tcW w:w="708" w:type="dxa"/>
            <w:tcBorders>
              <w:top w:val="nil"/>
              <w:left w:val="nil"/>
              <w:bottom w:val="nil"/>
              <w:right w:val="nil"/>
            </w:tcBorders>
            <w:vAlign w:val="center"/>
          </w:tcPr>
          <w:p w14:paraId="24167AEB"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p>
        </w:tc>
        <w:tc>
          <w:tcPr>
            <w:tcW w:w="2478" w:type="dxa"/>
            <w:tcBorders>
              <w:top w:val="nil"/>
              <w:left w:val="nil"/>
              <w:bottom w:val="nil"/>
            </w:tcBorders>
            <w:vAlign w:val="center"/>
          </w:tcPr>
          <w:p w14:paraId="0D764FCF" w14:textId="77777777" w:rsidR="00F3687E" w:rsidRPr="00F3687E" w:rsidRDefault="00F3687E" w:rsidP="00F3687E">
            <w:pPr>
              <w:pStyle w:val="NoSpacing"/>
              <w:contextualSpacing/>
              <w:jc w:val="center"/>
              <w:rPr>
                <w:rFonts w:ascii="Times New Roman" w:hAnsi="Times New Roman" w:cs="Times New Roman"/>
                <w:b/>
                <w:bCs/>
                <w:color w:val="000000" w:themeColor="text1"/>
                <w:sz w:val="24"/>
                <w:szCs w:val="24"/>
              </w:rPr>
            </w:pPr>
            <w:r w:rsidRPr="00F3687E">
              <w:rPr>
                <w:rFonts w:ascii="Times New Roman" w:hAnsi="Times New Roman" w:cs="Times New Roman"/>
                <w:b/>
                <w:bCs/>
                <w:color w:val="000000" w:themeColor="text1"/>
                <w:sz w:val="24"/>
                <w:szCs w:val="24"/>
              </w:rPr>
              <w:t>Moderate</w:t>
            </w:r>
          </w:p>
        </w:tc>
      </w:tr>
      <w:tr w:rsidR="00F3687E" w:rsidRPr="00F3687E" w14:paraId="3A0E3084" w14:textId="77777777" w:rsidTr="00F3687E">
        <w:trPr>
          <w:trHeight w:val="79"/>
        </w:trPr>
        <w:tc>
          <w:tcPr>
            <w:tcW w:w="4673" w:type="dxa"/>
            <w:tcBorders>
              <w:top w:val="nil"/>
              <w:bottom w:val="single" w:sz="4" w:space="0" w:color="auto"/>
              <w:right w:val="nil"/>
            </w:tcBorders>
            <w:vAlign w:val="center"/>
          </w:tcPr>
          <w:p w14:paraId="51142E97"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lang w:val="en-PH"/>
              </w:rPr>
            </w:pPr>
            <w:r w:rsidRPr="00F3687E">
              <w:rPr>
                <w:rFonts w:ascii="Times New Roman" w:hAnsi="Times New Roman" w:cs="Times New Roman"/>
                <w:b/>
                <w:bCs/>
                <w:color w:val="000000" w:themeColor="text1"/>
                <w:sz w:val="24"/>
                <w:szCs w:val="24"/>
              </w:rPr>
              <w:t>Grand Standard Deviation</w:t>
            </w:r>
          </w:p>
        </w:tc>
        <w:tc>
          <w:tcPr>
            <w:tcW w:w="709" w:type="dxa"/>
            <w:tcBorders>
              <w:top w:val="nil"/>
              <w:left w:val="nil"/>
              <w:bottom w:val="single" w:sz="4" w:space="0" w:color="auto"/>
              <w:right w:val="nil"/>
            </w:tcBorders>
            <w:vAlign w:val="center"/>
          </w:tcPr>
          <w:p w14:paraId="0E4C3724"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p>
        </w:tc>
        <w:tc>
          <w:tcPr>
            <w:tcW w:w="708" w:type="dxa"/>
            <w:tcBorders>
              <w:top w:val="nil"/>
              <w:left w:val="nil"/>
              <w:bottom w:val="single" w:sz="4" w:space="0" w:color="auto"/>
              <w:right w:val="nil"/>
            </w:tcBorders>
            <w:vAlign w:val="center"/>
          </w:tcPr>
          <w:p w14:paraId="1CEC2337"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b/>
                <w:bCs/>
                <w:color w:val="000000" w:themeColor="text1"/>
                <w:sz w:val="24"/>
                <w:szCs w:val="24"/>
              </w:rPr>
              <w:t>1.18</w:t>
            </w:r>
          </w:p>
        </w:tc>
        <w:tc>
          <w:tcPr>
            <w:tcW w:w="2478" w:type="dxa"/>
            <w:tcBorders>
              <w:top w:val="nil"/>
              <w:left w:val="nil"/>
              <w:bottom w:val="single" w:sz="4" w:space="0" w:color="auto"/>
            </w:tcBorders>
            <w:vAlign w:val="center"/>
          </w:tcPr>
          <w:p w14:paraId="2A0FC53B"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p>
        </w:tc>
      </w:tr>
    </w:tbl>
    <w:bookmarkEnd w:id="0"/>
    <w:p w14:paraId="02112F5C" w14:textId="77777777" w:rsidR="00BD3BA8" w:rsidRPr="005A68A8" w:rsidRDefault="00BD3BA8" w:rsidP="00BD3BA8">
      <w:pPr>
        <w:spacing w:after="240"/>
        <w:rPr>
          <w:color w:val="000000" w:themeColor="text1"/>
          <w:sz w:val="16"/>
          <w:szCs w:val="14"/>
        </w:rPr>
      </w:pPr>
      <w:r w:rsidRPr="005A68A8">
        <w:rPr>
          <w:b/>
          <w:bCs/>
          <w:color w:val="000000" w:themeColor="text1"/>
          <w:sz w:val="16"/>
          <w:szCs w:val="14"/>
        </w:rPr>
        <w:t>Legend:</w:t>
      </w:r>
      <w:r w:rsidRPr="005A68A8">
        <w:rPr>
          <w:color w:val="000000" w:themeColor="text1"/>
          <w:sz w:val="16"/>
          <w:szCs w:val="14"/>
        </w:rPr>
        <w:t xml:space="preserve"> 4.21-5.00 – Very High; 3.41-4.20 – High; 2.61-3.40 – Moderate; 1.81-2.60 – Low; 1.00-1.80 – Very Low </w:t>
      </w:r>
    </w:p>
    <w:p w14:paraId="0C3D31EC" w14:textId="77777777" w:rsidR="00F3687E" w:rsidRPr="00F3687E" w:rsidRDefault="00F3687E" w:rsidP="00F3687E">
      <w:pPr>
        <w:spacing w:before="240" w:after="240"/>
        <w:ind w:firstLine="720"/>
        <w:jc w:val="both"/>
        <w:rPr>
          <w:sz w:val="24"/>
          <w:szCs w:val="24"/>
          <w:lang w:val="en-PH"/>
        </w:rPr>
      </w:pPr>
      <w:r w:rsidRPr="00F3687E">
        <w:rPr>
          <w:sz w:val="24"/>
          <w:szCs w:val="24"/>
          <w:lang w:val="en-PH"/>
        </w:rPr>
        <w:t>The respondents' perception regarding the extent of their SHS competencies in welding, according to three variables such as academic preparedness, practical skills, and technical knowledge associated with welding, was revealed in Table 9. Overall, the mean score of the respondents was 2.99, which falls under the "Moderate" category, suggesting that the respondents felt they were adequately prepared for high school welding but were not well-equipped. With regard to academic preparedness (WM = 2.98), the respondents claimed that they were fairly aware of welding from the knowledge that they have acquired in high school. On the other hand, concerning practical skills (WM = 3.00), the respondents felt that they were somewhat skillful in welding since they have prior experience with the process while they were still in high school. Finally, in relation to technical knowledge on welding (WM = 2.98), the respondents believed that they knew enough about metals, equipment, and welding techniques.</w:t>
      </w:r>
    </w:p>
    <w:p w14:paraId="22B0E33C" w14:textId="77777777" w:rsidR="00F3687E" w:rsidRPr="00F3687E" w:rsidRDefault="00F3687E" w:rsidP="00F3687E">
      <w:pPr>
        <w:spacing w:before="240" w:after="240"/>
        <w:ind w:firstLine="720"/>
        <w:jc w:val="both"/>
        <w:rPr>
          <w:sz w:val="24"/>
          <w:szCs w:val="24"/>
          <w:lang w:val="en-PH"/>
        </w:rPr>
      </w:pPr>
      <w:r w:rsidRPr="00F3687E">
        <w:rPr>
          <w:sz w:val="24"/>
          <w:szCs w:val="24"/>
          <w:lang w:val="en-PH"/>
        </w:rPr>
        <w:t>From the results obtained from the research, it is clear that senior high schools contribute significantly in equipping students for university in terms of adjustment academically, environmental, emotional, and organizational. Nevertheless, there are also aspects that can be identified in which the respondents lack competence. From the finding made from the research, one can observe that the respondents were well prepared academically due to the fact that they were adequately prepared in terms of possessing adequate theoretical knowledge and skills to undertake the welding courses at university (Samadi et al., 2024). According to the findings of Islam et al. (2022), effective learning needs the incorporation of the techniques of Head, Heart, and Hands so as to equip the learners to utilize their abilities and potential to the fullest. This conforms to the finding regarding the fact that the respondents' practical skills were moderate. Welding competency in terms of the industry can only be effectively acquired through mastery learning which entails industrial training, exercises and certification due to the fact that respondents possessed a relatively high level of technical knowledge of welding; hence, they possessed knowledge on the operation of the machinery, but required differentiated learning (</w:t>
      </w:r>
      <w:proofErr w:type="spellStart"/>
      <w:r w:rsidRPr="00F3687E">
        <w:rPr>
          <w:sz w:val="24"/>
          <w:szCs w:val="24"/>
          <w:lang w:val="en-PH"/>
        </w:rPr>
        <w:t>Djatmiko</w:t>
      </w:r>
      <w:proofErr w:type="spellEnd"/>
      <w:r w:rsidRPr="00F3687E">
        <w:rPr>
          <w:sz w:val="24"/>
          <w:szCs w:val="24"/>
          <w:lang w:val="en-PH"/>
        </w:rPr>
        <w:t xml:space="preserve"> &amp; </w:t>
      </w:r>
      <w:proofErr w:type="spellStart"/>
      <w:r w:rsidRPr="00F3687E">
        <w:rPr>
          <w:sz w:val="24"/>
          <w:szCs w:val="24"/>
          <w:lang w:val="en-PH"/>
        </w:rPr>
        <w:t>Marwanto</w:t>
      </w:r>
      <w:proofErr w:type="spellEnd"/>
      <w:r w:rsidRPr="00F3687E">
        <w:rPr>
          <w:sz w:val="24"/>
          <w:szCs w:val="24"/>
          <w:lang w:val="en-PH"/>
        </w:rPr>
        <w:t>, 2024).</w:t>
      </w:r>
    </w:p>
    <w:p w14:paraId="2CCC7631" w14:textId="770A269F" w:rsidR="003050C2" w:rsidRDefault="00F3687E" w:rsidP="00F3687E">
      <w:pPr>
        <w:spacing w:before="240" w:after="240"/>
        <w:ind w:firstLine="720"/>
        <w:jc w:val="both"/>
        <w:rPr>
          <w:sz w:val="24"/>
          <w:szCs w:val="24"/>
          <w:lang w:val="en-PH"/>
        </w:rPr>
      </w:pPr>
      <w:r w:rsidRPr="00F3687E">
        <w:rPr>
          <w:sz w:val="24"/>
          <w:szCs w:val="24"/>
          <w:lang w:val="en-PH"/>
        </w:rPr>
        <w:t>In conclusion, it can be stated that the results obtained indicate that the students possess average SHS welding competency. Although the students were able to learn some fundamentals in welding in Senior High School, they require additional training to prepare themselves for more difficult welding courses in college. This justifies the rationale for differentiated instruction in college in order to cater to the varying needs of the students, as presented in Table 9.</w:t>
      </w:r>
    </w:p>
    <w:p w14:paraId="1785197D" w14:textId="0C85A3C0" w:rsidR="003050C2" w:rsidRPr="00F3687E" w:rsidRDefault="00F3687E" w:rsidP="002B7D4A">
      <w:pPr>
        <w:spacing w:before="240" w:after="240"/>
        <w:jc w:val="both"/>
        <w:rPr>
          <w:b/>
          <w:bCs/>
          <w:sz w:val="24"/>
          <w:szCs w:val="24"/>
          <w:lang w:val="en-PH"/>
        </w:rPr>
      </w:pPr>
      <w:r w:rsidRPr="00F3687E">
        <w:rPr>
          <w:b/>
          <w:bCs/>
          <w:sz w:val="24"/>
          <w:szCs w:val="24"/>
          <w:lang w:val="en-PH"/>
        </w:rPr>
        <w:t>RESPONDENTS' LEVEL OF PERCEPTION ON DIFFERENTIATED INSTRUCTION PRACTICES EXPERIENCED IN THEIR COLLEGE WELDING CLASSES</w:t>
      </w:r>
    </w:p>
    <w:p w14:paraId="43C279BC" w14:textId="77777777" w:rsidR="00BD3BA8" w:rsidRDefault="00BD3BA8" w:rsidP="00BD3BA8">
      <w:pPr>
        <w:spacing w:before="240" w:after="240"/>
        <w:ind w:firstLine="720"/>
        <w:jc w:val="both"/>
        <w:rPr>
          <w:sz w:val="24"/>
          <w:szCs w:val="24"/>
          <w:lang w:val="en-PH"/>
        </w:rPr>
      </w:pPr>
      <w:r w:rsidRPr="00BD3BA8">
        <w:rPr>
          <w:sz w:val="24"/>
          <w:szCs w:val="24"/>
          <w:lang w:val="en-PH"/>
        </w:rPr>
        <w:t>The results indicate that when students are divided according to their learning styles, it enhances their performance, motivation, and self-regulation. It is in line with the differentiation approach for teaching technical-vocational subjects, where students can benefit from the knowledge they have gained previously.</w:t>
      </w:r>
    </w:p>
    <w:p w14:paraId="4428B4E1" w14:textId="6E3A0AF0" w:rsidR="003050C2" w:rsidRPr="00BD3BA8" w:rsidRDefault="00BD3BA8" w:rsidP="002B7D4A">
      <w:pPr>
        <w:spacing w:before="240" w:after="240"/>
        <w:jc w:val="both"/>
        <w:rPr>
          <w:b/>
          <w:bCs/>
          <w:sz w:val="24"/>
          <w:szCs w:val="24"/>
          <w:lang w:val="en-PH"/>
        </w:rPr>
      </w:pPr>
      <w:r w:rsidRPr="00BD3BA8">
        <w:rPr>
          <w:b/>
          <w:bCs/>
          <w:sz w:val="24"/>
          <w:szCs w:val="24"/>
          <w:lang w:val="en-PH"/>
        </w:rPr>
        <w:t>Content Differentiation</w:t>
      </w:r>
    </w:p>
    <w:p w14:paraId="339BE475" w14:textId="4D4B603B" w:rsidR="00BD3BA8" w:rsidRPr="00BD3BA8" w:rsidRDefault="00BD3BA8" w:rsidP="00BD3BA8">
      <w:pPr>
        <w:spacing w:before="240" w:after="240"/>
        <w:ind w:firstLine="720"/>
        <w:jc w:val="both"/>
        <w:rPr>
          <w:b/>
          <w:bCs/>
          <w:sz w:val="24"/>
          <w:szCs w:val="24"/>
          <w:lang w:val="en-PH"/>
        </w:rPr>
      </w:pPr>
      <w:r w:rsidRPr="00BD3BA8">
        <w:rPr>
          <w:sz w:val="24"/>
          <w:szCs w:val="24"/>
          <w:lang w:val="en-PH"/>
        </w:rPr>
        <w:t>The degree of perception of differentiated instruction strategies that the respondents had undergone in their welding courses in college concerning the differentiation of content was assessed. As demonstrated in Table 10, the analysis presented the weighted mean scores, standard deviations, and interpretations of the different variables, which indicate the students' perception of the modification of instructional materials, teaching styles, practical examples, and lessons in relation to differences in abilities.</w:t>
      </w:r>
    </w:p>
    <w:p w14:paraId="6BCCFC56" w14:textId="02ED1A7A" w:rsidR="00BD3BA8" w:rsidRPr="00BD3BA8" w:rsidRDefault="00BD3BA8" w:rsidP="00BD3BA8">
      <w:pPr>
        <w:spacing w:before="240" w:after="240"/>
        <w:jc w:val="both"/>
        <w:rPr>
          <w:b/>
          <w:bCs/>
          <w:sz w:val="24"/>
          <w:szCs w:val="24"/>
          <w:lang w:val="en-PH"/>
        </w:rPr>
      </w:pPr>
      <w:r w:rsidRPr="00BD3BA8">
        <w:rPr>
          <w:b/>
          <w:bCs/>
          <w:sz w:val="24"/>
          <w:szCs w:val="24"/>
          <w:lang w:val="en-PH"/>
        </w:rPr>
        <w:t>Table 10</w:t>
      </w:r>
      <w:r w:rsidRPr="00BD3BA8">
        <w:rPr>
          <w:b/>
          <w:bCs/>
          <w:sz w:val="24"/>
          <w:szCs w:val="24"/>
          <w:lang w:val="en-PH"/>
        </w:rPr>
        <w:t xml:space="preserve">. </w:t>
      </w:r>
      <w:r w:rsidRPr="00BD3BA8">
        <w:rPr>
          <w:b/>
          <w:bCs/>
          <w:sz w:val="24"/>
          <w:szCs w:val="24"/>
          <w:lang w:val="en-PH"/>
        </w:rPr>
        <w:t>Respondents' Level of Perception on Differentiated Instruction Practices Experienced in their College Welding Classes in Terms of Content Differentiation</w:t>
      </w:r>
    </w:p>
    <w:tbl>
      <w:tblPr>
        <w:tblW w:w="9198" w:type="dxa"/>
        <w:tblLook w:val="04A0" w:firstRow="1" w:lastRow="0" w:firstColumn="1" w:lastColumn="0" w:noHBand="0" w:noVBand="1"/>
      </w:tblPr>
      <w:tblGrid>
        <w:gridCol w:w="583"/>
        <w:gridCol w:w="4915"/>
        <w:gridCol w:w="698"/>
        <w:gridCol w:w="825"/>
        <w:gridCol w:w="2177"/>
      </w:tblGrid>
      <w:tr w:rsidR="00BD3BA8" w:rsidRPr="00BD3BA8" w14:paraId="68705E9A" w14:textId="77777777" w:rsidTr="00BD3BA8">
        <w:trPr>
          <w:trHeight w:val="241"/>
        </w:trPr>
        <w:tc>
          <w:tcPr>
            <w:tcW w:w="583" w:type="dxa"/>
            <w:tcBorders>
              <w:top w:val="single" w:sz="4" w:space="0" w:color="auto"/>
              <w:bottom w:val="single" w:sz="4" w:space="0" w:color="auto"/>
            </w:tcBorders>
            <w:noWrap/>
            <w:vAlign w:val="center"/>
            <w:hideMark/>
          </w:tcPr>
          <w:p w14:paraId="497B1DD8" w14:textId="77777777" w:rsidR="00BD3BA8" w:rsidRPr="00BD3BA8" w:rsidRDefault="00BD3BA8" w:rsidP="007233F6">
            <w:pPr>
              <w:jc w:val="center"/>
              <w:rPr>
                <w:b/>
                <w:bCs/>
                <w:color w:val="000000" w:themeColor="text1"/>
              </w:rPr>
            </w:pPr>
            <w:r w:rsidRPr="00BD3BA8">
              <w:rPr>
                <w:b/>
                <w:bCs/>
                <w:color w:val="000000" w:themeColor="text1"/>
              </w:rPr>
              <w:t>S/N</w:t>
            </w:r>
          </w:p>
        </w:tc>
        <w:tc>
          <w:tcPr>
            <w:tcW w:w="4915" w:type="dxa"/>
            <w:tcBorders>
              <w:top w:val="single" w:sz="4" w:space="0" w:color="auto"/>
              <w:bottom w:val="single" w:sz="4" w:space="0" w:color="auto"/>
            </w:tcBorders>
            <w:noWrap/>
            <w:vAlign w:val="center"/>
            <w:hideMark/>
          </w:tcPr>
          <w:p w14:paraId="1334B912" w14:textId="77777777" w:rsidR="00BD3BA8" w:rsidRPr="00BD3BA8" w:rsidRDefault="00BD3BA8" w:rsidP="007233F6">
            <w:pPr>
              <w:jc w:val="center"/>
              <w:rPr>
                <w:b/>
                <w:bCs/>
                <w:color w:val="000000" w:themeColor="text1"/>
              </w:rPr>
            </w:pPr>
            <w:r w:rsidRPr="00BD3BA8">
              <w:rPr>
                <w:b/>
                <w:bCs/>
                <w:color w:val="000000" w:themeColor="text1"/>
              </w:rPr>
              <w:t xml:space="preserve">INDICATORS </w:t>
            </w:r>
          </w:p>
        </w:tc>
        <w:tc>
          <w:tcPr>
            <w:tcW w:w="698" w:type="dxa"/>
            <w:tcBorders>
              <w:top w:val="single" w:sz="4" w:space="0" w:color="auto"/>
              <w:bottom w:val="single" w:sz="4" w:space="0" w:color="auto"/>
            </w:tcBorders>
            <w:noWrap/>
            <w:vAlign w:val="center"/>
            <w:hideMark/>
          </w:tcPr>
          <w:p w14:paraId="68AC9398" w14:textId="77777777" w:rsidR="00BD3BA8" w:rsidRPr="00BD3BA8" w:rsidRDefault="00BD3BA8" w:rsidP="007233F6">
            <w:pPr>
              <w:jc w:val="center"/>
              <w:rPr>
                <w:b/>
                <w:bCs/>
                <w:color w:val="000000" w:themeColor="text1"/>
              </w:rPr>
            </w:pPr>
            <w:r w:rsidRPr="00BD3BA8">
              <w:rPr>
                <w:b/>
                <w:bCs/>
                <w:color w:val="000000" w:themeColor="text1"/>
              </w:rPr>
              <w:t>WM</w:t>
            </w:r>
          </w:p>
        </w:tc>
        <w:tc>
          <w:tcPr>
            <w:tcW w:w="825" w:type="dxa"/>
            <w:tcBorders>
              <w:top w:val="single" w:sz="4" w:space="0" w:color="auto"/>
              <w:bottom w:val="single" w:sz="4" w:space="0" w:color="auto"/>
            </w:tcBorders>
            <w:noWrap/>
            <w:vAlign w:val="center"/>
            <w:hideMark/>
          </w:tcPr>
          <w:p w14:paraId="3FA726EE" w14:textId="77777777" w:rsidR="00BD3BA8" w:rsidRPr="00BD3BA8" w:rsidRDefault="00BD3BA8" w:rsidP="007233F6">
            <w:pPr>
              <w:jc w:val="center"/>
              <w:rPr>
                <w:b/>
                <w:bCs/>
                <w:color w:val="000000" w:themeColor="text1"/>
              </w:rPr>
            </w:pPr>
            <w:r w:rsidRPr="00BD3BA8">
              <w:rPr>
                <w:b/>
                <w:bCs/>
                <w:color w:val="000000" w:themeColor="text1"/>
              </w:rPr>
              <w:t>SD</w:t>
            </w:r>
          </w:p>
        </w:tc>
        <w:tc>
          <w:tcPr>
            <w:tcW w:w="2177" w:type="dxa"/>
            <w:tcBorders>
              <w:top w:val="single" w:sz="4" w:space="0" w:color="auto"/>
              <w:bottom w:val="single" w:sz="4" w:space="0" w:color="auto"/>
            </w:tcBorders>
            <w:noWrap/>
            <w:vAlign w:val="center"/>
            <w:hideMark/>
          </w:tcPr>
          <w:p w14:paraId="0A8D43D8" w14:textId="77777777" w:rsidR="00BD3BA8" w:rsidRPr="00BD3BA8" w:rsidRDefault="00BD3BA8" w:rsidP="007233F6">
            <w:pPr>
              <w:jc w:val="center"/>
              <w:rPr>
                <w:b/>
                <w:bCs/>
                <w:color w:val="000000" w:themeColor="text1"/>
              </w:rPr>
            </w:pPr>
            <w:r w:rsidRPr="00BD3BA8">
              <w:rPr>
                <w:b/>
                <w:bCs/>
                <w:color w:val="000000" w:themeColor="text1"/>
              </w:rPr>
              <w:t xml:space="preserve">Verbal Description </w:t>
            </w:r>
          </w:p>
        </w:tc>
      </w:tr>
      <w:tr w:rsidR="00BD3BA8" w:rsidRPr="00BD3BA8" w14:paraId="389C5290" w14:textId="77777777" w:rsidTr="00BD3BA8">
        <w:trPr>
          <w:trHeight w:val="231"/>
        </w:trPr>
        <w:tc>
          <w:tcPr>
            <w:tcW w:w="583" w:type="dxa"/>
            <w:tcBorders>
              <w:top w:val="single" w:sz="4" w:space="0" w:color="auto"/>
            </w:tcBorders>
            <w:noWrap/>
            <w:vAlign w:val="center"/>
            <w:hideMark/>
          </w:tcPr>
          <w:p w14:paraId="39EA2F6F"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w:t>
            </w:r>
          </w:p>
        </w:tc>
        <w:tc>
          <w:tcPr>
            <w:tcW w:w="4915" w:type="dxa"/>
            <w:tcBorders>
              <w:top w:val="single" w:sz="4" w:space="0" w:color="auto"/>
            </w:tcBorders>
            <w:noWrap/>
            <w:vAlign w:val="center"/>
            <w:hideMark/>
          </w:tcPr>
          <w:p w14:paraId="682A87F8"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xml:space="preserve">My instructor provides different learning materials suited to our skill levels. </w:t>
            </w:r>
          </w:p>
        </w:tc>
        <w:tc>
          <w:tcPr>
            <w:tcW w:w="698" w:type="dxa"/>
            <w:tcBorders>
              <w:top w:val="single" w:sz="4" w:space="0" w:color="auto"/>
            </w:tcBorders>
            <w:noWrap/>
            <w:vAlign w:val="center"/>
            <w:hideMark/>
          </w:tcPr>
          <w:p w14:paraId="42AF1C58"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3.80</w:t>
            </w:r>
          </w:p>
        </w:tc>
        <w:tc>
          <w:tcPr>
            <w:tcW w:w="825" w:type="dxa"/>
            <w:tcBorders>
              <w:top w:val="single" w:sz="4" w:space="0" w:color="auto"/>
            </w:tcBorders>
            <w:noWrap/>
            <w:vAlign w:val="center"/>
            <w:hideMark/>
          </w:tcPr>
          <w:p w14:paraId="52DF4159"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1.13</w:t>
            </w:r>
          </w:p>
        </w:tc>
        <w:tc>
          <w:tcPr>
            <w:tcW w:w="2177" w:type="dxa"/>
            <w:tcBorders>
              <w:top w:val="single" w:sz="4" w:space="0" w:color="auto"/>
            </w:tcBorders>
            <w:noWrap/>
            <w:vAlign w:val="center"/>
            <w:hideMark/>
          </w:tcPr>
          <w:p w14:paraId="59DAC3F4"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High</w:t>
            </w:r>
          </w:p>
        </w:tc>
      </w:tr>
      <w:tr w:rsidR="00BD3BA8" w:rsidRPr="00BD3BA8" w14:paraId="4FAB8079" w14:textId="77777777" w:rsidTr="00BD3BA8">
        <w:trPr>
          <w:trHeight w:val="231"/>
        </w:trPr>
        <w:tc>
          <w:tcPr>
            <w:tcW w:w="583" w:type="dxa"/>
            <w:noWrap/>
            <w:vAlign w:val="center"/>
            <w:hideMark/>
          </w:tcPr>
          <w:p w14:paraId="60183FDE"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2</w:t>
            </w:r>
          </w:p>
        </w:tc>
        <w:tc>
          <w:tcPr>
            <w:tcW w:w="4915" w:type="dxa"/>
            <w:noWrap/>
            <w:vAlign w:val="center"/>
            <w:hideMark/>
          </w:tcPr>
          <w:p w14:paraId="1D571486"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xml:space="preserve">Lessons are presented using varied teaching methods. </w:t>
            </w:r>
          </w:p>
        </w:tc>
        <w:tc>
          <w:tcPr>
            <w:tcW w:w="698" w:type="dxa"/>
            <w:noWrap/>
            <w:vAlign w:val="center"/>
            <w:hideMark/>
          </w:tcPr>
          <w:p w14:paraId="30BB093C"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3.78</w:t>
            </w:r>
          </w:p>
        </w:tc>
        <w:tc>
          <w:tcPr>
            <w:tcW w:w="825" w:type="dxa"/>
            <w:noWrap/>
            <w:vAlign w:val="center"/>
            <w:hideMark/>
          </w:tcPr>
          <w:p w14:paraId="125E1140"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1.03</w:t>
            </w:r>
          </w:p>
        </w:tc>
        <w:tc>
          <w:tcPr>
            <w:tcW w:w="2177" w:type="dxa"/>
            <w:noWrap/>
            <w:vAlign w:val="center"/>
            <w:hideMark/>
          </w:tcPr>
          <w:p w14:paraId="3DC87E8B"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High</w:t>
            </w:r>
          </w:p>
        </w:tc>
      </w:tr>
      <w:tr w:rsidR="00BD3BA8" w:rsidRPr="00BD3BA8" w14:paraId="05FC26F1" w14:textId="77777777" w:rsidTr="00BD3BA8">
        <w:trPr>
          <w:trHeight w:val="231"/>
        </w:trPr>
        <w:tc>
          <w:tcPr>
            <w:tcW w:w="583" w:type="dxa"/>
            <w:noWrap/>
            <w:vAlign w:val="center"/>
            <w:hideMark/>
          </w:tcPr>
          <w:p w14:paraId="016C83F8"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w:t>
            </w:r>
          </w:p>
        </w:tc>
        <w:tc>
          <w:tcPr>
            <w:tcW w:w="4915" w:type="dxa"/>
            <w:noWrap/>
            <w:vAlign w:val="center"/>
            <w:hideMark/>
          </w:tcPr>
          <w:p w14:paraId="3B0F64AF"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xml:space="preserve">My instructor explains topics using examples related to real welding situations. </w:t>
            </w:r>
          </w:p>
        </w:tc>
        <w:tc>
          <w:tcPr>
            <w:tcW w:w="698" w:type="dxa"/>
            <w:noWrap/>
            <w:vAlign w:val="center"/>
            <w:hideMark/>
          </w:tcPr>
          <w:p w14:paraId="58967221"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3.93</w:t>
            </w:r>
          </w:p>
        </w:tc>
        <w:tc>
          <w:tcPr>
            <w:tcW w:w="825" w:type="dxa"/>
            <w:noWrap/>
            <w:vAlign w:val="center"/>
            <w:hideMark/>
          </w:tcPr>
          <w:p w14:paraId="1EA53827"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1.18</w:t>
            </w:r>
          </w:p>
        </w:tc>
        <w:tc>
          <w:tcPr>
            <w:tcW w:w="2177" w:type="dxa"/>
            <w:noWrap/>
            <w:vAlign w:val="center"/>
            <w:hideMark/>
          </w:tcPr>
          <w:p w14:paraId="4367F3AE"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High</w:t>
            </w:r>
          </w:p>
        </w:tc>
      </w:tr>
      <w:tr w:rsidR="00BD3BA8" w:rsidRPr="00BD3BA8" w14:paraId="5D96BC60" w14:textId="77777777" w:rsidTr="00BD3BA8">
        <w:trPr>
          <w:trHeight w:val="231"/>
        </w:trPr>
        <w:tc>
          <w:tcPr>
            <w:tcW w:w="583" w:type="dxa"/>
            <w:noWrap/>
            <w:vAlign w:val="center"/>
            <w:hideMark/>
          </w:tcPr>
          <w:p w14:paraId="356E9F07"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4</w:t>
            </w:r>
          </w:p>
        </w:tc>
        <w:tc>
          <w:tcPr>
            <w:tcW w:w="4915" w:type="dxa"/>
            <w:noWrap/>
            <w:vAlign w:val="center"/>
            <w:hideMark/>
          </w:tcPr>
          <w:p w14:paraId="6FD7A136"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xml:space="preserve">I receive additional materials when I find a topic difficult. </w:t>
            </w:r>
          </w:p>
        </w:tc>
        <w:tc>
          <w:tcPr>
            <w:tcW w:w="698" w:type="dxa"/>
            <w:noWrap/>
            <w:vAlign w:val="center"/>
            <w:hideMark/>
          </w:tcPr>
          <w:p w14:paraId="3E50945F"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3.52</w:t>
            </w:r>
          </w:p>
        </w:tc>
        <w:tc>
          <w:tcPr>
            <w:tcW w:w="825" w:type="dxa"/>
            <w:noWrap/>
            <w:vAlign w:val="center"/>
            <w:hideMark/>
          </w:tcPr>
          <w:p w14:paraId="3458CED0"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1.17</w:t>
            </w:r>
          </w:p>
        </w:tc>
        <w:tc>
          <w:tcPr>
            <w:tcW w:w="2177" w:type="dxa"/>
            <w:noWrap/>
            <w:vAlign w:val="center"/>
            <w:hideMark/>
          </w:tcPr>
          <w:p w14:paraId="4E02D448"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High</w:t>
            </w:r>
          </w:p>
        </w:tc>
      </w:tr>
      <w:tr w:rsidR="00BD3BA8" w:rsidRPr="00BD3BA8" w14:paraId="7CDC1A5C" w14:textId="77777777" w:rsidTr="00BD3BA8">
        <w:trPr>
          <w:trHeight w:val="231"/>
        </w:trPr>
        <w:tc>
          <w:tcPr>
            <w:tcW w:w="583" w:type="dxa"/>
            <w:noWrap/>
            <w:vAlign w:val="center"/>
            <w:hideMark/>
          </w:tcPr>
          <w:p w14:paraId="7AC59021"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5</w:t>
            </w:r>
          </w:p>
        </w:tc>
        <w:tc>
          <w:tcPr>
            <w:tcW w:w="4915" w:type="dxa"/>
            <w:noWrap/>
            <w:vAlign w:val="center"/>
            <w:hideMark/>
          </w:tcPr>
          <w:p w14:paraId="0837395A"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xml:space="preserve">My instructor adjusts lessons to help both advance and struggling students. </w:t>
            </w:r>
          </w:p>
        </w:tc>
        <w:tc>
          <w:tcPr>
            <w:tcW w:w="698" w:type="dxa"/>
            <w:noWrap/>
            <w:vAlign w:val="center"/>
            <w:hideMark/>
          </w:tcPr>
          <w:p w14:paraId="499FF2CF"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3.87</w:t>
            </w:r>
          </w:p>
        </w:tc>
        <w:tc>
          <w:tcPr>
            <w:tcW w:w="825" w:type="dxa"/>
            <w:noWrap/>
            <w:vAlign w:val="center"/>
            <w:hideMark/>
          </w:tcPr>
          <w:p w14:paraId="1832C31F"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1.22</w:t>
            </w:r>
          </w:p>
        </w:tc>
        <w:tc>
          <w:tcPr>
            <w:tcW w:w="2177" w:type="dxa"/>
            <w:noWrap/>
            <w:vAlign w:val="center"/>
            <w:hideMark/>
          </w:tcPr>
          <w:p w14:paraId="6E744085"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High</w:t>
            </w:r>
          </w:p>
        </w:tc>
      </w:tr>
      <w:tr w:rsidR="00BD3BA8" w:rsidRPr="00BD3BA8" w14:paraId="2CD816DE" w14:textId="77777777" w:rsidTr="00BD3BA8">
        <w:trPr>
          <w:trHeight w:val="241"/>
        </w:trPr>
        <w:tc>
          <w:tcPr>
            <w:tcW w:w="583" w:type="dxa"/>
            <w:noWrap/>
            <w:vAlign w:val="center"/>
            <w:hideMark/>
          </w:tcPr>
          <w:p w14:paraId="22EC38EE" w14:textId="77777777" w:rsidR="00BD3BA8" w:rsidRPr="00BD3BA8" w:rsidRDefault="00BD3BA8" w:rsidP="007233F6">
            <w:pPr>
              <w:pStyle w:val="NoSpacing"/>
              <w:jc w:val="center"/>
              <w:rPr>
                <w:rFonts w:ascii="Times New Roman" w:hAnsi="Times New Roman" w:cs="Times New Roman"/>
                <w:color w:val="000000" w:themeColor="text1"/>
                <w:sz w:val="24"/>
                <w:szCs w:val="24"/>
              </w:rPr>
            </w:pPr>
          </w:p>
        </w:tc>
        <w:tc>
          <w:tcPr>
            <w:tcW w:w="4915" w:type="dxa"/>
            <w:noWrap/>
            <w:vAlign w:val="center"/>
            <w:hideMark/>
          </w:tcPr>
          <w:p w14:paraId="5B50BF87"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r w:rsidRPr="00BD3BA8">
              <w:rPr>
                <w:rFonts w:ascii="Times New Roman" w:hAnsi="Times New Roman" w:cs="Times New Roman"/>
                <w:b/>
                <w:bCs/>
                <w:color w:val="000000" w:themeColor="text1"/>
                <w:sz w:val="24"/>
                <w:szCs w:val="24"/>
              </w:rPr>
              <w:t>Aggregate Weighted Mean</w:t>
            </w:r>
          </w:p>
        </w:tc>
        <w:tc>
          <w:tcPr>
            <w:tcW w:w="698" w:type="dxa"/>
            <w:noWrap/>
            <w:vAlign w:val="center"/>
            <w:hideMark/>
          </w:tcPr>
          <w:p w14:paraId="43D0794E"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r w:rsidRPr="00BD3BA8">
              <w:rPr>
                <w:rFonts w:ascii="Times New Roman" w:hAnsi="Times New Roman" w:cs="Times New Roman"/>
                <w:b/>
                <w:bCs/>
                <w:color w:val="000000" w:themeColor="text1"/>
                <w:sz w:val="24"/>
                <w:szCs w:val="24"/>
              </w:rPr>
              <w:t>3.78</w:t>
            </w:r>
          </w:p>
        </w:tc>
        <w:tc>
          <w:tcPr>
            <w:tcW w:w="825" w:type="dxa"/>
            <w:noWrap/>
            <w:vAlign w:val="center"/>
            <w:hideMark/>
          </w:tcPr>
          <w:p w14:paraId="2FCA8851"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p>
        </w:tc>
        <w:tc>
          <w:tcPr>
            <w:tcW w:w="2177" w:type="dxa"/>
            <w:noWrap/>
            <w:vAlign w:val="center"/>
            <w:hideMark/>
          </w:tcPr>
          <w:p w14:paraId="07DC633F"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r w:rsidRPr="00BD3BA8">
              <w:rPr>
                <w:rFonts w:ascii="Times New Roman" w:hAnsi="Times New Roman" w:cs="Times New Roman"/>
                <w:b/>
                <w:bCs/>
                <w:color w:val="000000" w:themeColor="text1"/>
                <w:sz w:val="24"/>
                <w:szCs w:val="24"/>
              </w:rPr>
              <w:t>High</w:t>
            </w:r>
          </w:p>
        </w:tc>
      </w:tr>
      <w:tr w:rsidR="00BD3BA8" w:rsidRPr="00BD3BA8" w14:paraId="0F2FF528" w14:textId="77777777" w:rsidTr="00BD3BA8">
        <w:trPr>
          <w:trHeight w:val="241"/>
        </w:trPr>
        <w:tc>
          <w:tcPr>
            <w:tcW w:w="583" w:type="dxa"/>
            <w:tcBorders>
              <w:bottom w:val="single" w:sz="4" w:space="0" w:color="auto"/>
            </w:tcBorders>
            <w:noWrap/>
            <w:vAlign w:val="center"/>
            <w:hideMark/>
          </w:tcPr>
          <w:p w14:paraId="78F21837" w14:textId="77777777" w:rsidR="00BD3BA8" w:rsidRPr="00BD3BA8" w:rsidRDefault="00BD3BA8" w:rsidP="007233F6">
            <w:pPr>
              <w:pStyle w:val="NoSpacing"/>
              <w:jc w:val="center"/>
              <w:rPr>
                <w:rFonts w:ascii="Times New Roman" w:hAnsi="Times New Roman" w:cs="Times New Roman"/>
                <w:color w:val="000000" w:themeColor="text1"/>
                <w:sz w:val="24"/>
                <w:szCs w:val="24"/>
              </w:rPr>
            </w:pPr>
          </w:p>
        </w:tc>
        <w:tc>
          <w:tcPr>
            <w:tcW w:w="4915" w:type="dxa"/>
            <w:tcBorders>
              <w:bottom w:val="single" w:sz="4" w:space="0" w:color="auto"/>
            </w:tcBorders>
            <w:noWrap/>
            <w:vAlign w:val="center"/>
            <w:hideMark/>
          </w:tcPr>
          <w:p w14:paraId="7A97E073"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r w:rsidRPr="00BD3BA8">
              <w:rPr>
                <w:rFonts w:ascii="Times New Roman" w:hAnsi="Times New Roman" w:cs="Times New Roman"/>
                <w:b/>
                <w:bCs/>
                <w:color w:val="000000" w:themeColor="text1"/>
                <w:sz w:val="24"/>
                <w:szCs w:val="24"/>
              </w:rPr>
              <w:t>Aggregate Standard Deviation</w:t>
            </w:r>
          </w:p>
        </w:tc>
        <w:tc>
          <w:tcPr>
            <w:tcW w:w="698" w:type="dxa"/>
            <w:tcBorders>
              <w:bottom w:val="single" w:sz="4" w:space="0" w:color="auto"/>
            </w:tcBorders>
            <w:noWrap/>
            <w:vAlign w:val="center"/>
            <w:hideMark/>
          </w:tcPr>
          <w:p w14:paraId="2F8AA054"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p>
        </w:tc>
        <w:tc>
          <w:tcPr>
            <w:tcW w:w="825" w:type="dxa"/>
            <w:tcBorders>
              <w:bottom w:val="single" w:sz="4" w:space="0" w:color="auto"/>
            </w:tcBorders>
            <w:noWrap/>
            <w:vAlign w:val="center"/>
            <w:hideMark/>
          </w:tcPr>
          <w:p w14:paraId="7435766D"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r w:rsidRPr="00BD3BA8">
              <w:rPr>
                <w:rFonts w:ascii="Times New Roman" w:hAnsi="Times New Roman" w:cs="Times New Roman"/>
                <w:b/>
                <w:bCs/>
                <w:color w:val="000000" w:themeColor="text1"/>
                <w:sz w:val="24"/>
                <w:szCs w:val="24"/>
              </w:rPr>
              <w:t>1.15</w:t>
            </w:r>
          </w:p>
        </w:tc>
        <w:tc>
          <w:tcPr>
            <w:tcW w:w="2177" w:type="dxa"/>
            <w:tcBorders>
              <w:bottom w:val="single" w:sz="4" w:space="0" w:color="auto"/>
            </w:tcBorders>
            <w:noWrap/>
            <w:vAlign w:val="center"/>
            <w:hideMark/>
          </w:tcPr>
          <w:p w14:paraId="420D317A"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p>
        </w:tc>
      </w:tr>
    </w:tbl>
    <w:p w14:paraId="4FF10FEE" w14:textId="77777777" w:rsidR="00BD3BA8" w:rsidRPr="005A68A8" w:rsidRDefault="00BD3BA8" w:rsidP="00BD3BA8">
      <w:pPr>
        <w:spacing w:after="240"/>
        <w:rPr>
          <w:color w:val="000000" w:themeColor="text1"/>
          <w:sz w:val="16"/>
          <w:szCs w:val="14"/>
        </w:rPr>
      </w:pPr>
      <w:r w:rsidRPr="005A68A8">
        <w:rPr>
          <w:b/>
          <w:bCs/>
          <w:color w:val="000000" w:themeColor="text1"/>
          <w:sz w:val="16"/>
          <w:szCs w:val="14"/>
        </w:rPr>
        <w:t>Legend:</w:t>
      </w:r>
      <w:r w:rsidRPr="005A68A8">
        <w:rPr>
          <w:color w:val="000000" w:themeColor="text1"/>
          <w:sz w:val="16"/>
          <w:szCs w:val="14"/>
        </w:rPr>
        <w:t xml:space="preserve"> 4.21-5.00 – Very High; 3.41-4.20 – High; 2.61-3.40 – Moderate; 1.81-2.60 – Low; 1.00-1.80 – Very Low </w:t>
      </w:r>
    </w:p>
    <w:p w14:paraId="573188F0" w14:textId="77777777" w:rsidR="00BD3BA8" w:rsidRPr="00BD3BA8" w:rsidRDefault="00BD3BA8" w:rsidP="00BD3BA8">
      <w:pPr>
        <w:spacing w:before="240" w:after="240"/>
        <w:ind w:firstLine="720"/>
        <w:jc w:val="both"/>
        <w:rPr>
          <w:sz w:val="24"/>
          <w:szCs w:val="24"/>
          <w:lang w:val="en-PH"/>
        </w:rPr>
      </w:pPr>
      <w:r w:rsidRPr="00BD3BA8">
        <w:rPr>
          <w:sz w:val="24"/>
          <w:szCs w:val="24"/>
          <w:lang w:val="en-PH"/>
        </w:rPr>
        <w:t>On the other hand, Table 10 displayed the level of perception on differentiated instruction practices in relation to content differentiation within the college welding courses. The computed weighted mean score was 3.78. This result revealed a “High” level of perception in terms of differentiated instruction in relation to content differentiation since the respondents recognized the fact that the contents of learning were differentiated based on the abilities of the learners. It is also clear from the results obtained that the instructors in the college welding course provided learning materials according to varying abilities of the learners and also differentiated the lessons for both advanced learners and weak learners, which agrees with the findings of (</w:t>
      </w:r>
      <w:proofErr w:type="spellStart"/>
      <w:r w:rsidRPr="00BD3BA8">
        <w:rPr>
          <w:sz w:val="24"/>
          <w:szCs w:val="24"/>
          <w:lang w:val="en-PH"/>
        </w:rPr>
        <w:t>Sitorus</w:t>
      </w:r>
      <w:proofErr w:type="spellEnd"/>
      <w:r w:rsidRPr="00BD3BA8">
        <w:rPr>
          <w:sz w:val="24"/>
          <w:szCs w:val="24"/>
          <w:lang w:val="en-PH"/>
        </w:rPr>
        <w:t xml:space="preserve"> et al., 2022) that differentiated learning techniques have positive impacts on the academic achievements of the students. The result indicates that providing differentiated content improves comprehension and learning among students through the incorporation of varied learning activities and real-life examples. According to the research carried out, the use of scaffolded instructions helps students develop self-reliance, while offering additional teaching materials for tough concepts also makes the learning process easier, which confirms the provisions made in (Siregar, 2024).</w:t>
      </w:r>
    </w:p>
    <w:p w14:paraId="225F52A7" w14:textId="77777777" w:rsidR="00BD3BA8" w:rsidRPr="00BD3BA8" w:rsidRDefault="00BD3BA8" w:rsidP="00BD3BA8">
      <w:pPr>
        <w:spacing w:before="240" w:after="240"/>
        <w:ind w:firstLine="720"/>
        <w:jc w:val="both"/>
        <w:rPr>
          <w:sz w:val="24"/>
          <w:szCs w:val="24"/>
          <w:lang w:val="en-PH"/>
        </w:rPr>
      </w:pPr>
      <w:r w:rsidRPr="00BD3BA8">
        <w:rPr>
          <w:sz w:val="24"/>
          <w:szCs w:val="24"/>
          <w:lang w:val="en-PH"/>
        </w:rPr>
        <w:t xml:space="preserve">The high level of content differentiation strongly suggests that changing the material that is taught in the welding classes is crucial for overcoming the differences in competence. Specifically, the above finding clearly illustrates that the process of tailoring learning content to students' pre-existing level of knowledge and skills contributes to enhancing students' ability to comprehend lessons and cope with course assignments successfully. Moreover, instructors seem to be quite successful at selecting and organizing content according to learners' competences so that weaker learners do not get confused and stronger ones do not find the content boring. The above factors contribute to making the teaching/learning experience more personalized. </w:t>
      </w:r>
    </w:p>
    <w:p w14:paraId="3F56587E" w14:textId="3DF2A6FC" w:rsidR="003050C2" w:rsidRDefault="00BD3BA8" w:rsidP="00BD3BA8">
      <w:pPr>
        <w:spacing w:before="240" w:after="240"/>
        <w:ind w:firstLine="720"/>
        <w:jc w:val="both"/>
        <w:rPr>
          <w:sz w:val="24"/>
          <w:szCs w:val="24"/>
          <w:lang w:val="en-PH"/>
        </w:rPr>
      </w:pPr>
      <w:r w:rsidRPr="00BD3BA8">
        <w:rPr>
          <w:sz w:val="24"/>
          <w:szCs w:val="24"/>
          <w:lang w:val="en-PH"/>
        </w:rPr>
        <w:t>Overall, the practice of content differentiation fosters the creation of an inclusive learning setting where all types of learners feel confident and actively engage in the educational process.</w:t>
      </w:r>
    </w:p>
    <w:p w14:paraId="4D0261C7" w14:textId="570B107A" w:rsidR="003050C2" w:rsidRPr="00BD3BA8" w:rsidRDefault="00BD3BA8" w:rsidP="002B7D4A">
      <w:pPr>
        <w:spacing w:before="240" w:after="240"/>
        <w:jc w:val="both"/>
        <w:rPr>
          <w:b/>
          <w:bCs/>
          <w:sz w:val="24"/>
          <w:szCs w:val="24"/>
          <w:lang w:val="en-PH"/>
        </w:rPr>
      </w:pPr>
      <w:r w:rsidRPr="00BD3BA8">
        <w:rPr>
          <w:b/>
          <w:bCs/>
          <w:sz w:val="24"/>
          <w:szCs w:val="24"/>
          <w:lang w:val="en-PH"/>
        </w:rPr>
        <w:t>Process Differentiation</w:t>
      </w:r>
    </w:p>
    <w:p w14:paraId="05F6ABB1" w14:textId="648B6C36" w:rsidR="00BD3BA8" w:rsidRDefault="00BD3BA8" w:rsidP="00BD3BA8">
      <w:pPr>
        <w:spacing w:before="240" w:after="240"/>
        <w:ind w:firstLine="720"/>
        <w:jc w:val="both"/>
        <w:rPr>
          <w:sz w:val="24"/>
          <w:szCs w:val="24"/>
          <w:lang w:val="en-PH"/>
        </w:rPr>
      </w:pPr>
      <w:r w:rsidRPr="00BD3BA8">
        <w:rPr>
          <w:sz w:val="24"/>
          <w:szCs w:val="24"/>
          <w:lang w:val="en-PH"/>
        </w:rPr>
        <w:t>This study sought to determine the perception of the respondents regarding the application of differentiated instruction strategies within their college-level welding classes, particularly in relation to process differentiation. This entails assessing the ways in which the teachers modify the delivery and execution of lessons and learning activities within class. For the analysis of the collected data, the weighted mean and standard deviation were calculated after which interpretations of each construct were made. The findings represent the ways in which the instruction strategies have been adjusted based on the pace of teaching, grouping of the learners, practice sessions, feedback, and demonstration to fit the diverse learning styles of the students. Process differentiation is crucial for welding lessons, since the students have varying skills and levels of expertise.</w:t>
      </w:r>
    </w:p>
    <w:p w14:paraId="2C190CF7" w14:textId="56546366" w:rsidR="00BD3BA8" w:rsidRPr="00BD3BA8" w:rsidRDefault="00BD3BA8" w:rsidP="00BD3BA8">
      <w:pPr>
        <w:spacing w:before="240" w:after="240"/>
        <w:jc w:val="both"/>
        <w:rPr>
          <w:b/>
          <w:bCs/>
          <w:sz w:val="24"/>
          <w:szCs w:val="24"/>
          <w:lang w:val="en-PH"/>
        </w:rPr>
      </w:pPr>
      <w:r w:rsidRPr="00BD3BA8">
        <w:rPr>
          <w:b/>
          <w:bCs/>
          <w:sz w:val="24"/>
          <w:szCs w:val="24"/>
          <w:lang w:val="en-PH"/>
        </w:rPr>
        <w:t>Table 11</w:t>
      </w:r>
      <w:r w:rsidRPr="00BD3BA8">
        <w:rPr>
          <w:b/>
          <w:bCs/>
          <w:sz w:val="24"/>
          <w:szCs w:val="24"/>
          <w:lang w:val="en-PH"/>
        </w:rPr>
        <w:t xml:space="preserve">. </w:t>
      </w:r>
      <w:r w:rsidRPr="00BD3BA8">
        <w:rPr>
          <w:b/>
          <w:bCs/>
          <w:sz w:val="24"/>
          <w:szCs w:val="24"/>
          <w:lang w:val="en-PH"/>
        </w:rPr>
        <w:t>Respondents' Level of Perception on Differentiated Instruction Practices Experienced in their College Welding Classes in Terms of Process Differentiation</w:t>
      </w:r>
    </w:p>
    <w:tbl>
      <w:tblPr>
        <w:tblW w:w="9108" w:type="dxa"/>
        <w:tblLook w:val="04A0" w:firstRow="1" w:lastRow="0" w:firstColumn="1" w:lastColumn="0" w:noHBand="0" w:noVBand="1"/>
      </w:tblPr>
      <w:tblGrid>
        <w:gridCol w:w="590"/>
        <w:gridCol w:w="4791"/>
        <w:gridCol w:w="831"/>
        <w:gridCol w:w="725"/>
        <w:gridCol w:w="2171"/>
      </w:tblGrid>
      <w:tr w:rsidR="00BD3BA8" w:rsidRPr="00BD3BA8" w14:paraId="709411E6" w14:textId="77777777" w:rsidTr="007669DA">
        <w:trPr>
          <w:trHeight w:val="268"/>
        </w:trPr>
        <w:tc>
          <w:tcPr>
            <w:tcW w:w="590" w:type="dxa"/>
            <w:tcBorders>
              <w:top w:val="single" w:sz="4" w:space="0" w:color="auto"/>
              <w:bottom w:val="single" w:sz="4" w:space="0" w:color="auto"/>
            </w:tcBorders>
            <w:noWrap/>
            <w:vAlign w:val="center"/>
            <w:hideMark/>
          </w:tcPr>
          <w:p w14:paraId="2DFEC50F" w14:textId="77777777" w:rsidR="00BD3BA8" w:rsidRPr="00BD3BA8" w:rsidRDefault="00BD3BA8" w:rsidP="007233F6">
            <w:pPr>
              <w:jc w:val="center"/>
              <w:rPr>
                <w:b/>
                <w:bCs/>
                <w:color w:val="000000" w:themeColor="text1"/>
                <w:sz w:val="24"/>
                <w:szCs w:val="24"/>
              </w:rPr>
            </w:pPr>
            <w:r w:rsidRPr="00BD3BA8">
              <w:rPr>
                <w:b/>
                <w:bCs/>
                <w:color w:val="000000" w:themeColor="text1"/>
                <w:sz w:val="24"/>
                <w:szCs w:val="24"/>
              </w:rPr>
              <w:t>S/N</w:t>
            </w:r>
          </w:p>
        </w:tc>
        <w:tc>
          <w:tcPr>
            <w:tcW w:w="4791" w:type="dxa"/>
            <w:tcBorders>
              <w:top w:val="single" w:sz="4" w:space="0" w:color="auto"/>
              <w:bottom w:val="single" w:sz="4" w:space="0" w:color="auto"/>
            </w:tcBorders>
            <w:noWrap/>
            <w:vAlign w:val="center"/>
            <w:hideMark/>
          </w:tcPr>
          <w:p w14:paraId="21DA9589" w14:textId="77777777" w:rsidR="00BD3BA8" w:rsidRPr="00BD3BA8" w:rsidRDefault="00BD3BA8" w:rsidP="007233F6">
            <w:pPr>
              <w:jc w:val="center"/>
              <w:rPr>
                <w:b/>
                <w:bCs/>
                <w:color w:val="000000" w:themeColor="text1"/>
                <w:sz w:val="24"/>
                <w:szCs w:val="24"/>
              </w:rPr>
            </w:pPr>
            <w:r w:rsidRPr="00BD3BA8">
              <w:rPr>
                <w:b/>
                <w:bCs/>
                <w:color w:val="000000" w:themeColor="text1"/>
                <w:sz w:val="24"/>
                <w:szCs w:val="24"/>
              </w:rPr>
              <w:t xml:space="preserve">INDICATORS </w:t>
            </w:r>
          </w:p>
        </w:tc>
        <w:tc>
          <w:tcPr>
            <w:tcW w:w="831" w:type="dxa"/>
            <w:tcBorders>
              <w:top w:val="single" w:sz="4" w:space="0" w:color="auto"/>
              <w:bottom w:val="single" w:sz="4" w:space="0" w:color="auto"/>
            </w:tcBorders>
            <w:noWrap/>
            <w:vAlign w:val="center"/>
            <w:hideMark/>
          </w:tcPr>
          <w:p w14:paraId="59A76E60" w14:textId="77777777" w:rsidR="00BD3BA8" w:rsidRPr="00BD3BA8" w:rsidRDefault="00BD3BA8" w:rsidP="007233F6">
            <w:pPr>
              <w:jc w:val="center"/>
              <w:rPr>
                <w:b/>
                <w:bCs/>
                <w:color w:val="000000" w:themeColor="text1"/>
                <w:sz w:val="24"/>
                <w:szCs w:val="24"/>
              </w:rPr>
            </w:pPr>
            <w:r w:rsidRPr="00BD3BA8">
              <w:rPr>
                <w:b/>
                <w:bCs/>
                <w:color w:val="000000" w:themeColor="text1"/>
                <w:sz w:val="24"/>
                <w:szCs w:val="24"/>
              </w:rPr>
              <w:t>WM</w:t>
            </w:r>
          </w:p>
        </w:tc>
        <w:tc>
          <w:tcPr>
            <w:tcW w:w="725" w:type="dxa"/>
            <w:tcBorders>
              <w:top w:val="single" w:sz="4" w:space="0" w:color="auto"/>
              <w:bottom w:val="single" w:sz="4" w:space="0" w:color="auto"/>
            </w:tcBorders>
            <w:noWrap/>
            <w:vAlign w:val="center"/>
            <w:hideMark/>
          </w:tcPr>
          <w:p w14:paraId="07424F44" w14:textId="77777777" w:rsidR="00BD3BA8" w:rsidRPr="00BD3BA8" w:rsidRDefault="00BD3BA8" w:rsidP="007233F6">
            <w:pPr>
              <w:jc w:val="center"/>
              <w:rPr>
                <w:b/>
                <w:bCs/>
                <w:color w:val="000000" w:themeColor="text1"/>
                <w:sz w:val="24"/>
                <w:szCs w:val="24"/>
              </w:rPr>
            </w:pPr>
            <w:r w:rsidRPr="00BD3BA8">
              <w:rPr>
                <w:b/>
                <w:bCs/>
                <w:color w:val="000000" w:themeColor="text1"/>
                <w:sz w:val="24"/>
                <w:szCs w:val="24"/>
              </w:rPr>
              <w:t>SD</w:t>
            </w:r>
          </w:p>
        </w:tc>
        <w:tc>
          <w:tcPr>
            <w:tcW w:w="2171" w:type="dxa"/>
            <w:tcBorders>
              <w:top w:val="single" w:sz="4" w:space="0" w:color="auto"/>
              <w:bottom w:val="single" w:sz="4" w:space="0" w:color="auto"/>
            </w:tcBorders>
            <w:noWrap/>
            <w:vAlign w:val="center"/>
            <w:hideMark/>
          </w:tcPr>
          <w:p w14:paraId="15E796E2" w14:textId="77777777" w:rsidR="00BD3BA8" w:rsidRPr="00BD3BA8" w:rsidRDefault="00BD3BA8" w:rsidP="007233F6">
            <w:pPr>
              <w:jc w:val="center"/>
              <w:rPr>
                <w:b/>
                <w:bCs/>
                <w:color w:val="000000" w:themeColor="text1"/>
                <w:sz w:val="24"/>
                <w:szCs w:val="24"/>
              </w:rPr>
            </w:pPr>
            <w:r w:rsidRPr="00BD3BA8">
              <w:rPr>
                <w:b/>
                <w:bCs/>
                <w:color w:val="000000" w:themeColor="text1"/>
                <w:sz w:val="24"/>
                <w:szCs w:val="24"/>
              </w:rPr>
              <w:t xml:space="preserve">Verbal Description </w:t>
            </w:r>
          </w:p>
        </w:tc>
      </w:tr>
      <w:tr w:rsidR="00BD3BA8" w:rsidRPr="00BD3BA8" w14:paraId="70453A22" w14:textId="77777777" w:rsidTr="007669DA">
        <w:trPr>
          <w:trHeight w:val="257"/>
        </w:trPr>
        <w:tc>
          <w:tcPr>
            <w:tcW w:w="590" w:type="dxa"/>
            <w:tcBorders>
              <w:top w:val="single" w:sz="4" w:space="0" w:color="auto"/>
            </w:tcBorders>
            <w:noWrap/>
            <w:vAlign w:val="center"/>
            <w:hideMark/>
          </w:tcPr>
          <w:p w14:paraId="7B7F8E6D"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w:t>
            </w:r>
          </w:p>
        </w:tc>
        <w:tc>
          <w:tcPr>
            <w:tcW w:w="4791" w:type="dxa"/>
            <w:tcBorders>
              <w:top w:val="single" w:sz="4" w:space="0" w:color="auto"/>
            </w:tcBorders>
            <w:noWrap/>
            <w:vAlign w:val="center"/>
            <w:hideMark/>
          </w:tcPr>
          <w:p w14:paraId="6787DEC3"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xml:space="preserve">My instructor provides step-by-step guidance during hands-on activities. </w:t>
            </w:r>
          </w:p>
        </w:tc>
        <w:tc>
          <w:tcPr>
            <w:tcW w:w="831" w:type="dxa"/>
            <w:tcBorders>
              <w:top w:val="single" w:sz="4" w:space="0" w:color="auto"/>
            </w:tcBorders>
            <w:noWrap/>
            <w:vAlign w:val="center"/>
            <w:hideMark/>
          </w:tcPr>
          <w:p w14:paraId="6279BFB8"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4.00</w:t>
            </w:r>
          </w:p>
        </w:tc>
        <w:tc>
          <w:tcPr>
            <w:tcW w:w="725" w:type="dxa"/>
            <w:tcBorders>
              <w:top w:val="single" w:sz="4" w:space="0" w:color="auto"/>
            </w:tcBorders>
            <w:noWrap/>
            <w:vAlign w:val="center"/>
            <w:hideMark/>
          </w:tcPr>
          <w:p w14:paraId="73BCF0B9"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1.03</w:t>
            </w:r>
          </w:p>
        </w:tc>
        <w:tc>
          <w:tcPr>
            <w:tcW w:w="2171" w:type="dxa"/>
            <w:tcBorders>
              <w:top w:val="single" w:sz="4" w:space="0" w:color="auto"/>
            </w:tcBorders>
            <w:noWrap/>
            <w:vAlign w:val="center"/>
            <w:hideMark/>
          </w:tcPr>
          <w:p w14:paraId="326BE537"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High</w:t>
            </w:r>
          </w:p>
        </w:tc>
      </w:tr>
      <w:tr w:rsidR="00BD3BA8" w:rsidRPr="00BD3BA8" w14:paraId="6C3D3516" w14:textId="77777777" w:rsidTr="007669DA">
        <w:trPr>
          <w:trHeight w:val="257"/>
        </w:trPr>
        <w:tc>
          <w:tcPr>
            <w:tcW w:w="590" w:type="dxa"/>
            <w:noWrap/>
            <w:vAlign w:val="center"/>
            <w:hideMark/>
          </w:tcPr>
          <w:p w14:paraId="2AD40B4F"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2</w:t>
            </w:r>
          </w:p>
        </w:tc>
        <w:tc>
          <w:tcPr>
            <w:tcW w:w="4791" w:type="dxa"/>
            <w:noWrap/>
            <w:vAlign w:val="center"/>
            <w:hideMark/>
          </w:tcPr>
          <w:p w14:paraId="23C2B157"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xml:space="preserve">I am given opportunities to learn at my own pace. </w:t>
            </w:r>
          </w:p>
        </w:tc>
        <w:tc>
          <w:tcPr>
            <w:tcW w:w="831" w:type="dxa"/>
            <w:noWrap/>
            <w:vAlign w:val="center"/>
            <w:hideMark/>
          </w:tcPr>
          <w:p w14:paraId="7F1A0FB3"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3.78</w:t>
            </w:r>
          </w:p>
        </w:tc>
        <w:tc>
          <w:tcPr>
            <w:tcW w:w="725" w:type="dxa"/>
            <w:noWrap/>
            <w:vAlign w:val="center"/>
            <w:hideMark/>
          </w:tcPr>
          <w:p w14:paraId="25D92F9A"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1.03</w:t>
            </w:r>
          </w:p>
        </w:tc>
        <w:tc>
          <w:tcPr>
            <w:tcW w:w="2171" w:type="dxa"/>
            <w:noWrap/>
            <w:vAlign w:val="center"/>
            <w:hideMark/>
          </w:tcPr>
          <w:p w14:paraId="1803FE3D"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High</w:t>
            </w:r>
          </w:p>
        </w:tc>
      </w:tr>
      <w:tr w:rsidR="00BD3BA8" w:rsidRPr="00BD3BA8" w14:paraId="70FF2162" w14:textId="77777777" w:rsidTr="007669DA">
        <w:trPr>
          <w:trHeight w:val="257"/>
        </w:trPr>
        <w:tc>
          <w:tcPr>
            <w:tcW w:w="590" w:type="dxa"/>
            <w:noWrap/>
            <w:vAlign w:val="center"/>
            <w:hideMark/>
          </w:tcPr>
          <w:p w14:paraId="032A7F69"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w:t>
            </w:r>
          </w:p>
        </w:tc>
        <w:tc>
          <w:tcPr>
            <w:tcW w:w="4791" w:type="dxa"/>
            <w:noWrap/>
            <w:vAlign w:val="center"/>
            <w:hideMark/>
          </w:tcPr>
          <w:p w14:paraId="1066A0B6"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xml:space="preserve">The instructor groups us based on our abilities or learning needs. </w:t>
            </w:r>
          </w:p>
        </w:tc>
        <w:tc>
          <w:tcPr>
            <w:tcW w:w="831" w:type="dxa"/>
            <w:noWrap/>
            <w:vAlign w:val="center"/>
            <w:hideMark/>
          </w:tcPr>
          <w:p w14:paraId="4C30171F"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3.54</w:t>
            </w:r>
          </w:p>
        </w:tc>
        <w:tc>
          <w:tcPr>
            <w:tcW w:w="725" w:type="dxa"/>
            <w:noWrap/>
            <w:vAlign w:val="center"/>
            <w:hideMark/>
          </w:tcPr>
          <w:p w14:paraId="6BF3E929"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1.19</w:t>
            </w:r>
          </w:p>
        </w:tc>
        <w:tc>
          <w:tcPr>
            <w:tcW w:w="2171" w:type="dxa"/>
            <w:noWrap/>
            <w:vAlign w:val="center"/>
            <w:hideMark/>
          </w:tcPr>
          <w:p w14:paraId="0744AF20"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High</w:t>
            </w:r>
          </w:p>
        </w:tc>
      </w:tr>
      <w:tr w:rsidR="00BD3BA8" w:rsidRPr="00BD3BA8" w14:paraId="34BDBB08" w14:textId="77777777" w:rsidTr="007669DA">
        <w:trPr>
          <w:trHeight w:val="257"/>
        </w:trPr>
        <w:tc>
          <w:tcPr>
            <w:tcW w:w="590" w:type="dxa"/>
            <w:noWrap/>
            <w:vAlign w:val="center"/>
            <w:hideMark/>
          </w:tcPr>
          <w:p w14:paraId="06B0A6BD"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4</w:t>
            </w:r>
          </w:p>
        </w:tc>
        <w:tc>
          <w:tcPr>
            <w:tcW w:w="4791" w:type="dxa"/>
            <w:noWrap/>
            <w:vAlign w:val="center"/>
            <w:hideMark/>
          </w:tcPr>
          <w:p w14:paraId="41F95722"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xml:space="preserve">I receive feedback that helps me improve my practical performance. </w:t>
            </w:r>
          </w:p>
        </w:tc>
        <w:tc>
          <w:tcPr>
            <w:tcW w:w="831" w:type="dxa"/>
            <w:noWrap/>
            <w:vAlign w:val="center"/>
            <w:hideMark/>
          </w:tcPr>
          <w:p w14:paraId="15908F37"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3.93</w:t>
            </w:r>
          </w:p>
        </w:tc>
        <w:tc>
          <w:tcPr>
            <w:tcW w:w="725" w:type="dxa"/>
            <w:noWrap/>
            <w:vAlign w:val="center"/>
            <w:hideMark/>
          </w:tcPr>
          <w:p w14:paraId="65D2FEFB"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1.10</w:t>
            </w:r>
          </w:p>
        </w:tc>
        <w:tc>
          <w:tcPr>
            <w:tcW w:w="2171" w:type="dxa"/>
            <w:noWrap/>
            <w:vAlign w:val="center"/>
            <w:hideMark/>
          </w:tcPr>
          <w:p w14:paraId="6A8CC064"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High</w:t>
            </w:r>
          </w:p>
        </w:tc>
      </w:tr>
      <w:tr w:rsidR="00BD3BA8" w:rsidRPr="00BD3BA8" w14:paraId="33DE3EA4" w14:textId="77777777" w:rsidTr="007669DA">
        <w:trPr>
          <w:trHeight w:val="257"/>
        </w:trPr>
        <w:tc>
          <w:tcPr>
            <w:tcW w:w="590" w:type="dxa"/>
            <w:noWrap/>
            <w:vAlign w:val="center"/>
            <w:hideMark/>
          </w:tcPr>
          <w:p w14:paraId="6DBD01AA"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5</w:t>
            </w:r>
          </w:p>
        </w:tc>
        <w:tc>
          <w:tcPr>
            <w:tcW w:w="4791" w:type="dxa"/>
            <w:noWrap/>
            <w:vAlign w:val="center"/>
            <w:hideMark/>
          </w:tcPr>
          <w:p w14:paraId="06F5B5D8"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xml:space="preserve">My instructor uses demonstrations suited to our learning styles. </w:t>
            </w:r>
          </w:p>
        </w:tc>
        <w:tc>
          <w:tcPr>
            <w:tcW w:w="831" w:type="dxa"/>
            <w:noWrap/>
            <w:vAlign w:val="center"/>
            <w:hideMark/>
          </w:tcPr>
          <w:p w14:paraId="1B4DE647"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3.83</w:t>
            </w:r>
          </w:p>
        </w:tc>
        <w:tc>
          <w:tcPr>
            <w:tcW w:w="725" w:type="dxa"/>
            <w:noWrap/>
            <w:vAlign w:val="center"/>
            <w:hideMark/>
          </w:tcPr>
          <w:p w14:paraId="1687FE39"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1.12</w:t>
            </w:r>
          </w:p>
        </w:tc>
        <w:tc>
          <w:tcPr>
            <w:tcW w:w="2171" w:type="dxa"/>
            <w:noWrap/>
            <w:vAlign w:val="center"/>
            <w:hideMark/>
          </w:tcPr>
          <w:p w14:paraId="7A308EAB"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High</w:t>
            </w:r>
          </w:p>
        </w:tc>
      </w:tr>
      <w:tr w:rsidR="00BD3BA8" w:rsidRPr="00BD3BA8" w14:paraId="1B2D3DB8" w14:textId="77777777" w:rsidTr="007669DA">
        <w:trPr>
          <w:trHeight w:val="268"/>
        </w:trPr>
        <w:tc>
          <w:tcPr>
            <w:tcW w:w="590" w:type="dxa"/>
            <w:noWrap/>
            <w:vAlign w:val="center"/>
            <w:hideMark/>
          </w:tcPr>
          <w:p w14:paraId="7015F19E"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w:t>
            </w:r>
          </w:p>
        </w:tc>
        <w:tc>
          <w:tcPr>
            <w:tcW w:w="4791" w:type="dxa"/>
            <w:noWrap/>
            <w:vAlign w:val="center"/>
            <w:hideMark/>
          </w:tcPr>
          <w:p w14:paraId="14E324A6"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r w:rsidRPr="00BD3BA8">
              <w:rPr>
                <w:rFonts w:ascii="Times New Roman" w:hAnsi="Times New Roman" w:cs="Times New Roman"/>
                <w:b/>
                <w:bCs/>
                <w:color w:val="000000" w:themeColor="text1"/>
                <w:sz w:val="24"/>
                <w:szCs w:val="24"/>
              </w:rPr>
              <w:t>Aggregate Weighted Mean</w:t>
            </w:r>
          </w:p>
        </w:tc>
        <w:tc>
          <w:tcPr>
            <w:tcW w:w="831" w:type="dxa"/>
            <w:noWrap/>
            <w:vAlign w:val="center"/>
            <w:hideMark/>
          </w:tcPr>
          <w:p w14:paraId="6901BDA8"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r w:rsidRPr="00BD3BA8">
              <w:rPr>
                <w:rFonts w:ascii="Times New Roman" w:hAnsi="Times New Roman" w:cs="Times New Roman"/>
                <w:b/>
                <w:bCs/>
                <w:color w:val="000000" w:themeColor="text1"/>
                <w:sz w:val="24"/>
                <w:szCs w:val="24"/>
              </w:rPr>
              <w:t>3.82</w:t>
            </w:r>
          </w:p>
        </w:tc>
        <w:tc>
          <w:tcPr>
            <w:tcW w:w="725" w:type="dxa"/>
            <w:noWrap/>
            <w:vAlign w:val="center"/>
            <w:hideMark/>
          </w:tcPr>
          <w:p w14:paraId="02D5CF92"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p>
        </w:tc>
        <w:tc>
          <w:tcPr>
            <w:tcW w:w="2171" w:type="dxa"/>
            <w:noWrap/>
            <w:vAlign w:val="center"/>
            <w:hideMark/>
          </w:tcPr>
          <w:p w14:paraId="5F88B8FA"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r w:rsidRPr="00BD3BA8">
              <w:rPr>
                <w:rFonts w:ascii="Times New Roman" w:hAnsi="Times New Roman" w:cs="Times New Roman"/>
                <w:b/>
                <w:bCs/>
                <w:color w:val="000000" w:themeColor="text1"/>
                <w:sz w:val="24"/>
                <w:szCs w:val="24"/>
              </w:rPr>
              <w:t>High</w:t>
            </w:r>
          </w:p>
        </w:tc>
      </w:tr>
      <w:tr w:rsidR="00BD3BA8" w:rsidRPr="00BD3BA8" w14:paraId="3C7E5860" w14:textId="77777777" w:rsidTr="007669DA">
        <w:trPr>
          <w:trHeight w:val="268"/>
        </w:trPr>
        <w:tc>
          <w:tcPr>
            <w:tcW w:w="590" w:type="dxa"/>
            <w:tcBorders>
              <w:bottom w:val="single" w:sz="4" w:space="0" w:color="auto"/>
            </w:tcBorders>
            <w:noWrap/>
            <w:vAlign w:val="center"/>
            <w:hideMark/>
          </w:tcPr>
          <w:p w14:paraId="31A57FBB"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w:t>
            </w:r>
          </w:p>
        </w:tc>
        <w:tc>
          <w:tcPr>
            <w:tcW w:w="4791" w:type="dxa"/>
            <w:tcBorders>
              <w:bottom w:val="single" w:sz="4" w:space="0" w:color="auto"/>
            </w:tcBorders>
            <w:noWrap/>
            <w:vAlign w:val="center"/>
            <w:hideMark/>
          </w:tcPr>
          <w:p w14:paraId="3521F224"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r w:rsidRPr="00BD3BA8">
              <w:rPr>
                <w:rFonts w:ascii="Times New Roman" w:hAnsi="Times New Roman" w:cs="Times New Roman"/>
                <w:b/>
                <w:bCs/>
                <w:color w:val="000000" w:themeColor="text1"/>
                <w:sz w:val="24"/>
                <w:szCs w:val="24"/>
              </w:rPr>
              <w:t>Aggregate Standard Deviation</w:t>
            </w:r>
          </w:p>
        </w:tc>
        <w:tc>
          <w:tcPr>
            <w:tcW w:w="831" w:type="dxa"/>
            <w:tcBorders>
              <w:bottom w:val="single" w:sz="4" w:space="0" w:color="auto"/>
            </w:tcBorders>
            <w:noWrap/>
            <w:vAlign w:val="center"/>
            <w:hideMark/>
          </w:tcPr>
          <w:p w14:paraId="7253144F"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p>
        </w:tc>
        <w:tc>
          <w:tcPr>
            <w:tcW w:w="725" w:type="dxa"/>
            <w:tcBorders>
              <w:bottom w:val="single" w:sz="4" w:space="0" w:color="auto"/>
            </w:tcBorders>
            <w:noWrap/>
            <w:vAlign w:val="center"/>
            <w:hideMark/>
          </w:tcPr>
          <w:p w14:paraId="783F149B"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r w:rsidRPr="00BD3BA8">
              <w:rPr>
                <w:rFonts w:ascii="Times New Roman" w:hAnsi="Times New Roman" w:cs="Times New Roman"/>
                <w:b/>
                <w:bCs/>
                <w:color w:val="000000" w:themeColor="text1"/>
                <w:sz w:val="24"/>
                <w:szCs w:val="24"/>
              </w:rPr>
              <w:t>1.10</w:t>
            </w:r>
          </w:p>
        </w:tc>
        <w:tc>
          <w:tcPr>
            <w:tcW w:w="2171" w:type="dxa"/>
            <w:tcBorders>
              <w:bottom w:val="single" w:sz="4" w:space="0" w:color="auto"/>
            </w:tcBorders>
            <w:noWrap/>
            <w:vAlign w:val="center"/>
            <w:hideMark/>
          </w:tcPr>
          <w:p w14:paraId="27066C88"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p>
        </w:tc>
      </w:tr>
    </w:tbl>
    <w:p w14:paraId="08C1EB3B" w14:textId="77777777" w:rsidR="00BD3BA8" w:rsidRPr="005A68A8" w:rsidRDefault="00BD3BA8" w:rsidP="00BD3BA8">
      <w:pPr>
        <w:spacing w:after="240"/>
        <w:rPr>
          <w:color w:val="000000" w:themeColor="text1"/>
          <w:sz w:val="16"/>
          <w:szCs w:val="14"/>
        </w:rPr>
      </w:pPr>
      <w:r w:rsidRPr="005A68A8">
        <w:rPr>
          <w:b/>
          <w:bCs/>
          <w:color w:val="000000" w:themeColor="text1"/>
          <w:sz w:val="16"/>
          <w:szCs w:val="14"/>
        </w:rPr>
        <w:t>Legend:</w:t>
      </w:r>
      <w:r w:rsidRPr="005A68A8">
        <w:rPr>
          <w:color w:val="000000" w:themeColor="text1"/>
          <w:sz w:val="16"/>
          <w:szCs w:val="14"/>
        </w:rPr>
        <w:t xml:space="preserve"> 4.21-5.00 – Very High; 3.41-4.20 – High; 2.61-3.40 – Moderate; 1.81-2.60 – Low; 1.00-1.80 – Very Low </w:t>
      </w:r>
    </w:p>
    <w:p w14:paraId="48E1C398" w14:textId="77777777" w:rsidR="009C0962" w:rsidRPr="009C0962" w:rsidRDefault="009C0962" w:rsidP="009C0962">
      <w:pPr>
        <w:spacing w:before="240" w:after="240"/>
        <w:ind w:firstLine="720"/>
        <w:jc w:val="both"/>
        <w:rPr>
          <w:sz w:val="24"/>
          <w:szCs w:val="24"/>
          <w:lang w:val="en-PH"/>
        </w:rPr>
      </w:pPr>
      <w:r w:rsidRPr="009C0962">
        <w:rPr>
          <w:sz w:val="24"/>
          <w:szCs w:val="24"/>
          <w:lang w:val="en-PH"/>
        </w:rPr>
        <w:t>Respondents perceived process differentiation in their welding lessons at a high level with a weighted mean of 3.82, as seen in Table 10. This suggests that lecturers frequently adopted multiple instructional strategies for diverse learners. The most common strategies were the use of detailed instructions in hands-on activities (WM = 4.00) and constructive criticism to enhance performance (WM = 3.93).</w:t>
      </w:r>
    </w:p>
    <w:p w14:paraId="71DCC701" w14:textId="18196D59" w:rsidR="00BD3BA8" w:rsidRDefault="009C0962" w:rsidP="009C0962">
      <w:pPr>
        <w:spacing w:before="240" w:after="240"/>
        <w:ind w:firstLine="720"/>
        <w:jc w:val="both"/>
        <w:rPr>
          <w:sz w:val="24"/>
          <w:szCs w:val="24"/>
          <w:lang w:val="en-PH"/>
        </w:rPr>
      </w:pPr>
      <w:r w:rsidRPr="009C0962">
        <w:rPr>
          <w:sz w:val="24"/>
          <w:szCs w:val="24"/>
          <w:lang w:val="en-PH"/>
        </w:rPr>
        <w:t>As can be seen from the results of this study, the practice of grouping people based on their learning style proved successful in terms of promoting better performance, motivation, and self-regulation of the learners, thus, confirming the efficiency of giving students an opportunity to learn at their own pace and put them in groups in accordance with their skills in order to promote differentiation effectively (</w:t>
      </w:r>
      <w:proofErr w:type="spellStart"/>
      <w:r w:rsidRPr="009C0962">
        <w:rPr>
          <w:sz w:val="24"/>
          <w:szCs w:val="24"/>
          <w:lang w:val="en-PH"/>
        </w:rPr>
        <w:t>Haelermans</w:t>
      </w:r>
      <w:proofErr w:type="spellEnd"/>
      <w:r w:rsidRPr="009C0962">
        <w:rPr>
          <w:sz w:val="24"/>
          <w:szCs w:val="24"/>
          <w:lang w:val="en-PH"/>
        </w:rPr>
        <w:t>, 2022). In addition, when referring to the results obtained through research conducted by Yang (2025), one should note that the use of various teaching techniques, such as lectures, seminars, demonstrations, and so on, proves efficient because they contribute to student engagement and deep learning as the result of considering individual student preferences, which is also similar to the effectiveness of the demonstration of processes based on students' learning styles. That is why such an approach can help merge theory and practice and increase the overall level of understanding. Students consider continuous assessment beneficial as it helps them engage more and understand the material better, but it should be improved (Sankaran &amp; Low, 2025). In conclusion, the very high degree of perceived process differentiation emphasized its crucial function in facilitating different welding skills and indicated that differentiated instruction could be useful in enhancing the educational achievement of college welding students.</w:t>
      </w:r>
    </w:p>
    <w:p w14:paraId="40B99A75" w14:textId="5AAAEFB4" w:rsidR="00BD3BA8" w:rsidRPr="00B143F3" w:rsidRDefault="00B143F3" w:rsidP="002B7D4A">
      <w:pPr>
        <w:spacing w:before="240" w:after="240"/>
        <w:jc w:val="both"/>
        <w:rPr>
          <w:b/>
          <w:bCs/>
          <w:sz w:val="24"/>
          <w:szCs w:val="24"/>
          <w:lang w:val="en-PH"/>
        </w:rPr>
      </w:pPr>
      <w:r w:rsidRPr="00B143F3">
        <w:rPr>
          <w:b/>
          <w:bCs/>
          <w:sz w:val="24"/>
          <w:szCs w:val="24"/>
          <w:lang w:val="en-PH"/>
        </w:rPr>
        <w:t>Product Differentiation</w:t>
      </w:r>
    </w:p>
    <w:p w14:paraId="16A76A2D" w14:textId="39511EF3" w:rsidR="00B143F3" w:rsidRDefault="00B143F3" w:rsidP="00B143F3">
      <w:pPr>
        <w:spacing w:before="240" w:after="240"/>
        <w:ind w:firstLine="720"/>
        <w:jc w:val="both"/>
        <w:rPr>
          <w:sz w:val="24"/>
          <w:szCs w:val="24"/>
          <w:lang w:val="en-PH"/>
        </w:rPr>
      </w:pPr>
      <w:r w:rsidRPr="00B143F3">
        <w:rPr>
          <w:sz w:val="24"/>
          <w:szCs w:val="24"/>
          <w:lang w:val="en-PH"/>
        </w:rPr>
        <w:t>The degree of perception of differentiated instructional strategies that the participants encountered during their college training in welding based on product differentiation was determined. Results revealed the weighted mean values, standard deviations, and verbal descriptions of several measures, as evidenced by the perceptions of flexibility in showcasing academic accomplishments, choice, personalized feedback, creative efforts, and equitable assessment of performances in related products, as presented in Table 12 below.</w:t>
      </w:r>
    </w:p>
    <w:p w14:paraId="3646A3B4" w14:textId="004DDCDF" w:rsidR="00BD3BA8" w:rsidRPr="007669DA" w:rsidRDefault="007669DA" w:rsidP="007669DA">
      <w:pPr>
        <w:spacing w:before="240" w:after="240"/>
        <w:jc w:val="both"/>
        <w:rPr>
          <w:b/>
          <w:bCs/>
          <w:sz w:val="24"/>
          <w:szCs w:val="24"/>
          <w:lang w:val="en-PH"/>
        </w:rPr>
      </w:pPr>
      <w:r w:rsidRPr="007669DA">
        <w:rPr>
          <w:b/>
          <w:bCs/>
          <w:sz w:val="24"/>
          <w:szCs w:val="24"/>
          <w:lang w:val="en-PH"/>
        </w:rPr>
        <w:t>Table 12</w:t>
      </w:r>
      <w:r w:rsidRPr="007669DA">
        <w:rPr>
          <w:b/>
          <w:bCs/>
          <w:sz w:val="24"/>
          <w:szCs w:val="24"/>
          <w:lang w:val="en-PH"/>
        </w:rPr>
        <w:t xml:space="preserve">. </w:t>
      </w:r>
      <w:r w:rsidRPr="007669DA">
        <w:rPr>
          <w:b/>
          <w:bCs/>
          <w:sz w:val="24"/>
          <w:szCs w:val="24"/>
          <w:lang w:val="en-PH"/>
        </w:rPr>
        <w:t>Respondents' Level of Perception on Differentiated Instruction Practices Experienced in their College Welding Classes in Terms of Product Differentiation</w:t>
      </w:r>
    </w:p>
    <w:tbl>
      <w:tblPr>
        <w:tblW w:w="9288" w:type="dxa"/>
        <w:tblLook w:val="04A0" w:firstRow="1" w:lastRow="0" w:firstColumn="1" w:lastColumn="0" w:noHBand="0" w:noVBand="1"/>
      </w:tblPr>
      <w:tblGrid>
        <w:gridCol w:w="590"/>
        <w:gridCol w:w="5008"/>
        <w:gridCol w:w="696"/>
        <w:gridCol w:w="734"/>
        <w:gridCol w:w="2260"/>
      </w:tblGrid>
      <w:tr w:rsidR="007669DA" w:rsidRPr="007669DA" w14:paraId="3B381EBE" w14:textId="77777777" w:rsidTr="007669DA">
        <w:trPr>
          <w:trHeight w:val="278"/>
        </w:trPr>
        <w:tc>
          <w:tcPr>
            <w:tcW w:w="590" w:type="dxa"/>
            <w:tcBorders>
              <w:top w:val="single" w:sz="4" w:space="0" w:color="auto"/>
              <w:bottom w:val="single" w:sz="4" w:space="0" w:color="auto"/>
            </w:tcBorders>
            <w:noWrap/>
            <w:vAlign w:val="center"/>
            <w:hideMark/>
          </w:tcPr>
          <w:p w14:paraId="3DEA1D87" w14:textId="77777777" w:rsidR="007669DA" w:rsidRPr="007669DA" w:rsidRDefault="007669DA" w:rsidP="007233F6">
            <w:pPr>
              <w:jc w:val="center"/>
              <w:rPr>
                <w:b/>
                <w:bCs/>
                <w:color w:val="000000" w:themeColor="text1"/>
                <w:sz w:val="24"/>
                <w:szCs w:val="24"/>
              </w:rPr>
            </w:pPr>
            <w:r w:rsidRPr="007669DA">
              <w:rPr>
                <w:b/>
                <w:bCs/>
                <w:color w:val="000000" w:themeColor="text1"/>
                <w:sz w:val="24"/>
                <w:szCs w:val="24"/>
              </w:rPr>
              <w:t>S/N</w:t>
            </w:r>
          </w:p>
        </w:tc>
        <w:tc>
          <w:tcPr>
            <w:tcW w:w="5008" w:type="dxa"/>
            <w:tcBorders>
              <w:top w:val="single" w:sz="4" w:space="0" w:color="auto"/>
              <w:bottom w:val="single" w:sz="4" w:space="0" w:color="auto"/>
            </w:tcBorders>
            <w:noWrap/>
            <w:vAlign w:val="center"/>
            <w:hideMark/>
          </w:tcPr>
          <w:p w14:paraId="597BA214" w14:textId="77777777" w:rsidR="007669DA" w:rsidRPr="007669DA" w:rsidRDefault="007669DA" w:rsidP="007233F6">
            <w:pPr>
              <w:jc w:val="center"/>
              <w:rPr>
                <w:b/>
                <w:bCs/>
                <w:color w:val="000000" w:themeColor="text1"/>
                <w:sz w:val="24"/>
                <w:szCs w:val="24"/>
              </w:rPr>
            </w:pPr>
            <w:r w:rsidRPr="007669DA">
              <w:rPr>
                <w:b/>
                <w:bCs/>
                <w:color w:val="000000" w:themeColor="text1"/>
                <w:sz w:val="24"/>
                <w:szCs w:val="24"/>
              </w:rPr>
              <w:t xml:space="preserve">INDICATORS </w:t>
            </w:r>
          </w:p>
        </w:tc>
        <w:tc>
          <w:tcPr>
            <w:tcW w:w="696" w:type="dxa"/>
            <w:tcBorders>
              <w:top w:val="single" w:sz="4" w:space="0" w:color="auto"/>
              <w:bottom w:val="single" w:sz="4" w:space="0" w:color="auto"/>
            </w:tcBorders>
            <w:noWrap/>
            <w:vAlign w:val="center"/>
            <w:hideMark/>
          </w:tcPr>
          <w:p w14:paraId="7705B187" w14:textId="77777777" w:rsidR="007669DA" w:rsidRPr="007669DA" w:rsidRDefault="007669DA" w:rsidP="007233F6">
            <w:pPr>
              <w:jc w:val="center"/>
              <w:rPr>
                <w:b/>
                <w:bCs/>
                <w:color w:val="000000" w:themeColor="text1"/>
                <w:sz w:val="24"/>
                <w:szCs w:val="24"/>
              </w:rPr>
            </w:pPr>
            <w:r w:rsidRPr="007669DA">
              <w:rPr>
                <w:b/>
                <w:bCs/>
                <w:color w:val="000000" w:themeColor="text1"/>
                <w:sz w:val="24"/>
                <w:szCs w:val="24"/>
              </w:rPr>
              <w:t>WM</w:t>
            </w:r>
          </w:p>
        </w:tc>
        <w:tc>
          <w:tcPr>
            <w:tcW w:w="734" w:type="dxa"/>
            <w:tcBorders>
              <w:top w:val="single" w:sz="4" w:space="0" w:color="auto"/>
              <w:bottom w:val="single" w:sz="4" w:space="0" w:color="auto"/>
            </w:tcBorders>
            <w:noWrap/>
            <w:vAlign w:val="center"/>
            <w:hideMark/>
          </w:tcPr>
          <w:p w14:paraId="30788733" w14:textId="77777777" w:rsidR="007669DA" w:rsidRPr="007669DA" w:rsidRDefault="007669DA" w:rsidP="007233F6">
            <w:pPr>
              <w:jc w:val="center"/>
              <w:rPr>
                <w:b/>
                <w:bCs/>
                <w:color w:val="000000" w:themeColor="text1"/>
                <w:sz w:val="24"/>
                <w:szCs w:val="24"/>
              </w:rPr>
            </w:pPr>
            <w:r w:rsidRPr="007669DA">
              <w:rPr>
                <w:b/>
                <w:bCs/>
                <w:color w:val="000000" w:themeColor="text1"/>
                <w:sz w:val="24"/>
                <w:szCs w:val="24"/>
              </w:rPr>
              <w:t>SD</w:t>
            </w:r>
          </w:p>
        </w:tc>
        <w:tc>
          <w:tcPr>
            <w:tcW w:w="2260" w:type="dxa"/>
            <w:tcBorders>
              <w:top w:val="single" w:sz="4" w:space="0" w:color="auto"/>
              <w:bottom w:val="single" w:sz="4" w:space="0" w:color="auto"/>
            </w:tcBorders>
            <w:noWrap/>
            <w:vAlign w:val="center"/>
            <w:hideMark/>
          </w:tcPr>
          <w:p w14:paraId="1AE76C72" w14:textId="77777777" w:rsidR="007669DA" w:rsidRPr="007669DA" w:rsidRDefault="007669DA" w:rsidP="007233F6">
            <w:pPr>
              <w:jc w:val="center"/>
              <w:rPr>
                <w:b/>
                <w:bCs/>
                <w:color w:val="000000" w:themeColor="text1"/>
                <w:sz w:val="24"/>
                <w:szCs w:val="24"/>
              </w:rPr>
            </w:pPr>
            <w:r w:rsidRPr="007669DA">
              <w:rPr>
                <w:b/>
                <w:bCs/>
                <w:color w:val="000000" w:themeColor="text1"/>
                <w:sz w:val="24"/>
                <w:szCs w:val="24"/>
              </w:rPr>
              <w:t xml:space="preserve">Verbal Description </w:t>
            </w:r>
          </w:p>
        </w:tc>
      </w:tr>
      <w:tr w:rsidR="007669DA" w:rsidRPr="007669DA" w14:paraId="184E17F3" w14:textId="77777777" w:rsidTr="007669DA">
        <w:trPr>
          <w:trHeight w:val="267"/>
        </w:trPr>
        <w:tc>
          <w:tcPr>
            <w:tcW w:w="590" w:type="dxa"/>
            <w:tcBorders>
              <w:top w:val="single" w:sz="4" w:space="0" w:color="auto"/>
            </w:tcBorders>
            <w:noWrap/>
            <w:vAlign w:val="center"/>
            <w:hideMark/>
          </w:tcPr>
          <w:p w14:paraId="730023E1"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1</w:t>
            </w:r>
          </w:p>
        </w:tc>
        <w:tc>
          <w:tcPr>
            <w:tcW w:w="5008" w:type="dxa"/>
            <w:tcBorders>
              <w:top w:val="single" w:sz="4" w:space="0" w:color="auto"/>
            </w:tcBorders>
            <w:noWrap/>
            <w:vAlign w:val="center"/>
            <w:hideMark/>
          </w:tcPr>
          <w:p w14:paraId="676D6C2B"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 xml:space="preserve">We are allowed to show learning outcomes in different formats (project, report, or performance). </w:t>
            </w:r>
          </w:p>
        </w:tc>
        <w:tc>
          <w:tcPr>
            <w:tcW w:w="696" w:type="dxa"/>
            <w:tcBorders>
              <w:top w:val="single" w:sz="4" w:space="0" w:color="auto"/>
            </w:tcBorders>
            <w:noWrap/>
            <w:vAlign w:val="center"/>
            <w:hideMark/>
          </w:tcPr>
          <w:p w14:paraId="6BDB8A28"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3.98</w:t>
            </w:r>
          </w:p>
        </w:tc>
        <w:tc>
          <w:tcPr>
            <w:tcW w:w="734" w:type="dxa"/>
            <w:tcBorders>
              <w:top w:val="single" w:sz="4" w:space="0" w:color="auto"/>
            </w:tcBorders>
            <w:noWrap/>
            <w:vAlign w:val="center"/>
            <w:hideMark/>
          </w:tcPr>
          <w:p w14:paraId="605006E2"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1.00</w:t>
            </w:r>
          </w:p>
        </w:tc>
        <w:tc>
          <w:tcPr>
            <w:tcW w:w="2260" w:type="dxa"/>
            <w:tcBorders>
              <w:top w:val="single" w:sz="4" w:space="0" w:color="auto"/>
            </w:tcBorders>
            <w:noWrap/>
            <w:vAlign w:val="center"/>
            <w:hideMark/>
          </w:tcPr>
          <w:p w14:paraId="7924EABC"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High</w:t>
            </w:r>
          </w:p>
        </w:tc>
      </w:tr>
      <w:tr w:rsidR="007669DA" w:rsidRPr="007669DA" w14:paraId="13242A12" w14:textId="77777777" w:rsidTr="007669DA">
        <w:trPr>
          <w:trHeight w:val="267"/>
        </w:trPr>
        <w:tc>
          <w:tcPr>
            <w:tcW w:w="590" w:type="dxa"/>
            <w:noWrap/>
            <w:vAlign w:val="center"/>
            <w:hideMark/>
          </w:tcPr>
          <w:p w14:paraId="06F97D41"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2</w:t>
            </w:r>
          </w:p>
        </w:tc>
        <w:tc>
          <w:tcPr>
            <w:tcW w:w="5008" w:type="dxa"/>
            <w:noWrap/>
            <w:vAlign w:val="center"/>
            <w:hideMark/>
          </w:tcPr>
          <w:p w14:paraId="2C46CE07"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 xml:space="preserve">I am given options to choose project topics or designs. </w:t>
            </w:r>
          </w:p>
        </w:tc>
        <w:tc>
          <w:tcPr>
            <w:tcW w:w="696" w:type="dxa"/>
            <w:noWrap/>
            <w:vAlign w:val="center"/>
            <w:hideMark/>
          </w:tcPr>
          <w:p w14:paraId="335AAADA"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3.61</w:t>
            </w:r>
          </w:p>
        </w:tc>
        <w:tc>
          <w:tcPr>
            <w:tcW w:w="734" w:type="dxa"/>
            <w:noWrap/>
            <w:vAlign w:val="center"/>
            <w:hideMark/>
          </w:tcPr>
          <w:p w14:paraId="38592B89"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1.06</w:t>
            </w:r>
          </w:p>
        </w:tc>
        <w:tc>
          <w:tcPr>
            <w:tcW w:w="2260" w:type="dxa"/>
            <w:noWrap/>
            <w:vAlign w:val="center"/>
            <w:hideMark/>
          </w:tcPr>
          <w:p w14:paraId="4FE80567"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High</w:t>
            </w:r>
          </w:p>
        </w:tc>
      </w:tr>
      <w:tr w:rsidR="007669DA" w:rsidRPr="007669DA" w14:paraId="0E139949" w14:textId="77777777" w:rsidTr="007669DA">
        <w:trPr>
          <w:trHeight w:val="267"/>
        </w:trPr>
        <w:tc>
          <w:tcPr>
            <w:tcW w:w="590" w:type="dxa"/>
            <w:noWrap/>
            <w:vAlign w:val="center"/>
            <w:hideMark/>
          </w:tcPr>
          <w:p w14:paraId="6D6EAC5C"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3</w:t>
            </w:r>
          </w:p>
        </w:tc>
        <w:tc>
          <w:tcPr>
            <w:tcW w:w="5008" w:type="dxa"/>
            <w:noWrap/>
            <w:vAlign w:val="center"/>
            <w:hideMark/>
          </w:tcPr>
          <w:p w14:paraId="49D72BA0"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 xml:space="preserve">I receive individual feedback for my completed works. </w:t>
            </w:r>
          </w:p>
        </w:tc>
        <w:tc>
          <w:tcPr>
            <w:tcW w:w="696" w:type="dxa"/>
            <w:noWrap/>
            <w:vAlign w:val="center"/>
            <w:hideMark/>
          </w:tcPr>
          <w:p w14:paraId="5EB169AC"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3.83</w:t>
            </w:r>
          </w:p>
        </w:tc>
        <w:tc>
          <w:tcPr>
            <w:tcW w:w="734" w:type="dxa"/>
            <w:noWrap/>
            <w:vAlign w:val="center"/>
            <w:hideMark/>
          </w:tcPr>
          <w:p w14:paraId="572FCF70"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1.04</w:t>
            </w:r>
          </w:p>
        </w:tc>
        <w:tc>
          <w:tcPr>
            <w:tcW w:w="2260" w:type="dxa"/>
            <w:noWrap/>
            <w:vAlign w:val="center"/>
            <w:hideMark/>
          </w:tcPr>
          <w:p w14:paraId="6035E15D"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High</w:t>
            </w:r>
          </w:p>
        </w:tc>
      </w:tr>
      <w:tr w:rsidR="007669DA" w:rsidRPr="007669DA" w14:paraId="116C1455" w14:textId="77777777" w:rsidTr="007669DA">
        <w:trPr>
          <w:trHeight w:val="267"/>
        </w:trPr>
        <w:tc>
          <w:tcPr>
            <w:tcW w:w="590" w:type="dxa"/>
            <w:noWrap/>
            <w:vAlign w:val="center"/>
            <w:hideMark/>
          </w:tcPr>
          <w:p w14:paraId="20EC3999"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4</w:t>
            </w:r>
          </w:p>
        </w:tc>
        <w:tc>
          <w:tcPr>
            <w:tcW w:w="5008" w:type="dxa"/>
            <w:noWrap/>
            <w:vAlign w:val="center"/>
            <w:hideMark/>
          </w:tcPr>
          <w:p w14:paraId="216A5F47"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 xml:space="preserve">The instructor recognizes our creativity and initiative in welding projects. </w:t>
            </w:r>
          </w:p>
        </w:tc>
        <w:tc>
          <w:tcPr>
            <w:tcW w:w="696" w:type="dxa"/>
            <w:noWrap/>
            <w:vAlign w:val="center"/>
            <w:hideMark/>
          </w:tcPr>
          <w:p w14:paraId="08D5DF38"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3.78</w:t>
            </w:r>
          </w:p>
        </w:tc>
        <w:tc>
          <w:tcPr>
            <w:tcW w:w="734" w:type="dxa"/>
            <w:noWrap/>
            <w:vAlign w:val="center"/>
            <w:hideMark/>
          </w:tcPr>
          <w:p w14:paraId="0FE11235"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1.03</w:t>
            </w:r>
          </w:p>
        </w:tc>
        <w:tc>
          <w:tcPr>
            <w:tcW w:w="2260" w:type="dxa"/>
            <w:noWrap/>
            <w:vAlign w:val="center"/>
            <w:hideMark/>
          </w:tcPr>
          <w:p w14:paraId="48842AD5"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High</w:t>
            </w:r>
          </w:p>
        </w:tc>
      </w:tr>
      <w:tr w:rsidR="007669DA" w:rsidRPr="007669DA" w14:paraId="288497BF" w14:textId="77777777" w:rsidTr="007669DA">
        <w:trPr>
          <w:trHeight w:val="267"/>
        </w:trPr>
        <w:tc>
          <w:tcPr>
            <w:tcW w:w="590" w:type="dxa"/>
            <w:noWrap/>
            <w:vAlign w:val="center"/>
            <w:hideMark/>
          </w:tcPr>
          <w:p w14:paraId="7A54CA61"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5</w:t>
            </w:r>
          </w:p>
        </w:tc>
        <w:tc>
          <w:tcPr>
            <w:tcW w:w="5008" w:type="dxa"/>
            <w:noWrap/>
            <w:vAlign w:val="center"/>
            <w:hideMark/>
          </w:tcPr>
          <w:p w14:paraId="21E4F2B6"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 xml:space="preserve">My grades reflect both effort and performance in practical work. </w:t>
            </w:r>
          </w:p>
        </w:tc>
        <w:tc>
          <w:tcPr>
            <w:tcW w:w="696" w:type="dxa"/>
            <w:noWrap/>
            <w:vAlign w:val="center"/>
            <w:hideMark/>
          </w:tcPr>
          <w:p w14:paraId="673FF32D"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3.85</w:t>
            </w:r>
          </w:p>
        </w:tc>
        <w:tc>
          <w:tcPr>
            <w:tcW w:w="734" w:type="dxa"/>
            <w:noWrap/>
            <w:vAlign w:val="center"/>
            <w:hideMark/>
          </w:tcPr>
          <w:p w14:paraId="1B60F4FE"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1.13</w:t>
            </w:r>
          </w:p>
        </w:tc>
        <w:tc>
          <w:tcPr>
            <w:tcW w:w="2260" w:type="dxa"/>
            <w:noWrap/>
            <w:vAlign w:val="center"/>
            <w:hideMark/>
          </w:tcPr>
          <w:p w14:paraId="71A38079"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High</w:t>
            </w:r>
          </w:p>
        </w:tc>
      </w:tr>
      <w:tr w:rsidR="007669DA" w:rsidRPr="007669DA" w14:paraId="3A01D537" w14:textId="77777777" w:rsidTr="007669DA">
        <w:trPr>
          <w:trHeight w:val="278"/>
        </w:trPr>
        <w:tc>
          <w:tcPr>
            <w:tcW w:w="590" w:type="dxa"/>
            <w:noWrap/>
            <w:vAlign w:val="center"/>
            <w:hideMark/>
          </w:tcPr>
          <w:p w14:paraId="01BE428C"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 </w:t>
            </w:r>
          </w:p>
        </w:tc>
        <w:tc>
          <w:tcPr>
            <w:tcW w:w="5008" w:type="dxa"/>
            <w:noWrap/>
            <w:vAlign w:val="center"/>
            <w:hideMark/>
          </w:tcPr>
          <w:p w14:paraId="7B0BA543" w14:textId="77777777" w:rsidR="007669DA" w:rsidRPr="007669DA" w:rsidRDefault="007669DA" w:rsidP="007233F6">
            <w:pPr>
              <w:pStyle w:val="NoSpacing"/>
              <w:jc w:val="center"/>
              <w:rPr>
                <w:rFonts w:ascii="Times New Roman" w:hAnsi="Times New Roman" w:cs="Times New Roman"/>
                <w:b/>
                <w:bCs/>
                <w:color w:val="000000" w:themeColor="text1"/>
                <w:sz w:val="24"/>
                <w:szCs w:val="24"/>
              </w:rPr>
            </w:pPr>
            <w:r w:rsidRPr="007669DA">
              <w:rPr>
                <w:rFonts w:ascii="Times New Roman" w:hAnsi="Times New Roman" w:cs="Times New Roman"/>
                <w:b/>
                <w:bCs/>
                <w:color w:val="000000" w:themeColor="text1"/>
                <w:sz w:val="24"/>
                <w:szCs w:val="24"/>
              </w:rPr>
              <w:t>Aggregate Weighted Mean</w:t>
            </w:r>
          </w:p>
        </w:tc>
        <w:tc>
          <w:tcPr>
            <w:tcW w:w="696" w:type="dxa"/>
            <w:noWrap/>
            <w:vAlign w:val="center"/>
            <w:hideMark/>
          </w:tcPr>
          <w:p w14:paraId="08CFE239" w14:textId="77777777" w:rsidR="007669DA" w:rsidRPr="007669DA" w:rsidRDefault="007669DA" w:rsidP="007233F6">
            <w:pPr>
              <w:pStyle w:val="NoSpacing"/>
              <w:jc w:val="center"/>
              <w:rPr>
                <w:rFonts w:ascii="Times New Roman" w:hAnsi="Times New Roman" w:cs="Times New Roman"/>
                <w:b/>
                <w:bCs/>
                <w:color w:val="000000" w:themeColor="text1"/>
                <w:sz w:val="24"/>
                <w:szCs w:val="24"/>
              </w:rPr>
            </w:pPr>
            <w:r w:rsidRPr="007669DA">
              <w:rPr>
                <w:rFonts w:ascii="Times New Roman" w:hAnsi="Times New Roman" w:cs="Times New Roman"/>
                <w:b/>
                <w:bCs/>
                <w:color w:val="000000" w:themeColor="text1"/>
                <w:sz w:val="24"/>
                <w:szCs w:val="24"/>
              </w:rPr>
              <w:t>3.81</w:t>
            </w:r>
          </w:p>
        </w:tc>
        <w:tc>
          <w:tcPr>
            <w:tcW w:w="734" w:type="dxa"/>
            <w:noWrap/>
            <w:vAlign w:val="center"/>
            <w:hideMark/>
          </w:tcPr>
          <w:p w14:paraId="2A2657E2" w14:textId="77777777" w:rsidR="007669DA" w:rsidRPr="007669DA" w:rsidRDefault="007669DA" w:rsidP="007233F6">
            <w:pPr>
              <w:pStyle w:val="NoSpacing"/>
              <w:jc w:val="center"/>
              <w:rPr>
                <w:rFonts w:ascii="Times New Roman" w:hAnsi="Times New Roman" w:cs="Times New Roman"/>
                <w:b/>
                <w:bCs/>
                <w:color w:val="000000" w:themeColor="text1"/>
                <w:sz w:val="24"/>
                <w:szCs w:val="24"/>
              </w:rPr>
            </w:pPr>
          </w:p>
        </w:tc>
        <w:tc>
          <w:tcPr>
            <w:tcW w:w="2260" w:type="dxa"/>
            <w:noWrap/>
            <w:vAlign w:val="center"/>
            <w:hideMark/>
          </w:tcPr>
          <w:p w14:paraId="1C065544" w14:textId="77777777" w:rsidR="007669DA" w:rsidRPr="007669DA" w:rsidRDefault="007669DA" w:rsidP="007233F6">
            <w:pPr>
              <w:pStyle w:val="NoSpacing"/>
              <w:jc w:val="center"/>
              <w:rPr>
                <w:rFonts w:ascii="Times New Roman" w:hAnsi="Times New Roman" w:cs="Times New Roman"/>
                <w:b/>
                <w:bCs/>
                <w:color w:val="000000" w:themeColor="text1"/>
                <w:sz w:val="24"/>
                <w:szCs w:val="24"/>
              </w:rPr>
            </w:pPr>
            <w:r w:rsidRPr="007669DA">
              <w:rPr>
                <w:rFonts w:ascii="Times New Roman" w:hAnsi="Times New Roman" w:cs="Times New Roman"/>
                <w:b/>
                <w:bCs/>
                <w:color w:val="000000" w:themeColor="text1"/>
                <w:sz w:val="24"/>
                <w:szCs w:val="24"/>
              </w:rPr>
              <w:t>High</w:t>
            </w:r>
          </w:p>
        </w:tc>
      </w:tr>
      <w:tr w:rsidR="007669DA" w:rsidRPr="007669DA" w14:paraId="45BF9AFF" w14:textId="77777777" w:rsidTr="007669DA">
        <w:trPr>
          <w:trHeight w:val="278"/>
        </w:trPr>
        <w:tc>
          <w:tcPr>
            <w:tcW w:w="590" w:type="dxa"/>
            <w:tcBorders>
              <w:bottom w:val="single" w:sz="4" w:space="0" w:color="auto"/>
            </w:tcBorders>
            <w:noWrap/>
            <w:vAlign w:val="center"/>
            <w:hideMark/>
          </w:tcPr>
          <w:p w14:paraId="735D6BB4"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 </w:t>
            </w:r>
          </w:p>
        </w:tc>
        <w:tc>
          <w:tcPr>
            <w:tcW w:w="5008" w:type="dxa"/>
            <w:tcBorders>
              <w:bottom w:val="single" w:sz="4" w:space="0" w:color="auto"/>
            </w:tcBorders>
            <w:noWrap/>
            <w:vAlign w:val="center"/>
            <w:hideMark/>
          </w:tcPr>
          <w:p w14:paraId="61F9D897" w14:textId="77777777" w:rsidR="007669DA" w:rsidRPr="007669DA" w:rsidRDefault="007669DA" w:rsidP="007233F6">
            <w:pPr>
              <w:pStyle w:val="NoSpacing"/>
              <w:jc w:val="center"/>
              <w:rPr>
                <w:rFonts w:ascii="Times New Roman" w:hAnsi="Times New Roman" w:cs="Times New Roman"/>
                <w:b/>
                <w:bCs/>
                <w:color w:val="000000" w:themeColor="text1"/>
                <w:sz w:val="24"/>
                <w:szCs w:val="24"/>
              </w:rPr>
            </w:pPr>
            <w:r w:rsidRPr="007669DA">
              <w:rPr>
                <w:rFonts w:ascii="Times New Roman" w:hAnsi="Times New Roman" w:cs="Times New Roman"/>
                <w:b/>
                <w:bCs/>
                <w:color w:val="000000" w:themeColor="text1"/>
                <w:sz w:val="24"/>
                <w:szCs w:val="24"/>
              </w:rPr>
              <w:t>Aggregate Standard Deviation</w:t>
            </w:r>
          </w:p>
        </w:tc>
        <w:tc>
          <w:tcPr>
            <w:tcW w:w="696" w:type="dxa"/>
            <w:tcBorders>
              <w:bottom w:val="single" w:sz="4" w:space="0" w:color="auto"/>
            </w:tcBorders>
            <w:noWrap/>
            <w:vAlign w:val="center"/>
            <w:hideMark/>
          </w:tcPr>
          <w:p w14:paraId="48F710F7" w14:textId="77777777" w:rsidR="007669DA" w:rsidRPr="007669DA" w:rsidRDefault="007669DA" w:rsidP="007233F6">
            <w:pPr>
              <w:pStyle w:val="NoSpacing"/>
              <w:jc w:val="center"/>
              <w:rPr>
                <w:rFonts w:ascii="Times New Roman" w:hAnsi="Times New Roman" w:cs="Times New Roman"/>
                <w:b/>
                <w:bCs/>
                <w:color w:val="000000" w:themeColor="text1"/>
                <w:sz w:val="24"/>
                <w:szCs w:val="24"/>
              </w:rPr>
            </w:pPr>
          </w:p>
        </w:tc>
        <w:tc>
          <w:tcPr>
            <w:tcW w:w="734" w:type="dxa"/>
            <w:tcBorders>
              <w:bottom w:val="single" w:sz="4" w:space="0" w:color="auto"/>
            </w:tcBorders>
            <w:noWrap/>
            <w:vAlign w:val="center"/>
            <w:hideMark/>
          </w:tcPr>
          <w:p w14:paraId="4952B417" w14:textId="77777777" w:rsidR="007669DA" w:rsidRPr="007669DA" w:rsidRDefault="007669DA" w:rsidP="007233F6">
            <w:pPr>
              <w:pStyle w:val="NoSpacing"/>
              <w:jc w:val="center"/>
              <w:rPr>
                <w:rFonts w:ascii="Times New Roman" w:hAnsi="Times New Roman" w:cs="Times New Roman"/>
                <w:b/>
                <w:bCs/>
                <w:color w:val="000000" w:themeColor="text1"/>
                <w:sz w:val="24"/>
                <w:szCs w:val="24"/>
              </w:rPr>
            </w:pPr>
            <w:r w:rsidRPr="007669DA">
              <w:rPr>
                <w:rFonts w:ascii="Times New Roman" w:hAnsi="Times New Roman" w:cs="Times New Roman"/>
                <w:b/>
                <w:bCs/>
                <w:color w:val="000000" w:themeColor="text1"/>
                <w:sz w:val="24"/>
                <w:szCs w:val="24"/>
              </w:rPr>
              <w:t>1.05</w:t>
            </w:r>
          </w:p>
        </w:tc>
        <w:tc>
          <w:tcPr>
            <w:tcW w:w="2260" w:type="dxa"/>
            <w:tcBorders>
              <w:bottom w:val="single" w:sz="4" w:space="0" w:color="auto"/>
            </w:tcBorders>
            <w:noWrap/>
            <w:vAlign w:val="center"/>
            <w:hideMark/>
          </w:tcPr>
          <w:p w14:paraId="04D3A077" w14:textId="77777777" w:rsidR="007669DA" w:rsidRPr="007669DA" w:rsidRDefault="007669DA" w:rsidP="007233F6">
            <w:pPr>
              <w:pStyle w:val="NoSpacing"/>
              <w:jc w:val="center"/>
              <w:rPr>
                <w:rFonts w:ascii="Times New Roman" w:hAnsi="Times New Roman" w:cs="Times New Roman"/>
                <w:b/>
                <w:bCs/>
                <w:color w:val="000000" w:themeColor="text1"/>
                <w:sz w:val="24"/>
                <w:szCs w:val="24"/>
              </w:rPr>
            </w:pPr>
          </w:p>
        </w:tc>
      </w:tr>
    </w:tbl>
    <w:p w14:paraId="138B3179" w14:textId="77777777" w:rsidR="00DE22D9" w:rsidRPr="005A68A8" w:rsidRDefault="00DE22D9" w:rsidP="00DE22D9">
      <w:pPr>
        <w:spacing w:after="240"/>
        <w:rPr>
          <w:color w:val="000000" w:themeColor="text1"/>
          <w:sz w:val="16"/>
          <w:szCs w:val="14"/>
        </w:rPr>
      </w:pPr>
      <w:r w:rsidRPr="005A68A8">
        <w:rPr>
          <w:b/>
          <w:bCs/>
          <w:color w:val="000000" w:themeColor="text1"/>
          <w:sz w:val="16"/>
          <w:szCs w:val="14"/>
        </w:rPr>
        <w:t>Legend:</w:t>
      </w:r>
      <w:r w:rsidRPr="005A68A8">
        <w:rPr>
          <w:color w:val="000000" w:themeColor="text1"/>
          <w:sz w:val="16"/>
          <w:szCs w:val="14"/>
        </w:rPr>
        <w:t xml:space="preserve"> 4.21-5.00 – Very High; 3.41-4.20 – High; 2.61-3.40 – Moderate; 1.81-2.60 – Low; 1.00-1.80 – Very Low </w:t>
      </w:r>
    </w:p>
    <w:p w14:paraId="03548B24" w14:textId="77777777" w:rsidR="00DE22D9" w:rsidRPr="00DE22D9" w:rsidRDefault="00DE22D9" w:rsidP="00DE22D9">
      <w:pPr>
        <w:spacing w:before="240" w:after="240"/>
        <w:ind w:firstLine="720"/>
        <w:jc w:val="both"/>
        <w:rPr>
          <w:sz w:val="24"/>
          <w:szCs w:val="24"/>
          <w:lang w:val="en-PH"/>
        </w:rPr>
      </w:pPr>
      <w:r w:rsidRPr="00DE22D9">
        <w:rPr>
          <w:sz w:val="24"/>
          <w:szCs w:val="24"/>
          <w:lang w:val="en-PH"/>
        </w:rPr>
        <w:t>Table 12 showed the extent of perception about the practice of differentiated instruction regarding product differentiation from the perspective of the respondents. With the aggregate weighted mean value of 3.81, it was perceived to be at a “High” level of perception. This means that the respondents saw and appreciated the provision of choices offered to them by their instructors for them to exhibit their acquired learning through diverse methods such as projects, reports, and demonstrations. According to the study conducted by Khatter et al. (2024), there is a significant positive impact of student-oriented instructional approaches like project work on students’ engagement, motivation, and participation.</w:t>
      </w:r>
    </w:p>
    <w:p w14:paraId="5D6A8618" w14:textId="77777777" w:rsidR="00DE22D9" w:rsidRPr="00DE22D9" w:rsidRDefault="00DE22D9" w:rsidP="00DE22D9">
      <w:pPr>
        <w:spacing w:before="240" w:after="240"/>
        <w:ind w:firstLine="720"/>
        <w:jc w:val="both"/>
        <w:rPr>
          <w:sz w:val="24"/>
          <w:szCs w:val="24"/>
          <w:lang w:val="en-PH"/>
        </w:rPr>
      </w:pPr>
      <w:r w:rsidRPr="00DE22D9">
        <w:rPr>
          <w:sz w:val="24"/>
          <w:szCs w:val="24"/>
          <w:lang w:val="en-PH"/>
        </w:rPr>
        <w:t>Personalized learning within technical and vocational education and training institutions is proven to increase engagement, skill development, and employability as a result of customized learning processes, despite the challenges that might be encountered while implementing a personalized learning model, thus proving the idea that customization of feedback is important since learners will be aware of their strengths and weaknesses, which will enhance their competencies and effectiveness (Ujah, 2025).</w:t>
      </w:r>
    </w:p>
    <w:p w14:paraId="5AA73264" w14:textId="77777777" w:rsidR="00DE22D9" w:rsidRPr="00DE22D9" w:rsidRDefault="00DE22D9" w:rsidP="00DE22D9">
      <w:pPr>
        <w:spacing w:before="240" w:after="240"/>
        <w:ind w:firstLine="720"/>
        <w:jc w:val="both"/>
        <w:rPr>
          <w:sz w:val="24"/>
          <w:szCs w:val="24"/>
          <w:lang w:val="en-PH"/>
        </w:rPr>
      </w:pPr>
      <w:r w:rsidRPr="00DE22D9">
        <w:rPr>
          <w:sz w:val="24"/>
          <w:szCs w:val="24"/>
          <w:lang w:val="en-PH"/>
        </w:rPr>
        <w:t>Furthermore, mindfulness of teachers plays an essential role in enhancing teacher-student relationship by emotional intelligence in relation to the recognition of students’ creativity and initiative together with grading on both the effort and quality of the outcome of tasks, which is consistent with the implementation of effective product differentiation strategies to account for differences in learning capabilities of learners while at the same time improving classroom interaction (Fatima et al., 2024). These approaches have helped in boosting students’ confidence in their ability to perform tasks effectively.</w:t>
      </w:r>
    </w:p>
    <w:p w14:paraId="19EAC2AC" w14:textId="5B4517D8" w:rsidR="00BB7EF0" w:rsidRDefault="00DE22D9" w:rsidP="00DE22D9">
      <w:pPr>
        <w:spacing w:before="240" w:after="240"/>
        <w:ind w:firstLine="720"/>
        <w:jc w:val="both"/>
        <w:rPr>
          <w:sz w:val="24"/>
          <w:szCs w:val="24"/>
          <w:lang w:val="en-PH"/>
        </w:rPr>
      </w:pPr>
      <w:r w:rsidRPr="00DE22D9">
        <w:rPr>
          <w:sz w:val="24"/>
          <w:szCs w:val="24"/>
          <w:lang w:val="en-PH"/>
        </w:rPr>
        <w:t>In conclusion, the high extent of the perceived product differentiation underscores the significance of the diverse assessment outputs used in aiding the skills acquisition by college welding students. This finding suggests that when educators allow the learners to show their competency in varied forms of presentations, including demonstration, project outcomes, and writing, it is easier for the learners to express themselves effectively. In this case, product differentiation enables students to undertake activities on the basis of their individual strengths, competence levels, and pace of study, hence making the assessment process effective and accurate. Consequently, students feel more confident in undertaking the assignments provided to them and engage actively in learning. The diverse method of assessing the competence of the learners promotes technical and academic competence among the students since they will not be restricted in demonstrating their competencies according to set standards. Overall, product differentiation improves the academic performance of learners because it encourages the demonstration of skills in a flexible manner.</w:t>
      </w:r>
    </w:p>
    <w:p w14:paraId="06212317" w14:textId="5CA907EC" w:rsidR="00DE22D9" w:rsidRPr="00DE22D9" w:rsidRDefault="00DE22D9" w:rsidP="00DE22D9">
      <w:pPr>
        <w:spacing w:before="240" w:after="240"/>
        <w:jc w:val="both"/>
        <w:rPr>
          <w:b/>
          <w:bCs/>
          <w:sz w:val="24"/>
          <w:szCs w:val="24"/>
          <w:lang w:val="en-PH"/>
        </w:rPr>
      </w:pPr>
      <w:r w:rsidRPr="00DE22D9">
        <w:rPr>
          <w:b/>
          <w:bCs/>
          <w:sz w:val="24"/>
          <w:szCs w:val="24"/>
          <w:lang w:val="en-PH"/>
        </w:rPr>
        <w:t>Summary on the Respondents’ Level of Perception on Differentiated Instruction Practices Experienced in Their College Welding Classes</w:t>
      </w:r>
    </w:p>
    <w:p w14:paraId="67BDD28E" w14:textId="44EFE9E8" w:rsidR="00DE22D9" w:rsidRDefault="00DE22D9" w:rsidP="00DE22D9">
      <w:pPr>
        <w:spacing w:before="240" w:after="240"/>
        <w:ind w:firstLine="720"/>
        <w:jc w:val="both"/>
        <w:rPr>
          <w:sz w:val="24"/>
          <w:szCs w:val="24"/>
          <w:lang w:val="en-PH"/>
        </w:rPr>
      </w:pPr>
      <w:r w:rsidRPr="00DE22D9">
        <w:rPr>
          <w:sz w:val="24"/>
          <w:szCs w:val="24"/>
          <w:lang w:val="en-PH"/>
        </w:rPr>
        <w:t>A summary of the perceptions level of the respondents concerning the differentiated instruction practices which they have encountered in their college welding subjects was provided, pointing out the three main factors involved in differentiated instruction: content, process, and product differentiation. These factors were shown through the analysis of mean scores, standard deviations, and description of each category. The results showed a general picture of how students viewed differentiated instruction practices tailored to various learning styles and skills in terms of content, process, and product.</w:t>
      </w:r>
    </w:p>
    <w:p w14:paraId="38249768" w14:textId="75A60872" w:rsidR="00DE22D9" w:rsidRPr="00DE22D9" w:rsidRDefault="00DE22D9" w:rsidP="00DE22D9">
      <w:pPr>
        <w:spacing w:before="240" w:after="240"/>
        <w:jc w:val="both"/>
        <w:rPr>
          <w:b/>
          <w:bCs/>
          <w:sz w:val="24"/>
          <w:szCs w:val="24"/>
          <w:lang w:val="en-PH"/>
        </w:rPr>
      </w:pPr>
      <w:r w:rsidRPr="00DE22D9">
        <w:rPr>
          <w:b/>
          <w:bCs/>
          <w:sz w:val="24"/>
          <w:szCs w:val="24"/>
          <w:lang w:val="en-PH"/>
        </w:rPr>
        <w:t>Table 13</w:t>
      </w:r>
      <w:r w:rsidRPr="00DE22D9">
        <w:rPr>
          <w:b/>
          <w:bCs/>
          <w:sz w:val="24"/>
          <w:szCs w:val="24"/>
          <w:lang w:val="en-PH"/>
        </w:rPr>
        <w:t xml:space="preserve">. </w:t>
      </w:r>
      <w:r w:rsidRPr="00DE22D9">
        <w:rPr>
          <w:b/>
          <w:bCs/>
          <w:sz w:val="24"/>
          <w:szCs w:val="24"/>
          <w:lang w:val="en-PH"/>
        </w:rPr>
        <w:t>Summary on the Respondents’ Level of Perception on</w:t>
      </w:r>
      <w:r w:rsidRPr="00DE22D9">
        <w:rPr>
          <w:b/>
          <w:bCs/>
          <w:sz w:val="24"/>
          <w:szCs w:val="24"/>
          <w:lang w:val="en-PH"/>
        </w:rPr>
        <w:t xml:space="preserve"> </w:t>
      </w:r>
      <w:r w:rsidRPr="00DE22D9">
        <w:rPr>
          <w:b/>
          <w:bCs/>
          <w:sz w:val="24"/>
          <w:szCs w:val="24"/>
          <w:lang w:val="en-PH"/>
        </w:rPr>
        <w:t>Differentiated Instruction Practices Experienced in Their College Welding Classes</w:t>
      </w:r>
    </w:p>
    <w:tbl>
      <w:tblPr>
        <w:tblW w:w="8388" w:type="dxa"/>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4584"/>
        <w:gridCol w:w="694"/>
        <w:gridCol w:w="694"/>
        <w:gridCol w:w="2416"/>
      </w:tblGrid>
      <w:tr w:rsidR="00DE22D9" w:rsidRPr="00DE22D9" w14:paraId="7D8435C5" w14:textId="77777777" w:rsidTr="00DE22D9">
        <w:trPr>
          <w:trHeight w:val="445"/>
        </w:trPr>
        <w:tc>
          <w:tcPr>
            <w:tcW w:w="4584" w:type="dxa"/>
            <w:tcBorders>
              <w:top w:val="single" w:sz="4" w:space="0" w:color="auto"/>
              <w:bottom w:val="single" w:sz="4" w:space="0" w:color="auto"/>
              <w:right w:val="nil"/>
            </w:tcBorders>
            <w:vAlign w:val="center"/>
          </w:tcPr>
          <w:p w14:paraId="7CF1980E" w14:textId="77777777" w:rsidR="00DE22D9" w:rsidRPr="00DE22D9" w:rsidRDefault="00DE22D9" w:rsidP="00DE22D9">
            <w:pPr>
              <w:pStyle w:val="NoSpacing"/>
              <w:spacing w:line="360" w:lineRule="auto"/>
              <w:jc w:val="center"/>
              <w:rPr>
                <w:rFonts w:ascii="Times New Roman" w:hAnsi="Times New Roman" w:cs="Times New Roman"/>
                <w:b/>
                <w:color w:val="000000" w:themeColor="text1"/>
                <w:sz w:val="24"/>
                <w:szCs w:val="24"/>
              </w:rPr>
            </w:pPr>
            <w:r w:rsidRPr="00DE22D9">
              <w:rPr>
                <w:rFonts w:ascii="Times New Roman" w:hAnsi="Times New Roman" w:cs="Times New Roman"/>
                <w:b/>
                <w:color w:val="000000" w:themeColor="text1"/>
                <w:sz w:val="24"/>
                <w:szCs w:val="24"/>
              </w:rPr>
              <w:t>Components</w:t>
            </w:r>
          </w:p>
        </w:tc>
        <w:tc>
          <w:tcPr>
            <w:tcW w:w="694" w:type="dxa"/>
            <w:tcBorders>
              <w:top w:val="single" w:sz="4" w:space="0" w:color="auto"/>
              <w:left w:val="nil"/>
              <w:bottom w:val="single" w:sz="4" w:space="0" w:color="auto"/>
              <w:right w:val="nil"/>
            </w:tcBorders>
            <w:vAlign w:val="center"/>
          </w:tcPr>
          <w:p w14:paraId="5B633F87" w14:textId="77777777" w:rsidR="00DE22D9" w:rsidRPr="00DE22D9" w:rsidRDefault="00DE22D9" w:rsidP="00DE22D9">
            <w:pPr>
              <w:pStyle w:val="NoSpacing"/>
              <w:spacing w:line="360" w:lineRule="auto"/>
              <w:jc w:val="center"/>
              <w:rPr>
                <w:rFonts w:ascii="Times New Roman" w:hAnsi="Times New Roman" w:cs="Times New Roman"/>
                <w:b/>
                <w:color w:val="000000" w:themeColor="text1"/>
                <w:sz w:val="24"/>
                <w:szCs w:val="24"/>
              </w:rPr>
            </w:pPr>
            <w:r w:rsidRPr="00DE22D9">
              <w:rPr>
                <w:rFonts w:ascii="Times New Roman" w:hAnsi="Times New Roman" w:cs="Times New Roman"/>
                <w:b/>
                <w:color w:val="000000" w:themeColor="text1"/>
                <w:sz w:val="24"/>
                <w:szCs w:val="24"/>
              </w:rPr>
              <w:t>WM</w:t>
            </w:r>
          </w:p>
        </w:tc>
        <w:tc>
          <w:tcPr>
            <w:tcW w:w="694" w:type="dxa"/>
            <w:tcBorders>
              <w:top w:val="single" w:sz="4" w:space="0" w:color="auto"/>
              <w:left w:val="nil"/>
              <w:bottom w:val="single" w:sz="4" w:space="0" w:color="auto"/>
              <w:right w:val="nil"/>
            </w:tcBorders>
            <w:vAlign w:val="center"/>
          </w:tcPr>
          <w:p w14:paraId="0989145C" w14:textId="77777777" w:rsidR="00DE22D9" w:rsidRPr="00DE22D9" w:rsidRDefault="00DE22D9" w:rsidP="00DE22D9">
            <w:pPr>
              <w:pStyle w:val="NoSpacing"/>
              <w:spacing w:line="360" w:lineRule="auto"/>
              <w:jc w:val="center"/>
              <w:rPr>
                <w:rFonts w:ascii="Times New Roman" w:hAnsi="Times New Roman" w:cs="Times New Roman"/>
                <w:b/>
                <w:color w:val="000000" w:themeColor="text1"/>
                <w:sz w:val="24"/>
                <w:szCs w:val="24"/>
              </w:rPr>
            </w:pPr>
            <w:r w:rsidRPr="00DE22D9">
              <w:rPr>
                <w:rFonts w:ascii="Times New Roman" w:hAnsi="Times New Roman" w:cs="Times New Roman"/>
                <w:b/>
                <w:color w:val="000000" w:themeColor="text1"/>
                <w:sz w:val="24"/>
                <w:szCs w:val="24"/>
              </w:rPr>
              <w:t>SD</w:t>
            </w:r>
          </w:p>
        </w:tc>
        <w:tc>
          <w:tcPr>
            <w:tcW w:w="2416" w:type="dxa"/>
            <w:tcBorders>
              <w:top w:val="single" w:sz="4" w:space="0" w:color="auto"/>
              <w:left w:val="nil"/>
              <w:bottom w:val="single" w:sz="4" w:space="0" w:color="auto"/>
            </w:tcBorders>
            <w:vAlign w:val="center"/>
          </w:tcPr>
          <w:p w14:paraId="6ADEB9A1" w14:textId="77777777" w:rsidR="00DE22D9" w:rsidRPr="00DE22D9" w:rsidRDefault="00DE22D9" w:rsidP="00DE22D9">
            <w:pPr>
              <w:pStyle w:val="NoSpacing"/>
              <w:spacing w:line="360" w:lineRule="auto"/>
              <w:jc w:val="center"/>
              <w:rPr>
                <w:rFonts w:ascii="Times New Roman" w:hAnsi="Times New Roman" w:cs="Times New Roman"/>
                <w:b/>
                <w:color w:val="000000" w:themeColor="text1"/>
                <w:sz w:val="24"/>
                <w:szCs w:val="24"/>
              </w:rPr>
            </w:pPr>
            <w:r w:rsidRPr="00DE22D9">
              <w:rPr>
                <w:rFonts w:ascii="Times New Roman" w:hAnsi="Times New Roman" w:cs="Times New Roman"/>
                <w:b/>
                <w:color w:val="000000" w:themeColor="text1"/>
                <w:sz w:val="24"/>
                <w:szCs w:val="24"/>
              </w:rPr>
              <w:t>Verbal Description</w:t>
            </w:r>
          </w:p>
        </w:tc>
      </w:tr>
      <w:tr w:rsidR="00DE22D9" w:rsidRPr="00DE22D9" w14:paraId="7EDD174B" w14:textId="77777777" w:rsidTr="00DE22D9">
        <w:trPr>
          <w:trHeight w:val="170"/>
        </w:trPr>
        <w:tc>
          <w:tcPr>
            <w:tcW w:w="4584" w:type="dxa"/>
            <w:tcBorders>
              <w:top w:val="single" w:sz="4" w:space="0" w:color="auto"/>
              <w:bottom w:val="nil"/>
              <w:right w:val="nil"/>
            </w:tcBorders>
            <w:vAlign w:val="center"/>
          </w:tcPr>
          <w:p w14:paraId="540FB024"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Content Differentiation</w:t>
            </w:r>
          </w:p>
        </w:tc>
        <w:tc>
          <w:tcPr>
            <w:tcW w:w="694" w:type="dxa"/>
            <w:tcBorders>
              <w:top w:val="nil"/>
              <w:left w:val="nil"/>
              <w:bottom w:val="nil"/>
              <w:right w:val="nil"/>
            </w:tcBorders>
            <w:vAlign w:val="center"/>
          </w:tcPr>
          <w:p w14:paraId="78E52C5E"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3.78</w:t>
            </w:r>
          </w:p>
        </w:tc>
        <w:tc>
          <w:tcPr>
            <w:tcW w:w="694" w:type="dxa"/>
            <w:tcBorders>
              <w:top w:val="nil"/>
              <w:left w:val="nil"/>
              <w:bottom w:val="nil"/>
              <w:right w:val="nil"/>
            </w:tcBorders>
            <w:vAlign w:val="center"/>
          </w:tcPr>
          <w:p w14:paraId="0AE40372"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1.15</w:t>
            </w:r>
          </w:p>
        </w:tc>
        <w:tc>
          <w:tcPr>
            <w:tcW w:w="2416" w:type="dxa"/>
            <w:tcBorders>
              <w:top w:val="single" w:sz="4" w:space="0" w:color="auto"/>
              <w:left w:val="nil"/>
              <w:bottom w:val="nil"/>
            </w:tcBorders>
            <w:vAlign w:val="center"/>
          </w:tcPr>
          <w:p w14:paraId="6864D21A"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High</w:t>
            </w:r>
          </w:p>
        </w:tc>
      </w:tr>
      <w:tr w:rsidR="00DE22D9" w:rsidRPr="00DE22D9" w14:paraId="64DE75BA" w14:textId="77777777" w:rsidTr="00DE22D9">
        <w:trPr>
          <w:trHeight w:val="207"/>
        </w:trPr>
        <w:tc>
          <w:tcPr>
            <w:tcW w:w="4584" w:type="dxa"/>
            <w:tcBorders>
              <w:top w:val="nil"/>
              <w:bottom w:val="nil"/>
              <w:right w:val="nil"/>
            </w:tcBorders>
            <w:vAlign w:val="center"/>
          </w:tcPr>
          <w:p w14:paraId="02D38F03"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Process Differentiation</w:t>
            </w:r>
          </w:p>
        </w:tc>
        <w:tc>
          <w:tcPr>
            <w:tcW w:w="694" w:type="dxa"/>
            <w:tcBorders>
              <w:top w:val="nil"/>
              <w:left w:val="nil"/>
              <w:bottom w:val="nil"/>
              <w:right w:val="nil"/>
            </w:tcBorders>
            <w:vAlign w:val="center"/>
          </w:tcPr>
          <w:p w14:paraId="092215D3"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3.82</w:t>
            </w:r>
          </w:p>
        </w:tc>
        <w:tc>
          <w:tcPr>
            <w:tcW w:w="694" w:type="dxa"/>
            <w:tcBorders>
              <w:top w:val="nil"/>
              <w:left w:val="nil"/>
              <w:bottom w:val="nil"/>
              <w:right w:val="nil"/>
            </w:tcBorders>
            <w:vAlign w:val="center"/>
          </w:tcPr>
          <w:p w14:paraId="7BABE7D0"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1.10</w:t>
            </w:r>
          </w:p>
        </w:tc>
        <w:tc>
          <w:tcPr>
            <w:tcW w:w="2416" w:type="dxa"/>
            <w:tcBorders>
              <w:top w:val="nil"/>
              <w:left w:val="nil"/>
              <w:bottom w:val="nil"/>
            </w:tcBorders>
            <w:vAlign w:val="center"/>
          </w:tcPr>
          <w:p w14:paraId="0CE9152F"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High</w:t>
            </w:r>
          </w:p>
        </w:tc>
      </w:tr>
      <w:tr w:rsidR="00DE22D9" w:rsidRPr="00DE22D9" w14:paraId="027952DA" w14:textId="77777777" w:rsidTr="00DE22D9">
        <w:trPr>
          <w:trHeight w:val="84"/>
        </w:trPr>
        <w:tc>
          <w:tcPr>
            <w:tcW w:w="4584" w:type="dxa"/>
            <w:tcBorders>
              <w:top w:val="nil"/>
              <w:bottom w:val="nil"/>
              <w:right w:val="nil"/>
            </w:tcBorders>
            <w:vAlign w:val="center"/>
          </w:tcPr>
          <w:p w14:paraId="45574F9D"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Product Differentiation</w:t>
            </w:r>
          </w:p>
        </w:tc>
        <w:tc>
          <w:tcPr>
            <w:tcW w:w="694" w:type="dxa"/>
            <w:tcBorders>
              <w:top w:val="nil"/>
              <w:left w:val="nil"/>
              <w:bottom w:val="nil"/>
              <w:right w:val="nil"/>
            </w:tcBorders>
            <w:vAlign w:val="center"/>
          </w:tcPr>
          <w:p w14:paraId="41961B38"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3.81</w:t>
            </w:r>
          </w:p>
        </w:tc>
        <w:tc>
          <w:tcPr>
            <w:tcW w:w="694" w:type="dxa"/>
            <w:tcBorders>
              <w:top w:val="nil"/>
              <w:left w:val="nil"/>
              <w:bottom w:val="nil"/>
              <w:right w:val="nil"/>
            </w:tcBorders>
            <w:vAlign w:val="center"/>
          </w:tcPr>
          <w:p w14:paraId="369EFD60"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1.05</w:t>
            </w:r>
          </w:p>
        </w:tc>
        <w:tc>
          <w:tcPr>
            <w:tcW w:w="2416" w:type="dxa"/>
            <w:tcBorders>
              <w:top w:val="nil"/>
              <w:left w:val="nil"/>
              <w:bottom w:val="nil"/>
            </w:tcBorders>
            <w:vAlign w:val="center"/>
          </w:tcPr>
          <w:p w14:paraId="0C6B110A"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High</w:t>
            </w:r>
          </w:p>
        </w:tc>
      </w:tr>
      <w:tr w:rsidR="00DE22D9" w:rsidRPr="00DE22D9" w14:paraId="5B4957CE" w14:textId="77777777" w:rsidTr="00DE22D9">
        <w:trPr>
          <w:trHeight w:val="84"/>
        </w:trPr>
        <w:tc>
          <w:tcPr>
            <w:tcW w:w="4584" w:type="dxa"/>
            <w:tcBorders>
              <w:top w:val="nil"/>
              <w:bottom w:val="nil"/>
              <w:right w:val="nil"/>
            </w:tcBorders>
            <w:vAlign w:val="center"/>
          </w:tcPr>
          <w:p w14:paraId="036C1ABD"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lang w:val="en-PH"/>
              </w:rPr>
            </w:pPr>
            <w:r w:rsidRPr="00DE22D9">
              <w:rPr>
                <w:rFonts w:ascii="Times New Roman" w:hAnsi="Times New Roman" w:cs="Times New Roman"/>
                <w:b/>
                <w:bCs/>
                <w:color w:val="000000" w:themeColor="text1"/>
                <w:sz w:val="24"/>
                <w:szCs w:val="24"/>
              </w:rPr>
              <w:t>Grand Mean</w:t>
            </w:r>
          </w:p>
        </w:tc>
        <w:tc>
          <w:tcPr>
            <w:tcW w:w="694" w:type="dxa"/>
            <w:tcBorders>
              <w:top w:val="nil"/>
              <w:left w:val="nil"/>
              <w:bottom w:val="nil"/>
              <w:right w:val="nil"/>
            </w:tcBorders>
            <w:vAlign w:val="center"/>
          </w:tcPr>
          <w:p w14:paraId="654A7836"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b/>
                <w:bCs/>
                <w:color w:val="000000" w:themeColor="text1"/>
                <w:sz w:val="24"/>
                <w:szCs w:val="24"/>
              </w:rPr>
              <w:t>3.80</w:t>
            </w:r>
          </w:p>
        </w:tc>
        <w:tc>
          <w:tcPr>
            <w:tcW w:w="694" w:type="dxa"/>
            <w:tcBorders>
              <w:top w:val="nil"/>
              <w:left w:val="nil"/>
              <w:bottom w:val="nil"/>
              <w:right w:val="nil"/>
            </w:tcBorders>
            <w:vAlign w:val="center"/>
          </w:tcPr>
          <w:p w14:paraId="74F29F40"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p>
        </w:tc>
        <w:tc>
          <w:tcPr>
            <w:tcW w:w="2416" w:type="dxa"/>
            <w:tcBorders>
              <w:top w:val="nil"/>
              <w:left w:val="nil"/>
              <w:bottom w:val="nil"/>
            </w:tcBorders>
            <w:vAlign w:val="bottom"/>
          </w:tcPr>
          <w:p w14:paraId="1AD43D88" w14:textId="77777777" w:rsidR="00DE22D9" w:rsidRPr="00DE22D9" w:rsidRDefault="00DE22D9" w:rsidP="00DE22D9">
            <w:pPr>
              <w:pStyle w:val="NoSpacing"/>
              <w:contextualSpacing/>
              <w:jc w:val="center"/>
              <w:rPr>
                <w:rFonts w:ascii="Times New Roman" w:hAnsi="Times New Roman" w:cs="Times New Roman"/>
                <w:b/>
                <w:bCs/>
                <w:color w:val="000000" w:themeColor="text1"/>
                <w:sz w:val="24"/>
                <w:szCs w:val="24"/>
              </w:rPr>
            </w:pPr>
            <w:r w:rsidRPr="00DE22D9">
              <w:rPr>
                <w:rFonts w:ascii="Times New Roman" w:hAnsi="Times New Roman" w:cs="Times New Roman"/>
                <w:b/>
                <w:bCs/>
                <w:color w:val="000000" w:themeColor="text1"/>
                <w:sz w:val="24"/>
                <w:szCs w:val="24"/>
              </w:rPr>
              <w:t>High</w:t>
            </w:r>
          </w:p>
        </w:tc>
      </w:tr>
      <w:tr w:rsidR="00DE22D9" w:rsidRPr="00DE22D9" w14:paraId="756EA4DB" w14:textId="77777777" w:rsidTr="00DE22D9">
        <w:trPr>
          <w:trHeight w:val="84"/>
        </w:trPr>
        <w:tc>
          <w:tcPr>
            <w:tcW w:w="4584" w:type="dxa"/>
            <w:tcBorders>
              <w:top w:val="nil"/>
              <w:bottom w:val="single" w:sz="4" w:space="0" w:color="auto"/>
              <w:right w:val="nil"/>
            </w:tcBorders>
            <w:vAlign w:val="center"/>
          </w:tcPr>
          <w:p w14:paraId="27BA6C07"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lang w:val="en-PH"/>
              </w:rPr>
            </w:pPr>
            <w:r w:rsidRPr="00DE22D9">
              <w:rPr>
                <w:rFonts w:ascii="Times New Roman" w:hAnsi="Times New Roman" w:cs="Times New Roman"/>
                <w:b/>
                <w:bCs/>
                <w:color w:val="000000" w:themeColor="text1"/>
                <w:sz w:val="24"/>
                <w:szCs w:val="24"/>
              </w:rPr>
              <w:t>Grand Standard Deviation</w:t>
            </w:r>
          </w:p>
        </w:tc>
        <w:tc>
          <w:tcPr>
            <w:tcW w:w="694" w:type="dxa"/>
            <w:tcBorders>
              <w:top w:val="nil"/>
              <w:left w:val="nil"/>
              <w:bottom w:val="single" w:sz="4" w:space="0" w:color="auto"/>
              <w:right w:val="nil"/>
            </w:tcBorders>
            <w:vAlign w:val="center"/>
          </w:tcPr>
          <w:p w14:paraId="35CF1B7D"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p>
        </w:tc>
        <w:tc>
          <w:tcPr>
            <w:tcW w:w="694" w:type="dxa"/>
            <w:tcBorders>
              <w:top w:val="nil"/>
              <w:left w:val="nil"/>
              <w:bottom w:val="single" w:sz="4" w:space="0" w:color="auto"/>
              <w:right w:val="nil"/>
            </w:tcBorders>
            <w:vAlign w:val="center"/>
          </w:tcPr>
          <w:p w14:paraId="655E672B"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b/>
                <w:bCs/>
                <w:color w:val="000000" w:themeColor="text1"/>
                <w:sz w:val="24"/>
                <w:szCs w:val="24"/>
              </w:rPr>
              <w:t>1.10</w:t>
            </w:r>
          </w:p>
        </w:tc>
        <w:tc>
          <w:tcPr>
            <w:tcW w:w="2416" w:type="dxa"/>
            <w:tcBorders>
              <w:top w:val="nil"/>
              <w:left w:val="nil"/>
              <w:bottom w:val="single" w:sz="4" w:space="0" w:color="auto"/>
            </w:tcBorders>
            <w:vAlign w:val="center"/>
          </w:tcPr>
          <w:p w14:paraId="71A8D7E0"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p>
        </w:tc>
      </w:tr>
    </w:tbl>
    <w:p w14:paraId="3A6EED5D" w14:textId="77777777" w:rsidR="00FB027E" w:rsidRPr="00FB027E" w:rsidRDefault="00FB027E" w:rsidP="00FB027E">
      <w:pPr>
        <w:spacing w:before="240" w:after="240"/>
        <w:ind w:firstLine="720"/>
        <w:jc w:val="both"/>
        <w:rPr>
          <w:sz w:val="24"/>
          <w:szCs w:val="24"/>
          <w:lang w:val="en-PH"/>
        </w:rPr>
      </w:pPr>
      <w:r w:rsidRPr="00FB027E">
        <w:rPr>
          <w:sz w:val="24"/>
          <w:szCs w:val="24"/>
          <w:lang w:val="en-PH"/>
        </w:rPr>
        <w:t>The findings from Table 13 showed the level of perception by the respondents with regard to differentiated instruction strategies in terms of their experiences in the welding classes in college through the following three variables: content, process, and product differentiations. The findings revealed high mean scores for content (3.78), process (3.82), and product (3.81) differentiations, which imply that these differentiated instructions were highly effective in facilitating learning.</w:t>
      </w:r>
    </w:p>
    <w:p w14:paraId="6DA72D40" w14:textId="4C94E313" w:rsidR="00DE22D9" w:rsidRDefault="00FB027E" w:rsidP="00FB027E">
      <w:pPr>
        <w:spacing w:before="240" w:after="240"/>
        <w:ind w:firstLine="720"/>
        <w:jc w:val="both"/>
        <w:rPr>
          <w:sz w:val="24"/>
          <w:szCs w:val="24"/>
          <w:lang w:val="en-PH"/>
        </w:rPr>
      </w:pPr>
      <w:r w:rsidRPr="00FB027E">
        <w:rPr>
          <w:sz w:val="24"/>
          <w:szCs w:val="24"/>
          <w:lang w:val="en-PH"/>
        </w:rPr>
        <w:t>This is consistent with findings in the study on the importance of the perceptions of the teachers for an effective application of differentiated learning, since the high content differentiation shows that the instructors can make the material suitable according to the different levels of competence, thus improving understanding of the theory on welding concepts and academic preparation (Helmi et al., 2023). Also, differentiation increases engagement and academic achievement, which is consistent with the conclusions made by the researchers that differentiation results in engagement and improved academic success, since the high score in process differentiation reveals that the students learned in their own pace, received step-by-step instructions during welding practices, and were given feedback, resulting in improvement of their competencies (</w:t>
      </w:r>
      <w:proofErr w:type="spellStart"/>
      <w:r w:rsidRPr="00FB027E">
        <w:rPr>
          <w:sz w:val="24"/>
          <w:szCs w:val="24"/>
          <w:lang w:val="en-PH"/>
        </w:rPr>
        <w:t>Goyibova</w:t>
      </w:r>
      <w:proofErr w:type="spellEnd"/>
      <w:r w:rsidRPr="00FB027E">
        <w:rPr>
          <w:sz w:val="24"/>
          <w:szCs w:val="24"/>
          <w:lang w:val="en-PH"/>
        </w:rPr>
        <w:t xml:space="preserve"> et al., 2025). Moreover, differentiated learning also helps to improve creativity and talent among the learners, as high perception of product differentiation proves that the students were able to deliver their outcomes in various ways, received appreciation for their creativity, and were graded based on efforts and achievements (Qorib, 2024).Overall, the high level of perception across all components indicated that differentiated instruction practices were effectively implemented in college welding classes. These strategies not only supported the development of welding competencies but also complemented the academic and technical foundation students had gained from Senior High School, thereby contributing to improved academic performance and preparedness in college-level welding courses.</w:t>
      </w:r>
    </w:p>
    <w:p w14:paraId="6335AF86" w14:textId="657AF1C5" w:rsidR="00DE22D9" w:rsidRPr="00FB027E" w:rsidRDefault="00FB027E" w:rsidP="00FB027E">
      <w:pPr>
        <w:spacing w:before="240" w:after="240"/>
        <w:jc w:val="both"/>
        <w:rPr>
          <w:b/>
          <w:bCs/>
          <w:sz w:val="24"/>
          <w:szCs w:val="24"/>
          <w:lang w:val="en-PH"/>
        </w:rPr>
      </w:pPr>
      <w:r w:rsidRPr="00FB027E">
        <w:rPr>
          <w:b/>
          <w:bCs/>
          <w:sz w:val="24"/>
          <w:szCs w:val="24"/>
          <w:lang w:val="en-PH"/>
        </w:rPr>
        <w:t>TEST OF SIGNIFICANCE OF RELATIONSHIP BETWEEN RESPONDENTS’ PERCEPTION ON SHS WELDING COMPETENCIES AND DIFFERENTIATED INSTRUCTION PRACTICES EXPERIENCED</w:t>
      </w:r>
    </w:p>
    <w:p w14:paraId="07060151" w14:textId="440835F6" w:rsidR="00FB027E" w:rsidRDefault="00FB027E" w:rsidP="00FB027E">
      <w:pPr>
        <w:spacing w:before="240" w:after="240"/>
        <w:ind w:firstLine="720"/>
        <w:jc w:val="both"/>
        <w:rPr>
          <w:sz w:val="24"/>
          <w:szCs w:val="24"/>
          <w:lang w:val="en-PH"/>
        </w:rPr>
      </w:pPr>
      <w:r w:rsidRPr="00FB027E">
        <w:rPr>
          <w:sz w:val="24"/>
          <w:szCs w:val="24"/>
          <w:lang w:val="en-PH"/>
        </w:rPr>
        <w:t xml:space="preserve">Test for the correlation between students' perception of SHS welding skills and perception of differentiated instruction was conducted. The test entails the </w:t>
      </w:r>
      <w:proofErr w:type="spellStart"/>
      <w:r w:rsidRPr="00FB027E">
        <w:rPr>
          <w:sz w:val="24"/>
          <w:szCs w:val="24"/>
          <w:lang w:val="en-PH"/>
        </w:rPr>
        <w:t>r-value</w:t>
      </w:r>
      <w:proofErr w:type="spellEnd"/>
      <w:r w:rsidRPr="00FB027E">
        <w:rPr>
          <w:sz w:val="24"/>
          <w:szCs w:val="24"/>
          <w:lang w:val="en-PH"/>
        </w:rPr>
        <w:t>, strength of correlation, p-value, and the null hypothesis decision. It proved if there was a significant correlation between students' welding skills acquired in high school and the use of differentiated instruction in college welding courses. This enabled one to find out if the skills acquired in high schools influenced the students' perception of differentiated instruction in college, as presented in Table 14 below.</w:t>
      </w:r>
    </w:p>
    <w:p w14:paraId="7695C581" w14:textId="6A551D31" w:rsidR="00DE22D9" w:rsidRPr="005E7DD8" w:rsidRDefault="00FB027E" w:rsidP="00FB027E">
      <w:pPr>
        <w:spacing w:before="240" w:after="240"/>
        <w:jc w:val="both"/>
        <w:rPr>
          <w:b/>
          <w:bCs/>
          <w:sz w:val="24"/>
          <w:szCs w:val="24"/>
          <w:lang w:val="en-PH"/>
        </w:rPr>
      </w:pPr>
      <w:r w:rsidRPr="005E7DD8">
        <w:rPr>
          <w:b/>
          <w:bCs/>
          <w:sz w:val="24"/>
          <w:szCs w:val="24"/>
          <w:lang w:val="en-PH"/>
        </w:rPr>
        <w:t>Table 14</w:t>
      </w:r>
      <w:r w:rsidRPr="005E7DD8">
        <w:rPr>
          <w:b/>
          <w:bCs/>
          <w:sz w:val="24"/>
          <w:szCs w:val="24"/>
          <w:lang w:val="en-PH"/>
        </w:rPr>
        <w:t xml:space="preserve">. </w:t>
      </w:r>
      <w:r w:rsidRPr="005E7DD8">
        <w:rPr>
          <w:b/>
          <w:bCs/>
          <w:sz w:val="24"/>
          <w:szCs w:val="24"/>
          <w:lang w:val="en-PH"/>
        </w:rPr>
        <w:t>Test of Significance of Relationship Between Respondents’ Perception on SHS Welding Competencies and Differentiated Instruction Practices Experienced</w:t>
      </w:r>
    </w:p>
    <w:tbl>
      <w:tblPr>
        <w:tblW w:w="8655" w:type="dxa"/>
        <w:tblLayout w:type="fixed"/>
        <w:tblLook w:val="04A0" w:firstRow="1" w:lastRow="0" w:firstColumn="1" w:lastColumn="0" w:noHBand="0" w:noVBand="1"/>
      </w:tblPr>
      <w:tblGrid>
        <w:gridCol w:w="1908"/>
        <w:gridCol w:w="1260"/>
        <w:gridCol w:w="1797"/>
        <w:gridCol w:w="1170"/>
        <w:gridCol w:w="1236"/>
        <w:gridCol w:w="1284"/>
      </w:tblGrid>
      <w:tr w:rsidR="00FB027E" w:rsidRPr="005E7DD8" w14:paraId="6E946E5B" w14:textId="77777777" w:rsidTr="00FB027E">
        <w:trPr>
          <w:trHeight w:val="537"/>
        </w:trPr>
        <w:tc>
          <w:tcPr>
            <w:tcW w:w="1908" w:type="dxa"/>
            <w:tcBorders>
              <w:top w:val="single" w:sz="4" w:space="0" w:color="auto"/>
              <w:bottom w:val="single" w:sz="4" w:space="0" w:color="auto"/>
            </w:tcBorders>
            <w:vAlign w:val="center"/>
          </w:tcPr>
          <w:p w14:paraId="4338928E" w14:textId="77777777" w:rsidR="00FB027E" w:rsidRPr="005E7DD8" w:rsidRDefault="00FB027E" w:rsidP="007233F6">
            <w:pPr>
              <w:jc w:val="center"/>
              <w:rPr>
                <w:bCs/>
                <w:color w:val="000000" w:themeColor="text1"/>
                <w:sz w:val="24"/>
                <w:szCs w:val="24"/>
              </w:rPr>
            </w:pPr>
            <w:r w:rsidRPr="005E7DD8">
              <w:rPr>
                <w:color w:val="000000" w:themeColor="text1"/>
                <w:sz w:val="24"/>
                <w:szCs w:val="24"/>
              </w:rPr>
              <w:t>Variables</w:t>
            </w:r>
          </w:p>
        </w:tc>
        <w:tc>
          <w:tcPr>
            <w:tcW w:w="1260" w:type="dxa"/>
            <w:tcBorders>
              <w:top w:val="single" w:sz="4" w:space="0" w:color="auto"/>
              <w:bottom w:val="single" w:sz="4" w:space="0" w:color="auto"/>
            </w:tcBorders>
            <w:vAlign w:val="center"/>
          </w:tcPr>
          <w:p w14:paraId="6C5B39E2" w14:textId="77777777" w:rsidR="00FB027E" w:rsidRPr="005E7DD8" w:rsidRDefault="00FB027E" w:rsidP="007233F6">
            <w:pPr>
              <w:jc w:val="center"/>
              <w:rPr>
                <w:bCs/>
                <w:color w:val="000000" w:themeColor="text1"/>
                <w:sz w:val="24"/>
                <w:szCs w:val="24"/>
              </w:rPr>
            </w:pPr>
            <w:proofErr w:type="spellStart"/>
            <w:r w:rsidRPr="005E7DD8">
              <w:rPr>
                <w:bCs/>
                <w:color w:val="000000" w:themeColor="text1"/>
                <w:sz w:val="24"/>
                <w:szCs w:val="24"/>
              </w:rPr>
              <w:t>r-value</w:t>
            </w:r>
            <w:proofErr w:type="spellEnd"/>
          </w:p>
        </w:tc>
        <w:tc>
          <w:tcPr>
            <w:tcW w:w="1797" w:type="dxa"/>
            <w:tcBorders>
              <w:top w:val="single" w:sz="4" w:space="0" w:color="auto"/>
              <w:bottom w:val="single" w:sz="4" w:space="0" w:color="auto"/>
            </w:tcBorders>
            <w:vAlign w:val="center"/>
          </w:tcPr>
          <w:p w14:paraId="02C88D50" w14:textId="77777777" w:rsidR="00FB027E" w:rsidRPr="005E7DD8" w:rsidRDefault="00FB027E" w:rsidP="007233F6">
            <w:pPr>
              <w:jc w:val="center"/>
              <w:rPr>
                <w:bCs/>
                <w:color w:val="000000" w:themeColor="text1"/>
                <w:sz w:val="24"/>
                <w:szCs w:val="24"/>
              </w:rPr>
            </w:pPr>
            <w:r w:rsidRPr="005E7DD8">
              <w:rPr>
                <w:bCs/>
                <w:color w:val="000000" w:themeColor="text1"/>
                <w:sz w:val="24"/>
                <w:szCs w:val="24"/>
              </w:rPr>
              <w:t>Strength of Correlation</w:t>
            </w:r>
          </w:p>
        </w:tc>
        <w:tc>
          <w:tcPr>
            <w:tcW w:w="1170" w:type="dxa"/>
            <w:tcBorders>
              <w:top w:val="single" w:sz="4" w:space="0" w:color="auto"/>
              <w:bottom w:val="single" w:sz="4" w:space="0" w:color="auto"/>
            </w:tcBorders>
            <w:vAlign w:val="center"/>
          </w:tcPr>
          <w:p w14:paraId="62E1F36D" w14:textId="77777777" w:rsidR="00FB027E" w:rsidRPr="005E7DD8" w:rsidRDefault="00FB027E" w:rsidP="007233F6">
            <w:pPr>
              <w:jc w:val="center"/>
              <w:rPr>
                <w:bCs/>
                <w:color w:val="000000" w:themeColor="text1"/>
                <w:sz w:val="24"/>
                <w:szCs w:val="24"/>
              </w:rPr>
            </w:pPr>
            <w:r w:rsidRPr="005E7DD8">
              <w:rPr>
                <w:color w:val="000000" w:themeColor="text1"/>
                <w:sz w:val="24"/>
                <w:szCs w:val="24"/>
              </w:rPr>
              <w:t>p-value</w:t>
            </w:r>
          </w:p>
        </w:tc>
        <w:tc>
          <w:tcPr>
            <w:tcW w:w="1236" w:type="dxa"/>
            <w:tcBorders>
              <w:top w:val="single" w:sz="4" w:space="0" w:color="auto"/>
              <w:bottom w:val="single" w:sz="4" w:space="0" w:color="auto"/>
            </w:tcBorders>
            <w:vAlign w:val="center"/>
          </w:tcPr>
          <w:p w14:paraId="114493BD" w14:textId="77777777" w:rsidR="00FB027E" w:rsidRPr="005E7DD8" w:rsidRDefault="00FB027E" w:rsidP="007233F6">
            <w:pPr>
              <w:jc w:val="center"/>
              <w:rPr>
                <w:color w:val="000000" w:themeColor="text1"/>
                <w:sz w:val="24"/>
                <w:szCs w:val="24"/>
              </w:rPr>
            </w:pPr>
            <w:r w:rsidRPr="005E7DD8">
              <w:rPr>
                <w:color w:val="000000" w:themeColor="text1"/>
                <w:sz w:val="24"/>
                <w:szCs w:val="24"/>
              </w:rPr>
              <w:t>Decision</w:t>
            </w:r>
          </w:p>
        </w:tc>
        <w:tc>
          <w:tcPr>
            <w:tcW w:w="1284" w:type="dxa"/>
            <w:tcBorders>
              <w:top w:val="single" w:sz="4" w:space="0" w:color="auto"/>
              <w:bottom w:val="single" w:sz="4" w:space="0" w:color="auto"/>
            </w:tcBorders>
            <w:vAlign w:val="center"/>
          </w:tcPr>
          <w:p w14:paraId="0EE47CCD" w14:textId="77777777" w:rsidR="00FB027E" w:rsidRPr="005E7DD8" w:rsidRDefault="00FB027E" w:rsidP="007233F6">
            <w:pPr>
              <w:jc w:val="center"/>
              <w:rPr>
                <w:color w:val="000000" w:themeColor="text1"/>
                <w:sz w:val="24"/>
                <w:szCs w:val="24"/>
              </w:rPr>
            </w:pPr>
            <w:r w:rsidRPr="005E7DD8">
              <w:rPr>
                <w:color w:val="000000" w:themeColor="text1"/>
                <w:sz w:val="24"/>
                <w:szCs w:val="24"/>
              </w:rPr>
              <w:t>Result</w:t>
            </w:r>
          </w:p>
        </w:tc>
      </w:tr>
      <w:tr w:rsidR="00FB027E" w:rsidRPr="005E7DD8" w14:paraId="2A9810FF" w14:textId="77777777" w:rsidTr="00FB027E">
        <w:trPr>
          <w:trHeight w:val="1430"/>
        </w:trPr>
        <w:tc>
          <w:tcPr>
            <w:tcW w:w="1908" w:type="dxa"/>
            <w:tcBorders>
              <w:top w:val="single" w:sz="4" w:space="0" w:color="auto"/>
              <w:bottom w:val="single" w:sz="4" w:space="0" w:color="auto"/>
            </w:tcBorders>
            <w:vAlign w:val="center"/>
          </w:tcPr>
          <w:p w14:paraId="4F5A8781" w14:textId="77777777" w:rsidR="00FB027E" w:rsidRPr="005E7DD8" w:rsidRDefault="00FB027E" w:rsidP="007233F6">
            <w:pPr>
              <w:jc w:val="center"/>
              <w:rPr>
                <w:bCs/>
                <w:color w:val="000000" w:themeColor="text1"/>
                <w:sz w:val="24"/>
                <w:szCs w:val="24"/>
              </w:rPr>
            </w:pPr>
            <w:r w:rsidRPr="005E7DD8">
              <w:rPr>
                <w:color w:val="000000" w:themeColor="text1"/>
                <w:sz w:val="24"/>
                <w:szCs w:val="24"/>
              </w:rPr>
              <w:t xml:space="preserve">Welding Competencies and Differentiated Instruction </w:t>
            </w:r>
          </w:p>
        </w:tc>
        <w:tc>
          <w:tcPr>
            <w:tcW w:w="1260" w:type="dxa"/>
            <w:tcBorders>
              <w:top w:val="single" w:sz="4" w:space="0" w:color="auto"/>
              <w:bottom w:val="single" w:sz="4" w:space="0" w:color="auto"/>
            </w:tcBorders>
            <w:vAlign w:val="center"/>
          </w:tcPr>
          <w:p w14:paraId="5F0D2FCF" w14:textId="77777777" w:rsidR="00FB027E" w:rsidRPr="005E7DD8" w:rsidRDefault="00FB027E" w:rsidP="007233F6">
            <w:pPr>
              <w:jc w:val="center"/>
              <w:rPr>
                <w:color w:val="000000" w:themeColor="text1"/>
                <w:sz w:val="24"/>
                <w:szCs w:val="24"/>
              </w:rPr>
            </w:pPr>
            <w:r w:rsidRPr="005E7DD8">
              <w:rPr>
                <w:color w:val="000000" w:themeColor="text1"/>
                <w:sz w:val="24"/>
                <w:szCs w:val="24"/>
              </w:rPr>
              <w:t>0.405*</w:t>
            </w:r>
          </w:p>
        </w:tc>
        <w:tc>
          <w:tcPr>
            <w:tcW w:w="1797" w:type="dxa"/>
            <w:tcBorders>
              <w:top w:val="single" w:sz="4" w:space="0" w:color="auto"/>
              <w:bottom w:val="single" w:sz="4" w:space="0" w:color="auto"/>
            </w:tcBorders>
            <w:vAlign w:val="center"/>
          </w:tcPr>
          <w:p w14:paraId="17F01123" w14:textId="77777777" w:rsidR="00FB027E" w:rsidRPr="005E7DD8" w:rsidRDefault="00FB027E" w:rsidP="007233F6">
            <w:pPr>
              <w:jc w:val="center"/>
              <w:rPr>
                <w:color w:val="000000" w:themeColor="text1"/>
                <w:sz w:val="24"/>
                <w:szCs w:val="24"/>
              </w:rPr>
            </w:pPr>
            <w:r w:rsidRPr="005E7DD8">
              <w:rPr>
                <w:color w:val="000000" w:themeColor="text1"/>
                <w:sz w:val="24"/>
                <w:szCs w:val="24"/>
              </w:rPr>
              <w:t>Weak Positive</w:t>
            </w:r>
          </w:p>
        </w:tc>
        <w:tc>
          <w:tcPr>
            <w:tcW w:w="1170" w:type="dxa"/>
            <w:tcBorders>
              <w:top w:val="single" w:sz="4" w:space="0" w:color="auto"/>
              <w:bottom w:val="single" w:sz="4" w:space="0" w:color="auto"/>
            </w:tcBorders>
            <w:vAlign w:val="center"/>
          </w:tcPr>
          <w:p w14:paraId="6FCE25A2" w14:textId="77777777" w:rsidR="00FB027E" w:rsidRPr="005E7DD8" w:rsidRDefault="00FB027E" w:rsidP="007233F6">
            <w:pPr>
              <w:jc w:val="center"/>
              <w:rPr>
                <w:color w:val="000000" w:themeColor="text1"/>
                <w:sz w:val="24"/>
                <w:szCs w:val="24"/>
              </w:rPr>
            </w:pPr>
            <w:r w:rsidRPr="005E7DD8">
              <w:rPr>
                <w:color w:val="000000" w:themeColor="text1"/>
                <w:sz w:val="24"/>
                <w:szCs w:val="24"/>
              </w:rPr>
              <w:t>0.005</w:t>
            </w:r>
          </w:p>
        </w:tc>
        <w:tc>
          <w:tcPr>
            <w:tcW w:w="1236" w:type="dxa"/>
            <w:tcBorders>
              <w:top w:val="single" w:sz="4" w:space="0" w:color="auto"/>
              <w:bottom w:val="single" w:sz="4" w:space="0" w:color="auto"/>
            </w:tcBorders>
            <w:vAlign w:val="center"/>
          </w:tcPr>
          <w:p w14:paraId="5286A15A" w14:textId="77777777" w:rsidR="00FB027E" w:rsidRPr="005E7DD8" w:rsidRDefault="00FB027E" w:rsidP="007233F6">
            <w:pPr>
              <w:pStyle w:val="NoSpacing"/>
              <w:jc w:val="center"/>
              <w:rPr>
                <w:rFonts w:ascii="Times New Roman" w:hAnsi="Times New Roman" w:cs="Times New Roman"/>
                <w:color w:val="000000" w:themeColor="text1"/>
                <w:sz w:val="24"/>
                <w:szCs w:val="24"/>
              </w:rPr>
            </w:pPr>
            <w:r w:rsidRPr="005E7DD8">
              <w:rPr>
                <w:rFonts w:ascii="Times New Roman" w:hAnsi="Times New Roman" w:cs="Times New Roman"/>
                <w:color w:val="000000" w:themeColor="text1"/>
                <w:sz w:val="24"/>
                <w:szCs w:val="24"/>
              </w:rPr>
              <w:t>Reject Ho</w:t>
            </w:r>
          </w:p>
        </w:tc>
        <w:tc>
          <w:tcPr>
            <w:tcW w:w="1284" w:type="dxa"/>
            <w:tcBorders>
              <w:top w:val="single" w:sz="4" w:space="0" w:color="auto"/>
              <w:bottom w:val="single" w:sz="4" w:space="0" w:color="auto"/>
            </w:tcBorders>
            <w:vAlign w:val="center"/>
          </w:tcPr>
          <w:p w14:paraId="11E8C9F2" w14:textId="77777777" w:rsidR="00FB027E" w:rsidRPr="005E7DD8" w:rsidRDefault="00FB027E" w:rsidP="007233F6">
            <w:pPr>
              <w:pStyle w:val="NoSpacing"/>
              <w:jc w:val="center"/>
              <w:rPr>
                <w:rFonts w:ascii="Times New Roman" w:hAnsi="Times New Roman" w:cs="Times New Roman"/>
                <w:color w:val="000000" w:themeColor="text1"/>
                <w:sz w:val="24"/>
                <w:szCs w:val="24"/>
              </w:rPr>
            </w:pPr>
            <w:r w:rsidRPr="005E7DD8">
              <w:rPr>
                <w:rFonts w:ascii="Times New Roman" w:hAnsi="Times New Roman" w:cs="Times New Roman"/>
                <w:color w:val="000000" w:themeColor="text1"/>
                <w:sz w:val="24"/>
                <w:szCs w:val="24"/>
              </w:rPr>
              <w:t>Significant</w:t>
            </w:r>
          </w:p>
        </w:tc>
      </w:tr>
      <w:tr w:rsidR="00FB027E" w:rsidRPr="00FB027E" w14:paraId="34BF4B53" w14:textId="77777777" w:rsidTr="00FB027E">
        <w:trPr>
          <w:trHeight w:val="305"/>
        </w:trPr>
        <w:tc>
          <w:tcPr>
            <w:tcW w:w="8655" w:type="dxa"/>
            <w:gridSpan w:val="6"/>
            <w:tcBorders>
              <w:top w:val="single" w:sz="4" w:space="0" w:color="auto"/>
            </w:tcBorders>
            <w:vAlign w:val="center"/>
          </w:tcPr>
          <w:p w14:paraId="26D0D670" w14:textId="77777777" w:rsidR="00FB027E" w:rsidRPr="00FB027E" w:rsidRDefault="00FB027E" w:rsidP="007233F6">
            <w:pPr>
              <w:jc w:val="both"/>
              <w:rPr>
                <w:color w:val="000000" w:themeColor="text1"/>
                <w:sz w:val="16"/>
                <w:szCs w:val="16"/>
              </w:rPr>
            </w:pPr>
            <w:r w:rsidRPr="00FB027E">
              <w:rPr>
                <w:color w:val="000000" w:themeColor="text1"/>
                <w:sz w:val="16"/>
                <w:szCs w:val="16"/>
              </w:rPr>
              <w:t>*</w:t>
            </w:r>
            <w:proofErr w:type="gramStart"/>
            <w:r w:rsidRPr="00FB027E">
              <w:rPr>
                <w:color w:val="000000" w:themeColor="text1"/>
                <w:sz w:val="16"/>
                <w:szCs w:val="16"/>
              </w:rPr>
              <w:t>significant</w:t>
            </w:r>
            <w:proofErr w:type="gramEnd"/>
            <w:r w:rsidRPr="00FB027E">
              <w:rPr>
                <w:color w:val="000000" w:themeColor="text1"/>
                <w:sz w:val="16"/>
                <w:szCs w:val="16"/>
              </w:rPr>
              <w:t xml:space="preserve"> at p&lt;0.05 (two-tailed)</w:t>
            </w:r>
          </w:p>
        </w:tc>
      </w:tr>
    </w:tbl>
    <w:p w14:paraId="280399A5" w14:textId="77777777" w:rsidR="00FB027E" w:rsidRPr="00FB027E" w:rsidRDefault="00FB027E" w:rsidP="00FB027E">
      <w:pPr>
        <w:spacing w:before="240" w:after="240"/>
        <w:ind w:firstLine="720"/>
        <w:jc w:val="both"/>
        <w:rPr>
          <w:sz w:val="24"/>
          <w:szCs w:val="24"/>
          <w:lang w:val="en-PH"/>
        </w:rPr>
      </w:pPr>
      <w:r w:rsidRPr="00FB027E">
        <w:rPr>
          <w:sz w:val="24"/>
          <w:szCs w:val="24"/>
          <w:lang w:val="en-PH"/>
        </w:rPr>
        <w:t>Table 14 depicted the test of significance of the relationship between the respondents' perceived SHS welding competency and the respondents' perception of differentiated instruction they have experienced in college welding classes. The correlation coefficient (r = 0.405) suggested there was a weak positive relationship between the two variables, meaning that the students who possessed higher perceived SHS welding competencies reported slight improvement in their perception of differentiated instruction. However, the strength of the association is quite weak. Furthermore, the p-value (0.005) being lower than 0.05 meant that the null hypothesis needed to be rejected as there was statistical significance in the relationship. This is consistent with the finding in the literature review that prior knowledge predicts learning achievement and learning achievement is dependent upon cognitive engagement and learning strategies as prior technical competency can affect the engagement and responsiveness of the learners to the differentiation of the instruction. This means that differentiated instruction maximizes student achievement by catering to individual differences where those students having good foundation skills are able to perform better through differentiated instruction in terms of content, process, product and learning environment (Dhakal, 2024). Furthermore, differentiated instruction based on the prior knowledge enhances self-regulated learning and achievement.</w:t>
      </w:r>
    </w:p>
    <w:p w14:paraId="6AE81255" w14:textId="2D2A07F7" w:rsidR="00DE22D9" w:rsidRDefault="00FB027E" w:rsidP="00FB027E">
      <w:pPr>
        <w:spacing w:before="240" w:after="240"/>
        <w:ind w:firstLine="720"/>
        <w:jc w:val="both"/>
        <w:rPr>
          <w:sz w:val="24"/>
          <w:szCs w:val="24"/>
          <w:lang w:val="en-PH"/>
        </w:rPr>
      </w:pPr>
      <w:r w:rsidRPr="00FB027E">
        <w:rPr>
          <w:sz w:val="24"/>
          <w:szCs w:val="24"/>
          <w:lang w:val="en-PH"/>
        </w:rPr>
        <w:t>In summary, the presence of the strong positive relationship implied that the competencies of the students in SHS welding had a part to play in their perception of and reaction to differentiated instruction in college welding classes. In other words, their previous exposure to welding techniques in SHS helped determine how they were able to interact with, learn from, and respond to differentiated instruction in college welding classes. Though the relationship was not that strong, this study revealed the significance of taking into account the students’ basic competencies in developing an effective differentiated instruction strategy. It is because of this that by making use of their prior competencies, teachers can be better able to implement a personalized differentiated instruction strategy that will allow them to maximize their learning potential in theoretical and practical aspects of welding.</w:t>
      </w:r>
    </w:p>
    <w:p w14:paraId="19CC8B6A" w14:textId="428AF5DD" w:rsidR="000E0E35" w:rsidRPr="000E0E35" w:rsidRDefault="000E0E35" w:rsidP="000E0E35">
      <w:pPr>
        <w:spacing w:before="240" w:after="240"/>
        <w:jc w:val="both"/>
        <w:rPr>
          <w:b/>
          <w:bCs/>
          <w:sz w:val="28"/>
          <w:szCs w:val="28"/>
          <w:lang w:val="en-PH"/>
        </w:rPr>
      </w:pPr>
      <w:r>
        <w:rPr>
          <w:b/>
          <w:bCs/>
          <w:sz w:val="28"/>
          <w:szCs w:val="28"/>
          <w:lang w:val="en-PH"/>
        </w:rPr>
        <w:t>FINDINGS</w:t>
      </w:r>
    </w:p>
    <w:p w14:paraId="718E2C55" w14:textId="5128F6AE" w:rsidR="000E0E35" w:rsidRPr="000E0E35" w:rsidRDefault="000E0E35" w:rsidP="000E0E35">
      <w:pPr>
        <w:spacing w:before="240" w:after="240"/>
        <w:ind w:firstLine="720"/>
        <w:jc w:val="both"/>
        <w:rPr>
          <w:sz w:val="24"/>
          <w:szCs w:val="24"/>
          <w:lang w:val="en-PH"/>
        </w:rPr>
      </w:pPr>
      <w:r w:rsidRPr="000E0E35">
        <w:rPr>
          <w:sz w:val="24"/>
          <w:szCs w:val="24"/>
          <w:lang w:val="en-PH"/>
        </w:rPr>
        <w:t>Results show that the participants are mostly composed of young college students who are predominantly females. The samples are evenly spread across the year levels with the greatest number coming from HUMSS and TVL strands and those who have not received any formal welding instruction in Senior High School under the TVL strand. College students’ perception about their SHS welding competencies related to academic, practical, and technical knowledge is moderately strong. This implies that the students felt that they had sufficient preparations in terms of their academic, practical, and technical knowledge before taking up welding in college. On the other hand, the students perceived differentiated instruction in college welding to be strongly evident, especially in the aspect of content, process, and product. Lastly, there exists a statistically significant weak positive correlation between SHS welding competencies and differentiated instruction.</w:t>
      </w:r>
    </w:p>
    <w:p w14:paraId="76C45BB8" w14:textId="411F8716" w:rsidR="00DE22D9" w:rsidRPr="000E0E35" w:rsidRDefault="000E0E35" w:rsidP="000E0E35">
      <w:pPr>
        <w:spacing w:before="240" w:after="240"/>
        <w:jc w:val="both"/>
        <w:rPr>
          <w:b/>
          <w:bCs/>
          <w:sz w:val="28"/>
          <w:szCs w:val="28"/>
          <w:lang w:val="en-PH"/>
        </w:rPr>
      </w:pPr>
      <w:r w:rsidRPr="000E0E35">
        <w:rPr>
          <w:b/>
          <w:bCs/>
          <w:sz w:val="28"/>
          <w:szCs w:val="28"/>
          <w:lang w:val="en-PH"/>
        </w:rPr>
        <w:t>CONCLUSION</w:t>
      </w:r>
    </w:p>
    <w:p w14:paraId="07887B04" w14:textId="7BD54E08" w:rsidR="000E0E35" w:rsidRDefault="000E0E35" w:rsidP="000E0E35">
      <w:pPr>
        <w:spacing w:before="240" w:after="240"/>
        <w:ind w:firstLine="720"/>
        <w:jc w:val="both"/>
        <w:rPr>
          <w:sz w:val="24"/>
          <w:szCs w:val="24"/>
          <w:lang w:val="en-PH"/>
        </w:rPr>
      </w:pPr>
      <w:r w:rsidRPr="000E0E35">
        <w:rPr>
          <w:sz w:val="24"/>
          <w:szCs w:val="24"/>
          <w:lang w:val="en-PH"/>
        </w:rPr>
        <w:t>In summary, from the findings of the study, it is evident that college welding students typically come into higher education with moderate SHS welding competencies irrespective of their SHS strands, thus implying that they require further skill development within college. The little welding practice that college welding students have received within SHS makes it imperative that colleges provide students with the necessary skills through quality training since the welding competency attained in SHS is relatively lower than the required standards. In addition, the high level of differentiation in terms of instructional strategies signifies the use of different methodologies by the instructors to cater to various students' requirements.</w:t>
      </w:r>
    </w:p>
    <w:p w14:paraId="1C430950" w14:textId="742408CA" w:rsidR="00DE22D9" w:rsidRPr="000E0E35" w:rsidRDefault="000E0E35" w:rsidP="000E0E35">
      <w:pPr>
        <w:spacing w:before="240" w:after="240"/>
        <w:jc w:val="both"/>
        <w:rPr>
          <w:b/>
          <w:bCs/>
          <w:sz w:val="28"/>
          <w:szCs w:val="28"/>
          <w:lang w:val="en-PH"/>
        </w:rPr>
      </w:pPr>
      <w:r w:rsidRPr="000E0E35">
        <w:rPr>
          <w:b/>
          <w:bCs/>
          <w:sz w:val="28"/>
          <w:szCs w:val="28"/>
          <w:lang w:val="en-PH"/>
        </w:rPr>
        <w:t>RECOMMENDATIONS</w:t>
      </w:r>
    </w:p>
    <w:p w14:paraId="268E1936" w14:textId="2EFAA3EC" w:rsidR="000E0E35" w:rsidRDefault="000E0E35" w:rsidP="000E0E35">
      <w:pPr>
        <w:spacing w:before="240" w:after="240"/>
        <w:ind w:firstLine="720"/>
        <w:jc w:val="both"/>
        <w:rPr>
          <w:sz w:val="24"/>
          <w:szCs w:val="24"/>
          <w:lang w:val="en-PH"/>
        </w:rPr>
      </w:pPr>
      <w:r w:rsidRPr="000E0E35">
        <w:rPr>
          <w:sz w:val="24"/>
          <w:szCs w:val="24"/>
          <w:lang w:val="en-PH"/>
        </w:rPr>
        <w:t>In summary, from the findings of the study, it is evident that college welding students typically come into higher education with moderate SHS welding competencies irrespective of their SHS strands, thus implying that they require further skill development within college. The little welding practice that college welding students have received within SHS makes it imperative that colleges provide students with the necessary skills through quality training since the welding competency attained in SHS is relatively lower than the required standards. In addition, the high level of differentiation in terms of instructional strategies signifies the use of different methodologies by the instructors to cater to various students' requirements.</w:t>
      </w:r>
    </w:p>
    <w:p w14:paraId="027DA0F0" w14:textId="53454EDD" w:rsidR="00DE22D9" w:rsidRPr="009F5DDE" w:rsidRDefault="000E0E35" w:rsidP="000E0E35">
      <w:pPr>
        <w:spacing w:before="240" w:after="240"/>
        <w:jc w:val="both"/>
        <w:rPr>
          <w:b/>
          <w:bCs/>
          <w:sz w:val="28"/>
          <w:szCs w:val="28"/>
          <w:lang w:val="en-PH"/>
        </w:rPr>
      </w:pPr>
      <w:r w:rsidRPr="009F5DDE">
        <w:rPr>
          <w:b/>
          <w:bCs/>
          <w:sz w:val="28"/>
          <w:szCs w:val="28"/>
          <w:lang w:val="en-PH"/>
        </w:rPr>
        <w:t>ACKNOWLEDGEMENT</w:t>
      </w:r>
    </w:p>
    <w:p w14:paraId="76534C01" w14:textId="0DA635F7" w:rsidR="000A4D89" w:rsidRPr="000A4D89" w:rsidRDefault="000A4D89" w:rsidP="000A4D89">
      <w:pPr>
        <w:spacing w:before="240" w:after="240"/>
        <w:ind w:firstLine="720"/>
        <w:jc w:val="both"/>
        <w:rPr>
          <w:sz w:val="24"/>
          <w:szCs w:val="24"/>
          <w:lang w:val="en-PH"/>
        </w:rPr>
      </w:pPr>
      <w:r w:rsidRPr="000A4D89">
        <w:rPr>
          <w:sz w:val="24"/>
          <w:szCs w:val="24"/>
          <w:lang w:val="en-PH"/>
        </w:rPr>
        <w:t xml:space="preserve">This </w:t>
      </w:r>
      <w:r>
        <w:rPr>
          <w:sz w:val="24"/>
          <w:szCs w:val="24"/>
          <w:lang w:val="en-PH"/>
        </w:rPr>
        <w:t>study</w:t>
      </w:r>
      <w:r w:rsidRPr="000A4D89">
        <w:rPr>
          <w:sz w:val="24"/>
          <w:szCs w:val="24"/>
          <w:lang w:val="en-PH"/>
        </w:rPr>
        <w:t xml:space="preserve"> is the result of the advice, support, and encouragement that I have received from a number of people, and I would like to thank them all. First, I wish to thank Almighty God for guiding me on this research path with His blessings and graces, giving me enough power and determination to accomplish this task.</w:t>
      </w:r>
    </w:p>
    <w:p w14:paraId="7497C57C" w14:textId="5B4CE707" w:rsidR="000A4D89" w:rsidRPr="000A4D89" w:rsidRDefault="000A4D89" w:rsidP="000A4D89">
      <w:pPr>
        <w:spacing w:before="240" w:after="240"/>
        <w:ind w:firstLine="720"/>
        <w:jc w:val="both"/>
        <w:rPr>
          <w:sz w:val="24"/>
          <w:szCs w:val="24"/>
          <w:lang w:val="en-PH"/>
        </w:rPr>
      </w:pPr>
      <w:r w:rsidRPr="000A4D89">
        <w:rPr>
          <w:sz w:val="24"/>
          <w:szCs w:val="24"/>
          <w:lang w:val="en-PH"/>
        </w:rPr>
        <w:t>Second, I wish to express my gratitude to my family for their love, patience, and support, which gave me enough motivation to continue striving for excellence.</w:t>
      </w:r>
    </w:p>
    <w:p w14:paraId="7D802173" w14:textId="77777777" w:rsidR="000A4D89" w:rsidRPr="000A4D89" w:rsidRDefault="000A4D89" w:rsidP="000A4D89">
      <w:pPr>
        <w:spacing w:before="240" w:after="240"/>
        <w:ind w:firstLine="720"/>
        <w:jc w:val="both"/>
        <w:rPr>
          <w:sz w:val="24"/>
          <w:szCs w:val="24"/>
          <w:lang w:val="en-PH"/>
        </w:rPr>
      </w:pPr>
      <w:r w:rsidRPr="000A4D89">
        <w:rPr>
          <w:sz w:val="24"/>
          <w:szCs w:val="24"/>
          <w:lang w:val="en-PH"/>
        </w:rPr>
        <w:t xml:space="preserve">Third, I am thankful to the members of my Thesis Advisory Committee, namely Dr. Julius C. Taghoy, Dr. Reylan G. Capuno, Mr. Joseph Vergil M. Espina, Dr. Randy C. Mangubat, Dr. Raymond C. Espina, Dr. Anabelle T. Pantaleon, and Dr. Veronica O. </w:t>
      </w:r>
      <w:proofErr w:type="spellStart"/>
      <w:r w:rsidRPr="000A4D89">
        <w:rPr>
          <w:sz w:val="24"/>
          <w:szCs w:val="24"/>
          <w:lang w:val="en-PH"/>
        </w:rPr>
        <w:t>Calasang</w:t>
      </w:r>
      <w:proofErr w:type="spellEnd"/>
      <w:r w:rsidRPr="000A4D89">
        <w:rPr>
          <w:sz w:val="24"/>
          <w:szCs w:val="24"/>
          <w:lang w:val="en-PH"/>
        </w:rPr>
        <w:t>, for their advice and expertise, which helped me a lot in accomplishing this task.</w:t>
      </w:r>
    </w:p>
    <w:p w14:paraId="098537A3" w14:textId="6B3E7669" w:rsidR="000A4D89" w:rsidRDefault="000A4D89" w:rsidP="000A4D89">
      <w:pPr>
        <w:spacing w:before="240" w:after="240"/>
        <w:ind w:firstLine="720"/>
        <w:jc w:val="both"/>
        <w:rPr>
          <w:sz w:val="24"/>
          <w:szCs w:val="24"/>
          <w:lang w:val="en-PH"/>
        </w:rPr>
      </w:pPr>
      <w:r w:rsidRPr="000A4D89">
        <w:rPr>
          <w:sz w:val="24"/>
          <w:szCs w:val="24"/>
          <w:lang w:val="en-PH"/>
        </w:rPr>
        <w:t>Lastly, I wish to thank all those people who responded to this survey</w:t>
      </w:r>
      <w:r>
        <w:rPr>
          <w:sz w:val="24"/>
          <w:szCs w:val="24"/>
          <w:lang w:val="en-PH"/>
        </w:rPr>
        <w:t xml:space="preserve"> as they </w:t>
      </w:r>
      <w:r w:rsidRPr="000A4D89">
        <w:rPr>
          <w:sz w:val="24"/>
          <w:szCs w:val="24"/>
          <w:lang w:val="en-PH"/>
        </w:rPr>
        <w:t>generously shared their time and information, making this study meaningful and complete</w:t>
      </w:r>
      <w:r>
        <w:rPr>
          <w:sz w:val="24"/>
          <w:szCs w:val="24"/>
          <w:lang w:val="en-PH"/>
        </w:rPr>
        <w:t>.</w:t>
      </w:r>
      <w:r w:rsidRPr="000A4D89">
        <w:rPr>
          <w:sz w:val="24"/>
          <w:szCs w:val="24"/>
          <w:lang w:val="en-PH"/>
        </w:rPr>
        <w:t xml:space="preserve"> I will forever be grateful to everyone who supported, guided, and inspired me throughout this research journey.</w:t>
      </w:r>
    </w:p>
    <w:p w14:paraId="1657B9EC" w14:textId="33D83C11" w:rsidR="00BB7EF0" w:rsidRPr="003614AD" w:rsidRDefault="003614AD" w:rsidP="000A4D89">
      <w:pPr>
        <w:spacing w:before="240" w:after="240"/>
        <w:jc w:val="both"/>
        <w:rPr>
          <w:b/>
          <w:bCs/>
          <w:sz w:val="28"/>
          <w:szCs w:val="28"/>
          <w:lang w:val="en-PH"/>
        </w:rPr>
      </w:pPr>
      <w:r w:rsidRPr="003614AD">
        <w:rPr>
          <w:b/>
          <w:bCs/>
          <w:sz w:val="28"/>
          <w:szCs w:val="28"/>
          <w:lang w:val="en-PH"/>
        </w:rPr>
        <w:t>REFERENCES</w:t>
      </w:r>
    </w:p>
    <w:p w14:paraId="665F0F2A" w14:textId="6C1A66F1" w:rsidR="003614AD" w:rsidRPr="00A00270" w:rsidRDefault="003614AD" w:rsidP="003614AD">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Abata, M. R. (2025). Navigating Mismatched Paths: Lived Experiences of Graduate Students in Career Track Transitions from Junior High to Senior High School. </w:t>
      </w:r>
      <w:proofErr w:type="spellStart"/>
      <w:r w:rsidRPr="00A00270">
        <w:rPr>
          <w:color w:val="000000" w:themeColor="text1"/>
          <w:sz w:val="24"/>
          <w:szCs w:val="24"/>
          <w:lang w:val="en-PH"/>
        </w:rPr>
        <w:t>Aloysian</w:t>
      </w:r>
      <w:proofErr w:type="spellEnd"/>
      <w:r w:rsidRPr="00A00270">
        <w:rPr>
          <w:color w:val="000000" w:themeColor="text1"/>
          <w:sz w:val="24"/>
          <w:szCs w:val="24"/>
          <w:lang w:val="en-PH"/>
        </w:rPr>
        <w:t xml:space="preserve"> Interdisciplinary Journal of Social Sciences, Education, and Allied Fields, 1(9), 9–19. </w:t>
      </w:r>
      <w:hyperlink r:id="rId8" w:history="1">
        <w:r w:rsidRPr="00A00270">
          <w:rPr>
            <w:rStyle w:val="Hyperlink"/>
            <w:color w:val="000000" w:themeColor="text1"/>
            <w:sz w:val="24"/>
            <w:szCs w:val="24"/>
            <w:lang w:val="en-PH"/>
          </w:rPr>
          <w:t>https://doi.org/10.5281/zenodo.17062499</w:t>
        </w:r>
      </w:hyperlink>
    </w:p>
    <w:p w14:paraId="34EA109C" w14:textId="62870769" w:rsidR="003614AD" w:rsidRPr="00A00270" w:rsidRDefault="003614AD" w:rsidP="003614AD">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Alinea, J. M., Garcia, C., Lagado, S., &amp; </w:t>
      </w:r>
      <w:proofErr w:type="spellStart"/>
      <w:r w:rsidRPr="00A00270">
        <w:rPr>
          <w:color w:val="000000" w:themeColor="text1"/>
          <w:sz w:val="24"/>
          <w:szCs w:val="24"/>
          <w:lang w:val="en-PH"/>
        </w:rPr>
        <w:t>Noblefranca</w:t>
      </w:r>
      <w:proofErr w:type="spellEnd"/>
      <w:r w:rsidRPr="00A00270">
        <w:rPr>
          <w:color w:val="000000" w:themeColor="text1"/>
          <w:sz w:val="24"/>
          <w:szCs w:val="24"/>
          <w:lang w:val="en-PH"/>
        </w:rPr>
        <w:t xml:space="preserve">, S. M. (2024). Employability Skills of Senior High School Tech-Voc Students: A Measure of Industry Preparedness. Interdisciplinary Research Review, 19(4). </w:t>
      </w:r>
      <w:hyperlink r:id="rId9" w:history="1">
        <w:r w:rsidRPr="00A00270">
          <w:rPr>
            <w:rStyle w:val="Hyperlink"/>
            <w:color w:val="000000" w:themeColor="text1"/>
            <w:sz w:val="24"/>
            <w:szCs w:val="24"/>
            <w:lang w:val="en-PH"/>
          </w:rPr>
          <w:t>https://scholar.google.com/scholar?hl=en&amp;as_sdt=0%2C5&amp;q=%29.</w:t>
        </w:r>
      </w:hyperlink>
    </w:p>
    <w:p w14:paraId="7C4EC243" w14:textId="1DFFDFA1" w:rsidR="003614AD" w:rsidRPr="00A00270" w:rsidRDefault="003614AD" w:rsidP="003614AD">
      <w:pPr>
        <w:pStyle w:val="ListParagraph"/>
        <w:numPr>
          <w:ilvl w:val="0"/>
          <w:numId w:val="14"/>
        </w:numPr>
        <w:spacing w:before="240" w:after="240"/>
        <w:jc w:val="both"/>
        <w:rPr>
          <w:color w:val="000000" w:themeColor="text1"/>
          <w:sz w:val="24"/>
          <w:szCs w:val="24"/>
          <w:lang w:val="en-PH"/>
        </w:rPr>
      </w:pPr>
      <w:proofErr w:type="spellStart"/>
      <w:r w:rsidRPr="00A00270">
        <w:rPr>
          <w:color w:val="000000" w:themeColor="text1"/>
          <w:sz w:val="24"/>
          <w:szCs w:val="24"/>
          <w:lang w:val="en-PH"/>
        </w:rPr>
        <w:t>Alsariera</w:t>
      </w:r>
      <w:proofErr w:type="spellEnd"/>
      <w:r w:rsidRPr="00A00270">
        <w:rPr>
          <w:color w:val="000000" w:themeColor="text1"/>
          <w:sz w:val="24"/>
          <w:szCs w:val="24"/>
          <w:lang w:val="en-PH"/>
        </w:rPr>
        <w:t xml:space="preserve">, Y. A., </w:t>
      </w:r>
      <w:proofErr w:type="spellStart"/>
      <w:r w:rsidRPr="00A00270">
        <w:rPr>
          <w:color w:val="000000" w:themeColor="text1"/>
          <w:sz w:val="24"/>
          <w:szCs w:val="24"/>
          <w:lang w:val="en-PH"/>
        </w:rPr>
        <w:t>Baashar</w:t>
      </w:r>
      <w:proofErr w:type="spellEnd"/>
      <w:r w:rsidRPr="00A00270">
        <w:rPr>
          <w:color w:val="000000" w:themeColor="text1"/>
          <w:sz w:val="24"/>
          <w:szCs w:val="24"/>
          <w:lang w:val="en-PH"/>
        </w:rPr>
        <w:t xml:space="preserve">, Y., Alkawsi, G., Mustafa, A., Alkahtani, A. A., &amp; Ali, N. (2022). Assessment and Evaluation of Different Machine Learning Algorithms for Predicting Student Performance. Computational Intelligence and Neuroscience, 2022(1), 4151487. </w:t>
      </w:r>
      <w:hyperlink r:id="rId10" w:history="1">
        <w:r w:rsidRPr="00A00270">
          <w:rPr>
            <w:rStyle w:val="Hyperlink"/>
            <w:color w:val="000000" w:themeColor="text1"/>
            <w:sz w:val="24"/>
            <w:szCs w:val="24"/>
            <w:lang w:val="en-PH"/>
          </w:rPr>
          <w:t>https://doi.org/10.1155/2022/4151487</w:t>
        </w:r>
      </w:hyperlink>
    </w:p>
    <w:p w14:paraId="452B7660" w14:textId="71F88336" w:rsidR="003614AD" w:rsidRPr="00A00270" w:rsidRDefault="003614AD" w:rsidP="003614AD">
      <w:pPr>
        <w:pStyle w:val="ListParagraph"/>
        <w:numPr>
          <w:ilvl w:val="0"/>
          <w:numId w:val="14"/>
        </w:numPr>
        <w:spacing w:before="240" w:after="240"/>
        <w:jc w:val="both"/>
        <w:rPr>
          <w:color w:val="000000" w:themeColor="text1"/>
          <w:sz w:val="24"/>
          <w:szCs w:val="24"/>
          <w:lang w:val="en-PH"/>
        </w:rPr>
      </w:pPr>
      <w:proofErr w:type="spellStart"/>
      <w:r w:rsidRPr="00A00270">
        <w:rPr>
          <w:color w:val="000000" w:themeColor="text1"/>
          <w:sz w:val="24"/>
          <w:szCs w:val="24"/>
          <w:lang w:val="en-PH"/>
        </w:rPr>
        <w:t>Amirgalina</w:t>
      </w:r>
      <w:proofErr w:type="spellEnd"/>
      <w:r w:rsidRPr="00A00270">
        <w:rPr>
          <w:color w:val="000000" w:themeColor="text1"/>
          <w:sz w:val="24"/>
          <w:szCs w:val="24"/>
          <w:lang w:val="en-PH"/>
        </w:rPr>
        <w:t xml:space="preserve">, N., </w:t>
      </w:r>
      <w:proofErr w:type="spellStart"/>
      <w:r w:rsidRPr="00A00270">
        <w:rPr>
          <w:color w:val="000000" w:themeColor="text1"/>
          <w:sz w:val="24"/>
          <w:szCs w:val="24"/>
          <w:lang w:val="en-PH"/>
        </w:rPr>
        <w:t>Slambekova</w:t>
      </w:r>
      <w:proofErr w:type="spellEnd"/>
      <w:r w:rsidRPr="00A00270">
        <w:rPr>
          <w:color w:val="000000" w:themeColor="text1"/>
          <w:sz w:val="24"/>
          <w:szCs w:val="24"/>
          <w:lang w:val="en-PH"/>
        </w:rPr>
        <w:t xml:space="preserve">, T., </w:t>
      </w:r>
      <w:proofErr w:type="spellStart"/>
      <w:r w:rsidRPr="00A00270">
        <w:rPr>
          <w:color w:val="000000" w:themeColor="text1"/>
          <w:sz w:val="24"/>
          <w:szCs w:val="24"/>
          <w:lang w:val="en-PH"/>
        </w:rPr>
        <w:t>Kazhimova</w:t>
      </w:r>
      <w:proofErr w:type="spellEnd"/>
      <w:r w:rsidRPr="00A00270">
        <w:rPr>
          <w:color w:val="000000" w:themeColor="text1"/>
          <w:sz w:val="24"/>
          <w:szCs w:val="24"/>
          <w:lang w:val="en-PH"/>
        </w:rPr>
        <w:t xml:space="preserve">, K., </w:t>
      </w:r>
      <w:proofErr w:type="spellStart"/>
      <w:r w:rsidRPr="00A00270">
        <w:rPr>
          <w:color w:val="000000" w:themeColor="text1"/>
          <w:sz w:val="24"/>
          <w:szCs w:val="24"/>
          <w:lang w:val="en-PH"/>
        </w:rPr>
        <w:t>Issayeva</w:t>
      </w:r>
      <w:proofErr w:type="spellEnd"/>
      <w:r w:rsidRPr="00A00270">
        <w:rPr>
          <w:color w:val="000000" w:themeColor="text1"/>
          <w:sz w:val="24"/>
          <w:szCs w:val="24"/>
          <w:lang w:val="en-PH"/>
        </w:rPr>
        <w:t xml:space="preserve">, G., &amp; </w:t>
      </w:r>
      <w:proofErr w:type="spellStart"/>
      <w:r w:rsidRPr="00A00270">
        <w:rPr>
          <w:color w:val="000000" w:themeColor="text1"/>
          <w:sz w:val="24"/>
          <w:szCs w:val="24"/>
          <w:lang w:val="en-PH"/>
        </w:rPr>
        <w:t>Taspayeva</w:t>
      </w:r>
      <w:proofErr w:type="spellEnd"/>
      <w:r w:rsidRPr="00A00270">
        <w:rPr>
          <w:color w:val="000000" w:themeColor="text1"/>
          <w:sz w:val="24"/>
          <w:szCs w:val="24"/>
          <w:lang w:val="en-PH"/>
        </w:rPr>
        <w:t xml:space="preserve">, S. (2025). Effect of Practice-Oriented Courses in the Study of Natural Sciences on the Development of Professional Qualities in College Students. Journal of Curriculum Studies Research, 7(2), 114–139. </w:t>
      </w:r>
      <w:hyperlink r:id="rId11" w:history="1">
        <w:r w:rsidRPr="00A00270">
          <w:rPr>
            <w:rStyle w:val="Hyperlink"/>
            <w:color w:val="000000" w:themeColor="text1"/>
            <w:sz w:val="24"/>
            <w:szCs w:val="24"/>
            <w:lang w:val="en-PH"/>
          </w:rPr>
          <w:t>https://doi.org/10.46303/jcsr.2025.14</w:t>
        </w:r>
      </w:hyperlink>
    </w:p>
    <w:p w14:paraId="40BA3237" w14:textId="41E19ADB" w:rsidR="003614AD" w:rsidRPr="00A00270" w:rsidRDefault="003614AD" w:rsidP="003614AD">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Areisy, H., &amp; </w:t>
      </w:r>
      <w:proofErr w:type="spellStart"/>
      <w:r w:rsidRPr="00A00270">
        <w:rPr>
          <w:color w:val="000000" w:themeColor="text1"/>
          <w:sz w:val="24"/>
          <w:szCs w:val="24"/>
          <w:lang w:val="en-PH"/>
        </w:rPr>
        <w:t>Sudira</w:t>
      </w:r>
      <w:proofErr w:type="spellEnd"/>
      <w:r w:rsidRPr="00A00270">
        <w:rPr>
          <w:color w:val="000000" w:themeColor="text1"/>
          <w:sz w:val="24"/>
          <w:szCs w:val="24"/>
          <w:lang w:val="en-PH"/>
        </w:rPr>
        <w:t xml:space="preserve">, P. (2022). Employability skills of state vocational high school students on welding engineering expertise competency. </w:t>
      </w:r>
      <w:proofErr w:type="spellStart"/>
      <w:r w:rsidRPr="00A00270">
        <w:rPr>
          <w:color w:val="000000" w:themeColor="text1"/>
          <w:sz w:val="24"/>
          <w:szCs w:val="24"/>
          <w:lang w:val="en-PH"/>
        </w:rPr>
        <w:t>Jurnal</w:t>
      </w:r>
      <w:proofErr w:type="spellEnd"/>
      <w:r w:rsidRPr="00A00270">
        <w:rPr>
          <w:color w:val="000000" w:themeColor="text1"/>
          <w:sz w:val="24"/>
          <w:szCs w:val="24"/>
          <w:lang w:val="en-PH"/>
        </w:rPr>
        <w:t xml:space="preserve"> Pendidikan </w:t>
      </w:r>
      <w:proofErr w:type="spellStart"/>
      <w:r w:rsidRPr="00A00270">
        <w:rPr>
          <w:color w:val="000000" w:themeColor="text1"/>
          <w:sz w:val="24"/>
          <w:szCs w:val="24"/>
          <w:lang w:val="en-PH"/>
        </w:rPr>
        <w:t>Vokasi</w:t>
      </w:r>
      <w:proofErr w:type="spellEnd"/>
      <w:r w:rsidRPr="00A00270">
        <w:rPr>
          <w:color w:val="000000" w:themeColor="text1"/>
          <w:sz w:val="24"/>
          <w:szCs w:val="24"/>
          <w:lang w:val="en-PH"/>
        </w:rPr>
        <w:t xml:space="preserve">, 12(1), 53–63. </w:t>
      </w:r>
      <w:hyperlink r:id="rId12" w:history="1">
        <w:r w:rsidRPr="00A00270">
          <w:rPr>
            <w:rStyle w:val="Hyperlink"/>
            <w:color w:val="000000" w:themeColor="text1"/>
            <w:sz w:val="24"/>
            <w:szCs w:val="24"/>
            <w:lang w:val="en-PH"/>
          </w:rPr>
          <w:t>https://doi.org/10.21831/jpv.v12i1.41764</w:t>
        </w:r>
      </w:hyperlink>
    </w:p>
    <w:p w14:paraId="71D4E495" w14:textId="55E10468" w:rsidR="003614AD" w:rsidRPr="00A00270" w:rsidRDefault="003614AD" w:rsidP="003614AD">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Castro, M. N. T., Fuentes, J. V., Cajilig, V. J. R., &amp; Rodrigo, S. J. J. (2025). SHS Graduates’ Employment: Curriculum Impact and Challenges | Request PDF. ResearchGate. </w:t>
      </w:r>
      <w:hyperlink r:id="rId13" w:history="1">
        <w:r w:rsidRPr="00A00270">
          <w:rPr>
            <w:rStyle w:val="Hyperlink"/>
            <w:color w:val="000000" w:themeColor="text1"/>
            <w:sz w:val="24"/>
            <w:szCs w:val="24"/>
            <w:lang w:val="en-PH"/>
          </w:rPr>
          <w:t>https://doi.org/10.47119/IJRP1001751620258229</w:t>
        </w:r>
      </w:hyperlink>
    </w:p>
    <w:p w14:paraId="3625E159" w14:textId="273D0BBB" w:rsidR="003614AD" w:rsidRPr="00A00270" w:rsidRDefault="003614AD" w:rsidP="003614AD">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Chatigny, C. (2022). Occupational health and safety in initial vocational training: Reflection on the issues of prescription and integration in teaching and learning activities. Safety Science, 147, 105580. </w:t>
      </w:r>
      <w:hyperlink r:id="rId14" w:history="1">
        <w:r w:rsidRPr="00A00270">
          <w:rPr>
            <w:rStyle w:val="Hyperlink"/>
            <w:color w:val="000000" w:themeColor="text1"/>
            <w:sz w:val="24"/>
            <w:szCs w:val="24"/>
            <w:lang w:val="en-PH"/>
          </w:rPr>
          <w:t>https://doi.org/10.1016/j.ssci.2021.105580</w:t>
        </w:r>
      </w:hyperlink>
    </w:p>
    <w:p w14:paraId="55B39755" w14:textId="1F4734CB"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Conley, D. T. (2007). Redefining College Readiness, Educational Policy Improvement Center (NJ1), 2007-Ma (p. 36). </w:t>
      </w:r>
      <w:hyperlink r:id="rId15" w:history="1">
        <w:r w:rsidR="0092452A" w:rsidRPr="00A00270">
          <w:rPr>
            <w:rStyle w:val="Hyperlink"/>
            <w:color w:val="000000" w:themeColor="text1"/>
            <w:sz w:val="24"/>
            <w:szCs w:val="24"/>
            <w:lang w:val="en-PH"/>
          </w:rPr>
          <w:t>https://scholar.google.com/scholar?hl=en&amp;as_sdt=0%2C5&amp;q=Redefining+College+Readiness</w:t>
        </w:r>
      </w:hyperlink>
    </w:p>
    <w:p w14:paraId="57D6BACD" w14:textId="6298DA85"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Dhakal, R. (2024). Differentiated Instruction: Tailoring Learning for Diverse Learners. 40(54), 167–176.</w:t>
      </w:r>
      <w:r w:rsidR="0092452A" w:rsidRPr="00A00270">
        <w:rPr>
          <w:color w:val="000000" w:themeColor="text1"/>
          <w:sz w:val="24"/>
          <w:szCs w:val="24"/>
          <w:lang w:val="en-PH"/>
        </w:rPr>
        <w:t xml:space="preserve"> </w:t>
      </w:r>
      <w:hyperlink r:id="rId16" w:history="1">
        <w:r w:rsidR="0092452A" w:rsidRPr="00A00270">
          <w:rPr>
            <w:rStyle w:val="Hyperlink"/>
            <w:color w:val="000000" w:themeColor="text1"/>
            <w:sz w:val="24"/>
            <w:szCs w:val="24"/>
            <w:lang w:val="en-PH"/>
          </w:rPr>
          <w:t>https://scholar.google.com/scholar?hl=en&amp;as_sdt=0%2C5&amp;q=Differentiated+Instruction</w:t>
        </w:r>
      </w:hyperlink>
    </w:p>
    <w:p w14:paraId="50BBC44E" w14:textId="7B01BB2A"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Djatmiko, R. D., &amp; </w:t>
      </w:r>
      <w:proofErr w:type="spellStart"/>
      <w:r w:rsidRPr="00A00270">
        <w:rPr>
          <w:color w:val="000000" w:themeColor="text1"/>
          <w:sz w:val="24"/>
          <w:szCs w:val="24"/>
          <w:lang w:val="en-PH"/>
        </w:rPr>
        <w:t>Marwanto</w:t>
      </w:r>
      <w:proofErr w:type="spellEnd"/>
      <w:r w:rsidRPr="00A00270">
        <w:rPr>
          <w:color w:val="000000" w:themeColor="text1"/>
          <w:sz w:val="24"/>
          <w:szCs w:val="24"/>
          <w:lang w:val="en-PH"/>
        </w:rPr>
        <w:t xml:space="preserve">, A. (2024). Learning strategies in establishing students’ welding competency according to industrial standards. AIP Conference Proceedings, 3145(1), 030022. </w:t>
      </w:r>
      <w:hyperlink r:id="rId17" w:history="1">
        <w:r w:rsidR="0092452A" w:rsidRPr="00A00270">
          <w:rPr>
            <w:rStyle w:val="Hyperlink"/>
            <w:color w:val="000000" w:themeColor="text1"/>
            <w:sz w:val="24"/>
            <w:szCs w:val="24"/>
            <w:lang w:val="en-PH"/>
          </w:rPr>
          <w:t>https://doi.org/10.1063/5.0217764</w:t>
        </w:r>
      </w:hyperlink>
    </w:p>
    <w:p w14:paraId="2E6B7584" w14:textId="43BA99DC"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Fahad Mon, B., Wasfi, A., </w:t>
      </w:r>
      <w:proofErr w:type="spellStart"/>
      <w:r w:rsidRPr="00A00270">
        <w:rPr>
          <w:color w:val="000000" w:themeColor="text1"/>
          <w:sz w:val="24"/>
          <w:szCs w:val="24"/>
          <w:lang w:val="en-PH"/>
        </w:rPr>
        <w:t>Hayajneh</w:t>
      </w:r>
      <w:proofErr w:type="spellEnd"/>
      <w:r w:rsidRPr="00A00270">
        <w:rPr>
          <w:color w:val="000000" w:themeColor="text1"/>
          <w:sz w:val="24"/>
          <w:szCs w:val="24"/>
          <w:lang w:val="en-PH"/>
        </w:rPr>
        <w:t xml:space="preserve">, M., Slim, A., &amp; Abu Ali, N. (2023). Reinforcement Learning in Education: A Literature Review. Informatics, 10(3), 74. </w:t>
      </w:r>
      <w:hyperlink r:id="rId18" w:history="1">
        <w:r w:rsidR="0092452A" w:rsidRPr="00A00270">
          <w:rPr>
            <w:rStyle w:val="Hyperlink"/>
            <w:color w:val="000000" w:themeColor="text1"/>
            <w:sz w:val="24"/>
            <w:szCs w:val="24"/>
            <w:lang w:val="en-PH"/>
          </w:rPr>
          <w:t>https://doi.org/10.3390/informatics10030074</w:t>
        </w:r>
      </w:hyperlink>
    </w:p>
    <w:p w14:paraId="5D01B2E5" w14:textId="48889161"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Fatima, F., Siddiqi, F. A., &amp; Ali, S. (2024). Association between teachers’ appreciation and students’ performance: An analytical cross-sectional analysis. </w:t>
      </w:r>
      <w:hyperlink r:id="rId19" w:history="1">
        <w:r w:rsidR="0092452A" w:rsidRPr="00A00270">
          <w:rPr>
            <w:rStyle w:val="Hyperlink"/>
            <w:color w:val="000000" w:themeColor="text1"/>
            <w:sz w:val="24"/>
            <w:szCs w:val="24"/>
            <w:lang w:val="en-PH"/>
          </w:rPr>
          <w:t>https://doi.org/10.3389/feduc.2024.1459979</w:t>
        </w:r>
      </w:hyperlink>
    </w:p>
    <w:p w14:paraId="7BBC0CC2" w14:textId="53E0CCC7" w:rsidR="0092452A" w:rsidRPr="00A00270" w:rsidRDefault="003614AD" w:rsidP="0092452A">
      <w:pPr>
        <w:pStyle w:val="ListParagraph"/>
        <w:numPr>
          <w:ilvl w:val="0"/>
          <w:numId w:val="14"/>
        </w:numPr>
        <w:spacing w:before="240" w:after="240"/>
        <w:jc w:val="both"/>
        <w:rPr>
          <w:color w:val="000000" w:themeColor="text1"/>
          <w:sz w:val="24"/>
          <w:szCs w:val="24"/>
          <w:lang w:val="en-PH"/>
        </w:rPr>
      </w:pPr>
      <w:proofErr w:type="spellStart"/>
      <w:r w:rsidRPr="00A00270">
        <w:rPr>
          <w:color w:val="000000" w:themeColor="text1"/>
          <w:sz w:val="24"/>
          <w:szCs w:val="24"/>
          <w:lang w:val="en-PH"/>
        </w:rPr>
        <w:t>Gheyssens</w:t>
      </w:r>
      <w:proofErr w:type="spellEnd"/>
      <w:r w:rsidRPr="00A00270">
        <w:rPr>
          <w:color w:val="000000" w:themeColor="text1"/>
          <w:sz w:val="24"/>
          <w:szCs w:val="24"/>
          <w:lang w:val="en-PH"/>
        </w:rPr>
        <w:t xml:space="preserve">, E., </w:t>
      </w:r>
      <w:proofErr w:type="spellStart"/>
      <w:r w:rsidRPr="00A00270">
        <w:rPr>
          <w:color w:val="000000" w:themeColor="text1"/>
          <w:sz w:val="24"/>
          <w:szCs w:val="24"/>
          <w:lang w:val="en-PH"/>
        </w:rPr>
        <w:t>Coubergs</w:t>
      </w:r>
      <w:proofErr w:type="spellEnd"/>
      <w:r w:rsidRPr="00A00270">
        <w:rPr>
          <w:color w:val="000000" w:themeColor="text1"/>
          <w:sz w:val="24"/>
          <w:szCs w:val="24"/>
          <w:lang w:val="en-PH"/>
        </w:rPr>
        <w:t xml:space="preserve">, C., </w:t>
      </w:r>
      <w:proofErr w:type="spellStart"/>
      <w:r w:rsidRPr="00A00270">
        <w:rPr>
          <w:color w:val="000000" w:themeColor="text1"/>
          <w:sz w:val="24"/>
          <w:szCs w:val="24"/>
          <w:lang w:val="en-PH"/>
        </w:rPr>
        <w:t>Griful-Freixenet</w:t>
      </w:r>
      <w:proofErr w:type="spellEnd"/>
      <w:r w:rsidRPr="00A00270">
        <w:rPr>
          <w:color w:val="000000" w:themeColor="text1"/>
          <w:sz w:val="24"/>
          <w:szCs w:val="24"/>
          <w:lang w:val="en-PH"/>
        </w:rPr>
        <w:t xml:space="preserve">, J., Engels, N., &amp; </w:t>
      </w:r>
      <w:proofErr w:type="spellStart"/>
      <w:r w:rsidRPr="00A00270">
        <w:rPr>
          <w:color w:val="000000" w:themeColor="text1"/>
          <w:sz w:val="24"/>
          <w:szCs w:val="24"/>
          <w:lang w:val="en-PH"/>
        </w:rPr>
        <w:t>Struyven</w:t>
      </w:r>
      <w:proofErr w:type="spellEnd"/>
      <w:r w:rsidRPr="00A00270">
        <w:rPr>
          <w:color w:val="000000" w:themeColor="text1"/>
          <w:sz w:val="24"/>
          <w:szCs w:val="24"/>
          <w:lang w:val="en-PH"/>
        </w:rPr>
        <w:t xml:space="preserve">, K. (2022). Differentiated instruction: The diversity of teachers’ philosophy and praxis to adapt teaching to students’ interests, readiness and learning profiles. International Journal of Inclusive Education, 26(14), 1383–1400. </w:t>
      </w:r>
      <w:hyperlink r:id="rId20" w:history="1">
        <w:r w:rsidR="0092452A" w:rsidRPr="00A00270">
          <w:rPr>
            <w:rStyle w:val="Hyperlink"/>
            <w:color w:val="000000" w:themeColor="text1"/>
            <w:sz w:val="24"/>
            <w:szCs w:val="24"/>
            <w:lang w:val="en-PH"/>
          </w:rPr>
          <w:t>https://doi.org/10.1080/13603116.2020.1812739</w:t>
        </w:r>
      </w:hyperlink>
    </w:p>
    <w:p w14:paraId="55C36BAF" w14:textId="47A8E846"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Goyibova, N., </w:t>
      </w:r>
      <w:proofErr w:type="spellStart"/>
      <w:r w:rsidRPr="00A00270">
        <w:rPr>
          <w:color w:val="000000" w:themeColor="text1"/>
          <w:sz w:val="24"/>
          <w:szCs w:val="24"/>
          <w:lang w:val="en-PH"/>
        </w:rPr>
        <w:t>Muslimov</w:t>
      </w:r>
      <w:proofErr w:type="spellEnd"/>
      <w:r w:rsidRPr="00A00270">
        <w:rPr>
          <w:color w:val="000000" w:themeColor="text1"/>
          <w:sz w:val="24"/>
          <w:szCs w:val="24"/>
          <w:lang w:val="en-PH"/>
        </w:rPr>
        <w:t xml:space="preserve">, N., Sabirova, G., Kadirova, N., &amp; </w:t>
      </w:r>
      <w:proofErr w:type="spellStart"/>
      <w:r w:rsidRPr="00A00270">
        <w:rPr>
          <w:color w:val="000000" w:themeColor="text1"/>
          <w:sz w:val="24"/>
          <w:szCs w:val="24"/>
          <w:lang w:val="en-PH"/>
        </w:rPr>
        <w:t>Samatova</w:t>
      </w:r>
      <w:proofErr w:type="spellEnd"/>
      <w:r w:rsidRPr="00A00270">
        <w:rPr>
          <w:color w:val="000000" w:themeColor="text1"/>
          <w:sz w:val="24"/>
          <w:szCs w:val="24"/>
          <w:lang w:val="en-PH"/>
        </w:rPr>
        <w:t xml:space="preserve">, B. (2025). Differentiation approach in education: Tailoring instruction for diverse learner needs. </w:t>
      </w:r>
      <w:proofErr w:type="spellStart"/>
      <w:r w:rsidRPr="00A00270">
        <w:rPr>
          <w:color w:val="000000" w:themeColor="text1"/>
          <w:sz w:val="24"/>
          <w:szCs w:val="24"/>
          <w:lang w:val="en-PH"/>
        </w:rPr>
        <w:t>MethodsX</w:t>
      </w:r>
      <w:proofErr w:type="spellEnd"/>
      <w:r w:rsidRPr="00A00270">
        <w:rPr>
          <w:color w:val="000000" w:themeColor="text1"/>
          <w:sz w:val="24"/>
          <w:szCs w:val="24"/>
          <w:lang w:val="en-PH"/>
        </w:rPr>
        <w:t xml:space="preserve">, 14, 103163. </w:t>
      </w:r>
      <w:hyperlink r:id="rId21" w:history="1">
        <w:r w:rsidR="0092452A" w:rsidRPr="00A00270">
          <w:rPr>
            <w:rStyle w:val="Hyperlink"/>
            <w:color w:val="000000" w:themeColor="text1"/>
            <w:sz w:val="24"/>
            <w:szCs w:val="24"/>
            <w:lang w:val="en-PH"/>
          </w:rPr>
          <w:t>https://doi.org/10.1016/j.mex.2025.103163</w:t>
        </w:r>
      </w:hyperlink>
    </w:p>
    <w:p w14:paraId="78568341" w14:textId="0F5A8D4B" w:rsidR="0092452A" w:rsidRPr="00A00270" w:rsidRDefault="003614AD" w:rsidP="0092452A">
      <w:pPr>
        <w:pStyle w:val="ListParagraph"/>
        <w:numPr>
          <w:ilvl w:val="0"/>
          <w:numId w:val="14"/>
        </w:numPr>
        <w:spacing w:before="240" w:after="240"/>
        <w:jc w:val="both"/>
        <w:rPr>
          <w:color w:val="000000" w:themeColor="text1"/>
          <w:sz w:val="24"/>
          <w:szCs w:val="24"/>
          <w:lang w:val="en-PH"/>
        </w:rPr>
      </w:pPr>
      <w:proofErr w:type="spellStart"/>
      <w:r w:rsidRPr="00A00270">
        <w:rPr>
          <w:color w:val="000000" w:themeColor="text1"/>
          <w:sz w:val="24"/>
          <w:szCs w:val="24"/>
          <w:lang w:val="en-PH"/>
        </w:rPr>
        <w:t>Haelermans</w:t>
      </w:r>
      <w:proofErr w:type="spellEnd"/>
      <w:r w:rsidRPr="00A00270">
        <w:rPr>
          <w:color w:val="000000" w:themeColor="text1"/>
          <w:sz w:val="24"/>
          <w:szCs w:val="24"/>
          <w:lang w:val="en-PH"/>
        </w:rPr>
        <w:t xml:space="preserve">, C. (2022). The Effects of Group differentiation by students’ learning strategies. Instructional Science, 50(2), 223–250. </w:t>
      </w:r>
      <w:hyperlink r:id="rId22" w:history="1">
        <w:r w:rsidR="0092452A" w:rsidRPr="00A00270">
          <w:rPr>
            <w:rStyle w:val="Hyperlink"/>
            <w:color w:val="000000" w:themeColor="text1"/>
            <w:sz w:val="24"/>
            <w:szCs w:val="24"/>
            <w:lang w:val="en-PH"/>
          </w:rPr>
          <w:t>https://doi.org/10.1007/s11251-021-09575-0</w:t>
        </w:r>
      </w:hyperlink>
    </w:p>
    <w:p w14:paraId="1F610534" w14:textId="2FA95B29"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Hasanuddin, M. I., </w:t>
      </w:r>
      <w:proofErr w:type="spellStart"/>
      <w:r w:rsidRPr="00A00270">
        <w:rPr>
          <w:color w:val="000000" w:themeColor="text1"/>
          <w:sz w:val="24"/>
          <w:szCs w:val="24"/>
          <w:lang w:val="en-PH"/>
        </w:rPr>
        <w:t>Zuhdiah</w:t>
      </w:r>
      <w:proofErr w:type="spellEnd"/>
      <w:r w:rsidRPr="00A00270">
        <w:rPr>
          <w:color w:val="000000" w:themeColor="text1"/>
          <w:sz w:val="24"/>
          <w:szCs w:val="24"/>
          <w:lang w:val="en-PH"/>
        </w:rPr>
        <w:t xml:space="preserve">, Z., </w:t>
      </w:r>
      <w:proofErr w:type="spellStart"/>
      <w:r w:rsidRPr="00A00270">
        <w:rPr>
          <w:color w:val="000000" w:themeColor="text1"/>
          <w:sz w:val="24"/>
          <w:szCs w:val="24"/>
          <w:lang w:val="en-PH"/>
        </w:rPr>
        <w:t>Badaruddin</w:t>
      </w:r>
      <w:proofErr w:type="spellEnd"/>
      <w:r w:rsidRPr="00A00270">
        <w:rPr>
          <w:color w:val="000000" w:themeColor="text1"/>
          <w:sz w:val="24"/>
          <w:szCs w:val="24"/>
          <w:lang w:val="en-PH"/>
        </w:rPr>
        <w:t xml:space="preserve">, S., Setiawan, A., &amp; Kalsum, U. (2024). Enhancing Students’ Self-Regulated Learning through Differentiated Instruction Based on Prior Knowledge. EDUKASIA </w:t>
      </w:r>
      <w:proofErr w:type="spellStart"/>
      <w:r w:rsidRPr="00A00270">
        <w:rPr>
          <w:color w:val="000000" w:themeColor="text1"/>
          <w:sz w:val="24"/>
          <w:szCs w:val="24"/>
          <w:lang w:val="en-PH"/>
        </w:rPr>
        <w:t>Jurnal</w:t>
      </w:r>
      <w:proofErr w:type="spellEnd"/>
      <w:r w:rsidRPr="00A00270">
        <w:rPr>
          <w:color w:val="000000" w:themeColor="text1"/>
          <w:sz w:val="24"/>
          <w:szCs w:val="24"/>
          <w:lang w:val="en-PH"/>
        </w:rPr>
        <w:t xml:space="preserve"> Pendidikan Dan Pembelajaran, 5(2), 179–188. </w:t>
      </w:r>
      <w:hyperlink r:id="rId23" w:history="1">
        <w:r w:rsidR="0092452A" w:rsidRPr="00A00270">
          <w:rPr>
            <w:rStyle w:val="Hyperlink"/>
            <w:color w:val="000000" w:themeColor="text1"/>
            <w:sz w:val="24"/>
            <w:szCs w:val="24"/>
            <w:lang w:val="en-PH"/>
          </w:rPr>
          <w:t>https://doi.org/10.62775/edukasia.v5i2.1371</w:t>
        </w:r>
      </w:hyperlink>
    </w:p>
    <w:p w14:paraId="1AD103A5" w14:textId="5C7AB677"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Helmi, A. M., </w:t>
      </w:r>
      <w:proofErr w:type="spellStart"/>
      <w:r w:rsidRPr="00A00270">
        <w:rPr>
          <w:color w:val="000000" w:themeColor="text1"/>
          <w:sz w:val="24"/>
          <w:szCs w:val="24"/>
          <w:lang w:val="en-PH"/>
        </w:rPr>
        <w:t>Fauziati</w:t>
      </w:r>
      <w:proofErr w:type="spellEnd"/>
      <w:r w:rsidRPr="00A00270">
        <w:rPr>
          <w:color w:val="000000" w:themeColor="text1"/>
          <w:sz w:val="24"/>
          <w:szCs w:val="24"/>
          <w:lang w:val="en-PH"/>
        </w:rPr>
        <w:t xml:space="preserve">, E., &amp; </w:t>
      </w:r>
      <w:proofErr w:type="spellStart"/>
      <w:r w:rsidRPr="00A00270">
        <w:rPr>
          <w:color w:val="000000" w:themeColor="text1"/>
          <w:sz w:val="24"/>
          <w:szCs w:val="24"/>
          <w:lang w:val="en-PH"/>
        </w:rPr>
        <w:t>Muhibbin</w:t>
      </w:r>
      <w:proofErr w:type="spellEnd"/>
      <w:r w:rsidRPr="00A00270">
        <w:rPr>
          <w:color w:val="000000" w:themeColor="text1"/>
          <w:sz w:val="24"/>
          <w:szCs w:val="24"/>
          <w:lang w:val="en-PH"/>
        </w:rPr>
        <w:t xml:space="preserve">, A. (2023). Movers Teacher Perceptions of Sensory Learning Styles and Their Implementation in Product Differentiated Learning. </w:t>
      </w:r>
      <w:proofErr w:type="spellStart"/>
      <w:r w:rsidRPr="00A00270">
        <w:rPr>
          <w:color w:val="000000" w:themeColor="text1"/>
          <w:sz w:val="24"/>
          <w:szCs w:val="24"/>
          <w:lang w:val="en-PH"/>
        </w:rPr>
        <w:t>Jurnal</w:t>
      </w:r>
      <w:proofErr w:type="spellEnd"/>
      <w:r w:rsidRPr="00A00270">
        <w:rPr>
          <w:color w:val="000000" w:themeColor="text1"/>
          <w:sz w:val="24"/>
          <w:szCs w:val="24"/>
          <w:lang w:val="en-PH"/>
        </w:rPr>
        <w:t xml:space="preserve"> </w:t>
      </w:r>
      <w:proofErr w:type="spellStart"/>
      <w:r w:rsidRPr="00A00270">
        <w:rPr>
          <w:color w:val="000000" w:themeColor="text1"/>
          <w:sz w:val="24"/>
          <w:szCs w:val="24"/>
          <w:lang w:val="en-PH"/>
        </w:rPr>
        <w:t>Paedagogy</w:t>
      </w:r>
      <w:proofErr w:type="spellEnd"/>
      <w:r w:rsidRPr="00A00270">
        <w:rPr>
          <w:color w:val="000000" w:themeColor="text1"/>
          <w:sz w:val="24"/>
          <w:szCs w:val="24"/>
          <w:lang w:val="en-PH"/>
        </w:rPr>
        <w:t xml:space="preserve">, 10(2), 389–400. </w:t>
      </w:r>
      <w:hyperlink r:id="rId24" w:history="1">
        <w:r w:rsidR="0092452A" w:rsidRPr="00A00270">
          <w:rPr>
            <w:rStyle w:val="Hyperlink"/>
            <w:color w:val="000000" w:themeColor="text1"/>
            <w:sz w:val="24"/>
            <w:szCs w:val="24"/>
            <w:lang w:val="en-PH"/>
          </w:rPr>
          <w:t>https://doi.org/10.33394/jp.v10i2.6880</w:t>
        </w:r>
      </w:hyperlink>
    </w:p>
    <w:p w14:paraId="0424E35A" w14:textId="3B26DABE"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Islam, M. A., Haji Mat Said, S. B., </w:t>
      </w:r>
      <w:proofErr w:type="spellStart"/>
      <w:r w:rsidRPr="00A00270">
        <w:rPr>
          <w:color w:val="000000" w:themeColor="text1"/>
          <w:sz w:val="24"/>
          <w:szCs w:val="24"/>
          <w:lang w:val="en-PH"/>
        </w:rPr>
        <w:t>Umarlebbe</w:t>
      </w:r>
      <w:proofErr w:type="spellEnd"/>
      <w:r w:rsidRPr="00A00270">
        <w:rPr>
          <w:color w:val="000000" w:themeColor="text1"/>
          <w:sz w:val="24"/>
          <w:szCs w:val="24"/>
          <w:lang w:val="en-PH"/>
        </w:rPr>
        <w:t xml:space="preserve">, J. H., Sobhani, F. A., &amp; Afrin, S. (2022). Conceptualization of head-heart-hands model for developing an effective 21st century teacher. </w:t>
      </w:r>
      <w:hyperlink r:id="rId25" w:history="1">
        <w:r w:rsidR="0092452A" w:rsidRPr="00A00270">
          <w:rPr>
            <w:rStyle w:val="Hyperlink"/>
            <w:color w:val="000000" w:themeColor="text1"/>
            <w:sz w:val="24"/>
            <w:szCs w:val="24"/>
            <w:lang w:val="en-PH"/>
          </w:rPr>
          <w:t>https://doi.org/10.3389/fpsyg.2022.968723</w:t>
        </w:r>
      </w:hyperlink>
    </w:p>
    <w:p w14:paraId="055118DE" w14:textId="1D84D142"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Jr, V. L. B., &amp; </w:t>
      </w:r>
      <w:proofErr w:type="spellStart"/>
      <w:r w:rsidRPr="00A00270">
        <w:rPr>
          <w:color w:val="000000" w:themeColor="text1"/>
          <w:sz w:val="24"/>
          <w:szCs w:val="24"/>
          <w:lang w:val="en-PH"/>
        </w:rPr>
        <w:t>Habibun</w:t>
      </w:r>
      <w:proofErr w:type="spellEnd"/>
      <w:r w:rsidRPr="00A00270">
        <w:rPr>
          <w:color w:val="000000" w:themeColor="text1"/>
          <w:sz w:val="24"/>
          <w:szCs w:val="24"/>
          <w:lang w:val="en-PH"/>
        </w:rPr>
        <w:t>, Q. A. (2025). THE DETERMINANTS OF THE PERCEIVED EMPLOYABILITY OF TVL GRADE 12 STUDENTS. 6(11).</w:t>
      </w:r>
      <w:r w:rsidR="0092452A" w:rsidRPr="00A00270">
        <w:rPr>
          <w:color w:val="000000" w:themeColor="text1"/>
          <w:sz w:val="24"/>
          <w:szCs w:val="24"/>
          <w:lang w:val="en-PH"/>
        </w:rPr>
        <w:t xml:space="preserve">  </w:t>
      </w:r>
      <w:hyperlink r:id="rId26" w:history="1">
        <w:r w:rsidR="0092452A" w:rsidRPr="00A00270">
          <w:rPr>
            <w:rStyle w:val="Hyperlink"/>
            <w:color w:val="000000" w:themeColor="text1"/>
            <w:sz w:val="24"/>
            <w:szCs w:val="24"/>
            <w:lang w:val="en-PH"/>
          </w:rPr>
          <w:t>https://scholar.google.com/scholar?hl=en&amp;as_sdt=0%2C5&amp;q=THE+DETERMINANTS+OF+THE+PERCEIVED+EMPLOYABILITY+OF+TVL+GRADE+12+STUDENTS&amp;btnG=</w:t>
        </w:r>
      </w:hyperlink>
    </w:p>
    <w:p w14:paraId="793AD1D3" w14:textId="07420EC2"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Kania, N., Fitriani, C., &amp; </w:t>
      </w:r>
      <w:proofErr w:type="spellStart"/>
      <w:r w:rsidRPr="00A00270">
        <w:rPr>
          <w:color w:val="000000" w:themeColor="text1"/>
          <w:sz w:val="24"/>
          <w:szCs w:val="24"/>
          <w:lang w:val="en-PH"/>
        </w:rPr>
        <w:t>Bonyah</w:t>
      </w:r>
      <w:proofErr w:type="spellEnd"/>
      <w:r w:rsidRPr="00A00270">
        <w:rPr>
          <w:color w:val="000000" w:themeColor="text1"/>
          <w:sz w:val="24"/>
          <w:szCs w:val="24"/>
          <w:lang w:val="en-PH"/>
        </w:rPr>
        <w:t xml:space="preserve">, E. (2023). Analysis of Students’ Critical Thinking Skills Based on Prior Knowledge Mathematics. International Journal of Contemporary Studies in Education (IJ-CSE), 2(1). </w:t>
      </w:r>
      <w:hyperlink r:id="rId27" w:history="1">
        <w:r w:rsidR="0092452A" w:rsidRPr="00A00270">
          <w:rPr>
            <w:rStyle w:val="Hyperlink"/>
            <w:color w:val="000000" w:themeColor="text1"/>
            <w:sz w:val="24"/>
            <w:szCs w:val="24"/>
            <w:lang w:val="en-PH"/>
          </w:rPr>
          <w:t>https://doi.org/10.56855/ijcse.v2i1.248</w:t>
        </w:r>
      </w:hyperlink>
    </w:p>
    <w:p w14:paraId="73BF6830" w14:textId="74692AFD"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Khatter, A., </w:t>
      </w:r>
      <w:proofErr w:type="spellStart"/>
      <w:r w:rsidRPr="00A00270">
        <w:rPr>
          <w:color w:val="000000" w:themeColor="text1"/>
          <w:sz w:val="24"/>
          <w:szCs w:val="24"/>
          <w:lang w:val="en-PH"/>
        </w:rPr>
        <w:t>Thalaachawr</w:t>
      </w:r>
      <w:proofErr w:type="spellEnd"/>
      <w:r w:rsidRPr="00A00270">
        <w:rPr>
          <w:color w:val="000000" w:themeColor="text1"/>
          <w:sz w:val="24"/>
          <w:szCs w:val="24"/>
          <w:lang w:val="en-PH"/>
        </w:rPr>
        <w:t xml:space="preserve">, K., &amp; Blyth, M. (2024). Student engagement and fostering ownership of learning. Journal of Applied Learning &amp; Teaching, 7(1), 291–302. </w:t>
      </w:r>
      <w:hyperlink r:id="rId28" w:history="1">
        <w:r w:rsidR="0092452A" w:rsidRPr="00A00270">
          <w:rPr>
            <w:rStyle w:val="Hyperlink"/>
            <w:color w:val="000000" w:themeColor="text1"/>
            <w:sz w:val="24"/>
            <w:szCs w:val="24"/>
            <w:lang w:val="en-PH"/>
          </w:rPr>
          <w:t>https://doi.org/10.3316/informit.T2025091900007891326081625</w:t>
        </w:r>
      </w:hyperlink>
    </w:p>
    <w:p w14:paraId="54CE515A" w14:textId="56638D14" w:rsidR="0092452A" w:rsidRPr="00A00270" w:rsidRDefault="003614AD" w:rsidP="0092452A">
      <w:pPr>
        <w:pStyle w:val="ListParagraph"/>
        <w:numPr>
          <w:ilvl w:val="0"/>
          <w:numId w:val="14"/>
        </w:numPr>
        <w:spacing w:before="240" w:after="240"/>
        <w:jc w:val="both"/>
        <w:rPr>
          <w:color w:val="000000" w:themeColor="text1"/>
          <w:sz w:val="24"/>
          <w:szCs w:val="24"/>
          <w:lang w:val="en-PH"/>
        </w:rPr>
      </w:pPr>
      <w:proofErr w:type="spellStart"/>
      <w:r w:rsidRPr="00A00270">
        <w:rPr>
          <w:color w:val="000000" w:themeColor="text1"/>
          <w:sz w:val="24"/>
          <w:szCs w:val="24"/>
          <w:lang w:val="en-PH"/>
        </w:rPr>
        <w:t>Kouicem</w:t>
      </w:r>
      <w:proofErr w:type="spellEnd"/>
      <w:r w:rsidRPr="00A00270">
        <w:rPr>
          <w:color w:val="000000" w:themeColor="text1"/>
          <w:sz w:val="24"/>
          <w:szCs w:val="24"/>
          <w:lang w:val="en-PH"/>
        </w:rPr>
        <w:t xml:space="preserve">, K. (2020). Constructivist Theories of Piaget and Vygotsky: Implications for Pedagogical Practices. </w:t>
      </w:r>
      <w:hyperlink r:id="rId29" w:history="1">
        <w:r w:rsidR="0092452A" w:rsidRPr="00A00270">
          <w:rPr>
            <w:rStyle w:val="Hyperlink"/>
            <w:color w:val="000000" w:themeColor="text1"/>
            <w:sz w:val="24"/>
            <w:szCs w:val="24"/>
            <w:lang w:val="en-PH"/>
          </w:rPr>
          <w:t>https://scholar.google.com/scholar?hl=en&amp;as_sdt=0%2C5&amp;q=Constructivist+Theories</w:t>
        </w:r>
      </w:hyperlink>
    </w:p>
    <w:p w14:paraId="797B53C7" w14:textId="4867509E"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López-Orozco, C. F., López-Caudana, E. O., &amp; Ponce, P. (2022). A systematic mapping literature review of education around sexual and gender diversities. </w:t>
      </w:r>
      <w:hyperlink r:id="rId30" w:history="1">
        <w:r w:rsidR="006B6F3B" w:rsidRPr="00A00270">
          <w:rPr>
            <w:rStyle w:val="Hyperlink"/>
            <w:color w:val="000000" w:themeColor="text1"/>
            <w:sz w:val="24"/>
            <w:szCs w:val="24"/>
            <w:lang w:val="en-PH"/>
          </w:rPr>
          <w:t>https://doi.org/10.3389/fsoc.2022.946683</w:t>
        </w:r>
      </w:hyperlink>
    </w:p>
    <w:p w14:paraId="762BD01D" w14:textId="19EC73F4"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Maftuna, K. (2025). Scaffolding Techniques: Supporting Student Progress Step-By-Step. TA’LIM, TARBIYA VA INNOVATSIYALAR JURNALI, 1(7), 264–268. </w:t>
      </w:r>
      <w:hyperlink r:id="rId31" w:history="1">
        <w:r w:rsidR="006B6F3B" w:rsidRPr="00A00270">
          <w:rPr>
            <w:rStyle w:val="Hyperlink"/>
            <w:color w:val="000000" w:themeColor="text1"/>
            <w:sz w:val="24"/>
            <w:szCs w:val="24"/>
            <w:lang w:val="en-PH"/>
          </w:rPr>
          <w:t>https://scholar.google.com/scholar?hl=en&amp;as_sdt=0%2C5&amp;q=Scaffolding+Techniques%3A+Supporting+Student+Progress+Step-By-Step&amp;btnG=</w:t>
        </w:r>
      </w:hyperlink>
    </w:p>
    <w:p w14:paraId="086AC3BC" w14:textId="35E4DB32"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Perez, K. (2024). Influence of Senior High School Strand on the Academic Performance in College. ResearchGate. </w:t>
      </w:r>
      <w:hyperlink r:id="rId32" w:history="1">
        <w:r w:rsidR="006B6F3B" w:rsidRPr="00A00270">
          <w:rPr>
            <w:rStyle w:val="Hyperlink"/>
            <w:color w:val="000000" w:themeColor="text1"/>
            <w:sz w:val="24"/>
            <w:szCs w:val="24"/>
            <w:lang w:val="en-PH"/>
          </w:rPr>
          <w:t>https://doi.org/10.56738/issn29603986.geo2024.5.53</w:t>
        </w:r>
      </w:hyperlink>
    </w:p>
    <w:p w14:paraId="201117DC" w14:textId="1A05AC08" w:rsidR="006B6F3B" w:rsidRPr="00A00270" w:rsidRDefault="003614AD" w:rsidP="006B6F3B">
      <w:pPr>
        <w:pStyle w:val="ListParagraph"/>
        <w:numPr>
          <w:ilvl w:val="0"/>
          <w:numId w:val="14"/>
        </w:numPr>
        <w:spacing w:before="240" w:after="240"/>
        <w:jc w:val="both"/>
        <w:rPr>
          <w:color w:val="000000" w:themeColor="text1"/>
          <w:sz w:val="24"/>
          <w:szCs w:val="24"/>
          <w:lang w:val="en-PH"/>
        </w:rPr>
      </w:pPr>
      <w:proofErr w:type="spellStart"/>
      <w:r w:rsidRPr="00A00270">
        <w:rPr>
          <w:color w:val="000000" w:themeColor="text1"/>
          <w:sz w:val="24"/>
          <w:szCs w:val="24"/>
          <w:lang w:val="en-PH"/>
        </w:rPr>
        <w:t>Prananto</w:t>
      </w:r>
      <w:proofErr w:type="spellEnd"/>
      <w:r w:rsidRPr="00A00270">
        <w:rPr>
          <w:color w:val="000000" w:themeColor="text1"/>
          <w:sz w:val="24"/>
          <w:szCs w:val="24"/>
          <w:lang w:val="en-PH"/>
        </w:rPr>
        <w:t xml:space="preserve">, K., Cahyadi, S., Lubis, F. Y., &amp; </w:t>
      </w:r>
      <w:proofErr w:type="spellStart"/>
      <w:r w:rsidRPr="00A00270">
        <w:rPr>
          <w:color w:val="000000" w:themeColor="text1"/>
          <w:sz w:val="24"/>
          <w:szCs w:val="24"/>
          <w:lang w:val="en-PH"/>
        </w:rPr>
        <w:t>Hinduan</w:t>
      </w:r>
      <w:proofErr w:type="spellEnd"/>
      <w:r w:rsidRPr="00A00270">
        <w:rPr>
          <w:color w:val="000000" w:themeColor="text1"/>
          <w:sz w:val="24"/>
          <w:szCs w:val="24"/>
          <w:lang w:val="en-PH"/>
        </w:rPr>
        <w:t xml:space="preserve">, Z. R. (2025). Perceived teacher support and student engagement among higher education students – a systematic literature review. BMC Psychology, 13(1), 112. </w:t>
      </w:r>
      <w:hyperlink r:id="rId33" w:history="1">
        <w:r w:rsidR="006B6F3B" w:rsidRPr="00A00270">
          <w:rPr>
            <w:rStyle w:val="Hyperlink"/>
            <w:color w:val="000000" w:themeColor="text1"/>
            <w:sz w:val="24"/>
            <w:szCs w:val="24"/>
            <w:lang w:val="en-PH"/>
          </w:rPr>
          <w:t>https://doi.org/10.1186/s40359-025-02412-w</w:t>
        </w:r>
      </w:hyperlink>
    </w:p>
    <w:p w14:paraId="73FB0168" w14:textId="5F6208FC"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Qorib, M. (2024). Analysis Of Differentiated Instruction </w:t>
      </w:r>
      <w:proofErr w:type="gramStart"/>
      <w:r w:rsidRPr="00A00270">
        <w:rPr>
          <w:color w:val="000000" w:themeColor="text1"/>
          <w:sz w:val="24"/>
          <w:szCs w:val="24"/>
          <w:lang w:val="en-PH"/>
        </w:rPr>
        <w:t>As</w:t>
      </w:r>
      <w:proofErr w:type="gramEnd"/>
      <w:r w:rsidRPr="00A00270">
        <w:rPr>
          <w:color w:val="000000" w:themeColor="text1"/>
          <w:sz w:val="24"/>
          <w:szCs w:val="24"/>
          <w:lang w:val="en-PH"/>
        </w:rPr>
        <w:t xml:space="preserve"> </w:t>
      </w:r>
      <w:proofErr w:type="gramStart"/>
      <w:r w:rsidRPr="00A00270">
        <w:rPr>
          <w:color w:val="000000" w:themeColor="text1"/>
          <w:sz w:val="24"/>
          <w:szCs w:val="24"/>
          <w:lang w:val="en-PH"/>
        </w:rPr>
        <w:t>A</w:t>
      </w:r>
      <w:proofErr w:type="gramEnd"/>
      <w:r w:rsidRPr="00A00270">
        <w:rPr>
          <w:color w:val="000000" w:themeColor="text1"/>
          <w:sz w:val="24"/>
          <w:szCs w:val="24"/>
          <w:lang w:val="en-PH"/>
        </w:rPr>
        <w:t xml:space="preserve"> Learning Solution </w:t>
      </w:r>
      <w:proofErr w:type="gramStart"/>
      <w:r w:rsidRPr="00A00270">
        <w:rPr>
          <w:color w:val="000000" w:themeColor="text1"/>
          <w:sz w:val="24"/>
          <w:szCs w:val="24"/>
          <w:lang w:val="en-PH"/>
        </w:rPr>
        <w:t>In</w:t>
      </w:r>
      <w:proofErr w:type="gramEnd"/>
      <w:r w:rsidRPr="00A00270">
        <w:rPr>
          <w:color w:val="000000" w:themeColor="text1"/>
          <w:sz w:val="24"/>
          <w:szCs w:val="24"/>
          <w:lang w:val="en-PH"/>
        </w:rPr>
        <w:t xml:space="preserve"> Student Diversity </w:t>
      </w:r>
      <w:proofErr w:type="gramStart"/>
      <w:r w:rsidRPr="00A00270">
        <w:rPr>
          <w:color w:val="000000" w:themeColor="text1"/>
          <w:sz w:val="24"/>
          <w:szCs w:val="24"/>
          <w:lang w:val="en-PH"/>
        </w:rPr>
        <w:t>In</w:t>
      </w:r>
      <w:proofErr w:type="gramEnd"/>
      <w:r w:rsidRPr="00A00270">
        <w:rPr>
          <w:color w:val="000000" w:themeColor="text1"/>
          <w:sz w:val="24"/>
          <w:szCs w:val="24"/>
          <w:lang w:val="en-PH"/>
        </w:rPr>
        <w:t xml:space="preserve"> Inclusive </w:t>
      </w:r>
      <w:proofErr w:type="gramStart"/>
      <w:r w:rsidRPr="00A00270">
        <w:rPr>
          <w:color w:val="000000" w:themeColor="text1"/>
          <w:sz w:val="24"/>
          <w:szCs w:val="24"/>
          <w:lang w:val="en-PH"/>
        </w:rPr>
        <w:t>And</w:t>
      </w:r>
      <w:proofErr w:type="gramEnd"/>
      <w:r w:rsidRPr="00A00270">
        <w:rPr>
          <w:color w:val="000000" w:themeColor="text1"/>
          <w:sz w:val="24"/>
          <w:szCs w:val="24"/>
          <w:lang w:val="en-PH"/>
        </w:rPr>
        <w:t xml:space="preserve"> Moderate Education | Qorib | International Journal </w:t>
      </w:r>
      <w:proofErr w:type="spellStart"/>
      <w:r w:rsidRPr="00A00270">
        <w:rPr>
          <w:color w:val="000000" w:themeColor="text1"/>
          <w:sz w:val="24"/>
          <w:szCs w:val="24"/>
          <w:lang w:val="en-PH"/>
        </w:rPr>
        <w:t>Reglement</w:t>
      </w:r>
      <w:proofErr w:type="spellEnd"/>
      <w:r w:rsidRPr="00A00270">
        <w:rPr>
          <w:color w:val="000000" w:themeColor="text1"/>
          <w:sz w:val="24"/>
          <w:szCs w:val="24"/>
          <w:lang w:val="en-PH"/>
        </w:rPr>
        <w:t xml:space="preserve"> &amp; Society (IJRS). </w:t>
      </w:r>
      <w:hyperlink r:id="rId34" w:history="1">
        <w:r w:rsidR="006B6F3B" w:rsidRPr="00A00270">
          <w:rPr>
            <w:rStyle w:val="Hyperlink"/>
            <w:color w:val="000000" w:themeColor="text1"/>
            <w:sz w:val="24"/>
            <w:szCs w:val="24"/>
            <w:lang w:val="en-PH"/>
          </w:rPr>
          <w:t>https://doi.org/10.55357/ijrs.v5i1.452</w:t>
        </w:r>
      </w:hyperlink>
    </w:p>
    <w:p w14:paraId="3CC3CC18" w14:textId="17CD91BA"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Ramilo, J. P., &amp; Ting, M. S. (2025). Effectiveness of Differentiated Instruction, Level of Engagement and Academic Performance of Students with Diverse Learning Needs in an Inclusive Classroom in SDO Calamba City. International Journal of Multidisciplinary Research and Growth Evaluation, 6(2), 1406–1415. </w:t>
      </w:r>
      <w:hyperlink r:id="rId35" w:history="1">
        <w:r w:rsidR="006B6F3B" w:rsidRPr="00A00270">
          <w:rPr>
            <w:rStyle w:val="Hyperlink"/>
            <w:color w:val="000000" w:themeColor="text1"/>
            <w:sz w:val="24"/>
            <w:szCs w:val="24"/>
            <w:lang w:val="en-PH"/>
          </w:rPr>
          <w:t>https://doi.org/10.54660/.IJMRGE.2025.6.2.1406-1415</w:t>
        </w:r>
      </w:hyperlink>
    </w:p>
    <w:p w14:paraId="3EA2589F" w14:textId="53F36BE6"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Republic Act No. 7722. (1994, May 18). </w:t>
      </w:r>
      <w:hyperlink r:id="rId36" w:history="1">
        <w:r w:rsidR="006B6F3B" w:rsidRPr="00A00270">
          <w:rPr>
            <w:rStyle w:val="Hyperlink"/>
            <w:color w:val="000000" w:themeColor="text1"/>
            <w:sz w:val="24"/>
            <w:szCs w:val="24"/>
            <w:lang w:val="en-PH"/>
          </w:rPr>
          <w:t>https://elibrary.judiciary.gov.ph/thebookshelf/showdocs/2/2333</w:t>
        </w:r>
      </w:hyperlink>
    </w:p>
    <w:p w14:paraId="25CC3319" w14:textId="040D8971"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Republic Act No. 7796. (n.d.). Retrieved December 18, 2025, from </w:t>
      </w:r>
      <w:hyperlink r:id="rId37" w:history="1">
        <w:r w:rsidR="006B6F3B" w:rsidRPr="00A00270">
          <w:rPr>
            <w:rStyle w:val="Hyperlink"/>
            <w:color w:val="000000" w:themeColor="text1"/>
            <w:sz w:val="24"/>
            <w:szCs w:val="24"/>
            <w:lang w:val="en-PH"/>
          </w:rPr>
          <w:t>https://issuances-library.senate.gov.ph/sites/default/files/2022-12/RA%207796.pdf</w:t>
        </w:r>
      </w:hyperlink>
    </w:p>
    <w:p w14:paraId="76C0E0BD" w14:textId="50424E15"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Republic Act No. 10533. (2013, May 15). </w:t>
      </w:r>
      <w:hyperlink r:id="rId38" w:history="1">
        <w:r w:rsidR="006B6F3B" w:rsidRPr="00A00270">
          <w:rPr>
            <w:rStyle w:val="Hyperlink"/>
            <w:color w:val="000000" w:themeColor="text1"/>
            <w:sz w:val="24"/>
            <w:szCs w:val="24"/>
            <w:lang w:val="en-PH"/>
          </w:rPr>
          <w:t>https://lawphil.net/statutes/repacts/ra2013/ra_10533_2013.html</w:t>
        </w:r>
      </w:hyperlink>
    </w:p>
    <w:p w14:paraId="6D3D78B5" w14:textId="0871C504"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Samadi, M., Ghasemzadeh, A., &amp; </w:t>
      </w:r>
      <w:proofErr w:type="spellStart"/>
      <w:r w:rsidRPr="00A00270">
        <w:rPr>
          <w:color w:val="000000" w:themeColor="text1"/>
          <w:sz w:val="24"/>
          <w:szCs w:val="24"/>
          <w:lang w:val="en-PH"/>
        </w:rPr>
        <w:t>Mahdiuon</w:t>
      </w:r>
      <w:proofErr w:type="spellEnd"/>
      <w:r w:rsidRPr="00A00270">
        <w:rPr>
          <w:color w:val="000000" w:themeColor="text1"/>
          <w:sz w:val="24"/>
          <w:szCs w:val="24"/>
          <w:lang w:val="en-PH"/>
        </w:rPr>
        <w:t xml:space="preserve">, R. (2024). Preparing Students for Transition to University: The Role of Senior high Schools. ResearchGate. </w:t>
      </w:r>
      <w:hyperlink r:id="rId39" w:history="1">
        <w:r w:rsidR="006B6F3B" w:rsidRPr="00A00270">
          <w:rPr>
            <w:rStyle w:val="Hyperlink"/>
            <w:color w:val="000000" w:themeColor="text1"/>
            <w:sz w:val="24"/>
            <w:szCs w:val="24"/>
            <w:lang w:val="en-PH"/>
          </w:rPr>
          <w:t>https://scholar.google.com/scholar?hl=en&amp;as_sdt=0%2C5&amp;q=Preparing+Students+for+Transition+to+University%3A+The+Role+of+Senior+high+Schools&amp;btnG=</w:t>
        </w:r>
      </w:hyperlink>
    </w:p>
    <w:p w14:paraId="02BB8904" w14:textId="4ECB7A5E"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Sankaran, S., &amp; Low, S. F. (2025). Effectiveness of Feedback on Continuous Assessment: Students’ Views. Asian Journal of Assessment in Teaching and Learning, 15(1), 49–62. </w:t>
      </w:r>
      <w:hyperlink r:id="rId40" w:history="1">
        <w:r w:rsidR="006B6F3B" w:rsidRPr="00A00270">
          <w:rPr>
            <w:rStyle w:val="Hyperlink"/>
            <w:color w:val="000000" w:themeColor="text1"/>
            <w:sz w:val="24"/>
            <w:szCs w:val="24"/>
            <w:lang w:val="en-PH"/>
          </w:rPr>
          <w:t>https://doi.org/10.37134/ajatel.vol15.1.4.2025</w:t>
        </w:r>
      </w:hyperlink>
    </w:p>
    <w:p w14:paraId="123BA236" w14:textId="6B0A9AC2" w:rsidR="006B6F3B" w:rsidRPr="00A00270" w:rsidRDefault="003614AD" w:rsidP="006B6F3B">
      <w:pPr>
        <w:pStyle w:val="ListParagraph"/>
        <w:numPr>
          <w:ilvl w:val="0"/>
          <w:numId w:val="14"/>
        </w:numPr>
        <w:spacing w:before="240" w:after="240"/>
        <w:jc w:val="both"/>
        <w:rPr>
          <w:color w:val="000000" w:themeColor="text1"/>
          <w:sz w:val="24"/>
          <w:szCs w:val="24"/>
          <w:lang w:val="en-PH"/>
        </w:rPr>
      </w:pPr>
      <w:proofErr w:type="spellStart"/>
      <w:r w:rsidRPr="00A00270">
        <w:rPr>
          <w:color w:val="000000" w:themeColor="text1"/>
          <w:sz w:val="24"/>
          <w:szCs w:val="24"/>
          <w:lang w:val="en-PH"/>
        </w:rPr>
        <w:t>Seisa</w:t>
      </w:r>
      <w:proofErr w:type="spellEnd"/>
      <w:r w:rsidRPr="00A00270">
        <w:rPr>
          <w:color w:val="000000" w:themeColor="text1"/>
          <w:sz w:val="24"/>
          <w:szCs w:val="24"/>
          <w:lang w:val="en-PH"/>
        </w:rPr>
        <w:t xml:space="preserve">, J. D., &amp; </w:t>
      </w:r>
      <w:proofErr w:type="spellStart"/>
      <w:r w:rsidRPr="00A00270">
        <w:rPr>
          <w:color w:val="000000" w:themeColor="text1"/>
          <w:sz w:val="24"/>
          <w:szCs w:val="24"/>
          <w:lang w:val="en-PH"/>
        </w:rPr>
        <w:t>Galabo</w:t>
      </w:r>
      <w:proofErr w:type="spellEnd"/>
      <w:r w:rsidRPr="00A00270">
        <w:rPr>
          <w:color w:val="000000" w:themeColor="text1"/>
          <w:sz w:val="24"/>
          <w:szCs w:val="24"/>
          <w:lang w:val="en-PH"/>
        </w:rPr>
        <w:t xml:space="preserve">, N. R. (2023). The Road to Readiness: Aspiration and Preparedness of Grade 12 SHS Students in Pursuing College Degree. ResearchGate. </w:t>
      </w:r>
      <w:hyperlink r:id="rId41" w:history="1">
        <w:r w:rsidR="006B6F3B" w:rsidRPr="00A00270">
          <w:rPr>
            <w:rStyle w:val="Hyperlink"/>
            <w:color w:val="000000" w:themeColor="text1"/>
            <w:sz w:val="24"/>
            <w:szCs w:val="24"/>
            <w:lang w:val="en-PH"/>
          </w:rPr>
          <w:t>https://doi.org/10.13140/RG.2.2.20824.26886/1</w:t>
        </w:r>
      </w:hyperlink>
    </w:p>
    <w:p w14:paraId="7C31C39D" w14:textId="5856620A"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Siregar, R. S. (2024). Students’ Preferences for Varied Learning Methods: An Empirical Study of the Effectiveness and Appeal of Diverse Instructional Approaches. </w:t>
      </w:r>
      <w:proofErr w:type="spellStart"/>
      <w:r w:rsidRPr="00A00270">
        <w:rPr>
          <w:color w:val="000000" w:themeColor="text1"/>
          <w:sz w:val="24"/>
          <w:szCs w:val="24"/>
          <w:lang w:val="en-PH"/>
        </w:rPr>
        <w:t>Jurnal</w:t>
      </w:r>
      <w:proofErr w:type="spellEnd"/>
      <w:r w:rsidRPr="00A00270">
        <w:rPr>
          <w:color w:val="000000" w:themeColor="text1"/>
          <w:sz w:val="24"/>
          <w:szCs w:val="24"/>
          <w:lang w:val="en-PH"/>
        </w:rPr>
        <w:t xml:space="preserve"> </w:t>
      </w:r>
      <w:proofErr w:type="spellStart"/>
      <w:r w:rsidRPr="00A00270">
        <w:rPr>
          <w:color w:val="000000" w:themeColor="text1"/>
          <w:sz w:val="24"/>
          <w:szCs w:val="24"/>
          <w:lang w:val="en-PH"/>
        </w:rPr>
        <w:t>Profesi</w:t>
      </w:r>
      <w:proofErr w:type="spellEnd"/>
      <w:r w:rsidRPr="00A00270">
        <w:rPr>
          <w:color w:val="000000" w:themeColor="text1"/>
          <w:sz w:val="24"/>
          <w:szCs w:val="24"/>
          <w:lang w:val="en-PH"/>
        </w:rPr>
        <w:t xml:space="preserve"> Guru Indonesia, 1(2), 140–152. </w:t>
      </w:r>
      <w:hyperlink r:id="rId42" w:history="1">
        <w:r w:rsidR="006B6F3B" w:rsidRPr="00A00270">
          <w:rPr>
            <w:rStyle w:val="Hyperlink"/>
            <w:color w:val="000000" w:themeColor="text1"/>
            <w:sz w:val="24"/>
            <w:szCs w:val="24"/>
            <w:lang w:val="en-PH"/>
          </w:rPr>
          <w:t>https://doi.org/10.62945/jpgi.v1i2.679</w:t>
        </w:r>
      </w:hyperlink>
    </w:p>
    <w:p w14:paraId="7B9157D9" w14:textId="2B658A06" w:rsidR="006B6F3B" w:rsidRPr="00A00270" w:rsidRDefault="003614AD" w:rsidP="006B6F3B">
      <w:pPr>
        <w:pStyle w:val="ListParagraph"/>
        <w:numPr>
          <w:ilvl w:val="0"/>
          <w:numId w:val="14"/>
        </w:numPr>
        <w:spacing w:before="240" w:after="240"/>
        <w:jc w:val="both"/>
        <w:rPr>
          <w:color w:val="000000" w:themeColor="text1"/>
          <w:sz w:val="24"/>
          <w:szCs w:val="24"/>
          <w:lang w:val="en-PH"/>
        </w:rPr>
      </w:pPr>
      <w:proofErr w:type="spellStart"/>
      <w:r w:rsidRPr="00A00270">
        <w:rPr>
          <w:color w:val="000000" w:themeColor="text1"/>
          <w:sz w:val="24"/>
          <w:szCs w:val="24"/>
          <w:lang w:val="en-PH"/>
        </w:rPr>
        <w:t>Sitorus</w:t>
      </w:r>
      <w:proofErr w:type="spellEnd"/>
      <w:r w:rsidRPr="00A00270">
        <w:rPr>
          <w:color w:val="000000" w:themeColor="text1"/>
          <w:sz w:val="24"/>
          <w:szCs w:val="24"/>
          <w:lang w:val="en-PH"/>
        </w:rPr>
        <w:t xml:space="preserve">, P., </w:t>
      </w:r>
      <w:proofErr w:type="spellStart"/>
      <w:r w:rsidRPr="00A00270">
        <w:rPr>
          <w:color w:val="000000" w:themeColor="text1"/>
          <w:sz w:val="24"/>
          <w:szCs w:val="24"/>
          <w:lang w:val="en-PH"/>
        </w:rPr>
        <w:t>Simanullang</w:t>
      </w:r>
      <w:proofErr w:type="spellEnd"/>
      <w:r w:rsidRPr="00A00270">
        <w:rPr>
          <w:color w:val="000000" w:themeColor="text1"/>
          <w:sz w:val="24"/>
          <w:szCs w:val="24"/>
          <w:lang w:val="en-PH"/>
        </w:rPr>
        <w:t xml:space="preserve">, E. N., </w:t>
      </w:r>
      <w:proofErr w:type="spellStart"/>
      <w:r w:rsidRPr="00A00270">
        <w:rPr>
          <w:color w:val="000000" w:themeColor="text1"/>
          <w:sz w:val="24"/>
          <w:szCs w:val="24"/>
          <w:lang w:val="en-PH"/>
        </w:rPr>
        <w:t>Manalu</w:t>
      </w:r>
      <w:proofErr w:type="spellEnd"/>
      <w:r w:rsidRPr="00A00270">
        <w:rPr>
          <w:color w:val="000000" w:themeColor="text1"/>
          <w:sz w:val="24"/>
          <w:szCs w:val="24"/>
          <w:lang w:val="en-PH"/>
        </w:rPr>
        <w:t xml:space="preserve">, A., Laia, I. S. A., </w:t>
      </w:r>
      <w:proofErr w:type="spellStart"/>
      <w:r w:rsidRPr="00A00270">
        <w:rPr>
          <w:color w:val="000000" w:themeColor="text1"/>
          <w:sz w:val="24"/>
          <w:szCs w:val="24"/>
          <w:lang w:val="en-PH"/>
        </w:rPr>
        <w:t>Tumanggor</w:t>
      </w:r>
      <w:proofErr w:type="spellEnd"/>
      <w:r w:rsidRPr="00A00270">
        <w:rPr>
          <w:color w:val="000000" w:themeColor="text1"/>
          <w:sz w:val="24"/>
          <w:szCs w:val="24"/>
          <w:lang w:val="en-PH"/>
        </w:rPr>
        <w:t xml:space="preserve">, R. M., &amp; Nainggolan, J. (2022). The Effect of Differentiation Learning Strategies on Student Learning Results | </w:t>
      </w:r>
      <w:proofErr w:type="spellStart"/>
      <w:r w:rsidRPr="00A00270">
        <w:rPr>
          <w:color w:val="000000" w:themeColor="text1"/>
          <w:sz w:val="24"/>
          <w:szCs w:val="24"/>
          <w:lang w:val="en-PH"/>
        </w:rPr>
        <w:t>Jurnal</w:t>
      </w:r>
      <w:proofErr w:type="spellEnd"/>
      <w:r w:rsidRPr="00A00270">
        <w:rPr>
          <w:color w:val="000000" w:themeColor="text1"/>
          <w:sz w:val="24"/>
          <w:szCs w:val="24"/>
          <w:lang w:val="en-PH"/>
        </w:rPr>
        <w:t xml:space="preserve"> </w:t>
      </w:r>
      <w:proofErr w:type="spellStart"/>
      <w:r w:rsidRPr="00A00270">
        <w:rPr>
          <w:color w:val="000000" w:themeColor="text1"/>
          <w:sz w:val="24"/>
          <w:szCs w:val="24"/>
          <w:lang w:val="en-PH"/>
        </w:rPr>
        <w:t>Penelitian</w:t>
      </w:r>
      <w:proofErr w:type="spellEnd"/>
      <w:r w:rsidRPr="00A00270">
        <w:rPr>
          <w:color w:val="000000" w:themeColor="text1"/>
          <w:sz w:val="24"/>
          <w:szCs w:val="24"/>
          <w:lang w:val="en-PH"/>
        </w:rPr>
        <w:t xml:space="preserve"> Pendidikan IPA. </w:t>
      </w:r>
      <w:hyperlink r:id="rId43" w:history="1">
        <w:r w:rsidR="006B6F3B" w:rsidRPr="00A00270">
          <w:rPr>
            <w:rStyle w:val="Hyperlink"/>
            <w:color w:val="000000" w:themeColor="text1"/>
            <w:sz w:val="24"/>
            <w:szCs w:val="24"/>
            <w:lang w:val="en-PH"/>
          </w:rPr>
          <w:t>https://scholar.google.com/scholar?hl=en&amp;as_sdt=0%2C5&amp;q=The+Effect+of+Differentiation+Learning+Strategies+on+Student+Learning+Results+&amp;btnG=</w:t>
        </w:r>
      </w:hyperlink>
    </w:p>
    <w:p w14:paraId="75DD7161" w14:textId="5E538EB7" w:rsidR="006B6F3B" w:rsidRPr="00A00270" w:rsidRDefault="003614AD" w:rsidP="006B6F3B">
      <w:pPr>
        <w:pStyle w:val="ListParagraph"/>
        <w:numPr>
          <w:ilvl w:val="0"/>
          <w:numId w:val="14"/>
        </w:numPr>
        <w:spacing w:before="240" w:after="240"/>
        <w:jc w:val="both"/>
        <w:rPr>
          <w:color w:val="000000" w:themeColor="text1"/>
          <w:sz w:val="24"/>
          <w:szCs w:val="24"/>
          <w:lang w:val="en-PH"/>
        </w:rPr>
      </w:pPr>
      <w:proofErr w:type="spellStart"/>
      <w:r w:rsidRPr="00A00270">
        <w:rPr>
          <w:color w:val="000000" w:themeColor="text1"/>
          <w:sz w:val="24"/>
          <w:szCs w:val="24"/>
          <w:lang w:val="en-PH"/>
        </w:rPr>
        <w:t>Suprayogi</w:t>
      </w:r>
      <w:proofErr w:type="spellEnd"/>
      <w:r w:rsidRPr="00A00270">
        <w:rPr>
          <w:color w:val="000000" w:themeColor="text1"/>
          <w:sz w:val="24"/>
          <w:szCs w:val="24"/>
          <w:lang w:val="en-PH"/>
        </w:rPr>
        <w:t xml:space="preserve">, M. N. &amp; </w:t>
      </w:r>
      <w:proofErr w:type="spellStart"/>
      <w:r w:rsidRPr="00A00270">
        <w:rPr>
          <w:color w:val="000000" w:themeColor="text1"/>
          <w:sz w:val="24"/>
          <w:szCs w:val="24"/>
          <w:lang w:val="en-PH"/>
        </w:rPr>
        <w:t>Suwarno</w:t>
      </w:r>
      <w:proofErr w:type="spellEnd"/>
      <w:r w:rsidRPr="00A00270">
        <w:rPr>
          <w:color w:val="000000" w:themeColor="text1"/>
          <w:sz w:val="24"/>
          <w:szCs w:val="24"/>
          <w:lang w:val="en-PH"/>
        </w:rPr>
        <w:t xml:space="preserve">. (2024). Bridging Gaps in Learning: Tracing the Trends of Differentiated Instruction in Higher Education. 2024 9th International Conference on Business and Industrial Research (ICBIR), 1–6. </w:t>
      </w:r>
      <w:hyperlink r:id="rId44" w:history="1">
        <w:r w:rsidR="006B6F3B" w:rsidRPr="00A00270">
          <w:rPr>
            <w:rStyle w:val="Hyperlink"/>
            <w:color w:val="000000" w:themeColor="text1"/>
            <w:sz w:val="24"/>
            <w:szCs w:val="24"/>
            <w:lang w:val="en-PH"/>
          </w:rPr>
          <w:t>https://doi.org/10.1109/ICBIR61386.2024.10875687</w:t>
        </w:r>
      </w:hyperlink>
    </w:p>
    <w:p w14:paraId="50F9AC19" w14:textId="77777777" w:rsidR="003614AD" w:rsidRPr="00A00270" w:rsidRDefault="003614AD" w:rsidP="003614AD">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Tomlinson, C. A. (2017). Differentiated Instruction. In Fundamentals of Gifted Education (2nd ed.). Routledge.</w:t>
      </w:r>
    </w:p>
    <w:p w14:paraId="2AC4F2E7" w14:textId="5953FA34" w:rsidR="00A00270" w:rsidRPr="00A00270" w:rsidRDefault="003614AD" w:rsidP="00A00270">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Trinidad, J., </w:t>
      </w:r>
      <w:proofErr w:type="spellStart"/>
      <w:r w:rsidRPr="00A00270">
        <w:rPr>
          <w:color w:val="000000" w:themeColor="text1"/>
          <w:sz w:val="24"/>
          <w:szCs w:val="24"/>
          <w:lang w:val="en-PH"/>
        </w:rPr>
        <w:t>Obiso</w:t>
      </w:r>
      <w:proofErr w:type="spellEnd"/>
      <w:r w:rsidRPr="00A00270">
        <w:rPr>
          <w:color w:val="000000" w:themeColor="text1"/>
          <w:sz w:val="24"/>
          <w:szCs w:val="24"/>
          <w:lang w:val="en-PH"/>
        </w:rPr>
        <w:t xml:space="preserve">, D. L., &amp; </w:t>
      </w:r>
      <w:proofErr w:type="spellStart"/>
      <w:r w:rsidRPr="00A00270">
        <w:rPr>
          <w:color w:val="000000" w:themeColor="text1"/>
          <w:sz w:val="24"/>
          <w:szCs w:val="24"/>
          <w:lang w:val="en-PH"/>
        </w:rPr>
        <w:t>Pabroa</w:t>
      </w:r>
      <w:proofErr w:type="spellEnd"/>
      <w:r w:rsidRPr="00A00270">
        <w:rPr>
          <w:color w:val="000000" w:themeColor="text1"/>
          <w:sz w:val="24"/>
          <w:szCs w:val="24"/>
          <w:lang w:val="en-PH"/>
        </w:rPr>
        <w:t xml:space="preserve">, J. (2025). Assessing the Readiness of TVL Students for College Education: A Basis for College Education Readiness Program (SSRN Scholarly Paper No. 6349598). Social Science Research Network. </w:t>
      </w:r>
      <w:hyperlink r:id="rId45" w:history="1">
        <w:r w:rsidR="00A00270" w:rsidRPr="00A00270">
          <w:rPr>
            <w:rStyle w:val="Hyperlink"/>
            <w:color w:val="000000" w:themeColor="text1"/>
            <w:sz w:val="24"/>
            <w:szCs w:val="24"/>
            <w:lang w:val="en-PH"/>
          </w:rPr>
          <w:t>https://scholar.google.com/scholar?hl=en&amp;as_sdt=0%2C5&amp;q=Assessing+the+Readiness+of+TVL+Students+for+College+Education%3A+A+Basis+for+College+Education+Readiness+Program+&amp;btnG=</w:t>
        </w:r>
      </w:hyperlink>
    </w:p>
    <w:p w14:paraId="21A360BB" w14:textId="77777777" w:rsidR="003614AD" w:rsidRPr="00A00270" w:rsidRDefault="003614AD" w:rsidP="003614AD">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Ujah, C. O. (2025). Evaluating the Effectiveness of Personalized Learning Approaches in TVET Colleges. International Journal of Home Economics, Hospitality and Allied Research, 3(2), 152–167. https://www.ajol.info/index.php/ijhehar/article/view/289482</w:t>
      </w:r>
    </w:p>
    <w:p w14:paraId="271E2A83" w14:textId="0E459C9C" w:rsidR="00A00270" w:rsidRPr="00A00270" w:rsidRDefault="003614AD" w:rsidP="00A00270">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Wang, X.-M., Zhou, W.-Q., Hwang, G.-J., Wang, S.-M., &amp; Huang, X.-T. (2024). The mediating and moderating role of cognitive engagement in the relationship between prior knowledge and learning achievement in game-based learning. Educational Technology &amp; Society, 27(4), 136–155. </w:t>
      </w:r>
      <w:hyperlink r:id="rId46" w:history="1">
        <w:r w:rsidR="00A00270" w:rsidRPr="00A00270">
          <w:rPr>
            <w:rStyle w:val="Hyperlink"/>
            <w:color w:val="000000" w:themeColor="text1"/>
            <w:sz w:val="24"/>
            <w:szCs w:val="24"/>
            <w:lang w:val="en-PH"/>
          </w:rPr>
          <w:t>https://scholar.google.com/scholar?hl=en&amp;as_sdt=0%2C5&amp;q=The+mediating+and+moderating+role+of+cognitive+engagement+in+the+relationship+between+prior+knowledge+and+learning+achievement+in+game-based+learning.+Educational+Technology+%26+Society&amp;btnG=</w:t>
        </w:r>
      </w:hyperlink>
    </w:p>
    <w:p w14:paraId="6F83BAC2" w14:textId="62A73A3F" w:rsidR="00A00270" w:rsidRPr="00A00270" w:rsidRDefault="003614AD" w:rsidP="00A00270">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Wyness, G. (2023). Mismatch in Higher Education. In A. Banerjee (Ed.), In: Banerjee, Anindya, (ed.) Oxford Research Encyclopedia of Economics and Finance.    Oxford University Press: Oxford, UK. (2023). Oxford University Press. </w:t>
      </w:r>
      <w:hyperlink r:id="rId47" w:history="1">
        <w:r w:rsidR="00A00270" w:rsidRPr="00A00270">
          <w:rPr>
            <w:rStyle w:val="Hyperlink"/>
            <w:color w:val="000000" w:themeColor="text1"/>
            <w:sz w:val="24"/>
            <w:szCs w:val="24"/>
            <w:lang w:val="en-PH"/>
          </w:rPr>
          <w:t>https://doi.org/10.1093/acrefore/9780190625979.013.844</w:t>
        </w:r>
      </w:hyperlink>
    </w:p>
    <w:p w14:paraId="298EEA6E" w14:textId="79FD6CCE" w:rsidR="00A00270" w:rsidRPr="00A00270" w:rsidRDefault="003614AD" w:rsidP="00A00270">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Yang, C. (2025). Adapting Teaching Methods to Accommodate Diverse Learning Styles in Education. ResearchGate, 5(6), 535. </w:t>
      </w:r>
      <w:hyperlink r:id="rId48" w:history="1">
        <w:r w:rsidR="00A00270" w:rsidRPr="00A00270">
          <w:rPr>
            <w:rStyle w:val="Hyperlink"/>
            <w:color w:val="000000" w:themeColor="text1"/>
            <w:sz w:val="24"/>
            <w:szCs w:val="24"/>
            <w:lang w:val="en-PH"/>
          </w:rPr>
          <w:t>https://doi.org/10.32629/jher.v5i6.3382</w:t>
        </w:r>
      </w:hyperlink>
    </w:p>
    <w:p w14:paraId="776BB81F" w14:textId="765342D1" w:rsidR="003614AD" w:rsidRPr="00A00270" w:rsidRDefault="003614AD" w:rsidP="003614AD">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Zhao, X., Narasuman, S., &amp; Ismail, I. S. (2023). Influences of Gender, Major and Age Differences on Student Engagement in Blended Learning Environment.</w:t>
      </w:r>
      <w:r w:rsidR="00A00270" w:rsidRPr="00A00270">
        <w:rPr>
          <w:color w:val="000000" w:themeColor="text1"/>
          <w:sz w:val="24"/>
          <w:szCs w:val="24"/>
          <w:lang w:val="en-PH"/>
        </w:rPr>
        <w:t xml:space="preserve"> </w:t>
      </w:r>
      <w:hyperlink r:id="rId49" w:history="1">
        <w:r w:rsidR="00A00270" w:rsidRPr="00A00270">
          <w:rPr>
            <w:rStyle w:val="Hyperlink"/>
            <w:color w:val="000000" w:themeColor="text1"/>
            <w:sz w:val="24"/>
            <w:szCs w:val="24"/>
            <w:lang w:val="en-PH"/>
          </w:rPr>
          <w:t>https://scholar.google.com/scholar?hl=en&amp;as_sdt=0%2C5&amp;q=Influences+of+Gender%2C+Major+and+Age+Differences+on+Student+Engagement+in+Blended+Learning+Environment&amp;btnG=</w:t>
        </w:r>
      </w:hyperlink>
      <w:r w:rsidR="00A00270" w:rsidRPr="00A00270">
        <w:rPr>
          <w:color w:val="000000" w:themeColor="text1"/>
          <w:sz w:val="24"/>
          <w:szCs w:val="24"/>
          <w:lang w:val="en-PH"/>
        </w:rPr>
        <w:t xml:space="preserve"> </w:t>
      </w:r>
    </w:p>
    <w:p w14:paraId="463C6CE4" w14:textId="38CEE1A1" w:rsidR="00A00270" w:rsidRPr="00A00270" w:rsidRDefault="003614AD" w:rsidP="00A00270">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Zhou, Y., </w:t>
      </w:r>
      <w:proofErr w:type="spellStart"/>
      <w:r w:rsidRPr="00A00270">
        <w:rPr>
          <w:color w:val="000000" w:themeColor="text1"/>
          <w:sz w:val="24"/>
          <w:szCs w:val="24"/>
          <w:lang w:val="en-PH"/>
        </w:rPr>
        <w:t>Jantharajit</w:t>
      </w:r>
      <w:proofErr w:type="spellEnd"/>
      <w:r w:rsidRPr="00A00270">
        <w:rPr>
          <w:color w:val="000000" w:themeColor="text1"/>
          <w:sz w:val="24"/>
          <w:szCs w:val="24"/>
          <w:lang w:val="en-PH"/>
        </w:rPr>
        <w:t xml:space="preserve">, N., &amp; </w:t>
      </w:r>
      <w:proofErr w:type="spellStart"/>
      <w:r w:rsidRPr="00A00270">
        <w:rPr>
          <w:color w:val="000000" w:themeColor="text1"/>
          <w:sz w:val="24"/>
          <w:szCs w:val="24"/>
          <w:lang w:val="en-PH"/>
        </w:rPr>
        <w:t>Srikhao</w:t>
      </w:r>
      <w:proofErr w:type="spellEnd"/>
      <w:r w:rsidRPr="00A00270">
        <w:rPr>
          <w:color w:val="000000" w:themeColor="text1"/>
          <w:sz w:val="24"/>
          <w:szCs w:val="24"/>
          <w:lang w:val="en-PH"/>
        </w:rPr>
        <w:t xml:space="preserve">, S. (2025). Integrating Inquiry-Based and Project-Based Learning: A New Model to Enhance Students’ Teamwork, Skills, and Critical Thinking. Journal of Education and Educational Development, 12(2), 215–237. </w:t>
      </w:r>
      <w:hyperlink r:id="rId50" w:history="1">
        <w:r w:rsidR="00A00270" w:rsidRPr="00A00270">
          <w:rPr>
            <w:rStyle w:val="Hyperlink"/>
            <w:color w:val="000000" w:themeColor="text1"/>
            <w:sz w:val="24"/>
            <w:szCs w:val="24"/>
            <w:lang w:val="en-PH"/>
          </w:rPr>
          <w:t>https://doi.org/10.22555/joeed.v12i2.1340</w:t>
        </w:r>
      </w:hyperlink>
    </w:p>
    <w:p w14:paraId="74BCC952" w14:textId="77777777" w:rsidR="00BB7EF0" w:rsidRPr="00BB7EF0" w:rsidRDefault="00BB7EF0" w:rsidP="003614AD">
      <w:pPr>
        <w:spacing w:before="240" w:after="240"/>
        <w:jc w:val="both"/>
        <w:rPr>
          <w:sz w:val="24"/>
          <w:szCs w:val="24"/>
          <w:lang w:val="en-PH"/>
        </w:rPr>
      </w:pPr>
    </w:p>
    <w:p w14:paraId="3050A0A1" w14:textId="77777777" w:rsidR="00BB7EF0" w:rsidRPr="00BB7EF0" w:rsidRDefault="00BB7EF0" w:rsidP="003614AD">
      <w:pPr>
        <w:spacing w:before="240" w:after="240"/>
        <w:jc w:val="both"/>
        <w:rPr>
          <w:sz w:val="24"/>
          <w:szCs w:val="24"/>
          <w:lang w:val="en-PH"/>
        </w:rPr>
      </w:pPr>
    </w:p>
    <w:p w14:paraId="497F40C8" w14:textId="77777777" w:rsidR="00BB7EF0" w:rsidRPr="00BB7EF0" w:rsidRDefault="00BB7EF0" w:rsidP="003614AD">
      <w:pPr>
        <w:spacing w:before="240" w:after="240"/>
        <w:jc w:val="both"/>
        <w:rPr>
          <w:sz w:val="24"/>
          <w:szCs w:val="24"/>
          <w:lang w:val="en-PH"/>
        </w:rPr>
      </w:pPr>
    </w:p>
    <w:p w14:paraId="3EB264E6" w14:textId="77777777" w:rsidR="00BB7EF0" w:rsidRPr="00BB7EF0" w:rsidRDefault="00BB7EF0" w:rsidP="003614AD">
      <w:pPr>
        <w:spacing w:before="240" w:after="240"/>
        <w:jc w:val="both"/>
        <w:rPr>
          <w:sz w:val="24"/>
          <w:szCs w:val="24"/>
          <w:lang w:val="en-PH"/>
        </w:rPr>
      </w:pPr>
    </w:p>
    <w:p w14:paraId="0D05B08C" w14:textId="77777777" w:rsidR="00BB7EF0" w:rsidRPr="00BB7EF0" w:rsidRDefault="00BB7EF0" w:rsidP="003614AD">
      <w:pPr>
        <w:spacing w:before="240" w:after="240"/>
        <w:jc w:val="both"/>
        <w:rPr>
          <w:sz w:val="24"/>
          <w:szCs w:val="24"/>
          <w:lang w:val="en-PH"/>
        </w:rPr>
      </w:pPr>
    </w:p>
    <w:p w14:paraId="30CDCF38" w14:textId="77777777" w:rsidR="00BB7EF0" w:rsidRPr="00BB7EF0" w:rsidRDefault="00BB7EF0" w:rsidP="003614AD">
      <w:pPr>
        <w:spacing w:before="240" w:after="240"/>
        <w:jc w:val="both"/>
        <w:rPr>
          <w:sz w:val="24"/>
          <w:szCs w:val="24"/>
          <w:lang w:val="en-PH"/>
        </w:rPr>
      </w:pPr>
    </w:p>
    <w:p w14:paraId="4C925372" w14:textId="77777777" w:rsidR="00BB7EF0" w:rsidRPr="00BB7EF0" w:rsidRDefault="00BB7EF0" w:rsidP="003614AD">
      <w:pPr>
        <w:spacing w:before="240" w:after="240"/>
        <w:jc w:val="both"/>
        <w:rPr>
          <w:sz w:val="24"/>
          <w:szCs w:val="24"/>
          <w:lang w:val="en-PH"/>
        </w:rPr>
      </w:pPr>
    </w:p>
    <w:p w14:paraId="79DCAA4F" w14:textId="77777777" w:rsidR="00BB7EF0" w:rsidRPr="00BB7EF0" w:rsidRDefault="00BB7EF0" w:rsidP="003614AD">
      <w:pPr>
        <w:spacing w:before="240" w:after="240"/>
        <w:jc w:val="both"/>
        <w:rPr>
          <w:sz w:val="24"/>
          <w:szCs w:val="24"/>
          <w:lang w:val="en-PH"/>
        </w:rPr>
      </w:pPr>
    </w:p>
    <w:p w14:paraId="0DF6A789" w14:textId="77777777" w:rsidR="00BB7EF0" w:rsidRPr="00BB7EF0" w:rsidRDefault="00BB7EF0" w:rsidP="003614AD">
      <w:pPr>
        <w:spacing w:before="240" w:after="240"/>
        <w:jc w:val="both"/>
        <w:rPr>
          <w:sz w:val="24"/>
          <w:szCs w:val="24"/>
          <w:lang w:val="en-PH"/>
        </w:rPr>
      </w:pPr>
    </w:p>
    <w:p w14:paraId="10DE4E08" w14:textId="77777777" w:rsidR="00BB7EF0" w:rsidRDefault="00BB7EF0" w:rsidP="003614AD">
      <w:pPr>
        <w:spacing w:before="240" w:after="240"/>
        <w:jc w:val="both"/>
        <w:rPr>
          <w:sz w:val="24"/>
          <w:szCs w:val="24"/>
          <w:lang w:val="en-PH"/>
        </w:rPr>
      </w:pPr>
    </w:p>
    <w:p w14:paraId="113098F9" w14:textId="77777777" w:rsidR="00BB7EF0" w:rsidRPr="00BB7EF0" w:rsidRDefault="00BB7EF0" w:rsidP="003614AD">
      <w:pPr>
        <w:spacing w:before="240" w:after="240"/>
        <w:jc w:val="both"/>
        <w:rPr>
          <w:sz w:val="24"/>
          <w:szCs w:val="24"/>
          <w:lang w:val="en-PH"/>
        </w:rPr>
      </w:pPr>
    </w:p>
    <w:p w14:paraId="30E2295A" w14:textId="77777777" w:rsidR="00BB7EF0" w:rsidRDefault="00BB7EF0" w:rsidP="003614AD">
      <w:pPr>
        <w:spacing w:before="240" w:after="240"/>
        <w:jc w:val="both"/>
        <w:rPr>
          <w:sz w:val="24"/>
          <w:szCs w:val="24"/>
          <w:lang w:val="en-PH"/>
        </w:rPr>
      </w:pPr>
    </w:p>
    <w:p w14:paraId="48D2DC0B" w14:textId="77777777" w:rsidR="00BB7EF0" w:rsidRPr="00BB7EF0" w:rsidRDefault="00BB7EF0" w:rsidP="00BB7EF0">
      <w:pPr>
        <w:jc w:val="right"/>
        <w:rPr>
          <w:sz w:val="24"/>
          <w:szCs w:val="24"/>
          <w:lang w:val="en-PH"/>
        </w:rPr>
      </w:pPr>
    </w:p>
    <w:sectPr w:rsidR="00BB7EF0" w:rsidRPr="00BB7EF0" w:rsidSect="00C75D95">
      <w:footerReference w:type="default" r:id="rId51"/>
      <w:pgSz w:w="11906" w:h="16838" w:code="9"/>
      <w:pgMar w:top="1080" w:right="605" w:bottom="605" w:left="605" w:header="346"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0D1A7" w14:textId="77777777" w:rsidR="001703F6" w:rsidRDefault="001703F6">
      <w:r>
        <w:separator/>
      </w:r>
    </w:p>
  </w:endnote>
  <w:endnote w:type="continuationSeparator" w:id="0">
    <w:p w14:paraId="0DBC8078" w14:textId="77777777" w:rsidR="001703F6" w:rsidRDefault="0017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2A99" w14:textId="6DCD3B24" w:rsidR="007B5BC4" w:rsidRDefault="007B5BC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33D33" w14:textId="77777777" w:rsidR="001703F6" w:rsidRDefault="001703F6">
      <w:r>
        <w:separator/>
      </w:r>
    </w:p>
  </w:footnote>
  <w:footnote w:type="continuationSeparator" w:id="0">
    <w:p w14:paraId="1555D20C" w14:textId="77777777" w:rsidR="001703F6" w:rsidRDefault="00170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684A"/>
    <w:multiLevelType w:val="hybridMultilevel"/>
    <w:tmpl w:val="3A72A5E4"/>
    <w:lvl w:ilvl="0" w:tplc="929A86DC">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368D03E">
      <w:numFmt w:val="bullet"/>
      <w:lvlText w:val="•"/>
      <w:lvlJc w:val="left"/>
      <w:pPr>
        <w:ind w:left="2124" w:hanging="361"/>
      </w:pPr>
      <w:rPr>
        <w:rFonts w:hint="default"/>
        <w:lang w:val="en-US" w:eastAsia="en-US" w:bidi="ar-SA"/>
      </w:rPr>
    </w:lvl>
    <w:lvl w:ilvl="2" w:tplc="801E7BE4">
      <w:numFmt w:val="bullet"/>
      <w:lvlText w:val="•"/>
      <w:lvlJc w:val="left"/>
      <w:pPr>
        <w:ind w:left="3168" w:hanging="361"/>
      </w:pPr>
      <w:rPr>
        <w:rFonts w:hint="default"/>
        <w:lang w:val="en-US" w:eastAsia="en-US" w:bidi="ar-SA"/>
      </w:rPr>
    </w:lvl>
    <w:lvl w:ilvl="3" w:tplc="63784976">
      <w:numFmt w:val="bullet"/>
      <w:lvlText w:val="•"/>
      <w:lvlJc w:val="left"/>
      <w:pPr>
        <w:ind w:left="4212" w:hanging="361"/>
      </w:pPr>
      <w:rPr>
        <w:rFonts w:hint="default"/>
        <w:lang w:val="en-US" w:eastAsia="en-US" w:bidi="ar-SA"/>
      </w:rPr>
    </w:lvl>
    <w:lvl w:ilvl="4" w:tplc="8194AAE8">
      <w:numFmt w:val="bullet"/>
      <w:lvlText w:val="•"/>
      <w:lvlJc w:val="left"/>
      <w:pPr>
        <w:ind w:left="5256" w:hanging="361"/>
      </w:pPr>
      <w:rPr>
        <w:rFonts w:hint="default"/>
        <w:lang w:val="en-US" w:eastAsia="en-US" w:bidi="ar-SA"/>
      </w:rPr>
    </w:lvl>
    <w:lvl w:ilvl="5" w:tplc="30F47E2A">
      <w:numFmt w:val="bullet"/>
      <w:lvlText w:val="•"/>
      <w:lvlJc w:val="left"/>
      <w:pPr>
        <w:ind w:left="6300" w:hanging="361"/>
      </w:pPr>
      <w:rPr>
        <w:rFonts w:hint="default"/>
        <w:lang w:val="en-US" w:eastAsia="en-US" w:bidi="ar-SA"/>
      </w:rPr>
    </w:lvl>
    <w:lvl w:ilvl="6" w:tplc="B5109436">
      <w:numFmt w:val="bullet"/>
      <w:lvlText w:val="•"/>
      <w:lvlJc w:val="left"/>
      <w:pPr>
        <w:ind w:left="7344" w:hanging="361"/>
      </w:pPr>
      <w:rPr>
        <w:rFonts w:hint="default"/>
        <w:lang w:val="en-US" w:eastAsia="en-US" w:bidi="ar-SA"/>
      </w:rPr>
    </w:lvl>
    <w:lvl w:ilvl="7" w:tplc="46DAAB2C">
      <w:numFmt w:val="bullet"/>
      <w:lvlText w:val="•"/>
      <w:lvlJc w:val="left"/>
      <w:pPr>
        <w:ind w:left="8388" w:hanging="361"/>
      </w:pPr>
      <w:rPr>
        <w:rFonts w:hint="default"/>
        <w:lang w:val="en-US" w:eastAsia="en-US" w:bidi="ar-SA"/>
      </w:rPr>
    </w:lvl>
    <w:lvl w:ilvl="8" w:tplc="64220A64">
      <w:numFmt w:val="bullet"/>
      <w:lvlText w:val="•"/>
      <w:lvlJc w:val="left"/>
      <w:pPr>
        <w:ind w:left="9432" w:hanging="361"/>
      </w:pPr>
      <w:rPr>
        <w:rFonts w:hint="default"/>
        <w:lang w:val="en-US" w:eastAsia="en-US" w:bidi="ar-SA"/>
      </w:rPr>
    </w:lvl>
  </w:abstractNum>
  <w:abstractNum w:abstractNumId="1" w15:restartNumberingAfterBreak="0">
    <w:nsid w:val="15A6298D"/>
    <w:multiLevelType w:val="hybridMultilevel"/>
    <w:tmpl w:val="80107758"/>
    <w:lvl w:ilvl="0" w:tplc="CCB60624">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14602CEC">
      <w:numFmt w:val="bullet"/>
      <w:lvlText w:val="•"/>
      <w:lvlJc w:val="left"/>
      <w:pPr>
        <w:ind w:left="2124" w:hanging="361"/>
      </w:pPr>
      <w:rPr>
        <w:rFonts w:hint="default"/>
        <w:lang w:val="en-US" w:eastAsia="en-US" w:bidi="ar-SA"/>
      </w:rPr>
    </w:lvl>
    <w:lvl w:ilvl="2" w:tplc="E4F2B1F8">
      <w:numFmt w:val="bullet"/>
      <w:lvlText w:val="•"/>
      <w:lvlJc w:val="left"/>
      <w:pPr>
        <w:ind w:left="3168" w:hanging="361"/>
      </w:pPr>
      <w:rPr>
        <w:rFonts w:hint="default"/>
        <w:lang w:val="en-US" w:eastAsia="en-US" w:bidi="ar-SA"/>
      </w:rPr>
    </w:lvl>
    <w:lvl w:ilvl="3" w:tplc="179AB9F8">
      <w:numFmt w:val="bullet"/>
      <w:lvlText w:val="•"/>
      <w:lvlJc w:val="left"/>
      <w:pPr>
        <w:ind w:left="4212" w:hanging="361"/>
      </w:pPr>
      <w:rPr>
        <w:rFonts w:hint="default"/>
        <w:lang w:val="en-US" w:eastAsia="en-US" w:bidi="ar-SA"/>
      </w:rPr>
    </w:lvl>
    <w:lvl w:ilvl="4" w:tplc="D55246E8">
      <w:numFmt w:val="bullet"/>
      <w:lvlText w:val="•"/>
      <w:lvlJc w:val="left"/>
      <w:pPr>
        <w:ind w:left="5256" w:hanging="361"/>
      </w:pPr>
      <w:rPr>
        <w:rFonts w:hint="default"/>
        <w:lang w:val="en-US" w:eastAsia="en-US" w:bidi="ar-SA"/>
      </w:rPr>
    </w:lvl>
    <w:lvl w:ilvl="5" w:tplc="A976A818">
      <w:numFmt w:val="bullet"/>
      <w:lvlText w:val="•"/>
      <w:lvlJc w:val="left"/>
      <w:pPr>
        <w:ind w:left="6300" w:hanging="361"/>
      </w:pPr>
      <w:rPr>
        <w:rFonts w:hint="default"/>
        <w:lang w:val="en-US" w:eastAsia="en-US" w:bidi="ar-SA"/>
      </w:rPr>
    </w:lvl>
    <w:lvl w:ilvl="6" w:tplc="333850D4">
      <w:numFmt w:val="bullet"/>
      <w:lvlText w:val="•"/>
      <w:lvlJc w:val="left"/>
      <w:pPr>
        <w:ind w:left="7344" w:hanging="361"/>
      </w:pPr>
      <w:rPr>
        <w:rFonts w:hint="default"/>
        <w:lang w:val="en-US" w:eastAsia="en-US" w:bidi="ar-SA"/>
      </w:rPr>
    </w:lvl>
    <w:lvl w:ilvl="7" w:tplc="67326C5A">
      <w:numFmt w:val="bullet"/>
      <w:lvlText w:val="•"/>
      <w:lvlJc w:val="left"/>
      <w:pPr>
        <w:ind w:left="8388" w:hanging="361"/>
      </w:pPr>
      <w:rPr>
        <w:rFonts w:hint="default"/>
        <w:lang w:val="en-US" w:eastAsia="en-US" w:bidi="ar-SA"/>
      </w:rPr>
    </w:lvl>
    <w:lvl w:ilvl="8" w:tplc="3F3086A6">
      <w:numFmt w:val="bullet"/>
      <w:lvlText w:val="•"/>
      <w:lvlJc w:val="left"/>
      <w:pPr>
        <w:ind w:left="9432" w:hanging="361"/>
      </w:pPr>
      <w:rPr>
        <w:rFonts w:hint="default"/>
        <w:lang w:val="en-US" w:eastAsia="en-US" w:bidi="ar-SA"/>
      </w:rPr>
    </w:lvl>
  </w:abstractNum>
  <w:abstractNum w:abstractNumId="2" w15:restartNumberingAfterBreak="0">
    <w:nsid w:val="1BF302D3"/>
    <w:multiLevelType w:val="hybridMultilevel"/>
    <w:tmpl w:val="F1A6321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23D71CDD"/>
    <w:multiLevelType w:val="hybridMultilevel"/>
    <w:tmpl w:val="24948EC8"/>
    <w:lvl w:ilvl="0" w:tplc="3564BEFA">
      <w:start w:val="1"/>
      <w:numFmt w:val="decimal"/>
      <w:lvlText w:val="%1."/>
      <w:lvlJc w:val="left"/>
      <w:pPr>
        <w:ind w:left="540" w:hanging="181"/>
      </w:pPr>
      <w:rPr>
        <w:rFonts w:hint="default"/>
        <w:spacing w:val="-1"/>
        <w:w w:val="88"/>
        <w:lang w:val="en-US" w:eastAsia="en-US" w:bidi="ar-SA"/>
      </w:rPr>
    </w:lvl>
    <w:lvl w:ilvl="1" w:tplc="08609934">
      <w:numFmt w:val="bullet"/>
      <w:lvlText w:val="•"/>
      <w:lvlJc w:val="left"/>
      <w:pPr>
        <w:ind w:left="1638" w:hanging="181"/>
      </w:pPr>
      <w:rPr>
        <w:rFonts w:hint="default"/>
        <w:lang w:val="en-US" w:eastAsia="en-US" w:bidi="ar-SA"/>
      </w:rPr>
    </w:lvl>
    <w:lvl w:ilvl="2" w:tplc="CFFCB2A6">
      <w:numFmt w:val="bullet"/>
      <w:lvlText w:val="•"/>
      <w:lvlJc w:val="left"/>
      <w:pPr>
        <w:ind w:left="2736" w:hanging="181"/>
      </w:pPr>
      <w:rPr>
        <w:rFonts w:hint="default"/>
        <w:lang w:val="en-US" w:eastAsia="en-US" w:bidi="ar-SA"/>
      </w:rPr>
    </w:lvl>
    <w:lvl w:ilvl="3" w:tplc="063C76A2">
      <w:numFmt w:val="bullet"/>
      <w:lvlText w:val="•"/>
      <w:lvlJc w:val="left"/>
      <w:pPr>
        <w:ind w:left="3834" w:hanging="181"/>
      </w:pPr>
      <w:rPr>
        <w:rFonts w:hint="default"/>
        <w:lang w:val="en-US" w:eastAsia="en-US" w:bidi="ar-SA"/>
      </w:rPr>
    </w:lvl>
    <w:lvl w:ilvl="4" w:tplc="C09EDFA8">
      <w:numFmt w:val="bullet"/>
      <w:lvlText w:val="•"/>
      <w:lvlJc w:val="left"/>
      <w:pPr>
        <w:ind w:left="4932" w:hanging="181"/>
      </w:pPr>
      <w:rPr>
        <w:rFonts w:hint="default"/>
        <w:lang w:val="en-US" w:eastAsia="en-US" w:bidi="ar-SA"/>
      </w:rPr>
    </w:lvl>
    <w:lvl w:ilvl="5" w:tplc="F3D86C40">
      <w:numFmt w:val="bullet"/>
      <w:lvlText w:val="•"/>
      <w:lvlJc w:val="left"/>
      <w:pPr>
        <w:ind w:left="6030" w:hanging="181"/>
      </w:pPr>
      <w:rPr>
        <w:rFonts w:hint="default"/>
        <w:lang w:val="en-US" w:eastAsia="en-US" w:bidi="ar-SA"/>
      </w:rPr>
    </w:lvl>
    <w:lvl w:ilvl="6" w:tplc="6B808C52">
      <w:numFmt w:val="bullet"/>
      <w:lvlText w:val="•"/>
      <w:lvlJc w:val="left"/>
      <w:pPr>
        <w:ind w:left="7128" w:hanging="181"/>
      </w:pPr>
      <w:rPr>
        <w:rFonts w:hint="default"/>
        <w:lang w:val="en-US" w:eastAsia="en-US" w:bidi="ar-SA"/>
      </w:rPr>
    </w:lvl>
    <w:lvl w:ilvl="7" w:tplc="AC445EB8">
      <w:numFmt w:val="bullet"/>
      <w:lvlText w:val="•"/>
      <w:lvlJc w:val="left"/>
      <w:pPr>
        <w:ind w:left="8226" w:hanging="181"/>
      </w:pPr>
      <w:rPr>
        <w:rFonts w:hint="default"/>
        <w:lang w:val="en-US" w:eastAsia="en-US" w:bidi="ar-SA"/>
      </w:rPr>
    </w:lvl>
    <w:lvl w:ilvl="8" w:tplc="51905E5C">
      <w:numFmt w:val="bullet"/>
      <w:lvlText w:val="•"/>
      <w:lvlJc w:val="left"/>
      <w:pPr>
        <w:ind w:left="9324" w:hanging="181"/>
      </w:pPr>
      <w:rPr>
        <w:rFonts w:hint="default"/>
        <w:lang w:val="en-US" w:eastAsia="en-US" w:bidi="ar-SA"/>
      </w:rPr>
    </w:lvl>
  </w:abstractNum>
  <w:abstractNum w:abstractNumId="4" w15:restartNumberingAfterBreak="0">
    <w:nsid w:val="2F451918"/>
    <w:multiLevelType w:val="hybridMultilevel"/>
    <w:tmpl w:val="E0EC772C"/>
    <w:lvl w:ilvl="0" w:tplc="34D05C70">
      <w:start w:val="1"/>
      <w:numFmt w:val="decimal"/>
      <w:lvlText w:val="%1."/>
      <w:lvlJc w:val="left"/>
      <w:pPr>
        <w:ind w:left="540" w:hanging="181"/>
      </w:pPr>
      <w:rPr>
        <w:rFonts w:hint="default"/>
        <w:spacing w:val="-1"/>
        <w:w w:val="88"/>
        <w:lang w:val="en-US" w:eastAsia="en-US" w:bidi="ar-SA"/>
      </w:rPr>
    </w:lvl>
    <w:lvl w:ilvl="1" w:tplc="C734B60C">
      <w:numFmt w:val="bullet"/>
      <w:lvlText w:val=""/>
      <w:lvlJc w:val="left"/>
      <w:pPr>
        <w:ind w:left="643" w:hanging="360"/>
      </w:pPr>
      <w:rPr>
        <w:rFonts w:ascii="Wingdings" w:eastAsia="Wingdings" w:hAnsi="Wingdings" w:cs="Wingdings" w:hint="default"/>
        <w:spacing w:val="0"/>
        <w:w w:val="99"/>
        <w:lang w:val="en-US" w:eastAsia="en-US" w:bidi="ar-SA"/>
      </w:rPr>
    </w:lvl>
    <w:lvl w:ilvl="2" w:tplc="A13873E0">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FA3C7DD0">
      <w:numFmt w:val="bullet"/>
      <w:lvlText w:val="•"/>
      <w:lvlJc w:val="left"/>
      <w:pPr>
        <w:ind w:left="2385" w:hanging="361"/>
      </w:pPr>
      <w:rPr>
        <w:rFonts w:hint="default"/>
        <w:lang w:val="en-US" w:eastAsia="en-US" w:bidi="ar-SA"/>
      </w:rPr>
    </w:lvl>
    <w:lvl w:ilvl="4" w:tplc="184A4D0E">
      <w:numFmt w:val="bullet"/>
      <w:lvlText w:val="•"/>
      <w:lvlJc w:val="left"/>
      <w:pPr>
        <w:ind w:left="3690" w:hanging="361"/>
      </w:pPr>
      <w:rPr>
        <w:rFonts w:hint="default"/>
        <w:lang w:val="en-US" w:eastAsia="en-US" w:bidi="ar-SA"/>
      </w:rPr>
    </w:lvl>
    <w:lvl w:ilvl="5" w:tplc="9510F2BC">
      <w:numFmt w:val="bullet"/>
      <w:lvlText w:val="•"/>
      <w:lvlJc w:val="left"/>
      <w:pPr>
        <w:ind w:left="4995" w:hanging="361"/>
      </w:pPr>
      <w:rPr>
        <w:rFonts w:hint="default"/>
        <w:lang w:val="en-US" w:eastAsia="en-US" w:bidi="ar-SA"/>
      </w:rPr>
    </w:lvl>
    <w:lvl w:ilvl="6" w:tplc="DAF2F102">
      <w:numFmt w:val="bullet"/>
      <w:lvlText w:val="•"/>
      <w:lvlJc w:val="left"/>
      <w:pPr>
        <w:ind w:left="6300" w:hanging="361"/>
      </w:pPr>
      <w:rPr>
        <w:rFonts w:hint="default"/>
        <w:lang w:val="en-US" w:eastAsia="en-US" w:bidi="ar-SA"/>
      </w:rPr>
    </w:lvl>
    <w:lvl w:ilvl="7" w:tplc="86C6E9FE">
      <w:numFmt w:val="bullet"/>
      <w:lvlText w:val="•"/>
      <w:lvlJc w:val="left"/>
      <w:pPr>
        <w:ind w:left="7605" w:hanging="361"/>
      </w:pPr>
      <w:rPr>
        <w:rFonts w:hint="default"/>
        <w:lang w:val="en-US" w:eastAsia="en-US" w:bidi="ar-SA"/>
      </w:rPr>
    </w:lvl>
    <w:lvl w:ilvl="8" w:tplc="4FEC94B0">
      <w:numFmt w:val="bullet"/>
      <w:lvlText w:val="•"/>
      <w:lvlJc w:val="left"/>
      <w:pPr>
        <w:ind w:left="8910" w:hanging="361"/>
      </w:pPr>
      <w:rPr>
        <w:rFonts w:hint="default"/>
        <w:lang w:val="en-US" w:eastAsia="en-US" w:bidi="ar-SA"/>
      </w:rPr>
    </w:lvl>
  </w:abstractNum>
  <w:abstractNum w:abstractNumId="5" w15:restartNumberingAfterBreak="0">
    <w:nsid w:val="341540F9"/>
    <w:multiLevelType w:val="hybridMultilevel"/>
    <w:tmpl w:val="77E4F692"/>
    <w:lvl w:ilvl="0" w:tplc="E28CD36E">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C8A88AFA">
      <w:numFmt w:val="bullet"/>
      <w:lvlText w:val="•"/>
      <w:lvlJc w:val="left"/>
      <w:pPr>
        <w:ind w:left="1728" w:hanging="360"/>
      </w:pPr>
      <w:rPr>
        <w:rFonts w:hint="default"/>
        <w:lang w:val="en-US" w:eastAsia="en-US" w:bidi="ar-SA"/>
      </w:rPr>
    </w:lvl>
    <w:lvl w:ilvl="2" w:tplc="3802FC50">
      <w:numFmt w:val="bullet"/>
      <w:lvlText w:val="•"/>
      <w:lvlJc w:val="left"/>
      <w:pPr>
        <w:ind w:left="2816" w:hanging="360"/>
      </w:pPr>
      <w:rPr>
        <w:rFonts w:hint="default"/>
        <w:lang w:val="en-US" w:eastAsia="en-US" w:bidi="ar-SA"/>
      </w:rPr>
    </w:lvl>
    <w:lvl w:ilvl="3" w:tplc="0B9E0158">
      <w:numFmt w:val="bullet"/>
      <w:lvlText w:val="•"/>
      <w:lvlJc w:val="left"/>
      <w:pPr>
        <w:ind w:left="3904" w:hanging="360"/>
      </w:pPr>
      <w:rPr>
        <w:rFonts w:hint="default"/>
        <w:lang w:val="en-US" w:eastAsia="en-US" w:bidi="ar-SA"/>
      </w:rPr>
    </w:lvl>
    <w:lvl w:ilvl="4" w:tplc="EF7E41DE">
      <w:numFmt w:val="bullet"/>
      <w:lvlText w:val="•"/>
      <w:lvlJc w:val="left"/>
      <w:pPr>
        <w:ind w:left="4992" w:hanging="360"/>
      </w:pPr>
      <w:rPr>
        <w:rFonts w:hint="default"/>
        <w:lang w:val="en-US" w:eastAsia="en-US" w:bidi="ar-SA"/>
      </w:rPr>
    </w:lvl>
    <w:lvl w:ilvl="5" w:tplc="661EE48E">
      <w:numFmt w:val="bullet"/>
      <w:lvlText w:val="•"/>
      <w:lvlJc w:val="left"/>
      <w:pPr>
        <w:ind w:left="6080" w:hanging="360"/>
      </w:pPr>
      <w:rPr>
        <w:rFonts w:hint="default"/>
        <w:lang w:val="en-US" w:eastAsia="en-US" w:bidi="ar-SA"/>
      </w:rPr>
    </w:lvl>
    <w:lvl w:ilvl="6" w:tplc="A9D4A1B8">
      <w:numFmt w:val="bullet"/>
      <w:lvlText w:val="•"/>
      <w:lvlJc w:val="left"/>
      <w:pPr>
        <w:ind w:left="7168" w:hanging="360"/>
      </w:pPr>
      <w:rPr>
        <w:rFonts w:hint="default"/>
        <w:lang w:val="en-US" w:eastAsia="en-US" w:bidi="ar-SA"/>
      </w:rPr>
    </w:lvl>
    <w:lvl w:ilvl="7" w:tplc="8F74C6D0">
      <w:numFmt w:val="bullet"/>
      <w:lvlText w:val="•"/>
      <w:lvlJc w:val="left"/>
      <w:pPr>
        <w:ind w:left="8256" w:hanging="360"/>
      </w:pPr>
      <w:rPr>
        <w:rFonts w:hint="default"/>
        <w:lang w:val="en-US" w:eastAsia="en-US" w:bidi="ar-SA"/>
      </w:rPr>
    </w:lvl>
    <w:lvl w:ilvl="8" w:tplc="9CFA9EAE">
      <w:numFmt w:val="bullet"/>
      <w:lvlText w:val="•"/>
      <w:lvlJc w:val="left"/>
      <w:pPr>
        <w:ind w:left="9344" w:hanging="360"/>
      </w:pPr>
      <w:rPr>
        <w:rFonts w:hint="default"/>
        <w:lang w:val="en-US" w:eastAsia="en-US" w:bidi="ar-SA"/>
      </w:rPr>
    </w:lvl>
  </w:abstractNum>
  <w:abstractNum w:abstractNumId="6" w15:restartNumberingAfterBreak="0">
    <w:nsid w:val="388E6CA1"/>
    <w:multiLevelType w:val="hybridMultilevel"/>
    <w:tmpl w:val="3FAE66BC"/>
    <w:lvl w:ilvl="0" w:tplc="C33C91A2">
      <w:numFmt w:val="bullet"/>
      <w:lvlText w:val=""/>
      <w:lvlJc w:val="left"/>
      <w:pPr>
        <w:ind w:left="787" w:hanging="360"/>
      </w:pPr>
      <w:rPr>
        <w:rFonts w:ascii="Wingdings" w:eastAsia="Wingdings" w:hAnsi="Wingdings" w:cs="Wingdings" w:hint="default"/>
        <w:b w:val="0"/>
        <w:bCs w:val="0"/>
        <w:i w:val="0"/>
        <w:iCs w:val="0"/>
        <w:color w:val="4F81BC"/>
        <w:spacing w:val="0"/>
        <w:w w:val="100"/>
        <w:sz w:val="36"/>
        <w:szCs w:val="36"/>
        <w:lang w:val="en-US" w:eastAsia="en-US" w:bidi="ar-SA"/>
      </w:rPr>
    </w:lvl>
    <w:lvl w:ilvl="1" w:tplc="9B604B68">
      <w:start w:val="1"/>
      <w:numFmt w:val="decimal"/>
      <w:lvlText w:val="%2."/>
      <w:lvlJc w:val="left"/>
      <w:pPr>
        <w:ind w:left="1493"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44806B04">
      <w:numFmt w:val="bullet"/>
      <w:lvlText w:val="•"/>
      <w:lvlJc w:val="left"/>
      <w:pPr>
        <w:ind w:left="2613" w:hanging="360"/>
      </w:pPr>
      <w:rPr>
        <w:rFonts w:hint="default"/>
        <w:lang w:val="en-US" w:eastAsia="en-US" w:bidi="ar-SA"/>
      </w:rPr>
    </w:lvl>
    <w:lvl w:ilvl="3" w:tplc="E1D41302">
      <w:numFmt w:val="bullet"/>
      <w:lvlText w:val="•"/>
      <w:lvlJc w:val="left"/>
      <w:pPr>
        <w:ind w:left="3726" w:hanging="360"/>
      </w:pPr>
      <w:rPr>
        <w:rFonts w:hint="default"/>
        <w:lang w:val="en-US" w:eastAsia="en-US" w:bidi="ar-SA"/>
      </w:rPr>
    </w:lvl>
    <w:lvl w:ilvl="4" w:tplc="A2482FB0">
      <w:numFmt w:val="bullet"/>
      <w:lvlText w:val="•"/>
      <w:lvlJc w:val="left"/>
      <w:pPr>
        <w:ind w:left="4840" w:hanging="360"/>
      </w:pPr>
      <w:rPr>
        <w:rFonts w:hint="default"/>
        <w:lang w:val="en-US" w:eastAsia="en-US" w:bidi="ar-SA"/>
      </w:rPr>
    </w:lvl>
    <w:lvl w:ilvl="5" w:tplc="012C7786">
      <w:numFmt w:val="bullet"/>
      <w:lvlText w:val="•"/>
      <w:lvlJc w:val="left"/>
      <w:pPr>
        <w:ind w:left="5953" w:hanging="360"/>
      </w:pPr>
      <w:rPr>
        <w:rFonts w:hint="default"/>
        <w:lang w:val="en-US" w:eastAsia="en-US" w:bidi="ar-SA"/>
      </w:rPr>
    </w:lvl>
    <w:lvl w:ilvl="6" w:tplc="E11455C8">
      <w:numFmt w:val="bullet"/>
      <w:lvlText w:val="•"/>
      <w:lvlJc w:val="left"/>
      <w:pPr>
        <w:ind w:left="7066" w:hanging="360"/>
      </w:pPr>
      <w:rPr>
        <w:rFonts w:hint="default"/>
        <w:lang w:val="en-US" w:eastAsia="en-US" w:bidi="ar-SA"/>
      </w:rPr>
    </w:lvl>
    <w:lvl w:ilvl="7" w:tplc="3182CFE8">
      <w:numFmt w:val="bullet"/>
      <w:lvlText w:val="•"/>
      <w:lvlJc w:val="left"/>
      <w:pPr>
        <w:ind w:left="8180" w:hanging="360"/>
      </w:pPr>
      <w:rPr>
        <w:rFonts w:hint="default"/>
        <w:lang w:val="en-US" w:eastAsia="en-US" w:bidi="ar-SA"/>
      </w:rPr>
    </w:lvl>
    <w:lvl w:ilvl="8" w:tplc="9EC2EF58">
      <w:numFmt w:val="bullet"/>
      <w:lvlText w:val="•"/>
      <w:lvlJc w:val="left"/>
      <w:pPr>
        <w:ind w:left="9293" w:hanging="360"/>
      </w:pPr>
      <w:rPr>
        <w:rFonts w:hint="default"/>
        <w:lang w:val="en-US" w:eastAsia="en-US" w:bidi="ar-SA"/>
      </w:rPr>
    </w:lvl>
  </w:abstractNum>
  <w:abstractNum w:abstractNumId="7" w15:restartNumberingAfterBreak="0">
    <w:nsid w:val="3B4328F0"/>
    <w:multiLevelType w:val="hybridMultilevel"/>
    <w:tmpl w:val="5380DC80"/>
    <w:lvl w:ilvl="0" w:tplc="9300EE9E">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BCDAA77A">
      <w:numFmt w:val="bullet"/>
      <w:lvlText w:val="•"/>
      <w:lvlJc w:val="left"/>
      <w:pPr>
        <w:ind w:left="1638" w:hanging="181"/>
      </w:pPr>
      <w:rPr>
        <w:rFonts w:hint="default"/>
        <w:lang w:val="en-US" w:eastAsia="en-US" w:bidi="ar-SA"/>
      </w:rPr>
    </w:lvl>
    <w:lvl w:ilvl="2" w:tplc="89D887D4">
      <w:numFmt w:val="bullet"/>
      <w:lvlText w:val="•"/>
      <w:lvlJc w:val="left"/>
      <w:pPr>
        <w:ind w:left="2736" w:hanging="181"/>
      </w:pPr>
      <w:rPr>
        <w:rFonts w:hint="default"/>
        <w:lang w:val="en-US" w:eastAsia="en-US" w:bidi="ar-SA"/>
      </w:rPr>
    </w:lvl>
    <w:lvl w:ilvl="3" w:tplc="4FFE4C6E">
      <w:numFmt w:val="bullet"/>
      <w:lvlText w:val="•"/>
      <w:lvlJc w:val="left"/>
      <w:pPr>
        <w:ind w:left="3834" w:hanging="181"/>
      </w:pPr>
      <w:rPr>
        <w:rFonts w:hint="default"/>
        <w:lang w:val="en-US" w:eastAsia="en-US" w:bidi="ar-SA"/>
      </w:rPr>
    </w:lvl>
    <w:lvl w:ilvl="4" w:tplc="A30A4492">
      <w:numFmt w:val="bullet"/>
      <w:lvlText w:val="•"/>
      <w:lvlJc w:val="left"/>
      <w:pPr>
        <w:ind w:left="4932" w:hanging="181"/>
      </w:pPr>
      <w:rPr>
        <w:rFonts w:hint="default"/>
        <w:lang w:val="en-US" w:eastAsia="en-US" w:bidi="ar-SA"/>
      </w:rPr>
    </w:lvl>
    <w:lvl w:ilvl="5" w:tplc="205CCC0C">
      <w:numFmt w:val="bullet"/>
      <w:lvlText w:val="•"/>
      <w:lvlJc w:val="left"/>
      <w:pPr>
        <w:ind w:left="6030" w:hanging="181"/>
      </w:pPr>
      <w:rPr>
        <w:rFonts w:hint="default"/>
        <w:lang w:val="en-US" w:eastAsia="en-US" w:bidi="ar-SA"/>
      </w:rPr>
    </w:lvl>
    <w:lvl w:ilvl="6" w:tplc="847035A6">
      <w:numFmt w:val="bullet"/>
      <w:lvlText w:val="•"/>
      <w:lvlJc w:val="left"/>
      <w:pPr>
        <w:ind w:left="7128" w:hanging="181"/>
      </w:pPr>
      <w:rPr>
        <w:rFonts w:hint="default"/>
        <w:lang w:val="en-US" w:eastAsia="en-US" w:bidi="ar-SA"/>
      </w:rPr>
    </w:lvl>
    <w:lvl w:ilvl="7" w:tplc="6FB85554">
      <w:numFmt w:val="bullet"/>
      <w:lvlText w:val="•"/>
      <w:lvlJc w:val="left"/>
      <w:pPr>
        <w:ind w:left="8226" w:hanging="181"/>
      </w:pPr>
      <w:rPr>
        <w:rFonts w:hint="default"/>
        <w:lang w:val="en-US" w:eastAsia="en-US" w:bidi="ar-SA"/>
      </w:rPr>
    </w:lvl>
    <w:lvl w:ilvl="8" w:tplc="CC44CE94">
      <w:numFmt w:val="bullet"/>
      <w:lvlText w:val="•"/>
      <w:lvlJc w:val="left"/>
      <w:pPr>
        <w:ind w:left="9324" w:hanging="181"/>
      </w:pPr>
      <w:rPr>
        <w:rFonts w:hint="default"/>
        <w:lang w:val="en-US" w:eastAsia="en-US" w:bidi="ar-SA"/>
      </w:rPr>
    </w:lvl>
  </w:abstractNum>
  <w:abstractNum w:abstractNumId="8" w15:restartNumberingAfterBreak="0">
    <w:nsid w:val="3D0474EF"/>
    <w:multiLevelType w:val="hybridMultilevel"/>
    <w:tmpl w:val="77241976"/>
    <w:lvl w:ilvl="0" w:tplc="1F9C2610">
      <w:start w:val="1"/>
      <w:numFmt w:val="decimal"/>
      <w:lvlText w:val="%1"/>
      <w:lvlJc w:val="left"/>
      <w:pPr>
        <w:ind w:left="1762" w:hanging="596"/>
        <w:jc w:val="right"/>
      </w:pPr>
      <w:rPr>
        <w:rFonts w:hint="default"/>
        <w:spacing w:val="0"/>
        <w:w w:val="100"/>
        <w:lang w:val="en-US" w:eastAsia="en-US" w:bidi="ar-SA"/>
      </w:rPr>
    </w:lvl>
    <w:lvl w:ilvl="1" w:tplc="776E4A3C">
      <w:numFmt w:val="bullet"/>
      <w:lvlText w:val="•"/>
      <w:lvlJc w:val="left"/>
      <w:pPr>
        <w:ind w:left="2736" w:hanging="596"/>
      </w:pPr>
      <w:rPr>
        <w:rFonts w:hint="default"/>
        <w:lang w:val="en-US" w:eastAsia="en-US" w:bidi="ar-SA"/>
      </w:rPr>
    </w:lvl>
    <w:lvl w:ilvl="2" w:tplc="361E863C">
      <w:numFmt w:val="bullet"/>
      <w:lvlText w:val="•"/>
      <w:lvlJc w:val="left"/>
      <w:pPr>
        <w:ind w:left="3712" w:hanging="596"/>
      </w:pPr>
      <w:rPr>
        <w:rFonts w:hint="default"/>
        <w:lang w:val="en-US" w:eastAsia="en-US" w:bidi="ar-SA"/>
      </w:rPr>
    </w:lvl>
    <w:lvl w:ilvl="3" w:tplc="34CCCC7A">
      <w:numFmt w:val="bullet"/>
      <w:lvlText w:val="•"/>
      <w:lvlJc w:val="left"/>
      <w:pPr>
        <w:ind w:left="4688" w:hanging="596"/>
      </w:pPr>
      <w:rPr>
        <w:rFonts w:hint="default"/>
        <w:lang w:val="en-US" w:eastAsia="en-US" w:bidi="ar-SA"/>
      </w:rPr>
    </w:lvl>
    <w:lvl w:ilvl="4" w:tplc="1ECE3654">
      <w:numFmt w:val="bullet"/>
      <w:lvlText w:val="•"/>
      <w:lvlJc w:val="left"/>
      <w:pPr>
        <w:ind w:left="5664" w:hanging="596"/>
      </w:pPr>
      <w:rPr>
        <w:rFonts w:hint="default"/>
        <w:lang w:val="en-US" w:eastAsia="en-US" w:bidi="ar-SA"/>
      </w:rPr>
    </w:lvl>
    <w:lvl w:ilvl="5" w:tplc="8A28ADDA">
      <w:numFmt w:val="bullet"/>
      <w:lvlText w:val="•"/>
      <w:lvlJc w:val="left"/>
      <w:pPr>
        <w:ind w:left="6640" w:hanging="596"/>
      </w:pPr>
      <w:rPr>
        <w:rFonts w:hint="default"/>
        <w:lang w:val="en-US" w:eastAsia="en-US" w:bidi="ar-SA"/>
      </w:rPr>
    </w:lvl>
    <w:lvl w:ilvl="6" w:tplc="EEAA9306">
      <w:numFmt w:val="bullet"/>
      <w:lvlText w:val="•"/>
      <w:lvlJc w:val="left"/>
      <w:pPr>
        <w:ind w:left="7616" w:hanging="596"/>
      </w:pPr>
      <w:rPr>
        <w:rFonts w:hint="default"/>
        <w:lang w:val="en-US" w:eastAsia="en-US" w:bidi="ar-SA"/>
      </w:rPr>
    </w:lvl>
    <w:lvl w:ilvl="7" w:tplc="F1668352">
      <w:numFmt w:val="bullet"/>
      <w:lvlText w:val="•"/>
      <w:lvlJc w:val="left"/>
      <w:pPr>
        <w:ind w:left="8592" w:hanging="596"/>
      </w:pPr>
      <w:rPr>
        <w:rFonts w:hint="default"/>
        <w:lang w:val="en-US" w:eastAsia="en-US" w:bidi="ar-SA"/>
      </w:rPr>
    </w:lvl>
    <w:lvl w:ilvl="8" w:tplc="78F245D6">
      <w:numFmt w:val="bullet"/>
      <w:lvlText w:val="•"/>
      <w:lvlJc w:val="left"/>
      <w:pPr>
        <w:ind w:left="9568" w:hanging="596"/>
      </w:pPr>
      <w:rPr>
        <w:rFonts w:hint="default"/>
        <w:lang w:val="en-US" w:eastAsia="en-US" w:bidi="ar-SA"/>
      </w:rPr>
    </w:lvl>
  </w:abstractNum>
  <w:abstractNum w:abstractNumId="9" w15:restartNumberingAfterBreak="0">
    <w:nsid w:val="4C773A7B"/>
    <w:multiLevelType w:val="hybridMultilevel"/>
    <w:tmpl w:val="65E43FB8"/>
    <w:lvl w:ilvl="0" w:tplc="096E2346">
      <w:start w:val="1"/>
      <w:numFmt w:val="decimal"/>
      <w:lvlText w:val="%1."/>
      <w:lvlJc w:val="left"/>
      <w:pPr>
        <w:ind w:left="1080" w:hanging="361"/>
      </w:pPr>
      <w:rPr>
        <w:rFonts w:ascii="Times New Roman" w:eastAsia="Times New Roman" w:hAnsi="Times New Roman" w:cs="Times New Roman" w:hint="default"/>
        <w:b/>
        <w:bCs/>
        <w:i w:val="0"/>
        <w:iCs w:val="0"/>
        <w:spacing w:val="0"/>
        <w:w w:val="100"/>
        <w:sz w:val="22"/>
        <w:szCs w:val="22"/>
        <w:lang w:val="en-US" w:eastAsia="en-US" w:bidi="ar-SA"/>
      </w:rPr>
    </w:lvl>
    <w:lvl w:ilvl="1" w:tplc="99329852">
      <w:numFmt w:val="bullet"/>
      <w:lvlText w:val="•"/>
      <w:lvlJc w:val="left"/>
      <w:pPr>
        <w:ind w:left="2124" w:hanging="361"/>
      </w:pPr>
      <w:rPr>
        <w:rFonts w:hint="default"/>
        <w:lang w:val="en-US" w:eastAsia="en-US" w:bidi="ar-SA"/>
      </w:rPr>
    </w:lvl>
    <w:lvl w:ilvl="2" w:tplc="283CD7D2">
      <w:numFmt w:val="bullet"/>
      <w:lvlText w:val="•"/>
      <w:lvlJc w:val="left"/>
      <w:pPr>
        <w:ind w:left="3168" w:hanging="361"/>
      </w:pPr>
      <w:rPr>
        <w:rFonts w:hint="default"/>
        <w:lang w:val="en-US" w:eastAsia="en-US" w:bidi="ar-SA"/>
      </w:rPr>
    </w:lvl>
    <w:lvl w:ilvl="3" w:tplc="1020069C">
      <w:numFmt w:val="bullet"/>
      <w:lvlText w:val="•"/>
      <w:lvlJc w:val="left"/>
      <w:pPr>
        <w:ind w:left="4212" w:hanging="361"/>
      </w:pPr>
      <w:rPr>
        <w:rFonts w:hint="default"/>
        <w:lang w:val="en-US" w:eastAsia="en-US" w:bidi="ar-SA"/>
      </w:rPr>
    </w:lvl>
    <w:lvl w:ilvl="4" w:tplc="FF388CE6">
      <w:numFmt w:val="bullet"/>
      <w:lvlText w:val="•"/>
      <w:lvlJc w:val="left"/>
      <w:pPr>
        <w:ind w:left="5256" w:hanging="361"/>
      </w:pPr>
      <w:rPr>
        <w:rFonts w:hint="default"/>
        <w:lang w:val="en-US" w:eastAsia="en-US" w:bidi="ar-SA"/>
      </w:rPr>
    </w:lvl>
    <w:lvl w:ilvl="5" w:tplc="EBCE0394">
      <w:numFmt w:val="bullet"/>
      <w:lvlText w:val="•"/>
      <w:lvlJc w:val="left"/>
      <w:pPr>
        <w:ind w:left="6300" w:hanging="361"/>
      </w:pPr>
      <w:rPr>
        <w:rFonts w:hint="default"/>
        <w:lang w:val="en-US" w:eastAsia="en-US" w:bidi="ar-SA"/>
      </w:rPr>
    </w:lvl>
    <w:lvl w:ilvl="6" w:tplc="B0C02F16">
      <w:numFmt w:val="bullet"/>
      <w:lvlText w:val="•"/>
      <w:lvlJc w:val="left"/>
      <w:pPr>
        <w:ind w:left="7344" w:hanging="361"/>
      </w:pPr>
      <w:rPr>
        <w:rFonts w:hint="default"/>
        <w:lang w:val="en-US" w:eastAsia="en-US" w:bidi="ar-SA"/>
      </w:rPr>
    </w:lvl>
    <w:lvl w:ilvl="7" w:tplc="B498BDA2">
      <w:numFmt w:val="bullet"/>
      <w:lvlText w:val="•"/>
      <w:lvlJc w:val="left"/>
      <w:pPr>
        <w:ind w:left="8388" w:hanging="361"/>
      </w:pPr>
      <w:rPr>
        <w:rFonts w:hint="default"/>
        <w:lang w:val="en-US" w:eastAsia="en-US" w:bidi="ar-SA"/>
      </w:rPr>
    </w:lvl>
    <w:lvl w:ilvl="8" w:tplc="81DC65E8">
      <w:numFmt w:val="bullet"/>
      <w:lvlText w:val="•"/>
      <w:lvlJc w:val="left"/>
      <w:pPr>
        <w:ind w:left="9432" w:hanging="361"/>
      </w:pPr>
      <w:rPr>
        <w:rFonts w:hint="default"/>
        <w:lang w:val="en-US" w:eastAsia="en-US" w:bidi="ar-SA"/>
      </w:rPr>
    </w:lvl>
  </w:abstractNum>
  <w:abstractNum w:abstractNumId="10" w15:restartNumberingAfterBreak="0">
    <w:nsid w:val="52DB6080"/>
    <w:multiLevelType w:val="hybridMultilevel"/>
    <w:tmpl w:val="AA38927A"/>
    <w:lvl w:ilvl="0" w:tplc="B46C1728">
      <w:start w:val="1"/>
      <w:numFmt w:val="decimal"/>
      <w:lvlText w:val="%1."/>
      <w:lvlJc w:val="left"/>
      <w:pPr>
        <w:ind w:left="541" w:hanging="181"/>
      </w:pPr>
      <w:rPr>
        <w:rFonts w:hint="default"/>
        <w:spacing w:val="0"/>
        <w:w w:val="87"/>
        <w:lang w:val="en-US" w:eastAsia="en-US" w:bidi="ar-SA"/>
      </w:rPr>
    </w:lvl>
    <w:lvl w:ilvl="1" w:tplc="BA54B5EA">
      <w:numFmt w:val="bullet"/>
      <w:lvlText w:val=""/>
      <w:lvlJc w:val="left"/>
      <w:pPr>
        <w:ind w:left="720"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6E7E53EA">
      <w:numFmt w:val="bullet"/>
      <w:lvlText w:val="•"/>
      <w:lvlJc w:val="left"/>
      <w:pPr>
        <w:ind w:left="1920" w:hanging="360"/>
      </w:pPr>
      <w:rPr>
        <w:rFonts w:hint="default"/>
        <w:lang w:val="en-US" w:eastAsia="en-US" w:bidi="ar-SA"/>
      </w:rPr>
    </w:lvl>
    <w:lvl w:ilvl="3" w:tplc="B0BEFA7A">
      <w:numFmt w:val="bullet"/>
      <w:lvlText w:val="•"/>
      <w:lvlJc w:val="left"/>
      <w:pPr>
        <w:ind w:left="3120" w:hanging="360"/>
      </w:pPr>
      <w:rPr>
        <w:rFonts w:hint="default"/>
        <w:lang w:val="en-US" w:eastAsia="en-US" w:bidi="ar-SA"/>
      </w:rPr>
    </w:lvl>
    <w:lvl w:ilvl="4" w:tplc="B3AA38AA">
      <w:numFmt w:val="bullet"/>
      <w:lvlText w:val="•"/>
      <w:lvlJc w:val="left"/>
      <w:pPr>
        <w:ind w:left="4320" w:hanging="360"/>
      </w:pPr>
      <w:rPr>
        <w:rFonts w:hint="default"/>
        <w:lang w:val="en-US" w:eastAsia="en-US" w:bidi="ar-SA"/>
      </w:rPr>
    </w:lvl>
    <w:lvl w:ilvl="5" w:tplc="4AF4DDC6">
      <w:numFmt w:val="bullet"/>
      <w:lvlText w:val="•"/>
      <w:lvlJc w:val="left"/>
      <w:pPr>
        <w:ind w:left="5520" w:hanging="360"/>
      </w:pPr>
      <w:rPr>
        <w:rFonts w:hint="default"/>
        <w:lang w:val="en-US" w:eastAsia="en-US" w:bidi="ar-SA"/>
      </w:rPr>
    </w:lvl>
    <w:lvl w:ilvl="6" w:tplc="86DC3B38">
      <w:numFmt w:val="bullet"/>
      <w:lvlText w:val="•"/>
      <w:lvlJc w:val="left"/>
      <w:pPr>
        <w:ind w:left="6720" w:hanging="360"/>
      </w:pPr>
      <w:rPr>
        <w:rFonts w:hint="default"/>
        <w:lang w:val="en-US" w:eastAsia="en-US" w:bidi="ar-SA"/>
      </w:rPr>
    </w:lvl>
    <w:lvl w:ilvl="7" w:tplc="2F9AA9E0">
      <w:numFmt w:val="bullet"/>
      <w:lvlText w:val="•"/>
      <w:lvlJc w:val="left"/>
      <w:pPr>
        <w:ind w:left="7920" w:hanging="360"/>
      </w:pPr>
      <w:rPr>
        <w:rFonts w:hint="default"/>
        <w:lang w:val="en-US" w:eastAsia="en-US" w:bidi="ar-SA"/>
      </w:rPr>
    </w:lvl>
    <w:lvl w:ilvl="8" w:tplc="8C3EBE18">
      <w:numFmt w:val="bullet"/>
      <w:lvlText w:val="•"/>
      <w:lvlJc w:val="left"/>
      <w:pPr>
        <w:ind w:left="9120" w:hanging="360"/>
      </w:pPr>
      <w:rPr>
        <w:rFonts w:hint="default"/>
        <w:lang w:val="en-US" w:eastAsia="en-US" w:bidi="ar-SA"/>
      </w:rPr>
    </w:lvl>
  </w:abstractNum>
  <w:abstractNum w:abstractNumId="11" w15:restartNumberingAfterBreak="0">
    <w:nsid w:val="54A80205"/>
    <w:multiLevelType w:val="hybridMultilevel"/>
    <w:tmpl w:val="5F04BBB8"/>
    <w:lvl w:ilvl="0" w:tplc="0B1C8A7A">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F4DC455C">
      <w:numFmt w:val="bullet"/>
      <w:lvlText w:val=""/>
      <w:lvlJc w:val="left"/>
      <w:pPr>
        <w:ind w:left="643" w:hanging="360"/>
      </w:pPr>
      <w:rPr>
        <w:rFonts w:ascii="Wingdings" w:eastAsia="Wingdings" w:hAnsi="Wingdings" w:cs="Wingdings" w:hint="default"/>
        <w:b w:val="0"/>
        <w:bCs w:val="0"/>
        <w:i w:val="0"/>
        <w:iCs w:val="0"/>
        <w:color w:val="4F81BC"/>
        <w:spacing w:val="0"/>
        <w:w w:val="99"/>
        <w:sz w:val="26"/>
        <w:szCs w:val="26"/>
        <w:lang w:val="en-US" w:eastAsia="en-US" w:bidi="ar-SA"/>
      </w:rPr>
    </w:lvl>
    <w:lvl w:ilvl="2" w:tplc="471084FE">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tplc="74E6120C">
      <w:numFmt w:val="bullet"/>
      <w:lvlText w:val="•"/>
      <w:lvlJc w:val="left"/>
      <w:pPr>
        <w:ind w:left="2385" w:hanging="361"/>
      </w:pPr>
      <w:rPr>
        <w:rFonts w:hint="default"/>
        <w:lang w:val="en-US" w:eastAsia="en-US" w:bidi="ar-SA"/>
      </w:rPr>
    </w:lvl>
    <w:lvl w:ilvl="4" w:tplc="B18AA454">
      <w:numFmt w:val="bullet"/>
      <w:lvlText w:val="•"/>
      <w:lvlJc w:val="left"/>
      <w:pPr>
        <w:ind w:left="3690" w:hanging="361"/>
      </w:pPr>
      <w:rPr>
        <w:rFonts w:hint="default"/>
        <w:lang w:val="en-US" w:eastAsia="en-US" w:bidi="ar-SA"/>
      </w:rPr>
    </w:lvl>
    <w:lvl w:ilvl="5" w:tplc="A97EB54A">
      <w:numFmt w:val="bullet"/>
      <w:lvlText w:val="•"/>
      <w:lvlJc w:val="left"/>
      <w:pPr>
        <w:ind w:left="4995" w:hanging="361"/>
      </w:pPr>
      <w:rPr>
        <w:rFonts w:hint="default"/>
        <w:lang w:val="en-US" w:eastAsia="en-US" w:bidi="ar-SA"/>
      </w:rPr>
    </w:lvl>
    <w:lvl w:ilvl="6" w:tplc="81C62FDE">
      <w:numFmt w:val="bullet"/>
      <w:lvlText w:val="•"/>
      <w:lvlJc w:val="left"/>
      <w:pPr>
        <w:ind w:left="6300" w:hanging="361"/>
      </w:pPr>
      <w:rPr>
        <w:rFonts w:hint="default"/>
        <w:lang w:val="en-US" w:eastAsia="en-US" w:bidi="ar-SA"/>
      </w:rPr>
    </w:lvl>
    <w:lvl w:ilvl="7" w:tplc="E1F8A6BC">
      <w:numFmt w:val="bullet"/>
      <w:lvlText w:val="•"/>
      <w:lvlJc w:val="left"/>
      <w:pPr>
        <w:ind w:left="7605" w:hanging="361"/>
      </w:pPr>
      <w:rPr>
        <w:rFonts w:hint="default"/>
        <w:lang w:val="en-US" w:eastAsia="en-US" w:bidi="ar-SA"/>
      </w:rPr>
    </w:lvl>
    <w:lvl w:ilvl="8" w:tplc="00225208">
      <w:numFmt w:val="bullet"/>
      <w:lvlText w:val="•"/>
      <w:lvlJc w:val="left"/>
      <w:pPr>
        <w:ind w:left="8910" w:hanging="361"/>
      </w:pPr>
      <w:rPr>
        <w:rFonts w:hint="default"/>
        <w:lang w:val="en-US" w:eastAsia="en-US" w:bidi="ar-SA"/>
      </w:rPr>
    </w:lvl>
  </w:abstractNum>
  <w:abstractNum w:abstractNumId="12" w15:restartNumberingAfterBreak="0">
    <w:nsid w:val="747C08BF"/>
    <w:multiLevelType w:val="hybridMultilevel"/>
    <w:tmpl w:val="4CD29E60"/>
    <w:lvl w:ilvl="0" w:tplc="42F89464">
      <w:start w:val="1"/>
      <w:numFmt w:val="decimal"/>
      <w:lvlText w:val="%1."/>
      <w:lvlJc w:val="left"/>
      <w:pPr>
        <w:ind w:left="526" w:hanging="167"/>
      </w:pPr>
      <w:rPr>
        <w:rFonts w:hint="default"/>
        <w:spacing w:val="0"/>
        <w:w w:val="86"/>
        <w:lang w:val="en-US" w:eastAsia="en-US" w:bidi="ar-SA"/>
      </w:rPr>
    </w:lvl>
    <w:lvl w:ilvl="1" w:tplc="53C04554">
      <w:numFmt w:val="bullet"/>
      <w:lvlText w:val=""/>
      <w:lvlJc w:val="left"/>
      <w:pPr>
        <w:ind w:left="643"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1CC40E04">
      <w:start w:val="1"/>
      <w:numFmt w:val="decimal"/>
      <w:lvlText w:val="%3."/>
      <w:lvlJc w:val="left"/>
      <w:pPr>
        <w:ind w:left="1080" w:hanging="361"/>
      </w:pPr>
      <w:rPr>
        <w:rFonts w:hint="default"/>
        <w:spacing w:val="0"/>
        <w:w w:val="100"/>
        <w:lang w:val="en-US" w:eastAsia="en-US" w:bidi="ar-SA"/>
      </w:rPr>
    </w:lvl>
    <w:lvl w:ilvl="3" w:tplc="058C3934">
      <w:start w:val="1"/>
      <w:numFmt w:val="decimal"/>
      <w:lvlText w:val="%4."/>
      <w:lvlJc w:val="left"/>
      <w:pPr>
        <w:ind w:left="14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4" w:tplc="FC82BB08">
      <w:numFmt w:val="bullet"/>
      <w:lvlText w:val="•"/>
      <w:lvlJc w:val="left"/>
      <w:pPr>
        <w:ind w:left="2880" w:hanging="361"/>
      </w:pPr>
      <w:rPr>
        <w:rFonts w:hint="default"/>
        <w:lang w:val="en-US" w:eastAsia="en-US" w:bidi="ar-SA"/>
      </w:rPr>
    </w:lvl>
    <w:lvl w:ilvl="5" w:tplc="BB0EBA7C">
      <w:numFmt w:val="bullet"/>
      <w:lvlText w:val="•"/>
      <w:lvlJc w:val="left"/>
      <w:pPr>
        <w:ind w:left="4320" w:hanging="361"/>
      </w:pPr>
      <w:rPr>
        <w:rFonts w:hint="default"/>
        <w:lang w:val="en-US" w:eastAsia="en-US" w:bidi="ar-SA"/>
      </w:rPr>
    </w:lvl>
    <w:lvl w:ilvl="6" w:tplc="DB9230DE">
      <w:numFmt w:val="bullet"/>
      <w:lvlText w:val="•"/>
      <w:lvlJc w:val="left"/>
      <w:pPr>
        <w:ind w:left="5760" w:hanging="361"/>
      </w:pPr>
      <w:rPr>
        <w:rFonts w:hint="default"/>
        <w:lang w:val="en-US" w:eastAsia="en-US" w:bidi="ar-SA"/>
      </w:rPr>
    </w:lvl>
    <w:lvl w:ilvl="7" w:tplc="45BA489C">
      <w:numFmt w:val="bullet"/>
      <w:lvlText w:val="•"/>
      <w:lvlJc w:val="left"/>
      <w:pPr>
        <w:ind w:left="7200" w:hanging="361"/>
      </w:pPr>
      <w:rPr>
        <w:rFonts w:hint="default"/>
        <w:lang w:val="en-US" w:eastAsia="en-US" w:bidi="ar-SA"/>
      </w:rPr>
    </w:lvl>
    <w:lvl w:ilvl="8" w:tplc="15C23AB2">
      <w:numFmt w:val="bullet"/>
      <w:lvlText w:val="•"/>
      <w:lvlJc w:val="left"/>
      <w:pPr>
        <w:ind w:left="8640" w:hanging="361"/>
      </w:pPr>
      <w:rPr>
        <w:rFonts w:hint="default"/>
        <w:lang w:val="en-US" w:eastAsia="en-US" w:bidi="ar-SA"/>
      </w:rPr>
    </w:lvl>
  </w:abstractNum>
  <w:abstractNum w:abstractNumId="13" w15:restartNumberingAfterBreak="0">
    <w:nsid w:val="7D4C2792"/>
    <w:multiLevelType w:val="hybridMultilevel"/>
    <w:tmpl w:val="A29E19E2"/>
    <w:lvl w:ilvl="0" w:tplc="742C2478">
      <w:start w:val="1"/>
      <w:numFmt w:val="decimal"/>
      <w:lvlText w:val="%1."/>
      <w:lvlJc w:val="left"/>
      <w:pPr>
        <w:ind w:left="36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2105628">
      <w:start w:val="1"/>
      <w:numFmt w:val="decimal"/>
      <w:lvlText w:val="%2."/>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8FCE7216">
      <w:numFmt w:val="bullet"/>
      <w:lvlText w:val="•"/>
      <w:lvlJc w:val="left"/>
      <w:pPr>
        <w:ind w:left="2240" w:hanging="361"/>
      </w:pPr>
      <w:rPr>
        <w:rFonts w:hint="default"/>
        <w:lang w:val="en-US" w:eastAsia="en-US" w:bidi="ar-SA"/>
      </w:rPr>
    </w:lvl>
    <w:lvl w:ilvl="3" w:tplc="1AC66E10">
      <w:numFmt w:val="bullet"/>
      <w:lvlText w:val="•"/>
      <w:lvlJc w:val="left"/>
      <w:pPr>
        <w:ind w:left="3400" w:hanging="361"/>
      </w:pPr>
      <w:rPr>
        <w:rFonts w:hint="default"/>
        <w:lang w:val="en-US" w:eastAsia="en-US" w:bidi="ar-SA"/>
      </w:rPr>
    </w:lvl>
    <w:lvl w:ilvl="4" w:tplc="EE5E19D4">
      <w:numFmt w:val="bullet"/>
      <w:lvlText w:val="•"/>
      <w:lvlJc w:val="left"/>
      <w:pPr>
        <w:ind w:left="4560" w:hanging="361"/>
      </w:pPr>
      <w:rPr>
        <w:rFonts w:hint="default"/>
        <w:lang w:val="en-US" w:eastAsia="en-US" w:bidi="ar-SA"/>
      </w:rPr>
    </w:lvl>
    <w:lvl w:ilvl="5" w:tplc="5A142DAE">
      <w:numFmt w:val="bullet"/>
      <w:lvlText w:val="•"/>
      <w:lvlJc w:val="left"/>
      <w:pPr>
        <w:ind w:left="5720" w:hanging="361"/>
      </w:pPr>
      <w:rPr>
        <w:rFonts w:hint="default"/>
        <w:lang w:val="en-US" w:eastAsia="en-US" w:bidi="ar-SA"/>
      </w:rPr>
    </w:lvl>
    <w:lvl w:ilvl="6" w:tplc="CB3C34D4">
      <w:numFmt w:val="bullet"/>
      <w:lvlText w:val="•"/>
      <w:lvlJc w:val="left"/>
      <w:pPr>
        <w:ind w:left="6880" w:hanging="361"/>
      </w:pPr>
      <w:rPr>
        <w:rFonts w:hint="default"/>
        <w:lang w:val="en-US" w:eastAsia="en-US" w:bidi="ar-SA"/>
      </w:rPr>
    </w:lvl>
    <w:lvl w:ilvl="7" w:tplc="0E6481F4">
      <w:numFmt w:val="bullet"/>
      <w:lvlText w:val="•"/>
      <w:lvlJc w:val="left"/>
      <w:pPr>
        <w:ind w:left="8040" w:hanging="361"/>
      </w:pPr>
      <w:rPr>
        <w:rFonts w:hint="default"/>
        <w:lang w:val="en-US" w:eastAsia="en-US" w:bidi="ar-SA"/>
      </w:rPr>
    </w:lvl>
    <w:lvl w:ilvl="8" w:tplc="091836AE">
      <w:numFmt w:val="bullet"/>
      <w:lvlText w:val="•"/>
      <w:lvlJc w:val="left"/>
      <w:pPr>
        <w:ind w:left="9200" w:hanging="361"/>
      </w:pPr>
      <w:rPr>
        <w:rFonts w:hint="default"/>
        <w:lang w:val="en-US" w:eastAsia="en-US" w:bidi="ar-SA"/>
      </w:rPr>
    </w:lvl>
  </w:abstractNum>
  <w:num w:numId="1" w16cid:durableId="1318150724">
    <w:abstractNumId w:val="5"/>
  </w:num>
  <w:num w:numId="2" w16cid:durableId="1389720625">
    <w:abstractNumId w:val="0"/>
  </w:num>
  <w:num w:numId="3" w16cid:durableId="565186984">
    <w:abstractNumId w:val="1"/>
  </w:num>
  <w:num w:numId="4" w16cid:durableId="527988010">
    <w:abstractNumId w:val="4"/>
  </w:num>
  <w:num w:numId="5" w16cid:durableId="592317698">
    <w:abstractNumId w:val="11"/>
  </w:num>
  <w:num w:numId="6" w16cid:durableId="411508161">
    <w:abstractNumId w:val="7"/>
  </w:num>
  <w:num w:numId="7" w16cid:durableId="259677323">
    <w:abstractNumId w:val="13"/>
  </w:num>
  <w:num w:numId="8" w16cid:durableId="2063019814">
    <w:abstractNumId w:val="12"/>
  </w:num>
  <w:num w:numId="9" w16cid:durableId="1196389216">
    <w:abstractNumId w:val="9"/>
  </w:num>
  <w:num w:numId="10" w16cid:durableId="41909467">
    <w:abstractNumId w:val="10"/>
  </w:num>
  <w:num w:numId="11" w16cid:durableId="742146331">
    <w:abstractNumId w:val="3"/>
  </w:num>
  <w:num w:numId="12" w16cid:durableId="2085645800">
    <w:abstractNumId w:val="6"/>
  </w:num>
  <w:num w:numId="13" w16cid:durableId="910118408">
    <w:abstractNumId w:val="8"/>
  </w:num>
  <w:num w:numId="14" w16cid:durableId="1091974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B5BC4"/>
    <w:rsid w:val="00093328"/>
    <w:rsid w:val="000A4D89"/>
    <w:rsid w:val="000E0E35"/>
    <w:rsid w:val="0012302A"/>
    <w:rsid w:val="001703F6"/>
    <w:rsid w:val="002B7D4A"/>
    <w:rsid w:val="003050C2"/>
    <w:rsid w:val="003237C8"/>
    <w:rsid w:val="003614AD"/>
    <w:rsid w:val="004E38A0"/>
    <w:rsid w:val="004F3807"/>
    <w:rsid w:val="004F682A"/>
    <w:rsid w:val="00543E11"/>
    <w:rsid w:val="005A68A8"/>
    <w:rsid w:val="005E7DD8"/>
    <w:rsid w:val="006B2D0D"/>
    <w:rsid w:val="006B6F3B"/>
    <w:rsid w:val="007669DA"/>
    <w:rsid w:val="00795734"/>
    <w:rsid w:val="007B5BC4"/>
    <w:rsid w:val="007C1B96"/>
    <w:rsid w:val="0092452A"/>
    <w:rsid w:val="009C0962"/>
    <w:rsid w:val="009F5DDE"/>
    <w:rsid w:val="00A00270"/>
    <w:rsid w:val="00B143F3"/>
    <w:rsid w:val="00BB7EF0"/>
    <w:rsid w:val="00BD3BA8"/>
    <w:rsid w:val="00C06912"/>
    <w:rsid w:val="00C25616"/>
    <w:rsid w:val="00C66B68"/>
    <w:rsid w:val="00C75D95"/>
    <w:rsid w:val="00D83F6E"/>
    <w:rsid w:val="00DB5FDC"/>
    <w:rsid w:val="00DE22D9"/>
    <w:rsid w:val="00F3687E"/>
    <w:rsid w:val="00FB027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A2F8D"/>
  <w15:docId w15:val="{3D91B717-74B0-4247-AD7D-B9D45BBA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43" w:hanging="360"/>
      <w:outlineLvl w:val="0"/>
    </w:pPr>
    <w:rPr>
      <w:b/>
      <w:bCs/>
      <w:sz w:val="36"/>
      <w:szCs w:val="36"/>
    </w:rPr>
  </w:style>
  <w:style w:type="paragraph" w:styleId="Heading2">
    <w:name w:val="heading 2"/>
    <w:basedOn w:val="Normal"/>
    <w:uiPriority w:val="9"/>
    <w:unhideWhenUsed/>
    <w:qFormat/>
    <w:pPr>
      <w:ind w:left="642" w:hanging="359"/>
      <w:outlineLvl w:val="1"/>
    </w:pPr>
    <w:rPr>
      <w:b/>
      <w:bCs/>
      <w:sz w:val="32"/>
      <w:szCs w:val="32"/>
    </w:rPr>
  </w:style>
  <w:style w:type="paragraph" w:styleId="Heading3">
    <w:name w:val="heading 3"/>
    <w:basedOn w:val="Normal"/>
    <w:uiPriority w:val="9"/>
    <w:unhideWhenUsed/>
    <w:qFormat/>
    <w:pPr>
      <w:ind w:left="360"/>
      <w:outlineLvl w:val="2"/>
    </w:pPr>
    <w:rPr>
      <w:b/>
      <w:bCs/>
      <w:sz w:val="28"/>
      <w:szCs w:val="28"/>
    </w:rPr>
  </w:style>
  <w:style w:type="paragraph" w:styleId="Heading4">
    <w:name w:val="heading 4"/>
    <w:basedOn w:val="Normal"/>
    <w:uiPriority w:val="9"/>
    <w:unhideWhenUsed/>
    <w:qFormat/>
    <w:pPr>
      <w:ind w:left="360"/>
      <w:outlineLvl w:val="3"/>
    </w:pPr>
    <w:rPr>
      <w:b/>
      <w:bCs/>
      <w:sz w:val="28"/>
      <w:szCs w:val="28"/>
    </w:rPr>
  </w:style>
  <w:style w:type="paragraph" w:styleId="Heading5">
    <w:name w:val="heading 5"/>
    <w:basedOn w:val="Normal"/>
    <w:uiPriority w:val="9"/>
    <w:unhideWhenUsed/>
    <w:qFormat/>
    <w:pPr>
      <w:ind w:left="36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4"/>
      <w:ind w:left="1761" w:hanging="731"/>
    </w:pPr>
    <w:rPr>
      <w:b/>
      <w:bCs/>
      <w:sz w:val="28"/>
      <w:szCs w:val="28"/>
    </w:rPr>
  </w:style>
  <w:style w:type="paragraph" w:styleId="TOC2">
    <w:name w:val="toc 2"/>
    <w:basedOn w:val="Normal"/>
    <w:uiPriority w:val="1"/>
    <w:qFormat/>
    <w:pPr>
      <w:spacing w:before="315"/>
      <w:ind w:left="1761" w:hanging="655"/>
    </w:pPr>
    <w:rPr>
      <w:b/>
      <w:bCs/>
      <w:sz w:val="28"/>
      <w:szCs w:val="28"/>
    </w:rPr>
  </w:style>
  <w:style w:type="paragraph" w:styleId="TOC3">
    <w:name w:val="toc 3"/>
    <w:basedOn w:val="Normal"/>
    <w:uiPriority w:val="1"/>
    <w:qFormat/>
    <w:pPr>
      <w:spacing w:before="20"/>
      <w:ind w:left="1761" w:hanging="595"/>
    </w:pPr>
    <w:rPr>
      <w:i/>
      <w:iCs/>
      <w:sz w:val="24"/>
      <w:szCs w:val="24"/>
    </w:rPr>
  </w:style>
  <w:style w:type="paragraph" w:styleId="TOC4">
    <w:name w:val="toc 4"/>
    <w:basedOn w:val="Normal"/>
    <w:uiPriority w:val="1"/>
    <w:qFormat/>
    <w:pPr>
      <w:spacing w:before="80"/>
      <w:ind w:left="1762"/>
    </w:pPr>
    <w:rPr>
      <w:b/>
      <w:bCs/>
      <w:sz w:val="28"/>
      <w:szCs w:val="28"/>
    </w:rPr>
  </w:style>
  <w:style w:type="paragraph" w:styleId="TOC5">
    <w:name w:val="toc 5"/>
    <w:basedOn w:val="Normal"/>
    <w:uiPriority w:val="1"/>
    <w:qFormat/>
    <w:pPr>
      <w:ind w:left="1762"/>
    </w:pPr>
    <w:rPr>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5" w:right="5"/>
      <w:jc w:val="center"/>
    </w:pPr>
    <w:rPr>
      <w:b/>
      <w:bCs/>
      <w:sz w:val="52"/>
      <w:szCs w:val="52"/>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27"/>
      <w:ind w:left="29"/>
    </w:pPr>
  </w:style>
  <w:style w:type="paragraph" w:styleId="Header">
    <w:name w:val="header"/>
    <w:basedOn w:val="Normal"/>
    <w:link w:val="HeaderChar"/>
    <w:uiPriority w:val="99"/>
    <w:unhideWhenUsed/>
    <w:rsid w:val="00C75D95"/>
    <w:pPr>
      <w:tabs>
        <w:tab w:val="center" w:pos="4680"/>
        <w:tab w:val="right" w:pos="9360"/>
      </w:tabs>
    </w:pPr>
  </w:style>
  <w:style w:type="character" w:customStyle="1" w:styleId="HeaderChar">
    <w:name w:val="Header Char"/>
    <w:basedOn w:val="DefaultParagraphFont"/>
    <w:link w:val="Header"/>
    <w:uiPriority w:val="99"/>
    <w:rsid w:val="00C75D95"/>
    <w:rPr>
      <w:rFonts w:ascii="Times New Roman" w:eastAsia="Times New Roman" w:hAnsi="Times New Roman" w:cs="Times New Roman"/>
    </w:rPr>
  </w:style>
  <w:style w:type="paragraph" w:styleId="Footer">
    <w:name w:val="footer"/>
    <w:basedOn w:val="Normal"/>
    <w:link w:val="FooterChar"/>
    <w:uiPriority w:val="99"/>
    <w:unhideWhenUsed/>
    <w:rsid w:val="00C75D95"/>
    <w:pPr>
      <w:tabs>
        <w:tab w:val="center" w:pos="4680"/>
        <w:tab w:val="right" w:pos="9360"/>
      </w:tabs>
    </w:pPr>
  </w:style>
  <w:style w:type="character" w:customStyle="1" w:styleId="FooterChar">
    <w:name w:val="Footer Char"/>
    <w:basedOn w:val="DefaultParagraphFont"/>
    <w:link w:val="Footer"/>
    <w:uiPriority w:val="99"/>
    <w:rsid w:val="00C75D95"/>
    <w:rPr>
      <w:rFonts w:ascii="Times New Roman" w:eastAsia="Times New Roman" w:hAnsi="Times New Roman" w:cs="Times New Roman"/>
    </w:rPr>
  </w:style>
  <w:style w:type="paragraph" w:styleId="NoSpacing">
    <w:name w:val="No Spacing"/>
    <w:aliases w:val="Flor"/>
    <w:link w:val="NoSpacingChar"/>
    <w:uiPriority w:val="1"/>
    <w:qFormat/>
    <w:rsid w:val="004F3807"/>
    <w:pPr>
      <w:widowControl/>
      <w:autoSpaceDE/>
      <w:autoSpaceDN/>
    </w:pPr>
  </w:style>
  <w:style w:type="character" w:customStyle="1" w:styleId="NoSpacingChar">
    <w:name w:val="No Spacing Char"/>
    <w:aliases w:val="Flor Char"/>
    <w:basedOn w:val="DefaultParagraphFont"/>
    <w:link w:val="NoSpacing"/>
    <w:uiPriority w:val="1"/>
    <w:qFormat/>
    <w:locked/>
    <w:rsid w:val="004F3807"/>
  </w:style>
  <w:style w:type="table" w:styleId="TableGrid">
    <w:name w:val="Table Grid"/>
    <w:basedOn w:val="TableNormal"/>
    <w:uiPriority w:val="59"/>
    <w:rsid w:val="006B2D0D"/>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14AD"/>
    <w:rPr>
      <w:color w:val="0000FF" w:themeColor="hyperlink"/>
      <w:u w:val="single"/>
    </w:rPr>
  </w:style>
  <w:style w:type="character" w:styleId="UnresolvedMention">
    <w:name w:val="Unresolved Mention"/>
    <w:basedOn w:val="DefaultParagraphFont"/>
    <w:uiPriority w:val="99"/>
    <w:semiHidden/>
    <w:unhideWhenUsed/>
    <w:rsid w:val="003614AD"/>
    <w:rPr>
      <w:color w:val="605E5C"/>
      <w:shd w:val="clear" w:color="auto" w:fill="E1DFDD"/>
    </w:rPr>
  </w:style>
  <w:style w:type="character" w:styleId="FollowedHyperlink">
    <w:name w:val="FollowedHyperlink"/>
    <w:basedOn w:val="DefaultParagraphFont"/>
    <w:uiPriority w:val="99"/>
    <w:semiHidden/>
    <w:unhideWhenUsed/>
    <w:rsid w:val="003614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47119/IJRP1001751620258229" TargetMode="External"/><Relationship Id="rId18" Type="http://schemas.openxmlformats.org/officeDocument/2006/relationships/hyperlink" Target="https://doi.org/10.3390/informatics10030074" TargetMode="External"/><Relationship Id="rId26" Type="http://schemas.openxmlformats.org/officeDocument/2006/relationships/hyperlink" Target="https://scholar.google.com/scholar?hl=en&amp;as_sdt=0%2C5&amp;q=THE+DETERMINANTS+OF+THE+PERCEIVED+EMPLOYABILITY+OF+TVL+GRADE+12+STUDENTS&amp;btnG=" TargetMode="External"/><Relationship Id="rId39" Type="http://schemas.openxmlformats.org/officeDocument/2006/relationships/hyperlink" Target="https://scholar.google.com/scholar?hl=en&amp;as_sdt=0%2C5&amp;q=Preparing+Students+for+Transition+to+University%3A+The+Role+of+Senior+high+Schools&amp;btnG=" TargetMode="External"/><Relationship Id="rId21" Type="http://schemas.openxmlformats.org/officeDocument/2006/relationships/hyperlink" Target="https://doi.org/10.1016/j.mex.2025.103163" TargetMode="External"/><Relationship Id="rId34" Type="http://schemas.openxmlformats.org/officeDocument/2006/relationships/hyperlink" Target="https://doi.org/10.55357/ijrs.v5i1.452" TargetMode="External"/><Relationship Id="rId42" Type="http://schemas.openxmlformats.org/officeDocument/2006/relationships/hyperlink" Target="https://doi.org/10.62945/jpgi.v1i2.679" TargetMode="External"/><Relationship Id="rId47" Type="http://schemas.openxmlformats.org/officeDocument/2006/relationships/hyperlink" Target="https://doi.org/10.1093/acrefore/9780190625979.013.844" TargetMode="External"/><Relationship Id="rId50" Type="http://schemas.openxmlformats.org/officeDocument/2006/relationships/hyperlink" Target="https://doi.org/10.22555/joeed.v12i2.1340"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scholar.google.com/scholar?hl=en&amp;as_sdt=0%2C5&amp;q=Differentiated+Instruction%3A+Tailoring+Learning+for+Diverse+Learners&amp;btnG=" TargetMode="External"/><Relationship Id="rId29" Type="http://schemas.openxmlformats.org/officeDocument/2006/relationships/hyperlink" Target="https://scholar.google.com/scholar?hl=en&amp;as_sdt=0%2C5&amp;q=Constructivist+Theories+of+Piaget+and+Vygotsky%3A+Implications+for+Pedagogical+Practices&amp;btnG=" TargetMode="External"/><Relationship Id="rId11" Type="http://schemas.openxmlformats.org/officeDocument/2006/relationships/hyperlink" Target="https://doi.org/10.46303/jcsr.2025.14" TargetMode="External"/><Relationship Id="rId24" Type="http://schemas.openxmlformats.org/officeDocument/2006/relationships/hyperlink" Target="https://doi.org/10.33394/jp.v10i2.6880" TargetMode="External"/><Relationship Id="rId32" Type="http://schemas.openxmlformats.org/officeDocument/2006/relationships/hyperlink" Target="https://doi.org/10.56738/issn29603986.geo2024.5.53" TargetMode="External"/><Relationship Id="rId37" Type="http://schemas.openxmlformats.org/officeDocument/2006/relationships/hyperlink" Target="https://issuances-library.senate.gov.ph/sites/default/files/2022-12/RA%207796.pdf" TargetMode="External"/><Relationship Id="rId40" Type="http://schemas.openxmlformats.org/officeDocument/2006/relationships/hyperlink" Target="https://doi.org/10.37134/ajatel.vol15.1.4.2025" TargetMode="External"/><Relationship Id="rId45" Type="http://schemas.openxmlformats.org/officeDocument/2006/relationships/hyperlink" Target="https://scholar.google.com/scholar?hl=en&amp;as_sdt=0%2C5&amp;q=Assessing+the+Readiness+of+TVL+Students+for+College+Education%3A+A+Basis+for+College+Education+Readiness+Program+&amp;btnG="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oi.org/10.1155/2022/4151487" TargetMode="External"/><Relationship Id="rId19" Type="http://schemas.openxmlformats.org/officeDocument/2006/relationships/hyperlink" Target="https://doi.org/10.3389/feduc.2024.1459979" TargetMode="External"/><Relationship Id="rId31" Type="http://schemas.openxmlformats.org/officeDocument/2006/relationships/hyperlink" Target="https://scholar.google.com/scholar?hl=en&amp;as_sdt=0%2C5&amp;q=Scaffolding+Techniques%3A+Supporting+Student+Progress+Step-By-Step&amp;btnG=" TargetMode="External"/><Relationship Id="rId44" Type="http://schemas.openxmlformats.org/officeDocument/2006/relationships/hyperlink" Target="https://doi.org/10.1109/ICBIR61386.2024.10875687"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holar.google.com/scholar?hl=en&amp;as_sdt=0%2C5&amp;q=%29.+Employability+Skills+of+Senior+High+School+Tech-Voc+Students%3A+A+Measure+of+Industry+Preparedness.+&amp;btnG=" TargetMode="External"/><Relationship Id="rId14" Type="http://schemas.openxmlformats.org/officeDocument/2006/relationships/hyperlink" Target="https://doi.org/10.1016/j.ssci.2021.105580" TargetMode="External"/><Relationship Id="rId22" Type="http://schemas.openxmlformats.org/officeDocument/2006/relationships/hyperlink" Target="https://doi.org/10.1007/s11251-021-09575-0" TargetMode="External"/><Relationship Id="rId27" Type="http://schemas.openxmlformats.org/officeDocument/2006/relationships/hyperlink" Target="https://doi.org/10.56855/ijcse.v2i1.248" TargetMode="External"/><Relationship Id="rId30" Type="http://schemas.openxmlformats.org/officeDocument/2006/relationships/hyperlink" Target="https://doi.org/10.3389/fsoc.2022.946683" TargetMode="External"/><Relationship Id="rId35" Type="http://schemas.openxmlformats.org/officeDocument/2006/relationships/hyperlink" Target="https://doi.org/10.54660/.IJMRGE.2025.6.2.1406-1415" TargetMode="External"/><Relationship Id="rId43" Type="http://schemas.openxmlformats.org/officeDocument/2006/relationships/hyperlink" Target="https://scholar.google.com/scholar?hl=en&amp;as_sdt=0%2C5&amp;q=The+Effect+of+Differentiation+Learning+Strategies+on+Student+Learning+Results+&amp;btnG=" TargetMode="External"/><Relationship Id="rId48" Type="http://schemas.openxmlformats.org/officeDocument/2006/relationships/hyperlink" Target="https://doi.org/10.32629/jher.v5i6.3382" TargetMode="External"/><Relationship Id="rId8" Type="http://schemas.openxmlformats.org/officeDocument/2006/relationships/hyperlink" Target="https://doi.org/10.5281/zenodo.17062499"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oi.org/10.21831/jpv.v12i1.41764" TargetMode="External"/><Relationship Id="rId17" Type="http://schemas.openxmlformats.org/officeDocument/2006/relationships/hyperlink" Target="https://doi.org/10.1063/5.0217764" TargetMode="External"/><Relationship Id="rId25" Type="http://schemas.openxmlformats.org/officeDocument/2006/relationships/hyperlink" Target="https://doi.org/10.3389/fpsyg.2022.968723" TargetMode="External"/><Relationship Id="rId33" Type="http://schemas.openxmlformats.org/officeDocument/2006/relationships/hyperlink" Target="https://doi.org/10.1186/s40359-025-02412-w" TargetMode="External"/><Relationship Id="rId38" Type="http://schemas.openxmlformats.org/officeDocument/2006/relationships/hyperlink" Target="https://lawphil.net/statutes/repacts/ra2013/ra_10533_2013.html" TargetMode="External"/><Relationship Id="rId46" Type="http://schemas.openxmlformats.org/officeDocument/2006/relationships/hyperlink" Target="https://scholar.google.com/scholar?hl=en&amp;as_sdt=0%2C5&amp;q=The+mediating+and+moderating+role+of+cognitive+engagement+in+the+relationship+between+prior+knowledge+and+learning+achievement+in+game-based+learning.+Educational+Technology+%26+Society&amp;btnG=" TargetMode="External"/><Relationship Id="rId20" Type="http://schemas.openxmlformats.org/officeDocument/2006/relationships/hyperlink" Target="https://doi.org/10.1080/13603116.2020.1812739" TargetMode="External"/><Relationship Id="rId41" Type="http://schemas.openxmlformats.org/officeDocument/2006/relationships/hyperlink" Target="https://doi.org/10.13140/RG.2.2.20824.26886/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holar.google.com/scholar?hl=en&amp;as_sdt=0%2C5&amp;q=Redefining+College+Readiness%2C+Educational+Policy+Improvement+Center+%28NJ1%29&amp;btnG=" TargetMode="External"/><Relationship Id="rId23" Type="http://schemas.openxmlformats.org/officeDocument/2006/relationships/hyperlink" Target="https://doi.org/10.62775/edukasia.v5i2.1371" TargetMode="External"/><Relationship Id="rId28" Type="http://schemas.openxmlformats.org/officeDocument/2006/relationships/hyperlink" Target="https://doi.org/10.3316/informit.T2025091900007891326081625" TargetMode="External"/><Relationship Id="rId36" Type="http://schemas.openxmlformats.org/officeDocument/2006/relationships/hyperlink" Target="https://elibrary.judiciary.gov.ph/thebookshelf/showdocs/2/2333" TargetMode="External"/><Relationship Id="rId49" Type="http://schemas.openxmlformats.org/officeDocument/2006/relationships/hyperlink" Target="https://scholar.google.com/scholar?hl=en&amp;as_sdt=0%2C5&amp;q=Influences+of+Gender%2C+Major+and+Age+Differences+on+Student+Engagement+in+Blended+Learning+Environment&amp;bt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23</Pages>
  <Words>13158</Words>
  <Characters>75002</Characters>
  <Application>Microsoft Office Word</Application>
  <DocSecurity>0</DocSecurity>
  <Lines>625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CHERENLIE APAS</cp:lastModifiedBy>
  <cp:revision>21</cp:revision>
  <dcterms:created xsi:type="dcterms:W3CDTF">2026-04-28T00:45:00Z</dcterms:created>
  <dcterms:modified xsi:type="dcterms:W3CDTF">2026-04-28T04:03:00Z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2024</vt:lpwstr>
  </property>
  <property fmtid="{D5CDD505-2E9C-101B-9397-08002B2CF9AE}" pid="4" name="LastSaved">
    <vt:filetime>2026-04-28T00:00:00Z</vt:filetime>
  </property>
  <property fmtid="{D5CDD505-2E9C-101B-9397-08002B2CF9AE}" pid="5" name="Producer">
    <vt:lpwstr>Microsoft® Word 2024</vt:lpwstr>
  </property>
</Properties>
</file>