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F04" w:rsidRPr="003F70DA" w:rsidRDefault="00456A01" w:rsidP="00F07F04">
      <w:pPr>
        <w:pStyle w:val="Heading1"/>
        <w:spacing w:before="0"/>
        <w:jc w:val="center"/>
        <w:rPr>
          <w:rFonts w:ascii="The new romans" w:hAnsi="The new romans"/>
          <w:color w:val="auto"/>
          <w:sz w:val="36"/>
          <w:szCs w:val="36"/>
        </w:rPr>
      </w:pPr>
      <w:r w:rsidRPr="003F70DA">
        <w:rPr>
          <w:rFonts w:ascii="The new romans" w:hAnsi="The new romans" w:cs="Arial"/>
          <w:color w:val="auto"/>
          <w:sz w:val="36"/>
          <w:szCs w:val="36"/>
        </w:rPr>
        <w:t xml:space="preserve">PREVALENCE, ANTIBIOTIC RESISTANCE PATTERN FOR </w:t>
      </w:r>
      <w:r w:rsidRPr="003F70DA">
        <w:rPr>
          <w:rStyle w:val="title-text"/>
          <w:rFonts w:ascii="The new romans" w:hAnsi="The new romans"/>
          <w:color w:val="auto"/>
          <w:sz w:val="36"/>
          <w:szCs w:val="36"/>
        </w:rPr>
        <w:t>ENTEROBACTERALES</w:t>
      </w:r>
    </w:p>
    <w:p w:rsidR="00A42E41" w:rsidRPr="003F70DA" w:rsidRDefault="00456A01" w:rsidP="00F07F04">
      <w:pPr>
        <w:pStyle w:val="Heading1"/>
        <w:shd w:val="clear" w:color="auto" w:fill="FFFFFF"/>
        <w:spacing w:before="0" w:line="450" w:lineRule="atLeast"/>
        <w:jc w:val="center"/>
        <w:rPr>
          <w:rFonts w:ascii="The new romans" w:hAnsi="The new romans" w:cs="Arial"/>
          <w:color w:val="auto"/>
          <w:sz w:val="36"/>
          <w:szCs w:val="36"/>
        </w:rPr>
      </w:pPr>
      <w:r w:rsidRPr="003F70DA">
        <w:rPr>
          <w:rFonts w:ascii="The new romans" w:hAnsi="The new romans" w:cs="Arial"/>
          <w:color w:val="auto"/>
          <w:sz w:val="36"/>
          <w:szCs w:val="36"/>
        </w:rPr>
        <w:t/>
      </w:r>
    </w:p>
    <w:p w:rsidR="00BE5629" w:rsidRPr="003F70DA" w:rsidRDefault="00BE5629" w:rsidP="00BE5629">
      <w:pPr>
        <w:rPr>
          <w:rFonts w:ascii="The new romans" w:hAnsi="The new romans"/>
        </w:rPr>
      </w:pPr>
    </w:p>
    <w:p w:rsidR="00A42E41" w:rsidRPr="003F70DA" w:rsidRDefault="009428AF" w:rsidP="00A42E41">
      <w:pPr>
        <w:spacing w:line="240" w:lineRule="auto"/>
        <w:jc w:val="center"/>
        <w:rPr>
          <w:rFonts w:ascii="The new romans" w:hAnsi="The new romans"/>
          <w:b/>
          <w:sz w:val="24"/>
          <w:szCs w:val="24"/>
        </w:rPr>
      </w:pPr>
      <w:r w:rsidRPr="003F70DA">
        <w:rPr>
          <w:rFonts w:ascii="The new romans" w:hAnsi="The new romans"/>
          <w:b/>
          <w:sz w:val="24"/>
          <w:szCs w:val="24"/>
        </w:rPr>
        <w:t xml:space="preserve"/>
      </w:r>
      <w:r w:rsidR="006D4A49" w:rsidRPr="003F70DA">
        <w:rPr>
          <w:rFonts w:ascii="The new romans" w:hAnsi="The new romans"/>
          <w:b/>
          <w:sz w:val="24"/>
          <w:szCs w:val="24"/>
        </w:rPr>
        <w:t/>
      </w:r>
      <w:r w:rsidR="006D4A49" w:rsidRPr="003F70DA">
        <w:rPr>
          <w:rFonts w:ascii="The new romans" w:hAnsi="The new romans"/>
          <w:b/>
          <w:sz w:val="24"/>
          <w:szCs w:val="24"/>
          <w:vertAlign w:val="superscript"/>
        </w:rPr>
        <w:t xml:space="preserve"/>
      </w:r>
      <w:r w:rsidR="006D4A49" w:rsidRPr="003F70DA">
        <w:rPr>
          <w:rFonts w:ascii="The new romans" w:hAnsi="The new romans"/>
          <w:b/>
          <w:sz w:val="24"/>
          <w:szCs w:val="24"/>
        </w:rPr>
        <w:t/>
      </w:r>
      <w:r w:rsidR="00A42E41" w:rsidRPr="003F70DA">
        <w:rPr>
          <w:rFonts w:ascii="The new romans" w:hAnsi="The new romans"/>
          <w:b/>
          <w:sz w:val="24"/>
          <w:szCs w:val="24"/>
        </w:rPr>
        <w:t xml:space="preserve"/>
      </w:r>
      <w:r w:rsidRPr="003F70DA">
        <w:rPr>
          <w:rFonts w:ascii="The new romans" w:hAnsi="The new romans"/>
          <w:b/>
          <w:sz w:val="24"/>
          <w:szCs w:val="24"/>
        </w:rPr>
        <w:t/>
      </w:r>
      <w:r w:rsidR="00A42E41" w:rsidRPr="003F70DA">
        <w:rPr>
          <w:rFonts w:ascii="The new romans" w:hAnsi="The new romans"/>
          <w:b/>
          <w:sz w:val="24"/>
          <w:szCs w:val="24"/>
          <w:vertAlign w:val="superscript"/>
        </w:rPr>
        <w:t/>
      </w:r>
      <w:r w:rsidRPr="003F70DA">
        <w:rPr>
          <w:rFonts w:ascii="The new romans" w:hAnsi="The new romans"/>
          <w:b/>
          <w:sz w:val="24"/>
          <w:szCs w:val="24"/>
          <w:vertAlign w:val="superscript"/>
        </w:rPr>
        <w:t/>
      </w:r>
    </w:p>
    <w:p w:rsidR="00A42E41" w:rsidRPr="003F70DA" w:rsidRDefault="00A42E41" w:rsidP="009428AF">
      <w:pPr>
        <w:pStyle w:val="Default"/>
        <w:spacing w:line="480" w:lineRule="auto"/>
        <w:jc w:val="center"/>
        <w:rPr>
          <w:rFonts w:ascii="The new romans" w:hAnsi="The new romans"/>
          <w:b/>
          <w:color w:val="auto"/>
          <w:sz w:val="20"/>
          <w:szCs w:val="20"/>
        </w:rPr>
      </w:pPr>
      <w:r w:rsidRPr="003F70DA">
        <w:rPr>
          <w:rFonts w:ascii="The new romans" w:hAnsi="The new romans"/>
          <w:b/>
          <w:color w:val="auto"/>
          <w:sz w:val="20"/>
          <w:szCs w:val="20"/>
        </w:rPr>
        <w:t xml:space="preserve"/>
      </w:r>
      <w:r w:rsidR="009428AF" w:rsidRPr="003F70DA">
        <w:rPr>
          <w:rFonts w:ascii="The new romans" w:hAnsi="The new romans"/>
          <w:b/>
          <w:color w:val="auto"/>
          <w:sz w:val="20"/>
          <w:szCs w:val="20"/>
        </w:rPr>
        <w:t/>
      </w:r>
    </w:p>
    <w:p w:rsidR="00A42E41" w:rsidRPr="003F70DA" w:rsidRDefault="00A42E41" w:rsidP="009428AF">
      <w:pPr>
        <w:spacing w:line="360" w:lineRule="auto"/>
        <w:jc w:val="center"/>
        <w:rPr>
          <w:rFonts w:ascii="The new romans" w:hAnsi="The new romans"/>
          <w:b/>
          <w:sz w:val="20"/>
          <w:szCs w:val="20"/>
        </w:rPr>
      </w:pPr>
      <w:r w:rsidRPr="003F70DA">
        <w:rPr>
          <w:rFonts w:ascii="The new romans" w:hAnsi="The new romans"/>
          <w:b/>
          <w:sz w:val="20"/>
          <w:szCs w:val="20"/>
        </w:rPr>
        <w:t/>
      </w:r>
      <w:r w:rsidR="00744AC4">
        <w:rPr>
          <w:rFonts w:ascii="The new romans" w:hAnsi="The new romans"/>
          <w:b/>
          <w:sz w:val="20"/>
          <w:szCs w:val="20"/>
        </w:rPr>
        <w:t/>
      </w:r>
      <w:r w:rsidRPr="003F70DA">
        <w:rPr>
          <w:rFonts w:ascii="The new romans" w:hAnsi="The new romans"/>
          <w:b/>
          <w:sz w:val="20"/>
          <w:szCs w:val="20"/>
        </w:rPr>
        <w:t xml:space="preserve"/>
      </w:r>
      <w:r w:rsidR="009428AF" w:rsidRPr="003F70DA">
        <w:rPr>
          <w:rFonts w:ascii="The new romans" w:hAnsi="The new romans"/>
          <w:b/>
          <w:sz w:val="20"/>
          <w:szCs w:val="20"/>
        </w:rPr>
        <w:t/>
      </w:r>
    </w:p>
    <w:p w:rsidR="00A42E41" w:rsidRPr="003F70DA" w:rsidRDefault="00A42E41" w:rsidP="00A42E41">
      <w:pPr>
        <w:spacing w:line="480" w:lineRule="auto"/>
        <w:jc w:val="center"/>
        <w:rPr>
          <w:rFonts w:ascii="The new romans" w:hAnsi="The new romans"/>
          <w:b/>
        </w:rPr>
      </w:pPr>
      <w:r w:rsidRPr="003F70DA">
        <w:rPr>
          <w:rFonts w:ascii="The new romans" w:hAnsi="The new romans"/>
          <w:b/>
          <w:sz w:val="24"/>
          <w:szCs w:val="24"/>
        </w:rPr>
        <w:t xml:space="preserve"/>
      </w:r>
      <w:hyperlink r:id="rId8" w:history="1">
        <w:r w:rsidRPr="003F70DA">
          <w:rPr>
            <w:rStyle w:val="Hyperlink"/>
            <w:rFonts w:ascii="The new romans" w:hAnsi="The new romans"/>
            <w:color w:val="auto"/>
            <w:sz w:val="24"/>
            <w:szCs w:val="24"/>
          </w:rPr>
          <w:t/>
        </w:r>
      </w:hyperlink>
    </w:p>
    <w:p w:rsidR="00A42E41" w:rsidRPr="003F70DA" w:rsidRDefault="00A42E41" w:rsidP="00A42E41">
      <w:pPr>
        <w:jc w:val="both"/>
        <w:rPr>
          <w:rFonts w:ascii="The new romans" w:hAnsi="The new romans" w:cs="Times New Roman"/>
          <w:b/>
          <w:sz w:val="28"/>
          <w:szCs w:val="28"/>
          <w:u w:val="single"/>
        </w:rPr>
      </w:pPr>
      <w:r w:rsidRPr="003F70DA">
        <w:rPr>
          <w:rFonts w:ascii="The new romans" w:hAnsi="The new romans" w:cs="Times New Roman"/>
          <w:b/>
          <w:sz w:val="28"/>
          <w:szCs w:val="28"/>
          <w:u w:val="single"/>
        </w:rPr>
        <w:t>ABSTRACT</w:t>
      </w:r>
    </w:p>
    <w:p w:rsidR="009F7D40" w:rsidRPr="003F70DA" w:rsidRDefault="009F7D40" w:rsidP="009F7D40">
      <w:pPr>
        <w:shd w:val="clear" w:color="auto" w:fill="FFFFFF"/>
        <w:spacing w:after="0" w:line="480" w:lineRule="auto"/>
        <w:jc w:val="both"/>
        <w:rPr>
          <w:rFonts w:ascii="The new romans" w:eastAsia="Times New Roman" w:hAnsi="The new romans" w:cs="Arial"/>
          <w:sz w:val="24"/>
          <w:szCs w:val="24"/>
          <w:lang w:eastAsia="en-IN"/>
        </w:rPr>
      </w:pPr>
      <w:r w:rsidRPr="003F70DA">
        <w:rPr>
          <w:rFonts w:ascii="The new romans" w:eastAsia="Times New Roman" w:hAnsi="The new romans" w:cs="Arial"/>
          <w:sz w:val="24"/>
          <w:szCs w:val="24"/>
          <w:lang w:eastAsia="en-IN"/>
        </w:rPr>
        <w:t xml:space="preserve"> Urinary tract infections (UTIs) are highly prevalent in the elderly population (&gt;50–65 years), often presenting with high morbidity due to age-related </w:t>
      </w:r>
      <w:r w:rsidR="008176F5" w:rsidRPr="003F70DA">
        <w:rPr>
          <w:rFonts w:ascii="The new romans" w:eastAsia="Times New Roman" w:hAnsi="The new romans" w:cs="Arial"/>
          <w:sz w:val="24"/>
          <w:szCs w:val="24"/>
          <w:lang w:eastAsia="en-IN"/>
        </w:rPr>
        <w:t>co morbidities</w:t>
      </w:r>
      <w:r w:rsidRPr="003F70DA">
        <w:rPr>
          <w:rFonts w:ascii="The new romans" w:eastAsia="Times New Roman" w:hAnsi="The new romans" w:cs="Arial"/>
          <w:sz w:val="24"/>
          <w:szCs w:val="24"/>
          <w:lang w:eastAsia="en-IN"/>
        </w:rPr>
        <w:t xml:space="preserve"> and increased exposure to healthcare settings. Enterobacterales are the leading cause of these infections, with rising rates of multi-drug resistance (MDR). </w:t>
      </w:r>
    </w:p>
    <w:p w:rsidR="008236AB" w:rsidRPr="003F70DA" w:rsidRDefault="008236AB" w:rsidP="009F7D40">
      <w:pPr>
        <w:shd w:val="clear" w:color="auto" w:fill="FFFFFF"/>
        <w:spacing w:after="0" w:line="480" w:lineRule="auto"/>
        <w:jc w:val="both"/>
        <w:rPr>
          <w:rFonts w:ascii="The new romans" w:eastAsia="Times New Roman" w:hAnsi="The new romans" w:cs="Arial"/>
          <w:sz w:val="24"/>
          <w:szCs w:val="24"/>
          <w:lang w:eastAsia="en-IN"/>
        </w:rPr>
      </w:pPr>
      <w:r w:rsidRPr="003F70DA">
        <w:rPr>
          <w:rFonts w:ascii="The new romans" w:hAnsi="The new romans"/>
          <w:sz w:val="24"/>
          <w:szCs w:val="24"/>
        </w:rPr>
        <w:t>Urinary tract infections (UTIs) are common in elderly patients and present a very significant public health concern, particularly due to the increasing prevalence of antibiotic-resistant pathogens. This study aims to assess the prevalence of UTI-causing pathogens and their antibiotic resistance patterns in an above 50 years population.</w:t>
      </w:r>
    </w:p>
    <w:p w:rsidR="009F7D40" w:rsidRPr="003F70DA" w:rsidRDefault="009F7D40" w:rsidP="009F7D40">
      <w:pPr>
        <w:pStyle w:val="NormalWeb"/>
        <w:spacing w:line="480" w:lineRule="auto"/>
        <w:ind w:right="-720"/>
        <w:jc w:val="both"/>
        <w:rPr>
          <w:rFonts w:ascii="The new romans" w:hAnsi="The new romans" w:cs="Arial"/>
          <w:color w:val="auto"/>
          <w:sz w:val="24"/>
          <w:szCs w:val="24"/>
          <w:shd w:val="clear" w:color="auto" w:fill="FFFFFF"/>
        </w:rPr>
      </w:pPr>
      <w:r w:rsidRPr="003F70DA">
        <w:rPr>
          <w:rFonts w:ascii="The new romans" w:hAnsi="The new romans" w:cs="Arial"/>
          <w:color w:val="auto"/>
          <w:sz w:val="24"/>
          <w:szCs w:val="24"/>
          <w:shd w:val="clear" w:color="auto" w:fill="FFFFFF"/>
        </w:rPr>
        <w:t>Antibiotic resistance presents a significant global public health challenge, particularly for urinary tract infections (UTIs), and is notably severe in developing countries. Surveillance of the antimicrobial susceptibility patterns of UTI</w:t>
      </w:r>
      <w:r w:rsidRPr="003F70DA">
        <w:rPr>
          <w:rFonts w:ascii="The new romans" w:hAnsi="The new romans" w:cs="Cambria Math"/>
          <w:color w:val="auto"/>
          <w:sz w:val="24"/>
          <w:szCs w:val="24"/>
          <w:shd w:val="clear" w:color="auto" w:fill="FFFFFF"/>
        </w:rPr>
        <w:t>‐</w:t>
      </w:r>
      <w:r w:rsidRPr="003F70DA">
        <w:rPr>
          <w:rFonts w:ascii="The new romans" w:hAnsi="The new romans" w:cs="Arial"/>
          <w:color w:val="auto"/>
          <w:sz w:val="24"/>
          <w:szCs w:val="24"/>
          <w:shd w:val="clear" w:color="auto" w:fill="FFFFFF"/>
        </w:rPr>
        <w:t>causing bacteria is crucial for effective treatment selection. This study aimed to analyze these patterns in enterobacteriaceae isolated from the urine samples of patients at Serum Analysis Center Pvt.Ltd</w:t>
      </w:r>
      <w:r w:rsidR="00E75346">
        <w:rPr>
          <w:rFonts w:ascii="The new romans" w:hAnsi="The new romans" w:cs="Arial"/>
          <w:color w:val="auto"/>
          <w:sz w:val="24"/>
          <w:szCs w:val="24"/>
          <w:shd w:val="clear" w:color="auto" w:fill="FFFFFF"/>
        </w:rPr>
        <w:t xml:space="preserve">., Howrah, West Bengal, India from January 2026 to March 2026; </w:t>
      </w:r>
      <w:r w:rsidRPr="003F70DA">
        <w:rPr>
          <w:rFonts w:ascii="The new romans" w:hAnsi="The new romans" w:cs="Arial"/>
          <w:color w:val="auto"/>
          <w:sz w:val="24"/>
          <w:szCs w:val="24"/>
          <w:shd w:val="clear" w:color="auto" w:fill="FFFFFF"/>
        </w:rPr>
        <w:t xml:space="preserve"> examined clinical and laboratory data from patients with positive urine cultures (≥10⁵ CFU/mL). The </w:t>
      </w:r>
      <w:r w:rsidR="00E75346" w:rsidRPr="003F70DA">
        <w:rPr>
          <w:rFonts w:ascii="The new romans" w:hAnsi="The new romans" w:cs="Arial"/>
          <w:color w:val="auto"/>
          <w:sz w:val="24"/>
          <w:szCs w:val="24"/>
          <w:shd w:val="clear" w:color="auto" w:fill="FFFFFF"/>
        </w:rPr>
        <w:t>study patients age</w:t>
      </w:r>
      <w:r w:rsidRPr="003F70DA">
        <w:rPr>
          <w:rFonts w:ascii="The new romans" w:hAnsi="The new romans" w:cs="Arial"/>
          <w:color w:val="auto"/>
          <w:sz w:val="24"/>
          <w:szCs w:val="24"/>
          <w:shd w:val="clear" w:color="auto" w:fill="FFFFFF"/>
        </w:rPr>
        <w:t xml:space="preserve"> old adults (&gt;50 years).  </w:t>
      </w:r>
      <w:r w:rsidRPr="003F70DA">
        <w:rPr>
          <w:rFonts w:ascii="The new romans" w:hAnsi="The new romans"/>
          <w:color w:val="auto"/>
          <w:sz w:val="24"/>
          <w:szCs w:val="24"/>
        </w:rPr>
        <w:t xml:space="preserve">The Vitek® 2 systems is an </w:t>
      </w:r>
      <w:r w:rsidRPr="003F70DA">
        <w:rPr>
          <w:rFonts w:ascii="The new romans" w:hAnsi="The new romans"/>
          <w:color w:val="auto"/>
          <w:sz w:val="24"/>
          <w:szCs w:val="24"/>
        </w:rPr>
        <w:lastRenderedPageBreak/>
        <w:t>automated, rapid, and accurate method for determining the </w:t>
      </w:r>
      <w:hyperlink r:id="rId9" w:tgtFrame="_blank" w:history="1">
        <w:r w:rsidRPr="003F70DA">
          <w:rPr>
            <w:rStyle w:val="Hyperlink"/>
            <w:rFonts w:ascii="The new romans" w:eastAsiaTheme="majorEastAsia" w:hAnsi="The new romans" w:cs="Arial"/>
            <w:color w:val="auto"/>
            <w:sz w:val="24"/>
            <w:szCs w:val="24"/>
            <w:u w:val="none"/>
            <w:shd w:val="clear" w:color="auto" w:fill="FFFFFF"/>
          </w:rPr>
          <w:t>Minimum Inhibitory Concentration (MIC)</w:t>
        </w:r>
      </w:hyperlink>
      <w:r w:rsidRPr="003F70DA">
        <w:rPr>
          <w:rFonts w:ascii="The new romans" w:hAnsi="The new romans" w:cs="Arial"/>
          <w:color w:val="auto"/>
          <w:sz w:val="24"/>
          <w:szCs w:val="24"/>
          <w:shd w:val="clear" w:color="auto" w:fill="FFFFFF"/>
        </w:rPr>
        <w:t xml:space="preserve"> method was used to ass</w:t>
      </w:r>
      <w:r w:rsidR="00E75346">
        <w:rPr>
          <w:rFonts w:ascii="The new romans" w:hAnsi="The new romans" w:cs="Arial"/>
          <w:color w:val="auto"/>
          <w:sz w:val="24"/>
          <w:szCs w:val="24"/>
          <w:shd w:val="clear" w:color="auto" w:fill="FFFFFF"/>
        </w:rPr>
        <w:t xml:space="preserve">ess antibiotic sensitivity to </w:t>
      </w:r>
      <w:r w:rsidRPr="003F70DA">
        <w:rPr>
          <w:rFonts w:ascii="The new romans" w:hAnsi="The new romans" w:cs="Arial"/>
          <w:color w:val="auto"/>
          <w:sz w:val="24"/>
          <w:szCs w:val="24"/>
          <w:shd w:val="clear" w:color="auto" w:fill="FFFFFF"/>
        </w:rPr>
        <w:t>common antibiotics.</w:t>
      </w:r>
    </w:p>
    <w:p w:rsidR="009F7D40" w:rsidRDefault="009F7D40" w:rsidP="009F7D40">
      <w:pPr>
        <w:shd w:val="clear" w:color="auto" w:fill="FFFFFF"/>
        <w:spacing w:after="0" w:line="480" w:lineRule="auto"/>
        <w:jc w:val="both"/>
        <w:rPr>
          <w:rFonts w:ascii="The new romans" w:eastAsia="Times New Roman" w:hAnsi="The new romans" w:cs="Arial"/>
          <w:b/>
          <w:bCs/>
          <w:sz w:val="24"/>
          <w:szCs w:val="24"/>
          <w:lang w:eastAsia="en-IN"/>
        </w:rPr>
      </w:pPr>
      <w:r w:rsidRPr="003F70DA">
        <w:rPr>
          <w:rFonts w:ascii="The new romans" w:eastAsia="Times New Roman" w:hAnsi="The new romans" w:cs="Arial"/>
          <w:b/>
          <w:bCs/>
          <w:sz w:val="24"/>
          <w:szCs w:val="24"/>
          <w:lang w:eastAsia="en-IN"/>
        </w:rPr>
        <w:t>Results:</w:t>
      </w:r>
    </w:p>
    <w:p w:rsidR="006C501F" w:rsidRDefault="006C501F" w:rsidP="009F7D40">
      <w:pPr>
        <w:shd w:val="clear" w:color="auto" w:fill="FFFFFF"/>
        <w:spacing w:after="0" w:line="480" w:lineRule="auto"/>
        <w:jc w:val="both"/>
        <w:rPr>
          <w:rFonts w:ascii="The new romans" w:eastAsia="Times New Roman" w:hAnsi="The new romans" w:cs="Arial"/>
          <w:b/>
          <w:bCs/>
          <w:sz w:val="24"/>
          <w:szCs w:val="24"/>
          <w:lang w:eastAsia="en-IN"/>
        </w:rPr>
      </w:pPr>
      <w:r>
        <w:rPr>
          <w:rFonts w:ascii="The new romans" w:eastAsia="Times New Roman" w:hAnsi="The new romans" w:cs="Arial"/>
          <w:b/>
          <w:bCs/>
          <w:sz w:val="24"/>
          <w:szCs w:val="24"/>
          <w:lang w:eastAsia="en-IN"/>
        </w:rPr>
        <w:t xml:space="preserve">In our study positive culture growth shows in </w:t>
      </w:r>
      <w:r w:rsidRPr="006C501F">
        <w:rPr>
          <w:rFonts w:ascii="The new romans" w:hAnsi="The new romans" w:cs="Arial"/>
          <w:b/>
          <w:sz w:val="24"/>
          <w:szCs w:val="24"/>
          <w:shd w:val="clear" w:color="auto" w:fill="FFFFFF"/>
        </w:rPr>
        <w:t>enterobacteriaceae</w:t>
      </w:r>
      <w:r>
        <w:rPr>
          <w:rFonts w:ascii="The new romans" w:eastAsia="Times New Roman" w:hAnsi="The new romans" w:cs="Arial"/>
          <w:b/>
          <w:bCs/>
          <w:sz w:val="24"/>
          <w:szCs w:val="24"/>
          <w:lang w:eastAsia="en-IN"/>
        </w:rPr>
        <w:t xml:space="preserve"> group</w:t>
      </w:r>
      <w:r w:rsidRPr="006C501F">
        <w:rPr>
          <w:rFonts w:ascii="The new romans" w:eastAsia="Times New Roman" w:hAnsi="The new romans" w:cs="Arial"/>
          <w:b/>
          <w:bCs/>
          <w:sz w:val="24"/>
          <w:szCs w:val="24"/>
          <w:lang w:eastAsia="en-IN"/>
        </w:rPr>
        <w:t xml:space="preserve"> </w:t>
      </w:r>
      <w:r>
        <w:rPr>
          <w:rFonts w:ascii="The new romans" w:eastAsia="Times New Roman" w:hAnsi="The new romans" w:cs="Arial"/>
          <w:b/>
          <w:bCs/>
          <w:sz w:val="24"/>
          <w:szCs w:val="24"/>
          <w:lang w:eastAsia="en-IN"/>
        </w:rPr>
        <w:t>66 (19.88%) from 332 total samples of age group &gt; 50 to 59 years and 215 (31.25%) from 688 total samples of age group &gt;60 years.</w:t>
      </w:r>
    </w:p>
    <w:p w:rsidR="00E75346" w:rsidRPr="002C0A47" w:rsidRDefault="008C5FC6" w:rsidP="002C0A47">
      <w:pPr>
        <w:pStyle w:val="ListParagraph"/>
        <w:spacing w:line="480" w:lineRule="auto"/>
        <w:ind w:left="0"/>
        <w:jc w:val="both"/>
        <w:rPr>
          <w:rFonts w:ascii="The new romans" w:hAnsi="The new romans"/>
          <w:b/>
          <w:sz w:val="24"/>
          <w:szCs w:val="24"/>
        </w:rPr>
      </w:pPr>
      <w:r>
        <w:rPr>
          <w:rFonts w:ascii="The new romans" w:eastAsia="Times New Roman" w:hAnsi="The new romans" w:cs="Arial"/>
          <w:b/>
          <w:bCs/>
          <w:sz w:val="24"/>
          <w:szCs w:val="24"/>
          <w:lang w:eastAsia="en-IN"/>
        </w:rPr>
        <w:t xml:space="preserve">In this study all </w:t>
      </w:r>
      <w:r w:rsidRPr="006C501F">
        <w:rPr>
          <w:rFonts w:ascii="The new romans" w:hAnsi="The new romans" w:cs="Arial"/>
          <w:b/>
          <w:sz w:val="24"/>
          <w:szCs w:val="24"/>
          <w:shd w:val="clear" w:color="auto" w:fill="FFFFFF"/>
        </w:rPr>
        <w:t>enterobacteriaceae</w:t>
      </w:r>
      <w:r>
        <w:rPr>
          <w:rFonts w:ascii="The new romans" w:hAnsi="The new romans" w:cs="Arial"/>
          <w:b/>
          <w:sz w:val="24"/>
          <w:szCs w:val="24"/>
          <w:shd w:val="clear" w:color="auto" w:fill="FFFFFF"/>
        </w:rPr>
        <w:t xml:space="preserve"> bacteria shows </w:t>
      </w:r>
      <w:r w:rsidR="00255256">
        <w:rPr>
          <w:rFonts w:ascii="The new romans" w:hAnsi="The new romans" w:cs="Arial"/>
          <w:b/>
          <w:sz w:val="24"/>
          <w:szCs w:val="24"/>
          <w:shd w:val="clear" w:color="auto" w:fill="FFFFFF"/>
        </w:rPr>
        <w:t xml:space="preserve">increasing </w:t>
      </w:r>
      <w:r>
        <w:rPr>
          <w:rFonts w:ascii="The new romans" w:hAnsi="The new romans" w:cs="Arial"/>
          <w:b/>
          <w:sz w:val="24"/>
          <w:szCs w:val="24"/>
          <w:shd w:val="clear" w:color="auto" w:fill="FFFFFF"/>
        </w:rPr>
        <w:t>resistance</w:t>
      </w:r>
      <w:r w:rsidR="00255256">
        <w:rPr>
          <w:rFonts w:ascii="The new romans" w:hAnsi="The new romans" w:cs="Arial"/>
          <w:b/>
          <w:sz w:val="24"/>
          <w:szCs w:val="24"/>
          <w:shd w:val="clear" w:color="auto" w:fill="FFFFFF"/>
        </w:rPr>
        <w:t xml:space="preserve"> rate of antibiotics in both age groups are Amxycillin/ clavulanic acid, Cephalosporis group</w:t>
      </w:r>
      <w:r w:rsidR="00FC5FE3">
        <w:rPr>
          <w:rFonts w:ascii="The new romans" w:hAnsi="The new romans" w:cs="Arial"/>
          <w:b/>
          <w:sz w:val="24"/>
          <w:szCs w:val="24"/>
          <w:shd w:val="clear" w:color="auto" w:fill="FFFFFF"/>
        </w:rPr>
        <w:t xml:space="preserve">, </w:t>
      </w:r>
      <w:r w:rsidR="002C0A47">
        <w:rPr>
          <w:rFonts w:ascii="The new romans" w:hAnsi="The new romans"/>
          <w:b/>
          <w:sz w:val="24"/>
          <w:szCs w:val="24"/>
        </w:rPr>
        <w:t xml:space="preserve">Quinolones </w:t>
      </w:r>
      <w:r w:rsidR="002C0A47" w:rsidRPr="003F70DA">
        <w:rPr>
          <w:rFonts w:ascii="The new romans" w:hAnsi="The new romans"/>
          <w:b/>
          <w:sz w:val="24"/>
          <w:szCs w:val="24"/>
        </w:rPr>
        <w:t>[</w:t>
      </w:r>
      <w:r w:rsidR="002C0A47">
        <w:rPr>
          <w:rFonts w:ascii="The new romans" w:hAnsi="The new romans"/>
          <w:b/>
          <w:sz w:val="24"/>
          <w:szCs w:val="24"/>
        </w:rPr>
        <w:t xml:space="preserve">Fluoroquinolones] </w:t>
      </w:r>
      <w:r w:rsidR="00FC5FE3" w:rsidRPr="003F70DA">
        <w:rPr>
          <w:rFonts w:ascii="The new romans" w:hAnsi="The new romans"/>
          <w:b/>
          <w:sz w:val="24"/>
          <w:szCs w:val="24"/>
        </w:rPr>
        <w:t>group</w:t>
      </w:r>
      <w:r w:rsidR="00FC5FE3">
        <w:rPr>
          <w:rFonts w:ascii="The new romans" w:hAnsi="The new romans" w:cs="Arial"/>
          <w:b/>
          <w:sz w:val="24"/>
          <w:szCs w:val="24"/>
          <w:shd w:val="clear" w:color="auto" w:fill="FFFFFF"/>
        </w:rPr>
        <w:t xml:space="preserve"> and</w:t>
      </w:r>
      <w:r w:rsidR="00255256">
        <w:rPr>
          <w:rFonts w:ascii="The new romans" w:hAnsi="The new romans" w:cs="Arial"/>
          <w:b/>
          <w:sz w:val="24"/>
          <w:szCs w:val="24"/>
          <w:shd w:val="clear" w:color="auto" w:fill="FFFFFF"/>
        </w:rPr>
        <w:t xml:space="preserve"> Colistin. </w:t>
      </w:r>
    </w:p>
    <w:p w:rsidR="001D70F5" w:rsidRPr="003F70DA" w:rsidRDefault="001D70F5" w:rsidP="009F7D40">
      <w:pPr>
        <w:spacing w:line="480" w:lineRule="auto"/>
        <w:jc w:val="both"/>
        <w:rPr>
          <w:rFonts w:ascii="The new romans" w:eastAsia="Times New Roman" w:hAnsi="The new romans" w:cs="Arial"/>
          <w:sz w:val="24"/>
          <w:szCs w:val="24"/>
          <w:lang w:eastAsia="en-IN"/>
        </w:rPr>
      </w:pPr>
      <w:r w:rsidRPr="003F70DA">
        <w:rPr>
          <w:rFonts w:ascii="The new romans" w:hAnsi="The new romans"/>
          <w:sz w:val="24"/>
          <w:szCs w:val="24"/>
        </w:rPr>
        <w:t>The findings underscore the need for ongoing surveillance and tailored antibiotic therapy to effectively manage UTIs in this vulnerable population.</w:t>
      </w:r>
    </w:p>
    <w:p w:rsidR="009F7D40" w:rsidRPr="003F70DA" w:rsidRDefault="009F7D40" w:rsidP="009F7D40">
      <w:pPr>
        <w:spacing w:line="480" w:lineRule="auto"/>
        <w:jc w:val="both"/>
        <w:rPr>
          <w:rFonts w:ascii="The new romans" w:hAnsi="The new romans"/>
          <w:b/>
          <w:sz w:val="28"/>
          <w:szCs w:val="28"/>
        </w:rPr>
      </w:pPr>
      <w:r w:rsidRPr="003F70DA">
        <w:rPr>
          <w:rFonts w:ascii="The new romans" w:hAnsi="The new romans"/>
          <w:b/>
          <w:sz w:val="28"/>
          <w:szCs w:val="28"/>
        </w:rPr>
        <w:t xml:space="preserve">Keywords: </w:t>
      </w:r>
    </w:p>
    <w:p w:rsidR="0087153B" w:rsidRPr="003F70DA" w:rsidRDefault="0014792B" w:rsidP="008236AB">
      <w:pPr>
        <w:pStyle w:val="NormalWeb"/>
        <w:spacing w:line="480" w:lineRule="auto"/>
        <w:ind w:right="-720"/>
        <w:jc w:val="both"/>
        <w:rPr>
          <w:rFonts w:ascii="The new romans" w:hAnsi="The new romans" w:cs="Arial"/>
          <w:b/>
          <w:color w:val="auto"/>
          <w:sz w:val="24"/>
          <w:szCs w:val="24"/>
          <w:shd w:val="clear" w:color="auto" w:fill="FFFFFF"/>
        </w:rPr>
      </w:pPr>
      <w:r w:rsidRPr="003F70DA">
        <w:rPr>
          <w:rFonts w:ascii="The new romans" w:hAnsi="The new romans" w:cs="Arial"/>
          <w:b/>
          <w:color w:val="auto"/>
          <w:sz w:val="24"/>
          <w:szCs w:val="24"/>
          <w:shd w:val="clear" w:color="auto" w:fill="FFFFFF"/>
        </w:rPr>
        <w:t>Enterobacterales; UTI; Old Adult Patients (&gt;50 years); Antibiotic Resistance.</w:t>
      </w:r>
    </w:p>
    <w:p w:rsidR="00DE0B84" w:rsidRDefault="00DE0B84" w:rsidP="008236AB">
      <w:pPr>
        <w:pStyle w:val="NormalWeb"/>
        <w:spacing w:line="480" w:lineRule="auto"/>
        <w:ind w:right="-720"/>
        <w:jc w:val="both"/>
        <w:rPr>
          <w:rFonts w:ascii="The new romans" w:hAnsi="The new romans" w:cs="Arial"/>
          <w:b/>
          <w:color w:val="auto"/>
          <w:sz w:val="24"/>
          <w:szCs w:val="24"/>
          <w:shd w:val="clear" w:color="auto" w:fill="FFFFFF"/>
        </w:rPr>
      </w:pPr>
    </w:p>
    <w:p w:rsidR="00667186" w:rsidRDefault="00667186" w:rsidP="008236AB">
      <w:pPr>
        <w:pStyle w:val="NormalWeb"/>
        <w:spacing w:line="480" w:lineRule="auto"/>
        <w:ind w:right="-720"/>
        <w:jc w:val="both"/>
        <w:rPr>
          <w:rFonts w:ascii="The new romans" w:hAnsi="The new romans" w:cs="Arial"/>
          <w:b/>
          <w:color w:val="auto"/>
          <w:sz w:val="24"/>
          <w:szCs w:val="24"/>
          <w:shd w:val="clear" w:color="auto" w:fill="FFFFFF"/>
        </w:rPr>
      </w:pPr>
    </w:p>
    <w:p w:rsidR="00667186" w:rsidRDefault="00667186" w:rsidP="008236AB">
      <w:pPr>
        <w:pStyle w:val="NormalWeb"/>
        <w:spacing w:line="480" w:lineRule="auto"/>
        <w:ind w:right="-720"/>
        <w:jc w:val="both"/>
        <w:rPr>
          <w:rFonts w:ascii="The new romans" w:hAnsi="The new romans" w:cs="Arial"/>
          <w:b/>
          <w:color w:val="auto"/>
          <w:sz w:val="24"/>
          <w:szCs w:val="24"/>
          <w:shd w:val="clear" w:color="auto" w:fill="FFFFFF"/>
        </w:rPr>
      </w:pPr>
    </w:p>
    <w:p w:rsidR="00667186" w:rsidRDefault="00667186" w:rsidP="008236AB">
      <w:pPr>
        <w:pStyle w:val="NormalWeb"/>
        <w:spacing w:line="480" w:lineRule="auto"/>
        <w:ind w:right="-720"/>
        <w:jc w:val="both"/>
        <w:rPr>
          <w:rFonts w:ascii="The new romans" w:hAnsi="The new romans" w:cs="Arial"/>
          <w:b/>
          <w:color w:val="auto"/>
          <w:sz w:val="24"/>
          <w:szCs w:val="24"/>
          <w:shd w:val="clear" w:color="auto" w:fill="FFFFFF"/>
        </w:rPr>
      </w:pPr>
    </w:p>
    <w:p w:rsidR="00667186" w:rsidRDefault="00667186" w:rsidP="008236AB">
      <w:pPr>
        <w:pStyle w:val="NormalWeb"/>
        <w:spacing w:line="480" w:lineRule="auto"/>
        <w:ind w:right="-720"/>
        <w:jc w:val="both"/>
        <w:rPr>
          <w:rFonts w:ascii="The new romans" w:hAnsi="The new romans" w:cs="Arial"/>
          <w:b/>
          <w:color w:val="auto"/>
          <w:sz w:val="24"/>
          <w:szCs w:val="24"/>
          <w:shd w:val="clear" w:color="auto" w:fill="FFFFFF"/>
        </w:rPr>
      </w:pPr>
    </w:p>
    <w:p w:rsidR="00667186" w:rsidRDefault="00667186" w:rsidP="008236AB">
      <w:pPr>
        <w:pStyle w:val="NormalWeb"/>
        <w:spacing w:line="480" w:lineRule="auto"/>
        <w:ind w:right="-720"/>
        <w:jc w:val="both"/>
        <w:rPr>
          <w:rFonts w:ascii="The new romans" w:hAnsi="The new romans" w:cs="Arial"/>
          <w:b/>
          <w:color w:val="auto"/>
          <w:sz w:val="24"/>
          <w:szCs w:val="24"/>
          <w:shd w:val="clear" w:color="auto" w:fill="FFFFFF"/>
        </w:rPr>
      </w:pPr>
    </w:p>
    <w:p w:rsidR="00667186" w:rsidRPr="003F70DA" w:rsidRDefault="00667186" w:rsidP="008236AB">
      <w:pPr>
        <w:pStyle w:val="NormalWeb"/>
        <w:spacing w:line="480" w:lineRule="auto"/>
        <w:ind w:right="-720"/>
        <w:jc w:val="both"/>
        <w:rPr>
          <w:rFonts w:ascii="The new romans" w:hAnsi="The new romans" w:cs="Arial"/>
          <w:b/>
          <w:color w:val="auto"/>
          <w:sz w:val="24"/>
          <w:szCs w:val="24"/>
          <w:shd w:val="clear" w:color="auto" w:fill="FFFFFF"/>
        </w:rPr>
      </w:pPr>
    </w:p>
    <w:p w:rsidR="00A42E41" w:rsidRPr="003F70DA" w:rsidRDefault="00A42E41" w:rsidP="00A42E41">
      <w:pPr>
        <w:autoSpaceDE w:val="0"/>
        <w:autoSpaceDN w:val="0"/>
        <w:adjustRightInd w:val="0"/>
        <w:spacing w:after="0" w:line="480" w:lineRule="auto"/>
        <w:jc w:val="both"/>
        <w:rPr>
          <w:rFonts w:ascii="The new romans" w:hAnsi="The new romans" w:cs="Times New Roman"/>
          <w:b/>
          <w:bCs/>
          <w:sz w:val="28"/>
          <w:szCs w:val="28"/>
          <w:u w:val="single"/>
        </w:rPr>
      </w:pPr>
      <w:r w:rsidRPr="003F70DA">
        <w:rPr>
          <w:rFonts w:ascii="The new romans" w:hAnsi="The new romans" w:cs="Times New Roman"/>
          <w:b/>
          <w:bCs/>
          <w:sz w:val="28"/>
          <w:szCs w:val="28"/>
          <w:u w:val="single"/>
        </w:rPr>
        <w:t>INTRODUCTION</w:t>
      </w:r>
    </w:p>
    <w:p w:rsidR="003F70DA" w:rsidRPr="003F70DA" w:rsidRDefault="003F70DA" w:rsidP="003F70DA">
      <w:pPr>
        <w:autoSpaceDE w:val="0"/>
        <w:autoSpaceDN w:val="0"/>
        <w:adjustRightInd w:val="0"/>
        <w:spacing w:after="0" w:line="480" w:lineRule="auto"/>
        <w:jc w:val="both"/>
        <w:rPr>
          <w:rFonts w:ascii="Times New Roman" w:hAnsi="Times New Roman"/>
          <w:sz w:val="24"/>
          <w:szCs w:val="24"/>
        </w:rPr>
      </w:pPr>
      <w:r w:rsidRPr="003F70DA">
        <w:rPr>
          <w:rFonts w:ascii="Times New Roman" w:hAnsi="Times New Roman"/>
          <w:sz w:val="24"/>
          <w:szCs w:val="24"/>
        </w:rPr>
        <w:t>Urinary tract infection is a common problem worldwide. Urinary tract infections (UTI) is one of the most important causes of morbidity and mortality in the developing countries like India. Urinary tract infections (UTIs) are counted among the most common infections in children. Urinary tract infections (UTI) are among the most frequently acquired infections in the community, but also in hospitals and other health care institutions, causing a huge amount of antibiotic consumption. During the last decade we have seen significant changes in the field of urinary tract infections regarding causative pathogens and antibiotic treatment calling for an update of current trends.</w:t>
      </w:r>
    </w:p>
    <w:p w:rsidR="003F70DA" w:rsidRPr="003F70DA" w:rsidRDefault="003F70DA" w:rsidP="003F70DA">
      <w:pPr>
        <w:spacing w:line="480" w:lineRule="auto"/>
        <w:jc w:val="both"/>
        <w:rPr>
          <w:rStyle w:val="vkekvd"/>
          <w:rFonts w:ascii="The new romans" w:hAnsi="The new romans" w:cs="Arial"/>
          <w:shd w:val="clear" w:color="auto" w:fill="FFFFFF"/>
        </w:rPr>
      </w:pPr>
      <w:r w:rsidRPr="003F70DA">
        <w:rPr>
          <w:rFonts w:ascii="The new romans" w:hAnsi="The new romans"/>
          <w:sz w:val="24"/>
          <w:szCs w:val="24"/>
        </w:rPr>
        <w:t>Enterobacterales, primarily </w:t>
      </w:r>
      <w:r w:rsidRPr="003F70DA">
        <w:rPr>
          <w:rStyle w:val="Emphasis"/>
          <w:rFonts w:ascii="The new romans" w:hAnsi="The new romans" w:cs="Arial"/>
          <w:sz w:val="24"/>
          <w:szCs w:val="24"/>
          <w:shd w:val="clear" w:color="auto" w:fill="FFFFFF"/>
        </w:rPr>
        <w:t>Escherichia coli</w:t>
      </w:r>
      <w:r w:rsidRPr="003F70DA">
        <w:rPr>
          <w:rFonts w:ascii="The new romans" w:hAnsi="The new romans" w:cs="Arial"/>
          <w:sz w:val="24"/>
          <w:szCs w:val="24"/>
          <w:shd w:val="clear" w:color="auto" w:fill="FFFFFF"/>
        </w:rPr>
        <w:t> and </w:t>
      </w:r>
      <w:r w:rsidRPr="003F70DA">
        <w:rPr>
          <w:rStyle w:val="Emphasis"/>
          <w:rFonts w:ascii="The new romans" w:hAnsi="The new romans" w:cs="Arial"/>
          <w:sz w:val="24"/>
          <w:szCs w:val="24"/>
          <w:shd w:val="clear" w:color="auto" w:fill="FFFFFF"/>
        </w:rPr>
        <w:t>Klebsiella pneumoniae</w:t>
      </w:r>
      <w:r w:rsidRPr="003F70DA">
        <w:rPr>
          <w:rFonts w:ascii="The new romans" w:hAnsi="The new romans" w:cs="Arial"/>
          <w:sz w:val="24"/>
          <w:szCs w:val="24"/>
          <w:shd w:val="clear" w:color="auto" w:fill="FFFFFF"/>
        </w:rPr>
        <w:t>, are the leading causes of UTIs in patients over 50, with a </w:t>
      </w:r>
      <w:r w:rsidRPr="003F70DA">
        <w:rPr>
          <w:rFonts w:ascii="The new romans" w:hAnsi="The new romans"/>
          <w:sz w:val="24"/>
          <w:szCs w:val="24"/>
        </w:rPr>
        <w:t>high prevalence of 34% or more in this age group, often exacerbated by comorbidities</w:t>
      </w:r>
      <w:r w:rsidRPr="003F70DA">
        <w:rPr>
          <w:rFonts w:ascii="The new romans" w:hAnsi="The new romans" w:cs="Arial"/>
          <w:sz w:val="24"/>
          <w:szCs w:val="24"/>
          <w:shd w:val="clear" w:color="auto" w:fill="FFFFFF"/>
        </w:rPr>
        <w:t>. Resistance to commonly used antibiotics like ampicillin, ciprofloxacin, and TMP/SMX is very high, frequently exceeding 50-80%. There is a significant, increasing trend of ESBL-producing and multi-drug resistant (MDR) isolates in the elderly population.</w:t>
      </w:r>
      <w:r w:rsidRPr="003F70DA">
        <w:rPr>
          <w:rStyle w:val="vkekvd"/>
          <w:rFonts w:ascii="The new romans" w:hAnsi="The new romans" w:cs="Arial"/>
          <w:sz w:val="24"/>
          <w:szCs w:val="24"/>
          <w:shd w:val="clear" w:color="auto" w:fill="FFFFFF"/>
        </w:rPr>
        <w:t> </w:t>
      </w:r>
    </w:p>
    <w:p w:rsidR="003F70DA" w:rsidRPr="003F70DA" w:rsidRDefault="003F70DA" w:rsidP="003F70DA">
      <w:pPr>
        <w:spacing w:line="480" w:lineRule="auto"/>
        <w:jc w:val="both"/>
        <w:rPr>
          <w:rFonts w:ascii="The new romans" w:hAnsi="The new romans"/>
          <w:sz w:val="24"/>
          <w:szCs w:val="24"/>
        </w:rPr>
      </w:pPr>
      <w:r w:rsidRPr="003F70DA">
        <w:rPr>
          <w:rFonts w:ascii="The new romans" w:hAnsi="The new romans"/>
          <w:sz w:val="24"/>
          <w:szCs w:val="24"/>
        </w:rPr>
        <w:t>Urinary tract infections (UTIs) are among the most common infections affecting the elderly population, particularly those residing in long-term care facilities or with chronic comorbid conditions.[1] The incidence of UTIs increases with age, primarily due to age-related physiological changes, weakened immune systems, and the presence of underlying conditions such as diabetes and benign prostatic hyperplasia in men.[2] In elderly patients, UTIs can lead to serious complications, including urosepsis and acute kidney injury, making prompt and effective treatment essential.[3]</w:t>
      </w:r>
    </w:p>
    <w:p w:rsidR="003F70DA" w:rsidRPr="003F70DA" w:rsidRDefault="003F70DA" w:rsidP="003F70DA">
      <w:pPr>
        <w:spacing w:line="480" w:lineRule="auto"/>
        <w:jc w:val="both"/>
        <w:rPr>
          <w:rStyle w:val="vkekvd"/>
          <w:rFonts w:ascii="The new romans" w:hAnsi="The new romans" w:cs="Arial"/>
          <w:sz w:val="24"/>
          <w:szCs w:val="24"/>
          <w:shd w:val="clear" w:color="auto" w:fill="FFFFFF"/>
        </w:rPr>
      </w:pPr>
    </w:p>
    <w:p w:rsidR="003F70DA" w:rsidRPr="003F70DA" w:rsidRDefault="003F70DA" w:rsidP="003F70DA">
      <w:pPr>
        <w:shd w:val="clear" w:color="auto" w:fill="FFFFFF"/>
        <w:spacing w:after="0" w:line="480" w:lineRule="auto"/>
        <w:jc w:val="both"/>
        <w:rPr>
          <w:rFonts w:eastAsia="Times New Roman"/>
          <w:lang w:eastAsia="en-IN"/>
        </w:rPr>
      </w:pPr>
      <w:r w:rsidRPr="003F70DA">
        <w:rPr>
          <w:rFonts w:ascii="The new romans" w:eastAsia="Times New Roman" w:hAnsi="The new romans" w:cs="Arial"/>
          <w:sz w:val="24"/>
          <w:szCs w:val="24"/>
          <w:lang w:eastAsia="en-IN"/>
        </w:rPr>
        <w:t>In patients over 50 years with UTIs, Enterobacterales (especially </w:t>
      </w:r>
      <w:r w:rsidR="00D60DAF">
        <w:rPr>
          <w:rFonts w:ascii="The new romans" w:eastAsia="Times New Roman" w:hAnsi="The new romans" w:cs="Arial"/>
          <w:i/>
          <w:iCs/>
          <w:sz w:val="24"/>
          <w:szCs w:val="24"/>
          <w:lang w:eastAsia="en-IN"/>
        </w:rPr>
        <w:t>Escherichia</w:t>
      </w:r>
      <w:r w:rsidRPr="003F70DA">
        <w:rPr>
          <w:rFonts w:ascii="The new romans" w:eastAsia="Times New Roman" w:hAnsi="The new romans" w:cs="Arial"/>
          <w:i/>
          <w:iCs/>
          <w:sz w:val="24"/>
          <w:szCs w:val="24"/>
          <w:lang w:eastAsia="en-IN"/>
        </w:rPr>
        <w:t xml:space="preserve"> coli</w:t>
      </w:r>
      <w:r w:rsidRPr="003F70DA">
        <w:rPr>
          <w:rFonts w:ascii="The new romans" w:eastAsia="Times New Roman" w:hAnsi="The new romans" w:cs="Arial"/>
          <w:sz w:val="24"/>
          <w:szCs w:val="24"/>
          <w:lang w:eastAsia="en-IN"/>
        </w:rPr>
        <w:t> and </w:t>
      </w:r>
      <w:r w:rsidR="00D60DAF">
        <w:rPr>
          <w:rFonts w:ascii="The new romans" w:eastAsia="Times New Roman" w:hAnsi="The new romans" w:cs="Arial"/>
          <w:i/>
          <w:iCs/>
          <w:sz w:val="24"/>
          <w:szCs w:val="24"/>
          <w:lang w:eastAsia="en-IN"/>
        </w:rPr>
        <w:t>Klebsiella</w:t>
      </w:r>
      <w:r w:rsidRPr="003F70DA">
        <w:rPr>
          <w:rFonts w:ascii="The new romans" w:eastAsia="Times New Roman" w:hAnsi="The new romans" w:cs="Arial"/>
          <w:i/>
          <w:iCs/>
          <w:sz w:val="24"/>
          <w:szCs w:val="24"/>
          <w:lang w:eastAsia="en-IN"/>
        </w:rPr>
        <w:t xml:space="preserve"> pneumoniae</w:t>
      </w:r>
      <w:r w:rsidRPr="003F70DA">
        <w:rPr>
          <w:rFonts w:ascii="The new romans" w:eastAsia="Times New Roman" w:hAnsi="The new romans" w:cs="Arial"/>
          <w:sz w:val="24"/>
          <w:szCs w:val="24"/>
          <w:lang w:eastAsia="en-IN"/>
        </w:rPr>
        <w:t>) show high prevalence and significant resistance, with up to 75% resisting common antibiotics like trimethoprim and piperacillin</w:t>
      </w:r>
      <w:r w:rsidR="0070403D">
        <w:rPr>
          <w:rFonts w:ascii="The new romans" w:eastAsia="Times New Roman" w:hAnsi="The new romans" w:cs="Arial"/>
          <w:sz w:val="24"/>
          <w:szCs w:val="24"/>
          <w:lang w:eastAsia="en-IN"/>
        </w:rPr>
        <w:t>/Tazobactam</w:t>
      </w:r>
      <w:r w:rsidRPr="003F70DA">
        <w:rPr>
          <w:rFonts w:ascii="The new romans" w:eastAsia="Times New Roman" w:hAnsi="The new romans" w:cs="Arial"/>
          <w:sz w:val="24"/>
          <w:szCs w:val="24"/>
          <w:lang w:eastAsia="en-IN"/>
        </w:rPr>
        <w:t xml:space="preserve">. </w:t>
      </w:r>
      <w:r w:rsidR="0070403D">
        <w:rPr>
          <w:rFonts w:ascii="The new romans" w:eastAsia="Times New Roman" w:hAnsi="The new romans" w:cs="Arial"/>
          <w:sz w:val="24"/>
          <w:szCs w:val="24"/>
          <w:lang w:eastAsia="en-IN"/>
        </w:rPr>
        <w:t xml:space="preserve"> </w:t>
      </w:r>
      <w:r w:rsidRPr="003F70DA">
        <w:rPr>
          <w:rFonts w:ascii="The new romans" w:eastAsia="Times New Roman" w:hAnsi="The new romans" w:cs="Arial"/>
          <w:sz w:val="24"/>
          <w:szCs w:val="24"/>
          <w:lang w:eastAsia="en-IN"/>
        </w:rPr>
        <w:t>Resistance is particularly high in institutionalized elderly patients, with &gt;35% non-susceptible to 3rd-generation cephalosporins and rising carbapenem resistance. </w:t>
      </w:r>
    </w:p>
    <w:p w:rsidR="003F70DA" w:rsidRPr="003F70DA" w:rsidRDefault="003F70DA" w:rsidP="003F70DA">
      <w:pPr>
        <w:shd w:val="clear" w:color="auto" w:fill="FFFFFF"/>
        <w:spacing w:after="0" w:line="480" w:lineRule="auto"/>
        <w:jc w:val="both"/>
        <w:rPr>
          <w:rFonts w:ascii="The new romans" w:eastAsia="Times New Roman" w:hAnsi="The new romans" w:cs="Arial"/>
          <w:sz w:val="24"/>
          <w:szCs w:val="24"/>
          <w:lang w:eastAsia="en-IN"/>
        </w:rPr>
      </w:pPr>
      <w:r w:rsidRPr="003F70DA">
        <w:rPr>
          <w:rFonts w:ascii="The new romans" w:eastAsia="Times New Roman" w:hAnsi="The new romans" w:cs="Arial"/>
          <w:sz w:val="24"/>
          <w:szCs w:val="24"/>
          <w:lang w:eastAsia="en-IN"/>
        </w:rPr>
        <w:t>The use of antibiotics in patients over 50 is heavily impacted by rising resistance, making the management of UTIs a complex, and high-risk endeavor that requires careful, individualized treatment decisions based on recent exposure history and laboratory testing to mitigate the risk of severe complications. </w:t>
      </w:r>
    </w:p>
    <w:p w:rsidR="003F70DA" w:rsidRPr="003F70DA" w:rsidRDefault="00D60DAF" w:rsidP="003F70DA">
      <w:pPr>
        <w:shd w:val="clear" w:color="auto" w:fill="FFFFFF"/>
        <w:spacing w:after="0" w:line="480" w:lineRule="auto"/>
        <w:jc w:val="both"/>
        <w:rPr>
          <w:rFonts w:ascii="The new romans" w:eastAsia="Times New Roman" w:hAnsi="The new romans" w:cs="Arial"/>
          <w:sz w:val="24"/>
          <w:szCs w:val="24"/>
          <w:lang w:eastAsia="en-IN"/>
        </w:rPr>
      </w:pPr>
      <w:r>
        <w:rPr>
          <w:rFonts w:ascii="The new romans" w:eastAsia="Times New Roman" w:hAnsi="The new romans" w:cs="Arial"/>
          <w:sz w:val="24"/>
          <w:szCs w:val="24"/>
          <w:lang w:eastAsia="en-IN"/>
        </w:rPr>
        <w:t xml:space="preserve">In </w:t>
      </w:r>
      <w:r w:rsidR="003F70DA" w:rsidRPr="003F70DA">
        <w:rPr>
          <w:rFonts w:ascii="The new romans" w:eastAsia="Times New Roman" w:hAnsi="The new romans" w:cs="Arial"/>
          <w:sz w:val="24"/>
          <w:szCs w:val="24"/>
          <w:lang w:eastAsia="en-IN"/>
        </w:rPr>
        <w:t xml:space="preserve"> old</w:t>
      </w:r>
      <w:r>
        <w:rPr>
          <w:rFonts w:ascii="The new romans" w:eastAsia="Times New Roman" w:hAnsi="The new romans" w:cs="Arial"/>
          <w:sz w:val="24"/>
          <w:szCs w:val="24"/>
          <w:lang w:eastAsia="en-IN"/>
        </w:rPr>
        <w:t xml:space="preserve"> adult patients</w:t>
      </w:r>
      <w:r w:rsidR="003F70DA" w:rsidRPr="003F70DA">
        <w:rPr>
          <w:rFonts w:ascii="The new romans" w:eastAsia="Times New Roman" w:hAnsi="The new romans" w:cs="Arial"/>
          <w:sz w:val="24"/>
          <w:szCs w:val="24"/>
          <w:lang w:eastAsia="en-IN"/>
        </w:rPr>
        <w:t xml:space="preserve"> with urinary tract infections (UTIs), antibiotic resistance is a significant challenge, with a high prevalence of </w:t>
      </w:r>
      <w:r w:rsidR="003F70DA" w:rsidRPr="003F70DA">
        <w:rPr>
          <w:rFonts w:ascii="The new romans" w:eastAsia="Times New Roman" w:hAnsi="The new romans" w:cs="Arial"/>
          <w:b/>
          <w:bCs/>
          <w:sz w:val="24"/>
          <w:szCs w:val="24"/>
          <w:lang w:eastAsia="en-IN"/>
        </w:rPr>
        <w:t>multidrug-resistant (MDR)</w:t>
      </w:r>
      <w:r w:rsidR="003F70DA" w:rsidRPr="003F70DA">
        <w:rPr>
          <w:rFonts w:ascii="The new romans" w:eastAsia="Times New Roman" w:hAnsi="The new romans" w:cs="Arial"/>
          <w:sz w:val="24"/>
          <w:szCs w:val="24"/>
          <w:lang w:eastAsia="en-IN"/>
        </w:rPr>
        <w:t> and </w:t>
      </w:r>
      <w:r w:rsidR="003F70DA" w:rsidRPr="003F70DA">
        <w:rPr>
          <w:rFonts w:ascii="The new romans" w:eastAsia="Times New Roman" w:hAnsi="The new romans" w:cs="Arial"/>
          <w:b/>
          <w:bCs/>
          <w:sz w:val="24"/>
          <w:szCs w:val="24"/>
          <w:lang w:eastAsia="en-IN"/>
        </w:rPr>
        <w:t>extended-spectrum beta-lactamase (ESBL)-producing</w:t>
      </w:r>
      <w:r w:rsidR="003F70DA" w:rsidRPr="003F70DA">
        <w:rPr>
          <w:rFonts w:ascii="The new romans" w:eastAsia="Times New Roman" w:hAnsi="The new romans" w:cs="Arial"/>
          <w:sz w:val="24"/>
          <w:szCs w:val="24"/>
          <w:lang w:eastAsia="en-IN"/>
        </w:rPr>
        <w:t> pathogens, especially </w:t>
      </w:r>
      <w:r>
        <w:rPr>
          <w:rFonts w:ascii="The new romans" w:eastAsia="Times New Roman" w:hAnsi="The new romans" w:cs="Arial"/>
          <w:i/>
          <w:iCs/>
          <w:sz w:val="24"/>
          <w:szCs w:val="24"/>
          <w:lang w:eastAsia="en-IN"/>
        </w:rPr>
        <w:t>Escherichia</w:t>
      </w:r>
      <w:r w:rsidR="003F70DA" w:rsidRPr="003F70DA">
        <w:rPr>
          <w:rFonts w:ascii="The new romans" w:eastAsia="Times New Roman" w:hAnsi="The new romans" w:cs="Arial"/>
          <w:i/>
          <w:iCs/>
          <w:sz w:val="24"/>
          <w:szCs w:val="24"/>
          <w:lang w:eastAsia="en-IN"/>
        </w:rPr>
        <w:t xml:space="preserve"> coli</w:t>
      </w:r>
      <w:r w:rsidR="003F70DA" w:rsidRPr="003F70DA">
        <w:rPr>
          <w:rFonts w:ascii="The new romans" w:eastAsia="Times New Roman" w:hAnsi="The new romans" w:cs="Arial"/>
          <w:sz w:val="24"/>
          <w:szCs w:val="24"/>
          <w:lang w:eastAsia="en-IN"/>
        </w:rPr>
        <w:t>. Resistance rates are notably higher in this age group due to increased comorbidity, previous antibiotic use, and potential for hospital-acquired infections. </w:t>
      </w:r>
    </w:p>
    <w:p w:rsidR="003F70DA" w:rsidRPr="009A2533" w:rsidRDefault="003F70DA" w:rsidP="00A42E41">
      <w:pPr>
        <w:autoSpaceDE w:val="0"/>
        <w:autoSpaceDN w:val="0"/>
        <w:adjustRightInd w:val="0"/>
        <w:spacing w:after="0" w:line="480" w:lineRule="auto"/>
        <w:jc w:val="both"/>
        <w:rPr>
          <w:rFonts w:ascii="The new romans" w:hAnsi="The new romans"/>
          <w:sz w:val="24"/>
          <w:szCs w:val="24"/>
        </w:rPr>
      </w:pPr>
      <w:r w:rsidRPr="003F70DA">
        <w:rPr>
          <w:rFonts w:ascii="The new romans" w:hAnsi="The new romans"/>
          <w:sz w:val="24"/>
          <w:szCs w:val="24"/>
        </w:rPr>
        <w:t>Appropriate use of antibiotics is the most important interventable factor in fight against AMR.[4] Thus, antimicrobial stewardship programs and societies published guidelines for defining appropriate treatments in each stage of UTIs.[5–8] On the other hand, antibiotic consumption trends and policies vary among countries which cause different susceptibility patterns that may lead to varia</w:t>
      </w:r>
      <w:r w:rsidR="00D60DAF">
        <w:rPr>
          <w:rFonts w:ascii="The new romans" w:hAnsi="The new romans"/>
          <w:sz w:val="24"/>
          <w:szCs w:val="24"/>
        </w:rPr>
        <w:t>ble therapies.[9] Recently</w:t>
      </w:r>
      <w:r w:rsidRPr="003F70DA">
        <w:rPr>
          <w:rFonts w:ascii="The new romans" w:hAnsi="The new romans"/>
          <w:sz w:val="24"/>
          <w:szCs w:val="24"/>
        </w:rPr>
        <w:t xml:space="preserve"> AMR showing increasing ratios of Enterobacterales producing extended-spectrum β-lactamases (ESBL), AmpC β-lactamases, and carbapenemases along with other resistance mechanisms threaten public health.[10] The European Committee on Antimicrobial Susceptibility Testing (EUCAST) is the reference method to apply and interpret AMST results, which is strongly recommended to monitor years by even local facilities.[ 11,12] The aim of this study is to share AMR status of our tertiary </w:t>
      </w:r>
      <w:r w:rsidR="0070403D" w:rsidRPr="003F70DA">
        <w:rPr>
          <w:rFonts w:ascii="The new romans" w:hAnsi="The new romans"/>
          <w:sz w:val="24"/>
          <w:szCs w:val="24"/>
        </w:rPr>
        <w:t>centre</w:t>
      </w:r>
      <w:r w:rsidRPr="003F70DA">
        <w:rPr>
          <w:rFonts w:ascii="The new romans" w:hAnsi="The new romans"/>
          <w:sz w:val="24"/>
          <w:szCs w:val="24"/>
        </w:rPr>
        <w:t xml:space="preserve"> in urine isolates and to observe whether there is a significant alteration, or not.</w:t>
      </w:r>
    </w:p>
    <w:p w:rsidR="00A42E41" w:rsidRPr="003F70DA" w:rsidRDefault="00A42E41" w:rsidP="00A42E41">
      <w:pPr>
        <w:spacing w:line="480" w:lineRule="auto"/>
        <w:rPr>
          <w:rFonts w:ascii="The new romans" w:hAnsi="The new romans"/>
          <w:b/>
          <w:sz w:val="28"/>
          <w:szCs w:val="28"/>
          <w:u w:val="single"/>
        </w:rPr>
      </w:pPr>
      <w:r w:rsidRPr="003F70DA">
        <w:rPr>
          <w:rFonts w:ascii="The new romans" w:hAnsi="The new romans"/>
          <w:b/>
          <w:sz w:val="28"/>
          <w:szCs w:val="28"/>
          <w:u w:val="single"/>
        </w:rPr>
        <w:t xml:space="preserve">MATERIALS AND METHODS </w:t>
      </w:r>
    </w:p>
    <w:p w:rsidR="00504997" w:rsidRPr="003F70DA" w:rsidRDefault="00504997" w:rsidP="00504997">
      <w:pPr>
        <w:pStyle w:val="Heading2"/>
        <w:spacing w:line="480" w:lineRule="auto"/>
        <w:jc w:val="both"/>
        <w:rPr>
          <w:rFonts w:ascii="The new romans" w:hAnsi="The new romans"/>
          <w:color w:val="auto"/>
          <w:sz w:val="28"/>
          <w:szCs w:val="28"/>
          <w:u w:val="single"/>
        </w:rPr>
      </w:pPr>
      <w:r w:rsidRPr="003F70DA">
        <w:rPr>
          <w:rFonts w:ascii="The new romans" w:hAnsi="The new romans"/>
          <w:color w:val="auto"/>
          <w:sz w:val="28"/>
          <w:szCs w:val="28"/>
          <w:u w:val="single"/>
        </w:rPr>
        <w:t xml:space="preserve"> STUDY AREA:  </w:t>
      </w:r>
    </w:p>
    <w:p w:rsidR="002150EE" w:rsidRPr="003F70DA" w:rsidRDefault="00504997" w:rsidP="00504997">
      <w:pPr>
        <w:spacing w:line="480" w:lineRule="auto"/>
        <w:jc w:val="both"/>
        <w:rPr>
          <w:rFonts w:ascii="The new romans" w:hAnsi="The new romans"/>
          <w:b/>
          <w:sz w:val="24"/>
          <w:szCs w:val="24"/>
        </w:rPr>
      </w:pPr>
      <w:r w:rsidRPr="003F70DA">
        <w:rPr>
          <w:rFonts w:ascii="The new romans" w:hAnsi="The new romans"/>
          <w:b/>
          <w:sz w:val="24"/>
          <w:szCs w:val="24"/>
        </w:rPr>
        <w:t>The present retrospective study was carried out in the Referral Laboratory, Serum Analysis Centre Pvt. Ltd.; 177, Netaji Subhas Road, Halder Para, Howrah-711101, West Bengal, India.</w:t>
      </w:r>
    </w:p>
    <w:p w:rsidR="00504997" w:rsidRPr="003F70DA" w:rsidRDefault="00504997" w:rsidP="00504997">
      <w:pPr>
        <w:spacing w:line="480" w:lineRule="auto"/>
        <w:jc w:val="both"/>
        <w:rPr>
          <w:rFonts w:ascii="The new romans" w:hAnsi="The new romans"/>
          <w:b/>
          <w:sz w:val="28"/>
          <w:szCs w:val="28"/>
          <w:u w:val="single"/>
        </w:rPr>
      </w:pPr>
      <w:r w:rsidRPr="003F70DA">
        <w:rPr>
          <w:rFonts w:ascii="The new romans" w:hAnsi="The new romans"/>
          <w:b/>
          <w:sz w:val="28"/>
          <w:szCs w:val="28"/>
          <w:u w:val="single"/>
        </w:rPr>
        <w:t>STUDY PERIOD:</w:t>
      </w:r>
    </w:p>
    <w:p w:rsidR="005B583D" w:rsidRPr="003F70DA" w:rsidRDefault="00504997" w:rsidP="00065111">
      <w:pPr>
        <w:pStyle w:val="Heading2"/>
        <w:spacing w:line="480" w:lineRule="auto"/>
        <w:jc w:val="both"/>
        <w:rPr>
          <w:rFonts w:ascii="The new romans" w:hAnsi="The new romans"/>
          <w:b w:val="0"/>
          <w:color w:val="auto"/>
          <w:sz w:val="24"/>
          <w:szCs w:val="24"/>
        </w:rPr>
      </w:pPr>
      <w:r w:rsidRPr="003F70DA">
        <w:rPr>
          <w:rFonts w:ascii="The new romans" w:hAnsi="The new romans"/>
          <w:b w:val="0"/>
          <w:color w:val="auto"/>
          <w:sz w:val="24"/>
          <w:szCs w:val="24"/>
        </w:rPr>
        <w:t>This study was carried out a period of Three months from January 2026 to March 2026.</w:t>
      </w:r>
    </w:p>
    <w:p w:rsidR="00504997" w:rsidRPr="003F70DA" w:rsidRDefault="00504997" w:rsidP="00504997">
      <w:pPr>
        <w:pStyle w:val="NormalWeb"/>
        <w:spacing w:line="480" w:lineRule="auto"/>
        <w:ind w:right="-720"/>
        <w:jc w:val="both"/>
        <w:rPr>
          <w:rFonts w:ascii="The new romans" w:hAnsi="The new romans"/>
          <w:b/>
          <w:bCs/>
          <w:color w:val="auto"/>
          <w:sz w:val="28"/>
          <w:szCs w:val="28"/>
          <w:u w:val="single"/>
        </w:rPr>
      </w:pPr>
      <w:r w:rsidRPr="003F70DA">
        <w:rPr>
          <w:rFonts w:ascii="The new romans" w:hAnsi="The new romans"/>
          <w:b/>
          <w:bCs/>
          <w:color w:val="auto"/>
          <w:sz w:val="28"/>
          <w:szCs w:val="28"/>
          <w:u w:val="single"/>
        </w:rPr>
        <w:t xml:space="preserve"> STUDY SAMPLES:          </w:t>
      </w:r>
    </w:p>
    <w:p w:rsidR="00504997" w:rsidRPr="003F70DA" w:rsidRDefault="00504997" w:rsidP="00504997">
      <w:pPr>
        <w:pStyle w:val="NormalWeb"/>
        <w:spacing w:line="480" w:lineRule="auto"/>
        <w:ind w:right="-720"/>
        <w:jc w:val="both"/>
        <w:rPr>
          <w:rFonts w:ascii="The new romans" w:hAnsi="The new romans"/>
          <w:bCs/>
          <w:color w:val="auto"/>
          <w:sz w:val="24"/>
          <w:szCs w:val="24"/>
        </w:rPr>
      </w:pPr>
      <w:r w:rsidRPr="003F70DA">
        <w:rPr>
          <w:rFonts w:ascii="The new romans" w:hAnsi="The new romans"/>
          <w:bCs/>
          <w:color w:val="auto"/>
          <w:sz w:val="24"/>
          <w:szCs w:val="24"/>
        </w:rPr>
        <w:t xml:space="preserve">The inclusion criteria for this study in all old adult patients above 50 years age of both sexes of outpatients of urine sample.                                                                                                                                                                                                                                                                                         </w:t>
      </w:r>
    </w:p>
    <w:p w:rsidR="00504997" w:rsidRPr="003F70DA" w:rsidRDefault="00504997" w:rsidP="00504997">
      <w:pPr>
        <w:pStyle w:val="Heading2"/>
        <w:spacing w:line="480" w:lineRule="auto"/>
        <w:jc w:val="both"/>
        <w:rPr>
          <w:rFonts w:ascii="The new romans" w:hAnsi="The new romans"/>
          <w:color w:val="auto"/>
          <w:sz w:val="28"/>
          <w:szCs w:val="28"/>
          <w:u w:val="single"/>
        </w:rPr>
      </w:pPr>
      <w:r w:rsidRPr="003F70DA">
        <w:rPr>
          <w:rFonts w:ascii="The new romans" w:hAnsi="The new romans"/>
          <w:color w:val="auto"/>
          <w:sz w:val="28"/>
          <w:szCs w:val="28"/>
          <w:u w:val="single"/>
        </w:rPr>
        <w:t xml:space="preserve"> COLLECTION OF URINE SAMPLES:</w:t>
      </w:r>
    </w:p>
    <w:p w:rsidR="009A2533" w:rsidRPr="003F70DA" w:rsidRDefault="00504997" w:rsidP="00504997">
      <w:pPr>
        <w:spacing w:line="480" w:lineRule="auto"/>
        <w:jc w:val="both"/>
        <w:rPr>
          <w:rFonts w:ascii="The new romans" w:hAnsi="The new romans"/>
          <w:sz w:val="24"/>
          <w:szCs w:val="24"/>
        </w:rPr>
      </w:pPr>
      <w:r w:rsidRPr="003F70DA">
        <w:rPr>
          <w:rFonts w:ascii="The new romans" w:hAnsi="The new romans"/>
          <w:sz w:val="24"/>
          <w:szCs w:val="24"/>
        </w:rPr>
        <w:t>Early morning mid-stream urine samples were collected using sterile, wide mouthed con</w:t>
      </w:r>
      <w:r w:rsidR="009A77A3" w:rsidRPr="003F70DA">
        <w:rPr>
          <w:rFonts w:ascii="The new romans" w:hAnsi="The new romans"/>
          <w:sz w:val="24"/>
          <w:szCs w:val="24"/>
        </w:rPr>
        <w:t>tainer with screw cap tops. [13</w:t>
      </w:r>
      <w:r w:rsidRPr="003F70DA">
        <w:rPr>
          <w:rFonts w:ascii="The new romans" w:hAnsi="The new romans"/>
          <w:sz w:val="24"/>
          <w:szCs w:val="24"/>
        </w:rPr>
        <w:t xml:space="preserve">] On the urine sample bottles were indicated name, age, sex, and time of collection along with requisition forms. </w:t>
      </w:r>
    </w:p>
    <w:p w:rsidR="005618E1" w:rsidRPr="003F70DA" w:rsidRDefault="005618E1" w:rsidP="005618E1">
      <w:pPr>
        <w:spacing w:line="480" w:lineRule="auto"/>
        <w:jc w:val="both"/>
        <w:rPr>
          <w:rFonts w:ascii="The new romans" w:hAnsi="The new romans"/>
          <w:b/>
          <w:sz w:val="28"/>
          <w:szCs w:val="28"/>
          <w:u w:val="single"/>
        </w:rPr>
      </w:pPr>
      <w:r w:rsidRPr="003F70DA">
        <w:rPr>
          <w:rFonts w:ascii="The new romans" w:hAnsi="The new romans"/>
          <w:b/>
          <w:sz w:val="28"/>
          <w:szCs w:val="28"/>
          <w:u w:val="single"/>
        </w:rPr>
        <w:t xml:space="preserve"> SAMPLE PROCESSING:</w:t>
      </w:r>
    </w:p>
    <w:p w:rsidR="005618E1" w:rsidRPr="003F70DA" w:rsidRDefault="005618E1" w:rsidP="005618E1">
      <w:pPr>
        <w:widowControl w:val="0"/>
        <w:autoSpaceDE w:val="0"/>
        <w:autoSpaceDN w:val="0"/>
        <w:adjustRightInd w:val="0"/>
        <w:spacing w:line="480" w:lineRule="auto"/>
        <w:jc w:val="both"/>
        <w:rPr>
          <w:rFonts w:ascii="The new romans" w:hAnsi="The new romans"/>
          <w:sz w:val="24"/>
          <w:szCs w:val="24"/>
        </w:rPr>
      </w:pPr>
      <w:r w:rsidRPr="003F70DA">
        <w:rPr>
          <w:rFonts w:ascii="The new romans" w:hAnsi="The new romans"/>
          <w:sz w:val="24"/>
          <w:szCs w:val="24"/>
        </w:rPr>
        <w:t>A calibrated sterile micron wire loop for the semi-quantitative method was used for the plating and it has a 4.0 mm diameter designed to deliver 0.01 ml. A loopful of the well mixed urine sample was inoculated on HiCrome UTI Agar media and EMB [Eosin Methylene Blue] Agar media. The plate was incubated aerobically at 37</w:t>
      </w:r>
      <w:r w:rsidRPr="003F70DA">
        <w:rPr>
          <w:rFonts w:ascii="The new romans" w:hAnsi="The new romans"/>
          <w:sz w:val="24"/>
          <w:szCs w:val="24"/>
          <w:vertAlign w:val="superscript"/>
        </w:rPr>
        <w:t>0</w:t>
      </w:r>
      <w:r w:rsidRPr="003F70DA">
        <w:rPr>
          <w:rFonts w:ascii="The new romans" w:hAnsi="The new romans"/>
          <w:sz w:val="24"/>
          <w:szCs w:val="24"/>
        </w:rPr>
        <w:t>C for overnight. The plates were then examined macroscopically and microscopically (colony Gram stain) for bacterial growth. The bacterial colonies were counted and multiplied by 100 to give an estimate of the number of bacteria present per milliliter of urine. Culture results were interpreted according to the standard criteria and a growth of &gt; 10</w:t>
      </w:r>
      <w:r w:rsidRPr="003F70DA">
        <w:rPr>
          <w:rFonts w:ascii="The new romans" w:hAnsi="The new romans"/>
          <w:sz w:val="24"/>
          <w:szCs w:val="24"/>
          <w:vertAlign w:val="superscript"/>
        </w:rPr>
        <w:t>5</w:t>
      </w:r>
      <w:r w:rsidRPr="003F70DA">
        <w:rPr>
          <w:rFonts w:ascii="The new romans" w:hAnsi="The new romans"/>
          <w:sz w:val="24"/>
          <w:szCs w:val="24"/>
        </w:rPr>
        <w:t xml:space="preserve"> colony forming unit [CFU] /ml was considered</w:t>
      </w:r>
      <w:r w:rsidR="009A77A3" w:rsidRPr="003F70DA">
        <w:rPr>
          <w:rFonts w:ascii="The new romans" w:hAnsi="The new romans"/>
          <w:sz w:val="24"/>
          <w:szCs w:val="24"/>
        </w:rPr>
        <w:t xml:space="preserve"> as significant bacteriuria [14</w:t>
      </w:r>
      <w:r w:rsidRPr="003F70DA">
        <w:rPr>
          <w:rFonts w:ascii="The new romans" w:hAnsi="The new romans"/>
          <w:sz w:val="24"/>
          <w:szCs w:val="24"/>
        </w:rPr>
        <w:t>].</w:t>
      </w:r>
      <w:r w:rsidRPr="003F70DA">
        <w:rPr>
          <w:rFonts w:ascii="The new romans" w:hAnsi="The new romans"/>
          <w:sz w:val="24"/>
          <w:szCs w:val="24"/>
          <w:vertAlign w:val="superscript"/>
        </w:rPr>
        <w:t xml:space="preserve"> </w:t>
      </w:r>
      <w:r w:rsidRPr="003F70DA">
        <w:rPr>
          <w:rFonts w:ascii="The new romans" w:hAnsi="The new romans"/>
          <w:sz w:val="24"/>
          <w:szCs w:val="24"/>
        </w:rPr>
        <w:t>The urine samples were analyzed bacter</w:t>
      </w:r>
      <w:r w:rsidR="009A77A3" w:rsidRPr="003F70DA">
        <w:rPr>
          <w:rFonts w:ascii="The new romans" w:hAnsi="The new romans"/>
          <w:sz w:val="24"/>
          <w:szCs w:val="24"/>
        </w:rPr>
        <w:t>iological using the methods [13, 15, 16</w:t>
      </w:r>
      <w:r w:rsidRPr="003F70DA">
        <w:rPr>
          <w:rFonts w:ascii="The new romans" w:hAnsi="The new romans"/>
          <w:sz w:val="24"/>
          <w:szCs w:val="24"/>
        </w:rPr>
        <w:t>].</w:t>
      </w:r>
    </w:p>
    <w:p w:rsidR="00551A51" w:rsidRPr="003F70DA" w:rsidRDefault="00551A51" w:rsidP="00551A51">
      <w:pPr>
        <w:pStyle w:val="Heading2"/>
        <w:spacing w:line="480" w:lineRule="auto"/>
        <w:jc w:val="both"/>
        <w:rPr>
          <w:rFonts w:ascii="The new romans" w:hAnsi="The new romans"/>
          <w:color w:val="auto"/>
          <w:sz w:val="28"/>
          <w:szCs w:val="28"/>
          <w:u w:val="single"/>
        </w:rPr>
      </w:pPr>
      <w:r w:rsidRPr="003F70DA">
        <w:rPr>
          <w:rFonts w:ascii="The new romans" w:hAnsi="The new romans"/>
          <w:color w:val="auto"/>
          <w:sz w:val="28"/>
          <w:szCs w:val="28"/>
          <w:u w:val="single"/>
        </w:rPr>
        <w:t xml:space="preserve"> IDENTIFICATION OF ISOLATES:</w:t>
      </w:r>
    </w:p>
    <w:p w:rsidR="003F70DA" w:rsidRPr="003F70DA" w:rsidRDefault="00551A51" w:rsidP="00551A51">
      <w:pPr>
        <w:widowControl w:val="0"/>
        <w:autoSpaceDE w:val="0"/>
        <w:autoSpaceDN w:val="0"/>
        <w:adjustRightInd w:val="0"/>
        <w:spacing w:line="480" w:lineRule="auto"/>
        <w:jc w:val="both"/>
        <w:rPr>
          <w:rFonts w:ascii="The new romans" w:hAnsi="The new romans"/>
          <w:b/>
          <w:sz w:val="24"/>
          <w:szCs w:val="24"/>
        </w:rPr>
      </w:pPr>
      <w:r w:rsidRPr="003F70DA">
        <w:rPr>
          <w:rFonts w:ascii="The new romans" w:hAnsi="The new romans"/>
          <w:b/>
          <w:sz w:val="24"/>
          <w:szCs w:val="24"/>
        </w:rPr>
        <w:t>The isolates were identified using colony morphology, Gram staining, Motility test, Indole test, Citrate test [Simmons Citrate Agar media], Urease test [Urease Agar media + 40% Urea], Triple Sugar Iron Agar media,</w:t>
      </w:r>
      <w:r w:rsidR="00054C2C" w:rsidRPr="003F70DA">
        <w:rPr>
          <w:rFonts w:ascii="The new romans" w:hAnsi="The new romans"/>
          <w:b/>
          <w:sz w:val="24"/>
          <w:szCs w:val="24"/>
        </w:rPr>
        <w:t xml:space="preserve"> and</w:t>
      </w:r>
      <w:r w:rsidRPr="003F70DA">
        <w:rPr>
          <w:rFonts w:ascii="The new romans" w:hAnsi="The new romans"/>
          <w:b/>
          <w:sz w:val="24"/>
          <w:szCs w:val="24"/>
        </w:rPr>
        <w:t xml:space="preserve"> ONPG [Ortho-nitrophenyl beta-D-gala</w:t>
      </w:r>
      <w:r w:rsidR="00054C2C" w:rsidRPr="003F70DA">
        <w:rPr>
          <w:rFonts w:ascii="The new romans" w:hAnsi="The new romans"/>
          <w:b/>
          <w:sz w:val="24"/>
          <w:szCs w:val="24"/>
        </w:rPr>
        <w:t xml:space="preserve">ctopyranoside] </w:t>
      </w:r>
      <w:r w:rsidR="009A77A3" w:rsidRPr="003F70DA">
        <w:rPr>
          <w:rFonts w:ascii="The new romans" w:hAnsi="The new romans"/>
          <w:b/>
          <w:sz w:val="24"/>
          <w:szCs w:val="24"/>
        </w:rPr>
        <w:t>[13, 16</w:t>
      </w:r>
      <w:r w:rsidRPr="003F70DA">
        <w:rPr>
          <w:rFonts w:ascii="The new romans" w:hAnsi="The new romans"/>
          <w:b/>
          <w:sz w:val="24"/>
          <w:szCs w:val="24"/>
        </w:rPr>
        <w:t xml:space="preserve">].      </w:t>
      </w:r>
    </w:p>
    <w:p w:rsidR="00DA6F92" w:rsidRPr="003F70DA" w:rsidRDefault="00DA6F92" w:rsidP="00DA6F92">
      <w:pPr>
        <w:pStyle w:val="Heading1"/>
        <w:spacing w:line="240" w:lineRule="auto"/>
        <w:jc w:val="both"/>
        <w:rPr>
          <w:rFonts w:ascii="The new romans" w:hAnsi="The new romans"/>
          <w:color w:val="auto"/>
          <w:u w:val="single"/>
        </w:rPr>
      </w:pPr>
      <w:r w:rsidRPr="003F70DA">
        <w:rPr>
          <w:rFonts w:ascii="The new romans" w:hAnsi="The new romans"/>
          <w:color w:val="auto"/>
          <w:u w:val="single"/>
        </w:rPr>
        <w:t xml:space="preserve"> SENSITIVITY TESTING USING MIC TECHNIQUE </w:t>
      </w:r>
    </w:p>
    <w:p w:rsidR="00DA6F92" w:rsidRPr="003F70DA" w:rsidRDefault="00DA6F92" w:rsidP="00DA6F92">
      <w:pPr>
        <w:rPr>
          <w:rFonts w:ascii="The new romans" w:hAnsi="The new romans"/>
        </w:rPr>
      </w:pPr>
    </w:p>
    <w:p w:rsidR="00065111" w:rsidRDefault="00DA6F92" w:rsidP="00DA6F92">
      <w:pPr>
        <w:shd w:val="clear" w:color="auto" w:fill="FFFFFF"/>
        <w:spacing w:line="480" w:lineRule="auto"/>
        <w:jc w:val="both"/>
        <w:rPr>
          <w:rStyle w:val="vkekvd"/>
          <w:rFonts w:ascii="The new romans" w:hAnsi="The new romans" w:cs="Arial"/>
          <w:sz w:val="24"/>
          <w:szCs w:val="24"/>
        </w:rPr>
      </w:pPr>
      <w:r w:rsidRPr="003F70DA">
        <w:rPr>
          <w:rFonts w:ascii="The new romans" w:hAnsi="The new romans" w:cs="Arial"/>
          <w:sz w:val="24"/>
          <w:szCs w:val="24"/>
        </w:rPr>
        <w:t>The Vitek® 2 system is an automated, rapid, and accurate method for determining the </w:t>
      </w:r>
      <w:hyperlink r:id="rId10" w:tgtFrame="_blank" w:history="1">
        <w:r w:rsidRPr="003F70DA">
          <w:rPr>
            <w:rStyle w:val="Hyperlink"/>
            <w:rFonts w:ascii="The new romans" w:hAnsi="The new romans" w:cs="Arial"/>
            <w:color w:val="auto"/>
            <w:sz w:val="24"/>
            <w:szCs w:val="24"/>
            <w:u w:val="none"/>
          </w:rPr>
          <w:t>Minimum Inhibitory Concentration (MIC)</w:t>
        </w:r>
      </w:hyperlink>
      <w:r w:rsidRPr="003F70DA">
        <w:rPr>
          <w:rFonts w:ascii="The new romans" w:hAnsi="The new romans" w:cs="Arial"/>
          <w:sz w:val="24"/>
          <w:szCs w:val="24"/>
        </w:rPr>
        <w:t> (lowest antibiotic concentration inhibiting bacterial growth). It uses 64-well, miniaturized, disposable cards containing premeasured antibiotics, which are inoculated, incubated, and read automatically via </w:t>
      </w:r>
      <w:hyperlink r:id="rId11" w:tgtFrame="_blank" w:history="1">
        <w:r w:rsidRPr="003F70DA">
          <w:rPr>
            <w:rStyle w:val="Hyperlink"/>
            <w:rFonts w:ascii="The new romans" w:hAnsi="The new romans" w:cs="Arial"/>
            <w:color w:val="auto"/>
            <w:sz w:val="24"/>
            <w:szCs w:val="24"/>
            <w:u w:val="none"/>
          </w:rPr>
          <w:t>turbidimetric/colorimetric technology</w:t>
        </w:r>
      </w:hyperlink>
      <w:r w:rsidRPr="003F70DA">
        <w:rPr>
          <w:rFonts w:ascii="The new romans" w:hAnsi="The new romans" w:cs="Arial"/>
          <w:sz w:val="24"/>
          <w:szCs w:val="24"/>
        </w:rPr>
        <w:t>. The system, often used for identifying Gram-positive/negative bacteria and yeasts, provides results usually within hours, aiding in the selection of effective, targeted antibiotic therapy based on </w:t>
      </w:r>
      <w:hyperlink r:id="rId12" w:tgtFrame="_blank" w:history="1">
        <w:r w:rsidRPr="003F70DA">
          <w:rPr>
            <w:rStyle w:val="Hyperlink"/>
            <w:rFonts w:ascii="The new romans" w:hAnsi="The new romans" w:cs="Arial"/>
            <w:color w:val="auto"/>
            <w:sz w:val="24"/>
            <w:szCs w:val="24"/>
            <w:u w:val="none"/>
          </w:rPr>
          <w:t>CLSI or EUCAST breakpoints</w:t>
        </w:r>
      </w:hyperlink>
      <w:r w:rsidRPr="003F70DA">
        <w:rPr>
          <w:rFonts w:ascii="The new romans" w:hAnsi="The new romans" w:cs="Arial"/>
          <w:sz w:val="24"/>
          <w:szCs w:val="24"/>
        </w:rPr>
        <w:t>.</w:t>
      </w:r>
      <w:r w:rsidRPr="003F70DA">
        <w:rPr>
          <w:rStyle w:val="vkekvd"/>
          <w:rFonts w:ascii="The new romans" w:hAnsi="The new romans" w:cs="Arial"/>
          <w:sz w:val="24"/>
          <w:szCs w:val="24"/>
        </w:rPr>
        <w:t> </w:t>
      </w:r>
    </w:p>
    <w:p w:rsidR="00E455CD" w:rsidRDefault="00E455CD" w:rsidP="00DA6F92">
      <w:pPr>
        <w:shd w:val="clear" w:color="auto" w:fill="FFFFFF"/>
        <w:spacing w:line="480" w:lineRule="auto"/>
        <w:jc w:val="both"/>
        <w:rPr>
          <w:rStyle w:val="vkekvd"/>
          <w:rFonts w:ascii="The new romans" w:hAnsi="The new romans" w:cs="Arial"/>
          <w:sz w:val="24"/>
          <w:szCs w:val="24"/>
        </w:rPr>
      </w:pPr>
    </w:p>
    <w:p w:rsidR="00E455CD" w:rsidRDefault="00E455CD" w:rsidP="00DA6F92">
      <w:pPr>
        <w:shd w:val="clear" w:color="auto" w:fill="FFFFFF"/>
        <w:spacing w:line="480" w:lineRule="auto"/>
        <w:jc w:val="both"/>
        <w:rPr>
          <w:rStyle w:val="vkekvd"/>
          <w:rFonts w:ascii="The new romans" w:hAnsi="The new romans" w:cs="Arial"/>
          <w:sz w:val="24"/>
          <w:szCs w:val="24"/>
        </w:rPr>
      </w:pPr>
    </w:p>
    <w:p w:rsidR="00E455CD" w:rsidRDefault="00E455CD" w:rsidP="00DA6F92">
      <w:pPr>
        <w:shd w:val="clear" w:color="auto" w:fill="FFFFFF"/>
        <w:spacing w:line="480" w:lineRule="auto"/>
        <w:jc w:val="both"/>
        <w:rPr>
          <w:rStyle w:val="vkekvd"/>
          <w:rFonts w:ascii="The new romans" w:hAnsi="The new romans" w:cs="Arial"/>
          <w:sz w:val="24"/>
          <w:szCs w:val="24"/>
        </w:rPr>
      </w:pPr>
    </w:p>
    <w:p w:rsidR="00E455CD" w:rsidRDefault="00E455CD" w:rsidP="00DA6F92">
      <w:pPr>
        <w:shd w:val="clear" w:color="auto" w:fill="FFFFFF"/>
        <w:spacing w:line="480" w:lineRule="auto"/>
        <w:jc w:val="both"/>
        <w:rPr>
          <w:rStyle w:val="vkekvd"/>
          <w:rFonts w:ascii="The new romans" w:hAnsi="The new romans" w:cs="Arial"/>
          <w:sz w:val="24"/>
          <w:szCs w:val="24"/>
        </w:rPr>
      </w:pPr>
    </w:p>
    <w:p w:rsidR="00E455CD" w:rsidRPr="003F70DA" w:rsidRDefault="00E455CD" w:rsidP="00DA6F92">
      <w:pPr>
        <w:shd w:val="clear" w:color="auto" w:fill="FFFFFF"/>
        <w:spacing w:line="480" w:lineRule="auto"/>
        <w:jc w:val="both"/>
        <w:rPr>
          <w:rFonts w:ascii="The new romans" w:hAnsi="The new romans" w:cs="Arial"/>
          <w:sz w:val="24"/>
          <w:szCs w:val="24"/>
        </w:rPr>
      </w:pPr>
    </w:p>
    <w:p w:rsidR="00DA6F92" w:rsidRPr="003F70DA" w:rsidRDefault="00DA6F92" w:rsidP="00DA6F92">
      <w:pPr>
        <w:shd w:val="clear" w:color="auto" w:fill="FFFFFF"/>
        <w:spacing w:line="480" w:lineRule="auto"/>
        <w:jc w:val="both"/>
        <w:rPr>
          <w:rFonts w:ascii="The new romans" w:hAnsi="The new romans" w:cs="Arial"/>
          <w:sz w:val="28"/>
          <w:szCs w:val="28"/>
        </w:rPr>
      </w:pPr>
      <w:r w:rsidRPr="003F70DA">
        <w:rPr>
          <w:rStyle w:val="Strong"/>
          <w:rFonts w:ascii="The new romans" w:hAnsi="The new romans" w:cs="Arial"/>
          <w:sz w:val="28"/>
          <w:szCs w:val="28"/>
        </w:rPr>
        <w:t>Key Aspects of the Vitek MIC Method:</w:t>
      </w:r>
    </w:p>
    <w:p w:rsidR="00DA6F92" w:rsidRPr="003F70DA" w:rsidRDefault="00DA6F92" w:rsidP="006B2B11">
      <w:pPr>
        <w:numPr>
          <w:ilvl w:val="0"/>
          <w:numId w:val="2"/>
        </w:numPr>
        <w:shd w:val="clear" w:color="auto" w:fill="FFFFFF"/>
        <w:spacing w:after="206" w:line="480" w:lineRule="auto"/>
        <w:ind w:left="0"/>
        <w:jc w:val="both"/>
        <w:rPr>
          <w:rFonts w:ascii="The new romans" w:hAnsi="The new romans" w:cs="Arial"/>
          <w:sz w:val="24"/>
          <w:szCs w:val="24"/>
        </w:rPr>
      </w:pPr>
      <w:r w:rsidRPr="003F70DA">
        <w:rPr>
          <w:rStyle w:val="Strong"/>
          <w:rFonts w:ascii="The new romans" w:hAnsi="The new romans" w:cs="Arial"/>
          <w:sz w:val="24"/>
          <w:szCs w:val="24"/>
        </w:rPr>
        <w:t>Technology:</w:t>
      </w:r>
      <w:r w:rsidRPr="003F70DA">
        <w:rPr>
          <w:rStyle w:val="t286pc"/>
          <w:rFonts w:ascii="The new romans" w:hAnsi="The new romans" w:cs="Arial"/>
          <w:sz w:val="24"/>
          <w:szCs w:val="24"/>
        </w:rPr>
        <w:t> The system uses a turbidity-based (sometimes fluorescence-based) detection method to measure bacterial growth in the presence of different antibiotics within the card.</w:t>
      </w:r>
    </w:p>
    <w:p w:rsidR="00DA6F92" w:rsidRPr="003F70DA" w:rsidRDefault="00DA6F92" w:rsidP="006B2B11">
      <w:pPr>
        <w:numPr>
          <w:ilvl w:val="0"/>
          <w:numId w:val="2"/>
        </w:numPr>
        <w:shd w:val="clear" w:color="auto" w:fill="FFFFFF"/>
        <w:spacing w:after="206" w:line="480" w:lineRule="auto"/>
        <w:ind w:left="0"/>
        <w:jc w:val="both"/>
        <w:rPr>
          <w:rFonts w:ascii="The new romans" w:hAnsi="The new romans" w:cs="Arial"/>
          <w:sz w:val="24"/>
          <w:szCs w:val="24"/>
        </w:rPr>
      </w:pPr>
      <w:r w:rsidRPr="003F70DA">
        <w:rPr>
          <w:rStyle w:val="Strong"/>
          <w:rFonts w:ascii="The new romans" w:hAnsi="The new romans" w:cs="Arial"/>
          <w:sz w:val="24"/>
          <w:szCs w:val="24"/>
        </w:rPr>
        <w:t>Workflow:</w:t>
      </w:r>
      <w:r w:rsidRPr="003F70DA">
        <w:rPr>
          <w:rStyle w:val="t286pc"/>
          <w:rFonts w:ascii="The new romans" w:hAnsi="The new romans" w:cs="Arial"/>
          <w:sz w:val="24"/>
          <w:szCs w:val="24"/>
        </w:rPr>
        <w:t> A standardized bacterial suspension (0.5 McFarland) is prepared, and the Vitek card is filled, sealed, and incubated. The Vitek 2 Compact allows for manual loading, while the Vitek 2 automates the entire process.</w:t>
      </w:r>
    </w:p>
    <w:p w:rsidR="00DA6F92" w:rsidRPr="003F70DA" w:rsidRDefault="00DA6F92" w:rsidP="006B2B11">
      <w:pPr>
        <w:numPr>
          <w:ilvl w:val="0"/>
          <w:numId w:val="2"/>
        </w:numPr>
        <w:shd w:val="clear" w:color="auto" w:fill="FFFFFF"/>
        <w:spacing w:after="206" w:line="480" w:lineRule="auto"/>
        <w:ind w:left="0"/>
        <w:jc w:val="both"/>
        <w:rPr>
          <w:rFonts w:ascii="The new romans" w:hAnsi="The new romans" w:cs="Arial"/>
          <w:sz w:val="24"/>
          <w:szCs w:val="24"/>
        </w:rPr>
      </w:pPr>
      <w:r w:rsidRPr="003F70DA">
        <w:rPr>
          <w:rStyle w:val="Strong"/>
          <w:rFonts w:ascii="The new romans" w:hAnsi="The new romans" w:cs="Arial"/>
          <w:sz w:val="24"/>
          <w:szCs w:val="24"/>
        </w:rPr>
        <w:t>Advanced Expert System (AES):</w:t>
      </w:r>
      <w:r w:rsidRPr="003F70DA">
        <w:rPr>
          <w:rStyle w:val="t286pc"/>
          <w:rFonts w:ascii="The new romans" w:hAnsi="The new romans" w:cs="Arial"/>
          <w:sz w:val="24"/>
          <w:szCs w:val="24"/>
        </w:rPr>
        <w:t> Vitek 2 includes an AES that validates results by analyzing the MIC pattern against a database to interpret resistance mechanisms (e.g., MRSA, ESBL).</w:t>
      </w:r>
    </w:p>
    <w:p w:rsidR="00DA6F92" w:rsidRPr="003F70DA" w:rsidRDefault="00DA6F92" w:rsidP="006B2B11">
      <w:pPr>
        <w:numPr>
          <w:ilvl w:val="0"/>
          <w:numId w:val="2"/>
        </w:numPr>
        <w:shd w:val="clear" w:color="auto" w:fill="FFFFFF"/>
        <w:spacing w:after="206" w:line="480" w:lineRule="auto"/>
        <w:ind w:left="0"/>
        <w:jc w:val="both"/>
        <w:rPr>
          <w:rFonts w:ascii="The new romans" w:hAnsi="The new romans" w:cs="Arial"/>
          <w:sz w:val="24"/>
          <w:szCs w:val="24"/>
        </w:rPr>
      </w:pPr>
      <w:r w:rsidRPr="003F70DA">
        <w:rPr>
          <w:rStyle w:val="Strong"/>
          <w:rFonts w:ascii="The new romans" w:hAnsi="The new romans" w:cs="Arial"/>
          <w:sz w:val="24"/>
          <w:szCs w:val="24"/>
        </w:rPr>
        <w:t>Card Types:</w:t>
      </w:r>
      <w:r w:rsidRPr="003F70DA">
        <w:rPr>
          <w:rStyle w:val="t286pc"/>
          <w:rFonts w:ascii="The new romans" w:hAnsi="The new romans" w:cs="Arial"/>
          <w:sz w:val="24"/>
          <w:szCs w:val="24"/>
        </w:rPr>
        <w:t> Specific cards exist for Gram-positive, Gram-negative, and yeast, with a limited, though expanding, selection of antibiotics.</w:t>
      </w:r>
    </w:p>
    <w:p w:rsidR="00DA6F92" w:rsidRPr="003F70DA" w:rsidRDefault="00DA6F92" w:rsidP="006B2B11">
      <w:pPr>
        <w:numPr>
          <w:ilvl w:val="0"/>
          <w:numId w:val="2"/>
        </w:numPr>
        <w:shd w:val="clear" w:color="auto" w:fill="FFFFFF"/>
        <w:spacing w:after="206" w:line="480" w:lineRule="auto"/>
        <w:ind w:left="0"/>
        <w:jc w:val="both"/>
        <w:rPr>
          <w:rFonts w:ascii="The new romans" w:hAnsi="The new romans" w:cs="Arial"/>
          <w:sz w:val="24"/>
          <w:szCs w:val="24"/>
        </w:rPr>
      </w:pPr>
      <w:r w:rsidRPr="003F70DA">
        <w:rPr>
          <w:rStyle w:val="Strong"/>
          <w:rFonts w:ascii="The new romans" w:hAnsi="The new romans" w:cs="Arial"/>
          <w:sz w:val="24"/>
          <w:szCs w:val="24"/>
        </w:rPr>
        <w:t>Advantages:</w:t>
      </w:r>
      <w:r w:rsidRPr="003F70DA">
        <w:rPr>
          <w:rStyle w:val="t286pc"/>
          <w:rFonts w:ascii="The new romans" w:hAnsi="The new romans" w:cs="Arial"/>
          <w:sz w:val="24"/>
          <w:szCs w:val="24"/>
        </w:rPr>
        <w:t> Offers rapid results (often in 4-18 hours), high reproducibility, and reduced manual labor.</w:t>
      </w:r>
    </w:p>
    <w:p w:rsidR="00A42E41" w:rsidRPr="003F70DA" w:rsidRDefault="00DA6F92" w:rsidP="006B2B11">
      <w:pPr>
        <w:numPr>
          <w:ilvl w:val="0"/>
          <w:numId w:val="2"/>
        </w:numPr>
        <w:shd w:val="clear" w:color="auto" w:fill="FFFFFF"/>
        <w:spacing w:after="206" w:line="480" w:lineRule="auto"/>
        <w:ind w:left="0"/>
        <w:jc w:val="both"/>
        <w:rPr>
          <w:rStyle w:val="vkekvd"/>
          <w:rFonts w:ascii="The new romans" w:hAnsi="The new romans" w:cs="Arial"/>
          <w:sz w:val="24"/>
          <w:szCs w:val="24"/>
        </w:rPr>
      </w:pPr>
      <w:r w:rsidRPr="003F70DA">
        <w:rPr>
          <w:rStyle w:val="Strong"/>
          <w:rFonts w:ascii="The new romans" w:hAnsi="The new romans" w:cs="Arial"/>
          <w:sz w:val="24"/>
          <w:szCs w:val="24"/>
        </w:rPr>
        <w:t>Limitations:</w:t>
      </w:r>
      <w:r w:rsidRPr="003F70DA">
        <w:rPr>
          <w:rStyle w:val="t286pc"/>
          <w:rFonts w:ascii="The new romans" w:hAnsi="The new romans" w:cs="Arial"/>
          <w:sz w:val="24"/>
          <w:szCs w:val="24"/>
        </w:rPr>
        <w:t> It may not detect some novel resistance mechanisms, and certain bacteria (e.g., highly mucoid strains) may not be accurately interpreted.</w:t>
      </w:r>
      <w:r w:rsidRPr="003F70DA">
        <w:rPr>
          <w:rStyle w:val="vkekvd"/>
          <w:rFonts w:ascii="The new romans" w:hAnsi="The new romans" w:cs="Arial"/>
          <w:sz w:val="24"/>
          <w:szCs w:val="24"/>
        </w:rPr>
        <w:t> </w:t>
      </w:r>
    </w:p>
    <w:p w:rsidR="00FD5A75" w:rsidRPr="003F70DA" w:rsidRDefault="00FD5A75" w:rsidP="00FD5A75">
      <w:pPr>
        <w:shd w:val="clear" w:color="auto" w:fill="FFFFFF"/>
        <w:spacing w:after="206" w:line="480" w:lineRule="auto"/>
        <w:jc w:val="both"/>
        <w:rPr>
          <w:rFonts w:ascii="The new romans" w:hAnsi="The new romans" w:cs="Arial"/>
          <w:b/>
          <w:sz w:val="24"/>
          <w:szCs w:val="24"/>
        </w:rPr>
      </w:pPr>
      <w:r w:rsidRPr="003F70DA">
        <w:rPr>
          <w:rFonts w:ascii="The new romans" w:hAnsi="The new romans" w:cs="Arial"/>
          <w:b/>
          <w:sz w:val="24"/>
          <w:szCs w:val="24"/>
        </w:rPr>
        <w:t>In this study following Antibiotics use in Vitek® 2 system:</w:t>
      </w:r>
    </w:p>
    <w:p w:rsidR="00FD5A75" w:rsidRPr="003F70DA" w:rsidRDefault="00FD5A75" w:rsidP="00FD5A75">
      <w:pPr>
        <w:pStyle w:val="ListParagraph"/>
        <w:spacing w:line="480" w:lineRule="auto"/>
        <w:ind w:left="0"/>
        <w:jc w:val="both"/>
        <w:rPr>
          <w:rFonts w:ascii="The new romans" w:hAnsi="The new romans" w:cs="Times New Roman"/>
          <w:b/>
          <w:sz w:val="24"/>
          <w:szCs w:val="24"/>
        </w:rPr>
      </w:pPr>
      <w:r w:rsidRPr="003F70DA">
        <w:rPr>
          <w:rFonts w:ascii="The new romans" w:hAnsi="The new romans"/>
          <w:b/>
          <w:sz w:val="24"/>
          <w:szCs w:val="24"/>
        </w:rPr>
        <w:t xml:space="preserve"> [I] PENICILLIN GROUP:</w:t>
      </w:r>
    </w:p>
    <w:p w:rsidR="00FD5A75" w:rsidRPr="003F70DA" w:rsidRDefault="00FD5A75" w:rsidP="006B2B11">
      <w:pPr>
        <w:pStyle w:val="ListParagraph"/>
        <w:numPr>
          <w:ilvl w:val="1"/>
          <w:numId w:val="5"/>
        </w:numPr>
        <w:spacing w:line="480" w:lineRule="auto"/>
        <w:ind w:left="0"/>
        <w:jc w:val="both"/>
        <w:rPr>
          <w:rFonts w:ascii="The new romans" w:hAnsi="The new romans"/>
          <w:sz w:val="8"/>
          <w:szCs w:val="8"/>
        </w:rPr>
      </w:pPr>
      <w:r w:rsidRPr="003F70DA">
        <w:rPr>
          <w:rFonts w:ascii="The new romans" w:hAnsi="The new romans"/>
          <w:sz w:val="24"/>
          <w:szCs w:val="24"/>
        </w:rPr>
        <w:t xml:space="preserve">(A)  Amoxicillin + Clavulanic acid </w:t>
      </w:r>
    </w:p>
    <w:p w:rsidR="00FD5A75" w:rsidRPr="003F70DA" w:rsidRDefault="00FD5A75" w:rsidP="006B2B11">
      <w:pPr>
        <w:pStyle w:val="ListParagraph"/>
        <w:numPr>
          <w:ilvl w:val="1"/>
          <w:numId w:val="5"/>
        </w:numPr>
        <w:spacing w:line="480" w:lineRule="auto"/>
        <w:ind w:left="0"/>
        <w:jc w:val="both"/>
        <w:rPr>
          <w:rFonts w:ascii="The new romans" w:hAnsi="The new romans"/>
          <w:sz w:val="8"/>
          <w:szCs w:val="8"/>
        </w:rPr>
      </w:pPr>
      <w:r w:rsidRPr="003F70DA">
        <w:rPr>
          <w:rFonts w:ascii="The new romans" w:hAnsi="The new romans"/>
          <w:sz w:val="24"/>
          <w:szCs w:val="24"/>
        </w:rPr>
        <w:t>(B)  Piperacillin/Tazobactam</w:t>
      </w:r>
    </w:p>
    <w:p w:rsidR="00FD5A75" w:rsidRPr="003F70DA" w:rsidRDefault="00FD5A75" w:rsidP="006B2B11">
      <w:pPr>
        <w:pStyle w:val="ListParagraph"/>
        <w:numPr>
          <w:ilvl w:val="1"/>
          <w:numId w:val="5"/>
        </w:numPr>
        <w:spacing w:line="480" w:lineRule="auto"/>
        <w:ind w:left="0"/>
        <w:jc w:val="both"/>
        <w:rPr>
          <w:rFonts w:ascii="The new romans" w:hAnsi="The new romans"/>
          <w:sz w:val="8"/>
          <w:szCs w:val="8"/>
        </w:rPr>
      </w:pPr>
    </w:p>
    <w:p w:rsidR="00FD5A75" w:rsidRPr="003F70DA" w:rsidRDefault="00FD5A75" w:rsidP="00FD5A75">
      <w:pPr>
        <w:pStyle w:val="ListParagraph"/>
        <w:spacing w:line="480" w:lineRule="auto"/>
        <w:ind w:left="0"/>
        <w:jc w:val="both"/>
        <w:rPr>
          <w:rFonts w:ascii="The new romans" w:hAnsi="The new romans"/>
          <w:b/>
          <w:sz w:val="24"/>
          <w:szCs w:val="24"/>
        </w:rPr>
      </w:pPr>
      <w:r w:rsidRPr="003F70DA">
        <w:rPr>
          <w:rFonts w:ascii="The new romans" w:hAnsi="The new romans"/>
          <w:b/>
          <w:sz w:val="24"/>
          <w:szCs w:val="24"/>
        </w:rPr>
        <w:t>[II] CEPHALOSPORINS GROUP:</w:t>
      </w:r>
    </w:p>
    <w:p w:rsidR="00FD5A75" w:rsidRPr="003F70DA" w:rsidRDefault="00FD5A75" w:rsidP="006B2B11">
      <w:pPr>
        <w:pStyle w:val="ListParagraph"/>
        <w:numPr>
          <w:ilvl w:val="1"/>
          <w:numId w:val="4"/>
        </w:numPr>
        <w:spacing w:line="360" w:lineRule="auto"/>
        <w:jc w:val="both"/>
        <w:rPr>
          <w:rFonts w:ascii="The new romans" w:hAnsi="The new romans"/>
          <w:sz w:val="24"/>
          <w:szCs w:val="24"/>
        </w:rPr>
      </w:pPr>
      <w:r w:rsidRPr="003F70DA">
        <w:rPr>
          <w:rFonts w:ascii="The new romans" w:hAnsi="The new romans"/>
          <w:sz w:val="24"/>
          <w:szCs w:val="24"/>
        </w:rPr>
        <w:t>Cefoxitin</w:t>
      </w:r>
    </w:p>
    <w:p w:rsidR="00FD5A75" w:rsidRPr="003F70DA" w:rsidRDefault="00FD5A75" w:rsidP="00FD5A75">
      <w:pPr>
        <w:spacing w:line="360" w:lineRule="auto"/>
        <w:jc w:val="both"/>
        <w:rPr>
          <w:rFonts w:ascii="The new romans" w:hAnsi="The new romans"/>
          <w:sz w:val="24"/>
          <w:szCs w:val="24"/>
        </w:rPr>
      </w:pPr>
      <w:r w:rsidRPr="003F70DA">
        <w:rPr>
          <w:rFonts w:ascii="The new romans" w:hAnsi="The new romans"/>
          <w:sz w:val="24"/>
          <w:szCs w:val="24"/>
        </w:rPr>
        <w:t xml:space="preserve">                </w:t>
      </w:r>
      <w:r w:rsidR="00E315B4" w:rsidRPr="003F70DA">
        <w:rPr>
          <w:rFonts w:ascii="The new romans" w:hAnsi="The new romans"/>
          <w:sz w:val="24"/>
          <w:szCs w:val="24"/>
        </w:rPr>
        <w:t xml:space="preserve"> </w:t>
      </w:r>
      <w:r w:rsidRPr="003F70DA">
        <w:rPr>
          <w:rFonts w:ascii="The new romans" w:hAnsi="The new romans"/>
          <w:sz w:val="24"/>
          <w:szCs w:val="24"/>
        </w:rPr>
        <w:t>(B)   Cefixime</w:t>
      </w:r>
    </w:p>
    <w:p w:rsidR="00FD5A75" w:rsidRPr="003F70DA" w:rsidRDefault="00FD5A75" w:rsidP="006B2B11">
      <w:pPr>
        <w:pStyle w:val="ListParagraph"/>
        <w:numPr>
          <w:ilvl w:val="1"/>
          <w:numId w:val="5"/>
        </w:numPr>
        <w:spacing w:line="360" w:lineRule="auto"/>
        <w:ind w:left="1440"/>
        <w:jc w:val="both"/>
        <w:rPr>
          <w:rFonts w:ascii="The new romans" w:hAnsi="The new romans"/>
          <w:sz w:val="24"/>
          <w:szCs w:val="24"/>
        </w:rPr>
      </w:pPr>
      <w:r w:rsidRPr="003F70DA">
        <w:rPr>
          <w:rFonts w:ascii="The new romans" w:hAnsi="The new romans"/>
          <w:sz w:val="24"/>
          <w:szCs w:val="24"/>
        </w:rPr>
        <w:t>Ceftriaxone</w:t>
      </w:r>
    </w:p>
    <w:p w:rsidR="00FD5A75" w:rsidRPr="003F70DA" w:rsidRDefault="00FD5A75" w:rsidP="006B2B11">
      <w:pPr>
        <w:pStyle w:val="ListParagraph"/>
        <w:numPr>
          <w:ilvl w:val="1"/>
          <w:numId w:val="5"/>
        </w:numPr>
        <w:spacing w:line="360" w:lineRule="auto"/>
        <w:ind w:left="1440"/>
        <w:jc w:val="both"/>
        <w:rPr>
          <w:rFonts w:ascii="The new romans" w:hAnsi="The new romans"/>
          <w:sz w:val="24"/>
          <w:szCs w:val="24"/>
        </w:rPr>
      </w:pPr>
      <w:r w:rsidRPr="003F70DA">
        <w:rPr>
          <w:rFonts w:ascii="The new romans" w:hAnsi="The new romans"/>
          <w:sz w:val="24"/>
          <w:szCs w:val="24"/>
        </w:rPr>
        <w:t>Cefipime</w:t>
      </w:r>
    </w:p>
    <w:p w:rsidR="00FD5A75" w:rsidRPr="003F70DA" w:rsidRDefault="00FD5A75" w:rsidP="006B2B11">
      <w:pPr>
        <w:pStyle w:val="ListParagraph"/>
        <w:numPr>
          <w:ilvl w:val="1"/>
          <w:numId w:val="5"/>
        </w:numPr>
        <w:spacing w:line="360" w:lineRule="auto"/>
        <w:ind w:left="1440"/>
        <w:jc w:val="both"/>
        <w:rPr>
          <w:rFonts w:ascii="The new romans" w:hAnsi="The new romans"/>
          <w:sz w:val="24"/>
          <w:szCs w:val="24"/>
        </w:rPr>
      </w:pPr>
      <w:r w:rsidRPr="003F70DA">
        <w:rPr>
          <w:rFonts w:ascii="The new romans" w:hAnsi="The new romans"/>
          <w:sz w:val="24"/>
          <w:szCs w:val="24"/>
        </w:rPr>
        <w:t xml:space="preserve"> Cefoperazone/Sulbactam</w:t>
      </w:r>
    </w:p>
    <w:p w:rsidR="00B6322D" w:rsidRPr="003F70DA" w:rsidRDefault="00B6322D" w:rsidP="00B6322D">
      <w:pPr>
        <w:pStyle w:val="ListParagraph"/>
        <w:spacing w:line="360" w:lineRule="auto"/>
        <w:ind w:left="1440"/>
        <w:jc w:val="both"/>
        <w:rPr>
          <w:rFonts w:ascii="The new romans" w:hAnsi="The new romans"/>
          <w:sz w:val="24"/>
          <w:szCs w:val="24"/>
        </w:rPr>
      </w:pPr>
    </w:p>
    <w:p w:rsidR="00FD5A75" w:rsidRPr="003F70DA" w:rsidRDefault="00FD5A75" w:rsidP="006B2B11">
      <w:pPr>
        <w:pStyle w:val="ListParagraph"/>
        <w:numPr>
          <w:ilvl w:val="0"/>
          <w:numId w:val="6"/>
        </w:numPr>
        <w:spacing w:line="480" w:lineRule="auto"/>
        <w:jc w:val="both"/>
        <w:rPr>
          <w:rFonts w:ascii="The new romans" w:hAnsi="The new romans"/>
          <w:sz w:val="8"/>
          <w:szCs w:val="8"/>
        </w:rPr>
      </w:pPr>
    </w:p>
    <w:p w:rsidR="00FD5A75" w:rsidRPr="003F70DA" w:rsidRDefault="00FD5A75" w:rsidP="00FD5A75">
      <w:pPr>
        <w:pStyle w:val="ListParagraph"/>
        <w:spacing w:line="480" w:lineRule="auto"/>
        <w:ind w:left="0"/>
        <w:jc w:val="both"/>
        <w:rPr>
          <w:rFonts w:ascii="The new romans" w:hAnsi="The new romans"/>
          <w:b/>
          <w:sz w:val="24"/>
          <w:szCs w:val="24"/>
        </w:rPr>
      </w:pPr>
      <w:r w:rsidRPr="003F70DA">
        <w:rPr>
          <w:rFonts w:ascii="The new romans" w:hAnsi="The new romans"/>
          <w:b/>
          <w:sz w:val="24"/>
          <w:szCs w:val="24"/>
        </w:rPr>
        <w:t>[III] QUINOLONES GROUP [FLUOROQUINOLONES]:</w:t>
      </w:r>
    </w:p>
    <w:p w:rsidR="00FD5A75" w:rsidRPr="003F70DA" w:rsidRDefault="00FD5A75" w:rsidP="00FD5A75">
      <w:pPr>
        <w:pStyle w:val="ListParagraph"/>
        <w:spacing w:line="480" w:lineRule="auto"/>
        <w:jc w:val="both"/>
        <w:rPr>
          <w:rFonts w:ascii="The new romans" w:hAnsi="The new romans"/>
          <w:sz w:val="24"/>
          <w:szCs w:val="24"/>
        </w:rPr>
      </w:pPr>
      <w:r w:rsidRPr="003F70DA">
        <w:rPr>
          <w:rFonts w:ascii="The new romans" w:hAnsi="The new romans"/>
          <w:sz w:val="24"/>
          <w:szCs w:val="24"/>
        </w:rPr>
        <w:t xml:space="preserve">       (A) Norfloxacin</w:t>
      </w:r>
    </w:p>
    <w:p w:rsidR="00FD5A75" w:rsidRPr="003F70DA" w:rsidRDefault="00FD5A75" w:rsidP="00FD5A75">
      <w:pPr>
        <w:pStyle w:val="ListParagraph"/>
        <w:spacing w:line="480" w:lineRule="auto"/>
        <w:jc w:val="both"/>
        <w:rPr>
          <w:rFonts w:ascii="The new romans" w:hAnsi="The new romans"/>
          <w:sz w:val="24"/>
          <w:szCs w:val="24"/>
        </w:rPr>
      </w:pPr>
      <w:r w:rsidRPr="003F70DA">
        <w:rPr>
          <w:rFonts w:ascii="The new romans" w:hAnsi="The new romans"/>
          <w:sz w:val="24"/>
          <w:szCs w:val="24"/>
        </w:rPr>
        <w:t xml:space="preserve">       (B)  Ciprofloxacin</w:t>
      </w:r>
    </w:p>
    <w:p w:rsidR="00FD5A75" w:rsidRPr="003F70DA" w:rsidRDefault="00FD5A75" w:rsidP="00FD5A75">
      <w:pPr>
        <w:pStyle w:val="ListParagraph"/>
        <w:spacing w:line="480" w:lineRule="auto"/>
        <w:jc w:val="both"/>
        <w:rPr>
          <w:rFonts w:ascii="The new romans" w:hAnsi="The new romans"/>
          <w:sz w:val="24"/>
          <w:szCs w:val="24"/>
        </w:rPr>
      </w:pPr>
      <w:r w:rsidRPr="003F70DA">
        <w:rPr>
          <w:rFonts w:ascii="The new romans" w:hAnsi="The new romans"/>
          <w:sz w:val="24"/>
          <w:szCs w:val="24"/>
        </w:rPr>
        <w:t xml:space="preserve">       </w:t>
      </w:r>
    </w:p>
    <w:p w:rsidR="00FD5A75" w:rsidRPr="003F70DA" w:rsidRDefault="00FD5A75" w:rsidP="00FD5A75">
      <w:pPr>
        <w:pStyle w:val="ListParagraph"/>
        <w:spacing w:line="480" w:lineRule="auto"/>
        <w:ind w:left="0"/>
        <w:jc w:val="both"/>
        <w:rPr>
          <w:rFonts w:ascii="The new romans" w:hAnsi="The new romans"/>
          <w:b/>
          <w:sz w:val="24"/>
          <w:szCs w:val="24"/>
        </w:rPr>
      </w:pPr>
      <w:r w:rsidRPr="003F70DA">
        <w:rPr>
          <w:rFonts w:ascii="The new romans" w:hAnsi="The new romans"/>
          <w:b/>
          <w:sz w:val="24"/>
          <w:szCs w:val="24"/>
        </w:rPr>
        <w:t>[IV] AMINOGLYCOSIDES GROUP:</w:t>
      </w:r>
    </w:p>
    <w:p w:rsidR="00FD5A75" w:rsidRPr="003F70DA" w:rsidRDefault="00FD5A75" w:rsidP="006B2B11">
      <w:pPr>
        <w:pStyle w:val="ListParagraph"/>
        <w:numPr>
          <w:ilvl w:val="0"/>
          <w:numId w:val="7"/>
        </w:numPr>
        <w:spacing w:line="480" w:lineRule="auto"/>
        <w:jc w:val="both"/>
        <w:rPr>
          <w:rFonts w:ascii="The new romans" w:hAnsi="The new romans"/>
          <w:sz w:val="24"/>
          <w:szCs w:val="24"/>
        </w:rPr>
      </w:pPr>
      <w:r w:rsidRPr="003F70DA">
        <w:rPr>
          <w:rFonts w:ascii="The new romans" w:hAnsi="The new romans"/>
          <w:sz w:val="24"/>
          <w:szCs w:val="24"/>
        </w:rPr>
        <w:t xml:space="preserve"> Amikacin </w:t>
      </w:r>
    </w:p>
    <w:p w:rsidR="00FD5A75" w:rsidRPr="003F70DA" w:rsidRDefault="00FD5A75" w:rsidP="00FD5A75">
      <w:pPr>
        <w:pStyle w:val="ListParagraph"/>
        <w:spacing w:line="480" w:lineRule="auto"/>
        <w:ind w:left="1080"/>
        <w:jc w:val="both"/>
        <w:rPr>
          <w:rFonts w:ascii="The new romans" w:hAnsi="The new romans"/>
          <w:sz w:val="24"/>
          <w:szCs w:val="24"/>
        </w:rPr>
      </w:pPr>
    </w:p>
    <w:p w:rsidR="00FD5A75" w:rsidRPr="003F70DA" w:rsidRDefault="00FD5A75" w:rsidP="00FD5A75">
      <w:pPr>
        <w:pStyle w:val="ListParagraph"/>
        <w:spacing w:line="480" w:lineRule="auto"/>
        <w:ind w:left="0"/>
        <w:jc w:val="both"/>
        <w:rPr>
          <w:rFonts w:ascii="The new romans" w:hAnsi="The new romans"/>
          <w:b/>
          <w:sz w:val="24"/>
          <w:szCs w:val="24"/>
        </w:rPr>
      </w:pPr>
      <w:r w:rsidRPr="003F70DA">
        <w:rPr>
          <w:rFonts w:ascii="The new romans" w:hAnsi="The new romans"/>
          <w:b/>
          <w:sz w:val="24"/>
          <w:szCs w:val="24"/>
        </w:rPr>
        <w:t>[V] CARBAPENEM GROUP:</w:t>
      </w:r>
    </w:p>
    <w:p w:rsidR="00FD5A75" w:rsidRPr="003F70DA" w:rsidRDefault="00FD5A75" w:rsidP="006B2B11">
      <w:pPr>
        <w:pStyle w:val="ListParagraph"/>
        <w:numPr>
          <w:ilvl w:val="0"/>
          <w:numId w:val="8"/>
        </w:numPr>
        <w:spacing w:line="480" w:lineRule="auto"/>
        <w:jc w:val="both"/>
        <w:rPr>
          <w:rFonts w:ascii="The new romans" w:hAnsi="The new romans"/>
          <w:sz w:val="24"/>
          <w:szCs w:val="24"/>
        </w:rPr>
      </w:pPr>
      <w:r w:rsidRPr="003F70DA">
        <w:rPr>
          <w:rFonts w:ascii="The new romans" w:hAnsi="The new romans"/>
          <w:sz w:val="24"/>
          <w:szCs w:val="24"/>
        </w:rPr>
        <w:t xml:space="preserve"> Ertapenem</w:t>
      </w:r>
    </w:p>
    <w:p w:rsidR="00FD5A75" w:rsidRPr="003F70DA" w:rsidRDefault="00FD5A75" w:rsidP="006B2B11">
      <w:pPr>
        <w:pStyle w:val="ListParagraph"/>
        <w:numPr>
          <w:ilvl w:val="0"/>
          <w:numId w:val="8"/>
        </w:numPr>
        <w:spacing w:line="480" w:lineRule="auto"/>
        <w:jc w:val="both"/>
        <w:rPr>
          <w:rFonts w:ascii="The new romans" w:hAnsi="The new romans"/>
          <w:sz w:val="24"/>
          <w:szCs w:val="24"/>
        </w:rPr>
      </w:pPr>
      <w:r w:rsidRPr="003F70DA">
        <w:rPr>
          <w:rFonts w:ascii="The new romans" w:hAnsi="The new romans"/>
          <w:sz w:val="24"/>
          <w:szCs w:val="24"/>
        </w:rPr>
        <w:t>Meropem</w:t>
      </w:r>
    </w:p>
    <w:p w:rsidR="00FD5A75" w:rsidRPr="003F70DA" w:rsidRDefault="00FD5A75" w:rsidP="00FD5A75">
      <w:pPr>
        <w:pStyle w:val="ListParagraph"/>
        <w:spacing w:line="480" w:lineRule="auto"/>
        <w:ind w:left="0"/>
        <w:jc w:val="both"/>
        <w:rPr>
          <w:rFonts w:ascii="The new romans" w:hAnsi="The new romans"/>
          <w:sz w:val="24"/>
          <w:szCs w:val="24"/>
        </w:rPr>
      </w:pPr>
      <w:r w:rsidRPr="003F70DA">
        <w:rPr>
          <w:rFonts w:ascii="The new romans" w:hAnsi="The new romans"/>
          <w:b/>
          <w:sz w:val="24"/>
          <w:szCs w:val="24"/>
        </w:rPr>
        <w:t>[VI] SULFONAMIDES GROUP:</w:t>
      </w:r>
    </w:p>
    <w:p w:rsidR="00FD5A75" w:rsidRPr="003F70DA" w:rsidRDefault="00FD5A75" w:rsidP="006B2B11">
      <w:pPr>
        <w:pStyle w:val="ListParagraph"/>
        <w:numPr>
          <w:ilvl w:val="0"/>
          <w:numId w:val="9"/>
        </w:numPr>
        <w:spacing w:line="480" w:lineRule="auto"/>
        <w:jc w:val="both"/>
        <w:rPr>
          <w:rFonts w:ascii="The new romans" w:hAnsi="The new romans"/>
          <w:sz w:val="24"/>
          <w:szCs w:val="24"/>
        </w:rPr>
      </w:pPr>
      <w:r w:rsidRPr="003F70DA">
        <w:rPr>
          <w:rFonts w:ascii="The new romans" w:hAnsi="The new romans"/>
          <w:sz w:val="24"/>
          <w:szCs w:val="24"/>
        </w:rPr>
        <w:t>Co-trimoxazole [Trimethoprim+ Sulphamethoxale]</w:t>
      </w:r>
    </w:p>
    <w:p w:rsidR="00FD5A75" w:rsidRPr="00E455CD" w:rsidRDefault="00FD5A75" w:rsidP="00E455CD">
      <w:pPr>
        <w:pStyle w:val="ListParagraph"/>
        <w:spacing w:line="480" w:lineRule="auto"/>
        <w:ind w:left="0"/>
        <w:jc w:val="both"/>
        <w:rPr>
          <w:rFonts w:ascii="The new romans" w:hAnsi="The new romans"/>
          <w:b/>
          <w:sz w:val="24"/>
          <w:szCs w:val="24"/>
        </w:rPr>
      </w:pPr>
      <w:r w:rsidRPr="003F70DA">
        <w:rPr>
          <w:rFonts w:ascii="The new romans" w:hAnsi="The new romans"/>
          <w:b/>
          <w:sz w:val="24"/>
          <w:szCs w:val="24"/>
        </w:rPr>
        <w:t>[VII] MISCELLANEOUS ANTI-INFECTIVE AGENTS:</w:t>
      </w:r>
    </w:p>
    <w:p w:rsidR="00FD5A75" w:rsidRPr="003F70DA" w:rsidRDefault="00FD5A75" w:rsidP="006B2B11">
      <w:pPr>
        <w:pStyle w:val="ListParagraph"/>
        <w:numPr>
          <w:ilvl w:val="0"/>
          <w:numId w:val="10"/>
        </w:numPr>
        <w:spacing w:line="480" w:lineRule="auto"/>
        <w:jc w:val="both"/>
        <w:rPr>
          <w:rFonts w:ascii="The new romans" w:hAnsi="The new romans"/>
          <w:sz w:val="24"/>
          <w:szCs w:val="24"/>
        </w:rPr>
      </w:pPr>
      <w:r w:rsidRPr="003F70DA">
        <w:rPr>
          <w:rFonts w:ascii="The new romans" w:hAnsi="The new romans"/>
          <w:sz w:val="24"/>
          <w:szCs w:val="24"/>
        </w:rPr>
        <w:t xml:space="preserve">Nitrofurantoin </w:t>
      </w:r>
    </w:p>
    <w:p w:rsidR="00065111" w:rsidRDefault="00FD5A75" w:rsidP="006B2B11">
      <w:pPr>
        <w:pStyle w:val="ListParagraph"/>
        <w:numPr>
          <w:ilvl w:val="0"/>
          <w:numId w:val="10"/>
        </w:numPr>
        <w:spacing w:line="480" w:lineRule="auto"/>
        <w:jc w:val="both"/>
        <w:rPr>
          <w:rFonts w:ascii="The new romans" w:hAnsi="The new romans"/>
          <w:sz w:val="24"/>
          <w:szCs w:val="24"/>
        </w:rPr>
      </w:pPr>
      <w:r w:rsidRPr="003F70DA">
        <w:rPr>
          <w:rFonts w:ascii="The new romans" w:hAnsi="The new romans"/>
          <w:sz w:val="24"/>
          <w:szCs w:val="24"/>
        </w:rPr>
        <w:t>Colistin</w:t>
      </w:r>
    </w:p>
    <w:p w:rsidR="00E455CD" w:rsidRDefault="00E455CD" w:rsidP="00E455CD">
      <w:pPr>
        <w:spacing w:line="480" w:lineRule="auto"/>
        <w:jc w:val="both"/>
        <w:rPr>
          <w:rFonts w:ascii="The new romans" w:hAnsi="The new romans"/>
          <w:sz w:val="24"/>
          <w:szCs w:val="24"/>
        </w:rPr>
      </w:pPr>
    </w:p>
    <w:p w:rsidR="00E455CD" w:rsidRDefault="00E455CD" w:rsidP="00E455CD">
      <w:pPr>
        <w:spacing w:line="480" w:lineRule="auto"/>
        <w:jc w:val="both"/>
        <w:rPr>
          <w:rFonts w:ascii="The new romans" w:hAnsi="The new romans"/>
          <w:sz w:val="24"/>
          <w:szCs w:val="24"/>
        </w:rPr>
      </w:pPr>
    </w:p>
    <w:p w:rsidR="00E455CD" w:rsidRDefault="00E455CD" w:rsidP="00E455CD">
      <w:pPr>
        <w:spacing w:line="480" w:lineRule="auto"/>
        <w:jc w:val="both"/>
        <w:rPr>
          <w:rFonts w:ascii="The new romans" w:hAnsi="The new romans"/>
          <w:sz w:val="24"/>
          <w:szCs w:val="24"/>
        </w:rPr>
      </w:pPr>
    </w:p>
    <w:p w:rsidR="00E455CD" w:rsidRDefault="00E455CD" w:rsidP="00E455CD">
      <w:pPr>
        <w:spacing w:line="480" w:lineRule="auto"/>
        <w:jc w:val="both"/>
        <w:rPr>
          <w:rFonts w:ascii="The new romans" w:hAnsi="The new romans"/>
          <w:sz w:val="24"/>
          <w:szCs w:val="24"/>
        </w:rPr>
      </w:pPr>
    </w:p>
    <w:p w:rsidR="00E455CD" w:rsidRPr="00E455CD" w:rsidRDefault="00E455CD" w:rsidP="00E455CD">
      <w:pPr>
        <w:spacing w:line="480" w:lineRule="auto"/>
        <w:jc w:val="both"/>
        <w:rPr>
          <w:rFonts w:ascii="The new romans" w:hAnsi="The new romans"/>
          <w:sz w:val="24"/>
          <w:szCs w:val="24"/>
        </w:rPr>
      </w:pPr>
    </w:p>
    <w:p w:rsidR="00A42E41" w:rsidRPr="003F70DA" w:rsidRDefault="00A42E41" w:rsidP="00A42E41">
      <w:pPr>
        <w:widowControl w:val="0"/>
        <w:autoSpaceDE w:val="0"/>
        <w:autoSpaceDN w:val="0"/>
        <w:adjustRightInd w:val="0"/>
        <w:spacing w:line="480" w:lineRule="auto"/>
        <w:jc w:val="both"/>
        <w:rPr>
          <w:rFonts w:ascii="The new romans" w:hAnsi="The new romans"/>
          <w:b/>
          <w:sz w:val="28"/>
          <w:szCs w:val="28"/>
          <w:u w:val="single"/>
        </w:rPr>
      </w:pPr>
      <w:r w:rsidRPr="003F70DA">
        <w:rPr>
          <w:rFonts w:ascii="The new romans" w:hAnsi="The new romans"/>
          <w:b/>
          <w:sz w:val="28"/>
          <w:szCs w:val="28"/>
          <w:u w:val="single"/>
        </w:rPr>
        <w:t>RESULTS</w:t>
      </w:r>
    </w:p>
    <w:p w:rsidR="00FE7BC6" w:rsidRDefault="00FE7BC6" w:rsidP="00FE7BC6">
      <w:pPr>
        <w:spacing w:line="480" w:lineRule="auto"/>
        <w:jc w:val="both"/>
        <w:rPr>
          <w:rFonts w:ascii="Times New Roman" w:hAnsi="Times New Roman" w:cs="Times New Roman"/>
          <w:b/>
          <w:sz w:val="28"/>
          <w:szCs w:val="28"/>
        </w:rPr>
      </w:pPr>
      <w:r>
        <w:rPr>
          <w:rFonts w:ascii="Times New Roman" w:hAnsi="Times New Roman" w:cs="Times New Roman"/>
          <w:b/>
          <w:sz w:val="28"/>
          <w:szCs w:val="28"/>
        </w:rPr>
        <w:t>Age Group:</w:t>
      </w:r>
    </w:p>
    <w:p w:rsidR="00FE7BC6" w:rsidRDefault="00FE7BC6" w:rsidP="00FE7BC6">
      <w:pPr>
        <w:numPr>
          <w:ilvl w:val="0"/>
          <w:numId w:val="33"/>
        </w:numPr>
        <w:shd w:val="clear" w:color="auto" w:fill="FFFFFF"/>
        <w:tabs>
          <w:tab w:val="left" w:pos="720"/>
        </w:tabs>
        <w:spacing w:before="100" w:beforeAutospacing="1" w:after="180" w:line="360" w:lineRule="atLeast"/>
        <w:ind w:left="360"/>
        <w:rPr>
          <w:rFonts w:ascii="The new romans" w:hAnsi="The new romans" w:cs="Arial"/>
          <w:color w:val="0A0A0A"/>
          <w:sz w:val="24"/>
          <w:szCs w:val="24"/>
        </w:rPr>
      </w:pPr>
      <w:r>
        <w:rPr>
          <w:rFonts w:ascii="The new romans" w:hAnsi="The new romans" w:cs="Arial"/>
          <w:b/>
          <w:bCs/>
          <w:color w:val="0A0A0A"/>
          <w:sz w:val="24"/>
          <w:szCs w:val="24"/>
        </w:rPr>
        <w:t>Old Adult Age:</w:t>
      </w:r>
      <w:r>
        <w:rPr>
          <w:rFonts w:ascii="The new romans" w:hAnsi="The new romans" w:cs="Arial"/>
          <w:color w:val="0A0A0A"/>
          <w:sz w:val="24"/>
          <w:szCs w:val="24"/>
        </w:rPr>
        <w:t xml:space="preserve"> &gt;</w:t>
      </w:r>
      <w:r>
        <w:rPr>
          <w:rFonts w:ascii="The new romans" w:hAnsi="The new romans" w:cs="Arial"/>
          <w:b/>
          <w:color w:val="0A0A0A"/>
          <w:sz w:val="24"/>
          <w:szCs w:val="24"/>
        </w:rPr>
        <w:t>50–59 years.</w:t>
      </w:r>
    </w:p>
    <w:p w:rsidR="00FE7BC6" w:rsidRDefault="00FE7BC6" w:rsidP="00FE7BC6">
      <w:pPr>
        <w:numPr>
          <w:ilvl w:val="0"/>
          <w:numId w:val="33"/>
        </w:numPr>
        <w:shd w:val="clear" w:color="auto" w:fill="FFFFFF"/>
        <w:tabs>
          <w:tab w:val="left" w:pos="720"/>
        </w:tabs>
        <w:spacing w:before="100" w:beforeAutospacing="1" w:after="180" w:line="360" w:lineRule="atLeast"/>
        <w:ind w:left="360"/>
        <w:rPr>
          <w:rFonts w:ascii="The new romans" w:hAnsi="The new romans" w:cs="Arial"/>
          <w:b/>
          <w:color w:val="0A0A0A"/>
          <w:sz w:val="24"/>
          <w:szCs w:val="24"/>
        </w:rPr>
      </w:pPr>
      <w:r>
        <w:rPr>
          <w:rFonts w:ascii="The new romans" w:hAnsi="The new romans" w:cs="Arial"/>
          <w:b/>
          <w:bCs/>
          <w:color w:val="0A0A0A"/>
          <w:sz w:val="24"/>
          <w:szCs w:val="24"/>
        </w:rPr>
        <w:t>Senior Adult Age:</w:t>
      </w:r>
      <w:r>
        <w:rPr>
          <w:rFonts w:ascii="The new romans" w:hAnsi="The new romans" w:cs="Arial"/>
          <w:color w:val="0A0A0A"/>
          <w:sz w:val="24"/>
          <w:szCs w:val="24"/>
        </w:rPr>
        <w:t xml:space="preserve"> </w:t>
      </w:r>
      <w:r>
        <w:rPr>
          <w:rFonts w:ascii="The new romans" w:hAnsi="The new romans" w:cs="Arial"/>
          <w:b/>
          <w:color w:val="0A0A0A"/>
          <w:sz w:val="24"/>
          <w:szCs w:val="24"/>
        </w:rPr>
        <w:t xml:space="preserve">60+ years. </w:t>
      </w:r>
    </w:p>
    <w:p w:rsidR="00FE7BC6" w:rsidRDefault="00FE7BC6" w:rsidP="00FE7BC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E7BC6" w:rsidRDefault="00E455CD" w:rsidP="00FE7BC6">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w:t>
      </w:r>
      <w:r w:rsidR="00FE7BC6">
        <w:rPr>
          <w:rFonts w:ascii="Times New Roman" w:hAnsi="Times New Roman" w:cs="Times New Roman"/>
          <w:b/>
          <w:sz w:val="24"/>
          <w:szCs w:val="24"/>
        </w:rPr>
        <w:t xml:space="preserve"> 1. Age Distribution of Sampled Population.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19"/>
        <w:gridCol w:w="1337"/>
        <w:gridCol w:w="2943"/>
        <w:gridCol w:w="2943"/>
      </w:tblGrid>
      <w:tr w:rsidR="00FE7BC6" w:rsidTr="00FE7BC6">
        <w:trPr>
          <w:trHeight w:val="610"/>
        </w:trPr>
        <w:tc>
          <w:tcPr>
            <w:tcW w:w="2019" w:type="dxa"/>
            <w:tcBorders>
              <w:top w:val="single" w:sz="4" w:space="0" w:color="000000"/>
              <w:left w:val="single" w:sz="4" w:space="0" w:color="000000"/>
              <w:bottom w:val="single" w:sz="4" w:space="0" w:color="000000"/>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Age Group</w:t>
            </w:r>
          </w:p>
        </w:tc>
        <w:tc>
          <w:tcPr>
            <w:tcW w:w="1337" w:type="dxa"/>
            <w:tcBorders>
              <w:top w:val="single" w:sz="4" w:space="0" w:color="000000"/>
              <w:left w:val="nil"/>
              <w:bottom w:val="single" w:sz="4" w:space="0" w:color="000000"/>
              <w:right w:val="single" w:sz="4" w:space="0" w:color="000000"/>
            </w:tcBorders>
            <w:hideMark/>
          </w:tcPr>
          <w:p w:rsidR="00FE7BC6" w:rsidRDefault="00FE7BC6">
            <w:pPr>
              <w:jc w:val="both"/>
              <w:rPr>
                <w:rFonts w:ascii="Times New Roman" w:hAnsi="Times New Roman" w:cs="Times New Roman"/>
                <w:b/>
                <w:sz w:val="24"/>
                <w:szCs w:val="24"/>
              </w:rPr>
            </w:pPr>
            <w:r>
              <w:rPr>
                <w:rFonts w:ascii="Times New Roman" w:hAnsi="Times New Roman" w:cs="Times New Roman"/>
                <w:b/>
                <w:sz w:val="24"/>
                <w:szCs w:val="24"/>
              </w:rPr>
              <w:t>Total Population</w:t>
            </w:r>
          </w:p>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of Patient</w:t>
            </w:r>
          </w:p>
        </w:tc>
        <w:tc>
          <w:tcPr>
            <w:tcW w:w="294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Male </w:t>
            </w:r>
          </w:p>
        </w:tc>
        <w:tc>
          <w:tcPr>
            <w:tcW w:w="294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Female </w:t>
            </w:r>
          </w:p>
        </w:tc>
      </w:tr>
      <w:tr w:rsidR="00FE7BC6" w:rsidTr="00FE7BC6">
        <w:trPr>
          <w:trHeight w:val="597"/>
        </w:trPr>
        <w:tc>
          <w:tcPr>
            <w:tcW w:w="2019" w:type="dxa"/>
            <w:tcBorders>
              <w:top w:val="single" w:sz="4" w:space="0" w:color="000000"/>
              <w:left w:val="single" w:sz="4" w:space="0" w:color="000000"/>
              <w:bottom w:val="single" w:sz="4" w:space="0" w:color="000000"/>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&gt;50 to 59 years</w:t>
            </w:r>
          </w:p>
        </w:tc>
        <w:tc>
          <w:tcPr>
            <w:tcW w:w="1337"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332</w:t>
            </w:r>
          </w:p>
        </w:tc>
        <w:tc>
          <w:tcPr>
            <w:tcW w:w="294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166</w:t>
            </w:r>
          </w:p>
        </w:tc>
        <w:tc>
          <w:tcPr>
            <w:tcW w:w="294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166</w:t>
            </w:r>
          </w:p>
        </w:tc>
      </w:tr>
      <w:tr w:rsidR="00FE7BC6" w:rsidTr="00FE7BC6">
        <w:trPr>
          <w:trHeight w:val="610"/>
        </w:trPr>
        <w:tc>
          <w:tcPr>
            <w:tcW w:w="2019" w:type="dxa"/>
            <w:tcBorders>
              <w:top w:val="single" w:sz="4" w:space="0" w:color="000000"/>
              <w:left w:val="single" w:sz="4" w:space="0" w:color="000000"/>
              <w:bottom w:val="single" w:sz="4" w:space="0" w:color="000000"/>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&gt;60 years</w:t>
            </w:r>
          </w:p>
        </w:tc>
        <w:tc>
          <w:tcPr>
            <w:tcW w:w="1337"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688</w:t>
            </w:r>
          </w:p>
        </w:tc>
        <w:tc>
          <w:tcPr>
            <w:tcW w:w="294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378</w:t>
            </w:r>
          </w:p>
        </w:tc>
        <w:tc>
          <w:tcPr>
            <w:tcW w:w="294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310</w:t>
            </w:r>
          </w:p>
        </w:tc>
      </w:tr>
    </w:tbl>
    <w:p w:rsidR="00FE7BC6" w:rsidRDefault="00FE7BC6" w:rsidP="00FE7B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E455CD" w:rsidP="00FE7B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FE7BC6">
        <w:rPr>
          <w:rFonts w:ascii="Times New Roman" w:hAnsi="Times New Roman" w:cs="Times New Roman"/>
          <w:b/>
          <w:sz w:val="24"/>
          <w:szCs w:val="24"/>
        </w:rPr>
        <w:t>2. Prevalence of UTI in different age groups.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6"/>
        <w:gridCol w:w="1337"/>
        <w:gridCol w:w="3068"/>
        <w:gridCol w:w="3068"/>
      </w:tblGrid>
      <w:tr w:rsidR="00FE7BC6" w:rsidTr="00FE7BC6">
        <w:trPr>
          <w:trHeight w:val="610"/>
        </w:trPr>
        <w:tc>
          <w:tcPr>
            <w:tcW w:w="1766" w:type="dxa"/>
            <w:tcBorders>
              <w:top w:val="single" w:sz="4" w:space="0" w:color="000000"/>
              <w:left w:val="single" w:sz="4" w:space="0" w:color="000000"/>
              <w:bottom w:val="single" w:sz="4" w:space="0" w:color="000000"/>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Age Group</w:t>
            </w:r>
          </w:p>
        </w:tc>
        <w:tc>
          <w:tcPr>
            <w:tcW w:w="1337"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Total Population</w:t>
            </w:r>
          </w:p>
        </w:tc>
        <w:tc>
          <w:tcPr>
            <w:tcW w:w="3068"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Positive culture</w:t>
            </w:r>
          </w:p>
        </w:tc>
        <w:tc>
          <w:tcPr>
            <w:tcW w:w="3068"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Negative culture</w:t>
            </w:r>
          </w:p>
        </w:tc>
      </w:tr>
      <w:tr w:rsidR="00FE7BC6" w:rsidTr="00FE7BC6">
        <w:trPr>
          <w:trHeight w:val="597"/>
        </w:trPr>
        <w:tc>
          <w:tcPr>
            <w:tcW w:w="1766" w:type="dxa"/>
            <w:tcBorders>
              <w:top w:val="single" w:sz="4" w:space="0" w:color="000000"/>
              <w:left w:val="single" w:sz="4" w:space="0" w:color="000000"/>
              <w:bottom w:val="single" w:sz="4" w:space="0" w:color="000000"/>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&gt;50 to 59 years</w:t>
            </w:r>
          </w:p>
        </w:tc>
        <w:tc>
          <w:tcPr>
            <w:tcW w:w="1337"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332</w:t>
            </w:r>
          </w:p>
        </w:tc>
        <w:tc>
          <w:tcPr>
            <w:tcW w:w="3068"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66 (19.88%)</w:t>
            </w:r>
          </w:p>
        </w:tc>
        <w:tc>
          <w:tcPr>
            <w:tcW w:w="3068"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266 (80.12%)</w:t>
            </w:r>
          </w:p>
        </w:tc>
      </w:tr>
      <w:tr w:rsidR="00FE7BC6" w:rsidTr="00FE7BC6">
        <w:trPr>
          <w:trHeight w:val="610"/>
        </w:trPr>
        <w:tc>
          <w:tcPr>
            <w:tcW w:w="1766" w:type="dxa"/>
            <w:tcBorders>
              <w:top w:val="single" w:sz="4" w:space="0" w:color="000000"/>
              <w:left w:val="single" w:sz="4" w:space="0" w:color="000000"/>
              <w:bottom w:val="single" w:sz="4" w:space="0" w:color="000000"/>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&gt;60years</w:t>
            </w:r>
          </w:p>
        </w:tc>
        <w:tc>
          <w:tcPr>
            <w:tcW w:w="1337"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688</w:t>
            </w:r>
          </w:p>
        </w:tc>
        <w:tc>
          <w:tcPr>
            <w:tcW w:w="3068"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215 (31.25%)</w:t>
            </w:r>
          </w:p>
        </w:tc>
        <w:tc>
          <w:tcPr>
            <w:tcW w:w="3068"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473 (68.75%)</w:t>
            </w:r>
          </w:p>
        </w:tc>
      </w:tr>
    </w:tbl>
    <w:p w:rsidR="00FE7BC6" w:rsidRDefault="00FE7BC6" w:rsidP="00FE7B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E455CD" w:rsidP="00FE7B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FE7BC6">
        <w:rPr>
          <w:rFonts w:ascii="Times New Roman" w:hAnsi="Times New Roman" w:cs="Times New Roman"/>
          <w:b/>
          <w:sz w:val="24"/>
          <w:szCs w:val="24"/>
        </w:rPr>
        <w:t>3. Prevalence of UTI in different age groups with Male &amp; Female.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49"/>
        <w:gridCol w:w="1362"/>
        <w:gridCol w:w="1976"/>
        <w:gridCol w:w="1337"/>
        <w:gridCol w:w="2918"/>
      </w:tblGrid>
      <w:tr w:rsidR="00FE7BC6" w:rsidTr="00FE7BC6">
        <w:tc>
          <w:tcPr>
            <w:tcW w:w="1649" w:type="dxa"/>
            <w:tcBorders>
              <w:top w:val="single" w:sz="4" w:space="0" w:color="000000"/>
              <w:left w:val="single" w:sz="4" w:space="0" w:color="000000"/>
              <w:bottom w:val="single" w:sz="4" w:space="0" w:color="000000"/>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Age Group</w:t>
            </w:r>
          </w:p>
        </w:tc>
        <w:tc>
          <w:tcPr>
            <w:tcW w:w="1362"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rPr>
                <w:rFonts w:ascii="Times New Roman" w:hAnsi="Times New Roman" w:cs="Times New Roman"/>
                <w:b/>
                <w:sz w:val="24"/>
                <w:szCs w:val="24"/>
              </w:rPr>
            </w:pPr>
            <w:r>
              <w:rPr>
                <w:rFonts w:ascii="Times New Roman" w:hAnsi="Times New Roman" w:cs="Times New Roman"/>
                <w:b/>
                <w:sz w:val="24"/>
                <w:szCs w:val="24"/>
              </w:rPr>
              <w:t xml:space="preserve">Total Population in Male </w:t>
            </w:r>
          </w:p>
        </w:tc>
        <w:tc>
          <w:tcPr>
            <w:tcW w:w="1976" w:type="dxa"/>
            <w:tcBorders>
              <w:top w:val="single" w:sz="4" w:space="0" w:color="000000"/>
              <w:left w:val="nil"/>
              <w:bottom w:val="single" w:sz="4" w:space="0" w:color="000000"/>
              <w:right w:val="single" w:sz="4" w:space="0" w:color="auto"/>
            </w:tcBorders>
            <w:hideMark/>
          </w:tcPr>
          <w:p w:rsidR="00FE7BC6" w:rsidRDefault="00FE7BC6">
            <w:pPr>
              <w:rPr>
                <w:rFonts w:ascii="Times New Roman" w:hAnsi="Times New Roman" w:cs="Times New Roman"/>
                <w:b/>
                <w:sz w:val="24"/>
                <w:szCs w:val="24"/>
              </w:rPr>
            </w:pPr>
            <w:r>
              <w:rPr>
                <w:rFonts w:ascii="Times New Roman" w:hAnsi="Times New Roman" w:cs="Times New Roman"/>
                <w:b/>
                <w:sz w:val="24"/>
                <w:szCs w:val="24"/>
              </w:rPr>
              <w:t xml:space="preserve">Positive culture in </w:t>
            </w:r>
          </w:p>
          <w:p w:rsidR="00FE7BC6" w:rsidRDefault="00FE7BC6">
            <w:pPr>
              <w:spacing w:before="100" w:beforeAutospacing="1" w:line="273" w:lineRule="auto"/>
              <w:rPr>
                <w:rFonts w:ascii="Times New Roman" w:hAnsi="Times New Roman" w:cs="Times New Roman"/>
                <w:b/>
                <w:sz w:val="24"/>
                <w:szCs w:val="24"/>
              </w:rPr>
            </w:pPr>
            <w:r>
              <w:rPr>
                <w:rFonts w:ascii="Times New Roman" w:hAnsi="Times New Roman" w:cs="Times New Roman"/>
                <w:b/>
                <w:sz w:val="24"/>
                <w:szCs w:val="24"/>
              </w:rPr>
              <w:t xml:space="preserve">Male </w:t>
            </w:r>
          </w:p>
        </w:tc>
        <w:tc>
          <w:tcPr>
            <w:tcW w:w="1337" w:type="dxa"/>
            <w:tcBorders>
              <w:top w:val="single" w:sz="4" w:space="0" w:color="000000"/>
              <w:left w:val="nil"/>
              <w:bottom w:val="single" w:sz="4" w:space="0" w:color="000000"/>
              <w:right w:val="single" w:sz="4" w:space="0" w:color="000000"/>
            </w:tcBorders>
          </w:tcPr>
          <w:p w:rsidR="00FE7BC6" w:rsidRDefault="00FE7BC6">
            <w:pPr>
              <w:spacing w:after="0"/>
              <w:rPr>
                <w:rFonts w:ascii="Times New Roman" w:hAnsi="Times New Roman" w:cs="Times New Roman"/>
                <w:b/>
                <w:sz w:val="24"/>
                <w:szCs w:val="24"/>
              </w:rPr>
            </w:pPr>
            <w:r>
              <w:rPr>
                <w:rFonts w:ascii="Times New Roman" w:hAnsi="Times New Roman" w:cs="Times New Roman"/>
                <w:b/>
                <w:sz w:val="24"/>
                <w:szCs w:val="24"/>
              </w:rPr>
              <w:t xml:space="preserve">Total Population in Female </w:t>
            </w:r>
          </w:p>
          <w:p w:rsidR="00FE7BC6" w:rsidRDefault="00FE7BC6">
            <w:pPr>
              <w:spacing w:before="100" w:beforeAutospacing="1" w:line="273" w:lineRule="auto"/>
              <w:jc w:val="both"/>
              <w:rPr>
                <w:rFonts w:ascii="Times New Roman" w:hAnsi="Times New Roman" w:cs="Times New Roman"/>
                <w:b/>
                <w:sz w:val="24"/>
                <w:szCs w:val="24"/>
              </w:rPr>
            </w:pPr>
          </w:p>
        </w:tc>
        <w:tc>
          <w:tcPr>
            <w:tcW w:w="2918"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 xml:space="preserve">Positive culture in Female </w:t>
            </w:r>
          </w:p>
        </w:tc>
      </w:tr>
      <w:tr w:rsidR="00FE7BC6" w:rsidTr="00FE7BC6">
        <w:tc>
          <w:tcPr>
            <w:tcW w:w="1649" w:type="dxa"/>
            <w:tcBorders>
              <w:top w:val="single" w:sz="4" w:space="0" w:color="000000"/>
              <w:left w:val="single" w:sz="4" w:space="0" w:color="000000"/>
              <w:bottom w:val="single" w:sz="4" w:space="0" w:color="000000"/>
              <w:right w:val="single" w:sz="4" w:space="0" w:color="auto"/>
            </w:tcBorders>
            <w:hideMark/>
          </w:tcPr>
          <w:p w:rsidR="00FE7BC6" w:rsidRDefault="00FE7BC6">
            <w:pPr>
              <w:spacing w:before="100" w:beforeAutospacing="1" w:line="480" w:lineRule="auto"/>
              <w:jc w:val="both"/>
              <w:rPr>
                <w:rFonts w:ascii="Times New Roman" w:hAnsi="Times New Roman" w:cs="Times New Roman"/>
                <w:sz w:val="24"/>
                <w:szCs w:val="24"/>
              </w:rPr>
            </w:pPr>
            <w:r>
              <w:rPr>
                <w:rFonts w:ascii="Times New Roman" w:hAnsi="Times New Roman" w:cs="Times New Roman"/>
                <w:b/>
                <w:sz w:val="24"/>
                <w:szCs w:val="24"/>
              </w:rPr>
              <w:t>&gt;50 to 59 years</w:t>
            </w:r>
          </w:p>
        </w:tc>
        <w:tc>
          <w:tcPr>
            <w:tcW w:w="1362"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166</w:t>
            </w:r>
          </w:p>
        </w:tc>
        <w:tc>
          <w:tcPr>
            <w:tcW w:w="1976" w:type="dxa"/>
            <w:tcBorders>
              <w:top w:val="single" w:sz="4" w:space="0" w:color="000000"/>
              <w:left w:val="nil"/>
              <w:bottom w:val="single" w:sz="4" w:space="0" w:color="000000"/>
              <w:right w:val="single" w:sz="4" w:space="0" w:color="auto"/>
            </w:tcBorders>
            <w:hideMark/>
          </w:tcPr>
          <w:p w:rsidR="00FE7BC6" w:rsidRDefault="00FE7BC6">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30 (18.07%)</w:t>
            </w:r>
          </w:p>
        </w:tc>
        <w:tc>
          <w:tcPr>
            <w:tcW w:w="1337"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166</w:t>
            </w:r>
          </w:p>
        </w:tc>
        <w:tc>
          <w:tcPr>
            <w:tcW w:w="2918"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24 (14.46%)</w:t>
            </w:r>
          </w:p>
        </w:tc>
      </w:tr>
      <w:tr w:rsidR="00FE7BC6" w:rsidTr="00FE7BC6">
        <w:tc>
          <w:tcPr>
            <w:tcW w:w="1649" w:type="dxa"/>
            <w:tcBorders>
              <w:top w:val="single" w:sz="4" w:space="0" w:color="000000"/>
              <w:left w:val="single" w:sz="4" w:space="0" w:color="000000"/>
              <w:bottom w:val="single" w:sz="4" w:space="0" w:color="000000"/>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&gt;60 years</w:t>
            </w:r>
          </w:p>
        </w:tc>
        <w:tc>
          <w:tcPr>
            <w:tcW w:w="1362"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378</w:t>
            </w:r>
          </w:p>
        </w:tc>
        <w:tc>
          <w:tcPr>
            <w:tcW w:w="1976" w:type="dxa"/>
            <w:tcBorders>
              <w:top w:val="single" w:sz="4" w:space="0" w:color="000000"/>
              <w:left w:val="nil"/>
              <w:bottom w:val="single" w:sz="4" w:space="0" w:color="000000"/>
              <w:right w:val="single" w:sz="4" w:space="0" w:color="auto"/>
            </w:tcBorders>
            <w:hideMark/>
          </w:tcPr>
          <w:p w:rsidR="00FE7BC6" w:rsidRDefault="00FE7BC6">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64(16.93%)</w:t>
            </w:r>
          </w:p>
        </w:tc>
        <w:tc>
          <w:tcPr>
            <w:tcW w:w="1337"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310</w:t>
            </w:r>
          </w:p>
        </w:tc>
        <w:tc>
          <w:tcPr>
            <w:tcW w:w="2918"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80 (25.81%)</w:t>
            </w:r>
          </w:p>
        </w:tc>
      </w:tr>
    </w:tbl>
    <w:p w:rsidR="00FE7BC6" w:rsidRDefault="00FE7BC6" w:rsidP="00FE7BC6">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E455CD" w:rsidRDefault="00E455CD" w:rsidP="00FE7BC6">
      <w:pPr>
        <w:jc w:val="both"/>
        <w:rPr>
          <w:rFonts w:ascii="Times New Roman" w:hAnsi="Times New Roman" w:cs="Times New Roman"/>
          <w:b/>
          <w:sz w:val="24"/>
          <w:szCs w:val="24"/>
        </w:rPr>
      </w:pPr>
    </w:p>
    <w:p w:rsidR="00FE7BC6" w:rsidRDefault="00FE7BC6" w:rsidP="00FE7BC6">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E455CD" w:rsidP="00FE7BC6">
      <w:pPr>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FE7BC6">
        <w:rPr>
          <w:rFonts w:ascii="Times New Roman" w:hAnsi="Times New Roman" w:cs="Times New Roman"/>
          <w:b/>
          <w:sz w:val="24"/>
          <w:szCs w:val="24"/>
        </w:rPr>
        <w:t>4. Prevalence of pathogens isolated on urine culture with age group of &gt;50 to 59 years.</w:t>
      </w:r>
    </w:p>
    <w:p w:rsidR="00FE7BC6" w:rsidRDefault="00FE7BC6" w:rsidP="00FE7BC6">
      <w:pPr>
        <w:jc w:val="both"/>
        <w:rPr>
          <w:rFonts w:ascii="Times New Roman" w:hAnsi="Times New Roman" w:cs="Times New Roman"/>
          <w:b/>
          <w:sz w:val="24"/>
          <w:szCs w:val="24"/>
        </w:rPr>
      </w:pPr>
      <w:r>
        <w:rPr>
          <w:rFonts w:ascii="Times New Roman" w:hAnsi="Times New Roman" w:cs="Times New Roman"/>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5"/>
        <w:gridCol w:w="990"/>
        <w:gridCol w:w="2943"/>
        <w:gridCol w:w="2944"/>
      </w:tblGrid>
      <w:tr w:rsidR="00710161" w:rsidTr="00710161">
        <w:tc>
          <w:tcPr>
            <w:tcW w:w="2430" w:type="dxa"/>
            <w:tcBorders>
              <w:top w:val="single" w:sz="4" w:space="0" w:color="000000"/>
              <w:left w:val="single" w:sz="4" w:space="0" w:color="000000"/>
              <w:bottom w:val="single" w:sz="4" w:space="0" w:color="000000"/>
              <w:right w:val="single" w:sz="4" w:space="0" w:color="auto"/>
            </w:tcBorders>
            <w:hideMark/>
          </w:tcPr>
          <w:p w:rsidR="00710161" w:rsidRDefault="00710161">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Pathogens</w:t>
            </w:r>
          </w:p>
        </w:tc>
        <w:tc>
          <w:tcPr>
            <w:tcW w:w="648" w:type="dxa"/>
            <w:tcBorders>
              <w:top w:val="single" w:sz="4" w:space="0" w:color="000000"/>
              <w:left w:val="single" w:sz="4" w:space="0" w:color="auto"/>
              <w:bottom w:val="single" w:sz="4" w:space="0" w:color="000000"/>
              <w:right w:val="single" w:sz="4" w:space="0" w:color="000000"/>
            </w:tcBorders>
          </w:tcPr>
          <w:p w:rsidR="00710161" w:rsidRDefault="00710161" w:rsidP="00710161">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Total Isolates</w:t>
            </w:r>
          </w:p>
        </w:tc>
        <w:tc>
          <w:tcPr>
            <w:tcW w:w="3079" w:type="dxa"/>
            <w:tcBorders>
              <w:top w:val="single" w:sz="4" w:space="0" w:color="000000"/>
              <w:left w:val="nil"/>
              <w:bottom w:val="single" w:sz="4" w:space="0" w:color="000000"/>
              <w:right w:val="single" w:sz="4" w:space="0" w:color="000000"/>
            </w:tcBorders>
            <w:hideMark/>
          </w:tcPr>
          <w:p w:rsidR="00710161" w:rsidRDefault="00710161">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Male </w:t>
            </w:r>
            <w:r w:rsidR="00411D7B">
              <w:rPr>
                <w:rFonts w:ascii="Times New Roman" w:hAnsi="Times New Roman" w:cs="Times New Roman"/>
                <w:b/>
                <w:sz w:val="24"/>
                <w:szCs w:val="24"/>
              </w:rPr>
              <w:t>Patient</w:t>
            </w:r>
          </w:p>
        </w:tc>
        <w:tc>
          <w:tcPr>
            <w:tcW w:w="3079" w:type="dxa"/>
            <w:tcBorders>
              <w:top w:val="single" w:sz="4" w:space="0" w:color="000000"/>
              <w:left w:val="nil"/>
              <w:bottom w:val="single" w:sz="4" w:space="0" w:color="000000"/>
              <w:right w:val="single" w:sz="4" w:space="0" w:color="000000"/>
            </w:tcBorders>
            <w:hideMark/>
          </w:tcPr>
          <w:p w:rsidR="00710161" w:rsidRDefault="00710161">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Female  </w:t>
            </w:r>
            <w:r w:rsidR="00411D7B">
              <w:rPr>
                <w:rFonts w:ascii="Times New Roman" w:hAnsi="Times New Roman" w:cs="Times New Roman"/>
                <w:b/>
                <w:sz w:val="24"/>
                <w:szCs w:val="24"/>
              </w:rPr>
              <w:t>Patient</w:t>
            </w:r>
          </w:p>
        </w:tc>
      </w:tr>
      <w:tr w:rsidR="00710161" w:rsidTr="00710161">
        <w:tc>
          <w:tcPr>
            <w:tcW w:w="2430" w:type="dxa"/>
            <w:tcBorders>
              <w:top w:val="single" w:sz="4" w:space="0" w:color="000000"/>
              <w:left w:val="single" w:sz="4" w:space="0" w:color="000000"/>
              <w:bottom w:val="single" w:sz="4" w:space="0" w:color="000000"/>
              <w:right w:val="single" w:sz="4" w:space="0" w:color="auto"/>
            </w:tcBorders>
            <w:hideMark/>
          </w:tcPr>
          <w:p w:rsidR="00710161" w:rsidRDefault="00710161">
            <w:pPr>
              <w:spacing w:before="100" w:beforeAutospacing="1" w:line="480" w:lineRule="auto"/>
              <w:jc w:val="both"/>
              <w:rPr>
                <w:rFonts w:ascii="Times New Roman" w:hAnsi="Times New Roman" w:cs="Times New Roman"/>
                <w:b/>
                <w:i/>
                <w:sz w:val="24"/>
                <w:szCs w:val="24"/>
              </w:rPr>
            </w:pPr>
            <w:r>
              <w:rPr>
                <w:rFonts w:ascii="Times New Roman" w:hAnsi="Times New Roman" w:cs="Times New Roman"/>
                <w:b/>
                <w:i/>
                <w:sz w:val="24"/>
                <w:szCs w:val="24"/>
              </w:rPr>
              <w:t>Escherichia coli</w:t>
            </w:r>
          </w:p>
        </w:tc>
        <w:tc>
          <w:tcPr>
            <w:tcW w:w="648" w:type="dxa"/>
            <w:tcBorders>
              <w:top w:val="single" w:sz="4" w:space="0" w:color="000000"/>
              <w:left w:val="single" w:sz="4" w:space="0" w:color="auto"/>
              <w:bottom w:val="single" w:sz="4" w:space="0" w:color="000000"/>
              <w:right w:val="single" w:sz="4" w:space="0" w:color="000000"/>
            </w:tcBorders>
          </w:tcPr>
          <w:p w:rsidR="00710161" w:rsidRPr="00710161" w:rsidRDefault="00710161" w:rsidP="00710161">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48</w:t>
            </w:r>
          </w:p>
        </w:tc>
        <w:tc>
          <w:tcPr>
            <w:tcW w:w="3079" w:type="dxa"/>
            <w:tcBorders>
              <w:top w:val="single" w:sz="4" w:space="0" w:color="000000"/>
              <w:left w:val="nil"/>
              <w:bottom w:val="single" w:sz="4" w:space="0" w:color="000000"/>
              <w:right w:val="single" w:sz="4" w:space="0" w:color="000000"/>
            </w:tcBorders>
            <w:hideMark/>
          </w:tcPr>
          <w:p w:rsidR="00710161" w:rsidRDefault="00710161">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p>
        </w:tc>
        <w:tc>
          <w:tcPr>
            <w:tcW w:w="3079" w:type="dxa"/>
            <w:tcBorders>
              <w:top w:val="single" w:sz="4" w:space="0" w:color="000000"/>
              <w:left w:val="nil"/>
              <w:bottom w:val="single" w:sz="4" w:space="0" w:color="000000"/>
              <w:right w:val="single" w:sz="4" w:space="0" w:color="000000"/>
            </w:tcBorders>
            <w:hideMark/>
          </w:tcPr>
          <w:p w:rsidR="00710161" w:rsidRDefault="00710161">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22</w:t>
            </w:r>
          </w:p>
        </w:tc>
      </w:tr>
      <w:tr w:rsidR="00710161" w:rsidTr="00710161">
        <w:tc>
          <w:tcPr>
            <w:tcW w:w="2430" w:type="dxa"/>
            <w:tcBorders>
              <w:top w:val="single" w:sz="4" w:space="0" w:color="000000"/>
              <w:left w:val="single" w:sz="4" w:space="0" w:color="000000"/>
              <w:bottom w:val="single" w:sz="4" w:space="0" w:color="000000"/>
              <w:right w:val="single" w:sz="4" w:space="0" w:color="auto"/>
            </w:tcBorders>
            <w:hideMark/>
          </w:tcPr>
          <w:p w:rsidR="00710161" w:rsidRDefault="00710161">
            <w:pPr>
              <w:spacing w:before="100" w:beforeAutospacing="1" w:line="480" w:lineRule="auto"/>
              <w:jc w:val="both"/>
              <w:rPr>
                <w:rFonts w:ascii="Times New Roman" w:hAnsi="Times New Roman" w:cs="Times New Roman"/>
                <w:b/>
                <w:i/>
                <w:sz w:val="24"/>
                <w:szCs w:val="24"/>
              </w:rPr>
            </w:pPr>
            <w:r>
              <w:rPr>
                <w:rFonts w:ascii="Times New Roman" w:hAnsi="Times New Roman" w:cs="Times New Roman"/>
                <w:b/>
                <w:i/>
                <w:sz w:val="24"/>
                <w:szCs w:val="24"/>
              </w:rPr>
              <w:t xml:space="preserve">Klebsiella </w:t>
            </w:r>
            <w:r w:rsidR="0070403D">
              <w:rPr>
                <w:rFonts w:ascii="Times New Roman" w:hAnsi="Times New Roman" w:cs="Times New Roman"/>
                <w:b/>
                <w:i/>
                <w:sz w:val="24"/>
                <w:szCs w:val="24"/>
              </w:rPr>
              <w:t>pneumonia</w:t>
            </w:r>
          </w:p>
        </w:tc>
        <w:tc>
          <w:tcPr>
            <w:tcW w:w="648" w:type="dxa"/>
            <w:tcBorders>
              <w:top w:val="single" w:sz="4" w:space="0" w:color="000000"/>
              <w:left w:val="single" w:sz="4" w:space="0" w:color="auto"/>
              <w:bottom w:val="single" w:sz="4" w:space="0" w:color="000000"/>
              <w:right w:val="single" w:sz="4" w:space="0" w:color="000000"/>
            </w:tcBorders>
          </w:tcPr>
          <w:p w:rsidR="00710161" w:rsidRPr="00710161" w:rsidRDefault="00710161" w:rsidP="00710161">
            <w:pPr>
              <w:spacing w:before="100" w:beforeAutospacing="1" w:line="480" w:lineRule="auto"/>
              <w:jc w:val="both"/>
              <w:rPr>
                <w:rFonts w:ascii="Times New Roman" w:hAnsi="Times New Roman" w:cs="Times New Roman"/>
                <w:b/>
                <w:i/>
                <w:sz w:val="24"/>
                <w:szCs w:val="24"/>
              </w:rPr>
            </w:pPr>
            <w:r>
              <w:rPr>
                <w:rFonts w:ascii="Times New Roman" w:hAnsi="Times New Roman" w:cs="Times New Roman"/>
                <w:b/>
                <w:sz w:val="24"/>
                <w:szCs w:val="24"/>
              </w:rPr>
              <w:t>14</w:t>
            </w:r>
          </w:p>
        </w:tc>
        <w:tc>
          <w:tcPr>
            <w:tcW w:w="3079" w:type="dxa"/>
            <w:tcBorders>
              <w:top w:val="single" w:sz="4" w:space="0" w:color="000000"/>
              <w:left w:val="nil"/>
              <w:bottom w:val="single" w:sz="4" w:space="0" w:color="000000"/>
              <w:right w:val="single" w:sz="4" w:space="0" w:color="000000"/>
            </w:tcBorders>
            <w:hideMark/>
          </w:tcPr>
          <w:p w:rsidR="00710161" w:rsidRDefault="00710161">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08</w:t>
            </w:r>
          </w:p>
        </w:tc>
        <w:tc>
          <w:tcPr>
            <w:tcW w:w="3079" w:type="dxa"/>
            <w:tcBorders>
              <w:top w:val="single" w:sz="4" w:space="0" w:color="000000"/>
              <w:left w:val="nil"/>
              <w:bottom w:val="single" w:sz="4" w:space="0" w:color="000000"/>
              <w:right w:val="single" w:sz="4" w:space="0" w:color="000000"/>
            </w:tcBorders>
            <w:hideMark/>
          </w:tcPr>
          <w:p w:rsidR="00710161" w:rsidRDefault="00710161">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06</w:t>
            </w:r>
          </w:p>
        </w:tc>
      </w:tr>
      <w:tr w:rsidR="00710161" w:rsidTr="00710161">
        <w:tc>
          <w:tcPr>
            <w:tcW w:w="2430" w:type="dxa"/>
            <w:tcBorders>
              <w:top w:val="single" w:sz="4" w:space="0" w:color="000000"/>
              <w:left w:val="single" w:sz="4" w:space="0" w:color="000000"/>
              <w:bottom w:val="single" w:sz="4" w:space="0" w:color="000000"/>
              <w:right w:val="single" w:sz="4" w:space="0" w:color="auto"/>
            </w:tcBorders>
            <w:hideMark/>
          </w:tcPr>
          <w:p w:rsidR="00710161" w:rsidRDefault="00710161">
            <w:pPr>
              <w:spacing w:before="100" w:beforeAutospacing="1" w:line="273" w:lineRule="auto"/>
              <w:jc w:val="both"/>
              <w:rPr>
                <w:rFonts w:ascii="Times New Roman" w:hAnsi="Times New Roman" w:cs="Times New Roman"/>
                <w:b/>
                <w:i/>
                <w:sz w:val="24"/>
                <w:szCs w:val="24"/>
              </w:rPr>
            </w:pPr>
            <w:r>
              <w:rPr>
                <w:rFonts w:ascii="Times New Roman" w:hAnsi="Times New Roman" w:cs="Times New Roman"/>
                <w:b/>
                <w:i/>
                <w:sz w:val="24"/>
                <w:szCs w:val="24"/>
              </w:rPr>
              <w:t>Proteus mirabilis &amp; others Proteus Spp.</w:t>
            </w:r>
          </w:p>
        </w:tc>
        <w:tc>
          <w:tcPr>
            <w:tcW w:w="648" w:type="dxa"/>
            <w:tcBorders>
              <w:top w:val="single" w:sz="4" w:space="0" w:color="000000"/>
              <w:left w:val="single" w:sz="4" w:space="0" w:color="auto"/>
              <w:bottom w:val="single" w:sz="4" w:space="0" w:color="000000"/>
              <w:right w:val="single" w:sz="4" w:space="0" w:color="000000"/>
            </w:tcBorders>
          </w:tcPr>
          <w:p w:rsidR="00710161" w:rsidRPr="00710161" w:rsidRDefault="00710161">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04</w:t>
            </w:r>
          </w:p>
        </w:tc>
        <w:tc>
          <w:tcPr>
            <w:tcW w:w="3079" w:type="dxa"/>
            <w:tcBorders>
              <w:top w:val="single" w:sz="4" w:space="0" w:color="000000"/>
              <w:left w:val="nil"/>
              <w:bottom w:val="single" w:sz="4" w:space="0" w:color="000000"/>
              <w:right w:val="single" w:sz="4" w:space="0" w:color="000000"/>
            </w:tcBorders>
            <w:hideMark/>
          </w:tcPr>
          <w:p w:rsidR="00710161" w:rsidRDefault="00710161">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03</w:t>
            </w:r>
          </w:p>
        </w:tc>
        <w:tc>
          <w:tcPr>
            <w:tcW w:w="3079" w:type="dxa"/>
            <w:tcBorders>
              <w:top w:val="single" w:sz="4" w:space="0" w:color="000000"/>
              <w:left w:val="nil"/>
              <w:bottom w:val="single" w:sz="4" w:space="0" w:color="000000"/>
              <w:right w:val="single" w:sz="4" w:space="0" w:color="000000"/>
            </w:tcBorders>
            <w:hideMark/>
          </w:tcPr>
          <w:p w:rsidR="00710161" w:rsidRDefault="00710161">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01</w:t>
            </w:r>
          </w:p>
        </w:tc>
      </w:tr>
    </w:tbl>
    <w:p w:rsidR="00FE7BC6" w:rsidRDefault="00FE7BC6" w:rsidP="00FE7BC6">
      <w:pPr>
        <w:spacing w:line="48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p>
    <w:p w:rsidR="00FE7BC6" w:rsidRDefault="00E455CD" w:rsidP="00FE7BC6">
      <w:pPr>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FE7BC6">
        <w:rPr>
          <w:rFonts w:ascii="Times New Roman" w:hAnsi="Times New Roman" w:cs="Times New Roman"/>
          <w:b/>
          <w:sz w:val="24"/>
          <w:szCs w:val="24"/>
        </w:rPr>
        <w:t>5. Prevalence of pathogens isolated on urine culture with age group of &gt;60 years.</w:t>
      </w:r>
    </w:p>
    <w:p w:rsidR="00FE7BC6" w:rsidRDefault="00FE7BC6" w:rsidP="00FE7BC6">
      <w:pPr>
        <w:jc w:val="both"/>
        <w:rPr>
          <w:rFonts w:ascii="Times New Roman" w:hAnsi="Times New Roman" w:cs="Times New Roman"/>
          <w:b/>
          <w:sz w:val="24"/>
          <w:szCs w:val="24"/>
        </w:rPr>
      </w:pPr>
      <w:r>
        <w:rPr>
          <w:rFonts w:ascii="Times New Roman" w:hAnsi="Times New Roman" w:cs="Times New Roman"/>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87"/>
        <w:gridCol w:w="990"/>
        <w:gridCol w:w="2932"/>
        <w:gridCol w:w="2933"/>
      </w:tblGrid>
      <w:tr w:rsidR="00710161" w:rsidTr="00710161">
        <w:tc>
          <w:tcPr>
            <w:tcW w:w="2460" w:type="dxa"/>
            <w:tcBorders>
              <w:top w:val="single" w:sz="4" w:space="0" w:color="000000"/>
              <w:left w:val="single" w:sz="4" w:space="0" w:color="000000"/>
              <w:bottom w:val="single" w:sz="4" w:space="0" w:color="000000"/>
              <w:right w:val="single" w:sz="4" w:space="0" w:color="auto"/>
            </w:tcBorders>
            <w:hideMark/>
          </w:tcPr>
          <w:p w:rsidR="00710161" w:rsidRDefault="00710161">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Pathogens</w:t>
            </w:r>
          </w:p>
        </w:tc>
        <w:tc>
          <w:tcPr>
            <w:tcW w:w="618" w:type="dxa"/>
            <w:tcBorders>
              <w:top w:val="single" w:sz="4" w:space="0" w:color="000000"/>
              <w:left w:val="single" w:sz="4" w:space="0" w:color="auto"/>
              <w:bottom w:val="single" w:sz="4" w:space="0" w:color="000000"/>
              <w:right w:val="single" w:sz="4" w:space="0" w:color="000000"/>
            </w:tcBorders>
          </w:tcPr>
          <w:p w:rsidR="00710161" w:rsidRDefault="00710161" w:rsidP="00710161">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Total Isolates</w:t>
            </w:r>
          </w:p>
        </w:tc>
        <w:tc>
          <w:tcPr>
            <w:tcW w:w="3079" w:type="dxa"/>
            <w:tcBorders>
              <w:top w:val="single" w:sz="4" w:space="0" w:color="000000"/>
              <w:left w:val="nil"/>
              <w:bottom w:val="single" w:sz="4" w:space="0" w:color="000000"/>
              <w:right w:val="single" w:sz="4" w:space="0" w:color="000000"/>
            </w:tcBorders>
            <w:hideMark/>
          </w:tcPr>
          <w:p w:rsidR="00710161" w:rsidRDefault="00710161">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Male  </w:t>
            </w:r>
            <w:r w:rsidR="00411D7B">
              <w:rPr>
                <w:rFonts w:ascii="Times New Roman" w:hAnsi="Times New Roman" w:cs="Times New Roman"/>
                <w:b/>
                <w:sz w:val="24"/>
                <w:szCs w:val="24"/>
              </w:rPr>
              <w:t>Patient</w:t>
            </w:r>
          </w:p>
        </w:tc>
        <w:tc>
          <w:tcPr>
            <w:tcW w:w="3079" w:type="dxa"/>
            <w:tcBorders>
              <w:top w:val="single" w:sz="4" w:space="0" w:color="000000"/>
              <w:left w:val="nil"/>
              <w:bottom w:val="single" w:sz="4" w:space="0" w:color="000000"/>
              <w:right w:val="single" w:sz="4" w:space="0" w:color="000000"/>
            </w:tcBorders>
            <w:hideMark/>
          </w:tcPr>
          <w:p w:rsidR="00710161" w:rsidRDefault="00710161">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Female  </w:t>
            </w:r>
            <w:r w:rsidR="00411D7B">
              <w:rPr>
                <w:rFonts w:ascii="Times New Roman" w:hAnsi="Times New Roman" w:cs="Times New Roman"/>
                <w:b/>
                <w:sz w:val="24"/>
                <w:szCs w:val="24"/>
              </w:rPr>
              <w:t>Patient</w:t>
            </w:r>
          </w:p>
        </w:tc>
      </w:tr>
      <w:tr w:rsidR="00710161" w:rsidTr="00710161">
        <w:tc>
          <w:tcPr>
            <w:tcW w:w="2460" w:type="dxa"/>
            <w:tcBorders>
              <w:top w:val="single" w:sz="4" w:space="0" w:color="000000"/>
              <w:left w:val="single" w:sz="4" w:space="0" w:color="000000"/>
              <w:bottom w:val="single" w:sz="4" w:space="0" w:color="000000"/>
              <w:right w:val="single" w:sz="4" w:space="0" w:color="auto"/>
            </w:tcBorders>
            <w:hideMark/>
          </w:tcPr>
          <w:p w:rsidR="00710161" w:rsidRDefault="00710161">
            <w:pPr>
              <w:spacing w:before="100" w:beforeAutospacing="1" w:line="480" w:lineRule="auto"/>
              <w:jc w:val="both"/>
              <w:rPr>
                <w:rFonts w:ascii="Times New Roman" w:hAnsi="Times New Roman" w:cs="Times New Roman"/>
                <w:b/>
                <w:i/>
                <w:sz w:val="24"/>
                <w:szCs w:val="24"/>
              </w:rPr>
            </w:pPr>
            <w:r>
              <w:rPr>
                <w:rFonts w:ascii="Times New Roman" w:hAnsi="Times New Roman" w:cs="Times New Roman"/>
                <w:b/>
                <w:i/>
                <w:sz w:val="24"/>
                <w:szCs w:val="24"/>
              </w:rPr>
              <w:t>Escherichia coli</w:t>
            </w:r>
          </w:p>
        </w:tc>
        <w:tc>
          <w:tcPr>
            <w:tcW w:w="618" w:type="dxa"/>
            <w:tcBorders>
              <w:top w:val="single" w:sz="4" w:space="0" w:color="000000"/>
              <w:left w:val="single" w:sz="4" w:space="0" w:color="auto"/>
              <w:bottom w:val="single" w:sz="4" w:space="0" w:color="000000"/>
              <w:right w:val="single" w:sz="4" w:space="0" w:color="000000"/>
            </w:tcBorders>
          </w:tcPr>
          <w:p w:rsidR="00710161" w:rsidRPr="00710161" w:rsidRDefault="00710161" w:rsidP="00710161">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166</w:t>
            </w:r>
          </w:p>
        </w:tc>
        <w:tc>
          <w:tcPr>
            <w:tcW w:w="3079" w:type="dxa"/>
            <w:tcBorders>
              <w:top w:val="single" w:sz="4" w:space="0" w:color="000000"/>
              <w:left w:val="nil"/>
              <w:bottom w:val="single" w:sz="4" w:space="0" w:color="000000"/>
              <w:right w:val="single" w:sz="4" w:space="0" w:color="000000"/>
            </w:tcBorders>
            <w:hideMark/>
          </w:tcPr>
          <w:p w:rsidR="00710161" w:rsidRDefault="00710161">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72</w:t>
            </w:r>
          </w:p>
        </w:tc>
        <w:tc>
          <w:tcPr>
            <w:tcW w:w="3079" w:type="dxa"/>
            <w:tcBorders>
              <w:top w:val="single" w:sz="4" w:space="0" w:color="000000"/>
              <w:left w:val="nil"/>
              <w:bottom w:val="single" w:sz="4" w:space="0" w:color="000000"/>
              <w:right w:val="single" w:sz="4" w:space="0" w:color="000000"/>
            </w:tcBorders>
            <w:hideMark/>
          </w:tcPr>
          <w:p w:rsidR="00710161" w:rsidRDefault="00710161">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94</w:t>
            </w:r>
          </w:p>
        </w:tc>
      </w:tr>
      <w:tr w:rsidR="00710161" w:rsidTr="00710161">
        <w:tc>
          <w:tcPr>
            <w:tcW w:w="2460" w:type="dxa"/>
            <w:tcBorders>
              <w:top w:val="single" w:sz="4" w:space="0" w:color="000000"/>
              <w:left w:val="single" w:sz="4" w:space="0" w:color="000000"/>
              <w:bottom w:val="single" w:sz="4" w:space="0" w:color="000000"/>
              <w:right w:val="single" w:sz="4" w:space="0" w:color="auto"/>
            </w:tcBorders>
            <w:hideMark/>
          </w:tcPr>
          <w:p w:rsidR="00710161" w:rsidRDefault="00710161">
            <w:pPr>
              <w:spacing w:before="100" w:beforeAutospacing="1" w:line="480" w:lineRule="auto"/>
              <w:jc w:val="both"/>
              <w:rPr>
                <w:rFonts w:ascii="Times New Roman" w:hAnsi="Times New Roman" w:cs="Times New Roman"/>
                <w:b/>
                <w:i/>
                <w:sz w:val="24"/>
                <w:szCs w:val="24"/>
              </w:rPr>
            </w:pPr>
            <w:r>
              <w:rPr>
                <w:rFonts w:ascii="Times New Roman" w:hAnsi="Times New Roman" w:cs="Times New Roman"/>
                <w:b/>
                <w:i/>
                <w:sz w:val="24"/>
                <w:szCs w:val="24"/>
              </w:rPr>
              <w:t xml:space="preserve">Klebsiella </w:t>
            </w:r>
            <w:r w:rsidR="0070403D">
              <w:rPr>
                <w:rFonts w:ascii="Times New Roman" w:hAnsi="Times New Roman" w:cs="Times New Roman"/>
                <w:b/>
                <w:i/>
                <w:sz w:val="24"/>
                <w:szCs w:val="24"/>
              </w:rPr>
              <w:t>pneumonia</w:t>
            </w:r>
          </w:p>
        </w:tc>
        <w:tc>
          <w:tcPr>
            <w:tcW w:w="618" w:type="dxa"/>
            <w:tcBorders>
              <w:top w:val="single" w:sz="4" w:space="0" w:color="000000"/>
              <w:left w:val="single" w:sz="4" w:space="0" w:color="auto"/>
              <w:bottom w:val="single" w:sz="4" w:space="0" w:color="000000"/>
              <w:right w:val="single" w:sz="4" w:space="0" w:color="000000"/>
            </w:tcBorders>
          </w:tcPr>
          <w:p w:rsidR="00710161" w:rsidRPr="00710161" w:rsidRDefault="00710161" w:rsidP="00710161">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3079" w:type="dxa"/>
            <w:tcBorders>
              <w:top w:val="single" w:sz="4" w:space="0" w:color="000000"/>
              <w:left w:val="nil"/>
              <w:bottom w:val="single" w:sz="4" w:space="0" w:color="000000"/>
              <w:right w:val="single" w:sz="4" w:space="0" w:color="000000"/>
            </w:tcBorders>
            <w:hideMark/>
          </w:tcPr>
          <w:p w:rsidR="00710161" w:rsidRDefault="00710161">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14</w:t>
            </w:r>
          </w:p>
        </w:tc>
        <w:tc>
          <w:tcPr>
            <w:tcW w:w="3079" w:type="dxa"/>
            <w:tcBorders>
              <w:top w:val="single" w:sz="4" w:space="0" w:color="000000"/>
              <w:left w:val="nil"/>
              <w:bottom w:val="single" w:sz="4" w:space="0" w:color="000000"/>
              <w:right w:val="single" w:sz="4" w:space="0" w:color="000000"/>
            </w:tcBorders>
            <w:hideMark/>
          </w:tcPr>
          <w:p w:rsidR="00710161" w:rsidRDefault="00710161">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26</w:t>
            </w:r>
          </w:p>
        </w:tc>
      </w:tr>
      <w:tr w:rsidR="00710161" w:rsidTr="00710161">
        <w:tc>
          <w:tcPr>
            <w:tcW w:w="2460" w:type="dxa"/>
            <w:tcBorders>
              <w:top w:val="single" w:sz="4" w:space="0" w:color="000000"/>
              <w:left w:val="single" w:sz="4" w:space="0" w:color="000000"/>
              <w:bottom w:val="single" w:sz="4" w:space="0" w:color="000000"/>
              <w:right w:val="single" w:sz="4" w:space="0" w:color="auto"/>
            </w:tcBorders>
            <w:hideMark/>
          </w:tcPr>
          <w:p w:rsidR="00710161" w:rsidRDefault="00710161">
            <w:pPr>
              <w:spacing w:before="100" w:beforeAutospacing="1" w:line="273" w:lineRule="auto"/>
              <w:jc w:val="both"/>
              <w:rPr>
                <w:rFonts w:ascii="Times New Roman" w:hAnsi="Times New Roman" w:cs="Times New Roman"/>
                <w:b/>
                <w:i/>
                <w:sz w:val="24"/>
                <w:szCs w:val="24"/>
              </w:rPr>
            </w:pPr>
            <w:r>
              <w:rPr>
                <w:rFonts w:ascii="Times New Roman" w:hAnsi="Times New Roman" w:cs="Times New Roman"/>
                <w:b/>
                <w:i/>
                <w:sz w:val="24"/>
                <w:szCs w:val="24"/>
              </w:rPr>
              <w:t>Proteus mirabilis &amp; Others Proteus Spp.</w:t>
            </w:r>
          </w:p>
        </w:tc>
        <w:tc>
          <w:tcPr>
            <w:tcW w:w="618" w:type="dxa"/>
            <w:tcBorders>
              <w:top w:val="single" w:sz="4" w:space="0" w:color="000000"/>
              <w:left w:val="single" w:sz="4" w:space="0" w:color="auto"/>
              <w:bottom w:val="single" w:sz="4" w:space="0" w:color="000000"/>
              <w:right w:val="single" w:sz="4" w:space="0" w:color="000000"/>
            </w:tcBorders>
          </w:tcPr>
          <w:p w:rsidR="00710161" w:rsidRPr="00710161" w:rsidRDefault="00710161">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09</w:t>
            </w:r>
          </w:p>
        </w:tc>
        <w:tc>
          <w:tcPr>
            <w:tcW w:w="3079" w:type="dxa"/>
            <w:tcBorders>
              <w:top w:val="single" w:sz="4" w:space="0" w:color="000000"/>
              <w:left w:val="nil"/>
              <w:bottom w:val="single" w:sz="4" w:space="0" w:color="000000"/>
              <w:right w:val="single" w:sz="4" w:space="0" w:color="000000"/>
            </w:tcBorders>
            <w:hideMark/>
          </w:tcPr>
          <w:p w:rsidR="00710161" w:rsidRDefault="00710161">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04</w:t>
            </w:r>
          </w:p>
        </w:tc>
        <w:tc>
          <w:tcPr>
            <w:tcW w:w="3079" w:type="dxa"/>
            <w:tcBorders>
              <w:top w:val="single" w:sz="4" w:space="0" w:color="000000"/>
              <w:left w:val="nil"/>
              <w:bottom w:val="single" w:sz="4" w:space="0" w:color="000000"/>
              <w:right w:val="single" w:sz="4" w:space="0" w:color="000000"/>
            </w:tcBorders>
            <w:hideMark/>
          </w:tcPr>
          <w:p w:rsidR="00710161" w:rsidRDefault="00710161">
            <w:pPr>
              <w:spacing w:before="100" w:before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05</w:t>
            </w:r>
          </w:p>
        </w:tc>
      </w:tr>
    </w:tbl>
    <w:p w:rsidR="00FE7BC6" w:rsidRDefault="00FE7BC6" w:rsidP="00FE7BC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E7BC6" w:rsidRDefault="00FE7BC6" w:rsidP="00FE7BC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E7BC6" w:rsidRDefault="00FE7BC6" w:rsidP="00FE7BC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E7BC6" w:rsidRDefault="00E455CD"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FE7BC6">
        <w:rPr>
          <w:rFonts w:ascii="Times New Roman" w:hAnsi="Times New Roman" w:cs="Times New Roman"/>
          <w:b/>
          <w:sz w:val="24"/>
          <w:szCs w:val="24"/>
        </w:rPr>
        <w:t>6. Percentage of Resistant &amp; Susceptibility of isolated</w:t>
      </w:r>
      <w:r w:rsidR="00FE7BC6">
        <w:rPr>
          <w:rFonts w:ascii="Times New Roman" w:hAnsi="Times New Roman" w:cs="Times New Roman"/>
          <w:b/>
          <w:i/>
          <w:sz w:val="24"/>
          <w:szCs w:val="24"/>
        </w:rPr>
        <w:t xml:space="preserve"> Escherichia coli</w:t>
      </w:r>
      <w:r w:rsidR="00FE7BC6">
        <w:rPr>
          <w:rFonts w:ascii="Times New Roman" w:hAnsi="Times New Roman" w:cs="Times New Roman"/>
          <w:b/>
          <w:sz w:val="24"/>
          <w:szCs w:val="24"/>
        </w:rPr>
        <w:t xml:space="preserve"> to tested  use of antibiotics: [&gt;50 TO 59 YEARS]</w:t>
      </w:r>
    </w:p>
    <w:p w:rsidR="00FE7BC6" w:rsidRDefault="00FE7BC6" w:rsidP="00FE7BC6">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FE7BC6" w:rsidRDefault="00FE7BC6" w:rsidP="00FE7BC6">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Total Isolates: 48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9"/>
        <w:gridCol w:w="29"/>
        <w:gridCol w:w="1421"/>
        <w:gridCol w:w="36"/>
        <w:gridCol w:w="1372"/>
        <w:gridCol w:w="1406"/>
        <w:gridCol w:w="46"/>
        <w:gridCol w:w="1407"/>
      </w:tblGrid>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Antibiotics</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R (No.)</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R (%)</w:t>
            </w:r>
          </w:p>
        </w:tc>
        <w:tc>
          <w:tcPr>
            <w:tcW w:w="1452"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S (No.)</w:t>
            </w:r>
          </w:p>
        </w:tc>
        <w:tc>
          <w:tcPr>
            <w:tcW w:w="1407"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S (%)</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rsidP="00E455CD">
            <w:pPr>
              <w:pStyle w:val="ListParagraph"/>
              <w:spacing w:before="100" w:beforeAutospacing="1" w:line="480" w:lineRule="auto"/>
              <w:ind w:left="360"/>
              <w:jc w:val="both"/>
              <w:rPr>
                <w:rFonts w:ascii="Times New Roman" w:eastAsia="Calibri" w:hAnsi="Times New Roman"/>
                <w:b/>
                <w:sz w:val="8"/>
                <w:szCs w:val="8"/>
              </w:rPr>
            </w:pPr>
            <w:r>
              <w:rPr>
                <w:rFonts w:ascii="Times New Roman" w:eastAsia="Calibri" w:hAnsi="Times New Roman"/>
                <w:b/>
                <w:sz w:val="24"/>
                <w:szCs w:val="24"/>
              </w:rPr>
              <w:t xml:space="preserve">Amoxicillin + Clavulanic acid </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36</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75.0%</w:t>
            </w:r>
          </w:p>
        </w:tc>
        <w:tc>
          <w:tcPr>
            <w:tcW w:w="1452"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12</w:t>
            </w:r>
          </w:p>
        </w:tc>
        <w:tc>
          <w:tcPr>
            <w:tcW w:w="1407"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25.0%</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rsidP="00E455CD">
            <w:pPr>
              <w:pStyle w:val="ListParagraph"/>
              <w:spacing w:before="100" w:beforeAutospacing="1" w:line="480" w:lineRule="auto"/>
              <w:ind w:left="360"/>
              <w:jc w:val="both"/>
              <w:rPr>
                <w:rFonts w:ascii="Times New Roman" w:eastAsia="Calibri" w:hAnsi="Times New Roman"/>
                <w:b/>
                <w:sz w:val="8"/>
                <w:szCs w:val="8"/>
              </w:rPr>
            </w:pPr>
            <w:r>
              <w:rPr>
                <w:rFonts w:ascii="Times New Roman" w:eastAsia="Calibri" w:hAnsi="Times New Roman"/>
                <w:b/>
                <w:sz w:val="24"/>
                <w:szCs w:val="24"/>
              </w:rPr>
              <w:t>Piperacillin/Tazobactam</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20</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41.0%</w:t>
            </w:r>
          </w:p>
        </w:tc>
        <w:tc>
          <w:tcPr>
            <w:tcW w:w="1452"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28</w:t>
            </w:r>
          </w:p>
        </w:tc>
        <w:tc>
          <w:tcPr>
            <w:tcW w:w="1407"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59.0%</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Cefoxitin</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36</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75.0%</w:t>
            </w:r>
          </w:p>
        </w:tc>
        <w:tc>
          <w:tcPr>
            <w:tcW w:w="1452"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12</w:t>
            </w:r>
          </w:p>
        </w:tc>
        <w:tc>
          <w:tcPr>
            <w:tcW w:w="1407"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25.0%</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spacing w:before="100" w:beforeAutospacing="1" w:line="360" w:lineRule="auto"/>
              <w:jc w:val="both"/>
              <w:rPr>
                <w:rFonts w:ascii="Times New Roman" w:hAnsi="Times New Roman" w:cs="Times New Roman"/>
                <w:b/>
                <w:sz w:val="24"/>
                <w:szCs w:val="24"/>
              </w:rPr>
            </w:pPr>
            <w:r>
              <w:rPr>
                <w:rFonts w:ascii="Times New Roman" w:hAnsi="Times New Roman" w:cs="Times New Roman"/>
                <w:b/>
                <w:sz w:val="24"/>
                <w:szCs w:val="24"/>
              </w:rPr>
              <w:t>Cefixime</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83.0%</w:t>
            </w:r>
          </w:p>
        </w:tc>
        <w:tc>
          <w:tcPr>
            <w:tcW w:w="1452"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08</w:t>
            </w:r>
          </w:p>
        </w:tc>
        <w:tc>
          <w:tcPr>
            <w:tcW w:w="1407"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17.0%</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Ceftriaxone</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32</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66.0%</w:t>
            </w:r>
          </w:p>
        </w:tc>
        <w:tc>
          <w:tcPr>
            <w:tcW w:w="1452"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16</w:t>
            </w:r>
          </w:p>
        </w:tc>
        <w:tc>
          <w:tcPr>
            <w:tcW w:w="1407"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34.0%</w:t>
            </w:r>
          </w:p>
        </w:tc>
      </w:tr>
      <w:tr w:rsidR="00FE7BC6" w:rsidTr="00FE7BC6">
        <w:tc>
          <w:tcPr>
            <w:tcW w:w="3519" w:type="dxa"/>
            <w:tcBorders>
              <w:top w:val="single" w:sz="4" w:space="0" w:color="000000"/>
              <w:left w:val="single" w:sz="4" w:space="0" w:color="000000"/>
              <w:bottom w:val="single" w:sz="4" w:space="0" w:color="000000"/>
              <w:right w:val="single" w:sz="4" w:space="0" w:color="auto"/>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 Cefipime</w:t>
            </w:r>
          </w:p>
        </w:tc>
        <w:tc>
          <w:tcPr>
            <w:tcW w:w="1450" w:type="dxa"/>
            <w:gridSpan w:val="2"/>
            <w:tcBorders>
              <w:top w:val="single" w:sz="4" w:space="0" w:color="000000"/>
              <w:left w:val="nil"/>
              <w:bottom w:val="single" w:sz="4" w:space="0" w:color="000000"/>
              <w:right w:val="single" w:sz="4" w:space="0" w:color="auto"/>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20</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41.0%</w:t>
            </w:r>
          </w:p>
        </w:tc>
        <w:tc>
          <w:tcPr>
            <w:tcW w:w="1452" w:type="dxa"/>
            <w:gridSpan w:val="2"/>
            <w:tcBorders>
              <w:top w:val="single" w:sz="4" w:space="0" w:color="000000"/>
              <w:left w:val="nil"/>
              <w:bottom w:val="single" w:sz="4" w:space="0" w:color="000000"/>
              <w:right w:val="single" w:sz="4" w:space="0" w:color="auto"/>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28</w:t>
            </w:r>
          </w:p>
        </w:tc>
        <w:tc>
          <w:tcPr>
            <w:tcW w:w="1407"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59.0%</w:t>
            </w:r>
          </w:p>
        </w:tc>
      </w:tr>
      <w:tr w:rsidR="00FE7BC6" w:rsidTr="00FE7BC6">
        <w:trPr>
          <w:trHeight w:val="636"/>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Cefoperazone/Sulbactam</w:t>
            </w:r>
          </w:p>
        </w:tc>
        <w:tc>
          <w:tcPr>
            <w:tcW w:w="1421" w:type="dxa"/>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08</w:t>
            </w:r>
          </w:p>
        </w:tc>
        <w:tc>
          <w:tcPr>
            <w:tcW w:w="1408" w:type="dxa"/>
            <w:gridSpan w:val="2"/>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17.0%</w:t>
            </w:r>
          </w:p>
        </w:tc>
        <w:tc>
          <w:tcPr>
            <w:tcW w:w="1452" w:type="dxa"/>
            <w:gridSpan w:val="2"/>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1407" w:type="dxa"/>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83.0%</w:t>
            </w:r>
          </w:p>
        </w:tc>
      </w:tr>
      <w:tr w:rsidR="00FE7BC6" w:rsidTr="00FE7BC6">
        <w:trPr>
          <w:trHeight w:val="651"/>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Norfloxacin</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12</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25.0%</w:t>
            </w:r>
          </w:p>
        </w:tc>
        <w:tc>
          <w:tcPr>
            <w:tcW w:w="1452"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36</w:t>
            </w:r>
          </w:p>
        </w:tc>
        <w:tc>
          <w:tcPr>
            <w:tcW w:w="1407"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75.0%</w:t>
            </w:r>
          </w:p>
        </w:tc>
      </w:tr>
      <w:tr w:rsidR="00FE7BC6" w:rsidTr="00FE7BC6">
        <w:trPr>
          <w:trHeight w:val="833"/>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Ciprofloxacin</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83.0%</w:t>
            </w:r>
          </w:p>
        </w:tc>
        <w:tc>
          <w:tcPr>
            <w:tcW w:w="1452"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08</w:t>
            </w:r>
          </w:p>
        </w:tc>
        <w:tc>
          <w:tcPr>
            <w:tcW w:w="1407"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17.0%</w:t>
            </w:r>
          </w:p>
        </w:tc>
      </w:tr>
      <w:tr w:rsidR="00FE7BC6" w:rsidTr="00FE7BC6">
        <w:trPr>
          <w:trHeight w:val="806"/>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Amikacin </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04</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8.0%</w:t>
            </w:r>
          </w:p>
        </w:tc>
        <w:tc>
          <w:tcPr>
            <w:tcW w:w="1452"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44</w:t>
            </w:r>
          </w:p>
        </w:tc>
        <w:tc>
          <w:tcPr>
            <w:tcW w:w="1407"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92.0%</w:t>
            </w:r>
          </w:p>
        </w:tc>
      </w:tr>
      <w:tr w:rsidR="00FE7BC6" w:rsidTr="00FE7BC6">
        <w:trPr>
          <w:trHeight w:val="681"/>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Ertapenem</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08</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17.0%</w:t>
            </w:r>
          </w:p>
        </w:tc>
        <w:tc>
          <w:tcPr>
            <w:tcW w:w="1452"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40</w:t>
            </w:r>
          </w:p>
        </w:tc>
        <w:tc>
          <w:tcPr>
            <w:tcW w:w="1407"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83.0%</w:t>
            </w:r>
          </w:p>
        </w:tc>
      </w:tr>
      <w:tr w:rsidR="00FE7BC6" w:rsidTr="00FE7BC6">
        <w:trPr>
          <w:trHeight w:val="840"/>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Meropem</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04</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8.0%</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44</w:t>
            </w:r>
          </w:p>
        </w:tc>
        <w:tc>
          <w:tcPr>
            <w:tcW w:w="1453"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92.0%</w:t>
            </w:r>
          </w:p>
        </w:tc>
      </w:tr>
      <w:tr w:rsidR="00FE7BC6" w:rsidTr="00FE7BC6">
        <w:trPr>
          <w:trHeight w:val="960"/>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cs="Times New Roman"/>
                <w:b/>
                <w:sz w:val="20"/>
                <w:szCs w:val="20"/>
              </w:rPr>
            </w:pPr>
            <w:r>
              <w:rPr>
                <w:rFonts w:ascii="Times New Roman" w:eastAsia="Calibri" w:hAnsi="Times New Roman"/>
                <w:b/>
                <w:sz w:val="20"/>
                <w:szCs w:val="20"/>
              </w:rPr>
              <w:t xml:space="preserve"> Co-trimoxazole [Trimethoprim+ Sulphamethoxale]</w:t>
            </w:r>
          </w:p>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 </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41.0%</w:t>
            </w:r>
          </w:p>
        </w:tc>
        <w:tc>
          <w:tcPr>
            <w:tcW w:w="1452"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28</w:t>
            </w:r>
          </w:p>
        </w:tc>
        <w:tc>
          <w:tcPr>
            <w:tcW w:w="1407"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59.0%</w:t>
            </w:r>
          </w:p>
        </w:tc>
      </w:tr>
      <w:tr w:rsidR="00FE7BC6" w:rsidTr="00FE7BC6">
        <w:trPr>
          <w:trHeight w:val="566"/>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Nitrofurantoin </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21.0%</w:t>
            </w:r>
          </w:p>
        </w:tc>
        <w:tc>
          <w:tcPr>
            <w:tcW w:w="1452"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38</w:t>
            </w:r>
          </w:p>
        </w:tc>
        <w:tc>
          <w:tcPr>
            <w:tcW w:w="1407"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79.0%</w:t>
            </w:r>
          </w:p>
        </w:tc>
      </w:tr>
      <w:tr w:rsidR="00FE7BC6" w:rsidTr="00FE7BC6">
        <w:trPr>
          <w:trHeight w:val="514"/>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 Colistin</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46</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96.0%</w:t>
            </w:r>
          </w:p>
        </w:tc>
        <w:tc>
          <w:tcPr>
            <w:tcW w:w="1452"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02</w:t>
            </w:r>
          </w:p>
        </w:tc>
        <w:tc>
          <w:tcPr>
            <w:tcW w:w="1407"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4.0%</w:t>
            </w:r>
          </w:p>
        </w:tc>
      </w:tr>
    </w:tbl>
    <w:p w:rsidR="00FE7BC6" w:rsidRDefault="00FE7BC6" w:rsidP="00FE7B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jc w:val="center"/>
        <w:rPr>
          <w:rFonts w:ascii="Times New Roman" w:hAnsi="Times New Roman" w:cs="Times New Roman"/>
          <w:b/>
          <w:sz w:val="24"/>
          <w:szCs w:val="24"/>
        </w:rPr>
      </w:pPr>
      <w:r>
        <w:rPr>
          <w:noProof/>
          <w:lang w:eastAsia="en-IN"/>
        </w:rPr>
        <w:drawing>
          <wp:inline distT="0" distB="0" distL="0" distR="0">
            <wp:extent cx="5734050" cy="2847975"/>
            <wp:effectExtent l="19050" t="0" r="0" b="0"/>
            <wp:docPr id="1" name="Picture 1" descr="C:\Users\Biswajit\AppData\Local\Temp\ksohtml722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swajit\AppData\Local\Temp\ksohtml7228\wps1.jpg"/>
                    <pic:cNvPicPr>
                      <a:picLocks noChangeAspect="1" noChangeArrowheads="1"/>
                    </pic:cNvPicPr>
                  </pic:nvPicPr>
                  <pic:blipFill>
                    <a:blip r:embed="rId13"/>
                    <a:srcRect/>
                    <a:stretch>
                      <a:fillRect/>
                    </a:stretch>
                  </pic:blipFill>
                  <pic:spPr bwMode="auto">
                    <a:xfrm>
                      <a:off x="0" y="0"/>
                      <a:ext cx="5734050" cy="2847975"/>
                    </a:xfrm>
                    <a:prstGeom prst="rect">
                      <a:avLst/>
                    </a:prstGeom>
                    <a:noFill/>
                    <a:ln w="9525">
                      <a:noFill/>
                      <a:miter lim="800000"/>
                      <a:headEnd/>
                      <a:tailEnd/>
                    </a:ln>
                  </pic:spPr>
                </pic:pic>
              </a:graphicData>
            </a:graphic>
          </wp:inline>
        </w:drawing>
      </w:r>
      <w:r>
        <w:rPr>
          <w:rFonts w:ascii="Times New Roman" w:hAnsi="Times New Roman" w:cs="Times New Roman"/>
          <w:b/>
          <w:sz w:val="24"/>
          <w:szCs w:val="24"/>
        </w:rPr>
        <w:t xml:space="preserve"> </w:t>
      </w:r>
    </w:p>
    <w:p w:rsidR="00EC1694" w:rsidRDefault="00FE7BC6" w:rsidP="00EC16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EC1694">
        <w:rPr>
          <w:rFonts w:ascii="Times New Roman" w:eastAsia="Calibri" w:hAnsi="Times New Roman" w:cs="Times New Roman"/>
          <w:b/>
          <w:sz w:val="24"/>
          <w:szCs w:val="24"/>
        </w:rPr>
        <w:t xml:space="preserve">Fig: 1. Pattern of </w:t>
      </w:r>
      <w:r w:rsidR="00EC1694">
        <w:rPr>
          <w:rFonts w:ascii="Times New Roman" w:eastAsia="Calibri" w:hAnsi="Times New Roman" w:cs="Times New Roman"/>
          <w:b/>
          <w:i/>
          <w:sz w:val="24"/>
          <w:szCs w:val="24"/>
        </w:rPr>
        <w:t>Escherichia coli</w:t>
      </w:r>
      <w:r w:rsidR="00EC1694">
        <w:rPr>
          <w:rFonts w:ascii="Times New Roman" w:eastAsia="Calibri" w:hAnsi="Times New Roman" w:cs="Times New Roman"/>
          <w:b/>
          <w:sz w:val="24"/>
          <w:szCs w:val="24"/>
        </w:rPr>
        <w:t xml:space="preserve"> Resistant &amp; Sensitive [&gt;50to 59 Years] </w:t>
      </w:r>
    </w:p>
    <w:p w:rsidR="00EC1694" w:rsidRDefault="00EC1694" w:rsidP="00EC1694">
      <w:pPr>
        <w:spacing w:line="480" w:lineRule="auto"/>
        <w:jc w:val="center"/>
        <w:rPr>
          <w:rFonts w:ascii="Times New Roman" w:hAnsi="Times New Roman" w:cs="Times New Roman"/>
          <w:b/>
          <w:sz w:val="24"/>
          <w:szCs w:val="24"/>
        </w:rPr>
      </w:pPr>
      <w:r>
        <w:rPr>
          <w:rFonts w:ascii="Times New Roman" w:eastAsia="Calibri" w:hAnsi="Times New Roman" w:cs="Times New Roman"/>
          <w:b/>
          <w:sz w:val="24"/>
          <w:szCs w:val="24"/>
        </w:rPr>
        <w:t xml:space="preserve"> </w:t>
      </w:r>
    </w:p>
    <w:p w:rsidR="00FE7BC6" w:rsidRDefault="00FE7BC6" w:rsidP="00FE7BC6">
      <w:pPr>
        <w:spacing w:line="480" w:lineRule="auto"/>
        <w:jc w:val="center"/>
        <w:rPr>
          <w:rFonts w:ascii="Times New Roman" w:hAnsi="Times New Roman" w:cs="Times New Roman"/>
          <w:b/>
          <w:sz w:val="24"/>
          <w:szCs w:val="24"/>
        </w:rPr>
      </w:pPr>
    </w:p>
    <w:p w:rsidR="00FE7BC6" w:rsidRDefault="00FE7BC6" w:rsidP="00FE7B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p>
    <w:p w:rsidR="00FE7BC6" w:rsidRDefault="00FE7BC6" w:rsidP="00FE7BC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E455CD"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FE7BC6">
        <w:rPr>
          <w:rFonts w:ascii="Times New Roman" w:hAnsi="Times New Roman" w:cs="Times New Roman"/>
          <w:b/>
          <w:sz w:val="24"/>
          <w:szCs w:val="24"/>
        </w:rPr>
        <w:t>7. Percentage of Resistant &amp; Susceptibility of isolated</w:t>
      </w:r>
      <w:r w:rsidR="00FE7BC6">
        <w:rPr>
          <w:rFonts w:ascii="Times New Roman" w:hAnsi="Times New Roman" w:cs="Times New Roman"/>
          <w:b/>
          <w:i/>
          <w:sz w:val="24"/>
          <w:szCs w:val="24"/>
        </w:rPr>
        <w:t xml:space="preserve"> Klebsiella pneumoniae to</w:t>
      </w:r>
      <w:r w:rsidR="00FE7BC6">
        <w:rPr>
          <w:rFonts w:ascii="Times New Roman" w:hAnsi="Times New Roman" w:cs="Times New Roman"/>
          <w:b/>
          <w:sz w:val="24"/>
          <w:szCs w:val="24"/>
        </w:rPr>
        <w:t xml:space="preserve"> tested  use of antibiotics: [&gt;50 TO 59 YEARS]</w:t>
      </w:r>
    </w:p>
    <w:p w:rsidR="00FE7BC6" w:rsidRDefault="00FE7BC6"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Total Isolates: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9"/>
        <w:gridCol w:w="29"/>
        <w:gridCol w:w="1421"/>
        <w:gridCol w:w="36"/>
        <w:gridCol w:w="1372"/>
        <w:gridCol w:w="1406"/>
        <w:gridCol w:w="34"/>
        <w:gridCol w:w="6"/>
        <w:gridCol w:w="1413"/>
      </w:tblGrid>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Antibiotics</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R (No.)</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R (%)</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S (No.)</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S (%)</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rsidP="00E455CD">
            <w:pPr>
              <w:pStyle w:val="ListParagraph"/>
              <w:spacing w:before="100" w:beforeAutospacing="1" w:line="480" w:lineRule="auto"/>
              <w:ind w:left="360"/>
              <w:jc w:val="both"/>
              <w:rPr>
                <w:rFonts w:ascii="Times New Roman" w:eastAsia="Calibri" w:hAnsi="Times New Roman"/>
                <w:b/>
                <w:sz w:val="8"/>
                <w:szCs w:val="8"/>
              </w:rPr>
            </w:pPr>
            <w:r>
              <w:rPr>
                <w:rFonts w:ascii="Times New Roman" w:eastAsia="Calibri" w:hAnsi="Times New Roman"/>
                <w:b/>
                <w:sz w:val="24"/>
                <w:szCs w:val="24"/>
              </w:rPr>
              <w:t xml:space="preserve">Amoxicillin + Clavulanic acid </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71.0%</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04</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29.0%</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rsidP="00E455CD">
            <w:pPr>
              <w:pStyle w:val="ListParagraph"/>
              <w:spacing w:before="100" w:beforeAutospacing="1" w:line="480" w:lineRule="auto"/>
              <w:ind w:left="360"/>
              <w:jc w:val="both"/>
              <w:rPr>
                <w:rFonts w:ascii="Times New Roman" w:eastAsia="Calibri" w:hAnsi="Times New Roman"/>
                <w:b/>
                <w:sz w:val="8"/>
                <w:szCs w:val="8"/>
              </w:rPr>
            </w:pPr>
            <w:r>
              <w:rPr>
                <w:rFonts w:ascii="Times New Roman" w:eastAsia="Calibri" w:hAnsi="Times New Roman"/>
                <w:b/>
                <w:sz w:val="24"/>
                <w:szCs w:val="24"/>
              </w:rPr>
              <w:t>Piperacillin/Tazobactam</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71.0%</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04</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29.0%</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Cefoxitin</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71.0%</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04</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29.0%</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spacing w:before="100" w:beforeAutospacing="1" w:line="360" w:lineRule="auto"/>
              <w:jc w:val="both"/>
              <w:rPr>
                <w:rFonts w:ascii="Times New Roman" w:hAnsi="Times New Roman" w:cs="Times New Roman"/>
                <w:b/>
                <w:sz w:val="24"/>
                <w:szCs w:val="24"/>
              </w:rPr>
            </w:pPr>
            <w:r>
              <w:rPr>
                <w:rFonts w:ascii="Times New Roman" w:hAnsi="Times New Roman" w:cs="Times New Roman"/>
                <w:b/>
                <w:sz w:val="24"/>
                <w:szCs w:val="24"/>
              </w:rPr>
              <w:t>Cefixime</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71.0%</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04</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29.0%</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Ceftriaxone</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12</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86.0%</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14.0%</w:t>
            </w:r>
          </w:p>
        </w:tc>
      </w:tr>
      <w:tr w:rsidR="00FE7BC6" w:rsidTr="00FE7BC6">
        <w:tc>
          <w:tcPr>
            <w:tcW w:w="3519" w:type="dxa"/>
            <w:tcBorders>
              <w:top w:val="single" w:sz="4" w:space="0" w:color="000000"/>
              <w:left w:val="single" w:sz="4" w:space="0" w:color="000000"/>
              <w:bottom w:val="single" w:sz="4" w:space="0" w:color="000000"/>
              <w:right w:val="single" w:sz="4" w:space="0" w:color="auto"/>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 Cefipime</w:t>
            </w:r>
          </w:p>
        </w:tc>
        <w:tc>
          <w:tcPr>
            <w:tcW w:w="1450" w:type="dxa"/>
            <w:gridSpan w:val="2"/>
            <w:tcBorders>
              <w:top w:val="single" w:sz="4" w:space="0" w:color="000000"/>
              <w:left w:val="nil"/>
              <w:bottom w:val="single" w:sz="4" w:space="0" w:color="000000"/>
              <w:right w:val="single" w:sz="4" w:space="0" w:color="auto"/>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12</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86.0%</w:t>
            </w:r>
          </w:p>
        </w:tc>
        <w:tc>
          <w:tcPr>
            <w:tcW w:w="1446" w:type="dxa"/>
            <w:gridSpan w:val="3"/>
            <w:tcBorders>
              <w:top w:val="single" w:sz="4" w:space="0" w:color="000000"/>
              <w:left w:val="nil"/>
              <w:bottom w:val="single" w:sz="4" w:space="0" w:color="000000"/>
              <w:right w:val="single" w:sz="4" w:space="0" w:color="auto"/>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14.0%</w:t>
            </w:r>
          </w:p>
        </w:tc>
      </w:tr>
      <w:tr w:rsidR="00FE7BC6" w:rsidTr="00FE7BC6">
        <w:trPr>
          <w:trHeight w:val="636"/>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Cefoperazone/Sulbactam</w:t>
            </w:r>
          </w:p>
        </w:tc>
        <w:tc>
          <w:tcPr>
            <w:tcW w:w="1421" w:type="dxa"/>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1408" w:type="dxa"/>
            <w:gridSpan w:val="2"/>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71.0%</w:t>
            </w:r>
          </w:p>
        </w:tc>
        <w:tc>
          <w:tcPr>
            <w:tcW w:w="1440" w:type="dxa"/>
            <w:gridSpan w:val="2"/>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04</w:t>
            </w:r>
          </w:p>
        </w:tc>
        <w:tc>
          <w:tcPr>
            <w:tcW w:w="1419" w:type="dxa"/>
            <w:gridSpan w:val="2"/>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29.0%</w:t>
            </w:r>
          </w:p>
        </w:tc>
      </w:tr>
      <w:tr w:rsidR="00FE7BC6" w:rsidTr="00FE7BC6">
        <w:trPr>
          <w:trHeight w:val="651"/>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Norfloxacin</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09</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64.0%</w:t>
            </w:r>
          </w:p>
        </w:tc>
        <w:tc>
          <w:tcPr>
            <w:tcW w:w="1440"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05</w:t>
            </w:r>
          </w:p>
        </w:tc>
        <w:tc>
          <w:tcPr>
            <w:tcW w:w="1419"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36.0%</w:t>
            </w:r>
          </w:p>
        </w:tc>
      </w:tr>
      <w:tr w:rsidR="00FE7BC6" w:rsidTr="00FE7BC6">
        <w:trPr>
          <w:trHeight w:val="833"/>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Ciprofloxacin</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09</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64.0%</w:t>
            </w:r>
          </w:p>
        </w:tc>
        <w:tc>
          <w:tcPr>
            <w:tcW w:w="1440"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05</w:t>
            </w:r>
          </w:p>
        </w:tc>
        <w:tc>
          <w:tcPr>
            <w:tcW w:w="1419"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36.0%</w:t>
            </w:r>
          </w:p>
        </w:tc>
      </w:tr>
      <w:tr w:rsidR="00FE7BC6" w:rsidTr="00FE7BC6">
        <w:trPr>
          <w:trHeight w:val="806"/>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Amikacin </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12</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86.0%</w:t>
            </w:r>
          </w:p>
        </w:tc>
        <w:tc>
          <w:tcPr>
            <w:tcW w:w="1440"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1419"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14.0%</w:t>
            </w:r>
          </w:p>
        </w:tc>
      </w:tr>
      <w:tr w:rsidR="00FE7BC6" w:rsidTr="00FE7BC6">
        <w:trPr>
          <w:trHeight w:val="681"/>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Ertapenem</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10</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71.0%</w:t>
            </w:r>
          </w:p>
        </w:tc>
        <w:tc>
          <w:tcPr>
            <w:tcW w:w="1440"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04</w:t>
            </w:r>
          </w:p>
        </w:tc>
        <w:tc>
          <w:tcPr>
            <w:tcW w:w="1419"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29.0%</w:t>
            </w:r>
          </w:p>
        </w:tc>
      </w:tr>
      <w:tr w:rsidR="00FE7BC6" w:rsidTr="00FE7BC6">
        <w:trPr>
          <w:trHeight w:val="840"/>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Meropem</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08</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57.0%</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06</w:t>
            </w:r>
          </w:p>
        </w:tc>
        <w:tc>
          <w:tcPr>
            <w:tcW w:w="1453" w:type="dxa"/>
            <w:gridSpan w:val="3"/>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43.0%</w:t>
            </w:r>
          </w:p>
        </w:tc>
      </w:tr>
      <w:tr w:rsidR="00FE7BC6" w:rsidTr="00FE7BC6">
        <w:trPr>
          <w:trHeight w:val="977"/>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0"/>
                <w:szCs w:val="20"/>
              </w:rPr>
              <w:t xml:space="preserve"> Co-trimoxazole [Trimethoprim+ Sulphamethoxale]</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71.0%</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04</w:t>
            </w:r>
          </w:p>
        </w:tc>
        <w:tc>
          <w:tcPr>
            <w:tcW w:w="1453" w:type="dxa"/>
            <w:gridSpan w:val="3"/>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29.0%</w:t>
            </w:r>
          </w:p>
        </w:tc>
      </w:tr>
      <w:tr w:rsidR="00FE7BC6" w:rsidTr="00FE7BC6">
        <w:trPr>
          <w:trHeight w:val="878"/>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0"/>
                <w:szCs w:val="20"/>
              </w:rPr>
            </w:pPr>
            <w:r>
              <w:rPr>
                <w:rFonts w:ascii="Times New Roman" w:eastAsia="Calibri" w:hAnsi="Times New Roman"/>
                <w:b/>
                <w:sz w:val="24"/>
                <w:szCs w:val="24"/>
              </w:rPr>
              <w:t xml:space="preserve"> </w:t>
            </w:r>
          </w:p>
        </w:tc>
        <w:tc>
          <w:tcPr>
            <w:tcW w:w="1457" w:type="dxa"/>
            <w:gridSpan w:val="2"/>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c>
          <w:tcPr>
            <w:tcW w:w="1372" w:type="dxa"/>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c>
          <w:tcPr>
            <w:tcW w:w="1406" w:type="dxa"/>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c>
          <w:tcPr>
            <w:tcW w:w="1453" w:type="dxa"/>
            <w:gridSpan w:val="3"/>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r>
      <w:tr w:rsidR="00FE7BC6" w:rsidTr="00FE7BC6">
        <w:trPr>
          <w:trHeight w:val="566"/>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Nitrofurantoin </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71.0%</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04</w:t>
            </w:r>
          </w:p>
        </w:tc>
        <w:tc>
          <w:tcPr>
            <w:tcW w:w="1453" w:type="dxa"/>
            <w:gridSpan w:val="3"/>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29.0%</w:t>
            </w:r>
          </w:p>
        </w:tc>
      </w:tr>
      <w:tr w:rsidR="00FE7BC6" w:rsidTr="00FE7BC6">
        <w:trPr>
          <w:trHeight w:val="514"/>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 Colistin</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86.0%</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02</w:t>
            </w:r>
          </w:p>
        </w:tc>
        <w:tc>
          <w:tcPr>
            <w:tcW w:w="1453" w:type="dxa"/>
            <w:gridSpan w:val="3"/>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14.0%</w:t>
            </w:r>
          </w:p>
        </w:tc>
      </w:tr>
      <w:tr w:rsidR="00FE7BC6" w:rsidTr="00FE7BC6">
        <w:trPr>
          <w:trHeight w:val="514"/>
        </w:trPr>
        <w:tc>
          <w:tcPr>
            <w:tcW w:w="3548" w:type="dxa"/>
            <w:gridSpan w:val="2"/>
            <w:tcBorders>
              <w:top w:val="single" w:sz="4" w:space="0" w:color="auto"/>
              <w:left w:val="single" w:sz="4" w:space="0" w:color="auto"/>
              <w:bottom w:val="single" w:sz="4" w:space="0" w:color="auto"/>
              <w:right w:val="single" w:sz="4" w:space="0" w:color="auto"/>
            </w:tcBorders>
          </w:tcPr>
          <w:p w:rsidR="00FE7BC6" w:rsidRDefault="00FE7BC6">
            <w:pPr>
              <w:pStyle w:val="ListParagraph"/>
              <w:spacing w:line="480" w:lineRule="auto"/>
              <w:ind w:left="0"/>
              <w:jc w:val="both"/>
              <w:rPr>
                <w:rFonts w:ascii="Times New Roman" w:eastAsia="Calibri" w:hAnsi="Times New Roman"/>
                <w:b/>
                <w:sz w:val="24"/>
                <w:szCs w:val="24"/>
              </w:rPr>
            </w:pPr>
          </w:p>
        </w:tc>
        <w:tc>
          <w:tcPr>
            <w:tcW w:w="1457" w:type="dxa"/>
            <w:gridSpan w:val="2"/>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c>
          <w:tcPr>
            <w:tcW w:w="1372" w:type="dxa"/>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c>
          <w:tcPr>
            <w:tcW w:w="1406" w:type="dxa"/>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c>
          <w:tcPr>
            <w:tcW w:w="1453" w:type="dxa"/>
            <w:gridSpan w:val="3"/>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r>
    </w:tbl>
    <w:p w:rsidR="00FE7BC6" w:rsidRDefault="00FE7BC6" w:rsidP="00FE7B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jc w:val="both"/>
        <w:rPr>
          <w:rFonts w:ascii="Times New Roman" w:hAnsi="Times New Roman" w:cs="Times New Roman"/>
          <w:b/>
          <w:sz w:val="24"/>
          <w:szCs w:val="24"/>
        </w:rPr>
      </w:pPr>
      <w:r>
        <w:rPr>
          <w:noProof/>
          <w:lang w:eastAsia="en-IN"/>
        </w:rPr>
        <w:drawing>
          <wp:inline distT="0" distB="0" distL="0" distR="0">
            <wp:extent cx="5648325" cy="2809875"/>
            <wp:effectExtent l="19050" t="0" r="9525" b="0"/>
            <wp:docPr id="2" name="Picture 2" descr="C:\Users\Biswajit\AppData\Local\Temp\ksohtml7228\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wajit\AppData\Local\Temp\ksohtml7228\wps2.jpg"/>
                    <pic:cNvPicPr>
                      <a:picLocks noChangeAspect="1" noChangeArrowheads="1"/>
                    </pic:cNvPicPr>
                  </pic:nvPicPr>
                  <pic:blipFill>
                    <a:blip r:embed="rId14"/>
                    <a:srcRect/>
                    <a:stretch>
                      <a:fillRect/>
                    </a:stretch>
                  </pic:blipFill>
                  <pic:spPr bwMode="auto">
                    <a:xfrm>
                      <a:off x="0" y="0"/>
                      <a:ext cx="5648325" cy="2809875"/>
                    </a:xfrm>
                    <a:prstGeom prst="rect">
                      <a:avLst/>
                    </a:prstGeom>
                    <a:noFill/>
                    <a:ln w="9525">
                      <a:noFill/>
                      <a:miter lim="800000"/>
                      <a:headEnd/>
                      <a:tailEnd/>
                    </a:ln>
                  </pic:spPr>
                </pic:pic>
              </a:graphicData>
            </a:graphic>
          </wp:inline>
        </w:drawing>
      </w:r>
      <w:r>
        <w:rPr>
          <w:rFonts w:ascii="Times New Roman" w:hAnsi="Times New Roman" w:cs="Times New Roman"/>
          <w:b/>
          <w:sz w:val="24"/>
          <w:szCs w:val="24"/>
        </w:rPr>
        <w:t xml:space="preserve"> </w:t>
      </w:r>
    </w:p>
    <w:p w:rsidR="00DF34E1" w:rsidRDefault="00DF34E1" w:rsidP="00DF34E1">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Fig: 2. Pattern of </w:t>
      </w:r>
      <w:r>
        <w:rPr>
          <w:rFonts w:ascii="Times New Roman" w:eastAsia="Calibri" w:hAnsi="Times New Roman" w:cs="Times New Roman"/>
          <w:b/>
          <w:i/>
          <w:sz w:val="24"/>
          <w:szCs w:val="24"/>
        </w:rPr>
        <w:t>Klebsiella pneumoniae</w:t>
      </w:r>
      <w:r>
        <w:rPr>
          <w:rFonts w:ascii="Times New Roman" w:eastAsia="Calibri" w:hAnsi="Times New Roman" w:cs="Times New Roman"/>
          <w:b/>
          <w:sz w:val="24"/>
          <w:szCs w:val="24"/>
        </w:rPr>
        <w:t xml:space="preserve"> Resistant &amp; Sensitive [&gt;50 to 59 Years]</w:t>
      </w:r>
    </w:p>
    <w:p w:rsidR="00DF34E1" w:rsidRDefault="00DF34E1" w:rsidP="00DF34E1">
      <w:pPr>
        <w:spacing w:after="0" w:line="360" w:lineRule="auto"/>
        <w:jc w:val="both"/>
        <w:rPr>
          <w:rFonts w:ascii="Times New Roman" w:eastAsia="Times New Roman" w:hAnsi="Times New Roman" w:cs="Times New Roman"/>
          <w:b/>
          <w:sz w:val="24"/>
          <w:szCs w:val="24"/>
        </w:rPr>
      </w:pPr>
      <w:r>
        <w:rPr>
          <w:rFonts w:ascii="Times New Roman" w:eastAsia="Calibri" w:hAnsi="Times New Roman" w:cs="Times New Roman"/>
          <w:b/>
          <w:sz w:val="24"/>
          <w:szCs w:val="24"/>
        </w:rPr>
        <w:t xml:space="preserve"> </w:t>
      </w:r>
    </w:p>
    <w:p w:rsidR="00FE7BC6" w:rsidRDefault="00FE7BC6" w:rsidP="00FE7BC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E455CD" w:rsidRDefault="00E455CD" w:rsidP="00FE7BC6">
      <w:pPr>
        <w:spacing w:after="0" w:line="360" w:lineRule="auto"/>
        <w:jc w:val="both"/>
        <w:rPr>
          <w:rFonts w:ascii="Times New Roman" w:hAnsi="Times New Roman" w:cs="Times New Roman"/>
          <w:b/>
          <w:sz w:val="24"/>
          <w:szCs w:val="24"/>
        </w:rPr>
      </w:pPr>
    </w:p>
    <w:p w:rsidR="00E455CD" w:rsidRDefault="00E455CD" w:rsidP="00FE7BC6">
      <w:pPr>
        <w:spacing w:after="0" w:line="360" w:lineRule="auto"/>
        <w:jc w:val="both"/>
        <w:rPr>
          <w:rFonts w:ascii="Times New Roman" w:hAnsi="Times New Roman" w:cs="Times New Roman"/>
          <w:b/>
          <w:sz w:val="24"/>
          <w:szCs w:val="24"/>
        </w:rPr>
      </w:pPr>
    </w:p>
    <w:p w:rsidR="00E455CD" w:rsidRDefault="00E455CD" w:rsidP="00FE7BC6">
      <w:pPr>
        <w:spacing w:after="0" w:line="360" w:lineRule="auto"/>
        <w:jc w:val="both"/>
        <w:rPr>
          <w:rFonts w:ascii="Times New Roman" w:hAnsi="Times New Roman" w:cs="Times New Roman"/>
          <w:b/>
          <w:sz w:val="24"/>
          <w:szCs w:val="24"/>
        </w:rPr>
      </w:pPr>
    </w:p>
    <w:p w:rsidR="00E455CD" w:rsidRDefault="00E455CD" w:rsidP="00FE7BC6">
      <w:pPr>
        <w:spacing w:after="0" w:line="360" w:lineRule="auto"/>
        <w:jc w:val="both"/>
        <w:rPr>
          <w:rFonts w:ascii="Times New Roman" w:hAnsi="Times New Roman" w:cs="Times New Roman"/>
          <w:b/>
          <w:sz w:val="24"/>
          <w:szCs w:val="24"/>
        </w:rPr>
      </w:pPr>
    </w:p>
    <w:p w:rsidR="00FE7BC6" w:rsidRDefault="00FE7BC6"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E455CD"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FE7BC6">
        <w:rPr>
          <w:rFonts w:ascii="Times New Roman" w:hAnsi="Times New Roman" w:cs="Times New Roman"/>
          <w:b/>
          <w:sz w:val="24"/>
          <w:szCs w:val="24"/>
        </w:rPr>
        <w:t xml:space="preserve">8. Percentage of Resistant &amp; Susceptibility of isolated others </w:t>
      </w:r>
      <w:r w:rsidR="00FE7BC6">
        <w:rPr>
          <w:rFonts w:ascii="Times New Roman" w:hAnsi="Times New Roman" w:cs="Times New Roman"/>
          <w:b/>
          <w:i/>
          <w:sz w:val="24"/>
          <w:szCs w:val="24"/>
        </w:rPr>
        <w:t xml:space="preserve">Proteus mirabilis &amp; Others Proteus Spp. </w:t>
      </w:r>
      <w:r w:rsidR="00FE7BC6">
        <w:rPr>
          <w:rFonts w:ascii="Times New Roman" w:hAnsi="Times New Roman" w:cs="Times New Roman"/>
          <w:b/>
          <w:sz w:val="24"/>
          <w:szCs w:val="24"/>
        </w:rPr>
        <w:t>to use of antibiotics: [&gt;50 TO 59 YEARS]</w:t>
      </w:r>
    </w:p>
    <w:p w:rsidR="00FE7BC6" w:rsidRDefault="00FE7BC6"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Total Isolates: 04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9"/>
        <w:gridCol w:w="29"/>
        <w:gridCol w:w="1421"/>
        <w:gridCol w:w="36"/>
        <w:gridCol w:w="1372"/>
        <w:gridCol w:w="1406"/>
        <w:gridCol w:w="34"/>
        <w:gridCol w:w="6"/>
        <w:gridCol w:w="1413"/>
      </w:tblGrid>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Antibiotics</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R (No.)</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R (%)</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S (No.)</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S (%)</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rsidP="00E455CD">
            <w:pPr>
              <w:pStyle w:val="ListParagraph"/>
              <w:spacing w:before="100" w:beforeAutospacing="1" w:line="480" w:lineRule="auto"/>
              <w:ind w:left="360"/>
              <w:jc w:val="both"/>
              <w:rPr>
                <w:rFonts w:ascii="Times New Roman" w:eastAsia="Calibri" w:hAnsi="Times New Roman"/>
                <w:b/>
                <w:sz w:val="8"/>
                <w:szCs w:val="8"/>
              </w:rPr>
            </w:pPr>
            <w:r>
              <w:rPr>
                <w:rFonts w:ascii="Times New Roman" w:eastAsia="Calibri" w:hAnsi="Times New Roman"/>
                <w:b/>
                <w:sz w:val="24"/>
                <w:szCs w:val="24"/>
              </w:rPr>
              <w:t xml:space="preserve">Amoxicillin + Clavulanic acid </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03</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75.0%</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01</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25.0%</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rsidP="00E455CD">
            <w:pPr>
              <w:pStyle w:val="ListParagraph"/>
              <w:spacing w:before="100" w:beforeAutospacing="1" w:line="480" w:lineRule="auto"/>
              <w:ind w:left="360"/>
              <w:jc w:val="both"/>
              <w:rPr>
                <w:rFonts w:ascii="Times New Roman" w:eastAsia="Calibri" w:hAnsi="Times New Roman"/>
                <w:b/>
                <w:sz w:val="8"/>
                <w:szCs w:val="8"/>
              </w:rPr>
            </w:pPr>
            <w:r>
              <w:rPr>
                <w:rFonts w:ascii="Times New Roman" w:eastAsia="Calibri" w:hAnsi="Times New Roman"/>
                <w:b/>
                <w:sz w:val="24"/>
                <w:szCs w:val="24"/>
              </w:rPr>
              <w:t>Piperacillin/Tazobactam</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50.0%</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50.0%</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Cefoxitin</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03</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75.0%</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01</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25.0%</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spacing w:before="100" w:beforeAutospacing="1" w:line="360" w:lineRule="auto"/>
              <w:jc w:val="both"/>
              <w:rPr>
                <w:rFonts w:ascii="Times New Roman" w:hAnsi="Times New Roman" w:cs="Times New Roman"/>
                <w:b/>
                <w:sz w:val="24"/>
                <w:szCs w:val="24"/>
              </w:rPr>
            </w:pPr>
            <w:r>
              <w:rPr>
                <w:rFonts w:ascii="Times New Roman" w:hAnsi="Times New Roman" w:cs="Times New Roman"/>
                <w:b/>
                <w:sz w:val="24"/>
                <w:szCs w:val="24"/>
              </w:rPr>
              <w:t>Cefixime</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03</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75.0%</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01</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25.0%</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Ceftriaxone</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03</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75.0%</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01</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25.0&amp;</w:t>
            </w:r>
          </w:p>
        </w:tc>
      </w:tr>
      <w:tr w:rsidR="00FE7BC6" w:rsidTr="00FE7BC6">
        <w:tc>
          <w:tcPr>
            <w:tcW w:w="3519" w:type="dxa"/>
            <w:tcBorders>
              <w:top w:val="single" w:sz="4" w:space="0" w:color="000000"/>
              <w:left w:val="single" w:sz="4" w:space="0" w:color="000000"/>
              <w:bottom w:val="single" w:sz="4" w:space="0" w:color="000000"/>
              <w:right w:val="single" w:sz="4" w:space="0" w:color="auto"/>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 Cefipime</w:t>
            </w:r>
          </w:p>
        </w:tc>
        <w:tc>
          <w:tcPr>
            <w:tcW w:w="1450" w:type="dxa"/>
            <w:gridSpan w:val="2"/>
            <w:tcBorders>
              <w:top w:val="single" w:sz="4" w:space="0" w:color="000000"/>
              <w:left w:val="nil"/>
              <w:bottom w:val="single" w:sz="4" w:space="0" w:color="000000"/>
              <w:right w:val="single" w:sz="4" w:space="0" w:color="auto"/>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50.0%</w:t>
            </w:r>
          </w:p>
        </w:tc>
        <w:tc>
          <w:tcPr>
            <w:tcW w:w="1446" w:type="dxa"/>
            <w:gridSpan w:val="3"/>
            <w:tcBorders>
              <w:top w:val="single" w:sz="4" w:space="0" w:color="000000"/>
              <w:left w:val="nil"/>
              <w:bottom w:val="single" w:sz="4" w:space="0" w:color="000000"/>
              <w:right w:val="single" w:sz="4" w:space="0" w:color="auto"/>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50.0%</w:t>
            </w:r>
          </w:p>
        </w:tc>
      </w:tr>
      <w:tr w:rsidR="00FE7BC6" w:rsidTr="00FE7BC6">
        <w:trPr>
          <w:trHeight w:val="636"/>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Cefoperazone/Sulbactam</w:t>
            </w:r>
          </w:p>
        </w:tc>
        <w:tc>
          <w:tcPr>
            <w:tcW w:w="1421" w:type="dxa"/>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1408" w:type="dxa"/>
            <w:gridSpan w:val="2"/>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50.0%</w:t>
            </w:r>
          </w:p>
        </w:tc>
        <w:tc>
          <w:tcPr>
            <w:tcW w:w="1440" w:type="dxa"/>
            <w:gridSpan w:val="2"/>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1419" w:type="dxa"/>
            <w:gridSpan w:val="2"/>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50.0%</w:t>
            </w:r>
          </w:p>
        </w:tc>
      </w:tr>
      <w:tr w:rsidR="00FE7BC6" w:rsidTr="00FE7BC6">
        <w:trPr>
          <w:trHeight w:val="651"/>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Norfloxacin</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50.0%</w:t>
            </w:r>
          </w:p>
        </w:tc>
        <w:tc>
          <w:tcPr>
            <w:tcW w:w="1440"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1419"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50.0%</w:t>
            </w:r>
          </w:p>
        </w:tc>
      </w:tr>
      <w:tr w:rsidR="00FE7BC6" w:rsidTr="00FE7BC6">
        <w:trPr>
          <w:trHeight w:val="833"/>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Ciprofloxacin</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03</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75.0%</w:t>
            </w:r>
          </w:p>
        </w:tc>
        <w:tc>
          <w:tcPr>
            <w:tcW w:w="1440"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01</w:t>
            </w:r>
          </w:p>
        </w:tc>
        <w:tc>
          <w:tcPr>
            <w:tcW w:w="1419"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25.0%</w:t>
            </w:r>
          </w:p>
        </w:tc>
      </w:tr>
      <w:tr w:rsidR="00FE7BC6" w:rsidTr="00FE7BC6">
        <w:trPr>
          <w:trHeight w:val="806"/>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Amikacin </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50.0%</w:t>
            </w:r>
          </w:p>
        </w:tc>
        <w:tc>
          <w:tcPr>
            <w:tcW w:w="1440"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1419"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50.0%</w:t>
            </w:r>
          </w:p>
        </w:tc>
      </w:tr>
      <w:tr w:rsidR="00FE7BC6" w:rsidTr="00FE7BC6">
        <w:trPr>
          <w:trHeight w:val="681"/>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Ertapenem</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50.0%</w:t>
            </w:r>
          </w:p>
        </w:tc>
        <w:tc>
          <w:tcPr>
            <w:tcW w:w="1440"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1419"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50.0%</w:t>
            </w:r>
          </w:p>
        </w:tc>
      </w:tr>
      <w:tr w:rsidR="00FE7BC6" w:rsidTr="00FE7BC6">
        <w:trPr>
          <w:trHeight w:val="840"/>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Meropem</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01</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25.0%</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03</w:t>
            </w:r>
          </w:p>
        </w:tc>
        <w:tc>
          <w:tcPr>
            <w:tcW w:w="1453" w:type="dxa"/>
            <w:gridSpan w:val="3"/>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75.0%</w:t>
            </w:r>
          </w:p>
        </w:tc>
      </w:tr>
      <w:tr w:rsidR="00FE7BC6" w:rsidTr="00FE7BC6">
        <w:trPr>
          <w:trHeight w:val="977"/>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0"/>
                <w:szCs w:val="20"/>
              </w:rPr>
              <w:t xml:space="preserve"> Co-trimoxazole [Trimethoprim+ Sulphamethoxale]</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02</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50.0%</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02</w:t>
            </w:r>
          </w:p>
        </w:tc>
        <w:tc>
          <w:tcPr>
            <w:tcW w:w="1453" w:type="dxa"/>
            <w:gridSpan w:val="3"/>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50.0%</w:t>
            </w:r>
          </w:p>
        </w:tc>
      </w:tr>
      <w:tr w:rsidR="00FE7BC6" w:rsidTr="00FE7BC6">
        <w:trPr>
          <w:trHeight w:val="878"/>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0"/>
                <w:szCs w:val="20"/>
              </w:rPr>
            </w:pPr>
            <w:r>
              <w:rPr>
                <w:rFonts w:ascii="Times New Roman" w:eastAsia="Calibri" w:hAnsi="Times New Roman"/>
                <w:b/>
                <w:sz w:val="24"/>
                <w:szCs w:val="24"/>
              </w:rPr>
              <w:t xml:space="preserve"> </w:t>
            </w:r>
          </w:p>
        </w:tc>
        <w:tc>
          <w:tcPr>
            <w:tcW w:w="1457" w:type="dxa"/>
            <w:gridSpan w:val="2"/>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c>
          <w:tcPr>
            <w:tcW w:w="1372" w:type="dxa"/>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c>
          <w:tcPr>
            <w:tcW w:w="1406" w:type="dxa"/>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c>
          <w:tcPr>
            <w:tcW w:w="1453" w:type="dxa"/>
            <w:gridSpan w:val="3"/>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r>
      <w:tr w:rsidR="00FE7BC6" w:rsidTr="00FE7BC6">
        <w:trPr>
          <w:trHeight w:val="566"/>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Nitrofurantoin </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01</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25.0%</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03</w:t>
            </w:r>
          </w:p>
        </w:tc>
        <w:tc>
          <w:tcPr>
            <w:tcW w:w="1453" w:type="dxa"/>
            <w:gridSpan w:val="3"/>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75.0%</w:t>
            </w:r>
          </w:p>
        </w:tc>
      </w:tr>
      <w:tr w:rsidR="00FE7BC6" w:rsidTr="00FE7BC6">
        <w:trPr>
          <w:trHeight w:val="514"/>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 Colistin</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03</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75.0%</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01</w:t>
            </w:r>
          </w:p>
        </w:tc>
        <w:tc>
          <w:tcPr>
            <w:tcW w:w="1453" w:type="dxa"/>
            <w:gridSpan w:val="3"/>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25.0%</w:t>
            </w:r>
          </w:p>
        </w:tc>
      </w:tr>
    </w:tbl>
    <w:p w:rsidR="00FE7BC6" w:rsidRDefault="00FE7BC6"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jc w:val="both"/>
        <w:rPr>
          <w:rFonts w:ascii="Times New Roman" w:hAnsi="Times New Roman" w:cs="Times New Roman"/>
          <w:b/>
          <w:sz w:val="24"/>
          <w:szCs w:val="24"/>
        </w:rPr>
      </w:pPr>
      <w:r>
        <w:rPr>
          <w:noProof/>
          <w:lang w:eastAsia="en-IN"/>
        </w:rPr>
        <w:drawing>
          <wp:inline distT="0" distB="0" distL="0" distR="0">
            <wp:extent cx="5734050" cy="2847975"/>
            <wp:effectExtent l="19050" t="0" r="0" b="0"/>
            <wp:docPr id="3" name="Picture 3" descr="C:\Users\Biswajit\AppData\Local\Temp\ksohtml7228\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swajit\AppData\Local\Temp\ksohtml7228\wps3.jpg"/>
                    <pic:cNvPicPr>
                      <a:picLocks noChangeAspect="1" noChangeArrowheads="1"/>
                    </pic:cNvPicPr>
                  </pic:nvPicPr>
                  <pic:blipFill>
                    <a:blip r:embed="rId15"/>
                    <a:srcRect/>
                    <a:stretch>
                      <a:fillRect/>
                    </a:stretch>
                  </pic:blipFill>
                  <pic:spPr bwMode="auto">
                    <a:xfrm>
                      <a:off x="0" y="0"/>
                      <a:ext cx="5734050" cy="2847975"/>
                    </a:xfrm>
                    <a:prstGeom prst="rect">
                      <a:avLst/>
                    </a:prstGeom>
                    <a:noFill/>
                    <a:ln w="9525">
                      <a:noFill/>
                      <a:miter lim="800000"/>
                      <a:headEnd/>
                      <a:tailEnd/>
                    </a:ln>
                  </pic:spPr>
                </pic:pic>
              </a:graphicData>
            </a:graphic>
          </wp:inline>
        </w:drawing>
      </w:r>
      <w:r>
        <w:rPr>
          <w:rFonts w:ascii="Times New Roman" w:hAnsi="Times New Roman" w:cs="Times New Roman"/>
          <w:b/>
          <w:sz w:val="24"/>
          <w:szCs w:val="24"/>
        </w:rPr>
        <w:t xml:space="preserve"> </w:t>
      </w:r>
    </w:p>
    <w:p w:rsidR="005D4CC7" w:rsidRDefault="00FE7BC6" w:rsidP="005D4CC7">
      <w:pPr>
        <w:spacing w:after="160" w:line="480" w:lineRule="auto"/>
        <w:jc w:val="both"/>
        <w:rPr>
          <w:rFonts w:ascii="Times New Roman" w:eastAsia="Calibri" w:hAnsi="Times New Roman" w:cs="Times New Roman"/>
          <w:b/>
          <w:sz w:val="24"/>
          <w:szCs w:val="24"/>
        </w:rPr>
      </w:pPr>
      <w:r>
        <w:rPr>
          <w:rFonts w:ascii="Times New Roman" w:hAnsi="Times New Roman" w:cs="Times New Roman"/>
          <w:b/>
          <w:sz w:val="24"/>
          <w:szCs w:val="24"/>
        </w:rPr>
        <w:t xml:space="preserve"> </w:t>
      </w:r>
      <w:r w:rsidR="005D4CC7">
        <w:rPr>
          <w:rFonts w:ascii="Times New Roman" w:eastAsia="Calibri" w:hAnsi="Times New Roman" w:cs="Times New Roman"/>
          <w:b/>
          <w:sz w:val="24"/>
          <w:szCs w:val="24"/>
        </w:rPr>
        <w:t xml:space="preserve"> Fig: 3. Pattern </w:t>
      </w:r>
      <w:r w:rsidR="005D4CC7">
        <w:rPr>
          <w:rFonts w:ascii="Times New Roman" w:eastAsia="Calibri" w:hAnsi="Times New Roman" w:cs="Times New Roman"/>
          <w:b/>
          <w:i/>
          <w:sz w:val="24"/>
          <w:szCs w:val="24"/>
        </w:rPr>
        <w:t>Proteus mirabilis</w:t>
      </w:r>
      <w:r w:rsidR="005D4CC7">
        <w:rPr>
          <w:rFonts w:ascii="Times New Roman" w:eastAsia="Calibri" w:hAnsi="Times New Roman" w:cs="Times New Roman"/>
          <w:b/>
          <w:sz w:val="24"/>
          <w:szCs w:val="24"/>
        </w:rPr>
        <w:t xml:space="preserve"> &amp; Others </w:t>
      </w:r>
      <w:r w:rsidR="005D4CC7">
        <w:rPr>
          <w:rFonts w:ascii="Times New Roman" w:eastAsia="Calibri" w:hAnsi="Times New Roman" w:cs="Times New Roman"/>
          <w:b/>
          <w:i/>
          <w:sz w:val="24"/>
          <w:szCs w:val="24"/>
        </w:rPr>
        <w:t>Proteus Spp.</w:t>
      </w:r>
      <w:r w:rsidR="005D4CC7">
        <w:rPr>
          <w:rFonts w:ascii="Times New Roman" w:eastAsia="Calibri" w:hAnsi="Times New Roman" w:cs="Times New Roman"/>
          <w:b/>
          <w:sz w:val="24"/>
          <w:szCs w:val="24"/>
        </w:rPr>
        <w:t xml:space="preserve"> Resistant &amp; Sensitive [&gt;50 to 59 Years]</w:t>
      </w:r>
    </w:p>
    <w:p w:rsidR="005D4CC7" w:rsidRDefault="005D4CC7" w:rsidP="005D4CC7">
      <w:pPr>
        <w:spacing w:line="480" w:lineRule="auto"/>
        <w:rPr>
          <w:rFonts w:ascii="Times New Roman" w:eastAsia="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jc w:val="center"/>
        <w:rPr>
          <w:rFonts w:ascii="Times New Roman" w:hAnsi="Times New Roman" w:cs="Times New Roman"/>
          <w:b/>
          <w:sz w:val="24"/>
          <w:szCs w:val="24"/>
        </w:rPr>
      </w:pPr>
    </w:p>
    <w:p w:rsidR="00FE7BC6" w:rsidRDefault="00FE7BC6" w:rsidP="00FE7BC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E455CD" w:rsidRDefault="00E455CD" w:rsidP="00FE7BC6">
      <w:pPr>
        <w:spacing w:line="480" w:lineRule="auto"/>
        <w:rPr>
          <w:rFonts w:ascii="Times New Roman" w:hAnsi="Times New Roman" w:cs="Times New Roman"/>
          <w:b/>
          <w:sz w:val="24"/>
          <w:szCs w:val="24"/>
        </w:rPr>
      </w:pPr>
    </w:p>
    <w:p w:rsidR="00E455CD" w:rsidRDefault="00E455CD" w:rsidP="00FE7BC6">
      <w:pPr>
        <w:spacing w:line="480" w:lineRule="auto"/>
        <w:rPr>
          <w:rFonts w:ascii="Times New Roman" w:hAnsi="Times New Roman" w:cs="Times New Roman"/>
          <w:b/>
          <w:sz w:val="24"/>
          <w:szCs w:val="24"/>
        </w:rPr>
      </w:pPr>
    </w:p>
    <w:p w:rsidR="00FE7BC6" w:rsidRDefault="00FE7BC6" w:rsidP="00FE7BC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E455CD"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FE7BC6">
        <w:rPr>
          <w:rFonts w:ascii="Times New Roman" w:hAnsi="Times New Roman" w:cs="Times New Roman"/>
          <w:b/>
          <w:sz w:val="24"/>
          <w:szCs w:val="24"/>
        </w:rPr>
        <w:t>9. Percentage of Resistant &amp; Susceptibility of isolated</w:t>
      </w:r>
      <w:r w:rsidR="00FE7BC6">
        <w:rPr>
          <w:rFonts w:ascii="Times New Roman" w:hAnsi="Times New Roman" w:cs="Times New Roman"/>
          <w:b/>
          <w:i/>
          <w:sz w:val="24"/>
          <w:szCs w:val="24"/>
        </w:rPr>
        <w:t xml:space="preserve"> Escherichia coli</w:t>
      </w:r>
      <w:r w:rsidR="00FE7BC6">
        <w:rPr>
          <w:rFonts w:ascii="Times New Roman" w:hAnsi="Times New Roman" w:cs="Times New Roman"/>
          <w:b/>
          <w:sz w:val="24"/>
          <w:szCs w:val="24"/>
        </w:rPr>
        <w:t xml:space="preserve"> to tested use of antibiotics: [&gt;60 YEARS]</w:t>
      </w:r>
    </w:p>
    <w:p w:rsidR="00FE7BC6" w:rsidRDefault="00FE7BC6" w:rsidP="00FE7BC6">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FE7BC6" w:rsidRDefault="00FE7BC6" w:rsidP="00FE7BC6">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Total Isolates: 166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9"/>
        <w:gridCol w:w="29"/>
        <w:gridCol w:w="1421"/>
        <w:gridCol w:w="36"/>
        <w:gridCol w:w="1372"/>
        <w:gridCol w:w="1406"/>
        <w:gridCol w:w="34"/>
        <w:gridCol w:w="6"/>
        <w:gridCol w:w="1413"/>
      </w:tblGrid>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Antibiotics</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R (No.)</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R (%)</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S (No.)</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S (%)</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rsidP="00E455CD">
            <w:pPr>
              <w:pStyle w:val="ListParagraph"/>
              <w:spacing w:before="100" w:beforeAutospacing="1" w:line="480" w:lineRule="auto"/>
              <w:ind w:left="360"/>
              <w:jc w:val="both"/>
              <w:rPr>
                <w:rFonts w:ascii="Times New Roman" w:eastAsia="Calibri" w:hAnsi="Times New Roman"/>
                <w:b/>
                <w:sz w:val="8"/>
                <w:szCs w:val="8"/>
              </w:rPr>
            </w:pPr>
            <w:r>
              <w:rPr>
                <w:rFonts w:ascii="Times New Roman" w:eastAsia="Calibri" w:hAnsi="Times New Roman"/>
                <w:b/>
                <w:sz w:val="24"/>
                <w:szCs w:val="24"/>
              </w:rPr>
              <w:t xml:space="preserve">Amoxicillin + Clavulanic acid </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77</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46.39%</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89</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53.61%</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rsidP="00E455CD">
            <w:pPr>
              <w:pStyle w:val="ListParagraph"/>
              <w:spacing w:before="100" w:beforeAutospacing="1" w:line="480" w:lineRule="auto"/>
              <w:ind w:left="360"/>
              <w:jc w:val="both"/>
              <w:rPr>
                <w:rFonts w:ascii="Times New Roman" w:eastAsia="Calibri" w:hAnsi="Times New Roman"/>
                <w:b/>
                <w:sz w:val="8"/>
                <w:szCs w:val="8"/>
              </w:rPr>
            </w:pPr>
            <w:r>
              <w:rPr>
                <w:rFonts w:ascii="Times New Roman" w:eastAsia="Calibri" w:hAnsi="Times New Roman"/>
                <w:b/>
                <w:sz w:val="24"/>
                <w:szCs w:val="24"/>
              </w:rPr>
              <w:t>Piperacillin/Tazobactam</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79</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47.59%</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87</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52.41%</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Cefoxitin</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90</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54.22%</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76</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45.78%</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spacing w:before="100" w:beforeAutospacing="1" w:line="360" w:lineRule="auto"/>
              <w:jc w:val="both"/>
              <w:rPr>
                <w:rFonts w:ascii="Times New Roman" w:hAnsi="Times New Roman" w:cs="Times New Roman"/>
                <w:b/>
                <w:sz w:val="24"/>
                <w:szCs w:val="24"/>
              </w:rPr>
            </w:pPr>
            <w:r>
              <w:rPr>
                <w:rFonts w:ascii="Times New Roman" w:hAnsi="Times New Roman" w:cs="Times New Roman"/>
                <w:b/>
                <w:sz w:val="24"/>
                <w:szCs w:val="24"/>
              </w:rPr>
              <w:t>Cefixime</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104</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62.65%</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62</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37.35</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Ceftriaxone</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99</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59.64%</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67</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40.36%</w:t>
            </w:r>
          </w:p>
        </w:tc>
      </w:tr>
      <w:tr w:rsidR="00FE7BC6" w:rsidTr="00FE7BC6">
        <w:tc>
          <w:tcPr>
            <w:tcW w:w="3519" w:type="dxa"/>
            <w:tcBorders>
              <w:top w:val="single" w:sz="4" w:space="0" w:color="000000"/>
              <w:left w:val="single" w:sz="4" w:space="0" w:color="000000"/>
              <w:bottom w:val="single" w:sz="4" w:space="0" w:color="000000"/>
              <w:right w:val="single" w:sz="4" w:space="0" w:color="auto"/>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 Cefipime</w:t>
            </w:r>
          </w:p>
        </w:tc>
        <w:tc>
          <w:tcPr>
            <w:tcW w:w="1450" w:type="dxa"/>
            <w:gridSpan w:val="2"/>
            <w:tcBorders>
              <w:top w:val="single" w:sz="4" w:space="0" w:color="000000"/>
              <w:left w:val="nil"/>
              <w:bottom w:val="single" w:sz="4" w:space="0" w:color="000000"/>
              <w:right w:val="single" w:sz="4" w:space="0" w:color="auto"/>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87</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52.41%</w:t>
            </w:r>
          </w:p>
        </w:tc>
        <w:tc>
          <w:tcPr>
            <w:tcW w:w="1446" w:type="dxa"/>
            <w:gridSpan w:val="3"/>
            <w:tcBorders>
              <w:top w:val="single" w:sz="4" w:space="0" w:color="000000"/>
              <w:left w:val="nil"/>
              <w:bottom w:val="single" w:sz="4" w:space="0" w:color="000000"/>
              <w:right w:val="single" w:sz="4" w:space="0" w:color="auto"/>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79</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47.59%</w:t>
            </w:r>
          </w:p>
        </w:tc>
      </w:tr>
      <w:tr w:rsidR="00FE7BC6" w:rsidTr="00FE7BC6">
        <w:trPr>
          <w:trHeight w:val="636"/>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Cefoperazone/Sulbactam</w:t>
            </w:r>
          </w:p>
        </w:tc>
        <w:tc>
          <w:tcPr>
            <w:tcW w:w="1421" w:type="dxa"/>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79</w:t>
            </w:r>
          </w:p>
        </w:tc>
        <w:tc>
          <w:tcPr>
            <w:tcW w:w="1408" w:type="dxa"/>
            <w:gridSpan w:val="2"/>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47.59%</w:t>
            </w:r>
          </w:p>
        </w:tc>
        <w:tc>
          <w:tcPr>
            <w:tcW w:w="1440" w:type="dxa"/>
            <w:gridSpan w:val="2"/>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87</w:t>
            </w:r>
          </w:p>
        </w:tc>
        <w:tc>
          <w:tcPr>
            <w:tcW w:w="1419" w:type="dxa"/>
            <w:gridSpan w:val="2"/>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52.41%</w:t>
            </w:r>
          </w:p>
        </w:tc>
      </w:tr>
      <w:tr w:rsidR="00FE7BC6" w:rsidTr="00FE7BC6">
        <w:trPr>
          <w:trHeight w:val="651"/>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Norfloxacin</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66</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40.00%</w:t>
            </w:r>
          </w:p>
        </w:tc>
        <w:tc>
          <w:tcPr>
            <w:tcW w:w="1440"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100</w:t>
            </w:r>
          </w:p>
        </w:tc>
        <w:tc>
          <w:tcPr>
            <w:tcW w:w="1419"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60.00%</w:t>
            </w:r>
          </w:p>
        </w:tc>
      </w:tr>
      <w:tr w:rsidR="00FE7BC6" w:rsidTr="00FE7BC6">
        <w:trPr>
          <w:trHeight w:val="833"/>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Ciprofloxacin</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118</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71.08%</w:t>
            </w:r>
          </w:p>
        </w:tc>
        <w:tc>
          <w:tcPr>
            <w:tcW w:w="1440"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48</w:t>
            </w:r>
          </w:p>
        </w:tc>
        <w:tc>
          <w:tcPr>
            <w:tcW w:w="1419"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28.92%</w:t>
            </w:r>
          </w:p>
        </w:tc>
      </w:tr>
      <w:tr w:rsidR="00FE7BC6" w:rsidTr="00FE7BC6">
        <w:trPr>
          <w:trHeight w:val="806"/>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Amikacin </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58</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34.94%</w:t>
            </w:r>
          </w:p>
        </w:tc>
        <w:tc>
          <w:tcPr>
            <w:tcW w:w="1440"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108</w:t>
            </w:r>
          </w:p>
        </w:tc>
        <w:tc>
          <w:tcPr>
            <w:tcW w:w="1419"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65.06%</w:t>
            </w:r>
          </w:p>
        </w:tc>
      </w:tr>
      <w:tr w:rsidR="00FE7BC6" w:rsidTr="00FE7BC6">
        <w:trPr>
          <w:trHeight w:val="681"/>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Ertapenem</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67</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40.36%</w:t>
            </w:r>
          </w:p>
        </w:tc>
        <w:tc>
          <w:tcPr>
            <w:tcW w:w="1440"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99</w:t>
            </w:r>
          </w:p>
        </w:tc>
        <w:tc>
          <w:tcPr>
            <w:tcW w:w="1419"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59.64%</w:t>
            </w:r>
          </w:p>
        </w:tc>
      </w:tr>
      <w:tr w:rsidR="00FE7BC6" w:rsidTr="00FE7BC6">
        <w:trPr>
          <w:trHeight w:val="840"/>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Meropem</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51</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30.72%</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115</w:t>
            </w:r>
          </w:p>
        </w:tc>
        <w:tc>
          <w:tcPr>
            <w:tcW w:w="1453" w:type="dxa"/>
            <w:gridSpan w:val="3"/>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69.28%</w:t>
            </w:r>
          </w:p>
        </w:tc>
      </w:tr>
      <w:tr w:rsidR="00FE7BC6" w:rsidTr="00FE7BC6">
        <w:trPr>
          <w:trHeight w:val="977"/>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0"/>
                <w:szCs w:val="20"/>
              </w:rPr>
              <w:t xml:space="preserve"> Co-trimoxazole [Trimethoprim+ Sulphamethoxale]</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99</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59.64%</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67</w:t>
            </w:r>
          </w:p>
        </w:tc>
        <w:tc>
          <w:tcPr>
            <w:tcW w:w="1453" w:type="dxa"/>
            <w:gridSpan w:val="3"/>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40.36%</w:t>
            </w:r>
          </w:p>
        </w:tc>
      </w:tr>
      <w:tr w:rsidR="00FE7BC6" w:rsidTr="00FE7BC6">
        <w:trPr>
          <w:trHeight w:val="878"/>
        </w:trPr>
        <w:tc>
          <w:tcPr>
            <w:tcW w:w="3548" w:type="dxa"/>
            <w:gridSpan w:val="2"/>
            <w:tcBorders>
              <w:top w:val="single" w:sz="4" w:space="0" w:color="auto"/>
              <w:left w:val="single" w:sz="4" w:space="0" w:color="auto"/>
              <w:bottom w:val="single" w:sz="4" w:space="0" w:color="auto"/>
              <w:right w:val="single" w:sz="4" w:space="0" w:color="auto"/>
            </w:tcBorders>
          </w:tcPr>
          <w:p w:rsidR="00FE7BC6" w:rsidRDefault="00FE7BC6">
            <w:pPr>
              <w:pStyle w:val="ListParagraph"/>
              <w:spacing w:line="480" w:lineRule="auto"/>
              <w:ind w:left="0"/>
              <w:jc w:val="both"/>
              <w:rPr>
                <w:rFonts w:ascii="Times New Roman" w:eastAsia="Calibri" w:hAnsi="Times New Roman"/>
                <w:b/>
                <w:sz w:val="20"/>
                <w:szCs w:val="20"/>
              </w:rPr>
            </w:pPr>
          </w:p>
        </w:tc>
        <w:tc>
          <w:tcPr>
            <w:tcW w:w="1457" w:type="dxa"/>
            <w:gridSpan w:val="2"/>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both"/>
              <w:rPr>
                <w:rFonts w:ascii="Times New Roman" w:hAnsi="Times New Roman" w:cs="Times New Roman"/>
                <w:b/>
                <w:sz w:val="24"/>
                <w:szCs w:val="24"/>
              </w:rPr>
            </w:pPr>
          </w:p>
        </w:tc>
        <w:tc>
          <w:tcPr>
            <w:tcW w:w="1372" w:type="dxa"/>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c>
          <w:tcPr>
            <w:tcW w:w="1406" w:type="dxa"/>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both"/>
              <w:rPr>
                <w:rFonts w:ascii="Times New Roman" w:hAnsi="Times New Roman" w:cs="Times New Roman"/>
                <w:b/>
                <w:sz w:val="24"/>
                <w:szCs w:val="24"/>
              </w:rPr>
            </w:pPr>
          </w:p>
        </w:tc>
        <w:tc>
          <w:tcPr>
            <w:tcW w:w="1453" w:type="dxa"/>
            <w:gridSpan w:val="3"/>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r>
      <w:tr w:rsidR="00FE7BC6" w:rsidTr="00FE7BC6">
        <w:trPr>
          <w:trHeight w:val="566"/>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Nitrofurantoin </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33</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19.88%</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133</w:t>
            </w:r>
          </w:p>
        </w:tc>
        <w:tc>
          <w:tcPr>
            <w:tcW w:w="1453" w:type="dxa"/>
            <w:gridSpan w:val="3"/>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80.12%</w:t>
            </w:r>
          </w:p>
        </w:tc>
      </w:tr>
      <w:tr w:rsidR="00FE7BC6" w:rsidTr="00FE7BC6">
        <w:trPr>
          <w:trHeight w:val="514"/>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 Colistin</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107</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64.46%</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59</w:t>
            </w:r>
          </w:p>
        </w:tc>
        <w:tc>
          <w:tcPr>
            <w:tcW w:w="1453" w:type="dxa"/>
            <w:gridSpan w:val="3"/>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35.54%</w:t>
            </w:r>
          </w:p>
        </w:tc>
      </w:tr>
    </w:tbl>
    <w:p w:rsidR="00FE7BC6" w:rsidRDefault="00FE7BC6" w:rsidP="00FE7BC6">
      <w:pPr>
        <w:widowControl w:val="0"/>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E7BC6" w:rsidRDefault="00FE7BC6" w:rsidP="00FE7BC6">
      <w:pPr>
        <w:pStyle w:val="Heading1"/>
        <w:spacing w:line="480" w:lineRule="auto"/>
        <w:jc w:val="center"/>
        <w:rPr>
          <w:rFonts w:ascii="Times New Roman" w:hAnsi="Times New Roman" w:cs="Times New Roman"/>
          <w:kern w:val="36"/>
        </w:rPr>
      </w:pPr>
      <w:r>
        <w:rPr>
          <w:noProof/>
          <w:kern w:val="36"/>
          <w:lang w:eastAsia="en-IN"/>
        </w:rPr>
        <w:drawing>
          <wp:inline distT="0" distB="0" distL="0" distR="0">
            <wp:extent cx="5724525" cy="4276725"/>
            <wp:effectExtent l="19050" t="0" r="9525" b="0"/>
            <wp:docPr id="4" name="Picture 4" descr="C:\Users\Biswajit\AppData\Local\Temp\ksohtml7228\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iswajit\AppData\Local\Temp\ksohtml7228\wps4.jpg"/>
                    <pic:cNvPicPr>
                      <a:picLocks noChangeAspect="1" noChangeArrowheads="1"/>
                    </pic:cNvPicPr>
                  </pic:nvPicPr>
                  <pic:blipFill>
                    <a:blip r:embed="rId16"/>
                    <a:srcRect/>
                    <a:stretch>
                      <a:fillRect/>
                    </a:stretch>
                  </pic:blipFill>
                  <pic:spPr bwMode="auto">
                    <a:xfrm>
                      <a:off x="0" y="0"/>
                      <a:ext cx="5724525" cy="4276725"/>
                    </a:xfrm>
                    <a:prstGeom prst="rect">
                      <a:avLst/>
                    </a:prstGeom>
                    <a:noFill/>
                    <a:ln w="9525">
                      <a:noFill/>
                      <a:miter lim="800000"/>
                      <a:headEnd/>
                      <a:tailEnd/>
                    </a:ln>
                  </pic:spPr>
                </pic:pic>
              </a:graphicData>
            </a:graphic>
          </wp:inline>
        </w:drawing>
      </w:r>
      <w:r>
        <w:rPr>
          <w:rFonts w:ascii="Times New Roman" w:hAnsi="Times New Roman"/>
          <w:kern w:val="36"/>
        </w:rPr>
        <w:t xml:space="preserve"> </w:t>
      </w:r>
    </w:p>
    <w:p w:rsidR="00FE7BC6" w:rsidRDefault="00FE7BC6" w:rsidP="00FE7BC6">
      <w:pPr>
        <w:rPr>
          <w:rFonts w:ascii="Calibri" w:hAnsi="Calibri"/>
        </w:rPr>
      </w:pPr>
      <w:r>
        <w:t xml:space="preserve"> </w:t>
      </w:r>
    </w:p>
    <w:p w:rsidR="004027E1" w:rsidRDefault="004027E1" w:rsidP="004027E1">
      <w:pPr>
        <w:spacing w:after="160" w:line="480" w:lineRule="auto"/>
        <w:jc w:val="both"/>
        <w:rPr>
          <w:rFonts w:ascii="Times New Roman" w:hAnsi="Times New Roman" w:cs="Times New Roman"/>
          <w:b/>
          <w:sz w:val="24"/>
          <w:szCs w:val="24"/>
        </w:rPr>
      </w:pPr>
      <w:r>
        <w:rPr>
          <w:rFonts w:ascii="Times New Roman" w:eastAsia="Calibri" w:hAnsi="Times New Roman" w:cs="Times New Roman"/>
          <w:b/>
          <w:sz w:val="24"/>
          <w:szCs w:val="24"/>
        </w:rPr>
        <w:t xml:space="preserve">                            Fig: 4. Pattern of </w:t>
      </w:r>
      <w:r>
        <w:rPr>
          <w:rFonts w:ascii="Times New Roman" w:eastAsia="Calibri" w:hAnsi="Times New Roman" w:cs="Times New Roman"/>
          <w:b/>
          <w:i/>
          <w:sz w:val="24"/>
          <w:szCs w:val="24"/>
        </w:rPr>
        <w:t>Escherichia coli</w:t>
      </w:r>
      <w:r>
        <w:rPr>
          <w:rFonts w:ascii="Times New Roman" w:eastAsia="Calibri" w:hAnsi="Times New Roman" w:cs="Times New Roman"/>
          <w:b/>
          <w:sz w:val="24"/>
          <w:szCs w:val="24"/>
        </w:rPr>
        <w:t xml:space="preserve"> Resistant &amp; Sensitive [&gt;60 Years]</w:t>
      </w:r>
    </w:p>
    <w:p w:rsidR="00FE7BC6" w:rsidRPr="004027E1" w:rsidRDefault="00FE7BC6" w:rsidP="00FE7BC6">
      <w:pPr>
        <w:spacing w:line="480" w:lineRule="auto"/>
        <w:rPr>
          <w:rFonts w:ascii="Times New Roman" w:hAnsi="Times New Roman" w:cs="Times New Roman"/>
          <w:b/>
          <w:sz w:val="24"/>
          <w:szCs w:val="24"/>
        </w:rPr>
      </w:pPr>
      <w:r>
        <w:rPr>
          <w:rFonts w:ascii="Times New Roman" w:hAnsi="Times New Roman" w:cs="Times New Roman"/>
          <w:b/>
          <w:i/>
          <w:sz w:val="24"/>
          <w:szCs w:val="24"/>
        </w:rPr>
        <w:t xml:space="preserve"> </w:t>
      </w:r>
    </w:p>
    <w:p w:rsidR="00FE7BC6" w:rsidRDefault="00FE7BC6"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4027E1" w:rsidRDefault="004027E1" w:rsidP="00FE7BC6">
      <w:pPr>
        <w:spacing w:after="0" w:line="360" w:lineRule="auto"/>
        <w:jc w:val="both"/>
        <w:rPr>
          <w:rFonts w:ascii="Times New Roman" w:hAnsi="Times New Roman" w:cs="Times New Roman"/>
          <w:b/>
          <w:sz w:val="24"/>
          <w:szCs w:val="24"/>
        </w:rPr>
      </w:pPr>
    </w:p>
    <w:p w:rsidR="004027E1" w:rsidRDefault="004027E1" w:rsidP="00FE7BC6">
      <w:pPr>
        <w:spacing w:after="0" w:line="360" w:lineRule="auto"/>
        <w:jc w:val="both"/>
        <w:rPr>
          <w:rFonts w:ascii="Times New Roman" w:hAnsi="Times New Roman" w:cs="Times New Roman"/>
          <w:b/>
          <w:sz w:val="24"/>
          <w:szCs w:val="24"/>
        </w:rPr>
      </w:pPr>
    </w:p>
    <w:p w:rsidR="004027E1" w:rsidRDefault="004027E1" w:rsidP="00FE7BC6">
      <w:pPr>
        <w:spacing w:after="0" w:line="360" w:lineRule="auto"/>
        <w:jc w:val="both"/>
        <w:rPr>
          <w:rFonts w:ascii="Times New Roman" w:hAnsi="Times New Roman" w:cs="Times New Roman"/>
          <w:b/>
          <w:sz w:val="24"/>
          <w:szCs w:val="24"/>
        </w:rPr>
      </w:pPr>
    </w:p>
    <w:p w:rsidR="004027E1" w:rsidRDefault="004027E1" w:rsidP="00FE7BC6">
      <w:pPr>
        <w:spacing w:after="0" w:line="360" w:lineRule="auto"/>
        <w:jc w:val="both"/>
        <w:rPr>
          <w:rFonts w:ascii="Times New Roman" w:hAnsi="Times New Roman" w:cs="Times New Roman"/>
          <w:b/>
          <w:sz w:val="24"/>
          <w:szCs w:val="24"/>
        </w:rPr>
      </w:pPr>
    </w:p>
    <w:p w:rsidR="004027E1" w:rsidRDefault="004027E1" w:rsidP="00FE7BC6">
      <w:pPr>
        <w:spacing w:after="0" w:line="360" w:lineRule="auto"/>
        <w:jc w:val="both"/>
        <w:rPr>
          <w:rFonts w:ascii="Times New Roman" w:hAnsi="Times New Roman" w:cs="Times New Roman"/>
          <w:b/>
          <w:sz w:val="24"/>
          <w:szCs w:val="24"/>
        </w:rPr>
      </w:pPr>
    </w:p>
    <w:p w:rsidR="004027E1" w:rsidRDefault="004027E1" w:rsidP="00FE7BC6">
      <w:pPr>
        <w:spacing w:after="0" w:line="360" w:lineRule="auto"/>
        <w:jc w:val="both"/>
        <w:rPr>
          <w:rFonts w:ascii="Times New Roman" w:hAnsi="Times New Roman" w:cs="Times New Roman"/>
          <w:b/>
          <w:sz w:val="24"/>
          <w:szCs w:val="24"/>
        </w:rPr>
      </w:pPr>
    </w:p>
    <w:p w:rsidR="004027E1" w:rsidRDefault="004027E1" w:rsidP="00FE7BC6">
      <w:pPr>
        <w:spacing w:after="0" w:line="360" w:lineRule="auto"/>
        <w:jc w:val="both"/>
        <w:rPr>
          <w:rFonts w:ascii="Times New Roman" w:hAnsi="Times New Roman" w:cs="Times New Roman"/>
          <w:b/>
          <w:sz w:val="24"/>
          <w:szCs w:val="24"/>
        </w:rPr>
      </w:pPr>
    </w:p>
    <w:p w:rsidR="00FE7BC6" w:rsidRDefault="00FE7BC6"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E455CD"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FE7BC6">
        <w:rPr>
          <w:rFonts w:ascii="Times New Roman" w:hAnsi="Times New Roman" w:cs="Times New Roman"/>
          <w:b/>
          <w:sz w:val="24"/>
          <w:szCs w:val="24"/>
        </w:rPr>
        <w:t>10. Percentage of Resistant &amp; Susceptibility of isolated</w:t>
      </w:r>
      <w:r w:rsidR="00FE7BC6">
        <w:rPr>
          <w:rFonts w:ascii="Times New Roman" w:hAnsi="Times New Roman" w:cs="Times New Roman"/>
          <w:b/>
          <w:i/>
          <w:sz w:val="24"/>
          <w:szCs w:val="24"/>
        </w:rPr>
        <w:t xml:space="preserve"> Klebsiella pneumoniae to</w:t>
      </w:r>
      <w:r w:rsidR="00FE7BC6">
        <w:rPr>
          <w:rFonts w:ascii="Times New Roman" w:hAnsi="Times New Roman" w:cs="Times New Roman"/>
          <w:b/>
          <w:sz w:val="24"/>
          <w:szCs w:val="24"/>
        </w:rPr>
        <w:t xml:space="preserve"> tested  use of  antibiotics: [&gt;60 YEARS]</w:t>
      </w:r>
    </w:p>
    <w:p w:rsidR="00FE7BC6" w:rsidRDefault="00FE7BC6"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Total Isolates: 40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9"/>
        <w:gridCol w:w="29"/>
        <w:gridCol w:w="1421"/>
        <w:gridCol w:w="36"/>
        <w:gridCol w:w="1372"/>
        <w:gridCol w:w="1406"/>
        <w:gridCol w:w="34"/>
        <w:gridCol w:w="6"/>
        <w:gridCol w:w="1413"/>
      </w:tblGrid>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Antibiotics</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R (No.)</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R (%)</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S (No.)</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S (%)</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rsidP="00E455CD">
            <w:pPr>
              <w:pStyle w:val="ListParagraph"/>
              <w:spacing w:before="100" w:beforeAutospacing="1" w:line="480" w:lineRule="auto"/>
              <w:ind w:left="360"/>
              <w:jc w:val="both"/>
              <w:rPr>
                <w:rFonts w:ascii="Times New Roman" w:eastAsia="Calibri" w:hAnsi="Times New Roman"/>
                <w:b/>
                <w:sz w:val="8"/>
                <w:szCs w:val="8"/>
              </w:rPr>
            </w:pPr>
            <w:r>
              <w:rPr>
                <w:rFonts w:ascii="Times New Roman" w:eastAsia="Calibri" w:hAnsi="Times New Roman"/>
                <w:b/>
                <w:sz w:val="24"/>
                <w:szCs w:val="24"/>
              </w:rPr>
              <w:t xml:space="preserve">Amoxicillin + Clavulanic acid </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28</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70.00%</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12</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30.00%</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rsidP="00E455CD">
            <w:pPr>
              <w:pStyle w:val="ListParagraph"/>
              <w:spacing w:before="100" w:beforeAutospacing="1" w:line="480" w:lineRule="auto"/>
              <w:ind w:left="360"/>
              <w:jc w:val="both"/>
              <w:rPr>
                <w:rFonts w:ascii="Times New Roman" w:eastAsia="Calibri" w:hAnsi="Times New Roman"/>
                <w:b/>
                <w:sz w:val="8"/>
                <w:szCs w:val="8"/>
              </w:rPr>
            </w:pPr>
            <w:r>
              <w:rPr>
                <w:rFonts w:ascii="Times New Roman" w:eastAsia="Calibri" w:hAnsi="Times New Roman"/>
                <w:b/>
                <w:sz w:val="24"/>
                <w:szCs w:val="24"/>
              </w:rPr>
              <w:t>Piperacillin/Tazobactam</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22</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55.00%</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18</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45.0%</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Cefoxitin</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25</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62.50%</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15</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37.50</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spacing w:before="100" w:beforeAutospacing="1" w:line="360" w:lineRule="auto"/>
              <w:jc w:val="both"/>
              <w:rPr>
                <w:rFonts w:ascii="Times New Roman" w:hAnsi="Times New Roman" w:cs="Times New Roman"/>
                <w:b/>
                <w:sz w:val="24"/>
                <w:szCs w:val="24"/>
              </w:rPr>
            </w:pPr>
            <w:r>
              <w:rPr>
                <w:rFonts w:ascii="Times New Roman" w:hAnsi="Times New Roman" w:cs="Times New Roman"/>
                <w:b/>
                <w:sz w:val="24"/>
                <w:szCs w:val="24"/>
              </w:rPr>
              <w:t>Cefixime</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23</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57.50%</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17</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42.50%</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Ceftriaxone</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21</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52.50%</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19</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48.50%</w:t>
            </w:r>
          </w:p>
        </w:tc>
      </w:tr>
      <w:tr w:rsidR="00FE7BC6" w:rsidTr="00FE7BC6">
        <w:tc>
          <w:tcPr>
            <w:tcW w:w="3519" w:type="dxa"/>
            <w:tcBorders>
              <w:top w:val="single" w:sz="4" w:space="0" w:color="000000"/>
              <w:left w:val="single" w:sz="4" w:space="0" w:color="000000"/>
              <w:bottom w:val="single" w:sz="4" w:space="0" w:color="000000"/>
              <w:right w:val="single" w:sz="4" w:space="0" w:color="auto"/>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 Cefipime</w:t>
            </w:r>
          </w:p>
        </w:tc>
        <w:tc>
          <w:tcPr>
            <w:tcW w:w="1450" w:type="dxa"/>
            <w:gridSpan w:val="2"/>
            <w:tcBorders>
              <w:top w:val="single" w:sz="4" w:space="0" w:color="000000"/>
              <w:left w:val="nil"/>
              <w:bottom w:val="single" w:sz="4" w:space="0" w:color="000000"/>
              <w:right w:val="single" w:sz="4" w:space="0" w:color="auto"/>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28</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70.00%</w:t>
            </w:r>
          </w:p>
        </w:tc>
        <w:tc>
          <w:tcPr>
            <w:tcW w:w="1446" w:type="dxa"/>
            <w:gridSpan w:val="3"/>
            <w:tcBorders>
              <w:top w:val="single" w:sz="4" w:space="0" w:color="000000"/>
              <w:left w:val="nil"/>
              <w:bottom w:val="single" w:sz="4" w:space="0" w:color="000000"/>
              <w:right w:val="single" w:sz="4" w:space="0" w:color="auto"/>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12</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30.00%</w:t>
            </w:r>
          </w:p>
        </w:tc>
      </w:tr>
      <w:tr w:rsidR="00FE7BC6" w:rsidTr="00FE7BC6">
        <w:trPr>
          <w:trHeight w:val="636"/>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Cefoperazone/Sulbactam</w:t>
            </w:r>
          </w:p>
        </w:tc>
        <w:tc>
          <w:tcPr>
            <w:tcW w:w="1421" w:type="dxa"/>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26</w:t>
            </w:r>
          </w:p>
        </w:tc>
        <w:tc>
          <w:tcPr>
            <w:tcW w:w="1408" w:type="dxa"/>
            <w:gridSpan w:val="2"/>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65.00%</w:t>
            </w:r>
          </w:p>
        </w:tc>
        <w:tc>
          <w:tcPr>
            <w:tcW w:w="1440" w:type="dxa"/>
            <w:gridSpan w:val="2"/>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14</w:t>
            </w:r>
          </w:p>
        </w:tc>
        <w:tc>
          <w:tcPr>
            <w:tcW w:w="1419" w:type="dxa"/>
            <w:gridSpan w:val="2"/>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35.00%</w:t>
            </w:r>
          </w:p>
        </w:tc>
      </w:tr>
      <w:tr w:rsidR="00FE7BC6" w:rsidTr="00FE7BC6">
        <w:trPr>
          <w:trHeight w:val="651"/>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Norfloxacin</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23</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57.50%</w:t>
            </w:r>
          </w:p>
        </w:tc>
        <w:tc>
          <w:tcPr>
            <w:tcW w:w="1440"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17</w:t>
            </w:r>
          </w:p>
        </w:tc>
        <w:tc>
          <w:tcPr>
            <w:tcW w:w="1419"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42.50%</w:t>
            </w:r>
          </w:p>
        </w:tc>
      </w:tr>
      <w:tr w:rsidR="00FE7BC6" w:rsidTr="00FE7BC6">
        <w:trPr>
          <w:trHeight w:val="833"/>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Ciprofloxacin</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29</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72.50%</w:t>
            </w:r>
          </w:p>
        </w:tc>
        <w:tc>
          <w:tcPr>
            <w:tcW w:w="1440"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11</w:t>
            </w:r>
          </w:p>
        </w:tc>
        <w:tc>
          <w:tcPr>
            <w:tcW w:w="1419"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28.50%</w:t>
            </w:r>
          </w:p>
        </w:tc>
      </w:tr>
      <w:tr w:rsidR="00FE7BC6" w:rsidTr="00FE7BC6">
        <w:trPr>
          <w:trHeight w:val="806"/>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Amikacin </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26</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65.00%</w:t>
            </w:r>
          </w:p>
        </w:tc>
        <w:tc>
          <w:tcPr>
            <w:tcW w:w="1440"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14</w:t>
            </w:r>
          </w:p>
        </w:tc>
        <w:tc>
          <w:tcPr>
            <w:tcW w:w="1419"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35.00%</w:t>
            </w:r>
          </w:p>
        </w:tc>
      </w:tr>
      <w:tr w:rsidR="00FE7BC6" w:rsidTr="00FE7BC6">
        <w:trPr>
          <w:trHeight w:val="681"/>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Ertapenem</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19</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47.50%</w:t>
            </w:r>
          </w:p>
        </w:tc>
        <w:tc>
          <w:tcPr>
            <w:tcW w:w="1440"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21</w:t>
            </w:r>
          </w:p>
        </w:tc>
        <w:tc>
          <w:tcPr>
            <w:tcW w:w="1419"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52.50%</w:t>
            </w:r>
          </w:p>
        </w:tc>
      </w:tr>
      <w:tr w:rsidR="00FE7BC6" w:rsidTr="00FE7BC6">
        <w:trPr>
          <w:trHeight w:val="840"/>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Meropem</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50.00%</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1453" w:type="dxa"/>
            <w:gridSpan w:val="3"/>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50.00%</w:t>
            </w:r>
          </w:p>
        </w:tc>
      </w:tr>
      <w:tr w:rsidR="00FE7BC6" w:rsidTr="00FE7BC6">
        <w:trPr>
          <w:trHeight w:val="977"/>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0"/>
                <w:szCs w:val="20"/>
              </w:rPr>
              <w:t xml:space="preserve"> Co-trimoxazole [Trimethoprim+ Sulphamethoxale]</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23</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57.50%</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17</w:t>
            </w:r>
          </w:p>
        </w:tc>
        <w:tc>
          <w:tcPr>
            <w:tcW w:w="1453" w:type="dxa"/>
            <w:gridSpan w:val="3"/>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42.50%</w:t>
            </w:r>
          </w:p>
        </w:tc>
      </w:tr>
      <w:tr w:rsidR="00FE7BC6" w:rsidTr="00FE7BC6">
        <w:trPr>
          <w:trHeight w:val="878"/>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0"/>
                <w:szCs w:val="20"/>
              </w:rPr>
            </w:pPr>
            <w:r>
              <w:rPr>
                <w:rFonts w:ascii="Times New Roman" w:eastAsia="Calibri" w:hAnsi="Times New Roman"/>
                <w:b/>
                <w:sz w:val="24"/>
                <w:szCs w:val="24"/>
              </w:rPr>
              <w:t xml:space="preserve"> </w:t>
            </w:r>
          </w:p>
        </w:tc>
        <w:tc>
          <w:tcPr>
            <w:tcW w:w="1457" w:type="dxa"/>
            <w:gridSpan w:val="2"/>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c>
          <w:tcPr>
            <w:tcW w:w="1372" w:type="dxa"/>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c>
          <w:tcPr>
            <w:tcW w:w="1406" w:type="dxa"/>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c>
          <w:tcPr>
            <w:tcW w:w="1453" w:type="dxa"/>
            <w:gridSpan w:val="3"/>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r>
      <w:tr w:rsidR="00FE7BC6" w:rsidTr="00FE7BC6">
        <w:trPr>
          <w:trHeight w:val="566"/>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Nitrofurantoin </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21</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52.50%</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19</w:t>
            </w:r>
          </w:p>
        </w:tc>
        <w:tc>
          <w:tcPr>
            <w:tcW w:w="1453" w:type="dxa"/>
            <w:gridSpan w:val="3"/>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47.50%</w:t>
            </w:r>
          </w:p>
        </w:tc>
      </w:tr>
      <w:tr w:rsidR="00FE7BC6" w:rsidTr="00FE7BC6">
        <w:trPr>
          <w:trHeight w:val="514"/>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 Colistin</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09</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22.50%</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31</w:t>
            </w:r>
          </w:p>
        </w:tc>
        <w:tc>
          <w:tcPr>
            <w:tcW w:w="1453" w:type="dxa"/>
            <w:gridSpan w:val="3"/>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77.50%</w:t>
            </w:r>
          </w:p>
        </w:tc>
      </w:tr>
    </w:tbl>
    <w:p w:rsidR="00FE7BC6" w:rsidRDefault="00FE7BC6"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pStyle w:val="Heading1"/>
        <w:spacing w:line="480" w:lineRule="auto"/>
        <w:jc w:val="center"/>
        <w:rPr>
          <w:rFonts w:ascii="Times New Roman" w:hAnsi="Times New Roman" w:cs="Times New Roman"/>
          <w:kern w:val="36"/>
        </w:rPr>
      </w:pPr>
      <w:r>
        <w:rPr>
          <w:noProof/>
          <w:kern w:val="36"/>
          <w:lang w:eastAsia="en-IN"/>
        </w:rPr>
        <w:drawing>
          <wp:inline distT="0" distB="0" distL="0" distR="0">
            <wp:extent cx="5724525" cy="4276725"/>
            <wp:effectExtent l="19050" t="0" r="9525" b="0"/>
            <wp:docPr id="5" name="Picture 5" descr="C:\Users\Biswajit\AppData\Local\Temp\ksohtml7228\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iswajit\AppData\Local\Temp\ksohtml7228\wps5.jpg"/>
                    <pic:cNvPicPr>
                      <a:picLocks noChangeAspect="1" noChangeArrowheads="1"/>
                    </pic:cNvPicPr>
                  </pic:nvPicPr>
                  <pic:blipFill>
                    <a:blip r:embed="rId17"/>
                    <a:srcRect/>
                    <a:stretch>
                      <a:fillRect/>
                    </a:stretch>
                  </pic:blipFill>
                  <pic:spPr bwMode="auto">
                    <a:xfrm>
                      <a:off x="0" y="0"/>
                      <a:ext cx="5724525" cy="4276725"/>
                    </a:xfrm>
                    <a:prstGeom prst="rect">
                      <a:avLst/>
                    </a:prstGeom>
                    <a:noFill/>
                    <a:ln w="9525">
                      <a:noFill/>
                      <a:miter lim="800000"/>
                      <a:headEnd/>
                      <a:tailEnd/>
                    </a:ln>
                  </pic:spPr>
                </pic:pic>
              </a:graphicData>
            </a:graphic>
          </wp:inline>
        </w:drawing>
      </w:r>
      <w:r>
        <w:rPr>
          <w:rFonts w:ascii="Times New Roman" w:hAnsi="Times New Roman"/>
          <w:kern w:val="36"/>
        </w:rPr>
        <w:t xml:space="preserve"> </w:t>
      </w:r>
    </w:p>
    <w:p w:rsidR="00D67737" w:rsidRDefault="00D67737" w:rsidP="00D67737">
      <w:pPr>
        <w:spacing w:line="480" w:lineRule="auto"/>
        <w:jc w:val="center"/>
        <w:rPr>
          <w:rFonts w:ascii="Times New Roman" w:hAnsi="Times New Roman" w:cs="Times New Roman"/>
          <w:b/>
          <w:sz w:val="24"/>
          <w:szCs w:val="24"/>
        </w:rPr>
      </w:pPr>
      <w:r>
        <w:rPr>
          <w:rFonts w:ascii="Times New Roman" w:eastAsia="Calibri" w:hAnsi="Times New Roman" w:cs="Times New Roman"/>
          <w:b/>
          <w:sz w:val="24"/>
          <w:szCs w:val="24"/>
        </w:rPr>
        <w:t xml:space="preserve">Fig: 5. Pattern of </w:t>
      </w:r>
      <w:r>
        <w:rPr>
          <w:rFonts w:ascii="Times New Roman" w:eastAsia="Calibri" w:hAnsi="Times New Roman" w:cs="Times New Roman"/>
          <w:b/>
          <w:i/>
          <w:sz w:val="24"/>
          <w:szCs w:val="24"/>
        </w:rPr>
        <w:t>Klebsiella pneumoniae</w:t>
      </w:r>
      <w:r>
        <w:rPr>
          <w:rFonts w:ascii="Times New Roman" w:eastAsia="Calibri" w:hAnsi="Times New Roman" w:cs="Times New Roman"/>
          <w:b/>
          <w:sz w:val="24"/>
          <w:szCs w:val="24"/>
        </w:rPr>
        <w:t xml:space="preserve"> Resistant &amp; Sensitive [&gt;60 Years]</w:t>
      </w:r>
    </w:p>
    <w:p w:rsidR="00FE7BC6" w:rsidRDefault="00FE7BC6" w:rsidP="00FE7BC6">
      <w:pPr>
        <w:spacing w:line="48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 </w:t>
      </w:r>
    </w:p>
    <w:p w:rsidR="00FE7BC6" w:rsidRDefault="00FE7BC6"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E455CD" w:rsidRDefault="00E455CD" w:rsidP="00FE7BC6">
      <w:pPr>
        <w:spacing w:after="0" w:line="360" w:lineRule="auto"/>
        <w:jc w:val="both"/>
        <w:rPr>
          <w:rFonts w:ascii="Times New Roman" w:hAnsi="Times New Roman" w:cs="Times New Roman"/>
          <w:b/>
          <w:sz w:val="24"/>
          <w:szCs w:val="24"/>
        </w:rPr>
      </w:pPr>
    </w:p>
    <w:p w:rsidR="00FE7BC6" w:rsidRDefault="00FE7BC6"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FE7BC6"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E7BC6" w:rsidRDefault="00E455CD" w:rsidP="00FE7BC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FE7BC6">
        <w:rPr>
          <w:rFonts w:ascii="Times New Roman" w:hAnsi="Times New Roman" w:cs="Times New Roman"/>
          <w:b/>
          <w:sz w:val="24"/>
          <w:szCs w:val="24"/>
        </w:rPr>
        <w:t xml:space="preserve">11. Percentage of Resistant &amp; Susceptibility of isolated </w:t>
      </w:r>
      <w:r w:rsidR="00FE7BC6">
        <w:rPr>
          <w:rFonts w:ascii="Times New Roman" w:hAnsi="Times New Roman" w:cs="Times New Roman"/>
          <w:b/>
          <w:i/>
          <w:sz w:val="24"/>
          <w:szCs w:val="24"/>
        </w:rPr>
        <w:t>Proteus mirabilis &amp; Others Proteus Spp.</w:t>
      </w:r>
      <w:r w:rsidR="00FE7BC6">
        <w:rPr>
          <w:rFonts w:ascii="Times New Roman" w:hAnsi="Times New Roman" w:cs="Times New Roman"/>
          <w:b/>
          <w:sz w:val="24"/>
          <w:szCs w:val="24"/>
        </w:rPr>
        <w:t xml:space="preserve"> to tested use of antibiotics: [&gt;60YEARS]</w:t>
      </w:r>
    </w:p>
    <w:p w:rsidR="00FE7BC6" w:rsidRDefault="00FE7BC6" w:rsidP="00FE7BC6">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Total Isolates: 09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19"/>
        <w:gridCol w:w="29"/>
        <w:gridCol w:w="1421"/>
        <w:gridCol w:w="36"/>
        <w:gridCol w:w="1372"/>
        <w:gridCol w:w="1406"/>
        <w:gridCol w:w="34"/>
        <w:gridCol w:w="6"/>
        <w:gridCol w:w="1413"/>
      </w:tblGrid>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Antibiotics</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R (No.)</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R (%)</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S (No.)</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S (%)</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rsidP="00E455CD">
            <w:pPr>
              <w:pStyle w:val="ListParagraph"/>
              <w:spacing w:before="100" w:beforeAutospacing="1" w:line="480" w:lineRule="auto"/>
              <w:ind w:left="360"/>
              <w:jc w:val="both"/>
              <w:rPr>
                <w:rFonts w:ascii="Times New Roman" w:eastAsia="Calibri" w:hAnsi="Times New Roman"/>
                <w:b/>
                <w:sz w:val="8"/>
                <w:szCs w:val="8"/>
              </w:rPr>
            </w:pPr>
            <w:r>
              <w:rPr>
                <w:rFonts w:ascii="Times New Roman" w:eastAsia="Calibri" w:hAnsi="Times New Roman"/>
                <w:b/>
                <w:sz w:val="24"/>
                <w:szCs w:val="24"/>
              </w:rPr>
              <w:t xml:space="preserve">Amoxicillin + Clavulanic acid </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07</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77.78%</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22.22%</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rsidP="00E455CD">
            <w:pPr>
              <w:pStyle w:val="ListParagraph"/>
              <w:spacing w:before="100" w:beforeAutospacing="1" w:line="480" w:lineRule="auto"/>
              <w:ind w:left="360"/>
              <w:jc w:val="both"/>
              <w:rPr>
                <w:rFonts w:ascii="Times New Roman" w:eastAsia="Calibri" w:hAnsi="Times New Roman"/>
                <w:b/>
                <w:sz w:val="8"/>
                <w:szCs w:val="8"/>
              </w:rPr>
            </w:pPr>
            <w:r>
              <w:rPr>
                <w:rFonts w:ascii="Times New Roman" w:eastAsia="Calibri" w:hAnsi="Times New Roman"/>
                <w:b/>
                <w:sz w:val="24"/>
                <w:szCs w:val="24"/>
              </w:rPr>
              <w:t>Piperacillin/Tazobactam</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02</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22.22%</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07</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77.78%</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Cefoxitin</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05</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55.56%</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04</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44.44%</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spacing w:before="100" w:beforeAutospacing="1" w:line="360" w:lineRule="auto"/>
              <w:jc w:val="both"/>
              <w:rPr>
                <w:rFonts w:ascii="Times New Roman" w:hAnsi="Times New Roman" w:cs="Times New Roman"/>
                <w:b/>
                <w:sz w:val="24"/>
                <w:szCs w:val="24"/>
              </w:rPr>
            </w:pPr>
            <w:r>
              <w:rPr>
                <w:rFonts w:ascii="Times New Roman" w:hAnsi="Times New Roman" w:cs="Times New Roman"/>
                <w:b/>
                <w:sz w:val="24"/>
                <w:szCs w:val="24"/>
              </w:rPr>
              <w:t>Cefixime</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05</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55.56%</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04</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44.44%</w:t>
            </w:r>
          </w:p>
        </w:tc>
      </w:tr>
      <w:tr w:rsidR="00FE7BC6" w:rsidTr="00FE7BC6">
        <w:tc>
          <w:tcPr>
            <w:tcW w:w="3519" w:type="dxa"/>
            <w:tcBorders>
              <w:top w:val="single" w:sz="4" w:space="0" w:color="000000"/>
              <w:left w:val="single" w:sz="4" w:space="0" w:color="000000"/>
              <w:bottom w:val="single" w:sz="4" w:space="0" w:color="000000"/>
              <w:right w:val="single" w:sz="4" w:space="0" w:color="000000"/>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Ceftriaxone</w:t>
            </w:r>
          </w:p>
        </w:tc>
        <w:tc>
          <w:tcPr>
            <w:tcW w:w="1450"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05</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55.56%</w:t>
            </w:r>
          </w:p>
        </w:tc>
        <w:tc>
          <w:tcPr>
            <w:tcW w:w="1446" w:type="dxa"/>
            <w:gridSpan w:val="3"/>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04</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44.44%</w:t>
            </w:r>
          </w:p>
        </w:tc>
      </w:tr>
      <w:tr w:rsidR="00FE7BC6" w:rsidTr="00FE7BC6">
        <w:tc>
          <w:tcPr>
            <w:tcW w:w="3519" w:type="dxa"/>
            <w:tcBorders>
              <w:top w:val="single" w:sz="4" w:space="0" w:color="000000"/>
              <w:left w:val="single" w:sz="4" w:space="0" w:color="000000"/>
              <w:bottom w:val="single" w:sz="4" w:space="0" w:color="000000"/>
              <w:right w:val="single" w:sz="4" w:space="0" w:color="auto"/>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 Cefipime</w:t>
            </w:r>
          </w:p>
        </w:tc>
        <w:tc>
          <w:tcPr>
            <w:tcW w:w="1450" w:type="dxa"/>
            <w:gridSpan w:val="2"/>
            <w:tcBorders>
              <w:top w:val="single" w:sz="4" w:space="0" w:color="000000"/>
              <w:left w:val="nil"/>
              <w:bottom w:val="single" w:sz="4" w:space="0" w:color="000000"/>
              <w:right w:val="single" w:sz="4" w:space="0" w:color="auto"/>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05</w:t>
            </w:r>
          </w:p>
        </w:tc>
        <w:tc>
          <w:tcPr>
            <w:tcW w:w="1408" w:type="dxa"/>
            <w:gridSpan w:val="2"/>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55.56%</w:t>
            </w:r>
          </w:p>
        </w:tc>
        <w:tc>
          <w:tcPr>
            <w:tcW w:w="1446" w:type="dxa"/>
            <w:gridSpan w:val="3"/>
            <w:tcBorders>
              <w:top w:val="single" w:sz="4" w:space="0" w:color="000000"/>
              <w:left w:val="nil"/>
              <w:bottom w:val="single" w:sz="4" w:space="0" w:color="000000"/>
              <w:right w:val="single" w:sz="4" w:space="0" w:color="auto"/>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04</w:t>
            </w:r>
          </w:p>
        </w:tc>
        <w:tc>
          <w:tcPr>
            <w:tcW w:w="1413" w:type="dxa"/>
            <w:tcBorders>
              <w:top w:val="single" w:sz="4" w:space="0" w:color="000000"/>
              <w:left w:val="nil"/>
              <w:bottom w:val="single" w:sz="4" w:space="0" w:color="000000"/>
              <w:right w:val="single" w:sz="4" w:space="0" w:color="000000"/>
            </w:tcBorders>
            <w:hideMark/>
          </w:tcPr>
          <w:p w:rsidR="00FE7BC6" w:rsidRDefault="00FE7BC6">
            <w:pPr>
              <w:spacing w:before="100" w:beforeAutospacing="1" w:line="273" w:lineRule="auto"/>
              <w:jc w:val="both"/>
              <w:rPr>
                <w:rFonts w:ascii="Times New Roman" w:hAnsi="Times New Roman" w:cs="Times New Roman"/>
                <w:b/>
                <w:sz w:val="24"/>
                <w:szCs w:val="24"/>
              </w:rPr>
            </w:pPr>
            <w:r>
              <w:rPr>
                <w:rFonts w:ascii="Times New Roman" w:hAnsi="Times New Roman" w:cs="Times New Roman"/>
                <w:b/>
                <w:sz w:val="24"/>
                <w:szCs w:val="24"/>
              </w:rPr>
              <w:t>44.44%</w:t>
            </w:r>
          </w:p>
        </w:tc>
      </w:tr>
      <w:tr w:rsidR="00FE7BC6" w:rsidTr="00FE7BC6">
        <w:trPr>
          <w:trHeight w:val="636"/>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360" w:lineRule="auto"/>
              <w:ind w:left="0"/>
              <w:jc w:val="both"/>
              <w:rPr>
                <w:rFonts w:ascii="Times New Roman" w:eastAsia="Calibri" w:hAnsi="Times New Roman"/>
                <w:b/>
                <w:sz w:val="24"/>
                <w:szCs w:val="24"/>
              </w:rPr>
            </w:pPr>
            <w:r>
              <w:rPr>
                <w:rFonts w:ascii="Times New Roman" w:eastAsia="Calibri" w:hAnsi="Times New Roman"/>
                <w:b/>
                <w:sz w:val="24"/>
                <w:szCs w:val="24"/>
              </w:rPr>
              <w:t>Cefoperazone/Sulbactam</w:t>
            </w:r>
          </w:p>
        </w:tc>
        <w:tc>
          <w:tcPr>
            <w:tcW w:w="1421" w:type="dxa"/>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04</w:t>
            </w:r>
          </w:p>
        </w:tc>
        <w:tc>
          <w:tcPr>
            <w:tcW w:w="1408" w:type="dxa"/>
            <w:gridSpan w:val="2"/>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Pr="00667A6A" w:rsidRDefault="00FE7BC6">
            <w:pPr>
              <w:spacing w:before="100" w:beforeAutospacing="1" w:line="480" w:lineRule="auto"/>
              <w:jc w:val="both"/>
              <w:rPr>
                <w:rFonts w:ascii="Times New Roman" w:hAnsi="Times New Roman" w:cs="Times New Roman"/>
                <w:b/>
                <w:sz w:val="24"/>
                <w:szCs w:val="24"/>
              </w:rPr>
            </w:pPr>
            <w:r w:rsidRPr="00667A6A">
              <w:rPr>
                <w:rFonts w:ascii="Times New Roman" w:hAnsi="Times New Roman" w:cs="Times New Roman"/>
                <w:b/>
                <w:sz w:val="24"/>
                <w:szCs w:val="24"/>
              </w:rPr>
              <w:t>44.44%</w:t>
            </w:r>
          </w:p>
        </w:tc>
        <w:tc>
          <w:tcPr>
            <w:tcW w:w="1440" w:type="dxa"/>
            <w:gridSpan w:val="2"/>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05</w:t>
            </w:r>
          </w:p>
        </w:tc>
        <w:tc>
          <w:tcPr>
            <w:tcW w:w="1419" w:type="dxa"/>
            <w:gridSpan w:val="2"/>
            <w:tcBorders>
              <w:top w:val="single" w:sz="4" w:space="0" w:color="auto"/>
              <w:left w:val="single" w:sz="4" w:space="0" w:color="auto"/>
              <w:bottom w:val="single" w:sz="4" w:space="0" w:color="auto"/>
              <w:right w:val="single" w:sz="4" w:space="0" w:color="auto"/>
            </w:tcBorders>
          </w:tcPr>
          <w:p w:rsidR="00FE7BC6" w:rsidRDefault="00FE7BC6">
            <w:pPr>
              <w:spacing w:after="0"/>
              <w:rPr>
                <w:rFonts w:ascii="Times New Roman" w:hAnsi="Times New Roman" w:cs="Times New Roman"/>
                <w:b/>
                <w:sz w:val="24"/>
                <w:szCs w:val="24"/>
              </w:rPr>
            </w:pPr>
          </w:p>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55.56%</w:t>
            </w:r>
          </w:p>
        </w:tc>
      </w:tr>
      <w:tr w:rsidR="00FE7BC6" w:rsidTr="00FE7BC6">
        <w:trPr>
          <w:trHeight w:val="651"/>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Norfloxacin</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05</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55.56%</w:t>
            </w:r>
          </w:p>
        </w:tc>
        <w:tc>
          <w:tcPr>
            <w:tcW w:w="1440"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04</w:t>
            </w:r>
          </w:p>
        </w:tc>
        <w:tc>
          <w:tcPr>
            <w:tcW w:w="1419"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44.44%</w:t>
            </w:r>
          </w:p>
        </w:tc>
      </w:tr>
      <w:tr w:rsidR="00FE7BC6" w:rsidTr="00FE7BC6">
        <w:trPr>
          <w:trHeight w:val="833"/>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Ciprofloxacin</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06</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66.67%</w:t>
            </w:r>
          </w:p>
        </w:tc>
        <w:tc>
          <w:tcPr>
            <w:tcW w:w="1440"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03</w:t>
            </w:r>
          </w:p>
        </w:tc>
        <w:tc>
          <w:tcPr>
            <w:tcW w:w="1419"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33.33%</w:t>
            </w:r>
          </w:p>
        </w:tc>
      </w:tr>
      <w:tr w:rsidR="00FE7BC6" w:rsidTr="00FE7BC6">
        <w:trPr>
          <w:trHeight w:val="806"/>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Amikacin </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03</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33.33%</w:t>
            </w:r>
          </w:p>
        </w:tc>
        <w:tc>
          <w:tcPr>
            <w:tcW w:w="1440"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06</w:t>
            </w:r>
          </w:p>
        </w:tc>
        <w:tc>
          <w:tcPr>
            <w:tcW w:w="1419"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66.67%</w:t>
            </w:r>
          </w:p>
        </w:tc>
      </w:tr>
      <w:tr w:rsidR="00FE7BC6" w:rsidTr="00FE7BC6">
        <w:trPr>
          <w:trHeight w:val="681"/>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Ertapenem</w:t>
            </w:r>
          </w:p>
        </w:tc>
        <w:tc>
          <w:tcPr>
            <w:tcW w:w="1421"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04</w:t>
            </w:r>
          </w:p>
        </w:tc>
        <w:tc>
          <w:tcPr>
            <w:tcW w:w="1408"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44.44%</w:t>
            </w:r>
          </w:p>
        </w:tc>
        <w:tc>
          <w:tcPr>
            <w:tcW w:w="1440"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05</w:t>
            </w:r>
          </w:p>
        </w:tc>
        <w:tc>
          <w:tcPr>
            <w:tcW w:w="1419"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both"/>
              <w:rPr>
                <w:rFonts w:ascii="Times New Roman" w:hAnsi="Times New Roman" w:cs="Times New Roman"/>
                <w:b/>
                <w:sz w:val="24"/>
                <w:szCs w:val="24"/>
              </w:rPr>
            </w:pPr>
            <w:r>
              <w:rPr>
                <w:rFonts w:ascii="Times New Roman" w:hAnsi="Times New Roman" w:cs="Times New Roman"/>
                <w:b/>
                <w:sz w:val="24"/>
                <w:szCs w:val="24"/>
              </w:rPr>
              <w:t>55.56%</w:t>
            </w:r>
          </w:p>
        </w:tc>
      </w:tr>
      <w:tr w:rsidR="00FE7BC6" w:rsidTr="00FE7BC6">
        <w:trPr>
          <w:trHeight w:val="840"/>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Meropem</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02</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22.22%</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07</w:t>
            </w:r>
          </w:p>
        </w:tc>
        <w:tc>
          <w:tcPr>
            <w:tcW w:w="1453" w:type="dxa"/>
            <w:gridSpan w:val="3"/>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77.78%</w:t>
            </w:r>
          </w:p>
        </w:tc>
      </w:tr>
      <w:tr w:rsidR="00FE7BC6" w:rsidTr="00FE7BC6">
        <w:trPr>
          <w:trHeight w:val="977"/>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0"/>
                <w:szCs w:val="20"/>
              </w:rPr>
              <w:t xml:space="preserve"> Co-trimoxazole [Trimethoprim+ Sulphamethoxale]</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03</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33.33%</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06</w:t>
            </w:r>
          </w:p>
        </w:tc>
        <w:tc>
          <w:tcPr>
            <w:tcW w:w="1453" w:type="dxa"/>
            <w:gridSpan w:val="3"/>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66.67%</w:t>
            </w:r>
          </w:p>
        </w:tc>
      </w:tr>
      <w:tr w:rsidR="00FE7BC6" w:rsidTr="00FE7BC6">
        <w:trPr>
          <w:trHeight w:val="878"/>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0"/>
                <w:szCs w:val="20"/>
              </w:rPr>
            </w:pPr>
            <w:r>
              <w:rPr>
                <w:rFonts w:ascii="Times New Roman" w:eastAsia="Calibri" w:hAnsi="Times New Roman"/>
                <w:b/>
                <w:sz w:val="24"/>
                <w:szCs w:val="24"/>
              </w:rPr>
              <w:t xml:space="preserve"> </w:t>
            </w:r>
          </w:p>
        </w:tc>
        <w:tc>
          <w:tcPr>
            <w:tcW w:w="1457" w:type="dxa"/>
            <w:gridSpan w:val="2"/>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c>
          <w:tcPr>
            <w:tcW w:w="1372" w:type="dxa"/>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c>
          <w:tcPr>
            <w:tcW w:w="1406" w:type="dxa"/>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c>
          <w:tcPr>
            <w:tcW w:w="1453" w:type="dxa"/>
            <w:gridSpan w:val="3"/>
            <w:tcBorders>
              <w:top w:val="single" w:sz="4" w:space="0" w:color="auto"/>
              <w:left w:val="single" w:sz="4" w:space="0" w:color="auto"/>
              <w:bottom w:val="single" w:sz="4" w:space="0" w:color="auto"/>
              <w:right w:val="single" w:sz="4" w:space="0" w:color="auto"/>
            </w:tcBorders>
          </w:tcPr>
          <w:p w:rsidR="00FE7BC6" w:rsidRDefault="00FE7BC6">
            <w:pPr>
              <w:spacing w:before="100" w:beforeAutospacing="1" w:line="480" w:lineRule="auto"/>
              <w:jc w:val="center"/>
              <w:rPr>
                <w:rFonts w:ascii="Times New Roman" w:hAnsi="Times New Roman" w:cs="Times New Roman"/>
                <w:b/>
                <w:sz w:val="24"/>
                <w:szCs w:val="24"/>
              </w:rPr>
            </w:pPr>
          </w:p>
        </w:tc>
      </w:tr>
      <w:tr w:rsidR="00FE7BC6" w:rsidTr="00FE7BC6">
        <w:trPr>
          <w:trHeight w:val="566"/>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Nitrofurantoin </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05</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55.56%</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04</w:t>
            </w:r>
          </w:p>
        </w:tc>
        <w:tc>
          <w:tcPr>
            <w:tcW w:w="1453" w:type="dxa"/>
            <w:gridSpan w:val="3"/>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44.44%</w:t>
            </w:r>
          </w:p>
        </w:tc>
      </w:tr>
      <w:tr w:rsidR="00FE7BC6" w:rsidTr="00FE7BC6">
        <w:trPr>
          <w:trHeight w:val="514"/>
        </w:trPr>
        <w:tc>
          <w:tcPr>
            <w:tcW w:w="3548" w:type="dxa"/>
            <w:gridSpan w:val="2"/>
            <w:tcBorders>
              <w:top w:val="single" w:sz="4" w:space="0" w:color="auto"/>
              <w:left w:val="single" w:sz="4" w:space="0" w:color="auto"/>
              <w:bottom w:val="single" w:sz="4" w:space="0" w:color="auto"/>
              <w:right w:val="single" w:sz="4" w:space="0" w:color="auto"/>
            </w:tcBorders>
            <w:hideMark/>
          </w:tcPr>
          <w:p w:rsidR="00FE7BC6" w:rsidRDefault="00FE7BC6">
            <w:pPr>
              <w:pStyle w:val="ListParagraph"/>
              <w:spacing w:line="480" w:lineRule="auto"/>
              <w:ind w:left="0"/>
              <w:jc w:val="both"/>
              <w:rPr>
                <w:rFonts w:ascii="Times New Roman" w:eastAsia="Calibri" w:hAnsi="Times New Roman"/>
                <w:b/>
                <w:sz w:val="24"/>
                <w:szCs w:val="24"/>
              </w:rPr>
            </w:pPr>
            <w:r>
              <w:rPr>
                <w:rFonts w:ascii="Times New Roman" w:eastAsia="Calibri" w:hAnsi="Times New Roman"/>
                <w:b/>
                <w:sz w:val="24"/>
                <w:szCs w:val="24"/>
              </w:rPr>
              <w:t xml:space="preserve"> Colistin</w:t>
            </w:r>
          </w:p>
        </w:tc>
        <w:tc>
          <w:tcPr>
            <w:tcW w:w="1457" w:type="dxa"/>
            <w:gridSpan w:val="2"/>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06</w:t>
            </w:r>
          </w:p>
        </w:tc>
        <w:tc>
          <w:tcPr>
            <w:tcW w:w="1372"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66.67%</w:t>
            </w:r>
          </w:p>
        </w:tc>
        <w:tc>
          <w:tcPr>
            <w:tcW w:w="1406" w:type="dxa"/>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03</w:t>
            </w:r>
          </w:p>
        </w:tc>
        <w:tc>
          <w:tcPr>
            <w:tcW w:w="1453" w:type="dxa"/>
            <w:gridSpan w:val="3"/>
            <w:tcBorders>
              <w:top w:val="single" w:sz="4" w:space="0" w:color="auto"/>
              <w:left w:val="single" w:sz="4" w:space="0" w:color="auto"/>
              <w:bottom w:val="single" w:sz="4" w:space="0" w:color="auto"/>
              <w:right w:val="single" w:sz="4" w:space="0" w:color="auto"/>
            </w:tcBorders>
            <w:hideMark/>
          </w:tcPr>
          <w:p w:rsidR="00FE7BC6" w:rsidRDefault="00FE7BC6">
            <w:pPr>
              <w:spacing w:before="100" w:beforeAutospacing="1" w:line="480" w:lineRule="auto"/>
              <w:jc w:val="center"/>
              <w:rPr>
                <w:rFonts w:ascii="Times New Roman" w:hAnsi="Times New Roman" w:cs="Times New Roman"/>
                <w:b/>
                <w:sz w:val="24"/>
                <w:szCs w:val="24"/>
              </w:rPr>
            </w:pPr>
            <w:r>
              <w:rPr>
                <w:rFonts w:ascii="Times New Roman" w:hAnsi="Times New Roman" w:cs="Times New Roman"/>
                <w:b/>
                <w:sz w:val="24"/>
                <w:szCs w:val="24"/>
              </w:rPr>
              <w:t>33.33%</w:t>
            </w:r>
          </w:p>
        </w:tc>
      </w:tr>
    </w:tbl>
    <w:p w:rsidR="00FE7BC6" w:rsidRDefault="00FE7BC6" w:rsidP="00FE7BC6">
      <w:pPr>
        <w:widowControl w:val="0"/>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E7BC6" w:rsidRDefault="00FE7BC6" w:rsidP="00FE7BC6">
      <w:pPr>
        <w:pStyle w:val="Heading1"/>
        <w:spacing w:line="480" w:lineRule="auto"/>
        <w:jc w:val="center"/>
        <w:rPr>
          <w:rFonts w:ascii="Times New Roman" w:hAnsi="Times New Roman" w:cs="Times New Roman"/>
          <w:kern w:val="36"/>
        </w:rPr>
      </w:pPr>
      <w:r>
        <w:rPr>
          <w:rFonts w:ascii="Times New Roman" w:hAnsi="Times New Roman"/>
          <w:kern w:val="36"/>
        </w:rPr>
        <w:t xml:space="preserve"> </w:t>
      </w:r>
    </w:p>
    <w:p w:rsidR="00FE7BC6" w:rsidRDefault="00FE7BC6" w:rsidP="00FE7BC6">
      <w:pPr>
        <w:rPr>
          <w:rFonts w:ascii="Calibri" w:hAnsi="Calibri"/>
        </w:rPr>
      </w:pPr>
      <w:r>
        <w:rPr>
          <w:noProof/>
          <w:lang w:eastAsia="en-IN"/>
        </w:rPr>
        <w:drawing>
          <wp:inline distT="0" distB="0" distL="0" distR="0">
            <wp:extent cx="5724525" cy="4276725"/>
            <wp:effectExtent l="19050" t="0" r="9525" b="0"/>
            <wp:docPr id="6" name="Picture 6" descr="C:\Users\Biswajit\AppData\Local\Temp\ksohtml7228\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iswajit\AppData\Local\Temp\ksohtml7228\wps6.jpg"/>
                    <pic:cNvPicPr>
                      <a:picLocks noChangeAspect="1" noChangeArrowheads="1"/>
                    </pic:cNvPicPr>
                  </pic:nvPicPr>
                  <pic:blipFill>
                    <a:blip r:embed="rId18"/>
                    <a:srcRect/>
                    <a:stretch>
                      <a:fillRect/>
                    </a:stretch>
                  </pic:blipFill>
                  <pic:spPr bwMode="auto">
                    <a:xfrm>
                      <a:off x="0" y="0"/>
                      <a:ext cx="5724525" cy="4276725"/>
                    </a:xfrm>
                    <a:prstGeom prst="rect">
                      <a:avLst/>
                    </a:prstGeom>
                    <a:noFill/>
                    <a:ln w="9525">
                      <a:noFill/>
                      <a:miter lim="800000"/>
                      <a:headEnd/>
                      <a:tailEnd/>
                    </a:ln>
                  </pic:spPr>
                </pic:pic>
              </a:graphicData>
            </a:graphic>
          </wp:inline>
        </w:drawing>
      </w:r>
      <w:r>
        <w:t xml:space="preserve"> </w:t>
      </w:r>
    </w:p>
    <w:p w:rsidR="00B405FD" w:rsidRPr="003F70DA" w:rsidRDefault="00B405FD" w:rsidP="00B405FD">
      <w:pPr>
        <w:spacing w:after="0"/>
        <w:rPr>
          <w:rFonts w:ascii="The new romans" w:eastAsia="Times New Roman" w:hAnsi="The new romans"/>
          <w:sz w:val="24"/>
          <w:szCs w:val="24"/>
        </w:rPr>
      </w:pPr>
    </w:p>
    <w:p w:rsidR="00926C57" w:rsidRDefault="00926C57" w:rsidP="00926C57">
      <w:pPr>
        <w:rPr>
          <w:rFonts w:ascii="The new romans" w:hAnsi="The new romans"/>
          <w:b/>
          <w:sz w:val="24"/>
          <w:szCs w:val="24"/>
          <w:u w:val="single"/>
        </w:rPr>
      </w:pPr>
      <w:r>
        <w:rPr>
          <w:rFonts w:ascii="Times New Roman" w:eastAsia="Calibri" w:hAnsi="Times New Roman" w:cs="Times New Roman"/>
          <w:b/>
          <w:sz w:val="24"/>
          <w:szCs w:val="24"/>
        </w:rPr>
        <w:t xml:space="preserve">Fig: 6. Pattern of </w:t>
      </w:r>
      <w:r>
        <w:rPr>
          <w:rFonts w:ascii="Times New Roman" w:eastAsia="Calibri" w:hAnsi="Times New Roman" w:cs="Times New Roman"/>
          <w:b/>
          <w:i/>
          <w:sz w:val="24"/>
          <w:szCs w:val="24"/>
        </w:rPr>
        <w:t xml:space="preserve">Proteus mirabilis </w:t>
      </w:r>
      <w:r>
        <w:rPr>
          <w:rFonts w:ascii="Times New Roman" w:eastAsia="Calibri" w:hAnsi="Times New Roman" w:cs="Times New Roman"/>
          <w:b/>
          <w:sz w:val="24"/>
          <w:szCs w:val="24"/>
        </w:rPr>
        <w:t xml:space="preserve">&amp; Others </w:t>
      </w:r>
      <w:r>
        <w:rPr>
          <w:rFonts w:ascii="Times New Roman" w:eastAsia="Calibri" w:hAnsi="Times New Roman" w:cs="Times New Roman"/>
          <w:b/>
          <w:i/>
          <w:sz w:val="24"/>
          <w:szCs w:val="24"/>
        </w:rPr>
        <w:t>Proteus Spp.</w:t>
      </w:r>
      <w:r>
        <w:rPr>
          <w:rFonts w:ascii="Times New Roman" w:eastAsia="Calibri" w:hAnsi="Times New Roman" w:cs="Times New Roman"/>
          <w:b/>
          <w:sz w:val="24"/>
          <w:szCs w:val="24"/>
        </w:rPr>
        <w:t xml:space="preserve"> Resistant &amp; Sensitive [&gt;60 Years]</w:t>
      </w:r>
    </w:p>
    <w:p w:rsidR="00B405FD" w:rsidRDefault="00B405FD" w:rsidP="00A42E41">
      <w:pPr>
        <w:widowControl w:val="0"/>
        <w:autoSpaceDE w:val="0"/>
        <w:autoSpaceDN w:val="0"/>
        <w:adjustRightInd w:val="0"/>
        <w:spacing w:line="480" w:lineRule="auto"/>
        <w:jc w:val="both"/>
        <w:rPr>
          <w:rFonts w:ascii="The new romans" w:hAnsi="The new romans"/>
          <w:b/>
          <w:sz w:val="24"/>
          <w:szCs w:val="24"/>
          <w:u w:val="single"/>
        </w:rPr>
      </w:pPr>
    </w:p>
    <w:p w:rsidR="00C31C2D" w:rsidRPr="003F70DA" w:rsidRDefault="00C31C2D" w:rsidP="00A42E41">
      <w:pPr>
        <w:widowControl w:val="0"/>
        <w:autoSpaceDE w:val="0"/>
        <w:autoSpaceDN w:val="0"/>
        <w:adjustRightInd w:val="0"/>
        <w:spacing w:line="480" w:lineRule="auto"/>
        <w:jc w:val="both"/>
        <w:rPr>
          <w:rFonts w:ascii="The new romans" w:hAnsi="The new romans"/>
          <w:b/>
          <w:sz w:val="24"/>
          <w:szCs w:val="24"/>
          <w:u w:val="single"/>
        </w:rPr>
      </w:pPr>
    </w:p>
    <w:p w:rsidR="00A42E41" w:rsidRPr="003F70DA" w:rsidRDefault="00A42E41" w:rsidP="00A42E41">
      <w:pPr>
        <w:pStyle w:val="Heading1"/>
        <w:spacing w:line="480" w:lineRule="auto"/>
        <w:jc w:val="both"/>
        <w:rPr>
          <w:rFonts w:ascii="The new romans" w:hAnsi="The new romans"/>
          <w:color w:val="auto"/>
        </w:rPr>
      </w:pPr>
      <w:r w:rsidRPr="003F70DA">
        <w:rPr>
          <w:rFonts w:ascii="The new romans" w:hAnsi="The new romans"/>
          <w:color w:val="auto"/>
        </w:rPr>
        <w:t>DISCUSSION:</w:t>
      </w:r>
    </w:p>
    <w:p w:rsidR="00E62400" w:rsidRPr="003F70DA" w:rsidRDefault="00E62400" w:rsidP="00E024B7">
      <w:pPr>
        <w:shd w:val="clear" w:color="auto" w:fill="FFFFFF"/>
        <w:spacing w:after="0" w:line="480" w:lineRule="auto"/>
        <w:jc w:val="both"/>
        <w:rPr>
          <w:rFonts w:ascii="The new romans" w:eastAsia="Times New Roman" w:hAnsi="The new romans" w:cs="Arial"/>
          <w:sz w:val="24"/>
          <w:szCs w:val="24"/>
          <w:lang w:eastAsia="en-IN"/>
        </w:rPr>
      </w:pPr>
      <w:r w:rsidRPr="003F70DA">
        <w:rPr>
          <w:rFonts w:ascii="The new romans" w:hAnsi="The new romans" w:cs="Arial"/>
          <w:sz w:val="24"/>
          <w:szCs w:val="24"/>
          <w:shd w:val="clear" w:color="auto" w:fill="FFFFFF"/>
        </w:rPr>
        <w:t>Urinary tract infections are some of the most common bacterial infections and is prevalent worldwide. The treatment of UTIs relies heavily on antimicrobial therapy. However, the overuse of antimicrobial therapy has led to the development of drug-resistant microorganisms. Since microorganisms frequently change their susceptibility patterns, it is essential to continuously monitor antimicrobial susceptibility patterns.</w:t>
      </w:r>
    </w:p>
    <w:p w:rsidR="00E024B7" w:rsidRDefault="00E024B7" w:rsidP="00E024B7">
      <w:pPr>
        <w:shd w:val="clear" w:color="auto" w:fill="FFFFFF"/>
        <w:spacing w:after="0" w:line="480" w:lineRule="auto"/>
        <w:jc w:val="both"/>
        <w:rPr>
          <w:rFonts w:ascii="The new romans" w:eastAsia="Times New Roman" w:hAnsi="The new romans" w:cs="Arial"/>
          <w:sz w:val="24"/>
          <w:szCs w:val="24"/>
          <w:lang w:eastAsia="en-IN"/>
        </w:rPr>
      </w:pPr>
      <w:r w:rsidRPr="003F70DA">
        <w:rPr>
          <w:rFonts w:ascii="The new romans" w:eastAsia="Times New Roman" w:hAnsi="The new romans" w:cs="Arial"/>
          <w:sz w:val="24"/>
          <w:szCs w:val="24"/>
          <w:lang w:eastAsia="en-IN"/>
        </w:rPr>
        <w:t>Enterobacterales, primarily </w:t>
      </w:r>
      <w:r w:rsidR="001D651D">
        <w:rPr>
          <w:rFonts w:ascii="The new romans" w:eastAsia="Times New Roman" w:hAnsi="The new romans" w:cs="Arial"/>
          <w:i/>
          <w:iCs/>
          <w:sz w:val="24"/>
          <w:szCs w:val="24"/>
          <w:lang w:eastAsia="en-IN"/>
        </w:rPr>
        <w:t>Eschericchia</w:t>
      </w:r>
      <w:r w:rsidRPr="003F70DA">
        <w:rPr>
          <w:rFonts w:ascii="The new romans" w:eastAsia="Times New Roman" w:hAnsi="The new romans" w:cs="Arial"/>
          <w:i/>
          <w:iCs/>
          <w:sz w:val="24"/>
          <w:szCs w:val="24"/>
          <w:lang w:eastAsia="en-IN"/>
        </w:rPr>
        <w:t xml:space="preserve"> coli</w:t>
      </w:r>
      <w:r w:rsidRPr="003F70DA">
        <w:rPr>
          <w:rFonts w:ascii="The new romans" w:eastAsia="Times New Roman" w:hAnsi="The new romans" w:cs="Arial"/>
          <w:sz w:val="24"/>
          <w:szCs w:val="24"/>
          <w:lang w:eastAsia="en-IN"/>
        </w:rPr>
        <w:t> and </w:t>
      </w:r>
      <w:r w:rsidR="001D651D">
        <w:rPr>
          <w:rFonts w:ascii="The new romans" w:eastAsia="Times New Roman" w:hAnsi="The new romans" w:cs="Arial"/>
          <w:i/>
          <w:iCs/>
          <w:sz w:val="24"/>
          <w:szCs w:val="24"/>
          <w:lang w:eastAsia="en-IN"/>
        </w:rPr>
        <w:t>Klebsiella</w:t>
      </w:r>
      <w:r w:rsidRPr="003F70DA">
        <w:rPr>
          <w:rFonts w:ascii="The new romans" w:eastAsia="Times New Roman" w:hAnsi="The new romans" w:cs="Arial"/>
          <w:i/>
          <w:iCs/>
          <w:sz w:val="24"/>
          <w:szCs w:val="24"/>
          <w:lang w:eastAsia="en-IN"/>
        </w:rPr>
        <w:t xml:space="preserve"> pneumoniae</w:t>
      </w:r>
      <w:r w:rsidRPr="003F70DA">
        <w:rPr>
          <w:rFonts w:ascii="The new romans" w:eastAsia="Times New Roman" w:hAnsi="The new romans" w:cs="Arial"/>
          <w:sz w:val="24"/>
          <w:szCs w:val="24"/>
          <w:lang w:eastAsia="en-IN"/>
        </w:rPr>
        <w:t>, are leading causes of UTIs in patients &gt;50 years, with high resistance rates driven by excessive empirical antibiotic use (e.g., fluoroquinolones, cephalosporins). High prevalence of Extended-Spectrum Beta-Lactamase (ESBL) production and, in some cases, carbapenem resistance, often necessitates tailored therapy based on regional resistance patterns, as resistance increases with age. </w:t>
      </w:r>
    </w:p>
    <w:p w:rsidR="00A15601" w:rsidRDefault="00A15601" w:rsidP="00A15601">
      <w:pPr>
        <w:shd w:val="clear" w:color="auto" w:fill="FFFFFF"/>
        <w:spacing w:after="0" w:line="480" w:lineRule="auto"/>
        <w:jc w:val="both"/>
        <w:rPr>
          <w:rFonts w:ascii="The new romans" w:eastAsia="Times New Roman" w:hAnsi="The new romans" w:cs="Arial"/>
          <w:b/>
          <w:bCs/>
          <w:sz w:val="24"/>
          <w:szCs w:val="24"/>
          <w:lang w:eastAsia="en-IN"/>
        </w:rPr>
      </w:pPr>
      <w:r>
        <w:rPr>
          <w:rFonts w:ascii="The new romans" w:eastAsia="Times New Roman" w:hAnsi="The new romans" w:cs="Arial"/>
          <w:b/>
          <w:bCs/>
          <w:sz w:val="24"/>
          <w:szCs w:val="24"/>
          <w:lang w:eastAsia="en-IN"/>
        </w:rPr>
        <w:t xml:space="preserve">In our study positive culture growth shows in </w:t>
      </w:r>
      <w:r w:rsidRPr="006C501F">
        <w:rPr>
          <w:rFonts w:ascii="The new romans" w:hAnsi="The new romans" w:cs="Arial"/>
          <w:b/>
          <w:sz w:val="24"/>
          <w:szCs w:val="24"/>
          <w:shd w:val="clear" w:color="auto" w:fill="FFFFFF"/>
        </w:rPr>
        <w:t>enterobacteriaceae</w:t>
      </w:r>
      <w:r>
        <w:rPr>
          <w:rFonts w:ascii="The new romans" w:eastAsia="Times New Roman" w:hAnsi="The new romans" w:cs="Arial"/>
          <w:b/>
          <w:bCs/>
          <w:sz w:val="24"/>
          <w:szCs w:val="24"/>
          <w:lang w:eastAsia="en-IN"/>
        </w:rPr>
        <w:t xml:space="preserve"> group</w:t>
      </w:r>
      <w:r w:rsidRPr="006C501F">
        <w:rPr>
          <w:rFonts w:ascii="The new romans" w:eastAsia="Times New Roman" w:hAnsi="The new romans" w:cs="Arial"/>
          <w:b/>
          <w:bCs/>
          <w:sz w:val="24"/>
          <w:szCs w:val="24"/>
          <w:lang w:eastAsia="en-IN"/>
        </w:rPr>
        <w:t xml:space="preserve"> </w:t>
      </w:r>
      <w:r>
        <w:rPr>
          <w:rFonts w:ascii="The new romans" w:eastAsia="Times New Roman" w:hAnsi="The new romans" w:cs="Arial"/>
          <w:b/>
          <w:bCs/>
          <w:sz w:val="24"/>
          <w:szCs w:val="24"/>
          <w:lang w:eastAsia="en-IN"/>
        </w:rPr>
        <w:t>66 (19.88%) from 332 total samples of age group &gt; 50 to 59 years and 215 (31.25%) from 688 total samples of age group &gt;60 years.</w:t>
      </w:r>
    </w:p>
    <w:p w:rsidR="00A15601" w:rsidRPr="00A15601" w:rsidRDefault="00A15601" w:rsidP="00A15601">
      <w:pPr>
        <w:pStyle w:val="ListParagraph"/>
        <w:spacing w:line="480" w:lineRule="auto"/>
        <w:ind w:left="0"/>
        <w:jc w:val="both"/>
        <w:rPr>
          <w:rFonts w:ascii="The new romans" w:hAnsi="The new romans"/>
          <w:b/>
          <w:sz w:val="24"/>
          <w:szCs w:val="24"/>
        </w:rPr>
      </w:pPr>
      <w:r>
        <w:rPr>
          <w:rFonts w:ascii="The new romans" w:eastAsia="Times New Roman" w:hAnsi="The new romans" w:cs="Arial"/>
          <w:b/>
          <w:bCs/>
          <w:sz w:val="24"/>
          <w:szCs w:val="24"/>
          <w:lang w:eastAsia="en-IN"/>
        </w:rPr>
        <w:t xml:space="preserve">In this study all </w:t>
      </w:r>
      <w:r w:rsidRPr="006C501F">
        <w:rPr>
          <w:rFonts w:ascii="The new romans" w:hAnsi="The new romans" w:cs="Arial"/>
          <w:b/>
          <w:sz w:val="24"/>
          <w:szCs w:val="24"/>
          <w:shd w:val="clear" w:color="auto" w:fill="FFFFFF"/>
        </w:rPr>
        <w:t>enterobacteriaceae</w:t>
      </w:r>
      <w:r>
        <w:rPr>
          <w:rFonts w:ascii="The new romans" w:hAnsi="The new romans" w:cs="Arial"/>
          <w:b/>
          <w:sz w:val="24"/>
          <w:szCs w:val="24"/>
          <w:shd w:val="clear" w:color="auto" w:fill="FFFFFF"/>
        </w:rPr>
        <w:t xml:space="preserve"> bacteria shows increasing resistance rate of antibiotics in both age groups are Amxycillin/ clavulanic acid, Cephalosporis group, </w:t>
      </w:r>
      <w:r>
        <w:rPr>
          <w:rFonts w:ascii="The new romans" w:hAnsi="The new romans"/>
          <w:b/>
          <w:sz w:val="24"/>
          <w:szCs w:val="24"/>
        </w:rPr>
        <w:t xml:space="preserve">Quinolones </w:t>
      </w:r>
      <w:r w:rsidRPr="003F70DA">
        <w:rPr>
          <w:rFonts w:ascii="The new romans" w:hAnsi="The new romans"/>
          <w:b/>
          <w:sz w:val="24"/>
          <w:szCs w:val="24"/>
        </w:rPr>
        <w:t>[</w:t>
      </w:r>
      <w:r>
        <w:rPr>
          <w:rFonts w:ascii="The new romans" w:hAnsi="The new romans"/>
          <w:b/>
          <w:sz w:val="24"/>
          <w:szCs w:val="24"/>
        </w:rPr>
        <w:t xml:space="preserve">Fluoroquinolones] </w:t>
      </w:r>
      <w:r w:rsidRPr="003F70DA">
        <w:rPr>
          <w:rFonts w:ascii="The new romans" w:hAnsi="The new romans"/>
          <w:b/>
          <w:sz w:val="24"/>
          <w:szCs w:val="24"/>
        </w:rPr>
        <w:t>group</w:t>
      </w:r>
      <w:r>
        <w:rPr>
          <w:rFonts w:ascii="The new romans" w:hAnsi="The new romans" w:cs="Arial"/>
          <w:b/>
          <w:sz w:val="24"/>
          <w:szCs w:val="24"/>
          <w:shd w:val="clear" w:color="auto" w:fill="FFFFFF"/>
        </w:rPr>
        <w:t xml:space="preserve"> and Colistin. </w:t>
      </w:r>
    </w:p>
    <w:p w:rsidR="00F71200" w:rsidRDefault="00E024B7" w:rsidP="00E024B7">
      <w:pPr>
        <w:shd w:val="clear" w:color="auto" w:fill="FFFFFF"/>
        <w:spacing w:after="0" w:line="480" w:lineRule="auto"/>
        <w:jc w:val="both"/>
        <w:rPr>
          <w:rFonts w:ascii="The new romans" w:hAnsi="The new romans"/>
          <w:sz w:val="24"/>
          <w:szCs w:val="24"/>
        </w:rPr>
      </w:pPr>
      <w:r w:rsidRPr="003F70DA">
        <w:rPr>
          <w:rFonts w:ascii="The new romans" w:hAnsi="The new romans"/>
          <w:sz w:val="24"/>
          <w:szCs w:val="24"/>
        </w:rPr>
        <w:t xml:space="preserve">This study aimed to assess the prevalence and antibiotic resistance patterns of urinary tract infections (UTIs) in above 50 years patients  a 3- month period. The findings underscore the significant burden of UTIs in the elderly, with </w:t>
      </w:r>
      <w:r w:rsidRPr="001D651D">
        <w:rPr>
          <w:rFonts w:ascii="The new romans" w:hAnsi="The new romans"/>
          <w:i/>
          <w:sz w:val="24"/>
          <w:szCs w:val="24"/>
        </w:rPr>
        <w:t>Escherichia coli</w:t>
      </w:r>
      <w:r w:rsidRPr="003F70DA">
        <w:rPr>
          <w:rFonts w:ascii="The new romans" w:hAnsi="The new romans"/>
          <w:sz w:val="24"/>
          <w:szCs w:val="24"/>
        </w:rPr>
        <w:t xml:space="preserve">  identified as the predominant pathogen, consistent with exis</w:t>
      </w:r>
      <w:r w:rsidR="00014FBC" w:rsidRPr="003F70DA">
        <w:rPr>
          <w:rFonts w:ascii="The new romans" w:hAnsi="The new romans"/>
          <w:sz w:val="24"/>
          <w:szCs w:val="24"/>
        </w:rPr>
        <w:t>ting literature (Mareș et al,[17] 2023; Nguyen et al,[18</w:t>
      </w:r>
      <w:r w:rsidRPr="003F70DA">
        <w:rPr>
          <w:rFonts w:ascii="The new romans" w:hAnsi="The new romans"/>
          <w:sz w:val="24"/>
          <w:szCs w:val="24"/>
        </w:rPr>
        <w:t xml:space="preserve">] 2019). However, the high levels of antibiotic resistance observed in </w:t>
      </w:r>
      <w:r w:rsidR="0070403D">
        <w:rPr>
          <w:rFonts w:ascii="The new romans" w:hAnsi="The new romans"/>
          <w:i/>
          <w:sz w:val="24"/>
          <w:szCs w:val="24"/>
        </w:rPr>
        <w:t xml:space="preserve">Escherichia </w:t>
      </w:r>
      <w:r w:rsidRPr="003F70DA">
        <w:rPr>
          <w:rFonts w:ascii="The new romans" w:hAnsi="The new romans"/>
          <w:i/>
          <w:sz w:val="24"/>
          <w:szCs w:val="24"/>
        </w:rPr>
        <w:t xml:space="preserve">coli </w:t>
      </w:r>
      <w:r w:rsidRPr="003F70DA">
        <w:rPr>
          <w:rFonts w:ascii="The new romans" w:hAnsi="The new romans"/>
          <w:sz w:val="24"/>
          <w:szCs w:val="24"/>
        </w:rPr>
        <w:t>and other pathogens raise serious concerns about the effectiveness of commonly used empirical</w:t>
      </w:r>
      <w:r w:rsidR="005C4DDA" w:rsidRPr="003F70DA">
        <w:rPr>
          <w:rFonts w:ascii="The new romans" w:hAnsi="The new romans"/>
          <w:sz w:val="24"/>
          <w:szCs w:val="24"/>
        </w:rPr>
        <w:t xml:space="preserve"> treatments (Alhomayani et al,[</w:t>
      </w:r>
      <w:r w:rsidR="00014FBC" w:rsidRPr="003F70DA">
        <w:rPr>
          <w:rFonts w:ascii="The new romans" w:hAnsi="The new romans"/>
          <w:sz w:val="24"/>
          <w:szCs w:val="24"/>
        </w:rPr>
        <w:t>19</w:t>
      </w:r>
      <w:r w:rsidRPr="003F70DA">
        <w:rPr>
          <w:rFonts w:ascii="The new romans" w:hAnsi="The new romans"/>
          <w:sz w:val="24"/>
          <w:szCs w:val="24"/>
        </w:rPr>
        <w:t xml:space="preserve">] 2022). Prevalence of Pathogens The dominance of </w:t>
      </w:r>
      <w:r w:rsidR="00BC571A">
        <w:rPr>
          <w:rFonts w:ascii="The new romans" w:hAnsi="The new romans"/>
          <w:i/>
          <w:sz w:val="24"/>
          <w:szCs w:val="24"/>
        </w:rPr>
        <w:t>Escherichia</w:t>
      </w:r>
      <w:r w:rsidRPr="003F70DA">
        <w:rPr>
          <w:rFonts w:ascii="The new romans" w:hAnsi="The new romans"/>
          <w:i/>
          <w:sz w:val="24"/>
          <w:szCs w:val="24"/>
        </w:rPr>
        <w:t xml:space="preserve"> coli </w:t>
      </w:r>
      <w:r w:rsidRPr="003F70DA">
        <w:rPr>
          <w:rFonts w:ascii="The new romans" w:hAnsi="The new romans"/>
          <w:sz w:val="24"/>
          <w:szCs w:val="24"/>
        </w:rPr>
        <w:t>(56%) as the leading causative agent aligns with global trends, where it is recognized as the primary pathogen in UTIs</w:t>
      </w:r>
      <w:r w:rsidR="005C4DDA" w:rsidRPr="003F70DA">
        <w:rPr>
          <w:rFonts w:ascii="The new romans" w:hAnsi="The new romans"/>
          <w:sz w:val="24"/>
          <w:szCs w:val="24"/>
        </w:rPr>
        <w:t xml:space="preserve"> across a</w:t>
      </w:r>
      <w:r w:rsidR="00014FBC" w:rsidRPr="003F70DA">
        <w:rPr>
          <w:rFonts w:ascii="The new romans" w:hAnsi="The new romans"/>
          <w:sz w:val="24"/>
          <w:szCs w:val="24"/>
        </w:rPr>
        <w:t>ll age groups (Paul,[20</w:t>
      </w:r>
      <w:r w:rsidRPr="003F70DA">
        <w:rPr>
          <w:rFonts w:ascii="The new romans" w:hAnsi="The new romans"/>
          <w:sz w:val="24"/>
          <w:szCs w:val="24"/>
        </w:rPr>
        <w:t xml:space="preserve">] 2018). The presence of other pathogens such as </w:t>
      </w:r>
      <w:r w:rsidRPr="003F70DA">
        <w:rPr>
          <w:rFonts w:ascii="The new romans" w:hAnsi="The new romans"/>
          <w:i/>
          <w:sz w:val="24"/>
          <w:szCs w:val="24"/>
        </w:rPr>
        <w:t xml:space="preserve">Klebsiella pneumonia </w:t>
      </w:r>
      <w:r w:rsidRPr="003F70DA">
        <w:rPr>
          <w:rFonts w:ascii="The new romans" w:hAnsi="The new romans"/>
          <w:sz w:val="24"/>
          <w:szCs w:val="24"/>
        </w:rPr>
        <w:t xml:space="preserve">and </w:t>
      </w:r>
      <w:r w:rsidRPr="003F70DA">
        <w:rPr>
          <w:rFonts w:ascii="The new romans" w:hAnsi="The new romans"/>
          <w:i/>
          <w:sz w:val="24"/>
          <w:szCs w:val="24"/>
        </w:rPr>
        <w:t xml:space="preserve">Proteus mirabilis </w:t>
      </w:r>
      <w:r w:rsidRPr="003F70DA">
        <w:rPr>
          <w:rFonts w:ascii="The new romans" w:hAnsi="The new romans"/>
          <w:sz w:val="24"/>
          <w:szCs w:val="24"/>
        </w:rPr>
        <w:t>reflects the diverse microbial landscape associated with UTIs in elderly patients. These pathogens, while less prevalent, exhibited substantial resistance to multiple antibiotics, complicatin</w:t>
      </w:r>
      <w:r w:rsidR="005C4DDA" w:rsidRPr="003F70DA">
        <w:rPr>
          <w:rFonts w:ascii="The new romans" w:hAnsi="The new romans"/>
          <w:sz w:val="24"/>
          <w:szCs w:val="24"/>
        </w:rPr>
        <w:t>g</w:t>
      </w:r>
      <w:r w:rsidR="00014FBC" w:rsidRPr="003F70DA">
        <w:rPr>
          <w:rFonts w:ascii="The new romans" w:hAnsi="The new romans"/>
          <w:sz w:val="24"/>
          <w:szCs w:val="24"/>
        </w:rPr>
        <w:t xml:space="preserve"> treatment options (Ho et al,[21</w:t>
      </w:r>
      <w:r w:rsidRPr="003F70DA">
        <w:rPr>
          <w:rFonts w:ascii="The new romans" w:hAnsi="The new romans"/>
          <w:sz w:val="24"/>
          <w:szCs w:val="24"/>
        </w:rPr>
        <w:t xml:space="preserve">] 2019). </w:t>
      </w:r>
      <w:r w:rsidR="00A15601">
        <w:rPr>
          <w:rFonts w:ascii="The new romans" w:hAnsi="The new romans"/>
          <w:sz w:val="24"/>
          <w:szCs w:val="24"/>
        </w:rPr>
        <w:t>In our study</w:t>
      </w:r>
      <w:r w:rsidRPr="003F70DA">
        <w:rPr>
          <w:rFonts w:ascii="The new romans" w:hAnsi="The new romans"/>
          <w:sz w:val="24"/>
          <w:szCs w:val="24"/>
        </w:rPr>
        <w:t xml:space="preserve"> findings are consistent with reports from other regions, indicating that resistance to these antibioti</w:t>
      </w:r>
      <w:r w:rsidR="00014FBC" w:rsidRPr="003F70DA">
        <w:rPr>
          <w:rFonts w:ascii="The new romans" w:hAnsi="The new romans"/>
          <w:sz w:val="24"/>
          <w:szCs w:val="24"/>
        </w:rPr>
        <w:t>cs is widespread (Khan et al,[22</w:t>
      </w:r>
      <w:r w:rsidRPr="003F70DA">
        <w:rPr>
          <w:rFonts w:ascii="The new romans" w:hAnsi="The new romans"/>
          <w:sz w:val="24"/>
          <w:szCs w:val="24"/>
        </w:rPr>
        <w:t>]</w:t>
      </w:r>
      <w:r w:rsidR="00014FBC" w:rsidRPr="003F70DA">
        <w:rPr>
          <w:rFonts w:ascii="The new romans" w:hAnsi="The new romans"/>
          <w:sz w:val="24"/>
          <w:szCs w:val="24"/>
        </w:rPr>
        <w:t xml:space="preserve"> </w:t>
      </w:r>
      <w:r w:rsidRPr="003F70DA">
        <w:rPr>
          <w:rFonts w:ascii="The new romans" w:hAnsi="The new romans"/>
          <w:sz w:val="24"/>
          <w:szCs w:val="24"/>
        </w:rPr>
        <w:t xml:space="preserve">2023). </w:t>
      </w:r>
    </w:p>
    <w:p w:rsidR="00E024B7" w:rsidRPr="003F70DA" w:rsidRDefault="00E024B7" w:rsidP="00E024B7">
      <w:pPr>
        <w:shd w:val="clear" w:color="auto" w:fill="FFFFFF"/>
        <w:spacing w:after="0" w:line="480" w:lineRule="auto"/>
        <w:jc w:val="both"/>
        <w:rPr>
          <w:rFonts w:ascii="The new romans" w:hAnsi="The new romans"/>
          <w:sz w:val="24"/>
          <w:szCs w:val="24"/>
        </w:rPr>
      </w:pPr>
      <w:r w:rsidRPr="003F70DA">
        <w:rPr>
          <w:rFonts w:ascii="The new romans" w:hAnsi="The new romans"/>
          <w:sz w:val="24"/>
          <w:szCs w:val="24"/>
        </w:rPr>
        <w:t xml:space="preserve">This study highlights the high prevalence of </w:t>
      </w:r>
      <w:r w:rsidRPr="003F70DA">
        <w:rPr>
          <w:rFonts w:ascii="The new romans" w:hAnsi="The new romans"/>
          <w:i/>
          <w:sz w:val="24"/>
          <w:szCs w:val="24"/>
        </w:rPr>
        <w:t>Escherichia coli</w:t>
      </w:r>
      <w:r w:rsidRPr="003F70DA">
        <w:rPr>
          <w:rFonts w:ascii="The new romans" w:hAnsi="The new romans"/>
          <w:sz w:val="24"/>
          <w:szCs w:val="24"/>
        </w:rPr>
        <w:t xml:space="preserve"> as the primary uropathogen in elderly patients, with significant resistance to commonly used antibiotics</w:t>
      </w:r>
      <w:r w:rsidR="00BC571A">
        <w:rPr>
          <w:rFonts w:ascii="The new romans" w:hAnsi="The new romans"/>
          <w:sz w:val="24"/>
          <w:szCs w:val="24"/>
        </w:rPr>
        <w:t>.</w:t>
      </w:r>
      <w:r w:rsidRPr="003F70DA">
        <w:rPr>
          <w:rFonts w:ascii="The new romans" w:hAnsi="The new romans"/>
          <w:sz w:val="24"/>
          <w:szCs w:val="24"/>
        </w:rPr>
        <w:t xml:space="preserve"> The presence of multidrug-resistant strains, particularly in </w:t>
      </w:r>
      <w:r w:rsidRPr="003F70DA">
        <w:rPr>
          <w:rFonts w:ascii="The new romans" w:hAnsi="The new romans"/>
          <w:i/>
          <w:sz w:val="24"/>
          <w:szCs w:val="24"/>
        </w:rPr>
        <w:t>Klebsiella pneumoniae</w:t>
      </w:r>
      <w:r w:rsidRPr="003F70DA">
        <w:rPr>
          <w:rFonts w:ascii="The new romans" w:hAnsi="The new romans"/>
          <w:sz w:val="24"/>
          <w:szCs w:val="24"/>
        </w:rPr>
        <w:t xml:space="preserve"> further complicates treatment. These findings necessitate a reassessment of current empirical treatment protocols, </w:t>
      </w:r>
      <w:r w:rsidR="00BC571A" w:rsidRPr="003F70DA">
        <w:rPr>
          <w:rFonts w:ascii="The new romans" w:hAnsi="The new romans"/>
          <w:sz w:val="24"/>
          <w:szCs w:val="24"/>
        </w:rPr>
        <w:t>favouring</w:t>
      </w:r>
      <w:r w:rsidRPr="003F70DA">
        <w:rPr>
          <w:rFonts w:ascii="The new romans" w:hAnsi="The new romans"/>
          <w:sz w:val="24"/>
          <w:szCs w:val="24"/>
        </w:rPr>
        <w:t xml:space="preserve"> the use of antibioti</w:t>
      </w:r>
      <w:r w:rsidR="00BC571A">
        <w:rPr>
          <w:rFonts w:ascii="The new romans" w:hAnsi="The new romans"/>
          <w:sz w:val="24"/>
          <w:szCs w:val="24"/>
        </w:rPr>
        <w:t xml:space="preserve">cs with lower resistance rates. </w:t>
      </w:r>
      <w:r w:rsidRPr="003F70DA">
        <w:rPr>
          <w:rFonts w:ascii="The new romans" w:hAnsi="The new romans"/>
          <w:sz w:val="24"/>
          <w:szCs w:val="24"/>
        </w:rPr>
        <w:t>Continuous surveillance of antibiotic resistance patterns is crucial to improving clinical outcomes and managing the increasing threat of multidrug-resistant UTIs in this vulnerable population.</w:t>
      </w:r>
    </w:p>
    <w:p w:rsidR="00B405FD" w:rsidRDefault="00662513" w:rsidP="00BC571A">
      <w:pPr>
        <w:shd w:val="clear" w:color="auto" w:fill="FFFFFF"/>
        <w:spacing w:after="0" w:line="480" w:lineRule="auto"/>
        <w:jc w:val="both"/>
        <w:rPr>
          <w:rFonts w:ascii="The new romans" w:hAnsi="The new romans" w:cs="Arial"/>
          <w:sz w:val="24"/>
          <w:szCs w:val="24"/>
          <w:shd w:val="clear" w:color="auto" w:fill="FFFFFF"/>
        </w:rPr>
      </w:pPr>
      <w:r w:rsidRPr="003F70DA">
        <w:rPr>
          <w:rFonts w:ascii="The new romans" w:hAnsi="The new romans" w:cs="Arial"/>
          <w:sz w:val="24"/>
          <w:szCs w:val="24"/>
          <w:shd w:val="clear" w:color="auto" w:fill="FFFFFF"/>
        </w:rPr>
        <w:t>Antibiotic resistance has emerged as a significant public health issue, resulting in restricted treatment alternatives, elevated healthcare expenses, and extended hospitalization. It is crucial to continually monitor and investigate the shifting trends in bacterial drug susceptibility pattern, especially in relation to urinary tract infections. This enables treating physicians to remain up to date on the most effective initial treatments for UTIs. Instead of depending on standardized guidelines, the selection of antibiotics for UTI therapy should be determined by periodically understanding the prevalence of particular microorganisms responsible for the infection and assessing their susceptibility to antibiotics in the local region.</w:t>
      </w:r>
    </w:p>
    <w:p w:rsidR="0070403D" w:rsidRPr="00BC571A" w:rsidRDefault="0070403D" w:rsidP="00BC571A">
      <w:pPr>
        <w:shd w:val="clear" w:color="auto" w:fill="FFFFFF"/>
        <w:spacing w:after="0" w:line="480" w:lineRule="auto"/>
        <w:jc w:val="both"/>
        <w:rPr>
          <w:rFonts w:ascii="The new romans" w:eastAsia="Times New Roman" w:hAnsi="The new romans" w:cs="Arial"/>
          <w:sz w:val="24"/>
          <w:szCs w:val="24"/>
          <w:lang w:eastAsia="en-IN"/>
        </w:rPr>
      </w:pPr>
    </w:p>
    <w:p w:rsidR="00A42E41" w:rsidRPr="003F70DA" w:rsidRDefault="00A42E41" w:rsidP="00A42E41">
      <w:pPr>
        <w:pStyle w:val="Heading2"/>
        <w:spacing w:line="480" w:lineRule="auto"/>
        <w:jc w:val="both"/>
        <w:rPr>
          <w:rFonts w:ascii="The new romans" w:hAnsi="The new romans"/>
          <w:color w:val="auto"/>
          <w:sz w:val="24"/>
          <w:szCs w:val="24"/>
          <w:u w:val="single"/>
        </w:rPr>
      </w:pPr>
      <w:r w:rsidRPr="003F70DA">
        <w:rPr>
          <w:rFonts w:ascii="The new romans" w:hAnsi="The new romans"/>
          <w:color w:val="auto"/>
          <w:sz w:val="28"/>
          <w:szCs w:val="28"/>
          <w:u w:val="single"/>
        </w:rPr>
        <w:t>CONCLUSION:</w:t>
      </w:r>
    </w:p>
    <w:p w:rsidR="00D52C06" w:rsidRPr="003F70DA" w:rsidRDefault="00D52C06" w:rsidP="00D52C06">
      <w:pPr>
        <w:spacing w:after="0" w:line="480" w:lineRule="auto"/>
        <w:jc w:val="both"/>
        <w:rPr>
          <w:rFonts w:ascii="The new romans" w:eastAsia="Times New Roman" w:hAnsi="The new romans"/>
          <w:sz w:val="24"/>
          <w:szCs w:val="24"/>
        </w:rPr>
      </w:pPr>
      <w:r w:rsidRPr="003F70DA">
        <w:rPr>
          <w:rFonts w:ascii="The new romans" w:eastAsia="Times New Roman" w:hAnsi="The new romans"/>
          <w:sz w:val="24"/>
          <w:szCs w:val="24"/>
        </w:rPr>
        <w:t xml:space="preserve">     In summary, rising antibiotic resistance among urinary pathogens, and especially the emergence of multi-drug resistant clonal groups, has provided urgency to the development of novel preventative and therapeutic strategies. Some </w:t>
      </w:r>
      <w:r w:rsidR="00BC571A">
        <w:rPr>
          <w:rFonts w:ascii="The new romans" w:eastAsia="Times New Roman" w:hAnsi="The new romans"/>
          <w:sz w:val="24"/>
          <w:szCs w:val="24"/>
        </w:rPr>
        <w:t xml:space="preserve">older </w:t>
      </w:r>
      <w:r w:rsidR="0070403D">
        <w:rPr>
          <w:rFonts w:ascii="The new romans" w:eastAsia="Times New Roman" w:hAnsi="The new romans"/>
          <w:sz w:val="24"/>
          <w:szCs w:val="24"/>
        </w:rPr>
        <w:t>antibiotics</w:t>
      </w:r>
      <w:r w:rsidRPr="003F70DA">
        <w:rPr>
          <w:rFonts w:ascii="The new romans" w:eastAsia="Times New Roman" w:hAnsi="The new romans"/>
          <w:sz w:val="24"/>
          <w:szCs w:val="24"/>
        </w:rPr>
        <w:t xml:space="preserve"> may prove to be very useful in treating antimicrobial-refractory UTIs, especially those du</w:t>
      </w:r>
      <w:r w:rsidR="00BC571A">
        <w:rPr>
          <w:rFonts w:ascii="The new romans" w:eastAsia="Times New Roman" w:hAnsi="The new romans"/>
          <w:sz w:val="24"/>
          <w:szCs w:val="24"/>
        </w:rPr>
        <w:t>e to ESBL-producers. Newer Antibiotic</w:t>
      </w:r>
      <w:r w:rsidRPr="003F70DA">
        <w:rPr>
          <w:rFonts w:ascii="The new romans" w:eastAsia="Times New Roman" w:hAnsi="The new romans"/>
          <w:sz w:val="24"/>
          <w:szCs w:val="24"/>
        </w:rPr>
        <w:t xml:space="preserve">, such as the recently approved doripenem, have proven highly effective in the clinic to treat complicated UTIs. Research into novel anti-virulence therapies, such as inhibiting the production of, or adherence by, </w:t>
      </w:r>
      <w:r w:rsidRPr="003F70DA">
        <w:rPr>
          <w:rFonts w:ascii="The new romans" w:eastAsia="Times New Roman" w:hAnsi="The new romans"/>
          <w:sz w:val="25"/>
          <w:szCs w:val="25"/>
        </w:rPr>
        <w:t xml:space="preserve">urinary pathogenic </w:t>
      </w:r>
      <w:r w:rsidRPr="003F70DA">
        <w:rPr>
          <w:rFonts w:ascii="The new romans" w:eastAsia="Times New Roman" w:hAnsi="The new romans"/>
          <w:i/>
          <w:sz w:val="25"/>
          <w:szCs w:val="25"/>
        </w:rPr>
        <w:t>Escherichia coli</w:t>
      </w:r>
      <w:r w:rsidRPr="003F70DA">
        <w:rPr>
          <w:rFonts w:ascii="The new romans" w:eastAsia="Times New Roman" w:hAnsi="The new romans"/>
          <w:sz w:val="25"/>
          <w:szCs w:val="25"/>
        </w:rPr>
        <w:t xml:space="preserve"> (</w:t>
      </w:r>
      <w:r w:rsidRPr="003F70DA">
        <w:rPr>
          <w:rFonts w:ascii="The new romans" w:eastAsia="Times New Roman" w:hAnsi="The new romans"/>
          <w:sz w:val="24"/>
          <w:szCs w:val="24"/>
        </w:rPr>
        <w:t xml:space="preserve">UPEC) fimbriae is still an early </w:t>
      </w:r>
      <w:r w:rsidR="00BC571A" w:rsidRPr="003F70DA">
        <w:rPr>
          <w:rFonts w:ascii="The new romans" w:eastAsia="Times New Roman" w:hAnsi="The new romans"/>
          <w:sz w:val="24"/>
          <w:szCs w:val="24"/>
        </w:rPr>
        <w:t>stage but</w:t>
      </w:r>
      <w:r w:rsidRPr="003F70DA">
        <w:rPr>
          <w:rFonts w:ascii="The new romans" w:eastAsia="Times New Roman" w:hAnsi="The new romans"/>
          <w:sz w:val="24"/>
          <w:szCs w:val="24"/>
        </w:rPr>
        <w:t xml:space="preserve"> holds promise for future development. The use of probiotics to prevent vaginal </w:t>
      </w:r>
      <w:r w:rsidRPr="003F70DA">
        <w:rPr>
          <w:rFonts w:ascii="The new romans" w:eastAsia="Times New Roman" w:hAnsi="The new romans"/>
          <w:sz w:val="25"/>
          <w:szCs w:val="25"/>
        </w:rPr>
        <w:t xml:space="preserve">urinary pathogenic </w:t>
      </w:r>
      <w:r w:rsidRPr="00BC571A">
        <w:rPr>
          <w:rFonts w:ascii="The new romans" w:eastAsia="Times New Roman" w:hAnsi="The new romans"/>
          <w:i/>
          <w:sz w:val="25"/>
          <w:szCs w:val="25"/>
        </w:rPr>
        <w:t>Escherichia coli</w:t>
      </w:r>
      <w:r w:rsidRPr="003F70DA">
        <w:rPr>
          <w:rFonts w:ascii="The new romans" w:eastAsia="Times New Roman" w:hAnsi="The new romans"/>
          <w:sz w:val="25"/>
          <w:szCs w:val="25"/>
        </w:rPr>
        <w:t xml:space="preserve"> (UPEC) </w:t>
      </w:r>
      <w:r w:rsidRPr="003F70DA">
        <w:rPr>
          <w:rFonts w:ascii="The new romans" w:eastAsia="Times New Roman" w:hAnsi="The new romans"/>
          <w:sz w:val="24"/>
          <w:szCs w:val="24"/>
        </w:rPr>
        <w:t xml:space="preserve">colonization and the use of an immuno-stimulatory urinary pathogen extract (SolcoUrovac) are </w:t>
      </w:r>
      <w:r w:rsidRPr="003F70DA">
        <w:rPr>
          <w:rFonts w:ascii="The new romans" w:eastAsia="Times New Roman" w:hAnsi="The new romans"/>
          <w:sz w:val="25"/>
          <w:szCs w:val="25"/>
        </w:rPr>
        <w:t>currently</w:t>
      </w:r>
      <w:r w:rsidRPr="003F70DA">
        <w:rPr>
          <w:rFonts w:ascii="The new romans" w:eastAsia="Times New Roman" w:hAnsi="The new romans"/>
          <w:sz w:val="24"/>
          <w:szCs w:val="24"/>
        </w:rPr>
        <w:t xml:space="preserve"> in clinical trials to determine efficacy in preventing recurrent UTIs. Another preventative strategy is vaccination, and experimental vaccines have been developed that are effective in preventing UTIs in primates. </w:t>
      </w:r>
    </w:p>
    <w:p w:rsidR="00901B29" w:rsidRDefault="007C7614" w:rsidP="00D52C06">
      <w:pPr>
        <w:spacing w:line="480" w:lineRule="auto"/>
        <w:jc w:val="both"/>
        <w:rPr>
          <w:rFonts w:ascii="The new romans" w:hAnsi="The new romans"/>
          <w:sz w:val="24"/>
          <w:szCs w:val="24"/>
        </w:rPr>
      </w:pPr>
      <w:r w:rsidRPr="003F70DA">
        <w:rPr>
          <w:rFonts w:ascii="The new romans" w:hAnsi="The new romans"/>
          <w:sz w:val="24"/>
          <w:szCs w:val="24"/>
        </w:rPr>
        <w:t xml:space="preserve">     I</w:t>
      </w:r>
      <w:r w:rsidR="00D52C06" w:rsidRPr="003F70DA">
        <w:rPr>
          <w:rFonts w:ascii="The new romans" w:hAnsi="The new romans"/>
          <w:sz w:val="24"/>
          <w:szCs w:val="24"/>
        </w:rPr>
        <w:t xml:space="preserve">t is important that each country should have its own epidemiological data, and physicians should know antimicrobial resistance rates in their regions so as to arrange treatment, and prophylaxis accordingly. Antimicrobial resistance rates are increasing steadily against antibiotics expected to exert clinical efficacy in the treatment of UTI as a result of their widespread, and erroneous use. We think that at certain intervals </w:t>
      </w:r>
      <w:r w:rsidR="00BC571A" w:rsidRPr="003F70DA">
        <w:rPr>
          <w:rFonts w:ascii="The new romans" w:hAnsi="The new romans"/>
          <w:sz w:val="24"/>
          <w:szCs w:val="24"/>
        </w:rPr>
        <w:t>canters</w:t>
      </w:r>
      <w:r w:rsidR="00D52C06" w:rsidRPr="003F70DA">
        <w:rPr>
          <w:rFonts w:ascii="The new romans" w:hAnsi="The new romans"/>
          <w:sz w:val="24"/>
          <w:szCs w:val="24"/>
        </w:rPr>
        <w:t xml:space="preserve"> should identify urinary pathogens prevalent in their regions, and aware of antimicrobial susceptibilities of these pathogens which are very important for the economy of the country, and appropriate treatment.</w:t>
      </w:r>
    </w:p>
    <w:p w:rsidR="00B920E4" w:rsidRPr="003F70DA" w:rsidRDefault="00B920E4" w:rsidP="00D52C06">
      <w:pPr>
        <w:spacing w:line="480" w:lineRule="auto"/>
        <w:jc w:val="both"/>
        <w:rPr>
          <w:rFonts w:ascii="The new romans" w:hAnsi="The new romans"/>
          <w:sz w:val="24"/>
          <w:szCs w:val="24"/>
        </w:rPr>
      </w:pPr>
    </w:p>
    <w:p w:rsidR="00D52C06" w:rsidRPr="003F70DA" w:rsidRDefault="00D52C06" w:rsidP="00D52C06">
      <w:pPr>
        <w:spacing w:line="480" w:lineRule="auto"/>
        <w:jc w:val="both"/>
        <w:rPr>
          <w:rFonts w:ascii="The new romans" w:hAnsi="The new romans"/>
          <w:sz w:val="24"/>
          <w:szCs w:val="24"/>
        </w:rPr>
      </w:pPr>
      <w:r w:rsidRPr="003F70DA">
        <w:rPr>
          <w:rFonts w:ascii="The new romans" w:hAnsi="The new romans"/>
          <w:sz w:val="24"/>
          <w:szCs w:val="24"/>
        </w:rPr>
        <w:t xml:space="preserve">    Antimicrobial resistance is a globally ever increasing problem. The emergence and spread of antimicrobial resistance are complex and driven by numerous interconnected factors. The principle causes of microbial resistance are inappropriate, irrational, high consumption, and profligate use of antibiotics. The use of antimicrobials must be restricted and monitored in order to decline the resistance. The present results in increasing antibiotic resistance trends in UTI patients indicate that it is imperative to rationalize the use of antimicrobials and to use these conservatively. Considering the relatively increase rates of UTI and drug resistance observed in this study, continued local, regional, and national surveillance is warranted. Antibiotics should only be issued when prescribed by physicians.</w:t>
      </w:r>
    </w:p>
    <w:p w:rsidR="00901B29" w:rsidRPr="003F70DA" w:rsidRDefault="00D52C06" w:rsidP="00D52C06">
      <w:pPr>
        <w:spacing w:line="480" w:lineRule="auto"/>
        <w:jc w:val="both"/>
        <w:rPr>
          <w:rFonts w:ascii="The new romans" w:hAnsi="The new romans"/>
          <w:sz w:val="24"/>
          <w:szCs w:val="24"/>
        </w:rPr>
      </w:pPr>
      <w:r w:rsidRPr="003F70DA">
        <w:rPr>
          <w:rFonts w:ascii="The new romans" w:hAnsi="The new romans"/>
          <w:sz w:val="24"/>
          <w:szCs w:val="24"/>
        </w:rPr>
        <w:t xml:space="preserve">     Regular monitoring is required to establish reliable information about resistance pattern of urinary pathogens for optimal empirical therapy of patients with UTIs. </w:t>
      </w:r>
      <w:r w:rsidRPr="003F70DA">
        <w:rPr>
          <w:rFonts w:ascii="The new romans" w:eastAsia="Times New Roman" w:hAnsi="The new romans"/>
          <w:sz w:val="24"/>
          <w:szCs w:val="24"/>
        </w:rPr>
        <w:t xml:space="preserve"> A combination of traditional and innovative prevention and treatment strategies is being deployed to combat the threat of emerging antibiotic resistance among urinary pathogens.</w:t>
      </w:r>
      <w:r w:rsidRPr="003F70DA">
        <w:rPr>
          <w:rFonts w:ascii="The new romans" w:hAnsi="The new romans"/>
          <w:b/>
          <w:sz w:val="24"/>
          <w:szCs w:val="24"/>
        </w:rPr>
        <w:t xml:space="preserve">   </w:t>
      </w:r>
      <w:r w:rsidRPr="003F70DA">
        <w:rPr>
          <w:rFonts w:ascii="The new romans" w:hAnsi="The new romans"/>
          <w:sz w:val="24"/>
          <w:szCs w:val="24"/>
        </w:rPr>
        <w:t>Finally, we suggest that empirical antibiotic selection should be based on the knowledge of local prevalence of bacterial organisms and antibiotic sensitivities rather than on universal guidelines.</w:t>
      </w:r>
    </w:p>
    <w:p w:rsidR="00B405FD" w:rsidRPr="003F70DA" w:rsidRDefault="00D52C06" w:rsidP="00D52C06">
      <w:pPr>
        <w:shd w:val="clear" w:color="auto" w:fill="FFFFFF"/>
        <w:spacing w:after="0" w:line="480" w:lineRule="auto"/>
        <w:rPr>
          <w:rFonts w:ascii="The new romans" w:eastAsia="Times New Roman" w:hAnsi="The new romans" w:cs="Arial"/>
          <w:sz w:val="24"/>
          <w:szCs w:val="24"/>
          <w:lang w:eastAsia="en-IN"/>
        </w:rPr>
      </w:pPr>
      <w:r w:rsidRPr="003F70DA">
        <w:rPr>
          <w:rFonts w:ascii="The new romans" w:eastAsia="Times New Roman" w:hAnsi="The new romans" w:cs="Arial"/>
          <w:sz w:val="24"/>
          <w:szCs w:val="24"/>
          <w:lang w:eastAsia="en-IN"/>
        </w:rPr>
        <w:t>The prevalence of Enterobacterales causing UTIs is high in patients over 50, with alarming rates of antibiotic resistance and ESBL production, necessitating tailored, evidence-based, and often broader-spectrum empirical therapy to avoid treatment failure. </w:t>
      </w:r>
    </w:p>
    <w:p w:rsidR="00C33F45" w:rsidRPr="003F70DA" w:rsidRDefault="00C33F45" w:rsidP="00C33F45">
      <w:pPr>
        <w:pStyle w:val="Heading2"/>
        <w:spacing w:line="480" w:lineRule="auto"/>
        <w:jc w:val="both"/>
        <w:rPr>
          <w:rFonts w:ascii="The new romans" w:hAnsi="The new romans"/>
          <w:color w:val="auto"/>
          <w:sz w:val="28"/>
          <w:szCs w:val="28"/>
          <w:u w:val="single"/>
        </w:rPr>
      </w:pPr>
      <w:r w:rsidRPr="003F70DA">
        <w:rPr>
          <w:rFonts w:ascii="The new romans" w:hAnsi="The new romans"/>
          <w:color w:val="auto"/>
          <w:sz w:val="28"/>
          <w:szCs w:val="28"/>
          <w:u w:val="single"/>
        </w:rPr>
        <w:t>ACKNOWLEDGEMENTS:</w:t>
      </w:r>
    </w:p>
    <w:p w:rsidR="00C33F45" w:rsidRPr="003F70DA" w:rsidRDefault="00C33F45" w:rsidP="00C33F45">
      <w:pPr>
        <w:spacing w:line="360" w:lineRule="auto"/>
        <w:ind w:left="180" w:firstLine="540"/>
        <w:jc w:val="both"/>
        <w:rPr>
          <w:rFonts w:ascii="The new romans" w:hAnsi="The new romans"/>
          <w:iCs/>
          <w:sz w:val="24"/>
          <w:szCs w:val="24"/>
        </w:rPr>
      </w:pPr>
      <w:r w:rsidRPr="003F70DA">
        <w:rPr>
          <w:rFonts w:ascii="The new romans" w:hAnsi="The new romans"/>
          <w:sz w:val="24"/>
          <w:szCs w:val="24"/>
        </w:rPr>
        <w:t xml:space="preserve">I would like to thank </w:t>
      </w:r>
      <w:r w:rsidR="00D653F6">
        <w:rPr>
          <w:rFonts w:ascii="The new romans" w:hAnsi="The new romans"/>
          <w:b/>
          <w:sz w:val="24"/>
          <w:szCs w:val="24"/>
        </w:rPr>
        <w:t xml:space="preserve">Faculty </w:t>
      </w:r>
      <w:r w:rsidRPr="003F70DA">
        <w:rPr>
          <w:rFonts w:ascii="The new romans" w:hAnsi="The new romans"/>
          <w:b/>
          <w:sz w:val="24"/>
          <w:szCs w:val="24"/>
        </w:rPr>
        <w:t xml:space="preserve">of the </w:t>
      </w:r>
      <w:r w:rsidR="00C75776" w:rsidRPr="003F70DA">
        <w:rPr>
          <w:rFonts w:ascii="The new romans" w:hAnsi="The new romans"/>
          <w:b/>
          <w:sz w:val="24"/>
          <w:szCs w:val="24"/>
        </w:rPr>
        <w:t>Department of Microbiology, Sister Nivedita University; Kolkata; West Bengal</w:t>
      </w:r>
      <w:r w:rsidRPr="003F70DA">
        <w:rPr>
          <w:rFonts w:ascii="The new romans" w:hAnsi="The new romans"/>
          <w:b/>
          <w:sz w:val="24"/>
          <w:szCs w:val="24"/>
        </w:rPr>
        <w:t xml:space="preserve">; India </w:t>
      </w:r>
      <w:r w:rsidRPr="003F70DA">
        <w:rPr>
          <w:rFonts w:ascii="The new romans" w:hAnsi="The new romans"/>
          <w:sz w:val="24"/>
          <w:szCs w:val="24"/>
        </w:rPr>
        <w:t>for critical review of the manuscript and suggestions.</w:t>
      </w:r>
      <w:r w:rsidRPr="003F70DA">
        <w:rPr>
          <w:rFonts w:ascii="The new romans" w:hAnsi="The new romans"/>
          <w:iCs/>
          <w:sz w:val="24"/>
          <w:szCs w:val="24"/>
        </w:rPr>
        <w:t xml:space="preserve"> I express my sincere thanks to </w:t>
      </w:r>
      <w:r w:rsidRPr="003F70DA">
        <w:rPr>
          <w:rFonts w:ascii="The new romans" w:hAnsi="The new romans"/>
          <w:b/>
          <w:iCs/>
          <w:sz w:val="24"/>
          <w:szCs w:val="24"/>
        </w:rPr>
        <w:t>Managing Director of Serum Analysis Centre Pvt. Ltd.; Howrah-711101; West Bengal; India</w:t>
      </w:r>
      <w:r w:rsidRPr="003F70DA">
        <w:rPr>
          <w:rFonts w:ascii="The new romans" w:hAnsi="The new romans"/>
          <w:iCs/>
          <w:sz w:val="24"/>
          <w:szCs w:val="24"/>
        </w:rPr>
        <w:t xml:space="preserve"> for granting me permission to work in the department and extending all facilities available. </w:t>
      </w:r>
    </w:p>
    <w:p w:rsidR="00B405FD" w:rsidRPr="003F70DA" w:rsidRDefault="00B405FD" w:rsidP="00057C4F">
      <w:pPr>
        <w:spacing w:line="360" w:lineRule="auto"/>
        <w:jc w:val="both"/>
        <w:rPr>
          <w:rFonts w:ascii="The new romans" w:hAnsi="The new romans"/>
          <w:iCs/>
          <w:sz w:val="24"/>
          <w:szCs w:val="24"/>
        </w:rPr>
      </w:pPr>
    </w:p>
    <w:p w:rsidR="00A42E41" w:rsidRPr="003F70DA" w:rsidRDefault="00A42E41" w:rsidP="00A42E41">
      <w:pPr>
        <w:rPr>
          <w:rFonts w:ascii="The new romans" w:hAnsi="The new romans"/>
          <w:b/>
          <w:sz w:val="28"/>
          <w:szCs w:val="28"/>
          <w:u w:val="single"/>
        </w:rPr>
      </w:pPr>
      <w:r w:rsidRPr="003F70DA">
        <w:rPr>
          <w:rFonts w:ascii="The new romans" w:hAnsi="The new romans"/>
          <w:b/>
          <w:sz w:val="28"/>
          <w:szCs w:val="28"/>
          <w:u w:val="single"/>
        </w:rPr>
        <w:t>REFERENCES</w:t>
      </w:r>
    </w:p>
    <w:p w:rsidR="002E7122" w:rsidRPr="003F70DA" w:rsidRDefault="002E7122" w:rsidP="002E7122">
      <w:pPr>
        <w:spacing w:line="480" w:lineRule="auto"/>
        <w:jc w:val="both"/>
        <w:rPr>
          <w:rFonts w:ascii="The new romans" w:hAnsi="The new romans"/>
          <w:sz w:val="24"/>
          <w:szCs w:val="24"/>
        </w:rPr>
      </w:pPr>
      <w:r w:rsidRPr="003F70DA">
        <w:rPr>
          <w:rFonts w:ascii="The new romans" w:hAnsi="The new romans"/>
          <w:sz w:val="24"/>
          <w:szCs w:val="24"/>
        </w:rPr>
        <w:t>1. Rodriguez-Mañas L. Urinary tract infections in the elderly: a review of disease characteristics and current treatment options. Drugs Context. 2020 Jul 8; 9:2020-4-13. doi: 10.7573/dic.2020-4-13. PMID: 32699546; PMCID: PMC7357682.</w:t>
      </w:r>
    </w:p>
    <w:p w:rsidR="002E7122" w:rsidRPr="003F70DA" w:rsidRDefault="002E7122" w:rsidP="002E7122">
      <w:pPr>
        <w:spacing w:line="480" w:lineRule="auto"/>
        <w:jc w:val="both"/>
        <w:rPr>
          <w:rFonts w:ascii="The new romans" w:hAnsi="The new romans"/>
          <w:sz w:val="24"/>
          <w:szCs w:val="24"/>
        </w:rPr>
      </w:pPr>
      <w:r w:rsidRPr="003F70DA">
        <w:rPr>
          <w:rFonts w:ascii="The new romans" w:hAnsi="The new romans"/>
          <w:sz w:val="24"/>
          <w:szCs w:val="24"/>
        </w:rPr>
        <w:t xml:space="preserve"> 2. Gajdács M, Ábrók M, Lázár A, Burián K. Urinary Tract Infections in Elderly Patients: A 10-Year Study on Their Epidemiology and Antibiotic Resistance Based on the WHO Access, Watch, Reserve (AWaRe) Classification. Antibiotics (Basel). 2021 Sep 11;10(9):1098. doi: 10.3390/antibiotics10091098. PMID: 34572680; PMCID: PMC8467796.</w:t>
      </w:r>
    </w:p>
    <w:p w:rsidR="002E7122" w:rsidRPr="003F70DA" w:rsidRDefault="002E7122" w:rsidP="002E7122">
      <w:pPr>
        <w:spacing w:line="480" w:lineRule="auto"/>
        <w:jc w:val="both"/>
        <w:rPr>
          <w:rFonts w:ascii="The new romans" w:hAnsi="The new romans"/>
          <w:sz w:val="24"/>
          <w:szCs w:val="24"/>
        </w:rPr>
      </w:pPr>
      <w:r w:rsidRPr="003F70DA">
        <w:rPr>
          <w:rFonts w:ascii="The new romans" w:hAnsi="The new romans"/>
          <w:sz w:val="24"/>
          <w:szCs w:val="24"/>
        </w:rPr>
        <w:t xml:space="preserve"> 3. Tarek A, Abdalla S, Dokmak NA, Ahmed AA, El-Mahdy TS, Safwat NA. Bacterial Diversity and Antibiotic Resistance Patterns of Community-Acquired Urinary Tract Infections in Mega Size Clinical Samples of Egyptian Patients: A Cross-Sectional Study. Cureus. 2024 Jan 8;16(1): e51838. doi: 10.7759/cureus.51838. PMID: 38327928; PMCID: PMC10849261.</w:t>
      </w:r>
    </w:p>
    <w:p w:rsidR="002E7122" w:rsidRPr="003F70DA" w:rsidRDefault="002E7122" w:rsidP="002E7122">
      <w:pPr>
        <w:spacing w:line="480" w:lineRule="auto"/>
        <w:jc w:val="both"/>
        <w:rPr>
          <w:rFonts w:ascii="The new romans" w:hAnsi="The new romans"/>
          <w:sz w:val="24"/>
          <w:szCs w:val="24"/>
        </w:rPr>
      </w:pPr>
      <w:r w:rsidRPr="003F70DA">
        <w:rPr>
          <w:rFonts w:ascii="The new romans" w:hAnsi="The new romans"/>
          <w:sz w:val="24"/>
          <w:szCs w:val="24"/>
        </w:rPr>
        <w:t xml:space="preserve">4.  Sanchez GV, Babiker A, Master RN, Luu T, Mathur A, Bordon J. Antibiotic resistance among urinary isolates from female outpatients in the United States in 2003 and 2012. Antimicrob Agents Chemother 2016;60:2680–3. </w:t>
      </w:r>
    </w:p>
    <w:p w:rsidR="002E7122" w:rsidRPr="003F70DA" w:rsidRDefault="002E7122" w:rsidP="002E7122">
      <w:pPr>
        <w:spacing w:line="480" w:lineRule="auto"/>
        <w:jc w:val="both"/>
        <w:rPr>
          <w:rFonts w:ascii="The new romans" w:hAnsi="The new romans"/>
          <w:sz w:val="24"/>
          <w:szCs w:val="24"/>
        </w:rPr>
      </w:pPr>
      <w:r w:rsidRPr="003F70DA">
        <w:rPr>
          <w:rFonts w:ascii="The new romans" w:hAnsi="The new romans"/>
          <w:sz w:val="24"/>
          <w:szCs w:val="24"/>
        </w:rPr>
        <w:t xml:space="preserve">5.  Okarska-Napierała M, Wasilewska A, Kuchar E. Urinary tract infection in children: Diagnosis, treatment, imaging–Comparison of current guidelines. J Pediatr Urol 2017;13:567–73. </w:t>
      </w:r>
    </w:p>
    <w:p w:rsidR="002E7122" w:rsidRPr="003F70DA" w:rsidRDefault="002E7122" w:rsidP="002E7122">
      <w:pPr>
        <w:spacing w:line="480" w:lineRule="auto"/>
        <w:jc w:val="both"/>
        <w:rPr>
          <w:rFonts w:ascii="The new romans" w:hAnsi="The new romans"/>
          <w:sz w:val="24"/>
          <w:szCs w:val="24"/>
        </w:rPr>
      </w:pPr>
      <w:r w:rsidRPr="003F70DA">
        <w:rPr>
          <w:rFonts w:ascii="The new romans" w:hAnsi="The new romans"/>
          <w:sz w:val="24"/>
          <w:szCs w:val="24"/>
        </w:rPr>
        <w:t xml:space="preserve">6.  Kang CI, Kim J, Park DW, Kim BN, Ha US, Lee SJ, et al. Clinical practice guidelines for the antibiotic treatment of community-acquired urinary tract infections. Infect Chemother 2018;50:67–100. </w:t>
      </w:r>
    </w:p>
    <w:p w:rsidR="002E7122" w:rsidRPr="003F70DA" w:rsidRDefault="002E7122" w:rsidP="002E7122">
      <w:pPr>
        <w:spacing w:line="480" w:lineRule="auto"/>
        <w:jc w:val="both"/>
        <w:rPr>
          <w:rFonts w:ascii="The new romans" w:hAnsi="The new romans"/>
          <w:sz w:val="24"/>
          <w:szCs w:val="24"/>
        </w:rPr>
      </w:pPr>
      <w:r w:rsidRPr="003F70DA">
        <w:rPr>
          <w:rFonts w:ascii="The new romans" w:hAnsi="The new romans"/>
          <w:sz w:val="24"/>
          <w:szCs w:val="24"/>
        </w:rPr>
        <w:t xml:space="preserve">7.  Nicolle LE, Gupta K, Bradley SF, Colgan R, DeMuri GP, Drekonja D, et al. Clinical practice guideline for the management of asymptomatic bacteriuria: 2019 update by the Infectious Diseases Society of America. Clin Infect Dis 2019;68:e83–110. </w:t>
      </w:r>
    </w:p>
    <w:p w:rsidR="002E7122" w:rsidRPr="003F70DA" w:rsidRDefault="002E7122" w:rsidP="002E7122">
      <w:pPr>
        <w:spacing w:line="480" w:lineRule="auto"/>
        <w:jc w:val="both"/>
        <w:rPr>
          <w:rFonts w:ascii="The new romans" w:hAnsi="The new romans"/>
          <w:sz w:val="24"/>
          <w:szCs w:val="24"/>
        </w:rPr>
      </w:pPr>
      <w:r w:rsidRPr="003F70DA">
        <w:rPr>
          <w:rFonts w:ascii="The new romans" w:hAnsi="The new romans"/>
          <w:sz w:val="24"/>
          <w:szCs w:val="24"/>
        </w:rPr>
        <w:t xml:space="preserve">8.  Bonkat G, Bartoletti R, Bruyère F, Cai T, Geerlings SE, Köves B, et al; European Association of Urology. EAU Guidelines on Urological Infections. Available at: https://d56bochluxqnz.cloudfront.net/documents/ full-guideline/EAU-Guidelines-on-Urological-Infections-2022.pdf. Accessed Feb 23, 2023. </w:t>
      </w:r>
    </w:p>
    <w:p w:rsidR="002E7122" w:rsidRPr="003F70DA" w:rsidRDefault="002E7122" w:rsidP="002E7122">
      <w:pPr>
        <w:spacing w:line="480" w:lineRule="auto"/>
        <w:jc w:val="both"/>
        <w:rPr>
          <w:rFonts w:ascii="The new romans" w:hAnsi="The new romans"/>
          <w:sz w:val="24"/>
          <w:szCs w:val="24"/>
        </w:rPr>
      </w:pPr>
      <w:r w:rsidRPr="003F70DA">
        <w:rPr>
          <w:rFonts w:ascii="The new romans" w:hAnsi="The new romans"/>
          <w:sz w:val="24"/>
          <w:szCs w:val="24"/>
        </w:rPr>
        <w:t xml:space="preserve">9.  Aykan SB, Ciftci IH. Antibiotic resistance patterns of Escherichia coli strains isolated from urine cultures in Turkey: A meta-analysis. Mikrobiyol Bul [Article in Turkish] 2013;47:603–18. </w:t>
      </w:r>
    </w:p>
    <w:p w:rsidR="002E7122" w:rsidRPr="003F70DA" w:rsidRDefault="002E7122" w:rsidP="002E7122">
      <w:pPr>
        <w:spacing w:line="480" w:lineRule="auto"/>
        <w:jc w:val="both"/>
        <w:rPr>
          <w:rFonts w:ascii="The new romans" w:hAnsi="The new romans"/>
          <w:sz w:val="24"/>
          <w:szCs w:val="24"/>
        </w:rPr>
      </w:pPr>
      <w:r w:rsidRPr="003F70DA">
        <w:rPr>
          <w:rFonts w:ascii="The new romans" w:hAnsi="The new romans"/>
          <w:sz w:val="24"/>
          <w:szCs w:val="24"/>
        </w:rPr>
        <w:t xml:space="preserve">10.  Bassetti M, Garau J. Current and future perspectives in the treatment of multidrug-resistant gram-negative infections. J Antimicrob Chemother 2021;76(Suppl 4):iv23–37. </w:t>
      </w:r>
    </w:p>
    <w:p w:rsidR="002E7122" w:rsidRPr="003F70DA" w:rsidRDefault="002E7122" w:rsidP="002E7122">
      <w:pPr>
        <w:spacing w:line="480" w:lineRule="auto"/>
        <w:jc w:val="both"/>
        <w:rPr>
          <w:rFonts w:ascii="The new romans" w:hAnsi="The new romans"/>
          <w:sz w:val="24"/>
          <w:szCs w:val="24"/>
        </w:rPr>
      </w:pPr>
      <w:r w:rsidRPr="003F70DA">
        <w:rPr>
          <w:rFonts w:ascii="The new romans" w:hAnsi="The new romans"/>
          <w:sz w:val="24"/>
          <w:szCs w:val="24"/>
        </w:rPr>
        <w:t xml:space="preserve">11. European Committee on Antimicrobial Susceptibility Testing. Breakpoint tables for interpretation of MICs and zone diameters. Version 9.0. Available at: https://www.eucast.org. Accessed June 15, 2021. </w:t>
      </w:r>
    </w:p>
    <w:p w:rsidR="002E7122" w:rsidRPr="003F70DA" w:rsidRDefault="002E7122" w:rsidP="002E7122">
      <w:pPr>
        <w:spacing w:line="480" w:lineRule="auto"/>
        <w:jc w:val="both"/>
        <w:rPr>
          <w:rFonts w:ascii="The new romans" w:hAnsi="The new romans"/>
          <w:sz w:val="24"/>
          <w:szCs w:val="24"/>
        </w:rPr>
      </w:pPr>
      <w:r w:rsidRPr="003F70DA">
        <w:rPr>
          <w:rFonts w:ascii="The new romans" w:hAnsi="The new romans"/>
          <w:sz w:val="24"/>
          <w:szCs w:val="24"/>
        </w:rPr>
        <w:t xml:space="preserve">12.  Frieri M, Kumar K, Boutin A. Antibiotic resistance. J Infect Public Health 2017;10:369–78. </w:t>
      </w:r>
    </w:p>
    <w:p w:rsidR="008943D2" w:rsidRPr="003F70DA" w:rsidRDefault="008943D2" w:rsidP="008943D2">
      <w:pPr>
        <w:pStyle w:val="ListParagraph"/>
        <w:spacing w:line="480" w:lineRule="auto"/>
        <w:ind w:left="0"/>
        <w:jc w:val="both"/>
        <w:rPr>
          <w:rFonts w:ascii="The new romans" w:eastAsia="Times New Roman" w:hAnsi="The new romans"/>
          <w:sz w:val="24"/>
          <w:szCs w:val="24"/>
        </w:rPr>
      </w:pPr>
      <w:r w:rsidRPr="003F70DA">
        <w:rPr>
          <w:rFonts w:ascii="The new romans" w:eastAsia="Times New Roman" w:hAnsi="The new romans"/>
          <w:sz w:val="24"/>
          <w:szCs w:val="24"/>
        </w:rPr>
        <w:t>13. Collee JG, Duguid JP, Fraser AG, Marmion BP, Simmons A. (1996). Laboratory strategy in diagnosis of infective syndromes. In: Collee JG, Duguid JP, Fraser AG, Marmion BP, Simmons A (Editor). Mackie and McCartney Practical Medical Microbiology, 14</w:t>
      </w:r>
      <w:r w:rsidRPr="003F70DA">
        <w:rPr>
          <w:rFonts w:ascii="The new romans" w:eastAsia="Times New Roman" w:hAnsi="The new romans"/>
          <w:sz w:val="24"/>
          <w:szCs w:val="24"/>
          <w:vertAlign w:val="superscript"/>
        </w:rPr>
        <w:t>th</w:t>
      </w:r>
      <w:r w:rsidRPr="003F70DA">
        <w:rPr>
          <w:rFonts w:ascii="The new romans" w:eastAsia="Times New Roman" w:hAnsi="The new romans"/>
          <w:sz w:val="24"/>
          <w:szCs w:val="24"/>
        </w:rPr>
        <w:t xml:space="preserve"> ed. London: Churchill Livingstone; pp. 53-94.</w:t>
      </w:r>
    </w:p>
    <w:p w:rsidR="008943D2" w:rsidRPr="003F70DA" w:rsidRDefault="008943D2" w:rsidP="008943D2">
      <w:pPr>
        <w:widowControl w:val="0"/>
        <w:autoSpaceDE w:val="0"/>
        <w:autoSpaceDN w:val="0"/>
        <w:adjustRightInd w:val="0"/>
        <w:spacing w:line="480" w:lineRule="auto"/>
        <w:jc w:val="both"/>
        <w:rPr>
          <w:rFonts w:ascii="The new romans" w:eastAsia="Calibri" w:hAnsi="The new romans"/>
          <w:sz w:val="24"/>
          <w:szCs w:val="24"/>
        </w:rPr>
      </w:pPr>
      <w:r w:rsidRPr="003F70DA">
        <w:rPr>
          <w:rFonts w:ascii="The new romans" w:hAnsi="The new romans"/>
          <w:sz w:val="24"/>
          <w:szCs w:val="24"/>
        </w:rPr>
        <w:t>14. Cruickshank R, Duguid JP, Marmion BP. (1975). Tests for identification of bacteria. In: Medical Microbiology. 12</w:t>
      </w:r>
      <w:r w:rsidRPr="003F70DA">
        <w:rPr>
          <w:rFonts w:ascii="The new romans" w:hAnsi="The new romans"/>
          <w:sz w:val="24"/>
          <w:szCs w:val="24"/>
          <w:vertAlign w:val="superscript"/>
        </w:rPr>
        <w:t>th</w:t>
      </w:r>
      <w:r w:rsidRPr="003F70DA">
        <w:rPr>
          <w:rFonts w:ascii="The new romans" w:hAnsi="The new romans"/>
          <w:sz w:val="24"/>
          <w:szCs w:val="24"/>
        </w:rPr>
        <w:t xml:space="preserve"> ed. London: Churchill Livingstone; pp. 170-189.</w:t>
      </w:r>
    </w:p>
    <w:p w:rsidR="008943D2" w:rsidRPr="003F70DA" w:rsidRDefault="008943D2" w:rsidP="008943D2">
      <w:pPr>
        <w:pStyle w:val="ListParagraph"/>
        <w:spacing w:line="480" w:lineRule="auto"/>
        <w:ind w:left="0"/>
        <w:jc w:val="both"/>
        <w:rPr>
          <w:rFonts w:ascii="The new romans" w:eastAsia="Times New Roman" w:hAnsi="The new romans"/>
          <w:sz w:val="24"/>
          <w:szCs w:val="24"/>
          <w:lang w:val="en-US"/>
        </w:rPr>
      </w:pPr>
      <w:r w:rsidRPr="003F70DA">
        <w:rPr>
          <w:rFonts w:ascii="The new romans" w:eastAsia="Times New Roman" w:hAnsi="The new romans"/>
          <w:sz w:val="24"/>
          <w:szCs w:val="24"/>
        </w:rPr>
        <w:t>15. Kass, E. H. (1957). Bacteriuria and diagnosis of infections of urinary tract. Arch. Intern. Med., 100: 709-714.</w:t>
      </w:r>
    </w:p>
    <w:p w:rsidR="008943D2" w:rsidRPr="003F70DA" w:rsidRDefault="008943D2" w:rsidP="008943D2">
      <w:pPr>
        <w:spacing w:line="480" w:lineRule="auto"/>
        <w:jc w:val="both"/>
        <w:rPr>
          <w:rFonts w:ascii="The new romans" w:eastAsia="Calibri" w:hAnsi="The new romans"/>
          <w:sz w:val="24"/>
          <w:szCs w:val="24"/>
        </w:rPr>
      </w:pPr>
      <w:r w:rsidRPr="003F70DA">
        <w:rPr>
          <w:rFonts w:ascii="The new romans" w:eastAsia="Times New Roman" w:hAnsi="The new romans"/>
          <w:sz w:val="24"/>
          <w:szCs w:val="24"/>
        </w:rPr>
        <w:t>16. District laboratory Practice in Tropical Countries Monika Cheesbrough. (2002). 2</w:t>
      </w:r>
      <w:r w:rsidRPr="003F70DA">
        <w:rPr>
          <w:rFonts w:ascii="The new romans" w:eastAsia="Times New Roman" w:hAnsi="The new romans"/>
          <w:sz w:val="24"/>
          <w:szCs w:val="24"/>
          <w:vertAlign w:val="superscript"/>
        </w:rPr>
        <w:t>nd</w:t>
      </w:r>
      <w:r w:rsidRPr="003F70DA">
        <w:rPr>
          <w:rFonts w:ascii="The new romans" w:eastAsia="Times New Roman" w:hAnsi="The new romans"/>
          <w:sz w:val="24"/>
          <w:szCs w:val="24"/>
        </w:rPr>
        <w:t xml:space="preserve"> Edition,</w:t>
      </w:r>
      <w:r w:rsidRPr="003F70DA">
        <w:rPr>
          <w:rFonts w:ascii="The new romans" w:hAnsi="The new romans"/>
          <w:sz w:val="24"/>
          <w:szCs w:val="24"/>
        </w:rPr>
        <w:t xml:space="preserve"> Part-2, Cambridge University Press; 132-234.</w:t>
      </w:r>
    </w:p>
    <w:p w:rsidR="006513B8" w:rsidRPr="003F70DA" w:rsidRDefault="006513B8" w:rsidP="006513B8">
      <w:pPr>
        <w:autoSpaceDE w:val="0"/>
        <w:autoSpaceDN w:val="0"/>
        <w:adjustRightInd w:val="0"/>
        <w:spacing w:after="0" w:line="480" w:lineRule="auto"/>
        <w:jc w:val="both"/>
        <w:rPr>
          <w:rFonts w:ascii="The new romans" w:hAnsi="The new romans"/>
          <w:sz w:val="24"/>
          <w:szCs w:val="24"/>
        </w:rPr>
      </w:pPr>
      <w:r w:rsidRPr="003F70DA">
        <w:rPr>
          <w:rFonts w:ascii="The new romans" w:hAnsi="The new romans"/>
          <w:sz w:val="24"/>
          <w:szCs w:val="24"/>
        </w:rPr>
        <w:t xml:space="preserve">17. Mareș C, Petca RC, Popescu RI, Petca A, Geavlete BF, Jinga V. Uropathogens' Antibiotic Resistance Evolution in a Female Population: A Sequential Multi-Year Comparative Analysis. Antibiotics (Basel). 2023 May 23;12(6):948. doi: 10.3390/antibiotics12060948. PMID: 37370266; PMCID: PMC10294854. </w:t>
      </w:r>
    </w:p>
    <w:p w:rsidR="006513B8" w:rsidRPr="003F70DA" w:rsidRDefault="006513B8" w:rsidP="006513B8">
      <w:pPr>
        <w:autoSpaceDE w:val="0"/>
        <w:autoSpaceDN w:val="0"/>
        <w:adjustRightInd w:val="0"/>
        <w:spacing w:after="0" w:line="480" w:lineRule="auto"/>
        <w:jc w:val="both"/>
        <w:rPr>
          <w:rFonts w:ascii="The new romans" w:hAnsi="The new romans"/>
          <w:sz w:val="24"/>
          <w:szCs w:val="24"/>
        </w:rPr>
      </w:pPr>
    </w:p>
    <w:p w:rsidR="006513B8" w:rsidRPr="003F70DA" w:rsidRDefault="006513B8" w:rsidP="006513B8">
      <w:pPr>
        <w:autoSpaceDE w:val="0"/>
        <w:autoSpaceDN w:val="0"/>
        <w:adjustRightInd w:val="0"/>
        <w:spacing w:after="0" w:line="480" w:lineRule="auto"/>
        <w:jc w:val="both"/>
        <w:rPr>
          <w:rFonts w:ascii="The new romans" w:hAnsi="The new romans"/>
          <w:sz w:val="24"/>
          <w:szCs w:val="24"/>
        </w:rPr>
      </w:pPr>
      <w:r w:rsidRPr="003F70DA">
        <w:rPr>
          <w:rFonts w:ascii="The new romans" w:hAnsi="The new romans"/>
          <w:sz w:val="24"/>
          <w:szCs w:val="24"/>
        </w:rPr>
        <w:t>18. Nguyen HQ, Nguyen NTQ, Hughes CM, O'Neill C. Trends and impact of antimicrobial resistance on older inpatients with urinary tract infections (UTIs): A national retrospective observational study. PLoS One. 2019 Oct 3;14(10): e0223409. doi: 10.1371/journal.pone.0223409. PMID: 31581222; PMCID: PMC6776395.</w:t>
      </w:r>
    </w:p>
    <w:p w:rsidR="006513B8" w:rsidRPr="003F70DA" w:rsidRDefault="006513B8" w:rsidP="006513B8">
      <w:pPr>
        <w:autoSpaceDE w:val="0"/>
        <w:autoSpaceDN w:val="0"/>
        <w:adjustRightInd w:val="0"/>
        <w:spacing w:after="0" w:line="480" w:lineRule="auto"/>
        <w:jc w:val="both"/>
        <w:rPr>
          <w:rFonts w:ascii="The new romans" w:hAnsi="The new romans"/>
          <w:sz w:val="24"/>
          <w:szCs w:val="24"/>
        </w:rPr>
      </w:pPr>
    </w:p>
    <w:p w:rsidR="006513B8" w:rsidRPr="003F70DA" w:rsidRDefault="006513B8" w:rsidP="006513B8">
      <w:pPr>
        <w:autoSpaceDE w:val="0"/>
        <w:autoSpaceDN w:val="0"/>
        <w:adjustRightInd w:val="0"/>
        <w:spacing w:after="0" w:line="480" w:lineRule="auto"/>
        <w:jc w:val="both"/>
        <w:rPr>
          <w:rFonts w:ascii="The new romans" w:hAnsi="The new romans"/>
          <w:sz w:val="24"/>
          <w:szCs w:val="24"/>
        </w:rPr>
      </w:pPr>
      <w:r w:rsidRPr="003F70DA">
        <w:rPr>
          <w:rFonts w:ascii="The new romans" w:hAnsi="The new romans"/>
          <w:sz w:val="24"/>
          <w:szCs w:val="24"/>
        </w:rPr>
        <w:t xml:space="preserve">19. Alhomayani FK, Alazwari NM, Alshhrani MS, Alkhudaydi AS, Basaba AS, Alharthi TM, et al. The prevalence of multiple drug resistant urinary tract infections: A singlecentered, observational retrospective study in King Abdulaziz Specialized Hospital, Taif, Saudi Arabia. Saudi Med J. 2022 Aug;43(8):927-932. doi: 10.15537/smj.2022.43.8.20220238. PMID: 35964957; PMCID: PMC9749674. </w:t>
      </w:r>
    </w:p>
    <w:p w:rsidR="006513B8" w:rsidRPr="003F70DA" w:rsidRDefault="006513B8" w:rsidP="006513B8">
      <w:pPr>
        <w:autoSpaceDE w:val="0"/>
        <w:autoSpaceDN w:val="0"/>
        <w:adjustRightInd w:val="0"/>
        <w:spacing w:after="0" w:line="480" w:lineRule="auto"/>
        <w:jc w:val="both"/>
        <w:rPr>
          <w:rFonts w:ascii="The new romans" w:hAnsi="The new romans"/>
          <w:sz w:val="24"/>
          <w:szCs w:val="24"/>
        </w:rPr>
      </w:pPr>
    </w:p>
    <w:p w:rsidR="006513B8" w:rsidRPr="003F70DA" w:rsidRDefault="006513B8" w:rsidP="006513B8">
      <w:pPr>
        <w:autoSpaceDE w:val="0"/>
        <w:autoSpaceDN w:val="0"/>
        <w:adjustRightInd w:val="0"/>
        <w:spacing w:after="0" w:line="480" w:lineRule="auto"/>
        <w:jc w:val="both"/>
        <w:rPr>
          <w:rFonts w:ascii="The new romans" w:hAnsi="The new romans"/>
          <w:sz w:val="24"/>
          <w:szCs w:val="24"/>
        </w:rPr>
      </w:pPr>
      <w:r w:rsidRPr="003F70DA">
        <w:rPr>
          <w:rFonts w:ascii="The new romans" w:hAnsi="The new romans"/>
          <w:sz w:val="24"/>
          <w:szCs w:val="24"/>
        </w:rPr>
        <w:t xml:space="preserve">20.  Paul R. State of the Globe: Rising Antimicrobial Resistance of Pathogens in Urinary Tract Infection. J Glob Infect Dis. 2018 Jul-Sep;10(3):117-118. doi: 10.4103/jgid.jgid_104_17. PMID: 30166807; PMCID: PMC6100332. </w:t>
      </w:r>
    </w:p>
    <w:p w:rsidR="006513B8" w:rsidRPr="003F70DA" w:rsidRDefault="006513B8" w:rsidP="006513B8">
      <w:pPr>
        <w:autoSpaceDE w:val="0"/>
        <w:autoSpaceDN w:val="0"/>
        <w:adjustRightInd w:val="0"/>
        <w:spacing w:after="0" w:line="480" w:lineRule="auto"/>
        <w:jc w:val="both"/>
        <w:rPr>
          <w:rFonts w:ascii="The new romans" w:hAnsi="The new romans"/>
          <w:sz w:val="24"/>
          <w:szCs w:val="24"/>
        </w:rPr>
      </w:pPr>
    </w:p>
    <w:p w:rsidR="006513B8" w:rsidRPr="003F70DA" w:rsidRDefault="006513B8" w:rsidP="006513B8">
      <w:pPr>
        <w:autoSpaceDE w:val="0"/>
        <w:autoSpaceDN w:val="0"/>
        <w:adjustRightInd w:val="0"/>
        <w:spacing w:after="0" w:line="480" w:lineRule="auto"/>
        <w:jc w:val="both"/>
        <w:rPr>
          <w:rFonts w:ascii="The new romans" w:hAnsi="The new romans"/>
          <w:sz w:val="24"/>
          <w:szCs w:val="24"/>
        </w:rPr>
      </w:pPr>
      <w:r w:rsidRPr="003F70DA">
        <w:rPr>
          <w:rFonts w:ascii="The new romans" w:hAnsi="The new romans"/>
          <w:sz w:val="24"/>
          <w:szCs w:val="24"/>
        </w:rPr>
        <w:t xml:space="preserve">21. Ho HJ, Tan MX, Chen MI, Tan TY, Koo SH, Koong AYL, et al. Interaction between Antibiotic Resistance, Resistance Genes, and Treatment Response for Urinary Tract Infections in Primary Care. J Clin Microbiol. 2019 Aug 26;57(9): e00143-19. doi: 10.1128/JCM.00143-19. PMID: 31243084; PMCID: PMC6711900. </w:t>
      </w:r>
    </w:p>
    <w:p w:rsidR="006513B8" w:rsidRPr="003F70DA" w:rsidRDefault="006513B8" w:rsidP="006513B8">
      <w:pPr>
        <w:autoSpaceDE w:val="0"/>
        <w:autoSpaceDN w:val="0"/>
        <w:adjustRightInd w:val="0"/>
        <w:spacing w:after="0" w:line="480" w:lineRule="auto"/>
        <w:jc w:val="both"/>
        <w:rPr>
          <w:rFonts w:ascii="The new romans" w:hAnsi="The new romans"/>
          <w:sz w:val="24"/>
          <w:szCs w:val="24"/>
        </w:rPr>
      </w:pPr>
    </w:p>
    <w:p w:rsidR="006513B8" w:rsidRPr="003F70DA" w:rsidRDefault="006513B8" w:rsidP="006513B8">
      <w:pPr>
        <w:autoSpaceDE w:val="0"/>
        <w:autoSpaceDN w:val="0"/>
        <w:adjustRightInd w:val="0"/>
        <w:spacing w:after="0" w:line="480" w:lineRule="auto"/>
        <w:jc w:val="both"/>
        <w:rPr>
          <w:rFonts w:ascii="The new romans" w:hAnsi="The new romans"/>
          <w:sz w:val="24"/>
          <w:szCs w:val="24"/>
        </w:rPr>
      </w:pPr>
      <w:r w:rsidRPr="003F70DA">
        <w:rPr>
          <w:rFonts w:ascii="The new romans" w:hAnsi="The new romans"/>
          <w:sz w:val="24"/>
          <w:szCs w:val="24"/>
        </w:rPr>
        <w:t xml:space="preserve">22. Khan MA, Rahman AU, Khan B, Al-Mijalli SH, Alswat AS, Amin A, et al. Antibiotic Resistance Profiling and Phylogenicity of Uropathogenic Bacteria Isolated from Patients with Urinary Tract Infections. Antibiotics (Basel). 2023 Oct 3;12(10):1508. doi: 10.3390/antibiotics12101508. PMID: 37887209; PMCID: PMC10603882. </w:t>
      </w:r>
    </w:p>
    <w:p w:rsidR="006513B8" w:rsidRPr="003F70DA" w:rsidRDefault="006513B8" w:rsidP="006513B8">
      <w:pPr>
        <w:autoSpaceDE w:val="0"/>
        <w:autoSpaceDN w:val="0"/>
        <w:adjustRightInd w:val="0"/>
        <w:spacing w:after="0" w:line="480" w:lineRule="auto"/>
        <w:jc w:val="both"/>
        <w:rPr>
          <w:rFonts w:ascii="The new romans" w:hAnsi="The new romans"/>
          <w:sz w:val="24"/>
          <w:szCs w:val="24"/>
        </w:rPr>
      </w:pPr>
    </w:p>
    <w:p w:rsidR="006513B8" w:rsidRPr="003F70DA" w:rsidRDefault="006513B8" w:rsidP="006513B8">
      <w:pPr>
        <w:spacing w:line="480" w:lineRule="auto"/>
        <w:jc w:val="both"/>
        <w:rPr>
          <w:rFonts w:ascii="The new romans" w:eastAsia="Calibri" w:hAnsi="The new romans"/>
          <w:b/>
          <w:sz w:val="24"/>
          <w:szCs w:val="24"/>
        </w:rPr>
      </w:pPr>
    </w:p>
    <w:p w:rsidR="006513B8" w:rsidRPr="003F70DA" w:rsidRDefault="006513B8" w:rsidP="006513B8">
      <w:pPr>
        <w:spacing w:line="480" w:lineRule="auto"/>
        <w:jc w:val="both"/>
        <w:rPr>
          <w:rFonts w:ascii="The new romans" w:hAnsi="The new romans"/>
          <w:b/>
          <w:sz w:val="24"/>
          <w:szCs w:val="24"/>
        </w:rPr>
      </w:pPr>
    </w:p>
    <w:p w:rsidR="006513B8" w:rsidRPr="003F70DA" w:rsidRDefault="006513B8" w:rsidP="006513B8">
      <w:pPr>
        <w:spacing w:line="480" w:lineRule="auto"/>
        <w:jc w:val="both"/>
        <w:rPr>
          <w:rFonts w:ascii="The new romans" w:hAnsi="The new romans"/>
          <w:b/>
          <w:sz w:val="24"/>
          <w:szCs w:val="24"/>
        </w:rPr>
      </w:pPr>
    </w:p>
    <w:p w:rsidR="002E7122" w:rsidRPr="003F70DA" w:rsidRDefault="002E7122" w:rsidP="002E7122">
      <w:pPr>
        <w:spacing w:line="480" w:lineRule="auto"/>
        <w:jc w:val="both"/>
        <w:rPr>
          <w:rFonts w:ascii="The new romans" w:hAnsi="The new romans"/>
          <w:sz w:val="24"/>
          <w:szCs w:val="24"/>
        </w:rPr>
      </w:pPr>
    </w:p>
    <w:p w:rsidR="00057C4F" w:rsidRPr="003F70DA" w:rsidRDefault="00057C4F" w:rsidP="00A42E41">
      <w:pPr>
        <w:rPr>
          <w:rFonts w:ascii="The new romans" w:hAnsi="The new romans"/>
          <w:b/>
          <w:sz w:val="28"/>
          <w:szCs w:val="28"/>
          <w:u w:val="single"/>
        </w:rPr>
      </w:pPr>
    </w:p>
    <w:p w:rsidR="00057C4F" w:rsidRPr="003F70DA" w:rsidRDefault="00057C4F" w:rsidP="00A42E41">
      <w:pPr>
        <w:rPr>
          <w:rFonts w:ascii="The new romans" w:hAnsi="The new romans"/>
          <w:b/>
          <w:sz w:val="28"/>
          <w:szCs w:val="28"/>
          <w:u w:val="single"/>
        </w:rPr>
      </w:pPr>
    </w:p>
    <w:p w:rsidR="00057C4F" w:rsidRPr="003F70DA" w:rsidRDefault="00057C4F" w:rsidP="00A42E41">
      <w:pPr>
        <w:rPr>
          <w:rFonts w:ascii="The new romans" w:hAnsi="The new romans"/>
          <w:b/>
          <w:sz w:val="28"/>
          <w:szCs w:val="28"/>
          <w:u w:val="single"/>
        </w:rPr>
      </w:pPr>
    </w:p>
    <w:p w:rsidR="00057C4F" w:rsidRPr="003F70DA" w:rsidRDefault="00057C4F" w:rsidP="00A42E41">
      <w:pPr>
        <w:rPr>
          <w:rFonts w:ascii="The new romans" w:hAnsi="The new romans"/>
          <w:b/>
          <w:sz w:val="28"/>
          <w:szCs w:val="28"/>
          <w:u w:val="single"/>
        </w:rPr>
      </w:pPr>
    </w:p>
    <w:p w:rsidR="00057C4F" w:rsidRPr="003F70DA" w:rsidRDefault="00057C4F" w:rsidP="00A42E41">
      <w:pPr>
        <w:rPr>
          <w:rFonts w:ascii="The new romans" w:hAnsi="The new romans"/>
          <w:b/>
          <w:sz w:val="28"/>
          <w:szCs w:val="28"/>
          <w:u w:val="single"/>
        </w:rPr>
      </w:pPr>
    </w:p>
    <w:p w:rsidR="00057C4F" w:rsidRPr="003F70DA" w:rsidRDefault="00057C4F" w:rsidP="00A42E41">
      <w:pPr>
        <w:rPr>
          <w:rFonts w:ascii="The new romans" w:hAnsi="The new romans"/>
          <w:b/>
          <w:sz w:val="28"/>
          <w:szCs w:val="28"/>
          <w:u w:val="single"/>
        </w:rPr>
      </w:pPr>
    </w:p>
    <w:p w:rsidR="00057C4F" w:rsidRPr="003F70DA" w:rsidRDefault="00057C4F" w:rsidP="00A42E41">
      <w:pPr>
        <w:rPr>
          <w:rFonts w:ascii="The new romans" w:hAnsi="The new romans"/>
          <w:b/>
          <w:sz w:val="28"/>
          <w:szCs w:val="28"/>
          <w:u w:val="single"/>
        </w:rPr>
      </w:pPr>
    </w:p>
    <w:p w:rsidR="00057C4F" w:rsidRPr="003F70DA" w:rsidRDefault="00057C4F" w:rsidP="00A42E41">
      <w:pPr>
        <w:rPr>
          <w:rFonts w:ascii="The new romans" w:hAnsi="The new romans"/>
          <w:b/>
          <w:sz w:val="28"/>
          <w:szCs w:val="28"/>
          <w:u w:val="single"/>
        </w:rPr>
      </w:pPr>
    </w:p>
    <w:p w:rsidR="00057C4F" w:rsidRPr="003F70DA" w:rsidRDefault="00057C4F" w:rsidP="00A42E41">
      <w:pPr>
        <w:rPr>
          <w:rFonts w:ascii="The new romans" w:hAnsi="The new romans"/>
          <w:b/>
          <w:sz w:val="28"/>
          <w:szCs w:val="28"/>
          <w:u w:val="single"/>
        </w:rPr>
      </w:pPr>
    </w:p>
    <w:p w:rsidR="00057C4F" w:rsidRPr="003F70DA" w:rsidRDefault="00057C4F" w:rsidP="00A42E41">
      <w:pPr>
        <w:rPr>
          <w:rFonts w:ascii="The new romans" w:hAnsi="The new romans"/>
          <w:b/>
          <w:sz w:val="28"/>
          <w:szCs w:val="28"/>
          <w:u w:val="single"/>
        </w:rPr>
      </w:pPr>
    </w:p>
    <w:p w:rsidR="00057C4F" w:rsidRPr="003F70DA" w:rsidRDefault="00057C4F" w:rsidP="00A42E41">
      <w:pPr>
        <w:rPr>
          <w:rFonts w:ascii="The new romans" w:hAnsi="The new romans"/>
          <w:b/>
          <w:sz w:val="28"/>
          <w:szCs w:val="28"/>
          <w:u w:val="single"/>
        </w:rPr>
      </w:pPr>
    </w:p>
    <w:p w:rsidR="00057C4F" w:rsidRPr="003F70DA" w:rsidRDefault="00057C4F" w:rsidP="00A42E41">
      <w:pPr>
        <w:rPr>
          <w:rFonts w:ascii="The new romans" w:hAnsi="The new romans"/>
          <w:b/>
          <w:sz w:val="28"/>
          <w:szCs w:val="28"/>
          <w:u w:val="single"/>
        </w:rPr>
      </w:pPr>
    </w:p>
    <w:p w:rsidR="00057C4F" w:rsidRPr="003F70DA" w:rsidRDefault="00057C4F" w:rsidP="00A42E41">
      <w:pPr>
        <w:rPr>
          <w:rFonts w:ascii="The new romans" w:hAnsi="The new romans"/>
          <w:b/>
          <w:sz w:val="28"/>
          <w:szCs w:val="28"/>
          <w:u w:val="single"/>
        </w:rPr>
      </w:pPr>
    </w:p>
    <w:p w:rsidR="00501CF1" w:rsidRPr="003F70DA" w:rsidRDefault="00501CF1" w:rsidP="00E024B7">
      <w:pPr>
        <w:pStyle w:val="ListParagraph"/>
        <w:spacing w:line="480" w:lineRule="auto"/>
        <w:ind w:left="630"/>
        <w:jc w:val="both"/>
        <w:rPr>
          <w:rFonts w:ascii="The new romans" w:hAnsi="The new romans"/>
        </w:rPr>
      </w:pPr>
    </w:p>
    <w:sectPr w:rsidR="00501CF1" w:rsidRPr="003F70DA" w:rsidSect="00501CF1">
      <w:footerReference w:type="default" r:id="rId1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2D20" w:rsidRDefault="005F2D20" w:rsidP="0014792B">
      <w:pPr>
        <w:spacing w:after="0" w:line="240" w:lineRule="auto"/>
      </w:pPr>
      <w:r>
        <w:separator/>
      </w:r>
    </w:p>
  </w:endnote>
  <w:endnote w:type="continuationSeparator" w:id="1">
    <w:p w:rsidR="005F2D20" w:rsidRDefault="005F2D20" w:rsidP="001479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he new rom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518954"/>
      <w:docPartObj>
        <w:docPartGallery w:val="Page Numbers (Bottom of Page)"/>
        <w:docPartUnique/>
      </w:docPartObj>
    </w:sdtPr>
    <w:sdtContent>
      <w:p w:rsidR="0070403D" w:rsidRDefault="00315C06">
        <w:pPr>
          <w:pStyle w:val="Footer"/>
          <w:jc w:val="center"/>
        </w:pPr>
        <w:fldSimple w:instr=" PAGE   \* MERGEFORMAT ">
          <w:r w:rsidR="005F2D20">
            <w:rPr>
              <w:noProof/>
            </w:rPr>
            <w:t>1</w:t>
          </w:r>
        </w:fldSimple>
      </w:p>
    </w:sdtContent>
  </w:sdt>
  <w:p w:rsidR="0070403D" w:rsidRDefault="007040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2D20" w:rsidRDefault="005F2D20" w:rsidP="0014792B">
      <w:pPr>
        <w:spacing w:after="0" w:line="240" w:lineRule="auto"/>
      </w:pPr>
      <w:r>
        <w:separator/>
      </w:r>
    </w:p>
  </w:footnote>
  <w:footnote w:type="continuationSeparator" w:id="1">
    <w:p w:rsidR="005F2D20" w:rsidRDefault="005F2D20" w:rsidP="001479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605C"/>
    <w:multiLevelType w:val="multilevel"/>
    <w:tmpl w:val="FE324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2614425"/>
    <w:multiLevelType w:val="multilevel"/>
    <w:tmpl w:val="13E0EA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D73581"/>
    <w:multiLevelType w:val="multilevel"/>
    <w:tmpl w:val="96129A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8AD4C7C"/>
    <w:multiLevelType w:val="multilevel"/>
    <w:tmpl w:val="C9320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F0949FB"/>
    <w:multiLevelType w:val="multilevel"/>
    <w:tmpl w:val="DF4A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F814F6"/>
    <w:multiLevelType w:val="hybridMultilevel"/>
    <w:tmpl w:val="DDBE483A"/>
    <w:lvl w:ilvl="0" w:tplc="71D0BF56">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1945B60"/>
    <w:multiLevelType w:val="multilevel"/>
    <w:tmpl w:val="B2EA556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A331FB"/>
    <w:multiLevelType w:val="multilevel"/>
    <w:tmpl w:val="BAA4B294"/>
    <w:lvl w:ilvl="0">
      <w:start w:val="1"/>
      <w:numFmt w:val="decimal"/>
      <w:lvlText w:val="%1."/>
      <w:lvlJc w:val="left"/>
      <w:pPr>
        <w:ind w:left="720" w:hanging="360"/>
      </w:pPr>
    </w:lvl>
    <w:lvl w:ilvl="1">
      <w:start w:val="2"/>
      <w:numFmt w:val="decimal"/>
      <w:isLgl/>
      <w:lvlText w:val="%1.%2."/>
      <w:lvlJc w:val="left"/>
      <w:pPr>
        <w:ind w:left="480" w:hanging="480"/>
      </w:pPr>
      <w:rPr>
        <w:rFonts w:cs="Times New Roman"/>
        <w:b/>
        <w:color w:val="auto"/>
        <w:sz w:val="32"/>
      </w:rPr>
    </w:lvl>
    <w:lvl w:ilvl="2">
      <w:start w:val="1"/>
      <w:numFmt w:val="decimal"/>
      <w:isLgl/>
      <w:lvlText w:val="%1.%2.%3."/>
      <w:lvlJc w:val="left"/>
      <w:pPr>
        <w:ind w:left="1800" w:hanging="720"/>
      </w:pPr>
      <w:rPr>
        <w:rFonts w:cs="Times New Roman"/>
        <w:b/>
        <w:color w:val="auto"/>
        <w:sz w:val="32"/>
      </w:rPr>
    </w:lvl>
    <w:lvl w:ilvl="3">
      <w:start w:val="1"/>
      <w:numFmt w:val="decimal"/>
      <w:isLgl/>
      <w:lvlText w:val="%1.%2.%3.%4."/>
      <w:lvlJc w:val="left"/>
      <w:pPr>
        <w:ind w:left="2160" w:hanging="720"/>
      </w:pPr>
      <w:rPr>
        <w:rFonts w:cs="Times New Roman"/>
        <w:b/>
        <w:color w:val="auto"/>
        <w:sz w:val="32"/>
      </w:rPr>
    </w:lvl>
    <w:lvl w:ilvl="4">
      <w:start w:val="1"/>
      <w:numFmt w:val="decimal"/>
      <w:isLgl/>
      <w:lvlText w:val="%1.%2.%3.%4.%5."/>
      <w:lvlJc w:val="left"/>
      <w:pPr>
        <w:ind w:left="2880" w:hanging="1080"/>
      </w:pPr>
      <w:rPr>
        <w:rFonts w:cs="Times New Roman"/>
        <w:b/>
        <w:color w:val="auto"/>
        <w:sz w:val="32"/>
      </w:rPr>
    </w:lvl>
    <w:lvl w:ilvl="5">
      <w:start w:val="1"/>
      <w:numFmt w:val="decimal"/>
      <w:isLgl/>
      <w:lvlText w:val="%1.%2.%3.%4.%5.%6."/>
      <w:lvlJc w:val="left"/>
      <w:pPr>
        <w:ind w:left="3240" w:hanging="1080"/>
      </w:pPr>
      <w:rPr>
        <w:rFonts w:cs="Times New Roman"/>
        <w:b/>
        <w:color w:val="auto"/>
        <w:sz w:val="32"/>
      </w:rPr>
    </w:lvl>
    <w:lvl w:ilvl="6">
      <w:start w:val="1"/>
      <w:numFmt w:val="decimal"/>
      <w:isLgl/>
      <w:lvlText w:val="%1.%2.%3.%4.%5.%6.%7."/>
      <w:lvlJc w:val="left"/>
      <w:pPr>
        <w:ind w:left="3960" w:hanging="1440"/>
      </w:pPr>
      <w:rPr>
        <w:rFonts w:cs="Times New Roman"/>
        <w:b/>
        <w:color w:val="auto"/>
        <w:sz w:val="32"/>
      </w:rPr>
    </w:lvl>
    <w:lvl w:ilvl="7">
      <w:start w:val="1"/>
      <w:numFmt w:val="decimal"/>
      <w:isLgl/>
      <w:lvlText w:val="%1.%2.%3.%4.%5.%6.%7.%8."/>
      <w:lvlJc w:val="left"/>
      <w:pPr>
        <w:ind w:left="4320" w:hanging="1440"/>
      </w:pPr>
      <w:rPr>
        <w:rFonts w:cs="Times New Roman"/>
        <w:b/>
        <w:color w:val="auto"/>
        <w:sz w:val="32"/>
      </w:rPr>
    </w:lvl>
    <w:lvl w:ilvl="8">
      <w:start w:val="1"/>
      <w:numFmt w:val="decimal"/>
      <w:isLgl/>
      <w:lvlText w:val="%1.%2.%3.%4.%5.%6.%7.%8.%9."/>
      <w:lvlJc w:val="left"/>
      <w:pPr>
        <w:ind w:left="5040" w:hanging="1800"/>
      </w:pPr>
      <w:rPr>
        <w:rFonts w:cs="Times New Roman"/>
        <w:b/>
        <w:color w:val="auto"/>
        <w:sz w:val="32"/>
      </w:rPr>
    </w:lvl>
  </w:abstractNum>
  <w:abstractNum w:abstractNumId="8">
    <w:nsid w:val="24D40416"/>
    <w:multiLevelType w:val="hybridMultilevel"/>
    <w:tmpl w:val="96C0C0F8"/>
    <w:lvl w:ilvl="0" w:tplc="266EB738">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F24335C"/>
    <w:multiLevelType w:val="hybridMultilevel"/>
    <w:tmpl w:val="184C6E28"/>
    <w:lvl w:ilvl="0" w:tplc="49D4CAFE">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F4B1032"/>
    <w:multiLevelType w:val="multilevel"/>
    <w:tmpl w:val="1B003C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4C3540A"/>
    <w:multiLevelType w:val="multilevel"/>
    <w:tmpl w:val="A3DE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500561"/>
    <w:multiLevelType w:val="hybridMultilevel"/>
    <w:tmpl w:val="B02072BA"/>
    <w:lvl w:ilvl="0" w:tplc="E95AB21E">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78D2A2D"/>
    <w:multiLevelType w:val="multilevel"/>
    <w:tmpl w:val="7660D9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8C565E4"/>
    <w:multiLevelType w:val="multilevel"/>
    <w:tmpl w:val="47980A2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097ED6"/>
    <w:multiLevelType w:val="multilevel"/>
    <w:tmpl w:val="5C26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F235BC"/>
    <w:multiLevelType w:val="multilevel"/>
    <w:tmpl w:val="46D259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DD815E7"/>
    <w:multiLevelType w:val="multilevel"/>
    <w:tmpl w:val="DE9CB6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9AD7EFC"/>
    <w:multiLevelType w:val="multilevel"/>
    <w:tmpl w:val="B448DAAE"/>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9">
    <w:nsid w:val="5C0C7812"/>
    <w:multiLevelType w:val="multilevel"/>
    <w:tmpl w:val="48F696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27D2F8D"/>
    <w:multiLevelType w:val="multilevel"/>
    <w:tmpl w:val="C0D2A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6267C4B"/>
    <w:multiLevelType w:val="multilevel"/>
    <w:tmpl w:val="98CAF48E"/>
    <w:lvl w:ilvl="0">
      <w:start w:val="1"/>
      <w:numFmt w:val="decimal"/>
      <w:lvlText w:val="%1."/>
      <w:lvlJc w:val="left"/>
      <w:pPr>
        <w:tabs>
          <w:tab w:val="num" w:pos="360"/>
        </w:tabs>
        <w:ind w:left="360" w:hanging="360"/>
      </w:pPr>
    </w:lvl>
    <w:lvl w:ilvl="1">
      <w:start w:val="1"/>
      <w:numFmt w:val="upperLetter"/>
      <w:lvlText w:val="(%2)"/>
      <w:lvlJc w:val="left"/>
      <w:pPr>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nsid w:val="69762EB7"/>
    <w:multiLevelType w:val="multilevel"/>
    <w:tmpl w:val="D10407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CE37C26"/>
    <w:multiLevelType w:val="multilevel"/>
    <w:tmpl w:val="38CA289C"/>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upperLetter"/>
      <w:lvlText w:val="(%2)"/>
      <w:lvlJc w:val="left"/>
      <w:pPr>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24">
    <w:nsid w:val="75E80AAB"/>
    <w:multiLevelType w:val="hybridMultilevel"/>
    <w:tmpl w:val="4D2A96E6"/>
    <w:lvl w:ilvl="0" w:tplc="66A8BBE6">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A42E41"/>
    <w:rsid w:val="0001272F"/>
    <w:rsid w:val="00014FBC"/>
    <w:rsid w:val="00026671"/>
    <w:rsid w:val="0003689B"/>
    <w:rsid w:val="0004071F"/>
    <w:rsid w:val="00054C2C"/>
    <w:rsid w:val="00057C4F"/>
    <w:rsid w:val="00063E5D"/>
    <w:rsid w:val="00065111"/>
    <w:rsid w:val="00073155"/>
    <w:rsid w:val="00081134"/>
    <w:rsid w:val="000843C1"/>
    <w:rsid w:val="00085521"/>
    <w:rsid w:val="0008585D"/>
    <w:rsid w:val="00085B62"/>
    <w:rsid w:val="000A1FB9"/>
    <w:rsid w:val="000B2E50"/>
    <w:rsid w:val="000C2C7A"/>
    <w:rsid w:val="000C2DBC"/>
    <w:rsid w:val="000C54CB"/>
    <w:rsid w:val="000D26FF"/>
    <w:rsid w:val="000E2752"/>
    <w:rsid w:val="000E74B2"/>
    <w:rsid w:val="000F26B4"/>
    <w:rsid w:val="000F6D48"/>
    <w:rsid w:val="000F75F4"/>
    <w:rsid w:val="00115681"/>
    <w:rsid w:val="00117EFE"/>
    <w:rsid w:val="00134A6D"/>
    <w:rsid w:val="0014792B"/>
    <w:rsid w:val="00152617"/>
    <w:rsid w:val="00164F19"/>
    <w:rsid w:val="00180584"/>
    <w:rsid w:val="001866F7"/>
    <w:rsid w:val="001875A3"/>
    <w:rsid w:val="00195FCB"/>
    <w:rsid w:val="001B2EE2"/>
    <w:rsid w:val="001D651D"/>
    <w:rsid w:val="001D70F5"/>
    <w:rsid w:val="001E22E9"/>
    <w:rsid w:val="001F29D0"/>
    <w:rsid w:val="002150EE"/>
    <w:rsid w:val="002316D7"/>
    <w:rsid w:val="002433C5"/>
    <w:rsid w:val="00254105"/>
    <w:rsid w:val="00255256"/>
    <w:rsid w:val="0026090B"/>
    <w:rsid w:val="00271896"/>
    <w:rsid w:val="002823BA"/>
    <w:rsid w:val="00282439"/>
    <w:rsid w:val="002C0A47"/>
    <w:rsid w:val="002C0C18"/>
    <w:rsid w:val="002C1E94"/>
    <w:rsid w:val="002C361E"/>
    <w:rsid w:val="002D7CF8"/>
    <w:rsid w:val="002E7122"/>
    <w:rsid w:val="002F13FE"/>
    <w:rsid w:val="00305631"/>
    <w:rsid w:val="00315C06"/>
    <w:rsid w:val="003238D0"/>
    <w:rsid w:val="00326B00"/>
    <w:rsid w:val="003358C5"/>
    <w:rsid w:val="0033742E"/>
    <w:rsid w:val="0035692B"/>
    <w:rsid w:val="003656E8"/>
    <w:rsid w:val="0037381E"/>
    <w:rsid w:val="0037760F"/>
    <w:rsid w:val="00392495"/>
    <w:rsid w:val="003A596D"/>
    <w:rsid w:val="003B4F24"/>
    <w:rsid w:val="003E2109"/>
    <w:rsid w:val="003F70DA"/>
    <w:rsid w:val="004027E1"/>
    <w:rsid w:val="00406639"/>
    <w:rsid w:val="00411D7B"/>
    <w:rsid w:val="0043264A"/>
    <w:rsid w:val="004525EA"/>
    <w:rsid w:val="00456A01"/>
    <w:rsid w:val="004610D1"/>
    <w:rsid w:val="00472C9E"/>
    <w:rsid w:val="00485735"/>
    <w:rsid w:val="00496AE5"/>
    <w:rsid w:val="00496C92"/>
    <w:rsid w:val="004A0A94"/>
    <w:rsid w:val="004A2270"/>
    <w:rsid w:val="004C35D0"/>
    <w:rsid w:val="004D01D7"/>
    <w:rsid w:val="004F5022"/>
    <w:rsid w:val="004F656B"/>
    <w:rsid w:val="00501CF1"/>
    <w:rsid w:val="00504997"/>
    <w:rsid w:val="00551A51"/>
    <w:rsid w:val="005618E1"/>
    <w:rsid w:val="00563D6B"/>
    <w:rsid w:val="00581A17"/>
    <w:rsid w:val="0058508C"/>
    <w:rsid w:val="00585305"/>
    <w:rsid w:val="005B427A"/>
    <w:rsid w:val="005B583D"/>
    <w:rsid w:val="005C1EF7"/>
    <w:rsid w:val="005C3CEF"/>
    <w:rsid w:val="005C4DDA"/>
    <w:rsid w:val="005D2E80"/>
    <w:rsid w:val="005D4CC7"/>
    <w:rsid w:val="005D6A23"/>
    <w:rsid w:val="005D71E4"/>
    <w:rsid w:val="005D7712"/>
    <w:rsid w:val="005E2BAA"/>
    <w:rsid w:val="005F2D20"/>
    <w:rsid w:val="005F2FB8"/>
    <w:rsid w:val="005F4E84"/>
    <w:rsid w:val="0060749B"/>
    <w:rsid w:val="00633985"/>
    <w:rsid w:val="006513B8"/>
    <w:rsid w:val="00662513"/>
    <w:rsid w:val="00664F0B"/>
    <w:rsid w:val="00667186"/>
    <w:rsid w:val="00667A6A"/>
    <w:rsid w:val="006954F8"/>
    <w:rsid w:val="006A5D2D"/>
    <w:rsid w:val="006B2B11"/>
    <w:rsid w:val="006C501F"/>
    <w:rsid w:val="006D3079"/>
    <w:rsid w:val="006D4A49"/>
    <w:rsid w:val="0070337E"/>
    <w:rsid w:val="0070403D"/>
    <w:rsid w:val="0070636A"/>
    <w:rsid w:val="00706CA6"/>
    <w:rsid w:val="00710161"/>
    <w:rsid w:val="00735A33"/>
    <w:rsid w:val="00742FCA"/>
    <w:rsid w:val="00744AC4"/>
    <w:rsid w:val="0075383F"/>
    <w:rsid w:val="007919AA"/>
    <w:rsid w:val="00794883"/>
    <w:rsid w:val="007A7EE5"/>
    <w:rsid w:val="007C7614"/>
    <w:rsid w:val="007D1C35"/>
    <w:rsid w:val="007E2BB7"/>
    <w:rsid w:val="008001C4"/>
    <w:rsid w:val="00800EF7"/>
    <w:rsid w:val="00806934"/>
    <w:rsid w:val="008110C9"/>
    <w:rsid w:val="00812688"/>
    <w:rsid w:val="00814015"/>
    <w:rsid w:val="008176F5"/>
    <w:rsid w:val="008236AB"/>
    <w:rsid w:val="00831078"/>
    <w:rsid w:val="008312B3"/>
    <w:rsid w:val="00832C24"/>
    <w:rsid w:val="00851832"/>
    <w:rsid w:val="008520EA"/>
    <w:rsid w:val="0087153B"/>
    <w:rsid w:val="0087504A"/>
    <w:rsid w:val="00875BD6"/>
    <w:rsid w:val="008770AF"/>
    <w:rsid w:val="00881E6A"/>
    <w:rsid w:val="00885F94"/>
    <w:rsid w:val="0089088C"/>
    <w:rsid w:val="008943D2"/>
    <w:rsid w:val="008C07F4"/>
    <w:rsid w:val="008C36BB"/>
    <w:rsid w:val="008C5FC6"/>
    <w:rsid w:val="008E61A2"/>
    <w:rsid w:val="00901B29"/>
    <w:rsid w:val="00905671"/>
    <w:rsid w:val="00926C57"/>
    <w:rsid w:val="00927F38"/>
    <w:rsid w:val="009428AF"/>
    <w:rsid w:val="00943144"/>
    <w:rsid w:val="00975310"/>
    <w:rsid w:val="009A2533"/>
    <w:rsid w:val="009A77A3"/>
    <w:rsid w:val="009B05B6"/>
    <w:rsid w:val="009C2C8A"/>
    <w:rsid w:val="009C37E4"/>
    <w:rsid w:val="009C6D7A"/>
    <w:rsid w:val="009D70ED"/>
    <w:rsid w:val="009E2790"/>
    <w:rsid w:val="009E45A6"/>
    <w:rsid w:val="009E73C9"/>
    <w:rsid w:val="009F5FE4"/>
    <w:rsid w:val="009F66D3"/>
    <w:rsid w:val="009F7D40"/>
    <w:rsid w:val="00A00156"/>
    <w:rsid w:val="00A10CBF"/>
    <w:rsid w:val="00A12845"/>
    <w:rsid w:val="00A15601"/>
    <w:rsid w:val="00A24EC8"/>
    <w:rsid w:val="00A42E41"/>
    <w:rsid w:val="00A573C2"/>
    <w:rsid w:val="00A6446E"/>
    <w:rsid w:val="00A66014"/>
    <w:rsid w:val="00A80565"/>
    <w:rsid w:val="00AA22B2"/>
    <w:rsid w:val="00AA2EE3"/>
    <w:rsid w:val="00AD62AA"/>
    <w:rsid w:val="00AE318F"/>
    <w:rsid w:val="00AE73FB"/>
    <w:rsid w:val="00B04901"/>
    <w:rsid w:val="00B364F2"/>
    <w:rsid w:val="00B405FD"/>
    <w:rsid w:val="00B46EA2"/>
    <w:rsid w:val="00B6322D"/>
    <w:rsid w:val="00B920E4"/>
    <w:rsid w:val="00B9631E"/>
    <w:rsid w:val="00BB79D1"/>
    <w:rsid w:val="00BC571A"/>
    <w:rsid w:val="00BC5A1E"/>
    <w:rsid w:val="00BD7ACE"/>
    <w:rsid w:val="00BE5629"/>
    <w:rsid w:val="00BE6CED"/>
    <w:rsid w:val="00BF0B62"/>
    <w:rsid w:val="00C22E07"/>
    <w:rsid w:val="00C31C2D"/>
    <w:rsid w:val="00C33F45"/>
    <w:rsid w:val="00C52B08"/>
    <w:rsid w:val="00C75679"/>
    <w:rsid w:val="00C75776"/>
    <w:rsid w:val="00C75E18"/>
    <w:rsid w:val="00C94A8F"/>
    <w:rsid w:val="00CD0EFF"/>
    <w:rsid w:val="00CD1AD7"/>
    <w:rsid w:val="00CD2283"/>
    <w:rsid w:val="00CD5B9E"/>
    <w:rsid w:val="00CD68FE"/>
    <w:rsid w:val="00CF46D7"/>
    <w:rsid w:val="00D41470"/>
    <w:rsid w:val="00D52C06"/>
    <w:rsid w:val="00D60DAF"/>
    <w:rsid w:val="00D653F6"/>
    <w:rsid w:val="00D67737"/>
    <w:rsid w:val="00D70919"/>
    <w:rsid w:val="00D7574E"/>
    <w:rsid w:val="00D87EF0"/>
    <w:rsid w:val="00D91D3C"/>
    <w:rsid w:val="00DA14F0"/>
    <w:rsid w:val="00DA4CDB"/>
    <w:rsid w:val="00DA6F92"/>
    <w:rsid w:val="00DB6C59"/>
    <w:rsid w:val="00DC3A75"/>
    <w:rsid w:val="00DD2655"/>
    <w:rsid w:val="00DD290F"/>
    <w:rsid w:val="00DD4A04"/>
    <w:rsid w:val="00DD5828"/>
    <w:rsid w:val="00DD79D7"/>
    <w:rsid w:val="00DE0B84"/>
    <w:rsid w:val="00DF34E1"/>
    <w:rsid w:val="00E024B7"/>
    <w:rsid w:val="00E0417A"/>
    <w:rsid w:val="00E1055E"/>
    <w:rsid w:val="00E16E46"/>
    <w:rsid w:val="00E231BA"/>
    <w:rsid w:val="00E315B4"/>
    <w:rsid w:val="00E36A65"/>
    <w:rsid w:val="00E37F92"/>
    <w:rsid w:val="00E43FC1"/>
    <w:rsid w:val="00E455CD"/>
    <w:rsid w:val="00E62400"/>
    <w:rsid w:val="00E66094"/>
    <w:rsid w:val="00E74131"/>
    <w:rsid w:val="00E75346"/>
    <w:rsid w:val="00EA59CB"/>
    <w:rsid w:val="00EA5E79"/>
    <w:rsid w:val="00EB1E17"/>
    <w:rsid w:val="00EC1694"/>
    <w:rsid w:val="00ED69F5"/>
    <w:rsid w:val="00F03458"/>
    <w:rsid w:val="00F07F04"/>
    <w:rsid w:val="00F32B9A"/>
    <w:rsid w:val="00F5312A"/>
    <w:rsid w:val="00F531A6"/>
    <w:rsid w:val="00F71200"/>
    <w:rsid w:val="00F728F0"/>
    <w:rsid w:val="00F91D20"/>
    <w:rsid w:val="00FB18A6"/>
    <w:rsid w:val="00FB1BC2"/>
    <w:rsid w:val="00FB2F1F"/>
    <w:rsid w:val="00FC553F"/>
    <w:rsid w:val="00FC5FE3"/>
    <w:rsid w:val="00FD3715"/>
    <w:rsid w:val="00FD5A75"/>
    <w:rsid w:val="00FD6259"/>
    <w:rsid w:val="00FD7D63"/>
    <w:rsid w:val="00FE008B"/>
    <w:rsid w:val="00FE7BC6"/>
    <w:rsid w:val="00FF7C5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E41"/>
  </w:style>
  <w:style w:type="paragraph" w:styleId="Heading1">
    <w:name w:val="heading 1"/>
    <w:basedOn w:val="Normal"/>
    <w:next w:val="Normal"/>
    <w:link w:val="Heading1Char"/>
    <w:uiPriority w:val="99"/>
    <w:qFormat/>
    <w:rsid w:val="00A42E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2E41"/>
    <w:pPr>
      <w:keepNext/>
      <w:keepLines/>
      <w:spacing w:before="200" w:after="0"/>
      <w:outlineLvl w:val="1"/>
    </w:pPr>
    <w:rPr>
      <w:rFonts w:ascii="Cambria" w:eastAsia="Times New Roman" w:hAnsi="Cambria" w:cs="Times New Roman"/>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42E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42E41"/>
    <w:rPr>
      <w:rFonts w:ascii="Cambria" w:eastAsia="Times New Roman" w:hAnsi="Cambria" w:cs="Times New Roman"/>
      <w:b/>
      <w:bCs/>
      <w:color w:val="4F81BD"/>
      <w:sz w:val="26"/>
      <w:szCs w:val="26"/>
      <w:lang w:val="en-US"/>
    </w:rPr>
  </w:style>
  <w:style w:type="character" w:styleId="Hyperlink">
    <w:name w:val="Hyperlink"/>
    <w:basedOn w:val="DefaultParagraphFont"/>
    <w:uiPriority w:val="99"/>
    <w:unhideWhenUsed/>
    <w:rsid w:val="00A42E41"/>
    <w:rPr>
      <w:color w:val="0000FF"/>
      <w:u w:val="single"/>
    </w:rPr>
  </w:style>
  <w:style w:type="paragraph" w:styleId="NormalWeb">
    <w:name w:val="Normal (Web)"/>
    <w:basedOn w:val="Normal"/>
    <w:uiPriority w:val="99"/>
    <w:unhideWhenUsed/>
    <w:rsid w:val="00A42E41"/>
    <w:pPr>
      <w:spacing w:before="100" w:beforeAutospacing="1" w:after="100" w:afterAutospacing="1" w:line="240" w:lineRule="auto"/>
    </w:pPr>
    <w:rPr>
      <w:rFonts w:ascii="Trebuchet MS" w:eastAsia="Times New Roman" w:hAnsi="Trebuchet MS" w:cs="Times New Roman"/>
      <w:color w:val="000000"/>
      <w:sz w:val="18"/>
      <w:szCs w:val="18"/>
      <w:lang w:val="en-US"/>
    </w:rPr>
  </w:style>
  <w:style w:type="paragraph" w:styleId="ListParagraph">
    <w:name w:val="List Paragraph"/>
    <w:basedOn w:val="Normal"/>
    <w:uiPriority w:val="99"/>
    <w:qFormat/>
    <w:rsid w:val="00A42E41"/>
    <w:pPr>
      <w:ind w:left="720"/>
      <w:contextualSpacing/>
    </w:pPr>
  </w:style>
  <w:style w:type="paragraph" w:customStyle="1" w:styleId="Default">
    <w:name w:val="Default"/>
    <w:uiPriority w:val="99"/>
    <w:rsid w:val="00A42E41"/>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italic">
    <w:name w:val="italic"/>
    <w:basedOn w:val="DefaultParagraphFont"/>
    <w:rsid w:val="00A42E41"/>
  </w:style>
  <w:style w:type="character" w:customStyle="1" w:styleId="kwd-text">
    <w:name w:val="kwd-text"/>
    <w:basedOn w:val="DefaultParagraphFont"/>
    <w:rsid w:val="00A42E41"/>
  </w:style>
  <w:style w:type="table" w:styleId="TableGrid">
    <w:name w:val="Table Grid"/>
    <w:basedOn w:val="TableNormal"/>
    <w:uiPriority w:val="39"/>
    <w:rsid w:val="00A42E4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A42E41"/>
    <w:rPr>
      <w:i/>
      <w:iCs/>
    </w:rPr>
  </w:style>
  <w:style w:type="paragraph" w:styleId="BalloonText">
    <w:name w:val="Balloon Text"/>
    <w:basedOn w:val="Normal"/>
    <w:link w:val="BalloonTextChar"/>
    <w:uiPriority w:val="99"/>
    <w:semiHidden/>
    <w:unhideWhenUsed/>
    <w:rsid w:val="00A42E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E41"/>
    <w:rPr>
      <w:rFonts w:ascii="Tahoma" w:hAnsi="Tahoma" w:cs="Tahoma"/>
      <w:sz w:val="16"/>
      <w:szCs w:val="16"/>
    </w:rPr>
  </w:style>
  <w:style w:type="character" w:customStyle="1" w:styleId="title-text">
    <w:name w:val="title-text"/>
    <w:basedOn w:val="DefaultParagraphFont"/>
    <w:rsid w:val="00F07F04"/>
  </w:style>
  <w:style w:type="character" w:styleId="Strong">
    <w:name w:val="Strong"/>
    <w:basedOn w:val="DefaultParagraphFont"/>
    <w:uiPriority w:val="22"/>
    <w:qFormat/>
    <w:rsid w:val="00B46EA2"/>
    <w:rPr>
      <w:b/>
      <w:bCs/>
    </w:rPr>
  </w:style>
  <w:style w:type="character" w:customStyle="1" w:styleId="vkekvd">
    <w:name w:val="vkekvd"/>
    <w:basedOn w:val="DefaultParagraphFont"/>
    <w:rsid w:val="00B46EA2"/>
  </w:style>
  <w:style w:type="character" w:customStyle="1" w:styleId="t286pc">
    <w:name w:val="t286pc"/>
    <w:basedOn w:val="DefaultParagraphFont"/>
    <w:rsid w:val="00B46EA2"/>
  </w:style>
  <w:style w:type="paragraph" w:styleId="Header">
    <w:name w:val="header"/>
    <w:basedOn w:val="Normal"/>
    <w:link w:val="HeaderChar"/>
    <w:uiPriority w:val="99"/>
    <w:semiHidden/>
    <w:unhideWhenUsed/>
    <w:rsid w:val="0014792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4792B"/>
  </w:style>
  <w:style w:type="paragraph" w:styleId="Footer">
    <w:name w:val="footer"/>
    <w:basedOn w:val="Normal"/>
    <w:link w:val="FooterChar"/>
    <w:uiPriority w:val="99"/>
    <w:unhideWhenUsed/>
    <w:rsid w:val="00147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92B"/>
  </w:style>
</w:styles>
</file>

<file path=word/webSettings.xml><?xml version="1.0" encoding="utf-8"?>
<w:webSettings xmlns:r="http://schemas.openxmlformats.org/officeDocument/2006/relationships" xmlns:w="http://schemas.openxmlformats.org/wordprocessingml/2006/main">
  <w:divs>
    <w:div w:id="2168465">
      <w:bodyDiv w:val="1"/>
      <w:marLeft w:val="0"/>
      <w:marRight w:val="0"/>
      <w:marTop w:val="0"/>
      <w:marBottom w:val="0"/>
      <w:divBdr>
        <w:top w:val="none" w:sz="0" w:space="0" w:color="auto"/>
        <w:left w:val="none" w:sz="0" w:space="0" w:color="auto"/>
        <w:bottom w:val="none" w:sz="0" w:space="0" w:color="auto"/>
        <w:right w:val="none" w:sz="0" w:space="0" w:color="auto"/>
      </w:divBdr>
    </w:div>
    <w:div w:id="42028301">
      <w:bodyDiv w:val="1"/>
      <w:marLeft w:val="0"/>
      <w:marRight w:val="0"/>
      <w:marTop w:val="0"/>
      <w:marBottom w:val="0"/>
      <w:divBdr>
        <w:top w:val="none" w:sz="0" w:space="0" w:color="auto"/>
        <w:left w:val="none" w:sz="0" w:space="0" w:color="auto"/>
        <w:bottom w:val="none" w:sz="0" w:space="0" w:color="auto"/>
        <w:right w:val="none" w:sz="0" w:space="0" w:color="auto"/>
      </w:divBdr>
    </w:div>
    <w:div w:id="120807636">
      <w:bodyDiv w:val="1"/>
      <w:marLeft w:val="0"/>
      <w:marRight w:val="0"/>
      <w:marTop w:val="0"/>
      <w:marBottom w:val="0"/>
      <w:divBdr>
        <w:top w:val="none" w:sz="0" w:space="0" w:color="auto"/>
        <w:left w:val="none" w:sz="0" w:space="0" w:color="auto"/>
        <w:bottom w:val="none" w:sz="0" w:space="0" w:color="auto"/>
        <w:right w:val="none" w:sz="0" w:space="0" w:color="auto"/>
      </w:divBdr>
    </w:div>
    <w:div w:id="369303320">
      <w:bodyDiv w:val="1"/>
      <w:marLeft w:val="0"/>
      <w:marRight w:val="0"/>
      <w:marTop w:val="0"/>
      <w:marBottom w:val="0"/>
      <w:divBdr>
        <w:top w:val="none" w:sz="0" w:space="0" w:color="auto"/>
        <w:left w:val="none" w:sz="0" w:space="0" w:color="auto"/>
        <w:bottom w:val="none" w:sz="0" w:space="0" w:color="auto"/>
        <w:right w:val="none" w:sz="0" w:space="0" w:color="auto"/>
      </w:divBdr>
    </w:div>
    <w:div w:id="382876025">
      <w:bodyDiv w:val="1"/>
      <w:marLeft w:val="0"/>
      <w:marRight w:val="0"/>
      <w:marTop w:val="0"/>
      <w:marBottom w:val="0"/>
      <w:divBdr>
        <w:top w:val="none" w:sz="0" w:space="0" w:color="auto"/>
        <w:left w:val="none" w:sz="0" w:space="0" w:color="auto"/>
        <w:bottom w:val="none" w:sz="0" w:space="0" w:color="auto"/>
        <w:right w:val="none" w:sz="0" w:space="0" w:color="auto"/>
      </w:divBdr>
    </w:div>
    <w:div w:id="412119334">
      <w:bodyDiv w:val="1"/>
      <w:marLeft w:val="0"/>
      <w:marRight w:val="0"/>
      <w:marTop w:val="0"/>
      <w:marBottom w:val="0"/>
      <w:divBdr>
        <w:top w:val="none" w:sz="0" w:space="0" w:color="auto"/>
        <w:left w:val="none" w:sz="0" w:space="0" w:color="auto"/>
        <w:bottom w:val="none" w:sz="0" w:space="0" w:color="auto"/>
        <w:right w:val="none" w:sz="0" w:space="0" w:color="auto"/>
      </w:divBdr>
    </w:div>
    <w:div w:id="509562973">
      <w:bodyDiv w:val="1"/>
      <w:marLeft w:val="0"/>
      <w:marRight w:val="0"/>
      <w:marTop w:val="0"/>
      <w:marBottom w:val="0"/>
      <w:divBdr>
        <w:top w:val="none" w:sz="0" w:space="0" w:color="auto"/>
        <w:left w:val="none" w:sz="0" w:space="0" w:color="auto"/>
        <w:bottom w:val="none" w:sz="0" w:space="0" w:color="auto"/>
        <w:right w:val="none" w:sz="0" w:space="0" w:color="auto"/>
      </w:divBdr>
    </w:div>
    <w:div w:id="655958783">
      <w:bodyDiv w:val="1"/>
      <w:marLeft w:val="0"/>
      <w:marRight w:val="0"/>
      <w:marTop w:val="0"/>
      <w:marBottom w:val="0"/>
      <w:divBdr>
        <w:top w:val="none" w:sz="0" w:space="0" w:color="auto"/>
        <w:left w:val="none" w:sz="0" w:space="0" w:color="auto"/>
        <w:bottom w:val="none" w:sz="0" w:space="0" w:color="auto"/>
        <w:right w:val="none" w:sz="0" w:space="0" w:color="auto"/>
      </w:divBdr>
    </w:div>
    <w:div w:id="682786160">
      <w:bodyDiv w:val="1"/>
      <w:marLeft w:val="0"/>
      <w:marRight w:val="0"/>
      <w:marTop w:val="0"/>
      <w:marBottom w:val="0"/>
      <w:divBdr>
        <w:top w:val="none" w:sz="0" w:space="0" w:color="auto"/>
        <w:left w:val="none" w:sz="0" w:space="0" w:color="auto"/>
        <w:bottom w:val="none" w:sz="0" w:space="0" w:color="auto"/>
        <w:right w:val="none" w:sz="0" w:space="0" w:color="auto"/>
      </w:divBdr>
    </w:div>
    <w:div w:id="731468808">
      <w:bodyDiv w:val="1"/>
      <w:marLeft w:val="0"/>
      <w:marRight w:val="0"/>
      <w:marTop w:val="0"/>
      <w:marBottom w:val="0"/>
      <w:divBdr>
        <w:top w:val="none" w:sz="0" w:space="0" w:color="auto"/>
        <w:left w:val="none" w:sz="0" w:space="0" w:color="auto"/>
        <w:bottom w:val="none" w:sz="0" w:space="0" w:color="auto"/>
        <w:right w:val="none" w:sz="0" w:space="0" w:color="auto"/>
      </w:divBdr>
    </w:div>
    <w:div w:id="732777797">
      <w:bodyDiv w:val="1"/>
      <w:marLeft w:val="0"/>
      <w:marRight w:val="0"/>
      <w:marTop w:val="0"/>
      <w:marBottom w:val="0"/>
      <w:divBdr>
        <w:top w:val="none" w:sz="0" w:space="0" w:color="auto"/>
        <w:left w:val="none" w:sz="0" w:space="0" w:color="auto"/>
        <w:bottom w:val="none" w:sz="0" w:space="0" w:color="auto"/>
        <w:right w:val="none" w:sz="0" w:space="0" w:color="auto"/>
      </w:divBdr>
    </w:div>
    <w:div w:id="763960241">
      <w:bodyDiv w:val="1"/>
      <w:marLeft w:val="0"/>
      <w:marRight w:val="0"/>
      <w:marTop w:val="0"/>
      <w:marBottom w:val="0"/>
      <w:divBdr>
        <w:top w:val="none" w:sz="0" w:space="0" w:color="auto"/>
        <w:left w:val="none" w:sz="0" w:space="0" w:color="auto"/>
        <w:bottom w:val="none" w:sz="0" w:space="0" w:color="auto"/>
        <w:right w:val="none" w:sz="0" w:space="0" w:color="auto"/>
      </w:divBdr>
    </w:div>
    <w:div w:id="1009991932">
      <w:bodyDiv w:val="1"/>
      <w:marLeft w:val="0"/>
      <w:marRight w:val="0"/>
      <w:marTop w:val="0"/>
      <w:marBottom w:val="0"/>
      <w:divBdr>
        <w:top w:val="none" w:sz="0" w:space="0" w:color="auto"/>
        <w:left w:val="none" w:sz="0" w:space="0" w:color="auto"/>
        <w:bottom w:val="none" w:sz="0" w:space="0" w:color="auto"/>
        <w:right w:val="none" w:sz="0" w:space="0" w:color="auto"/>
      </w:divBdr>
    </w:div>
    <w:div w:id="1083990968">
      <w:bodyDiv w:val="1"/>
      <w:marLeft w:val="0"/>
      <w:marRight w:val="0"/>
      <w:marTop w:val="0"/>
      <w:marBottom w:val="0"/>
      <w:divBdr>
        <w:top w:val="none" w:sz="0" w:space="0" w:color="auto"/>
        <w:left w:val="none" w:sz="0" w:space="0" w:color="auto"/>
        <w:bottom w:val="none" w:sz="0" w:space="0" w:color="auto"/>
        <w:right w:val="none" w:sz="0" w:space="0" w:color="auto"/>
      </w:divBdr>
    </w:div>
    <w:div w:id="1202791491">
      <w:bodyDiv w:val="1"/>
      <w:marLeft w:val="0"/>
      <w:marRight w:val="0"/>
      <w:marTop w:val="0"/>
      <w:marBottom w:val="0"/>
      <w:divBdr>
        <w:top w:val="none" w:sz="0" w:space="0" w:color="auto"/>
        <w:left w:val="none" w:sz="0" w:space="0" w:color="auto"/>
        <w:bottom w:val="none" w:sz="0" w:space="0" w:color="auto"/>
        <w:right w:val="none" w:sz="0" w:space="0" w:color="auto"/>
      </w:divBdr>
    </w:div>
    <w:div w:id="1251962239">
      <w:bodyDiv w:val="1"/>
      <w:marLeft w:val="0"/>
      <w:marRight w:val="0"/>
      <w:marTop w:val="0"/>
      <w:marBottom w:val="0"/>
      <w:divBdr>
        <w:top w:val="none" w:sz="0" w:space="0" w:color="auto"/>
        <w:left w:val="none" w:sz="0" w:space="0" w:color="auto"/>
        <w:bottom w:val="none" w:sz="0" w:space="0" w:color="auto"/>
        <w:right w:val="none" w:sz="0" w:space="0" w:color="auto"/>
      </w:divBdr>
    </w:div>
    <w:div w:id="1265192520">
      <w:bodyDiv w:val="1"/>
      <w:marLeft w:val="0"/>
      <w:marRight w:val="0"/>
      <w:marTop w:val="0"/>
      <w:marBottom w:val="0"/>
      <w:divBdr>
        <w:top w:val="none" w:sz="0" w:space="0" w:color="auto"/>
        <w:left w:val="none" w:sz="0" w:space="0" w:color="auto"/>
        <w:bottom w:val="none" w:sz="0" w:space="0" w:color="auto"/>
        <w:right w:val="none" w:sz="0" w:space="0" w:color="auto"/>
      </w:divBdr>
    </w:div>
    <w:div w:id="1268853738">
      <w:bodyDiv w:val="1"/>
      <w:marLeft w:val="0"/>
      <w:marRight w:val="0"/>
      <w:marTop w:val="0"/>
      <w:marBottom w:val="0"/>
      <w:divBdr>
        <w:top w:val="none" w:sz="0" w:space="0" w:color="auto"/>
        <w:left w:val="none" w:sz="0" w:space="0" w:color="auto"/>
        <w:bottom w:val="none" w:sz="0" w:space="0" w:color="auto"/>
        <w:right w:val="none" w:sz="0" w:space="0" w:color="auto"/>
      </w:divBdr>
    </w:div>
    <w:div w:id="1320304444">
      <w:bodyDiv w:val="1"/>
      <w:marLeft w:val="0"/>
      <w:marRight w:val="0"/>
      <w:marTop w:val="0"/>
      <w:marBottom w:val="0"/>
      <w:divBdr>
        <w:top w:val="none" w:sz="0" w:space="0" w:color="auto"/>
        <w:left w:val="none" w:sz="0" w:space="0" w:color="auto"/>
        <w:bottom w:val="none" w:sz="0" w:space="0" w:color="auto"/>
        <w:right w:val="none" w:sz="0" w:space="0" w:color="auto"/>
      </w:divBdr>
      <w:divsChild>
        <w:div w:id="1277567306">
          <w:marLeft w:val="0"/>
          <w:marRight w:val="0"/>
          <w:marTop w:val="0"/>
          <w:marBottom w:val="0"/>
          <w:divBdr>
            <w:top w:val="none" w:sz="0" w:space="0" w:color="auto"/>
            <w:left w:val="none" w:sz="0" w:space="0" w:color="auto"/>
            <w:bottom w:val="none" w:sz="0" w:space="0" w:color="auto"/>
            <w:right w:val="none" w:sz="0" w:space="0" w:color="auto"/>
          </w:divBdr>
        </w:div>
        <w:div w:id="316692928">
          <w:marLeft w:val="0"/>
          <w:marRight w:val="0"/>
          <w:marTop w:val="0"/>
          <w:marBottom w:val="0"/>
          <w:divBdr>
            <w:top w:val="none" w:sz="0" w:space="0" w:color="auto"/>
            <w:left w:val="none" w:sz="0" w:space="0" w:color="auto"/>
            <w:bottom w:val="none" w:sz="0" w:space="0" w:color="auto"/>
            <w:right w:val="none" w:sz="0" w:space="0" w:color="auto"/>
          </w:divBdr>
        </w:div>
        <w:div w:id="260335126">
          <w:marLeft w:val="0"/>
          <w:marRight w:val="0"/>
          <w:marTop w:val="0"/>
          <w:marBottom w:val="0"/>
          <w:divBdr>
            <w:top w:val="none" w:sz="0" w:space="0" w:color="auto"/>
            <w:left w:val="none" w:sz="0" w:space="0" w:color="auto"/>
            <w:bottom w:val="none" w:sz="0" w:space="0" w:color="auto"/>
            <w:right w:val="none" w:sz="0" w:space="0" w:color="auto"/>
          </w:divBdr>
        </w:div>
        <w:div w:id="1409838502">
          <w:marLeft w:val="0"/>
          <w:marRight w:val="0"/>
          <w:marTop w:val="0"/>
          <w:marBottom w:val="0"/>
          <w:divBdr>
            <w:top w:val="none" w:sz="0" w:space="0" w:color="auto"/>
            <w:left w:val="none" w:sz="0" w:space="0" w:color="auto"/>
            <w:bottom w:val="none" w:sz="0" w:space="0" w:color="auto"/>
            <w:right w:val="none" w:sz="0" w:space="0" w:color="auto"/>
          </w:divBdr>
        </w:div>
        <w:div w:id="65420060">
          <w:marLeft w:val="0"/>
          <w:marRight w:val="0"/>
          <w:marTop w:val="0"/>
          <w:marBottom w:val="0"/>
          <w:divBdr>
            <w:top w:val="none" w:sz="0" w:space="0" w:color="auto"/>
            <w:left w:val="none" w:sz="0" w:space="0" w:color="auto"/>
            <w:bottom w:val="none" w:sz="0" w:space="0" w:color="auto"/>
            <w:right w:val="none" w:sz="0" w:space="0" w:color="auto"/>
          </w:divBdr>
        </w:div>
      </w:divsChild>
    </w:div>
    <w:div w:id="1457599920">
      <w:bodyDiv w:val="1"/>
      <w:marLeft w:val="0"/>
      <w:marRight w:val="0"/>
      <w:marTop w:val="0"/>
      <w:marBottom w:val="0"/>
      <w:divBdr>
        <w:top w:val="none" w:sz="0" w:space="0" w:color="auto"/>
        <w:left w:val="none" w:sz="0" w:space="0" w:color="auto"/>
        <w:bottom w:val="none" w:sz="0" w:space="0" w:color="auto"/>
        <w:right w:val="none" w:sz="0" w:space="0" w:color="auto"/>
      </w:divBdr>
    </w:div>
    <w:div w:id="1484855990">
      <w:bodyDiv w:val="1"/>
      <w:marLeft w:val="0"/>
      <w:marRight w:val="0"/>
      <w:marTop w:val="0"/>
      <w:marBottom w:val="0"/>
      <w:divBdr>
        <w:top w:val="none" w:sz="0" w:space="0" w:color="auto"/>
        <w:left w:val="none" w:sz="0" w:space="0" w:color="auto"/>
        <w:bottom w:val="none" w:sz="0" w:space="0" w:color="auto"/>
        <w:right w:val="none" w:sz="0" w:space="0" w:color="auto"/>
      </w:divBdr>
    </w:div>
    <w:div w:id="1554198789">
      <w:bodyDiv w:val="1"/>
      <w:marLeft w:val="0"/>
      <w:marRight w:val="0"/>
      <w:marTop w:val="0"/>
      <w:marBottom w:val="0"/>
      <w:divBdr>
        <w:top w:val="none" w:sz="0" w:space="0" w:color="auto"/>
        <w:left w:val="none" w:sz="0" w:space="0" w:color="auto"/>
        <w:bottom w:val="none" w:sz="0" w:space="0" w:color="auto"/>
        <w:right w:val="none" w:sz="0" w:space="0" w:color="auto"/>
      </w:divBdr>
    </w:div>
    <w:div w:id="1595089281">
      <w:bodyDiv w:val="1"/>
      <w:marLeft w:val="0"/>
      <w:marRight w:val="0"/>
      <w:marTop w:val="0"/>
      <w:marBottom w:val="0"/>
      <w:divBdr>
        <w:top w:val="none" w:sz="0" w:space="0" w:color="auto"/>
        <w:left w:val="none" w:sz="0" w:space="0" w:color="auto"/>
        <w:bottom w:val="none" w:sz="0" w:space="0" w:color="auto"/>
        <w:right w:val="none" w:sz="0" w:space="0" w:color="auto"/>
      </w:divBdr>
    </w:div>
    <w:div w:id="1619876802">
      <w:bodyDiv w:val="1"/>
      <w:marLeft w:val="0"/>
      <w:marRight w:val="0"/>
      <w:marTop w:val="0"/>
      <w:marBottom w:val="0"/>
      <w:divBdr>
        <w:top w:val="none" w:sz="0" w:space="0" w:color="auto"/>
        <w:left w:val="none" w:sz="0" w:space="0" w:color="auto"/>
        <w:bottom w:val="none" w:sz="0" w:space="0" w:color="auto"/>
        <w:right w:val="none" w:sz="0" w:space="0" w:color="auto"/>
      </w:divBdr>
    </w:div>
    <w:div w:id="1630699313">
      <w:bodyDiv w:val="1"/>
      <w:marLeft w:val="0"/>
      <w:marRight w:val="0"/>
      <w:marTop w:val="0"/>
      <w:marBottom w:val="0"/>
      <w:divBdr>
        <w:top w:val="none" w:sz="0" w:space="0" w:color="auto"/>
        <w:left w:val="none" w:sz="0" w:space="0" w:color="auto"/>
        <w:bottom w:val="none" w:sz="0" w:space="0" w:color="auto"/>
        <w:right w:val="none" w:sz="0" w:space="0" w:color="auto"/>
      </w:divBdr>
    </w:div>
    <w:div w:id="1648196908">
      <w:bodyDiv w:val="1"/>
      <w:marLeft w:val="0"/>
      <w:marRight w:val="0"/>
      <w:marTop w:val="0"/>
      <w:marBottom w:val="0"/>
      <w:divBdr>
        <w:top w:val="none" w:sz="0" w:space="0" w:color="auto"/>
        <w:left w:val="none" w:sz="0" w:space="0" w:color="auto"/>
        <w:bottom w:val="none" w:sz="0" w:space="0" w:color="auto"/>
        <w:right w:val="none" w:sz="0" w:space="0" w:color="auto"/>
      </w:divBdr>
    </w:div>
    <w:div w:id="1705401491">
      <w:bodyDiv w:val="1"/>
      <w:marLeft w:val="0"/>
      <w:marRight w:val="0"/>
      <w:marTop w:val="0"/>
      <w:marBottom w:val="0"/>
      <w:divBdr>
        <w:top w:val="none" w:sz="0" w:space="0" w:color="auto"/>
        <w:left w:val="none" w:sz="0" w:space="0" w:color="auto"/>
        <w:bottom w:val="none" w:sz="0" w:space="0" w:color="auto"/>
        <w:right w:val="none" w:sz="0" w:space="0" w:color="auto"/>
      </w:divBdr>
    </w:div>
    <w:div w:id="1808469320">
      <w:bodyDiv w:val="1"/>
      <w:marLeft w:val="0"/>
      <w:marRight w:val="0"/>
      <w:marTop w:val="0"/>
      <w:marBottom w:val="0"/>
      <w:divBdr>
        <w:top w:val="none" w:sz="0" w:space="0" w:color="auto"/>
        <w:left w:val="none" w:sz="0" w:space="0" w:color="auto"/>
        <w:bottom w:val="none" w:sz="0" w:space="0" w:color="auto"/>
        <w:right w:val="none" w:sz="0" w:space="0" w:color="auto"/>
      </w:divBdr>
    </w:div>
    <w:div w:id="1838035796">
      <w:bodyDiv w:val="1"/>
      <w:marLeft w:val="0"/>
      <w:marRight w:val="0"/>
      <w:marTop w:val="0"/>
      <w:marBottom w:val="0"/>
      <w:divBdr>
        <w:top w:val="none" w:sz="0" w:space="0" w:color="auto"/>
        <w:left w:val="none" w:sz="0" w:space="0" w:color="auto"/>
        <w:bottom w:val="none" w:sz="0" w:space="0" w:color="auto"/>
        <w:right w:val="none" w:sz="0" w:space="0" w:color="auto"/>
      </w:divBdr>
    </w:div>
    <w:div w:id="1857302130">
      <w:bodyDiv w:val="1"/>
      <w:marLeft w:val="0"/>
      <w:marRight w:val="0"/>
      <w:marTop w:val="0"/>
      <w:marBottom w:val="0"/>
      <w:divBdr>
        <w:top w:val="none" w:sz="0" w:space="0" w:color="auto"/>
        <w:left w:val="none" w:sz="0" w:space="0" w:color="auto"/>
        <w:bottom w:val="none" w:sz="0" w:space="0" w:color="auto"/>
        <w:right w:val="none" w:sz="0" w:space="0" w:color="auto"/>
      </w:divBdr>
    </w:div>
    <w:div w:id="1886991191">
      <w:bodyDiv w:val="1"/>
      <w:marLeft w:val="0"/>
      <w:marRight w:val="0"/>
      <w:marTop w:val="0"/>
      <w:marBottom w:val="0"/>
      <w:divBdr>
        <w:top w:val="none" w:sz="0" w:space="0" w:color="auto"/>
        <w:left w:val="none" w:sz="0" w:space="0" w:color="auto"/>
        <w:bottom w:val="none" w:sz="0" w:space="0" w:color="auto"/>
        <w:right w:val="none" w:sz="0" w:space="0" w:color="auto"/>
      </w:divBdr>
    </w:div>
    <w:div w:id="1942296844">
      <w:bodyDiv w:val="1"/>
      <w:marLeft w:val="0"/>
      <w:marRight w:val="0"/>
      <w:marTop w:val="0"/>
      <w:marBottom w:val="0"/>
      <w:divBdr>
        <w:top w:val="none" w:sz="0" w:space="0" w:color="auto"/>
        <w:left w:val="none" w:sz="0" w:space="0" w:color="auto"/>
        <w:bottom w:val="none" w:sz="0" w:space="0" w:color="auto"/>
        <w:right w:val="none" w:sz="0" w:space="0" w:color="auto"/>
      </w:divBdr>
    </w:div>
    <w:div w:id="1943804350">
      <w:bodyDiv w:val="1"/>
      <w:marLeft w:val="0"/>
      <w:marRight w:val="0"/>
      <w:marTop w:val="0"/>
      <w:marBottom w:val="0"/>
      <w:divBdr>
        <w:top w:val="none" w:sz="0" w:space="0" w:color="auto"/>
        <w:left w:val="none" w:sz="0" w:space="0" w:color="auto"/>
        <w:bottom w:val="none" w:sz="0" w:space="0" w:color="auto"/>
        <w:right w:val="none" w:sz="0" w:space="0" w:color="auto"/>
      </w:divBdr>
    </w:div>
    <w:div w:id="1966228511">
      <w:bodyDiv w:val="1"/>
      <w:marLeft w:val="0"/>
      <w:marRight w:val="0"/>
      <w:marTop w:val="0"/>
      <w:marBottom w:val="0"/>
      <w:divBdr>
        <w:top w:val="none" w:sz="0" w:space="0" w:color="auto"/>
        <w:left w:val="none" w:sz="0" w:space="0" w:color="auto"/>
        <w:bottom w:val="none" w:sz="0" w:space="0" w:color="auto"/>
        <w:right w:val="none" w:sz="0" w:space="0" w:color="auto"/>
      </w:divBdr>
    </w:div>
    <w:div w:id="214553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swajit.batabyal@gmail.com" TargetMode="Externa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iomerieux.com/corp/en/our-offer/clinical-products/vitek-2.html"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MHFL9l3KkDE"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www.idexx.dk/files/microbiology-guide-interpreting-mic-nordics.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dexx.dk/files/microbiology-guide-interpreting-mic-nordics.pdf"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2D15F-8850-4417-9635-BD2597EB0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33</Pages>
  <Words>4594</Words>
  <Characters>26187</Characters>
  <Application>Microsoft Office Word</Application>
  <DocSecurity>0</DocSecurity>
  <Lines>218</Lines>
  <Paragraphs>61</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PREVALENCE, ANTIBIOTIC RESISTANCE PATTERN FOR ENTEROBACTERALES</vt:lpstr>
      <vt:lpstr>FROM PATIENTS ABOVE 50 YEARS WITH URINARY TRACT INFECTIONS</vt:lpstr>
      <vt:lpstr>    STUDY AREA:  </vt:lpstr>
      <vt:lpstr>    This study was carried out a period of Three months from January 2026 to March 2</vt:lpstr>
      <vt:lpstr>    COLLECTION OF URINE SAMPLES:</vt:lpstr>
      <vt:lpstr>    IDENTIFICATION OF ISOLATES:</vt:lpstr>
      <vt:lpstr>SENSITIVITY TESTING USING MIC TECHNIQUE </vt:lpstr>
      <vt:lpstr>/ </vt:lpstr>
      <vt:lpstr>/ </vt:lpstr>
      <vt:lpstr/>
      <vt:lpstr>DISCUSSION:</vt:lpstr>
      <vt:lpstr>    CONCLUSION:</vt:lpstr>
      <vt:lpstr>    ACKNOWLEDGEMENTS:</vt:lpstr>
    </vt:vector>
  </TitlesOfParts>
  <Company/>
  <LinksUpToDate>false</LinksUpToDate>
  <CharactersWithSpaces>30720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183</cp:revision>
  <dcterms:created xsi:type="dcterms:W3CDTF">2026-01-19T04:32:00Z</dcterms:created>
  <dcterms:modified xsi:type="dcterms:W3CDTF">2026-05-16T04:40:00Z</dcterms:modified>
</cp:coreProperties>
</file>