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C320E" w14:textId="2576FBC8" w:rsidR="001B553B" w:rsidRDefault="001B553B" w:rsidP="00D43DD1">
      <w:pPr>
        <w:pStyle w:val="Heading1"/>
      </w:pPr>
      <w:bookmarkStart w:id="0" w:name="_Toc232802548"/>
      <w:r w:rsidRPr="00AA1DBF">
        <w:t xml:space="preserve">Regional Disintegration </w:t>
      </w:r>
      <w:r w:rsidR="00815F36">
        <w:t>a</w:t>
      </w:r>
      <w:r w:rsidRPr="00AA1DBF">
        <w:t xml:space="preserve"> Comparative Perspective: Brexit and Sahelexit</w:t>
      </w:r>
      <w:bookmarkEnd w:id="0"/>
    </w:p>
    <w:p w14:paraId="103443DF" w14:textId="77777777" w:rsidR="00E938C7" w:rsidRPr="00AA1DBF" w:rsidRDefault="00E938C7" w:rsidP="003C287A">
      <w:pPr>
        <w:spacing w:before="240"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4A179CBA" w14:textId="7271D790" w:rsid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6AC92C48" w14:textId="77777777" w:rsidR="00E238FE" w:rsidRDefault="00E238FE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26E665E6" w14:textId="77777777" w:rsidR="00E238FE" w:rsidRDefault="00E238FE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7E3EE014" w14:textId="77777777" w:rsidR="00E238FE" w:rsidRDefault="00E238FE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78D723BC" w14:textId="77777777" w:rsidR="00E238FE" w:rsidRDefault="00E238FE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69FF446B" w14:textId="77777777" w:rsidR="00E238FE" w:rsidRDefault="00E238FE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2B33FA60" w14:textId="77777777" w:rsidR="00E238FE" w:rsidRDefault="00E238FE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4BD2D3A4" w14:textId="77777777" w:rsidR="00E238FE" w:rsidRDefault="00E238FE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246109EB" w14:textId="77777777" w:rsidR="00E238FE" w:rsidRDefault="00E238FE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06BE4020" w14:textId="77777777" w:rsidR="00E238FE" w:rsidRDefault="00E238FE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07ACF3BA" w14:textId="77777777" w:rsidR="00E238FE" w:rsidRDefault="00E238FE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034B3EF7" w14:textId="77777777" w:rsidR="00E238FE" w:rsidRDefault="00E238FE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410E389A" w14:textId="77777777" w:rsidR="00E238FE" w:rsidRDefault="00E238FE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289479EF" w14:textId="77777777" w:rsidR="00E238FE" w:rsidRDefault="00E238FE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73576CB0" w14:textId="77777777" w:rsidR="00E238FE" w:rsidRDefault="00E238FE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7FB7DA8B" w14:textId="77777777" w:rsidR="00E238FE" w:rsidRDefault="00E238FE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sdt>
      <w:sdtPr>
        <w:rPr>
          <w:rFonts w:asciiTheme="minorHAnsi" w:eastAsiaTheme="minorEastAsia" w:hAnsiTheme="minorHAnsi" w:cstheme="minorBidi"/>
          <w:color w:val="auto"/>
          <w:kern w:val="2"/>
          <w:sz w:val="24"/>
          <w:szCs w:val="24"/>
          <w14:ligatures w14:val="standardContextual"/>
        </w:rPr>
        <w:id w:val="-58398796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noProof/>
        </w:rPr>
      </w:sdtEndPr>
      <w:sdtContent>
        <w:p w14:paraId="61FC1DCE" w14:textId="6ED14D8E" w:rsidR="002D1683" w:rsidRDefault="002D1683">
          <w:pPr>
            <w:pStyle w:val="TOCHeading"/>
          </w:pPr>
          <w:r>
            <w:t/>
          </w:r>
        </w:p>
        <w:p w14:paraId="6C6E0B11" w14:textId="61560701" w:rsidR="002D1683" w:rsidRPr="00AA08CB" w:rsidRDefault="002D1683" w:rsidP="00024E68">
          <w:pPr>
            <w:pStyle w:val="TOC1"/>
            <w:rPr>
              <w:noProof/>
              <w:kern w:val="2"/>
              <w:sz w:val="24"/>
              <w:szCs w:val="24"/>
              <w14:ligatures w14:val="standardContextual"/>
            </w:rPr>
          </w:pPr>
          <w:r w:rsidRPr="00AA08CB">
            <w:fldChar w:fldCharType="begin"/>
          </w:r>
          <w:r w:rsidRPr="00AA08CB">
            <w:instrText xml:space="preserve"> TOC \o "1-3" \h \z \u </w:instrText>
          </w:r>
          <w:r w:rsidRPr="00AA08CB">
            <w:fldChar w:fldCharType="separate"/>
          </w:r>
          <w:hyperlink w:anchor="_Toc232802548" w:history="1">
            <w:r w:rsidRPr="00AA08CB">
              <w:rPr>
                <w:rStyle w:val="Hyperlink"/>
                <w:rFonts w:ascii="Times New Roman" w:hAnsi="Times New Roman"/>
                <w:noProof/>
              </w:rPr>
              <w:t/>
            </w:r>
            <w:r w:rsidRPr="00AA08CB">
              <w:rPr>
                <w:noProof/>
                <w:webHidden/>
              </w:rPr>
              <w:tab/>
            </w:r>
            <w:r w:rsidRPr="00AA08CB">
              <w:rPr>
                <w:noProof/>
                <w:webHidden/>
              </w:rPr>
              <w:fldChar w:fldCharType="begin"/>
            </w:r>
            <w:r w:rsidRPr="00AA08CB">
              <w:rPr>
                <w:noProof/>
                <w:webHidden/>
              </w:rPr>
              <w:instrText xml:space="preserve"> PAGEREF _Toc232802548 \h </w:instrText>
            </w:r>
            <w:r w:rsidRPr="00AA08CB">
              <w:rPr>
                <w:noProof/>
                <w:webHidden/>
              </w:rPr>
            </w:r>
            <w:r w:rsidRPr="00AA08CB">
              <w:rPr>
                <w:noProof/>
                <w:webHidden/>
              </w:rPr>
              <w:fldChar w:fldCharType="separate"/>
            </w:r>
            <w:r w:rsidRPr="00AA08CB">
              <w:rPr>
                <w:noProof/>
                <w:webHidden/>
              </w:rPr>
              <w:t/>
            </w:r>
            <w:r w:rsidRPr="00AA08CB">
              <w:rPr>
                <w:noProof/>
                <w:webHidden/>
              </w:rPr>
              <w:fldChar w:fldCharType="end"/>
            </w:r>
          </w:hyperlink>
        </w:p>
        <w:p w14:paraId="54AB7546" w14:textId="086C9A12" w:rsidR="002D1683" w:rsidRPr="00AA08CB" w:rsidRDefault="002D1683" w:rsidP="00024E68">
          <w:pPr>
            <w:pStyle w:val="TOC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2802549" w:history="1">
            <w:r w:rsidRPr="00AA08CB">
              <w:rPr>
                <w:rStyle w:val="Hyperlink"/>
                <w:rFonts w:ascii="Times New Roman" w:hAnsi="Times New Roman"/>
                <w:noProof/>
              </w:rPr>
              <w:t/>
            </w:r>
            <w:r w:rsidRPr="00AA08CB">
              <w:rPr>
                <w:noProof/>
                <w:webHidden/>
              </w:rPr>
              <w:tab/>
            </w:r>
            <w:r w:rsidRPr="00AA08CB">
              <w:rPr>
                <w:noProof/>
                <w:webHidden/>
              </w:rPr>
              <w:fldChar w:fldCharType="begin"/>
            </w:r>
            <w:r w:rsidRPr="00AA08CB">
              <w:rPr>
                <w:noProof/>
                <w:webHidden/>
              </w:rPr>
              <w:instrText xml:space="preserve"> PAGEREF _Toc232802549 \h </w:instrText>
            </w:r>
            <w:r w:rsidRPr="00AA08CB">
              <w:rPr>
                <w:noProof/>
                <w:webHidden/>
              </w:rPr>
            </w:r>
            <w:r w:rsidRPr="00AA08CB">
              <w:rPr>
                <w:noProof/>
                <w:webHidden/>
              </w:rPr>
              <w:fldChar w:fldCharType="separate"/>
            </w:r>
            <w:r w:rsidRPr="00AA08CB">
              <w:rPr>
                <w:noProof/>
                <w:webHidden/>
              </w:rPr>
              <w:t/>
            </w:r>
            <w:r w:rsidRPr="00AA08CB">
              <w:rPr>
                <w:noProof/>
                <w:webHidden/>
              </w:rPr>
              <w:fldChar w:fldCharType="end"/>
            </w:r>
          </w:hyperlink>
        </w:p>
        <w:p w14:paraId="50BEE010" w14:textId="6AB4B821" w:rsidR="002D1683" w:rsidRPr="00AA08CB" w:rsidRDefault="002D1683" w:rsidP="00024E68">
          <w:pPr>
            <w:pStyle w:val="TOC2"/>
            <w:ind w:left="0"/>
            <w:jc w:val="both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32802550" w:history="1">
            <w:r w:rsidRPr="00AA08CB">
              <w:rPr>
                <w:rStyle w:val="Hyperlink"/>
                <w:rFonts w:ascii="Times New Roman" w:hAnsi="Times New Roman"/>
                <w:noProof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tab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AA08CB">
              <w:rPr>
                <w:rFonts w:ascii="Times New Roman" w:hAnsi="Times New Roman"/>
                <w:noProof/>
                <w:webHidden/>
              </w:rPr>
              <w:instrText xml:space="preserve"> PAGEREF _Toc232802550 \h </w:instrText>
            </w:r>
            <w:r w:rsidRPr="00AA08CB">
              <w:rPr>
                <w:rFonts w:ascii="Times New Roman" w:hAnsi="Times New Roman"/>
                <w:noProof/>
                <w:webHidden/>
              </w:rPr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AA08CB">
              <w:rPr>
                <w:rFonts w:ascii="Times New Roman" w:hAnsi="Times New Roman"/>
                <w:noProof/>
                <w:webHidden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5A6934A" w14:textId="221FFDEE" w:rsidR="002D1683" w:rsidRPr="00AA08CB" w:rsidRDefault="002D1683" w:rsidP="00024E68">
          <w:pPr>
            <w:pStyle w:val="TOC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2802551" w:history="1">
            <w:r w:rsidRPr="00AA08CB">
              <w:rPr>
                <w:rStyle w:val="Hyperlink"/>
                <w:rFonts w:ascii="Times New Roman" w:hAnsi="Times New Roman"/>
                <w:noProof/>
              </w:rPr>
              <w:t/>
            </w:r>
            <w:r w:rsidRPr="00AA08CB">
              <w:rPr>
                <w:noProof/>
                <w:webHidden/>
              </w:rPr>
              <w:tab/>
            </w:r>
            <w:r w:rsidRPr="00AA08CB">
              <w:rPr>
                <w:noProof/>
                <w:webHidden/>
              </w:rPr>
              <w:fldChar w:fldCharType="begin"/>
            </w:r>
            <w:r w:rsidRPr="00AA08CB">
              <w:rPr>
                <w:noProof/>
                <w:webHidden/>
              </w:rPr>
              <w:instrText xml:space="preserve"> PAGEREF _Toc232802551 \h </w:instrText>
            </w:r>
            <w:r w:rsidRPr="00AA08CB">
              <w:rPr>
                <w:noProof/>
                <w:webHidden/>
              </w:rPr>
            </w:r>
            <w:r w:rsidRPr="00AA08CB">
              <w:rPr>
                <w:noProof/>
                <w:webHidden/>
              </w:rPr>
              <w:fldChar w:fldCharType="separate"/>
            </w:r>
            <w:r w:rsidRPr="00AA08CB">
              <w:rPr>
                <w:noProof/>
                <w:webHidden/>
              </w:rPr>
              <w:t/>
            </w:r>
            <w:r w:rsidRPr="00AA08CB">
              <w:rPr>
                <w:noProof/>
                <w:webHidden/>
              </w:rPr>
              <w:fldChar w:fldCharType="end"/>
            </w:r>
          </w:hyperlink>
        </w:p>
        <w:p w14:paraId="226D50AE" w14:textId="2FEF97C2" w:rsidR="002D1683" w:rsidRPr="00AA08CB" w:rsidRDefault="002D1683" w:rsidP="00024E68">
          <w:pPr>
            <w:pStyle w:val="TOC2"/>
            <w:ind w:left="0"/>
            <w:jc w:val="both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32802552" w:history="1">
            <w:r w:rsidRPr="00AA08CB">
              <w:rPr>
                <w:rStyle w:val="Hyperlink"/>
                <w:rFonts w:ascii="Times New Roman" w:hAnsi="Times New Roman"/>
                <w:noProof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tab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AA08CB">
              <w:rPr>
                <w:rFonts w:ascii="Times New Roman" w:hAnsi="Times New Roman"/>
                <w:noProof/>
                <w:webHidden/>
              </w:rPr>
              <w:instrText xml:space="preserve"> PAGEREF _Toc232802552 \h </w:instrText>
            </w:r>
            <w:r w:rsidRPr="00AA08CB">
              <w:rPr>
                <w:rFonts w:ascii="Times New Roman" w:hAnsi="Times New Roman"/>
                <w:noProof/>
                <w:webHidden/>
              </w:rPr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AA08CB">
              <w:rPr>
                <w:rFonts w:ascii="Times New Roman" w:hAnsi="Times New Roman"/>
                <w:noProof/>
                <w:webHidden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6BCF209" w14:textId="5D22EC11" w:rsidR="002D1683" w:rsidRPr="00AA08CB" w:rsidRDefault="002D1683" w:rsidP="00024E68">
          <w:pPr>
            <w:pStyle w:val="TOC2"/>
            <w:ind w:left="0"/>
            <w:jc w:val="both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32802553" w:history="1">
            <w:r w:rsidRPr="00AA08CB">
              <w:rPr>
                <w:rStyle w:val="Hyperlink"/>
                <w:rFonts w:ascii="Times New Roman" w:hAnsi="Times New Roman"/>
                <w:noProof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tab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AA08CB">
              <w:rPr>
                <w:rFonts w:ascii="Times New Roman" w:hAnsi="Times New Roman"/>
                <w:noProof/>
                <w:webHidden/>
              </w:rPr>
              <w:instrText xml:space="preserve"> PAGEREF _Toc232802553 \h </w:instrText>
            </w:r>
            <w:r w:rsidRPr="00AA08CB">
              <w:rPr>
                <w:rFonts w:ascii="Times New Roman" w:hAnsi="Times New Roman"/>
                <w:noProof/>
                <w:webHidden/>
              </w:rPr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AA08CB">
              <w:rPr>
                <w:rFonts w:ascii="Times New Roman" w:hAnsi="Times New Roman"/>
                <w:noProof/>
                <w:webHidden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99E2068" w14:textId="3861E33E" w:rsidR="002D1683" w:rsidRPr="00AA08CB" w:rsidRDefault="002D1683" w:rsidP="00024E68">
          <w:pPr>
            <w:pStyle w:val="TOC2"/>
            <w:ind w:left="0"/>
            <w:jc w:val="both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32802554" w:history="1">
            <w:r w:rsidRPr="00AA08CB">
              <w:rPr>
                <w:rStyle w:val="Hyperlink"/>
                <w:rFonts w:ascii="Times New Roman" w:hAnsi="Times New Roman"/>
                <w:noProof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tab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AA08CB">
              <w:rPr>
                <w:rFonts w:ascii="Times New Roman" w:hAnsi="Times New Roman"/>
                <w:noProof/>
                <w:webHidden/>
              </w:rPr>
              <w:instrText xml:space="preserve"> PAGEREF _Toc232802554 \h </w:instrText>
            </w:r>
            <w:r w:rsidRPr="00AA08CB">
              <w:rPr>
                <w:rFonts w:ascii="Times New Roman" w:hAnsi="Times New Roman"/>
                <w:noProof/>
                <w:webHidden/>
              </w:rPr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AA08CB">
              <w:rPr>
                <w:rFonts w:ascii="Times New Roman" w:hAnsi="Times New Roman"/>
                <w:noProof/>
                <w:webHidden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24E0728" w14:textId="210A1ACE" w:rsidR="002D1683" w:rsidRPr="00AA08CB" w:rsidRDefault="002D1683" w:rsidP="00024E68">
          <w:pPr>
            <w:pStyle w:val="TOC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2802555" w:history="1">
            <w:r w:rsidRPr="00AA08CB">
              <w:rPr>
                <w:rStyle w:val="Hyperlink"/>
                <w:rFonts w:ascii="Times New Roman" w:hAnsi="Times New Roman"/>
                <w:noProof/>
              </w:rPr>
              <w:t/>
            </w:r>
            <w:r w:rsidRPr="00AA08CB">
              <w:rPr>
                <w:noProof/>
                <w:webHidden/>
              </w:rPr>
              <w:tab/>
            </w:r>
            <w:r w:rsidRPr="00AA08CB">
              <w:rPr>
                <w:noProof/>
                <w:webHidden/>
              </w:rPr>
              <w:fldChar w:fldCharType="begin"/>
            </w:r>
            <w:r w:rsidRPr="00AA08CB">
              <w:rPr>
                <w:noProof/>
                <w:webHidden/>
              </w:rPr>
              <w:instrText xml:space="preserve"> PAGEREF _Toc232802555 \h </w:instrText>
            </w:r>
            <w:r w:rsidRPr="00AA08CB">
              <w:rPr>
                <w:noProof/>
                <w:webHidden/>
              </w:rPr>
            </w:r>
            <w:r w:rsidRPr="00AA08CB">
              <w:rPr>
                <w:noProof/>
                <w:webHidden/>
              </w:rPr>
              <w:fldChar w:fldCharType="separate"/>
            </w:r>
            <w:r w:rsidRPr="00AA08CB">
              <w:rPr>
                <w:noProof/>
                <w:webHidden/>
              </w:rPr>
              <w:t/>
            </w:r>
            <w:r w:rsidRPr="00AA08CB">
              <w:rPr>
                <w:noProof/>
                <w:webHidden/>
              </w:rPr>
              <w:fldChar w:fldCharType="end"/>
            </w:r>
          </w:hyperlink>
        </w:p>
        <w:p w14:paraId="7675470B" w14:textId="4111DC32" w:rsidR="002D1683" w:rsidRPr="00AA08CB" w:rsidRDefault="002D1683" w:rsidP="00024E68">
          <w:pPr>
            <w:pStyle w:val="TOC2"/>
            <w:ind w:left="0"/>
            <w:jc w:val="both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32802556" w:history="1">
            <w:r w:rsidRPr="00AA08CB">
              <w:rPr>
                <w:rStyle w:val="Hyperlink"/>
                <w:rFonts w:ascii="Times New Roman" w:hAnsi="Times New Roman"/>
                <w:noProof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tab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AA08CB">
              <w:rPr>
                <w:rFonts w:ascii="Times New Roman" w:hAnsi="Times New Roman"/>
                <w:noProof/>
                <w:webHidden/>
              </w:rPr>
              <w:instrText xml:space="preserve"> PAGEREF _Toc232802556 \h </w:instrText>
            </w:r>
            <w:r w:rsidRPr="00AA08CB">
              <w:rPr>
                <w:rFonts w:ascii="Times New Roman" w:hAnsi="Times New Roman"/>
                <w:noProof/>
                <w:webHidden/>
              </w:rPr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AA08CB">
              <w:rPr>
                <w:rFonts w:ascii="Times New Roman" w:hAnsi="Times New Roman"/>
                <w:noProof/>
                <w:webHidden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C337612" w14:textId="60D02D96" w:rsidR="002D1683" w:rsidRPr="00AA08CB" w:rsidRDefault="002D1683" w:rsidP="00024E68">
          <w:pPr>
            <w:pStyle w:val="TOC2"/>
            <w:ind w:left="0"/>
            <w:jc w:val="both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32802557" w:history="1">
            <w:r w:rsidRPr="00AA08CB">
              <w:rPr>
                <w:rStyle w:val="Hyperlink"/>
                <w:rFonts w:ascii="Times New Roman" w:hAnsi="Times New Roman"/>
                <w:noProof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tab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AA08CB">
              <w:rPr>
                <w:rFonts w:ascii="Times New Roman" w:hAnsi="Times New Roman"/>
                <w:noProof/>
                <w:webHidden/>
              </w:rPr>
              <w:instrText xml:space="preserve"> PAGEREF _Toc232802557 \h </w:instrText>
            </w:r>
            <w:r w:rsidRPr="00AA08CB">
              <w:rPr>
                <w:rFonts w:ascii="Times New Roman" w:hAnsi="Times New Roman"/>
                <w:noProof/>
                <w:webHidden/>
              </w:rPr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AA08CB">
              <w:rPr>
                <w:rFonts w:ascii="Times New Roman" w:hAnsi="Times New Roman"/>
                <w:noProof/>
                <w:webHidden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2D455ACB" w14:textId="7EAB952F" w:rsidR="002D1683" w:rsidRPr="00AA08CB" w:rsidRDefault="002D1683" w:rsidP="00024E68">
          <w:pPr>
            <w:pStyle w:val="TOC2"/>
            <w:ind w:left="0"/>
            <w:jc w:val="both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32802558" w:history="1">
            <w:r w:rsidRPr="00AA08CB">
              <w:rPr>
                <w:rStyle w:val="Hyperlink"/>
                <w:rFonts w:ascii="Times New Roman" w:hAnsi="Times New Roman"/>
                <w:noProof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tab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AA08CB">
              <w:rPr>
                <w:rFonts w:ascii="Times New Roman" w:hAnsi="Times New Roman"/>
                <w:noProof/>
                <w:webHidden/>
              </w:rPr>
              <w:instrText xml:space="preserve"> PAGEREF _Toc232802558 \h </w:instrText>
            </w:r>
            <w:r w:rsidRPr="00AA08CB">
              <w:rPr>
                <w:rFonts w:ascii="Times New Roman" w:hAnsi="Times New Roman"/>
                <w:noProof/>
                <w:webHidden/>
              </w:rPr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AA08CB">
              <w:rPr>
                <w:rFonts w:ascii="Times New Roman" w:hAnsi="Times New Roman"/>
                <w:noProof/>
                <w:webHidden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8B8F7CF" w14:textId="36338321" w:rsidR="002D1683" w:rsidRPr="00AA08CB" w:rsidRDefault="002D1683" w:rsidP="00024E68">
          <w:pPr>
            <w:pStyle w:val="TOC2"/>
            <w:ind w:left="0"/>
            <w:jc w:val="both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32802559" w:history="1">
            <w:r w:rsidRPr="00AA08CB">
              <w:rPr>
                <w:rStyle w:val="Hyperlink"/>
                <w:rFonts w:ascii="Times New Roman" w:hAnsi="Times New Roman"/>
                <w:noProof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tab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AA08CB">
              <w:rPr>
                <w:rFonts w:ascii="Times New Roman" w:hAnsi="Times New Roman"/>
                <w:noProof/>
                <w:webHidden/>
              </w:rPr>
              <w:instrText xml:space="preserve"> PAGEREF _Toc232802559 \h </w:instrText>
            </w:r>
            <w:r w:rsidRPr="00AA08CB">
              <w:rPr>
                <w:rFonts w:ascii="Times New Roman" w:hAnsi="Times New Roman"/>
                <w:noProof/>
                <w:webHidden/>
              </w:rPr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AA08CB">
              <w:rPr>
                <w:rFonts w:ascii="Times New Roman" w:hAnsi="Times New Roman"/>
                <w:noProof/>
                <w:webHidden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4B07A6C7" w14:textId="66A95F4D" w:rsidR="002D1683" w:rsidRPr="00AA08CB" w:rsidRDefault="002D1683" w:rsidP="00024E68">
          <w:pPr>
            <w:pStyle w:val="TOC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2802560" w:history="1">
            <w:r w:rsidRPr="00AA08CB">
              <w:rPr>
                <w:rStyle w:val="Hyperlink"/>
                <w:rFonts w:ascii="Times New Roman" w:hAnsi="Times New Roman"/>
                <w:noProof/>
              </w:rPr>
              <w:t/>
            </w:r>
            <w:r w:rsidRPr="00AA08CB">
              <w:rPr>
                <w:noProof/>
                <w:webHidden/>
              </w:rPr>
              <w:tab/>
            </w:r>
            <w:r w:rsidRPr="00AA08CB">
              <w:rPr>
                <w:noProof/>
                <w:webHidden/>
              </w:rPr>
              <w:fldChar w:fldCharType="begin"/>
            </w:r>
            <w:r w:rsidRPr="00AA08CB">
              <w:rPr>
                <w:noProof/>
                <w:webHidden/>
              </w:rPr>
              <w:instrText xml:space="preserve"> PAGEREF _Toc232802560 \h </w:instrText>
            </w:r>
            <w:r w:rsidRPr="00AA08CB">
              <w:rPr>
                <w:noProof/>
                <w:webHidden/>
              </w:rPr>
            </w:r>
            <w:r w:rsidRPr="00AA08CB">
              <w:rPr>
                <w:noProof/>
                <w:webHidden/>
              </w:rPr>
              <w:fldChar w:fldCharType="separate"/>
            </w:r>
            <w:r w:rsidRPr="00AA08CB">
              <w:rPr>
                <w:noProof/>
                <w:webHidden/>
              </w:rPr>
              <w:t/>
            </w:r>
            <w:r w:rsidRPr="00AA08CB">
              <w:rPr>
                <w:noProof/>
                <w:webHidden/>
              </w:rPr>
              <w:fldChar w:fldCharType="end"/>
            </w:r>
          </w:hyperlink>
        </w:p>
        <w:p w14:paraId="7F95ED51" w14:textId="199642B4" w:rsidR="002D1683" w:rsidRPr="00AA08CB" w:rsidRDefault="002D1683" w:rsidP="00024E68">
          <w:pPr>
            <w:pStyle w:val="TOC2"/>
            <w:ind w:left="0"/>
            <w:jc w:val="both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32802561" w:history="1">
            <w:r w:rsidRPr="00AA08CB">
              <w:rPr>
                <w:rStyle w:val="Hyperlink"/>
                <w:rFonts w:ascii="Times New Roman" w:hAnsi="Times New Roman"/>
                <w:noProof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tab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AA08CB">
              <w:rPr>
                <w:rFonts w:ascii="Times New Roman" w:hAnsi="Times New Roman"/>
                <w:noProof/>
                <w:webHidden/>
              </w:rPr>
              <w:instrText xml:space="preserve"> PAGEREF _Toc232802561 \h </w:instrText>
            </w:r>
            <w:r w:rsidRPr="00AA08CB">
              <w:rPr>
                <w:rFonts w:ascii="Times New Roman" w:hAnsi="Times New Roman"/>
                <w:noProof/>
                <w:webHidden/>
              </w:rPr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AA08CB">
              <w:rPr>
                <w:rFonts w:ascii="Times New Roman" w:hAnsi="Times New Roman"/>
                <w:noProof/>
                <w:webHidden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35BE3224" w14:textId="1F3DEB0C" w:rsidR="002D1683" w:rsidRPr="00AA08CB" w:rsidRDefault="002D1683" w:rsidP="00024E68">
          <w:pPr>
            <w:pStyle w:val="TOC2"/>
            <w:ind w:left="0"/>
            <w:jc w:val="both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32802562" w:history="1">
            <w:r w:rsidRPr="00AA08CB">
              <w:rPr>
                <w:rStyle w:val="Hyperlink"/>
                <w:rFonts w:ascii="Times New Roman" w:hAnsi="Times New Roman"/>
                <w:noProof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tab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AA08CB">
              <w:rPr>
                <w:rFonts w:ascii="Times New Roman" w:hAnsi="Times New Roman"/>
                <w:noProof/>
                <w:webHidden/>
              </w:rPr>
              <w:instrText xml:space="preserve"> PAGEREF _Toc232802562 \h </w:instrText>
            </w:r>
            <w:r w:rsidRPr="00AA08CB">
              <w:rPr>
                <w:rFonts w:ascii="Times New Roman" w:hAnsi="Times New Roman"/>
                <w:noProof/>
                <w:webHidden/>
              </w:rPr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AA08CB">
              <w:rPr>
                <w:rFonts w:ascii="Times New Roman" w:hAnsi="Times New Roman"/>
                <w:noProof/>
                <w:webHidden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C965057" w14:textId="2CB4A365" w:rsidR="002D1683" w:rsidRPr="00AA08CB" w:rsidRDefault="002D1683" w:rsidP="00024E68">
          <w:pPr>
            <w:pStyle w:val="TOC2"/>
            <w:ind w:left="0"/>
            <w:jc w:val="both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32802563" w:history="1">
            <w:r w:rsidRPr="00AA08CB">
              <w:rPr>
                <w:rStyle w:val="Hyperlink"/>
                <w:rFonts w:ascii="Times New Roman" w:hAnsi="Times New Roman"/>
                <w:noProof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tab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AA08CB">
              <w:rPr>
                <w:rFonts w:ascii="Times New Roman" w:hAnsi="Times New Roman"/>
                <w:noProof/>
                <w:webHidden/>
              </w:rPr>
              <w:instrText xml:space="preserve"> PAGEREF _Toc232802563 \h </w:instrText>
            </w:r>
            <w:r w:rsidRPr="00AA08CB">
              <w:rPr>
                <w:rFonts w:ascii="Times New Roman" w:hAnsi="Times New Roman"/>
                <w:noProof/>
                <w:webHidden/>
              </w:rPr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AA08CB">
              <w:rPr>
                <w:rFonts w:ascii="Times New Roman" w:hAnsi="Times New Roman"/>
                <w:noProof/>
                <w:webHidden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0D94FB77" w14:textId="2B74E165" w:rsidR="002D1683" w:rsidRPr="00AA08CB" w:rsidRDefault="002D1683" w:rsidP="00024E68">
          <w:pPr>
            <w:pStyle w:val="TOC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2802564" w:history="1">
            <w:r w:rsidRPr="00AA08CB">
              <w:rPr>
                <w:rStyle w:val="Hyperlink"/>
                <w:rFonts w:ascii="Times New Roman" w:hAnsi="Times New Roman"/>
                <w:noProof/>
              </w:rPr>
              <w:t/>
            </w:r>
            <w:r w:rsidRPr="00AA08CB">
              <w:rPr>
                <w:noProof/>
                <w:webHidden/>
              </w:rPr>
              <w:tab/>
            </w:r>
            <w:r w:rsidRPr="00AA08CB">
              <w:rPr>
                <w:noProof/>
                <w:webHidden/>
              </w:rPr>
              <w:fldChar w:fldCharType="begin"/>
            </w:r>
            <w:r w:rsidRPr="00AA08CB">
              <w:rPr>
                <w:noProof/>
                <w:webHidden/>
              </w:rPr>
              <w:instrText xml:space="preserve"> PAGEREF _Toc232802564 \h </w:instrText>
            </w:r>
            <w:r w:rsidRPr="00AA08CB">
              <w:rPr>
                <w:noProof/>
                <w:webHidden/>
              </w:rPr>
            </w:r>
            <w:r w:rsidRPr="00AA08CB">
              <w:rPr>
                <w:noProof/>
                <w:webHidden/>
              </w:rPr>
              <w:fldChar w:fldCharType="separate"/>
            </w:r>
            <w:r w:rsidRPr="00AA08CB">
              <w:rPr>
                <w:noProof/>
                <w:webHidden/>
              </w:rPr>
              <w:t/>
            </w:r>
            <w:r w:rsidRPr="00AA08CB">
              <w:rPr>
                <w:noProof/>
                <w:webHidden/>
              </w:rPr>
              <w:fldChar w:fldCharType="end"/>
            </w:r>
          </w:hyperlink>
        </w:p>
        <w:p w14:paraId="277FC040" w14:textId="618A3F9D" w:rsidR="002D1683" w:rsidRPr="00AA08CB" w:rsidRDefault="002D1683" w:rsidP="00024E68">
          <w:pPr>
            <w:pStyle w:val="TOC2"/>
            <w:ind w:left="0"/>
            <w:jc w:val="both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32802565" w:history="1">
            <w:r w:rsidRPr="00AA08CB">
              <w:rPr>
                <w:rStyle w:val="Hyperlink"/>
                <w:rFonts w:ascii="Times New Roman" w:hAnsi="Times New Roman"/>
                <w:noProof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tab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AA08CB">
              <w:rPr>
                <w:rFonts w:ascii="Times New Roman" w:hAnsi="Times New Roman"/>
                <w:noProof/>
                <w:webHidden/>
              </w:rPr>
              <w:instrText xml:space="preserve"> PAGEREF _Toc232802565 \h </w:instrText>
            </w:r>
            <w:r w:rsidRPr="00AA08CB">
              <w:rPr>
                <w:rFonts w:ascii="Times New Roman" w:hAnsi="Times New Roman"/>
                <w:noProof/>
                <w:webHidden/>
              </w:rPr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AA08CB">
              <w:rPr>
                <w:rFonts w:ascii="Times New Roman" w:hAnsi="Times New Roman"/>
                <w:noProof/>
                <w:webHidden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6AFF1DAE" w14:textId="07CD165B" w:rsidR="002D1683" w:rsidRPr="00AA08CB" w:rsidRDefault="002D1683" w:rsidP="00024E68">
          <w:pPr>
            <w:pStyle w:val="TOC2"/>
            <w:ind w:left="0"/>
            <w:jc w:val="both"/>
            <w:rPr>
              <w:rFonts w:ascii="Times New Roman" w:hAnsi="Times New Roman"/>
              <w:noProof/>
              <w:kern w:val="2"/>
              <w:sz w:val="24"/>
              <w:szCs w:val="24"/>
              <w14:ligatures w14:val="standardContextual"/>
            </w:rPr>
          </w:pPr>
          <w:hyperlink w:anchor="_Toc232802566" w:history="1">
            <w:r w:rsidRPr="00AA08CB">
              <w:rPr>
                <w:rStyle w:val="Hyperlink"/>
                <w:rFonts w:ascii="Times New Roman" w:hAnsi="Times New Roman"/>
                <w:noProof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tab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begin"/>
            </w:r>
            <w:r w:rsidRPr="00AA08CB">
              <w:rPr>
                <w:rFonts w:ascii="Times New Roman" w:hAnsi="Times New Roman"/>
                <w:noProof/>
                <w:webHidden/>
              </w:rPr>
              <w:instrText xml:space="preserve"> PAGEREF _Toc232802566 \h </w:instrText>
            </w:r>
            <w:r w:rsidRPr="00AA08CB">
              <w:rPr>
                <w:rFonts w:ascii="Times New Roman" w:hAnsi="Times New Roman"/>
                <w:noProof/>
                <w:webHidden/>
              </w:rPr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separate"/>
            </w:r>
            <w:r w:rsidRPr="00AA08CB">
              <w:rPr>
                <w:rFonts w:ascii="Times New Roman" w:hAnsi="Times New Roman"/>
                <w:noProof/>
                <w:webHidden/>
              </w:rPr>
              <w:t/>
            </w:r>
            <w:r w:rsidRPr="00AA08CB">
              <w:rPr>
                <w:rFonts w:ascii="Times New Roman" w:hAnsi="Times New Roman"/>
                <w:noProof/>
                <w:webHidden/>
              </w:rPr>
              <w:fldChar w:fldCharType="end"/>
            </w:r>
          </w:hyperlink>
        </w:p>
        <w:p w14:paraId="58229286" w14:textId="51AF06F0" w:rsidR="002D1683" w:rsidRPr="00AA08CB" w:rsidRDefault="002D1683" w:rsidP="00024E68">
          <w:pPr>
            <w:pStyle w:val="TOC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2802567" w:history="1">
            <w:r w:rsidRPr="00AA08CB">
              <w:rPr>
                <w:rStyle w:val="Hyperlink"/>
                <w:rFonts w:ascii="Times New Roman" w:hAnsi="Times New Roman"/>
                <w:noProof/>
              </w:rPr>
              <w:t/>
            </w:r>
            <w:r w:rsidRPr="00AA08CB">
              <w:rPr>
                <w:noProof/>
                <w:webHidden/>
              </w:rPr>
              <w:tab/>
            </w:r>
            <w:r w:rsidRPr="00AA08CB">
              <w:rPr>
                <w:noProof/>
                <w:webHidden/>
              </w:rPr>
              <w:fldChar w:fldCharType="begin"/>
            </w:r>
            <w:r w:rsidRPr="00AA08CB">
              <w:rPr>
                <w:noProof/>
                <w:webHidden/>
              </w:rPr>
              <w:instrText xml:space="preserve"> PAGEREF _Toc232802567 \h </w:instrText>
            </w:r>
            <w:r w:rsidRPr="00AA08CB">
              <w:rPr>
                <w:noProof/>
                <w:webHidden/>
              </w:rPr>
            </w:r>
            <w:r w:rsidRPr="00AA08CB">
              <w:rPr>
                <w:noProof/>
                <w:webHidden/>
              </w:rPr>
              <w:fldChar w:fldCharType="separate"/>
            </w:r>
            <w:r w:rsidRPr="00AA08CB">
              <w:rPr>
                <w:noProof/>
                <w:webHidden/>
              </w:rPr>
              <w:t/>
            </w:r>
            <w:r w:rsidRPr="00AA08CB">
              <w:rPr>
                <w:noProof/>
                <w:webHidden/>
              </w:rPr>
              <w:fldChar w:fldCharType="end"/>
            </w:r>
          </w:hyperlink>
        </w:p>
        <w:p w14:paraId="415BF153" w14:textId="105E6D8F" w:rsidR="002D1683" w:rsidRPr="00AA08CB" w:rsidRDefault="002D1683" w:rsidP="00024E68">
          <w:pPr>
            <w:pStyle w:val="TOC1"/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32802568" w:history="1">
            <w:r w:rsidRPr="00AA08CB">
              <w:rPr>
                <w:rStyle w:val="Hyperlink"/>
                <w:rFonts w:ascii="Times New Roman" w:hAnsi="Times New Roman"/>
                <w:noProof/>
              </w:rPr>
              <w:t/>
            </w:r>
            <w:r w:rsidRPr="00AA08CB">
              <w:rPr>
                <w:noProof/>
                <w:webHidden/>
              </w:rPr>
              <w:tab/>
            </w:r>
            <w:r w:rsidRPr="00AA08CB">
              <w:rPr>
                <w:noProof/>
                <w:webHidden/>
              </w:rPr>
              <w:fldChar w:fldCharType="begin"/>
            </w:r>
            <w:r w:rsidRPr="00AA08CB">
              <w:rPr>
                <w:noProof/>
                <w:webHidden/>
              </w:rPr>
              <w:instrText xml:space="preserve"> PAGEREF _Toc232802568 \h </w:instrText>
            </w:r>
            <w:r w:rsidRPr="00AA08CB">
              <w:rPr>
                <w:noProof/>
                <w:webHidden/>
              </w:rPr>
            </w:r>
            <w:r w:rsidRPr="00AA08CB">
              <w:rPr>
                <w:noProof/>
                <w:webHidden/>
              </w:rPr>
              <w:fldChar w:fldCharType="separate"/>
            </w:r>
            <w:r w:rsidRPr="00AA08CB">
              <w:rPr>
                <w:noProof/>
                <w:webHidden/>
              </w:rPr>
              <w:t/>
            </w:r>
            <w:r w:rsidRPr="00AA08CB">
              <w:rPr>
                <w:noProof/>
                <w:webHidden/>
              </w:rPr>
              <w:fldChar w:fldCharType="end"/>
            </w:r>
          </w:hyperlink>
        </w:p>
        <w:p w14:paraId="20105396" w14:textId="119DD3C1" w:rsidR="002D1683" w:rsidRPr="00AA08CB" w:rsidRDefault="002D1683" w:rsidP="00024E68">
          <w:pPr>
            <w:jc w:val="both"/>
            <w:rPr>
              <w:rFonts w:ascii="Times New Roman" w:hAnsi="Times New Roman" w:cs="Times New Roman"/>
            </w:rPr>
          </w:pPr>
          <w:r w:rsidRPr="00AA08CB">
            <w:rPr>
              <w:rFonts w:ascii="Times New Roman" w:hAnsi="Times New Roman" w:cs="Times New Roman"/>
              <w:b/>
              <w:bCs/>
              <w:noProof/>
            </w:rPr>
            <w:fldChar w:fldCharType="end"/>
          </w:r>
        </w:p>
      </w:sdtContent>
    </w:sdt>
    <w:p w14:paraId="26EABF1E" w14:textId="77777777" w:rsidR="00E238FE" w:rsidRPr="00AA08CB" w:rsidRDefault="00E238FE" w:rsidP="00024E68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60F03DCE" w14:textId="77777777" w:rsidR="00E238FE" w:rsidRPr="00AA08CB" w:rsidRDefault="00E238FE" w:rsidP="00024E68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77F82DDD" w14:textId="77777777" w:rsidR="00E238FE" w:rsidRDefault="00E238FE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317976AA" w14:textId="77777777" w:rsidR="00E238FE" w:rsidRPr="001B553B" w:rsidRDefault="00E238FE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716873BA" w14:textId="45D898C6" w:rsidR="00AA1DBF" w:rsidRPr="001B553B" w:rsidRDefault="001B553B" w:rsidP="00712902">
      <w:pPr>
        <w:pStyle w:val="Heading1"/>
      </w:pPr>
      <w:bookmarkStart w:id="1" w:name="_Toc232802549"/>
      <w:r w:rsidRPr="001B553B">
        <w:lastRenderedPageBreak/>
        <w:t>Abstract</w:t>
      </w:r>
      <w:bookmarkEnd w:id="1"/>
    </w:p>
    <w:p w14:paraId="6E620ACA" w14:textId="701D0156" w:rsidR="001B553B" w:rsidRPr="002E106B" w:rsidRDefault="001B553B" w:rsidP="00890508">
      <w:pPr>
        <w:spacing w:before="240" w:after="0" w:line="240" w:lineRule="auto"/>
        <w:jc w:val="both"/>
        <w:rPr>
          <w:rFonts w:ascii="Traditional Arabic" w:hAnsi="Traditional Arabic" w:cs="Traditional Arabic"/>
        </w:rPr>
      </w:pPr>
      <w:r w:rsidRPr="002E106B">
        <w:rPr>
          <w:rFonts w:ascii="Traditional Arabic" w:hAnsi="Traditional Arabic" w:cs="Traditional Arabic" w:hint="cs"/>
        </w:rPr>
        <w:t>This article examines why two</w:t>
      </w:r>
      <w:r w:rsidR="005E50E2">
        <w:rPr>
          <w:rFonts w:ascii="Traditional Arabic" w:hAnsi="Traditional Arabic" w:cs="Traditional Arabic"/>
        </w:rPr>
        <w:t xml:space="preserve"> </w:t>
      </w:r>
      <w:r w:rsidRPr="002E106B">
        <w:rPr>
          <w:rFonts w:ascii="Traditional Arabic" w:hAnsi="Traditional Arabic" w:cs="Traditional Arabic" w:hint="cs"/>
        </w:rPr>
        <w:t>different political systems</w:t>
      </w:r>
      <w:r w:rsidR="006564B1">
        <w:rPr>
          <w:rFonts w:ascii="Traditional Arabic" w:hAnsi="Traditional Arabic" w:cs="Traditional Arabic"/>
        </w:rPr>
        <w:t xml:space="preserve"> which</w:t>
      </w:r>
      <w:r w:rsidR="00CD1578">
        <w:rPr>
          <w:rFonts w:ascii="Traditional Arabic" w:hAnsi="Traditional Arabic" w:cs="Traditional Arabic"/>
        </w:rPr>
        <w:t xml:space="preserve"> </w:t>
      </w:r>
      <w:r w:rsidR="006564B1">
        <w:rPr>
          <w:rFonts w:ascii="Traditional Arabic" w:hAnsi="Traditional Arabic" w:cs="Traditional Arabic"/>
        </w:rPr>
        <w:t>are,</w:t>
      </w:r>
      <w:r w:rsidRPr="002E106B">
        <w:rPr>
          <w:rFonts w:ascii="Traditional Arabic" w:hAnsi="Traditional Arabic" w:cs="Traditional Arabic" w:hint="cs"/>
        </w:rPr>
        <w:t xml:space="preserve"> the United Kingdom</w:t>
      </w:r>
      <w:r w:rsidR="00AE06EC" w:rsidRPr="002E106B">
        <w:rPr>
          <w:rFonts w:ascii="Traditional Arabic" w:hAnsi="Traditional Arabic" w:cs="Traditional Arabic" w:hint="cs"/>
        </w:rPr>
        <w:t xml:space="preserve"> </w:t>
      </w:r>
      <w:r w:rsidRPr="002E106B">
        <w:rPr>
          <w:rFonts w:ascii="Traditional Arabic" w:hAnsi="Traditional Arabic" w:cs="Traditional Arabic" w:hint="cs"/>
        </w:rPr>
        <w:t>and the Alliance of Sahel States (AES) both chose to exit their respective regional</w:t>
      </w:r>
      <w:r w:rsidR="00AE06EC" w:rsidRPr="002E106B">
        <w:rPr>
          <w:rFonts w:ascii="Traditional Arabic" w:hAnsi="Traditional Arabic" w:cs="Traditional Arabic" w:hint="cs"/>
        </w:rPr>
        <w:t xml:space="preserve"> </w:t>
      </w:r>
      <w:r w:rsidRPr="002E106B">
        <w:rPr>
          <w:rFonts w:ascii="Traditional Arabic" w:hAnsi="Traditional Arabic" w:cs="Traditional Arabic" w:hint="cs"/>
        </w:rPr>
        <w:t>blocs. Drawing on neo-functionalist spillback theory and post-functionalist identity</w:t>
      </w:r>
      <w:r w:rsidR="00AE06EC" w:rsidRPr="002E106B">
        <w:rPr>
          <w:rFonts w:ascii="Traditional Arabic" w:hAnsi="Traditional Arabic" w:cs="Traditional Arabic" w:hint="cs"/>
        </w:rPr>
        <w:t xml:space="preserve"> </w:t>
      </w:r>
      <w:r w:rsidRPr="002E106B">
        <w:rPr>
          <w:rFonts w:ascii="Traditional Arabic" w:hAnsi="Traditional Arabic" w:cs="Traditional Arabic" w:hint="cs"/>
        </w:rPr>
        <w:t>frameworks, it employs a Most Different Systems Design (MDSD) to compare Brexit</w:t>
      </w:r>
      <w:r w:rsidR="00AE06EC" w:rsidRPr="002E106B">
        <w:rPr>
          <w:rFonts w:ascii="Traditional Arabic" w:hAnsi="Traditional Arabic" w:cs="Traditional Arabic" w:hint="cs"/>
        </w:rPr>
        <w:t xml:space="preserve"> (</w:t>
      </w:r>
      <w:r w:rsidRPr="002E106B">
        <w:rPr>
          <w:rFonts w:ascii="Traditional Arabic" w:hAnsi="Traditional Arabic" w:cs="Traditional Arabic" w:hint="cs"/>
        </w:rPr>
        <w:t>2016–2020) and the AES withdrawal from ECOWAS (2024–2025). Despite pronounced</w:t>
      </w:r>
      <w:r w:rsidR="00AE06EC" w:rsidRPr="002E106B">
        <w:rPr>
          <w:rFonts w:ascii="Traditional Arabic" w:hAnsi="Traditional Arabic" w:cs="Traditional Arabic" w:hint="cs"/>
        </w:rPr>
        <w:t xml:space="preserve"> </w:t>
      </w:r>
      <w:r w:rsidRPr="002E106B">
        <w:rPr>
          <w:rFonts w:ascii="Traditional Arabic" w:hAnsi="Traditional Arabic" w:cs="Traditional Arabic" w:hint="cs"/>
        </w:rPr>
        <w:t>differences in governance type, economic capacity, geographic position, and institutional</w:t>
      </w:r>
      <w:r w:rsidR="00AE06EC" w:rsidRPr="002E106B">
        <w:rPr>
          <w:rFonts w:ascii="Traditional Arabic" w:hAnsi="Traditional Arabic" w:cs="Traditional Arabic" w:hint="cs"/>
        </w:rPr>
        <w:t xml:space="preserve"> </w:t>
      </w:r>
      <w:r w:rsidRPr="002E106B">
        <w:rPr>
          <w:rFonts w:ascii="Traditional Arabic" w:hAnsi="Traditional Arabic" w:cs="Traditional Arabic" w:hint="cs"/>
        </w:rPr>
        <w:t xml:space="preserve">context, both exits were preceded by elite perceptions that continued </w:t>
      </w:r>
      <w:r w:rsidR="00E238FE">
        <w:rPr>
          <w:rFonts w:ascii="Traditional Arabic" w:hAnsi="Traditional Arabic" w:cs="Traditional Arabic"/>
        </w:rPr>
        <w:t>membership-imposed</w:t>
      </w:r>
      <w:r w:rsidR="00AE06EC" w:rsidRPr="002E106B">
        <w:rPr>
          <w:rFonts w:ascii="Traditional Arabic" w:hAnsi="Traditional Arabic" w:cs="Traditional Arabic" w:hint="cs"/>
        </w:rPr>
        <w:t xml:space="preserve"> </w:t>
      </w:r>
      <w:r w:rsidRPr="002E106B">
        <w:rPr>
          <w:rFonts w:ascii="Traditional Arabic" w:hAnsi="Traditional Arabic" w:cs="Traditional Arabic" w:hint="cs"/>
        </w:rPr>
        <w:t xml:space="preserve">costs on sovereignty and security that outweighed the benefits of integration. </w:t>
      </w:r>
      <w:r w:rsidR="000D56D5">
        <w:rPr>
          <w:rFonts w:ascii="Traditional Arabic" w:hAnsi="Traditional Arabic" w:cs="Traditional Arabic"/>
        </w:rPr>
        <w:t xml:space="preserve">This study </w:t>
      </w:r>
      <w:r w:rsidRPr="002E106B">
        <w:rPr>
          <w:rFonts w:ascii="Traditional Arabic" w:hAnsi="Traditional Arabic" w:cs="Traditional Arabic" w:hint="cs"/>
        </w:rPr>
        <w:t>argues that similar exit logics can</w:t>
      </w:r>
      <w:r w:rsidR="00AE6027" w:rsidRPr="002E106B">
        <w:rPr>
          <w:rFonts w:ascii="Traditional Arabic" w:hAnsi="Traditional Arabic" w:cs="Traditional Arabic" w:hint="cs"/>
        </w:rPr>
        <w:t xml:space="preserve"> </w:t>
      </w:r>
      <w:r w:rsidRPr="002E106B">
        <w:rPr>
          <w:rFonts w:ascii="Traditional Arabic" w:hAnsi="Traditional Arabic" w:cs="Traditional Arabic" w:hint="cs"/>
        </w:rPr>
        <w:t>recur across vastly different systems when ruling elites conclude that a regional bloc has</w:t>
      </w:r>
      <w:r w:rsidR="00AE6027" w:rsidRPr="002E106B">
        <w:rPr>
          <w:rFonts w:ascii="Traditional Arabic" w:hAnsi="Traditional Arabic" w:cs="Traditional Arabic" w:hint="cs"/>
        </w:rPr>
        <w:t xml:space="preserve"> </w:t>
      </w:r>
      <w:r w:rsidRPr="002E106B">
        <w:rPr>
          <w:rFonts w:ascii="Traditional Arabic" w:hAnsi="Traditional Arabic" w:cs="Traditional Arabic" w:hint="cs"/>
        </w:rPr>
        <w:t>become an obstacle rather than an asset to state survival. The findings suggest that</w:t>
      </w:r>
      <w:r w:rsidR="00AE6027" w:rsidRPr="002E106B">
        <w:rPr>
          <w:rFonts w:ascii="Traditional Arabic" w:hAnsi="Traditional Arabic" w:cs="Traditional Arabic" w:hint="cs"/>
        </w:rPr>
        <w:t xml:space="preserve"> </w:t>
      </w:r>
      <w:r w:rsidRPr="002E106B">
        <w:rPr>
          <w:rFonts w:ascii="Traditional Arabic" w:hAnsi="Traditional Arabic" w:cs="Traditional Arabic" w:hint="cs"/>
        </w:rPr>
        <w:t>neo-functionalist spillback, when combined with post-functionalist attention to domestic</w:t>
      </w:r>
      <w:r w:rsidR="00AE6027" w:rsidRPr="002E106B">
        <w:rPr>
          <w:rFonts w:ascii="Traditional Arabic" w:hAnsi="Traditional Arabic" w:cs="Traditional Arabic" w:hint="cs"/>
        </w:rPr>
        <w:t xml:space="preserve"> </w:t>
      </w:r>
      <w:r w:rsidRPr="002E106B">
        <w:rPr>
          <w:rFonts w:ascii="Traditional Arabic" w:hAnsi="Traditional Arabic" w:cs="Traditional Arabic" w:hint="cs"/>
        </w:rPr>
        <w:t>identity politics, offers a more complete account of regional exit than either framework</w:t>
      </w:r>
      <w:r w:rsidR="00AE6027" w:rsidRPr="002E106B">
        <w:rPr>
          <w:rFonts w:ascii="Traditional Arabic" w:hAnsi="Traditional Arabic" w:cs="Traditional Arabic" w:hint="cs"/>
        </w:rPr>
        <w:t xml:space="preserve"> </w:t>
      </w:r>
      <w:r w:rsidRPr="002E106B">
        <w:rPr>
          <w:rFonts w:ascii="Traditional Arabic" w:hAnsi="Traditional Arabic" w:cs="Traditional Arabic" w:hint="cs"/>
        </w:rPr>
        <w:t>provides alone, and points toward a comparative research agenda on the conditions under</w:t>
      </w:r>
      <w:r w:rsidR="00AE6027" w:rsidRPr="002E106B">
        <w:rPr>
          <w:rFonts w:ascii="Traditional Arabic" w:hAnsi="Traditional Arabic" w:cs="Traditional Arabic" w:hint="cs"/>
        </w:rPr>
        <w:t xml:space="preserve"> </w:t>
      </w:r>
      <w:r w:rsidRPr="002E106B">
        <w:rPr>
          <w:rFonts w:ascii="Traditional Arabic" w:hAnsi="Traditional Arabic" w:cs="Traditional Arabic" w:hint="cs"/>
        </w:rPr>
        <w:t>which disintegration becomes the rational political choice.</w:t>
      </w:r>
    </w:p>
    <w:p w14:paraId="643CBA3A" w14:textId="57E550D1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Keywords: regional disintegration, neo-functionalism, spillback, Brexit, ECOWAS,</w:t>
      </w:r>
      <w:r w:rsidR="00745251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Alliance of Sahel States, comparative regionalism, sovereignty</w:t>
      </w:r>
    </w:p>
    <w:p w14:paraId="75BDCE73" w14:textId="11532C41" w:rsidR="001B553B" w:rsidRPr="001B553B" w:rsidRDefault="001B553B" w:rsidP="00D43DD1">
      <w:pPr>
        <w:pStyle w:val="Heading2"/>
        <w:rPr>
          <w:rFonts w:ascii="Times New Roman" w:hAnsi="Times New Roman" w:cs="Times New Roman"/>
        </w:rPr>
      </w:pPr>
      <w:bookmarkStart w:id="2" w:name="_Toc232802550"/>
      <w:r w:rsidRPr="00E938C7">
        <w:rPr>
          <w:rStyle w:val="Heading1Char"/>
        </w:rPr>
        <w:t>Introduction</w:t>
      </w:r>
      <w:bookmarkEnd w:id="2"/>
    </w:p>
    <w:p w14:paraId="15C7C701" w14:textId="20E9B8F6" w:rsidR="00A00C1F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Regional integration is frequently theorised as a largely forward-moving process in which</w:t>
      </w:r>
      <w:r w:rsidR="00745251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 xml:space="preserve">cooperation, once begun, generates incentives for its own deepening. Yet </w:t>
      </w:r>
      <w:r w:rsidR="0003368F">
        <w:rPr>
          <w:rFonts w:ascii="Times New Roman" w:hAnsi="Times New Roman" w:cs="Times New Roman"/>
        </w:rPr>
        <w:t xml:space="preserve">the past 20years </w:t>
      </w:r>
      <w:r w:rsidRPr="001B553B">
        <w:rPr>
          <w:rFonts w:ascii="Times New Roman" w:hAnsi="Times New Roman" w:cs="Times New Roman"/>
        </w:rPr>
        <w:t>has produced two of the most consequential acts of regional</w:t>
      </w:r>
      <w:r w:rsidR="003163FA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withdrawal in modern history: the United Kingdom's departure from the European Union and</w:t>
      </w:r>
      <w:r w:rsidR="0003368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the near-simultaneous exit of Burkina Faso, Mali, and Niger from the Economic Community</w:t>
      </w:r>
      <w:r w:rsidR="009A1D60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of West African States. These two cases present an analytical puzzle. The UK is a</w:t>
      </w:r>
      <w:r w:rsidR="009A1D60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consolidated liberal democracy with a highly developed post-industrial economy and a long</w:t>
      </w:r>
      <w:r w:rsidR="009A1D60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history of institutional engagement with European governance. The AES states are military-led</w:t>
      </w:r>
      <w:r w:rsidR="009A1D60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transitional regimes, among the least economically developed countries in the world, embedded</w:t>
      </w:r>
      <w:r w:rsidR="009A1D60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in a different regional architecture, and facing an altogether different set of security</w:t>
      </w:r>
      <w:r w:rsidR="002F0CF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challenges. By nearly every structural measure, these cases are maximally dissimilar</w:t>
      </w:r>
      <w:r w:rsidR="00B90512">
        <w:rPr>
          <w:rFonts w:ascii="Times New Roman" w:hAnsi="Times New Roman" w:cs="Times New Roman"/>
        </w:rPr>
        <w:t xml:space="preserve"> and</w:t>
      </w:r>
      <w:r w:rsidRPr="001B553B">
        <w:rPr>
          <w:rFonts w:ascii="Times New Roman" w:hAnsi="Times New Roman" w:cs="Times New Roman"/>
        </w:rPr>
        <w:t xml:space="preserve"> yet both ended in voluntary regional exit.</w:t>
      </w:r>
      <w:r w:rsidR="00B90512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The central question this article addresses is: what explains the recurrence of regional</w:t>
      </w:r>
      <w:r w:rsidR="00B90512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disintegration across systems so different in structure, governance, and context? And what</w:t>
      </w:r>
      <w:r w:rsidR="00AE6632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 xml:space="preserve">does this recurrence reveal about the limits of regional </w:t>
      </w:r>
      <w:r w:rsidRPr="001B553B">
        <w:rPr>
          <w:rFonts w:ascii="Times New Roman" w:hAnsi="Times New Roman" w:cs="Times New Roman"/>
        </w:rPr>
        <w:lastRenderedPageBreak/>
        <w:t>integration theory as it is</w:t>
      </w:r>
      <w:r w:rsidR="00AE6632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currently formulated? Existing scholar</w:t>
      </w:r>
      <w:r w:rsidR="00AE6632">
        <w:rPr>
          <w:rFonts w:ascii="Times New Roman" w:hAnsi="Times New Roman" w:cs="Times New Roman"/>
        </w:rPr>
        <w:t>s</w:t>
      </w:r>
      <w:r w:rsidRPr="001B553B">
        <w:rPr>
          <w:rFonts w:ascii="Times New Roman" w:hAnsi="Times New Roman" w:cs="Times New Roman"/>
        </w:rPr>
        <w:t xml:space="preserve"> on disintegration ha</w:t>
      </w:r>
      <w:r w:rsidR="00A15B84">
        <w:rPr>
          <w:rFonts w:ascii="Times New Roman" w:hAnsi="Times New Roman" w:cs="Times New Roman"/>
        </w:rPr>
        <w:t xml:space="preserve">ve often </w:t>
      </w:r>
      <w:r w:rsidRPr="001B553B">
        <w:rPr>
          <w:rFonts w:ascii="Times New Roman" w:hAnsi="Times New Roman" w:cs="Times New Roman"/>
        </w:rPr>
        <w:t>focus</w:t>
      </w:r>
      <w:r w:rsidR="00A15B84">
        <w:rPr>
          <w:rFonts w:ascii="Times New Roman" w:hAnsi="Times New Roman" w:cs="Times New Roman"/>
        </w:rPr>
        <w:t>ed</w:t>
      </w:r>
      <w:r w:rsidRPr="001B553B">
        <w:rPr>
          <w:rFonts w:ascii="Times New Roman" w:hAnsi="Times New Roman" w:cs="Times New Roman"/>
        </w:rPr>
        <w:t xml:space="preserve"> either on</w:t>
      </w:r>
      <w:r w:rsidR="00A15B84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the European context</w:t>
      </w:r>
      <w:r w:rsidR="00A274DD">
        <w:rPr>
          <w:rFonts w:ascii="Times New Roman" w:hAnsi="Times New Roman" w:cs="Times New Roman"/>
        </w:rPr>
        <w:t>,</w:t>
      </w:r>
      <w:r w:rsidRPr="001B553B">
        <w:rPr>
          <w:rFonts w:ascii="Times New Roman" w:hAnsi="Times New Roman" w:cs="Times New Roman"/>
        </w:rPr>
        <w:t xml:space="preserve"> drawing on Brexit as its primary referent or on African regional</w:t>
      </w:r>
      <w:r w:rsidR="00A274DD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dynamics in isolation (Vollaard, 2014; Schmitter &amp; Lefkofridi, 2016). Comparative studies</w:t>
      </w:r>
      <w:r w:rsidR="00A274DD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that place a European democratic exit alongside a West African military-led withdrawal are</w:t>
      </w:r>
      <w:r w:rsidR="00E41E5C">
        <w:rPr>
          <w:rFonts w:ascii="Times New Roman" w:hAnsi="Times New Roman" w:cs="Times New Roman"/>
        </w:rPr>
        <w:t xml:space="preserve"> </w:t>
      </w:r>
      <w:r w:rsidR="002B42D3">
        <w:rPr>
          <w:rFonts w:ascii="Times New Roman" w:hAnsi="Times New Roman" w:cs="Times New Roman"/>
        </w:rPr>
        <w:t>mostly</w:t>
      </w:r>
      <w:r w:rsidRPr="001B553B">
        <w:rPr>
          <w:rFonts w:ascii="Times New Roman" w:hAnsi="Times New Roman" w:cs="Times New Roman"/>
        </w:rPr>
        <w:t xml:space="preserve"> absent from </w:t>
      </w:r>
      <w:r w:rsidR="00616F46">
        <w:rPr>
          <w:rFonts w:ascii="Times New Roman" w:hAnsi="Times New Roman" w:cs="Times New Roman"/>
        </w:rPr>
        <w:t>academic</w:t>
      </w:r>
      <w:r w:rsidRPr="001B553B">
        <w:rPr>
          <w:rFonts w:ascii="Times New Roman" w:hAnsi="Times New Roman" w:cs="Times New Roman"/>
        </w:rPr>
        <w:t xml:space="preserve"> literature. This study fills that gap by treating the two cases not</w:t>
      </w:r>
      <w:r w:rsidR="000E1C97">
        <w:rPr>
          <w:rFonts w:ascii="Times New Roman" w:hAnsi="Times New Roman" w:cs="Times New Roman"/>
        </w:rPr>
        <w:t xml:space="preserve"> as</w:t>
      </w:r>
      <w:r w:rsidRPr="001B553B">
        <w:rPr>
          <w:rFonts w:ascii="Times New Roman" w:hAnsi="Times New Roman" w:cs="Times New Roman"/>
        </w:rPr>
        <w:t xml:space="preserve"> opposites to be contrasted but as a pair that can </w:t>
      </w:r>
      <w:r w:rsidR="00A25DF6">
        <w:rPr>
          <w:rFonts w:ascii="Times New Roman" w:hAnsi="Times New Roman" w:cs="Times New Roman"/>
        </w:rPr>
        <w:t>shed light on the topic</w:t>
      </w:r>
      <w:r w:rsidR="000E1C97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of disintegration operating beneath structurally different surfaces.</w:t>
      </w:r>
    </w:p>
    <w:p w14:paraId="2D3798F0" w14:textId="297A4D0D" w:rsidR="001B553B" w:rsidRPr="006E3B3E" w:rsidRDefault="001B553B" w:rsidP="006E3B3E">
      <w:pPr>
        <w:pStyle w:val="Heading1"/>
      </w:pPr>
      <w:bookmarkStart w:id="3" w:name="_Toc232802551"/>
      <w:r w:rsidRPr="00712902">
        <w:t>Theoretical Framework</w:t>
      </w:r>
      <w:bookmarkEnd w:id="3"/>
    </w:p>
    <w:p w14:paraId="48F2FC70" w14:textId="0E4D1F6B" w:rsidR="001B553B" w:rsidRPr="00D43DD1" w:rsidRDefault="001B553B" w:rsidP="00712902">
      <w:pPr>
        <w:pStyle w:val="Heading2"/>
      </w:pPr>
      <w:r w:rsidRPr="001B553B">
        <w:t xml:space="preserve"> </w:t>
      </w:r>
      <w:bookmarkStart w:id="4" w:name="_Toc232802552"/>
      <w:r w:rsidRPr="00D43DD1">
        <w:t>From Functionalism to Neo-Functionalism</w:t>
      </w:r>
      <w:bookmarkEnd w:id="4"/>
    </w:p>
    <w:p w14:paraId="2CCB38F1" w14:textId="77777777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4974B539" w14:textId="0E955244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The intellectual starting point for any theory of regional integration is David Mitrany's</w:t>
      </w:r>
      <w:r w:rsidR="00152C88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functionalist thesis. Writing in the mid-twentieth century, Mitrany argued that as technical</w:t>
      </w:r>
      <w:r w:rsidR="005C3A67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and economic problems grew too complex to be solved within state boundaries, states would</w:t>
      </w:r>
      <w:r w:rsidR="005C3A67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develop specialised cooperative institutions to manage them. Over time, this</w:t>
      </w:r>
      <w:r w:rsidR="00F126BB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cooperation</w:t>
      </w:r>
      <w:r w:rsidR="003B2B95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generate</w:t>
      </w:r>
      <w:r w:rsidR="003B2B95">
        <w:rPr>
          <w:rFonts w:ascii="Times New Roman" w:hAnsi="Times New Roman" w:cs="Times New Roman"/>
        </w:rPr>
        <w:t>s</w:t>
      </w:r>
      <w:r w:rsidRPr="001B553B">
        <w:rPr>
          <w:rFonts w:ascii="Times New Roman" w:hAnsi="Times New Roman" w:cs="Times New Roman"/>
        </w:rPr>
        <w:t xml:space="preserve"> increasing interdependence, building trust and gradually</w:t>
      </w:r>
      <w:r w:rsidR="00EE11C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diminishing of interstate conflict. Crucially, Mitrany envisaged this as an</w:t>
      </w:r>
      <w:r w:rsidR="00EE11C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apolitical process: cooperation would expand through a logic of technical necessity rather</w:t>
      </w:r>
      <w:r w:rsidR="00450284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than deliberate political design (Dougherty &amp; Pfalzgraff, 2001, p. 512).</w:t>
      </w:r>
    </w:p>
    <w:p w14:paraId="2C6A1069" w14:textId="3E05C515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Neo-functionalism revised this account in important ways. Ernst Haas,</w:t>
      </w:r>
      <w:r w:rsidR="00450284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drawing on the early</w:t>
      </w:r>
      <w:r w:rsidR="00450284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experience of European integration, argued that cooperation was not driven by technical</w:t>
      </w:r>
      <w:r w:rsidR="00450284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logics alone but by political elites who saw concrete material benefits in removing trade</w:t>
      </w:r>
      <w:r w:rsidR="00450284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barriers and extending regional frameworks. Integration was therefore inherently political</w:t>
      </w:r>
      <w:r w:rsidR="00450284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from the outset. Haas introduced the concept of "spillover" to describe the process by which</w:t>
      </w:r>
      <w:r w:rsidR="00DB309C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cooperation in one sector generated pressures</w:t>
      </w:r>
      <w:r w:rsidR="00524751">
        <w:rPr>
          <w:rFonts w:ascii="Times New Roman" w:hAnsi="Times New Roman" w:cs="Times New Roman"/>
        </w:rPr>
        <w:t xml:space="preserve">, </w:t>
      </w:r>
      <w:r w:rsidRPr="001B553B">
        <w:rPr>
          <w:rFonts w:ascii="Times New Roman" w:hAnsi="Times New Roman" w:cs="Times New Roman"/>
        </w:rPr>
        <w:t xml:space="preserve">functional, political, and cultivated </w:t>
      </w:r>
      <w:r w:rsidR="00D1031D">
        <w:rPr>
          <w:rFonts w:ascii="Times New Roman" w:hAnsi="Times New Roman" w:cs="Times New Roman"/>
        </w:rPr>
        <w:t xml:space="preserve">to </w:t>
      </w:r>
      <w:r w:rsidRPr="001B553B">
        <w:rPr>
          <w:rFonts w:ascii="Times New Roman" w:hAnsi="Times New Roman" w:cs="Times New Roman"/>
        </w:rPr>
        <w:t>extend cooperation into adjacent sectors (Haas, 1958). Joseph Nye subsequently elaborated</w:t>
      </w:r>
      <w:r w:rsidR="00D1031D">
        <w:rPr>
          <w:rFonts w:ascii="Times New Roman" w:hAnsi="Times New Roman" w:cs="Times New Roman"/>
        </w:rPr>
        <w:t xml:space="preserve"> this</w:t>
      </w:r>
      <w:r w:rsidRPr="001B553B">
        <w:rPr>
          <w:rFonts w:ascii="Times New Roman" w:hAnsi="Times New Roman" w:cs="Times New Roman"/>
        </w:rPr>
        <w:t xml:space="preserve"> framework by adding mechanisms such as rising transaction flows, deliberate linkage</w:t>
      </w:r>
      <w:r w:rsidR="00EE5794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formation, elite socialisation, and the role of external actors in shaping regional dynamics</w:t>
      </w:r>
      <w:r w:rsidR="00EE5794">
        <w:rPr>
          <w:rFonts w:ascii="Times New Roman" w:hAnsi="Times New Roman" w:cs="Times New Roman"/>
        </w:rPr>
        <w:t xml:space="preserve"> (</w:t>
      </w:r>
      <w:r w:rsidRPr="001B553B">
        <w:rPr>
          <w:rFonts w:ascii="Times New Roman" w:hAnsi="Times New Roman" w:cs="Times New Roman"/>
        </w:rPr>
        <w:t>Nye, 1971).</w:t>
      </w:r>
    </w:p>
    <w:p w14:paraId="13D64996" w14:textId="1D86F519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lastRenderedPageBreak/>
        <w:t>Neo-functionalism departs from Mitrany most significantly in recognising that integration</w:t>
      </w:r>
      <w:r w:rsidR="007173D1">
        <w:rPr>
          <w:rFonts w:ascii="Times New Roman" w:hAnsi="Times New Roman" w:cs="Times New Roman"/>
        </w:rPr>
        <w:t xml:space="preserve"> is</w:t>
      </w:r>
      <w:r w:rsidRPr="001B553B">
        <w:rPr>
          <w:rFonts w:ascii="Times New Roman" w:hAnsi="Times New Roman" w:cs="Times New Roman"/>
        </w:rPr>
        <w:t xml:space="preserve"> neither linear nor irreversible. Schmitter and Lefkofridi (2016) </w:t>
      </w:r>
      <w:proofErr w:type="spellStart"/>
      <w:r w:rsidRPr="001B553B">
        <w:rPr>
          <w:rFonts w:ascii="Times New Roman" w:hAnsi="Times New Roman" w:cs="Times New Roman"/>
        </w:rPr>
        <w:t>formalised</w:t>
      </w:r>
      <w:proofErr w:type="spellEnd"/>
      <w:r w:rsidRPr="001B553B">
        <w:rPr>
          <w:rFonts w:ascii="Times New Roman" w:hAnsi="Times New Roman" w:cs="Times New Roman"/>
        </w:rPr>
        <w:t xml:space="preserve"> the concept</w:t>
      </w:r>
      <w:r w:rsidR="00BB089D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of "spillback" to denote the reverse movement: a contraction of cooperation in response to</w:t>
      </w:r>
      <w:r w:rsidR="00BB089D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institutional failure or elite disillusionment. Spillback is</w:t>
      </w:r>
      <w:r w:rsidR="00BB089D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active degradation of cooperation, which can cascade across interdependent policy domains.</w:t>
      </w:r>
      <w:r w:rsidR="00BB089D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This is the mechanism that this article uses as its primary theoretical lens, because it</w:t>
      </w:r>
      <w:r w:rsidR="00BB089D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accounts for integration's reversibility in a way that early functionalism could not.</w:t>
      </w:r>
      <w:r w:rsidR="007C60A2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 xml:space="preserve">Why neo-functionalist spillback rather than competing theories? </w:t>
      </w:r>
    </w:p>
    <w:p w14:paraId="6DA36793" w14:textId="3CE6D359" w:rsidR="001B553B" w:rsidRPr="00D43DD1" w:rsidRDefault="001B553B" w:rsidP="00712902">
      <w:pPr>
        <w:pStyle w:val="Heading2"/>
      </w:pPr>
      <w:bookmarkStart w:id="5" w:name="_Toc232802553"/>
      <w:r w:rsidRPr="00D43DD1">
        <w:t>Post-Functionalism as a Complementary Lens</w:t>
      </w:r>
      <w:bookmarkEnd w:id="5"/>
    </w:p>
    <w:p w14:paraId="7E7487C2" w14:textId="77777777" w:rsidR="00CF5A4A" w:rsidRPr="00CF5A4A" w:rsidRDefault="00CF5A4A" w:rsidP="001B553B">
      <w:pPr>
        <w:spacing w:before="240"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32D8D0FD" w14:textId="0026B94E" w:rsidR="00CF5A4A" w:rsidRPr="001B553B" w:rsidRDefault="001B553B" w:rsidP="00CF5A4A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Neo-functionalism, in its classical form, underweights the role of identity, public</w:t>
      </w:r>
      <w:r w:rsidR="00EC32E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sentiment, and domestic political competition in shaping integration outcomes. This lacuna</w:t>
      </w:r>
      <w:r w:rsidR="00EC32E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is addressed by post-functionalist theory. Hooghe and Marks (2009) argue that integration</w:t>
      </w:r>
      <w:r w:rsidR="00EC32E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initially proceeds under a "permissive consensus": citizens and domestic elites allow</w:t>
      </w:r>
      <w:r w:rsidR="007E1886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integration to develop quietly because it is broadly beneficial and politically low-salience.</w:t>
      </w:r>
      <w:r w:rsidR="007E1886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 xml:space="preserve">As integration </w:t>
      </w:r>
      <w:r w:rsidR="00374B8F">
        <w:rPr>
          <w:rFonts w:ascii="Times New Roman" w:hAnsi="Times New Roman" w:cs="Times New Roman"/>
        </w:rPr>
        <w:t>expands</w:t>
      </w:r>
      <w:r w:rsidRPr="001B553B">
        <w:rPr>
          <w:rFonts w:ascii="Times New Roman" w:hAnsi="Times New Roman" w:cs="Times New Roman"/>
        </w:rPr>
        <w:t>, it</w:t>
      </w:r>
      <w:r w:rsidR="00720DF8">
        <w:rPr>
          <w:rFonts w:ascii="Times New Roman" w:hAnsi="Times New Roman" w:cs="Times New Roman"/>
        </w:rPr>
        <w:t xml:space="preserve"> starts</w:t>
      </w:r>
      <w:r w:rsidRPr="001B553B">
        <w:rPr>
          <w:rFonts w:ascii="Times New Roman" w:hAnsi="Times New Roman" w:cs="Times New Roman"/>
        </w:rPr>
        <w:t xml:space="preserve"> imp</w:t>
      </w:r>
      <w:r w:rsidR="00374B8F">
        <w:rPr>
          <w:rFonts w:ascii="Times New Roman" w:hAnsi="Times New Roman" w:cs="Times New Roman"/>
        </w:rPr>
        <w:t>os</w:t>
      </w:r>
      <w:r w:rsidR="00720DF8">
        <w:rPr>
          <w:rFonts w:ascii="Times New Roman" w:hAnsi="Times New Roman" w:cs="Times New Roman"/>
        </w:rPr>
        <w:t>ing</w:t>
      </w:r>
      <w:r w:rsidRPr="001B553B">
        <w:rPr>
          <w:rFonts w:ascii="Times New Roman" w:hAnsi="Times New Roman" w:cs="Times New Roman"/>
        </w:rPr>
        <w:t xml:space="preserve"> on sovereignty, redistributes</w:t>
      </w:r>
      <w:r w:rsidR="007E1886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 xml:space="preserve">costs and benefits in visible ways, and </w:t>
      </w:r>
      <w:r w:rsidR="00D0793C" w:rsidRPr="001B553B">
        <w:rPr>
          <w:rFonts w:ascii="Times New Roman" w:hAnsi="Times New Roman" w:cs="Times New Roman"/>
        </w:rPr>
        <w:t>trigger’s</w:t>
      </w:r>
      <w:r w:rsidRPr="001B553B">
        <w:rPr>
          <w:rFonts w:ascii="Times New Roman" w:hAnsi="Times New Roman" w:cs="Times New Roman"/>
        </w:rPr>
        <w:t xml:space="preserve"> identity anxieties among populations who</w:t>
      </w:r>
      <w:r w:rsidR="007E1886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come to associate the regional bloc with lost self-determination. At this point, integration</w:t>
      </w:r>
      <w:r w:rsidR="007E1886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becomes politically contested, producing what Hooghe and Marks (2009) term "constraining</w:t>
      </w:r>
      <w:r w:rsidR="007E1886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dissensus": domestic actors define limits on acceptable levels of supranational authority</w:t>
      </w:r>
      <w:r w:rsidR="007E1886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and place pressure on political elites to resist further integration or to seek exit.</w:t>
      </w:r>
      <w:r w:rsidR="006A1EAD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Post-functionalism is incorporated here not as an alternative to neo-functionalism but as</w:t>
      </w:r>
      <w:r w:rsidR="007E1886">
        <w:rPr>
          <w:rFonts w:ascii="Times New Roman" w:hAnsi="Times New Roman" w:cs="Times New Roman"/>
        </w:rPr>
        <w:t xml:space="preserve"> a</w:t>
      </w:r>
      <w:r w:rsidRPr="001B553B">
        <w:rPr>
          <w:rFonts w:ascii="Times New Roman" w:hAnsi="Times New Roman" w:cs="Times New Roman"/>
        </w:rPr>
        <w:t xml:space="preserve"> complementary layer of explanation. While spillback theory explains the structural logic</w:t>
      </w:r>
      <w:r w:rsidR="00EE5BA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of elite decisions, post-functionalism helps explain why those decisions carry domestic</w:t>
      </w:r>
      <w:r w:rsidR="00EE5BA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political legitimacy and why exit can be framed, in very different political contexts, as</w:t>
      </w:r>
      <w:r w:rsidR="00EE5BA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 xml:space="preserve">an act of national liberation. </w:t>
      </w:r>
    </w:p>
    <w:p w14:paraId="0551C10A" w14:textId="69A91BC2" w:rsidR="001B553B" w:rsidRPr="00D43DD1" w:rsidRDefault="001B553B" w:rsidP="00712902">
      <w:pPr>
        <w:pStyle w:val="Heading2"/>
      </w:pPr>
      <w:bookmarkStart w:id="6" w:name="_Toc232802554"/>
      <w:r w:rsidRPr="00D43DD1">
        <w:t>Regional Disintegration: Conceptual Framework</w:t>
      </w:r>
      <w:bookmarkEnd w:id="6"/>
    </w:p>
    <w:p w14:paraId="2C675C66" w14:textId="77777777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7708467A" w14:textId="4FF4901D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Regional integration, as Karl Deutsch argued, is a process by which geographically</w:t>
      </w:r>
      <w:r w:rsidR="0098333B">
        <w:rPr>
          <w:rFonts w:ascii="Times New Roman" w:hAnsi="Times New Roman" w:cs="Times New Roman"/>
        </w:rPr>
        <w:t xml:space="preserve"> similar</w:t>
      </w:r>
      <w:r w:rsidR="00C7314E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states construct arrangements</w:t>
      </w:r>
      <w:r w:rsidR="00A56285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 xml:space="preserve">to make war among them </w:t>
      </w:r>
      <w:r w:rsidR="00684150">
        <w:rPr>
          <w:rFonts w:ascii="Times New Roman" w:hAnsi="Times New Roman" w:cs="Times New Roman"/>
        </w:rPr>
        <w:t>less likely</w:t>
      </w:r>
      <w:r w:rsidRPr="001B553B">
        <w:rPr>
          <w:rFonts w:ascii="Times New Roman" w:hAnsi="Times New Roman" w:cs="Times New Roman"/>
        </w:rPr>
        <w:t xml:space="preserve"> (De Lombaerde et al., 2021). Haas </w:t>
      </w:r>
      <w:r w:rsidRPr="001B553B">
        <w:rPr>
          <w:rFonts w:ascii="Times New Roman" w:hAnsi="Times New Roman" w:cs="Times New Roman"/>
        </w:rPr>
        <w:lastRenderedPageBreak/>
        <w:t>defined it more narrowly as "the</w:t>
      </w:r>
      <w:r w:rsidR="00CF3AAE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political unification of nations through non-coercive efforts" (De Lombaerde et</w:t>
      </w:r>
      <w:r w:rsidR="00CF3AAE">
        <w:rPr>
          <w:rFonts w:ascii="Times New Roman" w:hAnsi="Times New Roman" w:cs="Times New Roman"/>
        </w:rPr>
        <w:t xml:space="preserve"> al</w:t>
      </w:r>
      <w:r w:rsidRPr="001B553B">
        <w:rPr>
          <w:rFonts w:ascii="Times New Roman" w:hAnsi="Times New Roman" w:cs="Times New Roman"/>
        </w:rPr>
        <w:t>., 2021). Regional disintegration is the reversal of this process: the deliberate reduction</w:t>
      </w:r>
      <w:r w:rsidR="00CF3AAE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or dissolution of the shared legal, economic, or political arrangements that constitute</w:t>
      </w:r>
      <w:r w:rsidR="00CF3AAE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regional membership. It is important to note that disintegration is not synonymous with</w:t>
      </w:r>
      <w:r w:rsidR="006E4AD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institutional failure; it refers specifically to the active withdrawal</w:t>
      </w:r>
      <w:r w:rsidR="006E4ADF">
        <w:rPr>
          <w:rFonts w:ascii="Times New Roman" w:hAnsi="Times New Roman" w:cs="Times New Roman"/>
        </w:rPr>
        <w:t xml:space="preserve"> of</w:t>
      </w:r>
      <w:r w:rsidRPr="001B553B">
        <w:rPr>
          <w:rFonts w:ascii="Times New Roman" w:hAnsi="Times New Roman" w:cs="Times New Roman"/>
        </w:rPr>
        <w:t xml:space="preserve"> a member state's participation in the integrative framework.</w:t>
      </w:r>
      <w:r w:rsidR="006E4AD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Contemporary scholarship has identified three analytically distinct dimensions through which</w:t>
      </w:r>
      <w:r w:rsidR="00286128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disintegration unfolds (Vollaard, 2014; Schimmelfennig &amp; Schmahl, 2024):</w:t>
      </w:r>
    </w:p>
    <w:p w14:paraId="1384A90A" w14:textId="77777777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79AA7487" w14:textId="31CFF8D3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Sectoral disintegration</w:t>
      </w:r>
      <w:r w:rsidR="00286128">
        <w:rPr>
          <w:rFonts w:ascii="Times New Roman" w:hAnsi="Times New Roman" w:cs="Times New Roman"/>
        </w:rPr>
        <w:t>:</w:t>
      </w:r>
      <w:r w:rsidRPr="001B553B">
        <w:rPr>
          <w:rFonts w:ascii="Times New Roman" w:hAnsi="Times New Roman" w:cs="Times New Roman"/>
        </w:rPr>
        <w:t xml:space="preserve"> refers to a reduction in the range of policy areas coordinated</w:t>
      </w:r>
      <w:r w:rsidR="00286128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at the regional level. Rather than a sudden rupture, it typically involves the gradual</w:t>
      </w:r>
      <w:r w:rsidR="00286128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withdrawal of a member state from shared initiatives across one sector after another.</w:t>
      </w:r>
      <w:r w:rsidR="00286128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Brexit exhibited this pattern clearly: the UK did not simply leave the EU on a single date</w:t>
      </w:r>
      <w:r w:rsidR="00286128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but progressively disentangled itself from the single market, the Erasmus student exchange</w:t>
      </w:r>
      <w:r w:rsidR="00286128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programme, fisheries agreements, and judicial frameworks over several years. The AES</w:t>
      </w:r>
      <w:r w:rsidR="00286128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withdrawal similarly involved a phased dismantling of security protocols, anti-terrorism</w:t>
      </w:r>
      <w:r w:rsidR="00286128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cooperation, and travel zone arrangements with ECOWAS</w:t>
      </w:r>
      <w:r w:rsidR="00286128">
        <w:rPr>
          <w:rFonts w:ascii="Times New Roman" w:hAnsi="Times New Roman" w:cs="Times New Roman"/>
        </w:rPr>
        <w:t>,</w:t>
      </w:r>
      <w:r w:rsidRPr="001B553B">
        <w:rPr>
          <w:rFonts w:ascii="Times New Roman" w:hAnsi="Times New Roman" w:cs="Times New Roman"/>
        </w:rPr>
        <w:t xml:space="preserve"> a process that was considerably</w:t>
      </w:r>
      <w:r w:rsidR="00286128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less orderly but no less sequential.</w:t>
      </w:r>
    </w:p>
    <w:p w14:paraId="1B45688A" w14:textId="77777777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2343E949" w14:textId="38C8BA13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Vertical disintegration</w:t>
      </w:r>
      <w:r w:rsidR="00401159">
        <w:rPr>
          <w:rFonts w:ascii="Times New Roman" w:hAnsi="Times New Roman" w:cs="Times New Roman"/>
        </w:rPr>
        <w:t>:</w:t>
      </w:r>
      <w:r w:rsidRPr="001B553B">
        <w:rPr>
          <w:rFonts w:ascii="Times New Roman" w:hAnsi="Times New Roman" w:cs="Times New Roman"/>
        </w:rPr>
        <w:t xml:space="preserve"> refers to the reclamation by member states of governing authority</w:t>
      </w:r>
      <w:r w:rsidR="00401159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previously delegated to regional institutions. It typically follows a pattern of accumulated</w:t>
      </w:r>
      <w:r w:rsidR="00401159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institutional failure, as regional courts, legislative frameworks, and enforcement mechanisms</w:t>
      </w:r>
      <w:r w:rsidR="00401159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lose practical authority over national policy. The United Kingdom's repeal of the European</w:t>
      </w:r>
      <w:r w:rsidR="00401159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Communities Act 1972 and its removal from the jurisdiction of the European Court of Justice</w:t>
      </w:r>
      <w:r w:rsidR="00401159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are archetypal instances of vertical disintegration. The AES states engaged in a parallel</w:t>
      </w:r>
      <w:r w:rsidR="00401159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process by explicitly rejecting the authority of the ECOWAS Court of Justice and the</w:t>
      </w:r>
      <w:r w:rsidR="00401159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organisation's mediation mechanisms, which they characterised as instruments of external</w:t>
      </w:r>
      <w:r w:rsidR="00447C5A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interference rather than impartial governance.</w:t>
      </w:r>
    </w:p>
    <w:p w14:paraId="0E8D869C" w14:textId="6E858BEC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lastRenderedPageBreak/>
        <w:t>Horizontal disintegration</w:t>
      </w:r>
      <w:r w:rsidR="00633461">
        <w:rPr>
          <w:rFonts w:ascii="Times New Roman" w:hAnsi="Times New Roman" w:cs="Times New Roman"/>
        </w:rPr>
        <w:t xml:space="preserve">: </w:t>
      </w:r>
      <w:r w:rsidRPr="001B553B">
        <w:rPr>
          <w:rFonts w:ascii="Times New Roman" w:hAnsi="Times New Roman" w:cs="Times New Roman"/>
        </w:rPr>
        <w:t xml:space="preserve">refers to a </w:t>
      </w:r>
      <w:r w:rsidR="00B853FB">
        <w:rPr>
          <w:rFonts w:ascii="Times New Roman" w:hAnsi="Times New Roman" w:cs="Times New Roman"/>
        </w:rPr>
        <w:t>reduction</w:t>
      </w:r>
      <w:r w:rsidRPr="001B553B">
        <w:rPr>
          <w:rFonts w:ascii="Times New Roman" w:hAnsi="Times New Roman" w:cs="Times New Roman"/>
        </w:rPr>
        <w:t xml:space="preserve"> in the regional institution's</w:t>
      </w:r>
      <w:r w:rsidR="00633461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geopolitical reach, most directly measured by the territorial</w:t>
      </w:r>
      <w:r w:rsidR="00DE51D0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weight that</w:t>
      </w:r>
      <w:r w:rsidR="00633461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departs with an exiting member state. The UK's exit from the EU removed one of the bloc's</w:t>
      </w:r>
      <w:r w:rsidR="00633461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largest economies and its only permanent UN Security Council member at the time. The AES</w:t>
      </w:r>
      <w:r w:rsidR="00633461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 xml:space="preserve">withdrawal removed three states from ECOWAS, reducing the organisation's </w:t>
      </w:r>
      <w:r w:rsidR="0032455A">
        <w:rPr>
          <w:rFonts w:ascii="Times New Roman" w:hAnsi="Times New Roman" w:cs="Times New Roman"/>
        </w:rPr>
        <w:t>reach</w:t>
      </w:r>
      <w:r w:rsidRPr="001B553B">
        <w:rPr>
          <w:rFonts w:ascii="Times New Roman" w:hAnsi="Times New Roman" w:cs="Times New Roman"/>
        </w:rPr>
        <w:t xml:space="preserve"> by</w:t>
      </w:r>
      <w:r w:rsidR="00633461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a considerable margin and introducing a contiguous zone of non-membership in the heart of</w:t>
      </w:r>
      <w:r w:rsidR="00633461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West Africa.</w:t>
      </w:r>
    </w:p>
    <w:p w14:paraId="4E888566" w14:textId="6576471B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These three dimensions are not mutually exclusive; they typically occur simultaneously, with</w:t>
      </w:r>
      <w:r w:rsidR="00633461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sectoral withdrawal creating political conditions for vertical and horizontal disintegration</w:t>
      </w:r>
      <w:r w:rsidR="00633461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to follow. All three are observable in both cases examined here.</w:t>
      </w:r>
    </w:p>
    <w:p w14:paraId="66726DBF" w14:textId="60B3890B" w:rsidR="001B553B" w:rsidRDefault="001B553B" w:rsidP="00712902">
      <w:pPr>
        <w:pStyle w:val="Heading1"/>
      </w:pPr>
      <w:bookmarkStart w:id="7" w:name="_Toc232802555"/>
      <w:r w:rsidRPr="00633461">
        <w:t>Methodology</w:t>
      </w:r>
      <w:bookmarkEnd w:id="7"/>
    </w:p>
    <w:p w14:paraId="2176D953" w14:textId="77777777" w:rsidR="004262B0" w:rsidRPr="001B553B" w:rsidRDefault="004262B0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638EB1A3" w14:textId="1582B0A8" w:rsidR="001B553B" w:rsidRPr="00712902" w:rsidRDefault="001B553B" w:rsidP="00712902">
      <w:pPr>
        <w:pStyle w:val="Heading2"/>
      </w:pPr>
      <w:bookmarkStart w:id="8" w:name="_Toc232802556"/>
      <w:r w:rsidRPr="00712902">
        <w:t>Research Design</w:t>
      </w:r>
      <w:bookmarkEnd w:id="8"/>
    </w:p>
    <w:p w14:paraId="7441B671" w14:textId="77777777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30C95D0F" w14:textId="36895CC4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This study employs a Most Different Systems Design (MDSD), a form of small-N comparative</w:t>
      </w:r>
      <w:r w:rsidR="004262B0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analysis derived from John Stuart Mill's method of agreement (Mills et al., 2010).</w:t>
      </w:r>
      <w:r w:rsidR="003A620D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MDSD selects cases that</w:t>
      </w:r>
      <w:r w:rsidR="004262B0">
        <w:rPr>
          <w:rFonts w:ascii="Times New Roman" w:hAnsi="Times New Roman" w:cs="Times New Roman"/>
        </w:rPr>
        <w:t xml:space="preserve"> are</w:t>
      </w:r>
      <w:r w:rsidRPr="001B553B">
        <w:rPr>
          <w:rFonts w:ascii="Times New Roman" w:hAnsi="Times New Roman" w:cs="Times New Roman"/>
        </w:rPr>
        <w:t xml:space="preserve"> maximally different on structural variables while sharing</w:t>
      </w:r>
      <w:r w:rsidR="003A620D">
        <w:rPr>
          <w:rFonts w:ascii="Times New Roman" w:hAnsi="Times New Roman" w:cs="Times New Roman"/>
        </w:rPr>
        <w:t xml:space="preserve"> relative</w:t>
      </w:r>
      <w:r w:rsidRPr="001B553B">
        <w:rPr>
          <w:rFonts w:ascii="Times New Roman" w:hAnsi="Times New Roman" w:cs="Times New Roman"/>
        </w:rPr>
        <w:t xml:space="preserve"> outcome. If cases</w:t>
      </w:r>
      <w:r w:rsidR="004262B0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that differ in almost every observable dimension nevertheless share an outcome, then any</w:t>
      </w:r>
      <w:r w:rsidR="004262B0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remaining</w:t>
      </w:r>
      <w:r w:rsidR="004262B0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commonalities become candidates for causal explanation.</w:t>
      </w:r>
    </w:p>
    <w:p w14:paraId="23F7152A" w14:textId="76CBE983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The MDSD is appropriate here because the two cases</w:t>
      </w:r>
      <w:r w:rsidR="000406D3">
        <w:rPr>
          <w:rFonts w:ascii="Times New Roman" w:hAnsi="Times New Roman" w:cs="Times New Roman"/>
        </w:rPr>
        <w:t xml:space="preserve">, </w:t>
      </w:r>
      <w:r w:rsidRPr="001B553B">
        <w:rPr>
          <w:rFonts w:ascii="Times New Roman" w:hAnsi="Times New Roman" w:cs="Times New Roman"/>
        </w:rPr>
        <w:t>the United Kingdom and the Alliance of</w:t>
      </w:r>
      <w:r w:rsidR="000406D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Sahel States are structurally</w:t>
      </w:r>
      <w:r w:rsidR="00431204">
        <w:rPr>
          <w:rFonts w:ascii="Times New Roman" w:hAnsi="Times New Roman" w:cs="Times New Roman"/>
        </w:rPr>
        <w:t xml:space="preserve"> different</w:t>
      </w:r>
      <w:r w:rsidRPr="001B553B">
        <w:rPr>
          <w:rFonts w:ascii="Times New Roman" w:hAnsi="Times New Roman" w:cs="Times New Roman"/>
        </w:rPr>
        <w:t xml:space="preserve"> in governance type, economic profile, geographic</w:t>
      </w:r>
      <w:r w:rsidR="000406D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position, security environment, and institutional context, but share the outcome of voluntary</w:t>
      </w:r>
      <w:r w:rsidR="00317487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regional exit.</w:t>
      </w:r>
      <w:r w:rsidR="00317487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 xml:space="preserve">The </w:t>
      </w:r>
      <w:r w:rsidR="006F4EE3">
        <w:rPr>
          <w:rFonts w:ascii="Times New Roman" w:hAnsi="Times New Roman" w:cs="Times New Roman"/>
        </w:rPr>
        <w:t>relative</w:t>
      </w:r>
      <w:r w:rsidRPr="001B553B">
        <w:rPr>
          <w:rFonts w:ascii="Times New Roman" w:hAnsi="Times New Roman" w:cs="Times New Roman"/>
        </w:rPr>
        <w:t xml:space="preserve"> variable is regional disintegration, </w:t>
      </w:r>
      <w:r w:rsidR="008928AE" w:rsidRPr="001B553B">
        <w:rPr>
          <w:rFonts w:ascii="Times New Roman" w:hAnsi="Times New Roman" w:cs="Times New Roman"/>
        </w:rPr>
        <w:t>operationalized</w:t>
      </w:r>
      <w:r w:rsidRPr="001B553B">
        <w:rPr>
          <w:rFonts w:ascii="Times New Roman" w:hAnsi="Times New Roman" w:cs="Times New Roman"/>
        </w:rPr>
        <w:t xml:space="preserve"> as the</w:t>
      </w:r>
      <w:r w:rsidR="00317487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 xml:space="preserve">formal withdrawal of a state from a regional integration framework. </w:t>
      </w:r>
    </w:p>
    <w:p w14:paraId="21FF2BA4" w14:textId="54C6CC1E" w:rsidR="00494C76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The comparison is structured around three analytical dimensions drawn from the theoretical</w:t>
      </w:r>
      <w:r w:rsidR="009111AB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framework: (a) the sovereignist rationale articulated by each exiting party; (b) the</w:t>
      </w:r>
      <w:r w:rsidR="009111AB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structural differences between the two cases, which MDSD requires to be identified and</w:t>
      </w:r>
      <w:r w:rsidR="009111AB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eliminated as</w:t>
      </w:r>
      <w:r w:rsidR="009111AB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lastRenderedPageBreak/>
        <w:t>explanatory factors; and (c) the causal convergence</w:t>
      </w:r>
      <w:r w:rsidR="00494C76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 xml:space="preserve">the elements common </w:t>
      </w:r>
      <w:r w:rsidR="00494C76" w:rsidRPr="001B553B">
        <w:rPr>
          <w:rFonts w:ascii="Times New Roman" w:hAnsi="Times New Roman" w:cs="Times New Roman"/>
        </w:rPr>
        <w:t>to</w:t>
      </w:r>
      <w:r w:rsidR="00494C76">
        <w:rPr>
          <w:rFonts w:ascii="Times New Roman" w:hAnsi="Times New Roman" w:cs="Times New Roman"/>
        </w:rPr>
        <w:t xml:space="preserve"> </w:t>
      </w:r>
      <w:r w:rsidR="00494C76" w:rsidRPr="001B553B">
        <w:rPr>
          <w:rFonts w:ascii="Times New Roman" w:hAnsi="Times New Roman" w:cs="Times New Roman"/>
        </w:rPr>
        <w:t>both</w:t>
      </w:r>
      <w:r w:rsidRPr="001B553B">
        <w:rPr>
          <w:rFonts w:ascii="Times New Roman" w:hAnsi="Times New Roman" w:cs="Times New Roman"/>
        </w:rPr>
        <w:t xml:space="preserve"> cases that survived the elimination of structural variables.</w:t>
      </w:r>
    </w:p>
    <w:p w14:paraId="6EDEC222" w14:textId="41A1DA6A" w:rsidR="001B553B" w:rsidRDefault="001B553B" w:rsidP="00712902">
      <w:pPr>
        <w:pStyle w:val="Heading2"/>
      </w:pPr>
      <w:bookmarkStart w:id="9" w:name="_Toc232802557"/>
      <w:r w:rsidRPr="007D7EEB">
        <w:t>Case Selection</w:t>
      </w:r>
      <w:bookmarkEnd w:id="9"/>
    </w:p>
    <w:p w14:paraId="55F3EE15" w14:textId="77777777" w:rsidR="007D7EEB" w:rsidRDefault="007D7EEB" w:rsidP="001B553B">
      <w:pPr>
        <w:spacing w:before="240" w:after="0" w:line="360" w:lineRule="auto"/>
        <w:jc w:val="both"/>
        <w:rPr>
          <w:rFonts w:ascii="Times New Roman" w:hAnsi="Times New Roman" w:cs="Times New Roman"/>
          <w:u w:val="single"/>
        </w:rPr>
      </w:pPr>
    </w:p>
    <w:p w14:paraId="1BB797CD" w14:textId="711C1CB0" w:rsid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The United Kingdom and the Alliance of Sahel States were selected because they represent</w:t>
      </w:r>
      <w:r w:rsidR="007D7EEB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the most divergent possible instances of regional exit available for comparison. The UK</w:t>
      </w:r>
      <w:r w:rsidR="007D7EEB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exit the first invocation of Article 50 is the defining case in the literature on</w:t>
      </w:r>
      <w:r w:rsidR="004B548E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 xml:space="preserve">democratic disintegration from a supranational bloc. The AES exit </w:t>
      </w:r>
      <w:r w:rsidR="00B71268">
        <w:rPr>
          <w:rFonts w:ascii="Times New Roman" w:hAnsi="Times New Roman" w:cs="Times New Roman"/>
        </w:rPr>
        <w:t xml:space="preserve">is </w:t>
      </w:r>
      <w:r w:rsidRPr="001B553B">
        <w:rPr>
          <w:rFonts w:ascii="Times New Roman" w:hAnsi="Times New Roman" w:cs="Times New Roman"/>
        </w:rPr>
        <w:t>the first collective</w:t>
      </w:r>
      <w:r w:rsidR="005A04F6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withdrawal from ECOWAS represent</w:t>
      </w:r>
      <w:r w:rsidR="00B21B99">
        <w:rPr>
          <w:rFonts w:ascii="Times New Roman" w:hAnsi="Times New Roman" w:cs="Times New Roman"/>
        </w:rPr>
        <w:t xml:space="preserve">ing </w:t>
      </w:r>
      <w:r w:rsidRPr="001B553B">
        <w:rPr>
          <w:rFonts w:ascii="Times New Roman" w:hAnsi="Times New Roman" w:cs="Times New Roman"/>
        </w:rPr>
        <w:t>a qualitatively different phenomenon: a military-led,</w:t>
      </w:r>
      <w:r w:rsidR="005A04F6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sovereignty-driven exit from a primarily intergovernmental organisation in a context of</w:t>
      </w:r>
      <w:r w:rsidR="005A04F6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active armed conflict. No previous study has placed these two cases in direct</w:t>
      </w:r>
      <w:r w:rsidR="000E5F68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analytical dialogue.</w:t>
      </w:r>
      <w:r w:rsidR="000E5F68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The goal of this comparison is</w:t>
      </w:r>
      <w:r w:rsidR="00083A84">
        <w:rPr>
          <w:rFonts w:ascii="Times New Roman" w:hAnsi="Times New Roman" w:cs="Times New Roman"/>
        </w:rPr>
        <w:t xml:space="preserve"> to</w:t>
      </w:r>
      <w:r w:rsidRPr="001B553B">
        <w:rPr>
          <w:rFonts w:ascii="Times New Roman" w:hAnsi="Times New Roman" w:cs="Times New Roman"/>
        </w:rPr>
        <w:t xml:space="preserve"> identif</w:t>
      </w:r>
      <w:r w:rsidR="00083A84">
        <w:rPr>
          <w:rFonts w:ascii="Times New Roman" w:hAnsi="Times New Roman" w:cs="Times New Roman"/>
        </w:rPr>
        <w:t>y</w:t>
      </w:r>
      <w:r w:rsidRPr="001B553B">
        <w:rPr>
          <w:rFonts w:ascii="Times New Roman" w:hAnsi="Times New Roman" w:cs="Times New Roman"/>
        </w:rPr>
        <w:t xml:space="preserve"> a plausible recurring pattern that warrants further testing across additional cases.</w:t>
      </w:r>
    </w:p>
    <w:p w14:paraId="0D9CB84D" w14:textId="77777777" w:rsidR="006E3B3E" w:rsidRDefault="006E3B3E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35F6046F" w14:textId="77777777" w:rsidR="006E3B3E" w:rsidRPr="001B553B" w:rsidRDefault="006E3B3E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65062C97" w14:textId="56B57BA4" w:rsidR="001B553B" w:rsidRPr="000E5F68" w:rsidRDefault="001B553B" w:rsidP="00712902">
      <w:pPr>
        <w:pStyle w:val="Heading2"/>
      </w:pPr>
      <w:r w:rsidRPr="001B553B">
        <w:t xml:space="preserve"> </w:t>
      </w:r>
      <w:bookmarkStart w:id="10" w:name="_Toc232802558"/>
      <w:r w:rsidRPr="000E5F68">
        <w:t>Evidence Base</w:t>
      </w:r>
      <w:bookmarkEnd w:id="10"/>
    </w:p>
    <w:p w14:paraId="5F183DBC" w14:textId="77777777" w:rsidR="00B36819" w:rsidRDefault="00B36819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359FE3F1" w14:textId="04E82EBA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The analysis draws on multiple categories of evidence: treaty texts (the UK–EU Withdrawal Agreement 2020; the AES founding treaty 2023; ECOWAS</w:t>
      </w:r>
      <w:r w:rsidR="00B36819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declarations on the Niger coup 2023</w:t>
      </w:r>
      <w:r w:rsidR="00B36819">
        <w:rPr>
          <w:rFonts w:ascii="Times New Roman" w:hAnsi="Times New Roman" w:cs="Times New Roman"/>
        </w:rPr>
        <w:t>;</w:t>
      </w:r>
      <w:r w:rsidRPr="001B553B">
        <w:rPr>
          <w:rFonts w:ascii="Times New Roman" w:hAnsi="Times New Roman" w:cs="Times New Roman"/>
        </w:rPr>
        <w:t xml:space="preserve"> policy documents and governmental statements</w:t>
      </w:r>
      <w:r w:rsidR="00986423">
        <w:rPr>
          <w:rFonts w:ascii="Times New Roman" w:hAnsi="Times New Roman" w:cs="Times New Roman"/>
        </w:rPr>
        <w:t xml:space="preserve">. </w:t>
      </w:r>
      <w:r w:rsidRPr="001B553B">
        <w:rPr>
          <w:rFonts w:ascii="Times New Roman" w:hAnsi="Times New Roman" w:cs="Times New Roman"/>
        </w:rPr>
        <w:t>UK Government policy papers on Brexit and the Sahel development partnership; AES communiqués</w:t>
      </w:r>
      <w:r w:rsidR="0098642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on ECOWAS sanctions</w:t>
      </w:r>
      <w:r w:rsidR="00986423">
        <w:rPr>
          <w:rFonts w:ascii="Times New Roman" w:hAnsi="Times New Roman" w:cs="Times New Roman"/>
        </w:rPr>
        <w:t xml:space="preserve">; </w:t>
      </w:r>
      <w:r w:rsidRPr="001B553B">
        <w:rPr>
          <w:rFonts w:ascii="Times New Roman" w:hAnsi="Times New Roman" w:cs="Times New Roman"/>
        </w:rPr>
        <w:t>trade and macroeconomic data (IMF World Economic Outlook, 2026;</w:t>
      </w:r>
      <w:r w:rsidR="0098642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ECOWAS trade figures); security assessments (Institute for Economics &amp; Peace Global</w:t>
      </w:r>
      <w:r w:rsidR="0098642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Terrorism Index, 2024; EEAS regional security reports); and secondary scholarly literature</w:t>
      </w:r>
      <w:r w:rsidR="0098642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on neo-functionalism, post-functionalism, and comparative regionalism. Where claims about</w:t>
      </w:r>
      <w:r w:rsidR="0098642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elite motivations are made, they are grounded in documented statements or peer-reviewed</w:t>
      </w:r>
      <w:r w:rsidR="003C53F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secondary analysis rather than inference alone.</w:t>
      </w:r>
    </w:p>
    <w:p w14:paraId="42764696" w14:textId="502590B3" w:rsidR="001B553B" w:rsidRPr="003C53F3" w:rsidRDefault="001B553B" w:rsidP="00712902">
      <w:pPr>
        <w:pStyle w:val="Heading2"/>
      </w:pPr>
      <w:bookmarkStart w:id="11" w:name="_Toc232802559"/>
      <w:r w:rsidRPr="003C53F3">
        <w:lastRenderedPageBreak/>
        <w:t>Analytical Procedure</w:t>
      </w:r>
      <w:bookmarkEnd w:id="11"/>
    </w:p>
    <w:p w14:paraId="4E7EC793" w14:textId="77777777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1847A9D2" w14:textId="1FAA84AD" w:rsidR="001B553B" w:rsidRDefault="001B553B" w:rsidP="00E30BE6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A Structured Focused Comparison framework was applied operationally (George &amp; Bennett,</w:t>
      </w:r>
      <w:r w:rsidR="003C53F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2005). An identical set of theoretically grounded questions was posed to both cases: What</w:t>
      </w:r>
      <w:r w:rsidR="003C53F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was the stated rationale for exit? What institutional failures preceded the withdrawal? How</w:t>
      </w:r>
      <w:r w:rsidR="00E9104D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was sovereignty framed in the exit discourse? What were the observable dimensions of</w:t>
      </w:r>
      <w:r w:rsidR="00E30BE6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disintegration?</w:t>
      </w:r>
      <w:r w:rsidR="00E30BE6">
        <w:rPr>
          <w:rFonts w:ascii="Times New Roman" w:hAnsi="Times New Roman" w:cs="Times New Roman"/>
        </w:rPr>
        <w:t xml:space="preserve"> </w:t>
      </w:r>
    </w:p>
    <w:p w14:paraId="743657C8" w14:textId="77777777" w:rsidR="00E30BE6" w:rsidRDefault="00E30BE6" w:rsidP="00E30BE6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7FE36E39" w14:textId="77777777" w:rsidR="00304179" w:rsidRDefault="00304179" w:rsidP="00E30BE6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06FE8B23" w14:textId="77777777" w:rsidR="00304179" w:rsidRDefault="00304179" w:rsidP="00E30BE6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4874B8F4" w14:textId="77777777" w:rsidR="00304179" w:rsidRDefault="00304179" w:rsidP="00E30BE6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796F37B9" w14:textId="77777777" w:rsidR="00304179" w:rsidRPr="001B553B" w:rsidRDefault="00304179" w:rsidP="00E30BE6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32390E12" w14:textId="5CD51422" w:rsidR="00E30BE6" w:rsidRPr="00304179" w:rsidRDefault="001B553B" w:rsidP="00304179">
      <w:pPr>
        <w:pStyle w:val="Heading1"/>
      </w:pPr>
      <w:bookmarkStart w:id="12" w:name="_Toc232802560"/>
      <w:r w:rsidRPr="00712902">
        <w:t>Findings</w:t>
      </w:r>
      <w:bookmarkEnd w:id="12"/>
    </w:p>
    <w:p w14:paraId="4C88617B" w14:textId="5CA1474C" w:rsidR="001B553B" w:rsidRPr="001B553B" w:rsidRDefault="001B553B" w:rsidP="00712902">
      <w:pPr>
        <w:pStyle w:val="Heading2"/>
      </w:pPr>
      <w:bookmarkStart w:id="13" w:name="_Toc232802561"/>
      <w:r w:rsidRPr="001B553B">
        <w:t>Sovereignist Rationale</w:t>
      </w:r>
      <w:bookmarkEnd w:id="13"/>
    </w:p>
    <w:p w14:paraId="27107B8F" w14:textId="77777777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17610E9B" w14:textId="7B428399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The most clearly shared feature of both exits is the articulation of a sovereignist</w:t>
      </w:r>
      <w:r w:rsidR="007C0115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rationale by the exiting parties that is, an elite framing of departure as necessary to</w:t>
      </w:r>
      <w:r w:rsidR="007C0115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reclaim authority that the regional bloc had either appropriated or compromised.</w:t>
      </w:r>
      <w:r w:rsidR="007C0115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In the United Kingdom, this was expressed most forcefully in the official "Take Back Control"</w:t>
      </w:r>
      <w:r w:rsidR="000A785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campaign, which focused specifically on parliamentary sovereignty, immigration policy, and</w:t>
      </w:r>
      <w:r w:rsidR="000A785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 xml:space="preserve">the authority of UK courts over EU law. Fabbrini and </w:t>
      </w:r>
      <w:proofErr w:type="spellStart"/>
      <w:r w:rsidRPr="001B553B">
        <w:rPr>
          <w:rFonts w:ascii="Times New Roman" w:hAnsi="Times New Roman" w:cs="Times New Roman"/>
        </w:rPr>
        <w:t>Zgaga</w:t>
      </w:r>
      <w:proofErr w:type="spellEnd"/>
      <w:r w:rsidRPr="001B553B">
        <w:rPr>
          <w:rFonts w:ascii="Times New Roman" w:hAnsi="Times New Roman" w:cs="Times New Roman"/>
        </w:rPr>
        <w:t xml:space="preserve"> (2024) document the ideological</w:t>
      </w:r>
      <w:r w:rsidR="000A785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character of this position: a segment of the UK political elite had long viewed EU</w:t>
      </w:r>
      <w:r w:rsidR="000A785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institutional primacy as constitutionally incompatible with the Westminster model of</w:t>
      </w:r>
      <w:r w:rsidR="000A785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parliamentary sovereignty. This was not simply an economic calculation; it was a claim about</w:t>
      </w:r>
      <w:r w:rsidR="000A785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 xml:space="preserve">the proper boundaries of self-governance. The UK's removal from the </w:t>
      </w:r>
      <w:r w:rsidRPr="001B553B">
        <w:rPr>
          <w:rFonts w:ascii="Times New Roman" w:hAnsi="Times New Roman" w:cs="Times New Roman"/>
        </w:rPr>
        <w:lastRenderedPageBreak/>
        <w:t>jurisdiction of the</w:t>
      </w:r>
      <w:r w:rsidR="000A785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European Court of Justice and the repeal of the European Communities Act 1972 were the</w:t>
      </w:r>
      <w:r w:rsidR="000A785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institutional expressions of this position.</w:t>
      </w:r>
    </w:p>
    <w:p w14:paraId="3536A7A6" w14:textId="245051B6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In the AES states, a comparable sovereignist framing was applied in a very different</w:t>
      </w:r>
      <w:r w:rsidR="003E4187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political context. The military juntas in Burkina Faso, Mali, and Niger characterised</w:t>
      </w:r>
      <w:r w:rsidR="003E4187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ECOWAS as having departed from its founding principles and having become subject to</w:t>
      </w:r>
      <w:r w:rsidR="003E4187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manipulation by external powers, primarily France and, by extension, Western institutions</w:t>
      </w:r>
      <w:r w:rsidR="003E4187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more broadly (Oluyemi, 2025). Acho (2024) documents the three grounds on which the AES</w:t>
      </w:r>
      <w:r w:rsidR="003E4187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states justified their departure: the characterisation of ECOWAS sanctions as "illegal,</w:t>
      </w:r>
      <w:r w:rsidR="003E4187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illegitimate, inhumane and irresponsible"; the claimed failure of ECOWAS to provide</w:t>
      </w:r>
      <w:r w:rsidR="00C66655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adequate security assistance; and the argument that the organisation had become a vehicle</w:t>
      </w:r>
      <w:r w:rsidR="00C66655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for restricting, rather than protecting, the rights of their citizens. Whether these</w:t>
      </w:r>
      <w:r w:rsidR="00C66655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characterisations are empirically accurate is analytically distinct from the observation</w:t>
      </w:r>
      <w:r w:rsidR="00C66655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that they constitute a coherent sovereignist narrative used to legitimise exit</w:t>
      </w:r>
      <w:r w:rsidR="00731F76">
        <w:rPr>
          <w:rFonts w:ascii="Times New Roman" w:hAnsi="Times New Roman" w:cs="Times New Roman"/>
        </w:rPr>
        <w:t xml:space="preserve">, </w:t>
      </w:r>
      <w:r w:rsidRPr="001B553B">
        <w:rPr>
          <w:rFonts w:ascii="Times New Roman" w:hAnsi="Times New Roman" w:cs="Times New Roman"/>
        </w:rPr>
        <w:t>one that</w:t>
      </w:r>
      <w:r w:rsidR="00731F76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functionally mirrors the "reclaiming sovereignty" language deployed in the Brexit debate.</w:t>
      </w:r>
    </w:p>
    <w:p w14:paraId="363B350D" w14:textId="2FFB5911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What is analytically significant is not that the two rationales are identical in content</w:t>
      </w:r>
      <w:r w:rsidR="00731F76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but that they share the same structure: in both cases, the exiting elite framed continued</w:t>
      </w:r>
      <w:r w:rsidR="00731F76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membership as a constraint on legitimate self-governance and departure as a restoration of</w:t>
      </w:r>
      <w:r w:rsidR="00731F76">
        <w:rPr>
          <w:rFonts w:ascii="Times New Roman" w:hAnsi="Times New Roman" w:cs="Times New Roman"/>
        </w:rPr>
        <w:t xml:space="preserve"> it</w:t>
      </w:r>
      <w:r w:rsidR="005F7379">
        <w:rPr>
          <w:rFonts w:ascii="Times New Roman" w:hAnsi="Times New Roman" w:cs="Times New Roman"/>
        </w:rPr>
        <w:t xml:space="preserve">. </w:t>
      </w:r>
      <w:r w:rsidRPr="001B553B">
        <w:rPr>
          <w:rFonts w:ascii="Times New Roman" w:hAnsi="Times New Roman" w:cs="Times New Roman"/>
        </w:rPr>
        <w:t>This framing is consistent with what Hooghe and Marks (2009) identify as constraining</w:t>
      </w:r>
      <w:r w:rsidR="005F7379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dissensus</w:t>
      </w:r>
      <w:r w:rsidR="005F7379">
        <w:rPr>
          <w:rFonts w:ascii="Times New Roman" w:hAnsi="Times New Roman" w:cs="Times New Roman"/>
        </w:rPr>
        <w:t>:</w:t>
      </w:r>
      <w:r w:rsidRPr="001B553B">
        <w:rPr>
          <w:rFonts w:ascii="Times New Roman" w:hAnsi="Times New Roman" w:cs="Times New Roman"/>
        </w:rPr>
        <w:t xml:space="preserve"> the stage at which the political costs of integration become visible and</w:t>
      </w:r>
      <w:r w:rsidR="005B191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domestically mobilising.</w:t>
      </w:r>
    </w:p>
    <w:p w14:paraId="186F08FE" w14:textId="59FB1871" w:rsidR="001B553B" w:rsidRPr="005B191F" w:rsidRDefault="001B553B" w:rsidP="00712902">
      <w:pPr>
        <w:pStyle w:val="Heading2"/>
      </w:pPr>
      <w:bookmarkStart w:id="14" w:name="_Toc232802562"/>
      <w:r w:rsidRPr="005B191F">
        <w:t>Structural Differences</w:t>
      </w:r>
      <w:bookmarkEnd w:id="14"/>
    </w:p>
    <w:p w14:paraId="76B8C6DF" w14:textId="77777777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157F85E9" w14:textId="3315F670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The MDSD requires that the study explicitly identify and account for the structural</w:t>
      </w:r>
      <w:r w:rsidR="009D2448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differences between the two cases. These differences are substantial and are not dismissed</w:t>
      </w:r>
      <w:r w:rsidR="009D2448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here as irrelevant; they matter for understanding how exit was executed</w:t>
      </w:r>
      <w:r w:rsidR="004C161F">
        <w:rPr>
          <w:rFonts w:ascii="Times New Roman" w:hAnsi="Times New Roman" w:cs="Times New Roman"/>
        </w:rPr>
        <w:t xml:space="preserve">. </w:t>
      </w:r>
    </w:p>
    <w:p w14:paraId="3001BD2E" w14:textId="6340E140" w:rsidR="0095617A" w:rsidRPr="0095617A" w:rsidRDefault="0095617A" w:rsidP="0095617A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95617A">
        <w:rPr>
          <w:rFonts w:ascii="Times New Roman" w:hAnsi="Times New Roman" w:cs="Times New Roman"/>
        </w:rPr>
        <w:t>Institutional Framework; The United Kingdom is a unitary state comprising four constituent</w:t>
      </w:r>
      <w:r w:rsidR="00392899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nations</w:t>
      </w:r>
      <w:r w:rsidR="00AB1FA4">
        <w:rPr>
          <w:rFonts w:ascii="Times New Roman" w:hAnsi="Times New Roman" w:cs="Times New Roman"/>
        </w:rPr>
        <w:t xml:space="preserve">: </w:t>
      </w:r>
      <w:r w:rsidRPr="0095617A">
        <w:rPr>
          <w:rFonts w:ascii="Times New Roman" w:hAnsi="Times New Roman" w:cs="Times New Roman"/>
        </w:rPr>
        <w:t xml:space="preserve">England, Scotland, Wales, and Northern Ireland </w:t>
      </w:r>
      <w:r w:rsidR="00AB1FA4">
        <w:rPr>
          <w:rFonts w:ascii="Times New Roman" w:hAnsi="Times New Roman" w:cs="Times New Roman"/>
        </w:rPr>
        <w:t xml:space="preserve">all </w:t>
      </w:r>
      <w:r w:rsidRPr="0095617A">
        <w:rPr>
          <w:rFonts w:ascii="Times New Roman" w:hAnsi="Times New Roman" w:cs="Times New Roman"/>
        </w:rPr>
        <w:t>governed under a constitutional</w:t>
      </w:r>
      <w:r w:rsidR="00AB1FA4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monarchy and a Westminster parliamentary system. Its institutional components include the</w:t>
      </w:r>
      <w:r w:rsidR="00AB1FA4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Monarchy, Parliament, the government, departmental structures, devolved assemblies, local</w:t>
      </w:r>
      <w:r w:rsidR="00AB1FA4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governments, and arm's-length executive agencies. The UK has maintained stable parliamentary</w:t>
      </w:r>
      <w:r w:rsidR="00AB1FA4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lastRenderedPageBreak/>
        <w:t>democracy for several centuries, with clear constitutional procedures, a strong multi-party system,</w:t>
      </w:r>
      <w:r w:rsidR="00AB1FA4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protected civil liberties, and a monarchy effectively separated from partisan politics. This stands</w:t>
      </w:r>
      <w:r w:rsidR="00AB1FA4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in stark contrast to the Sahel States, whose institutional configurations are neither fully democratic</w:t>
      </w:r>
      <w:r w:rsidR="00AB1FA4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nor fully autocratic, but rest on military transitional regimes. Niger lost its status as a defective</w:t>
      </w:r>
      <w:r w:rsidR="00AB1FA4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democracy in 2023 after a military junta seized power, and the pattern is replicated across Mali</w:t>
      </w:r>
      <w:r w:rsidR="00AB1FA4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and Burkina Faso. The core institutional distinction between the two systems is the management</w:t>
      </w:r>
      <w:r w:rsidR="00AB1FA4">
        <w:rPr>
          <w:rFonts w:ascii="Times New Roman" w:hAnsi="Times New Roman" w:cs="Times New Roman"/>
        </w:rPr>
        <w:t xml:space="preserve"> of</w:t>
      </w:r>
      <w:r w:rsidRPr="0095617A">
        <w:rPr>
          <w:rFonts w:ascii="Times New Roman" w:hAnsi="Times New Roman" w:cs="Times New Roman"/>
        </w:rPr>
        <w:t xml:space="preserve"> civil-military relations: the United Kingdom maintains a clear separation in which the armed</w:t>
      </w:r>
      <w:r w:rsidR="00AB1FA4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forces remain subordinate to civilian government with no civil-military crisis, while the Sahel</w:t>
      </w:r>
      <w:r w:rsidR="00AB1FA4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States lack the civil-military relations mechanisms necessary for democratic protection, with</w:t>
      </w:r>
      <w:r w:rsidR="008C5A47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armed forces functioning as the preeminent political actors.</w:t>
      </w:r>
    </w:p>
    <w:p w14:paraId="6EA5426D" w14:textId="77777777" w:rsidR="00FF6C08" w:rsidRDefault="0095617A" w:rsidP="0095617A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95617A">
        <w:rPr>
          <w:rFonts w:ascii="Times New Roman" w:hAnsi="Times New Roman" w:cs="Times New Roman"/>
        </w:rPr>
        <w:t>Economic Profile; According to the International Monetary Fund (2026), the United Kingdom</w:t>
      </w:r>
      <w:r w:rsidR="006A4F0C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holds a GDP of approximately $3.3 trillion USD and ranks as the world's sixth-largest economy,</w:t>
      </w:r>
      <w:r w:rsidR="006A4F0C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with diversified global trading patterns, sustained international relationships, and a strong</w:t>
      </w:r>
      <w:r w:rsidR="006A4F0C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currency. Its economy is dominated by service industries, finance, technology, and healthcare</w:t>
      </w:r>
      <w:r w:rsidR="00FF6C08">
        <w:rPr>
          <w:rFonts w:ascii="Times New Roman" w:hAnsi="Times New Roman" w:cs="Times New Roman"/>
        </w:rPr>
        <w:t xml:space="preserve">, </w:t>
      </w:r>
      <w:r w:rsidRPr="0095617A">
        <w:rPr>
          <w:rFonts w:ascii="Times New Roman" w:hAnsi="Times New Roman" w:cs="Times New Roman"/>
        </w:rPr>
        <w:t>which account for approximately 70% of GDP, supported by high infrastructural development and</w:t>
      </w:r>
      <w:r w:rsidR="00FF6C08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 xml:space="preserve">efficient human capital utilization. </w:t>
      </w:r>
    </w:p>
    <w:p w14:paraId="5D6F90F3" w14:textId="6F7393C9" w:rsidR="0095617A" w:rsidRPr="0095617A" w:rsidRDefault="0095617A" w:rsidP="0095617A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95617A">
        <w:rPr>
          <w:rFonts w:ascii="Times New Roman" w:hAnsi="Times New Roman" w:cs="Times New Roman"/>
        </w:rPr>
        <w:t xml:space="preserve">The Sahel States present a starkly different picture: they </w:t>
      </w:r>
      <w:r w:rsidR="00392899" w:rsidRPr="0095617A">
        <w:rPr>
          <w:rFonts w:ascii="Times New Roman" w:hAnsi="Times New Roman" w:cs="Times New Roman"/>
        </w:rPr>
        <w:t>are</w:t>
      </w:r>
      <w:r w:rsidR="00FF6C08">
        <w:rPr>
          <w:rFonts w:ascii="Times New Roman" w:hAnsi="Times New Roman" w:cs="Times New Roman"/>
        </w:rPr>
        <w:t xml:space="preserve"> </w:t>
      </w:r>
      <w:r w:rsidR="00392899" w:rsidRPr="0095617A">
        <w:rPr>
          <w:rFonts w:ascii="Times New Roman" w:hAnsi="Times New Roman" w:cs="Times New Roman"/>
        </w:rPr>
        <w:t>agrarian-dominated</w:t>
      </w:r>
      <w:r w:rsidRPr="0095617A">
        <w:rPr>
          <w:rFonts w:ascii="Times New Roman" w:hAnsi="Times New Roman" w:cs="Times New Roman"/>
        </w:rPr>
        <w:t>, weakly governed, and afflicted by high youth unemployment. Their</w:t>
      </w:r>
      <w:r w:rsidR="00FF6C08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landlocked geography compounds already strained circumstances, as frequent droughts generate</w:t>
      </w:r>
      <w:r w:rsidR="00CA5899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persistent food insecurity (UK Government, 2023). Despite being resource-rich in oil, gas,</w:t>
      </w:r>
      <w:r w:rsidR="00CA5899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uranium, and gold, a combination of poor governance, foreign exploitation, corruption, and</w:t>
      </w:r>
      <w:r w:rsidR="00CA5899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insufficient developmental capacity has produced a resource curse rather than a resource dividend</w:t>
      </w:r>
      <w:r w:rsidR="00CA5899">
        <w:rPr>
          <w:rFonts w:ascii="Times New Roman" w:hAnsi="Times New Roman" w:cs="Times New Roman"/>
        </w:rPr>
        <w:t xml:space="preserve"> (</w:t>
      </w:r>
      <w:r w:rsidRPr="0095617A">
        <w:rPr>
          <w:rFonts w:ascii="Times New Roman" w:hAnsi="Times New Roman" w:cs="Times New Roman"/>
        </w:rPr>
        <w:t>Frankema et al., 2023). Life expectancy in the Sahel averages between 57 and 61 years, and</w:t>
      </w:r>
      <w:r w:rsidR="00CA5899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approximately 102 children per 1,000 births do not survive to the age of five (Tang &amp; Lan, 2023),</w:t>
      </w:r>
      <w:r w:rsidR="00CA5899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contrasting sharply with the United Kingdom's life expectancy of over 81 years.</w:t>
      </w:r>
    </w:p>
    <w:p w14:paraId="4499D833" w14:textId="5FE13856" w:rsidR="0095617A" w:rsidRDefault="0095617A" w:rsidP="0095617A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95617A">
        <w:rPr>
          <w:rFonts w:ascii="Times New Roman" w:hAnsi="Times New Roman" w:cs="Times New Roman"/>
        </w:rPr>
        <w:t>Geographical setting; The United Kingdom's maritime geography has underpinned its rise as a</w:t>
      </w:r>
      <w:r w:rsidR="008C5A47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global trade power, affording access to raw materials and export markets while enabling the</w:t>
      </w:r>
      <w:r w:rsidR="008C5A47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development of naval power, shipbuilding, and ocean-based industries. The Sahel, by contrast,</w:t>
      </w:r>
      <w:r w:rsidR="008C5A47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occupies a vast transitional zone separating the Sahara Desert from the tropical savannas,</w:t>
      </w:r>
      <w:r w:rsidR="008C5A47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lastRenderedPageBreak/>
        <w:t>characterized by severe drought, unpredictable rainfall, water shortages, and poor soil output</w:t>
      </w:r>
      <w:r w:rsidR="008C5A47">
        <w:rPr>
          <w:rFonts w:ascii="Times New Roman" w:hAnsi="Times New Roman" w:cs="Times New Roman"/>
        </w:rPr>
        <w:t xml:space="preserve"> (</w:t>
      </w:r>
      <w:r w:rsidRPr="0095617A">
        <w:rPr>
          <w:rFonts w:ascii="Times New Roman" w:hAnsi="Times New Roman" w:cs="Times New Roman"/>
        </w:rPr>
        <w:t>EBSCO Research Starters, n.d.). Being landlocked, the Sahel States are exposed to severe</w:t>
      </w:r>
      <w:r w:rsidR="008C5A47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logistical vulnerabilities and are heavily dependent on the maritime corridors of neighboring</w:t>
      </w:r>
      <w:r w:rsidR="008C5A47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 xml:space="preserve">coastal states. This dependency was vividly illustrated in 2025 when the </w:t>
      </w:r>
      <w:proofErr w:type="spellStart"/>
      <w:r w:rsidRPr="0095617A">
        <w:rPr>
          <w:rFonts w:ascii="Times New Roman" w:hAnsi="Times New Roman" w:cs="Times New Roman"/>
        </w:rPr>
        <w:t>Kayes-Nioro</w:t>
      </w:r>
      <w:proofErr w:type="spellEnd"/>
      <w:r w:rsidRPr="0095617A">
        <w:rPr>
          <w:rFonts w:ascii="Times New Roman" w:hAnsi="Times New Roman" w:cs="Times New Roman"/>
        </w:rPr>
        <w:t xml:space="preserve"> corridor</w:t>
      </w:r>
      <w:r w:rsidR="00F50097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 xml:space="preserve">blockade by </w:t>
      </w:r>
      <w:proofErr w:type="spellStart"/>
      <w:r w:rsidRPr="0095617A">
        <w:rPr>
          <w:rFonts w:ascii="Times New Roman" w:hAnsi="Times New Roman" w:cs="Times New Roman"/>
        </w:rPr>
        <w:t>Jama'at</w:t>
      </w:r>
      <w:proofErr w:type="spellEnd"/>
      <w:r w:rsidRPr="0095617A">
        <w:rPr>
          <w:rFonts w:ascii="Times New Roman" w:hAnsi="Times New Roman" w:cs="Times New Roman"/>
        </w:rPr>
        <w:t xml:space="preserve"> </w:t>
      </w:r>
      <w:proofErr w:type="spellStart"/>
      <w:r w:rsidRPr="0095617A">
        <w:rPr>
          <w:rFonts w:ascii="Times New Roman" w:hAnsi="Times New Roman" w:cs="Times New Roman"/>
        </w:rPr>
        <w:t>Nasrut</w:t>
      </w:r>
      <w:proofErr w:type="spellEnd"/>
      <w:r w:rsidRPr="0095617A">
        <w:rPr>
          <w:rFonts w:ascii="Times New Roman" w:hAnsi="Times New Roman" w:cs="Times New Roman"/>
        </w:rPr>
        <w:t xml:space="preserve"> al-Islam </w:t>
      </w:r>
      <w:proofErr w:type="spellStart"/>
      <w:r w:rsidRPr="0095617A">
        <w:rPr>
          <w:rFonts w:ascii="Times New Roman" w:hAnsi="Times New Roman" w:cs="Times New Roman"/>
        </w:rPr>
        <w:t>wa</w:t>
      </w:r>
      <w:proofErr w:type="spellEnd"/>
      <w:r w:rsidRPr="0095617A">
        <w:rPr>
          <w:rFonts w:ascii="Times New Roman" w:hAnsi="Times New Roman" w:cs="Times New Roman"/>
        </w:rPr>
        <w:t xml:space="preserve"> al-Muslimin (JNIM) demonstrated how a non-state actor</w:t>
      </w:r>
      <w:r w:rsidR="00F50097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could effectively cripple the Malian economy through the disruption of a single supply corridor</w:t>
      </w:r>
      <w:r w:rsidR="00F50097">
        <w:rPr>
          <w:rFonts w:ascii="Times New Roman" w:hAnsi="Times New Roman" w:cs="Times New Roman"/>
        </w:rPr>
        <w:t xml:space="preserve"> (</w:t>
      </w:r>
      <w:r w:rsidRPr="0095617A">
        <w:rPr>
          <w:rFonts w:ascii="Times New Roman" w:hAnsi="Times New Roman" w:cs="Times New Roman"/>
        </w:rPr>
        <w:t>Jabbar, 2025).</w:t>
      </w:r>
    </w:p>
    <w:p w14:paraId="1BE99533" w14:textId="77777777" w:rsidR="00F50097" w:rsidRPr="0095617A" w:rsidRDefault="00F50097" w:rsidP="0095617A">
      <w:pPr>
        <w:spacing w:before="240" w:line="360" w:lineRule="auto"/>
        <w:jc w:val="both"/>
        <w:rPr>
          <w:rFonts w:ascii="Times New Roman" w:hAnsi="Times New Roman" w:cs="Times New Roman"/>
        </w:rPr>
      </w:pPr>
    </w:p>
    <w:p w14:paraId="683FA1DD" w14:textId="77777777" w:rsidR="00B228FC" w:rsidRDefault="0095617A" w:rsidP="0095617A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95617A">
        <w:rPr>
          <w:rFonts w:ascii="Times New Roman" w:hAnsi="Times New Roman" w:cs="Times New Roman"/>
        </w:rPr>
        <w:t>Security Threats; The United Kingdom and the Sahel States face fundamentally different threat</w:t>
      </w:r>
      <w:r w:rsidR="00F50097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environments. The UK's security concerns centre on terrorism, antisemitic violence, and cyber</w:t>
      </w:r>
      <w:r w:rsidR="00F50097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threats, all serious but manageable within a stable democratic framework. The April 2026 stabbing</w:t>
      </w:r>
      <w:r w:rsidR="00F50097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in Golders Green, while declared a terrorist incident by the Metropolitan Police, was an isolated</w:t>
      </w:r>
      <w:r w:rsidR="00F50097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attack within an otherwise functioning state. The Sahel States, by contrast, face an existential</w:t>
      </w:r>
      <w:r w:rsidR="00F50097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crisis: Burkina Faso, Mali, and Niger rank among the ten countries most affected by terrorism in</w:t>
      </w:r>
      <w:r w:rsidR="00F50097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the world, with the Sahel region accounting for over half of all global terrorism deaths according</w:t>
      </w:r>
      <w:r w:rsidR="00F50097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to the Institute for Economics &amp; Peace (2024). Armed Islamist groups including JNIM control</w:t>
      </w:r>
      <w:r w:rsidR="00F50097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significant swathes of territory, governments exercise limited state presence across large portions</w:t>
      </w:r>
      <w:r w:rsidR="00F50097">
        <w:rPr>
          <w:rFonts w:ascii="Times New Roman" w:hAnsi="Times New Roman" w:cs="Times New Roman"/>
        </w:rPr>
        <w:t xml:space="preserve"> of</w:t>
      </w:r>
      <w:r w:rsidRPr="0095617A">
        <w:rPr>
          <w:rFonts w:ascii="Times New Roman" w:hAnsi="Times New Roman" w:cs="Times New Roman"/>
        </w:rPr>
        <w:t xml:space="preserve"> their own countries, and populations face systematic violence that likely amounts to crimes</w:t>
      </w:r>
      <w:r w:rsidR="00F50097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against humanity (EEAS, n.d.). Security operations to confront terrorists in the Sahel frequently</w:t>
      </w:r>
      <w:r w:rsidR="00F50097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threaten civilian populations, creating a cycle in which both terrorist groups and state forces violate</w:t>
      </w:r>
      <w:r w:rsidR="00F50097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civilian rights.</w:t>
      </w:r>
    </w:p>
    <w:p w14:paraId="42730DBE" w14:textId="7A13E4DB" w:rsidR="0095617A" w:rsidRPr="0095617A" w:rsidRDefault="0095617A" w:rsidP="0095617A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95617A">
        <w:rPr>
          <w:rFonts w:ascii="Times New Roman" w:hAnsi="Times New Roman" w:cs="Times New Roman"/>
        </w:rPr>
        <w:t>Withdrawal Mechanism; The UK left as a result of a democratic decision to pursue</w:t>
      </w:r>
      <w:r w:rsidR="00F50097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national</w:t>
      </w:r>
      <w:r w:rsidR="00F50097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sovereignty and immigration control. The withdrawal was initiated following the 2016 referendum</w:t>
      </w:r>
      <w:r w:rsidR="00813166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and conducted under Article 50 of the EU Treaty, which provides a legal framework for member</w:t>
      </w:r>
      <w:r w:rsidR="00813166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state exits. The UK and EU negotiated a comprehensive withdrawal agreement over nearly four</w:t>
      </w:r>
      <w:r w:rsidR="00813166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years, covering trade, citizens' rights, and financial settlements, with the withdrawal taking formal</w:t>
      </w:r>
      <w:r w:rsidR="00813166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effect on 31 January 2020 and a transition period extending to 31 December 2020. The process</w:t>
      </w:r>
      <w:r w:rsidR="00813166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was democratic, orderly, and conducted in full accordance with international law.</w:t>
      </w:r>
    </w:p>
    <w:p w14:paraId="2D758ACF" w14:textId="0BEAA214" w:rsidR="001B553B" w:rsidRPr="001B553B" w:rsidRDefault="0095617A" w:rsidP="00304179">
      <w:pPr>
        <w:spacing w:before="240" w:line="360" w:lineRule="auto"/>
        <w:jc w:val="both"/>
        <w:rPr>
          <w:rFonts w:ascii="Times New Roman" w:hAnsi="Times New Roman" w:cs="Times New Roman"/>
        </w:rPr>
      </w:pPr>
      <w:r w:rsidRPr="0095617A">
        <w:rPr>
          <w:rFonts w:ascii="Times New Roman" w:hAnsi="Times New Roman" w:cs="Times New Roman"/>
        </w:rPr>
        <w:lastRenderedPageBreak/>
        <w:t>The AES departure, by contrast, was abrupt and adversarially framed. The three states announced</w:t>
      </w:r>
      <w:r w:rsidR="00B228FC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their withdrawal in January 2024, despite ECOWAS offering a six-month extension to avert their</w:t>
      </w:r>
      <w:r w:rsidR="00B228FC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departure, and they formally left the bloc on 29 January 2025. The exit was triggered by</w:t>
      </w:r>
      <w:r w:rsidR="00B228FC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ECOWAS's response to the July 2023 Niger coup swift, indiscriminate sanctions and threats of</w:t>
      </w:r>
      <w:r w:rsidR="00B228FC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military intervention which the Sahel States interpreted as hostile acts. Unlike Brexit, the AES</w:t>
      </w:r>
      <w:r w:rsidR="00B228FC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exit</w:t>
      </w:r>
      <w:r w:rsidR="00C02E60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was executed without negotiated arrangements for post-departure relations, leaving trade,</w:t>
      </w:r>
      <w:r w:rsidR="00C02E60">
        <w:rPr>
          <w:rFonts w:ascii="Times New Roman" w:hAnsi="Times New Roman" w:cs="Times New Roman"/>
        </w:rPr>
        <w:t xml:space="preserve"> </w:t>
      </w:r>
      <w:r w:rsidRPr="0095617A">
        <w:rPr>
          <w:rFonts w:ascii="Times New Roman" w:hAnsi="Times New Roman" w:cs="Times New Roman"/>
        </w:rPr>
        <w:t>movement, and security frameworks to be addressed piecemeal after the fact.</w:t>
      </w:r>
    </w:p>
    <w:p w14:paraId="115AFE75" w14:textId="3B2DA3D2" w:rsidR="001B553B" w:rsidRPr="001B553B" w:rsidRDefault="001B553B" w:rsidP="00712902">
      <w:pPr>
        <w:pStyle w:val="Heading2"/>
      </w:pPr>
      <w:bookmarkStart w:id="15" w:name="_Toc232802563"/>
      <w:r w:rsidRPr="001B553B">
        <w:t>Causal Convergence: What Remains After Elimination</w:t>
      </w:r>
      <w:bookmarkEnd w:id="15"/>
    </w:p>
    <w:p w14:paraId="6AE082C4" w14:textId="77777777" w:rsidR="001B553B" w:rsidRPr="001B553B" w:rsidRDefault="001B553B" w:rsidP="00712902">
      <w:pPr>
        <w:pStyle w:val="Heading2"/>
        <w:rPr>
          <w:rFonts w:ascii="Times New Roman" w:hAnsi="Times New Roman" w:cs="Times New Roman"/>
        </w:rPr>
      </w:pPr>
    </w:p>
    <w:p w14:paraId="09400A0C" w14:textId="6DFCB9BB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Having identified the structural variables that differ between the two cases, the MDSD</w:t>
      </w:r>
      <w:r w:rsidR="00F60E4E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logic requires that we identify what is shared</w:t>
      </w:r>
      <w:r w:rsidR="000B3514">
        <w:rPr>
          <w:rFonts w:ascii="Times New Roman" w:hAnsi="Times New Roman" w:cs="Times New Roman"/>
        </w:rPr>
        <w:t xml:space="preserve">, that is: </w:t>
      </w:r>
      <w:r w:rsidRPr="001B553B">
        <w:rPr>
          <w:rFonts w:ascii="Times New Roman" w:hAnsi="Times New Roman" w:cs="Times New Roman"/>
        </w:rPr>
        <w:t>the residual factors that may help explain</w:t>
      </w:r>
      <w:r w:rsidR="000B3514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the common outcome.</w:t>
      </w:r>
    </w:p>
    <w:p w14:paraId="19CC1FB2" w14:textId="0856EAF7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Three convergent patterns are observable across both cases</w:t>
      </w:r>
      <w:r w:rsidR="00BF5FBB">
        <w:rPr>
          <w:rFonts w:ascii="Times New Roman" w:hAnsi="Times New Roman" w:cs="Times New Roman"/>
        </w:rPr>
        <w:t>;</w:t>
      </w:r>
    </w:p>
    <w:p w14:paraId="1BEC7A65" w14:textId="0354BE6E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First, elite perception of net sovereignty cost</w:t>
      </w:r>
      <w:r w:rsidR="00BF5FBB">
        <w:rPr>
          <w:rFonts w:ascii="Times New Roman" w:hAnsi="Times New Roman" w:cs="Times New Roman"/>
        </w:rPr>
        <w:t>:</w:t>
      </w:r>
      <w:r w:rsidRPr="001B553B">
        <w:rPr>
          <w:rFonts w:ascii="Times New Roman" w:hAnsi="Times New Roman" w:cs="Times New Roman"/>
        </w:rPr>
        <w:t xml:space="preserve"> In both cases, the ruling elite</w:t>
      </w:r>
      <w:r w:rsidR="001023F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concluded that the costs imposed by regional membership whether regulatory, financial, or</w:t>
      </w:r>
      <w:r w:rsidR="001023F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security-related had come to outweigh the benefits. Ouedraogo (2025) argues that the AES</w:t>
      </w:r>
      <w:r w:rsidR="001023F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states effectively traded market access for sovereignty, a trade-off that only becomes</w:t>
      </w:r>
      <w:r w:rsidR="001023F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rational when the perceived cost of shared authority exceeds the economic premium it</w:t>
      </w:r>
      <w:r w:rsidR="001023F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generates. The same logic is evident in the UK's decision to accept economic dislocation as</w:t>
      </w:r>
      <w:r w:rsidR="001023F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the price of reclaiming border and trade policy. As Hirschman (1970) anticipated, the exit</w:t>
      </w:r>
      <w:r w:rsidR="001023F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option becomes politically available when voice</w:t>
      </w:r>
      <w:r w:rsidR="00FD150F">
        <w:rPr>
          <w:rFonts w:ascii="Times New Roman" w:hAnsi="Times New Roman" w:cs="Times New Roman"/>
        </w:rPr>
        <w:t xml:space="preserve">; </w:t>
      </w:r>
      <w:r w:rsidRPr="001B553B">
        <w:rPr>
          <w:rFonts w:ascii="Times New Roman" w:hAnsi="Times New Roman" w:cs="Times New Roman"/>
        </w:rPr>
        <w:t>internal advocacy for reform is judged</w:t>
      </w:r>
      <w:r w:rsidR="00717369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to have been exhausted. In both cases, the exiting parties expressed an explicit belief that</w:t>
      </w:r>
      <w:r w:rsidR="00717369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the regional institution was unreformable from within.</w:t>
      </w:r>
    </w:p>
    <w:p w14:paraId="5A204623" w14:textId="77777777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5876E1B5" w14:textId="62C9743E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Second, institutional verdict of compromise or capture</w:t>
      </w:r>
      <w:r w:rsidR="003376DA">
        <w:rPr>
          <w:rFonts w:ascii="Times New Roman" w:hAnsi="Times New Roman" w:cs="Times New Roman"/>
        </w:rPr>
        <w:t>;</w:t>
      </w:r>
      <w:r w:rsidR="00BF682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Both exits were accompanied by</w:t>
      </w:r>
      <w:r w:rsidR="003376DA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an elite characterisation of the regional bloc as having been structurally compromised in</w:t>
      </w:r>
      <w:r w:rsidR="000149C1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ways that made reform implausible. In the UK case, this took the form of an argument that</w:t>
      </w:r>
      <w:r w:rsidR="00A7773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EU law had acquired a constitutional primacy over national legislation that could not be</w:t>
      </w:r>
      <w:r w:rsidR="00A7773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 xml:space="preserve">reversed through ordinary </w:t>
      </w:r>
      <w:r w:rsidRPr="001B553B">
        <w:rPr>
          <w:rFonts w:ascii="Times New Roman" w:hAnsi="Times New Roman" w:cs="Times New Roman"/>
        </w:rPr>
        <w:lastRenderedPageBreak/>
        <w:t>legislative means. In the AES case, it took the form of a claim</w:t>
      </w:r>
      <w:r w:rsidR="00A7773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that ECOWAS had become subject to direction by external powers, rendering it incapable of</w:t>
      </w:r>
      <w:r w:rsidR="00A7773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acting in the genuine interests of its members (Acho, 2024; Oluyemi, 2025).</w:t>
      </w:r>
      <w:r w:rsidR="00D8710A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These</w:t>
      </w:r>
      <w:r w:rsidR="00A7773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characterisations differ in content and in the degree to which they can be empirically</w:t>
      </w:r>
      <w:r w:rsidR="00A7773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sustained the claim that ECOWAS is a straightforward proxy for Western interests is</w:t>
      </w:r>
      <w:r w:rsidR="00CC7048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analytically contested but they share the same functional role: they constitute an</w:t>
      </w:r>
      <w:r w:rsidR="00CC7048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institutional verdict that closes off the voice option and makes exit the only available</w:t>
      </w:r>
      <w:r w:rsidR="00265B2A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response.</w:t>
      </w:r>
    </w:p>
    <w:p w14:paraId="63BDBE29" w14:textId="77777777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77DE8255" w14:textId="0341E3FE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Third, identity framing of departure</w:t>
      </w:r>
      <w:r w:rsidR="00265B2A">
        <w:rPr>
          <w:rFonts w:ascii="Times New Roman" w:hAnsi="Times New Roman" w:cs="Times New Roman"/>
        </w:rPr>
        <w:t xml:space="preserve">; </w:t>
      </w:r>
      <w:r w:rsidRPr="001B553B">
        <w:rPr>
          <w:rFonts w:ascii="Times New Roman" w:hAnsi="Times New Roman" w:cs="Times New Roman"/>
        </w:rPr>
        <w:t>Both exits were articulated not merely as policy</w:t>
      </w:r>
      <w:r w:rsidR="008D165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 xml:space="preserve">corrections but as acts of national restoration. Brexit discourse </w:t>
      </w:r>
      <w:r w:rsidR="008D1653" w:rsidRPr="001B553B">
        <w:rPr>
          <w:rFonts w:ascii="Times New Roman" w:hAnsi="Times New Roman" w:cs="Times New Roman"/>
        </w:rPr>
        <w:t>centered</w:t>
      </w:r>
      <w:r w:rsidRPr="001B553B">
        <w:rPr>
          <w:rFonts w:ascii="Times New Roman" w:hAnsi="Times New Roman" w:cs="Times New Roman"/>
        </w:rPr>
        <w:t xml:space="preserve"> on a recovery of</w:t>
      </w:r>
      <w:r w:rsidR="008D165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 xml:space="preserve">historical sovereignty and parliamentary authority. AES exit discourse </w:t>
      </w:r>
      <w:r w:rsidR="008D1653" w:rsidRPr="001B553B">
        <w:rPr>
          <w:rFonts w:ascii="Times New Roman" w:hAnsi="Times New Roman" w:cs="Times New Roman"/>
        </w:rPr>
        <w:t>centered</w:t>
      </w:r>
      <w:r w:rsidRPr="001B553B">
        <w:rPr>
          <w:rFonts w:ascii="Times New Roman" w:hAnsi="Times New Roman" w:cs="Times New Roman"/>
        </w:rPr>
        <w:t xml:space="preserve"> on a recovery</w:t>
      </w:r>
      <w:r w:rsidR="00474618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of post-colonial autonomy from what the juntas characterised as a neo-colonial regional</w:t>
      </w:r>
      <w:r w:rsidR="00474618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order (Oluyemi, 2025). Hooghe and Marks' (2009) framework of constraining dissensus</w:t>
      </w:r>
      <w:r w:rsidR="00474618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anticipates precisely this: at a certain threshold of integration, the boundary between</w:t>
      </w:r>
      <w:r w:rsidR="009B74E5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technocratic coordination and existential identity conflict is crossed, and the politics</w:t>
      </w:r>
      <w:r w:rsidR="00C54B06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of exit acquires a legitimising emotional register that makes it electorally or politically</w:t>
      </w:r>
      <w:r w:rsidR="00942886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sustainable regardless of economic cost.</w:t>
      </w:r>
    </w:p>
    <w:p w14:paraId="28AF8096" w14:textId="6BA4B6F9" w:rsidR="001B553B" w:rsidRPr="00304179" w:rsidRDefault="001B553B" w:rsidP="00304179">
      <w:pPr>
        <w:pStyle w:val="Heading1"/>
      </w:pPr>
      <w:bookmarkStart w:id="16" w:name="_Toc232802564"/>
      <w:r w:rsidRPr="00712902">
        <w:t>Discussion</w:t>
      </w:r>
      <w:bookmarkEnd w:id="16"/>
    </w:p>
    <w:p w14:paraId="6FE4B861" w14:textId="79CE2688" w:rsidR="001B553B" w:rsidRPr="00942886" w:rsidRDefault="001B553B" w:rsidP="00712902">
      <w:pPr>
        <w:pStyle w:val="Heading2"/>
      </w:pPr>
      <w:bookmarkStart w:id="17" w:name="_Toc232802565"/>
      <w:r w:rsidRPr="00942886">
        <w:t>The Recurrent Exit Logic and Its Implications for Integration Theory</w:t>
      </w:r>
      <w:bookmarkEnd w:id="17"/>
    </w:p>
    <w:p w14:paraId="348262CA" w14:textId="77777777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45946BCE" w14:textId="267FEF69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The findings indicate a recurring pattern: in both cases, regional disintegration was</w:t>
      </w:r>
      <w:r w:rsidR="006B7991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preceded by a convergence of institutional failure, elite disillusionment, and identity</w:t>
      </w:r>
      <w:r w:rsidR="006B7991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politicisation. This convergence suggests that neo-functionalist spillback</w:t>
      </w:r>
      <w:r w:rsidR="00B55F35">
        <w:rPr>
          <w:rFonts w:ascii="Times New Roman" w:hAnsi="Times New Roman" w:cs="Times New Roman"/>
        </w:rPr>
        <w:t xml:space="preserve">; </w:t>
      </w:r>
      <w:r w:rsidRPr="001B553B">
        <w:rPr>
          <w:rFonts w:ascii="Times New Roman" w:hAnsi="Times New Roman" w:cs="Times New Roman"/>
        </w:rPr>
        <w:t>the reversal</w:t>
      </w:r>
      <w:r w:rsidR="006B7991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of cooperation when a bloc ceases to deliver functional benefits combined with</w:t>
      </w:r>
      <w:r w:rsidR="006B7991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post-functionalist attention to sovereignty anxiety and political mobilisation, provides a</w:t>
      </w:r>
      <w:r w:rsidR="006B7991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more complete account of regional exit than either framework alone.</w:t>
      </w:r>
    </w:p>
    <w:p w14:paraId="223F7722" w14:textId="707D0785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The two cases did not follow identical causal pathways</w:t>
      </w:r>
      <w:r w:rsidR="00F33B86">
        <w:rPr>
          <w:rFonts w:ascii="Times New Roman" w:hAnsi="Times New Roman" w:cs="Times New Roman"/>
        </w:rPr>
        <w:t xml:space="preserve">, in </w:t>
      </w:r>
      <w:r w:rsidRPr="001B553B">
        <w:rPr>
          <w:rFonts w:ascii="Times New Roman" w:hAnsi="Times New Roman" w:cs="Times New Roman"/>
        </w:rPr>
        <w:t>the UK, the exit was driven</w:t>
      </w:r>
      <w:r w:rsidR="00820A8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primarily by domestic political competition, identity politics, and a constitutional</w:t>
      </w:r>
      <w:r w:rsidR="00820A8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argument about parliamentary sovereignty, in a context of manageable external threats and</w:t>
      </w:r>
      <w:r w:rsidR="00820A8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 xml:space="preserve">a functioning </w:t>
      </w:r>
      <w:r w:rsidRPr="001B553B">
        <w:rPr>
          <w:rFonts w:ascii="Times New Roman" w:hAnsi="Times New Roman" w:cs="Times New Roman"/>
        </w:rPr>
        <w:lastRenderedPageBreak/>
        <w:t>democratic process. In the AES, exit was driven primarily by security failure,</w:t>
      </w:r>
      <w:r w:rsidR="00820A8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elite resentment of post-colonial institutional arrangements, and the political calculations</w:t>
      </w:r>
      <w:r w:rsidR="00820A8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 xml:space="preserve">of military juntas with no democratic mandate. </w:t>
      </w:r>
    </w:p>
    <w:p w14:paraId="4A6FC30C" w14:textId="6ADEE5FB" w:rsidR="00F11E37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What is shared is not the mechanism but the logic: ruling elites in both cases reached a</w:t>
      </w:r>
      <w:r w:rsidR="00F11E37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point at which continued membership was judged to impose costs on sovereignty and</w:t>
      </w:r>
      <w:r w:rsidR="00F11E37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self-governance that exceeded its benefits. This is not a universal law but a recurrent</w:t>
      </w:r>
      <w:r w:rsidR="00F11E37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pattern that appears independent of the type of system in which it occurs. Tainter's</w:t>
      </w:r>
      <w:r w:rsidR="00F11E37">
        <w:rPr>
          <w:rFonts w:ascii="Times New Roman" w:hAnsi="Times New Roman" w:cs="Times New Roman"/>
        </w:rPr>
        <w:t xml:space="preserve"> (</w:t>
      </w:r>
      <w:r w:rsidRPr="001B553B">
        <w:rPr>
          <w:rFonts w:ascii="Times New Roman" w:hAnsi="Times New Roman" w:cs="Times New Roman"/>
        </w:rPr>
        <w:t>1988) observation that integrated systems tend toward collapse when the costs o</w:t>
      </w:r>
      <w:r w:rsidR="00F11E37">
        <w:rPr>
          <w:rFonts w:ascii="Times New Roman" w:hAnsi="Times New Roman" w:cs="Times New Roman"/>
        </w:rPr>
        <w:t xml:space="preserve">f </w:t>
      </w:r>
      <w:r w:rsidRPr="001B553B">
        <w:rPr>
          <w:rFonts w:ascii="Times New Roman" w:hAnsi="Times New Roman" w:cs="Times New Roman"/>
        </w:rPr>
        <w:t>maintaining the central authority exceed the benefits it delivers offers a useful structural</w:t>
      </w:r>
      <w:r w:rsidR="00F11E37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framing for this pattern, though it must be applied with care given the very different</w:t>
      </w:r>
      <w:r w:rsidR="00F11E37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organisational scales involved.</w:t>
      </w:r>
    </w:p>
    <w:p w14:paraId="522D45BB" w14:textId="77777777" w:rsidR="00304179" w:rsidRDefault="00304179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759F98DA" w14:textId="77777777" w:rsidR="00304179" w:rsidRPr="001B553B" w:rsidRDefault="00304179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49DBC60B" w14:textId="70B26B12" w:rsidR="001B553B" w:rsidRPr="001B553B" w:rsidRDefault="001B553B" w:rsidP="00712902">
      <w:pPr>
        <w:pStyle w:val="Heading2"/>
      </w:pPr>
      <w:bookmarkStart w:id="18" w:name="_Toc232802566"/>
      <w:r w:rsidRPr="006322E9">
        <w:t>Theoretical Contribution</w:t>
      </w:r>
      <w:bookmarkEnd w:id="18"/>
    </w:p>
    <w:p w14:paraId="0F496B4A" w14:textId="77777777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5CF4E2E2" w14:textId="38E28B00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The literature on regional disintegration has developed largely within the European context,</w:t>
      </w:r>
      <w:r w:rsidR="006322E9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with Brexit as its defining empirical reference point (Vollaard, 2014; Schmitter &amp;</w:t>
      </w:r>
      <w:r w:rsidR="004157B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Lefkofridi, 2016; Schimmelfennig &amp; Schmahl, 2024). The African integration literature, by</w:t>
      </w:r>
      <w:r w:rsidR="004157B3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contrast, has tended to focus on questions of institutional capacity and design rather than</w:t>
      </w:r>
      <w:r w:rsidR="00C62C1F">
        <w:rPr>
          <w:rFonts w:ascii="Times New Roman" w:hAnsi="Times New Roman" w:cs="Times New Roman"/>
        </w:rPr>
        <w:t xml:space="preserve"> on</w:t>
      </w:r>
      <w:r w:rsidRPr="001B553B">
        <w:rPr>
          <w:rFonts w:ascii="Times New Roman" w:hAnsi="Times New Roman" w:cs="Times New Roman"/>
        </w:rPr>
        <w:t xml:space="preserve"> exit dynamics (De Lombaerde et al., 2021). This article bridges the two bodies of</w:t>
      </w:r>
      <w:r w:rsidR="00C62C1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literature by demonstrating that the disintegration dynamics theorised in the European</w:t>
      </w:r>
      <w:r w:rsidR="00C62C1F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context spillback, constraining dissensus, identity politicisation are recognisable,</w:t>
      </w:r>
      <w:r w:rsidR="006C61D9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in modified form, in the African case as well.</w:t>
      </w:r>
    </w:p>
    <w:p w14:paraId="1B951894" w14:textId="4010F994" w:rsidR="000D1BFC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This observation does not imply that the two theoretical traditions are interchangeable.</w:t>
      </w:r>
      <w:r w:rsidR="006C61D9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Neo-functionalism was developed to explain European integration and retains Eurocentric</w:t>
      </w:r>
      <w:r w:rsidR="00FE4462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assumptions</w:t>
      </w:r>
      <w:r w:rsidR="00FE4462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about the relationship between economic interdependence and political</w:t>
      </w:r>
      <w:r w:rsidR="00FE4462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institution-building. Applied to the Sahel, its explanatory power is partial: the AES exit</w:t>
      </w:r>
      <w:r w:rsidR="00FE4462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cannot be adequately explained by reference to spillback dynamics alone, without accounting</w:t>
      </w:r>
      <w:r w:rsidR="00FE4462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 xml:space="preserve">for the specificities of post-colonial political economy and security failure. Post-functionalism fares somewhat better, because its focus </w:t>
      </w:r>
      <w:r w:rsidRPr="001B553B">
        <w:rPr>
          <w:rFonts w:ascii="Times New Roman" w:hAnsi="Times New Roman" w:cs="Times New Roman"/>
        </w:rPr>
        <w:lastRenderedPageBreak/>
        <w:t>on identity and sovereignty is</w:t>
      </w:r>
      <w:r w:rsidR="00AF4C25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transferable across different political contexts. Nevertheless, Hooghe and Marks (2009)</w:t>
      </w:r>
      <w:r w:rsidR="00AF4C25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developed their framework primarily with reference to European democratic publics; its</w:t>
      </w:r>
      <w:r w:rsidR="00AF4C25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applicability to military transitional regimes, where there is no electoral mechanism</w:t>
      </w:r>
      <w:r w:rsidR="000D1BFC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through which constraining dissensus is expressed, is an open theoretical question that</w:t>
      </w:r>
      <w:r w:rsidR="000D1BFC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this article raises without fully resolving.</w:t>
      </w:r>
    </w:p>
    <w:p w14:paraId="47188C15" w14:textId="77777777" w:rsidR="00BF6823" w:rsidRDefault="00BF6823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4AA09097" w14:textId="77777777" w:rsidR="009A2E0B" w:rsidRDefault="009A2E0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68A2FDDE" w14:textId="7D43C148" w:rsidR="001B553B" w:rsidRPr="00083FA9" w:rsidRDefault="001B553B" w:rsidP="00712902">
      <w:pPr>
        <w:pStyle w:val="Heading1"/>
      </w:pPr>
      <w:bookmarkStart w:id="19" w:name="_Toc232802567"/>
      <w:r w:rsidRPr="00083FA9">
        <w:t>Conclusion</w:t>
      </w:r>
      <w:r w:rsidR="00083FA9" w:rsidRPr="00083FA9">
        <w:t>s</w:t>
      </w:r>
      <w:bookmarkEnd w:id="19"/>
    </w:p>
    <w:p w14:paraId="4FF21F3D" w14:textId="77777777" w:rsidR="001B553B" w:rsidRPr="001B553B" w:rsidRDefault="001B553B" w:rsidP="00712902">
      <w:pPr>
        <w:pStyle w:val="Heading1"/>
        <w:rPr>
          <w:rFonts w:ascii="Times New Roman" w:hAnsi="Times New Roman" w:cs="Times New Roman"/>
        </w:rPr>
      </w:pPr>
    </w:p>
    <w:p w14:paraId="613A66B8" w14:textId="2BD0C63F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This article set out to explain why two radically different political and economic systems</w:t>
      </w:r>
      <w:r w:rsidR="00C41CDA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both chose regional exit, and what that recurrence reveals about the limits of integration</w:t>
      </w:r>
      <w:r w:rsidR="00C41CDA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theory. The comparison of Brexit and the AES withdrawal from ECOWAS, conducted through a</w:t>
      </w:r>
      <w:r w:rsidR="006004BA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Most Different Systems Design, produces three principal findings.</w:t>
      </w:r>
    </w:p>
    <w:p w14:paraId="1809676B" w14:textId="3ACE0171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First, both exits were preceded by an elite judgment that regional membership had become a</w:t>
      </w:r>
      <w:r w:rsidR="006004BA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net constraint on sovereignty rather than a net enabler of state advancement. This judgment</w:t>
      </w:r>
      <w:r w:rsidR="006004BA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was reached through different political processes and expressed in different institutional</w:t>
      </w:r>
      <w:r w:rsidR="006004BA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forms, but it constitutes a common causal condition across both cases.</w:t>
      </w:r>
    </w:p>
    <w:p w14:paraId="0F6F7ACC" w14:textId="7825AE13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Second, in both cases exit was articulated through an identity frame</w:t>
      </w:r>
      <w:r w:rsidR="00401FAE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parliamentary</w:t>
      </w:r>
      <w:r w:rsidR="006004BA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sovereignty in the UK, post-colonial autonomy in the Sahel that gave the decision</w:t>
      </w:r>
      <w:r w:rsidR="00401FAE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political legitimacy beyond a narrow cost-benefit calculation. This is consistent with</w:t>
      </w:r>
      <w:r w:rsidR="00401FAE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post-functionalist arguments about the conditions under which integration becomes</w:t>
      </w:r>
      <w:r w:rsidR="00401FAE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politically unsustainable.</w:t>
      </w:r>
    </w:p>
    <w:p w14:paraId="18CD1055" w14:textId="3F9C1898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Third, and most importantly for theory, the recurrence of this exit logic across maximally</w:t>
      </w:r>
      <w:r w:rsidR="00401FAE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different systems suggests that the conditions generating regional disintegration may be</w:t>
      </w:r>
      <w:r w:rsidR="00401FAE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more general than the existing literature focused predominantly on the European case</w:t>
      </w:r>
      <w:r w:rsidR="004C4A56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has recognised. This does not amount to a universal theory; two cases are insufficient for</w:t>
      </w:r>
      <w:r w:rsidR="004C4A56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 xml:space="preserve">that claim. It does, however, indicate </w:t>
      </w:r>
      <w:r w:rsidRPr="001B553B">
        <w:rPr>
          <w:rFonts w:ascii="Times New Roman" w:hAnsi="Times New Roman" w:cs="Times New Roman"/>
        </w:rPr>
        <w:lastRenderedPageBreak/>
        <w:t xml:space="preserve">that comparative regionalism </w:t>
      </w:r>
      <w:r w:rsidR="00F15169" w:rsidRPr="001B553B">
        <w:rPr>
          <w:rFonts w:ascii="Times New Roman" w:hAnsi="Times New Roman" w:cs="Times New Roman"/>
        </w:rPr>
        <w:t>scholars would</w:t>
      </w:r>
      <w:r w:rsidR="00F15169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benefit from extending its disintegration research agenda beyond Europe.</w:t>
      </w:r>
    </w:p>
    <w:p w14:paraId="55FC3D3C" w14:textId="79069C6E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The causal weight assigned to security failure in the AES</w:t>
      </w:r>
      <w:r w:rsidR="00F15169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case</w:t>
      </w:r>
      <w:r w:rsidR="00F15169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versus the weight of identity politics in the Brexit case</w:t>
      </w:r>
      <w:r w:rsidR="00155BF0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raises the question of</w:t>
      </w:r>
      <w:r w:rsidR="00155BF0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whether there are multiple pathways to disintegration that converge on the same endpoint</w:t>
      </w:r>
      <w:r w:rsidR="00155BF0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 xml:space="preserve">through different mechanisms. </w:t>
      </w:r>
    </w:p>
    <w:p w14:paraId="02849A12" w14:textId="68BF3608" w:rsidR="001B553B" w:rsidRP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1B553B">
        <w:rPr>
          <w:rFonts w:ascii="Times New Roman" w:hAnsi="Times New Roman" w:cs="Times New Roman"/>
        </w:rPr>
        <w:t>Regional integration remains one of the central organising principles of the contemporary</w:t>
      </w:r>
      <w:r w:rsidR="00657AFE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international order. Understanding the conditions under which it reverses is therefore not</w:t>
      </w:r>
      <w:r w:rsidR="00657AFE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merely an academic question but a matter of considerable practical significance. This study</w:t>
      </w:r>
      <w:r w:rsidR="00657AFE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contributes to that understanding by showing that the question of when integration fails is</w:t>
      </w:r>
      <w:r w:rsidR="00657AFE">
        <w:rPr>
          <w:rFonts w:ascii="Times New Roman" w:hAnsi="Times New Roman" w:cs="Times New Roman"/>
        </w:rPr>
        <w:t xml:space="preserve"> </w:t>
      </w:r>
      <w:r w:rsidRPr="001B553B">
        <w:rPr>
          <w:rFonts w:ascii="Times New Roman" w:hAnsi="Times New Roman" w:cs="Times New Roman"/>
        </w:rPr>
        <w:t>not confined to any one region, regime type, or level of development.</w:t>
      </w:r>
    </w:p>
    <w:p w14:paraId="3417498E" w14:textId="77777777" w:rsidR="001B553B" w:rsidRDefault="001B553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34EF9FB3" w14:textId="77777777" w:rsidR="001F3513" w:rsidRDefault="001F3513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76D71B9C" w14:textId="77777777" w:rsidR="001F3513" w:rsidRDefault="001F3513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1E2E1082" w14:textId="77777777" w:rsidR="001F3513" w:rsidRDefault="001F3513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6122AB80" w14:textId="77777777" w:rsidR="001F3513" w:rsidRDefault="001F3513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2A834DD6" w14:textId="77777777" w:rsidR="001F3513" w:rsidRDefault="001F3513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67782E9F" w14:textId="77777777" w:rsidR="001F3513" w:rsidRDefault="001F3513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3417A9DE" w14:textId="77777777" w:rsidR="001F3513" w:rsidRDefault="001F3513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454BEB02" w14:textId="77777777" w:rsidR="001F3513" w:rsidRDefault="001F3513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58B15D87" w14:textId="77777777" w:rsidR="001F3513" w:rsidRDefault="001F3513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2AC31AC8" w14:textId="77777777" w:rsidR="009A2E0B" w:rsidRPr="001B553B" w:rsidRDefault="009A2E0B" w:rsidP="001B553B">
      <w:pPr>
        <w:spacing w:before="240" w:after="0" w:line="360" w:lineRule="auto"/>
        <w:jc w:val="both"/>
        <w:rPr>
          <w:rFonts w:ascii="Times New Roman" w:hAnsi="Times New Roman" w:cs="Times New Roman"/>
        </w:rPr>
      </w:pPr>
    </w:p>
    <w:p w14:paraId="2D7E440E" w14:textId="147CE80A" w:rsidR="001B553B" w:rsidRPr="00712902" w:rsidRDefault="001B553B" w:rsidP="00712902">
      <w:pPr>
        <w:pStyle w:val="Heading1"/>
      </w:pPr>
      <w:bookmarkStart w:id="20" w:name="_Toc232802568"/>
      <w:r w:rsidRPr="00712902">
        <w:lastRenderedPageBreak/>
        <w:t>References</w:t>
      </w:r>
      <w:bookmarkEnd w:id="20"/>
    </w:p>
    <w:p w14:paraId="3C755739" w14:textId="3182D624" w:rsidR="001B553B" w:rsidRPr="00C12219" w:rsidRDefault="001B553B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2219">
        <w:rPr>
          <w:rFonts w:ascii="Times New Roman" w:hAnsi="Times New Roman" w:cs="Times New Roman"/>
        </w:rPr>
        <w:t>Acho, G. A. (2024). The Alliance of Sahel States and ECOWAS: Withdrawal, sanctions, and</w:t>
      </w:r>
      <w:r w:rsidR="00561AD5" w:rsidRPr="00C12219">
        <w:rPr>
          <w:rFonts w:ascii="Times New Roman" w:hAnsi="Times New Roman" w:cs="Times New Roman"/>
        </w:rPr>
        <w:t xml:space="preserve"> </w:t>
      </w:r>
      <w:r w:rsidRPr="00C12219">
        <w:rPr>
          <w:rFonts w:ascii="Times New Roman" w:hAnsi="Times New Roman" w:cs="Times New Roman"/>
        </w:rPr>
        <w:t>the legitimacy crisis</w:t>
      </w:r>
      <w:r w:rsidR="000900E7">
        <w:rPr>
          <w:rFonts w:ascii="Times New Roman" w:hAnsi="Times New Roman" w:cs="Times New Roman"/>
        </w:rPr>
        <w:t xml:space="preserve">. </w:t>
      </w:r>
      <w:r w:rsidRPr="00C12219">
        <w:rPr>
          <w:rFonts w:ascii="Times New Roman" w:hAnsi="Times New Roman" w:cs="Times New Roman"/>
        </w:rPr>
        <w:t>Global Governance Institute.</w:t>
      </w:r>
      <w:r w:rsidR="001129D9" w:rsidRPr="00C12219">
        <w:rPr>
          <w:rFonts w:ascii="Times New Roman" w:hAnsi="Times New Roman" w:cs="Times New Roman"/>
        </w:rPr>
        <w:t xml:space="preserve"> </w:t>
      </w:r>
    </w:p>
    <w:p w14:paraId="2D960551" w14:textId="0E129AC5" w:rsidR="001B553B" w:rsidRPr="00C12219" w:rsidRDefault="001B553B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2219">
        <w:rPr>
          <w:rFonts w:ascii="Times New Roman" w:hAnsi="Times New Roman" w:cs="Times New Roman"/>
        </w:rPr>
        <w:t>De Lombaerde, P., Mattheis, F., Fonseca, C., &amp; Martins, M. (2021). Regional disintegration:</w:t>
      </w:r>
      <w:r w:rsidR="00561AD5" w:rsidRPr="00C12219">
        <w:rPr>
          <w:rFonts w:ascii="Times New Roman" w:hAnsi="Times New Roman" w:cs="Times New Roman"/>
        </w:rPr>
        <w:t xml:space="preserve"> </w:t>
      </w:r>
      <w:r w:rsidRPr="00C12219">
        <w:rPr>
          <w:rFonts w:ascii="Times New Roman" w:hAnsi="Times New Roman" w:cs="Times New Roman"/>
        </w:rPr>
        <w:t>Causes, consequences and contradictions. Comentario Internacional</w:t>
      </w:r>
      <w:r w:rsidR="00B43AAF" w:rsidRPr="00C12219">
        <w:rPr>
          <w:rFonts w:ascii="Times New Roman" w:hAnsi="Times New Roman" w:cs="Times New Roman"/>
        </w:rPr>
        <w:t>,</w:t>
      </w:r>
      <w:r w:rsidRPr="00C12219">
        <w:rPr>
          <w:rFonts w:ascii="Times New Roman" w:hAnsi="Times New Roman" w:cs="Times New Roman"/>
        </w:rPr>
        <w:t xml:space="preserve"> 21</w:t>
      </w:r>
      <w:r w:rsidR="00B43AAF" w:rsidRPr="00C12219">
        <w:rPr>
          <w:rFonts w:ascii="Times New Roman" w:hAnsi="Times New Roman" w:cs="Times New Roman"/>
        </w:rPr>
        <w:t>,</w:t>
      </w:r>
      <w:r w:rsidRPr="00C12219">
        <w:rPr>
          <w:rFonts w:ascii="Times New Roman" w:hAnsi="Times New Roman" w:cs="Times New Roman"/>
        </w:rPr>
        <w:t xml:space="preserve"> 5–20.</w:t>
      </w:r>
      <w:r w:rsidR="00561AD5" w:rsidRPr="00C12219">
        <w:rPr>
          <w:rFonts w:ascii="Times New Roman" w:hAnsi="Times New Roman" w:cs="Times New Roman"/>
        </w:rPr>
        <w:t xml:space="preserve"> </w:t>
      </w:r>
      <w:hyperlink r:id="rId8" w:history="1">
        <w:r w:rsidR="00561AD5" w:rsidRPr="00C12219">
          <w:rPr>
            <w:rStyle w:val="Hyperlink"/>
            <w:rFonts w:ascii="Times New Roman" w:hAnsi="Times New Roman" w:cs="Times New Roman"/>
          </w:rPr>
          <w:t>https://doi.org/10.32719/26312549.2021.21.1</w:t>
        </w:r>
      </w:hyperlink>
      <w:r w:rsidR="00561AD5" w:rsidRPr="00C12219">
        <w:rPr>
          <w:rFonts w:ascii="Times New Roman" w:hAnsi="Times New Roman" w:cs="Times New Roman"/>
        </w:rPr>
        <w:t xml:space="preserve"> </w:t>
      </w:r>
    </w:p>
    <w:p w14:paraId="1818B8F3" w14:textId="0BA123AE" w:rsidR="001B553B" w:rsidRPr="00C12219" w:rsidRDefault="001B553B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2219">
        <w:rPr>
          <w:rFonts w:ascii="Times New Roman" w:hAnsi="Times New Roman" w:cs="Times New Roman"/>
        </w:rPr>
        <w:t>Dougherty, J. E., &amp; Pfalzgraff, R. L., Jr. (2001). Contending theories of international</w:t>
      </w:r>
      <w:r w:rsidR="003F314A" w:rsidRPr="00C12219">
        <w:rPr>
          <w:rFonts w:ascii="Times New Roman" w:hAnsi="Times New Roman" w:cs="Times New Roman"/>
        </w:rPr>
        <w:t xml:space="preserve"> </w:t>
      </w:r>
      <w:r w:rsidRPr="00C12219">
        <w:rPr>
          <w:rFonts w:ascii="Times New Roman" w:hAnsi="Times New Roman" w:cs="Times New Roman"/>
        </w:rPr>
        <w:t>relations: A comprehensive survey</w:t>
      </w:r>
      <w:r w:rsidR="006D55C1">
        <w:rPr>
          <w:rFonts w:ascii="Times New Roman" w:hAnsi="Times New Roman" w:cs="Times New Roman"/>
        </w:rPr>
        <w:t xml:space="preserve"> </w:t>
      </w:r>
      <w:r w:rsidRPr="00C12219">
        <w:rPr>
          <w:rFonts w:ascii="Times New Roman" w:hAnsi="Times New Roman" w:cs="Times New Roman"/>
        </w:rPr>
        <w:t>(5th ed.). Longman.</w:t>
      </w:r>
    </w:p>
    <w:p w14:paraId="465AF2B4" w14:textId="24E99E16" w:rsidR="001B553B" w:rsidRPr="00C12219" w:rsidRDefault="001B553B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2219">
        <w:rPr>
          <w:rFonts w:ascii="Times New Roman" w:hAnsi="Times New Roman" w:cs="Times New Roman"/>
        </w:rPr>
        <w:t>EBSCO Research Starters. (n.d.). Sahel region (Africa</w:t>
      </w:r>
      <w:r w:rsidR="000900E7">
        <w:rPr>
          <w:rFonts w:ascii="Times New Roman" w:hAnsi="Times New Roman" w:cs="Times New Roman"/>
        </w:rPr>
        <w:t>).</w:t>
      </w:r>
      <w:r w:rsidRPr="00C12219">
        <w:rPr>
          <w:rFonts w:ascii="Times New Roman" w:hAnsi="Times New Roman" w:cs="Times New Roman"/>
        </w:rPr>
        <w:t xml:space="preserve"> EBSCO.</w:t>
      </w:r>
      <w:r w:rsidR="003F314A" w:rsidRPr="00C12219">
        <w:rPr>
          <w:rFonts w:ascii="Times New Roman" w:hAnsi="Times New Roman" w:cs="Times New Roman"/>
        </w:rPr>
        <w:t xml:space="preserve"> </w:t>
      </w:r>
      <w:r w:rsidRPr="00C12219">
        <w:rPr>
          <w:rFonts w:ascii="Times New Roman" w:hAnsi="Times New Roman" w:cs="Times New Roman"/>
        </w:rPr>
        <w:t>https://www.ebsco.com/research-starters/earth-and-atmospheric-sciences/sahel-region-africa</w:t>
      </w:r>
    </w:p>
    <w:p w14:paraId="2814B7DC" w14:textId="701E8A40" w:rsidR="00EA3079" w:rsidRPr="00EA3079" w:rsidRDefault="00EA3079" w:rsidP="00EA3079">
      <w:pPr>
        <w:pStyle w:val="NormalWeb"/>
        <w:numPr>
          <w:ilvl w:val="0"/>
          <w:numId w:val="1"/>
        </w:numPr>
        <w:spacing w:before="0" w:beforeAutospacing="0" w:after="0" w:afterAutospacing="0" w:line="480" w:lineRule="atLeast"/>
        <w:rPr>
          <w:color w:val="000000"/>
        </w:rPr>
      </w:pPr>
      <w:proofErr w:type="spellStart"/>
      <w:r>
        <w:rPr>
          <w:color w:val="000000"/>
        </w:rPr>
        <w:t>Estevens</w:t>
      </w:r>
      <w:proofErr w:type="spellEnd"/>
      <w:r>
        <w:rPr>
          <w:color w:val="000000"/>
        </w:rPr>
        <w:t>, J. (2018). Migration crisis in the EU: developing a framework for analysis of national security and defence strategies.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Comparative Migration Studies</w:t>
      </w:r>
      <w:r>
        <w:rPr>
          <w:color w:val="000000"/>
        </w:rPr>
        <w:t>,</w:t>
      </w:r>
      <w:r>
        <w:rPr>
          <w:rStyle w:val="apple-converted-space"/>
          <w:color w:val="000000"/>
        </w:rPr>
        <w:t> </w:t>
      </w:r>
      <w:r>
        <w:rPr>
          <w:i/>
          <w:iCs/>
          <w:color w:val="000000"/>
        </w:rPr>
        <w:t>6</w:t>
      </w:r>
      <w:r>
        <w:rPr>
          <w:color w:val="000000"/>
        </w:rPr>
        <w:t>(1), 28.</w:t>
      </w:r>
      <w:r>
        <w:rPr>
          <w:rStyle w:val="apple-converted-space"/>
          <w:color w:val="000000"/>
        </w:rPr>
        <w:t> </w:t>
      </w:r>
      <w:hyperlink r:id="rId9" w:history="1">
        <w:r w:rsidRPr="00262A04">
          <w:rPr>
            <w:rStyle w:val="Hyperlink"/>
          </w:rPr>
          <w:t>https://doi.org/10.1186/s40878-018-0093-3</w:t>
        </w:r>
      </w:hyperlink>
      <w:r>
        <w:rPr>
          <w:rStyle w:val="url"/>
          <w:color w:val="000000"/>
        </w:rPr>
        <w:t xml:space="preserve"> </w:t>
      </w:r>
    </w:p>
    <w:p w14:paraId="22B07C2D" w14:textId="19BDF961" w:rsidR="001B553B" w:rsidRPr="00C12219" w:rsidRDefault="001B553B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2219">
        <w:rPr>
          <w:rFonts w:ascii="Times New Roman" w:hAnsi="Times New Roman" w:cs="Times New Roman"/>
        </w:rPr>
        <w:t xml:space="preserve">Fabbrini, S., &amp; </w:t>
      </w:r>
      <w:proofErr w:type="spellStart"/>
      <w:r w:rsidRPr="00C12219">
        <w:rPr>
          <w:rFonts w:ascii="Times New Roman" w:hAnsi="Times New Roman" w:cs="Times New Roman"/>
        </w:rPr>
        <w:t>Zgaga</w:t>
      </w:r>
      <w:proofErr w:type="spellEnd"/>
      <w:r w:rsidRPr="00C12219">
        <w:rPr>
          <w:rFonts w:ascii="Times New Roman" w:hAnsi="Times New Roman" w:cs="Times New Roman"/>
        </w:rPr>
        <w:t xml:space="preserve">, T. (2024). Right-wing </w:t>
      </w:r>
      <w:proofErr w:type="spellStart"/>
      <w:r w:rsidRPr="00C12219">
        <w:rPr>
          <w:rFonts w:ascii="Times New Roman" w:hAnsi="Times New Roman" w:cs="Times New Roman"/>
        </w:rPr>
        <w:t>sovereignism</w:t>
      </w:r>
      <w:proofErr w:type="spellEnd"/>
      <w:r w:rsidRPr="00C12219">
        <w:rPr>
          <w:rFonts w:ascii="Times New Roman" w:hAnsi="Times New Roman" w:cs="Times New Roman"/>
        </w:rPr>
        <w:t xml:space="preserve"> in the European Union: Definition,</w:t>
      </w:r>
      <w:r w:rsidR="000C0C34" w:rsidRPr="00C12219">
        <w:rPr>
          <w:rFonts w:ascii="Times New Roman" w:hAnsi="Times New Roman" w:cs="Times New Roman"/>
        </w:rPr>
        <w:t xml:space="preserve"> </w:t>
      </w:r>
      <w:r w:rsidRPr="00C12219">
        <w:rPr>
          <w:rFonts w:ascii="Times New Roman" w:hAnsi="Times New Roman" w:cs="Times New Roman"/>
        </w:rPr>
        <w:t>features and implications. JCMS: Journal of Common Market Studies</w:t>
      </w:r>
      <w:r w:rsidR="000C0C34" w:rsidRPr="00C12219">
        <w:rPr>
          <w:rFonts w:ascii="Times New Roman" w:hAnsi="Times New Roman" w:cs="Times New Roman"/>
        </w:rPr>
        <w:t xml:space="preserve">, </w:t>
      </w:r>
      <w:r w:rsidRPr="00C12219">
        <w:rPr>
          <w:rFonts w:ascii="Times New Roman" w:hAnsi="Times New Roman" w:cs="Times New Roman"/>
        </w:rPr>
        <w:t>62</w:t>
      </w:r>
      <w:r w:rsidR="000C0C34" w:rsidRPr="00C12219">
        <w:rPr>
          <w:rFonts w:ascii="Times New Roman" w:hAnsi="Times New Roman" w:cs="Times New Roman"/>
        </w:rPr>
        <w:t>(</w:t>
      </w:r>
      <w:r w:rsidRPr="00C12219">
        <w:rPr>
          <w:rFonts w:ascii="Times New Roman" w:hAnsi="Times New Roman" w:cs="Times New Roman"/>
        </w:rPr>
        <w:t>2), 341–359.</w:t>
      </w:r>
    </w:p>
    <w:p w14:paraId="67988DC8" w14:textId="550DDC79" w:rsidR="001B553B" w:rsidRPr="00C12219" w:rsidRDefault="000C0C34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hyperlink r:id="rId10" w:history="1">
        <w:r w:rsidRPr="00C12219">
          <w:rPr>
            <w:rStyle w:val="Hyperlink"/>
            <w:rFonts w:ascii="Times New Roman" w:hAnsi="Times New Roman" w:cs="Times New Roman"/>
          </w:rPr>
          <w:t>https://doi.org/10.1111/jcms.13497</w:t>
        </w:r>
      </w:hyperlink>
      <w:r w:rsidRPr="00C12219">
        <w:rPr>
          <w:rFonts w:ascii="Times New Roman" w:hAnsi="Times New Roman" w:cs="Times New Roman"/>
        </w:rPr>
        <w:t xml:space="preserve"> </w:t>
      </w:r>
    </w:p>
    <w:p w14:paraId="7E261E8E" w14:textId="039BFA0B" w:rsidR="001B553B" w:rsidRPr="00C12219" w:rsidRDefault="001B553B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2219">
        <w:rPr>
          <w:rFonts w:ascii="Times New Roman" w:hAnsi="Times New Roman" w:cs="Times New Roman"/>
        </w:rPr>
        <w:t xml:space="preserve">Frankema, E., </w:t>
      </w:r>
      <w:proofErr w:type="spellStart"/>
      <w:r w:rsidRPr="00C12219">
        <w:rPr>
          <w:rFonts w:ascii="Times New Roman" w:hAnsi="Times New Roman" w:cs="Times New Roman"/>
        </w:rPr>
        <w:t>Hillbom</w:t>
      </w:r>
      <w:proofErr w:type="spellEnd"/>
      <w:r w:rsidRPr="00C12219">
        <w:rPr>
          <w:rFonts w:ascii="Times New Roman" w:hAnsi="Times New Roman" w:cs="Times New Roman"/>
        </w:rPr>
        <w:t xml:space="preserve">, E., </w:t>
      </w:r>
      <w:proofErr w:type="spellStart"/>
      <w:r w:rsidRPr="00C12219">
        <w:rPr>
          <w:rFonts w:ascii="Times New Roman" w:hAnsi="Times New Roman" w:cs="Times New Roman"/>
        </w:rPr>
        <w:t>Kufakurinani</w:t>
      </w:r>
      <w:proofErr w:type="spellEnd"/>
      <w:r w:rsidRPr="00C12219">
        <w:rPr>
          <w:rFonts w:ascii="Times New Roman" w:hAnsi="Times New Roman" w:cs="Times New Roman"/>
        </w:rPr>
        <w:t xml:space="preserve">, U., &amp; Meier </w:t>
      </w:r>
      <w:proofErr w:type="spellStart"/>
      <w:r w:rsidRPr="00C12219">
        <w:rPr>
          <w:rFonts w:ascii="Times New Roman" w:hAnsi="Times New Roman" w:cs="Times New Roman"/>
        </w:rPr>
        <w:t>zu</w:t>
      </w:r>
      <w:proofErr w:type="spellEnd"/>
      <w:r w:rsidRPr="00C12219">
        <w:rPr>
          <w:rFonts w:ascii="Times New Roman" w:hAnsi="Times New Roman" w:cs="Times New Roman"/>
        </w:rPr>
        <w:t xml:space="preserve"> </w:t>
      </w:r>
      <w:proofErr w:type="spellStart"/>
      <w:r w:rsidRPr="00C12219">
        <w:rPr>
          <w:rFonts w:ascii="Times New Roman" w:hAnsi="Times New Roman" w:cs="Times New Roman"/>
        </w:rPr>
        <w:t>Selhausen</w:t>
      </w:r>
      <w:proofErr w:type="spellEnd"/>
      <w:r w:rsidRPr="00C12219">
        <w:rPr>
          <w:rFonts w:ascii="Times New Roman" w:hAnsi="Times New Roman" w:cs="Times New Roman"/>
        </w:rPr>
        <w:t>, F. (Eds.). (2023).</w:t>
      </w:r>
      <w:r w:rsidR="002943A5" w:rsidRPr="00C12219">
        <w:rPr>
          <w:rFonts w:ascii="Times New Roman" w:hAnsi="Times New Roman" w:cs="Times New Roman"/>
        </w:rPr>
        <w:t xml:space="preserve"> </w:t>
      </w:r>
      <w:r w:rsidRPr="00C12219">
        <w:rPr>
          <w:rFonts w:ascii="Times New Roman" w:hAnsi="Times New Roman" w:cs="Times New Roman"/>
        </w:rPr>
        <w:t>The history of African development: A textbook for a new generation of African students and</w:t>
      </w:r>
      <w:r w:rsidR="002943A5" w:rsidRPr="00C12219">
        <w:rPr>
          <w:rFonts w:ascii="Times New Roman" w:hAnsi="Times New Roman" w:cs="Times New Roman"/>
        </w:rPr>
        <w:t xml:space="preserve"> </w:t>
      </w:r>
      <w:r w:rsidR="009D74DC" w:rsidRPr="00C12219">
        <w:rPr>
          <w:rFonts w:ascii="Times New Roman" w:hAnsi="Times New Roman" w:cs="Times New Roman"/>
        </w:rPr>
        <w:t>T</w:t>
      </w:r>
      <w:r w:rsidRPr="00C12219">
        <w:rPr>
          <w:rFonts w:ascii="Times New Roman" w:hAnsi="Times New Roman" w:cs="Times New Roman"/>
        </w:rPr>
        <w:t>eachers</w:t>
      </w:r>
      <w:r w:rsidR="009D74DC" w:rsidRPr="00C12219">
        <w:rPr>
          <w:rFonts w:ascii="Times New Roman" w:hAnsi="Times New Roman" w:cs="Times New Roman"/>
        </w:rPr>
        <w:t xml:space="preserve">. </w:t>
      </w:r>
      <w:r w:rsidRPr="00C12219">
        <w:rPr>
          <w:rFonts w:ascii="Times New Roman" w:hAnsi="Times New Roman" w:cs="Times New Roman"/>
        </w:rPr>
        <w:t xml:space="preserve"> African Economic History Network. https://doi.org/10.18174/590864</w:t>
      </w:r>
    </w:p>
    <w:p w14:paraId="78E6C69B" w14:textId="1B4F7F8D" w:rsidR="001B553B" w:rsidRPr="00C12219" w:rsidRDefault="001B553B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2219">
        <w:rPr>
          <w:rFonts w:ascii="Times New Roman" w:hAnsi="Times New Roman" w:cs="Times New Roman"/>
        </w:rPr>
        <w:t>George, A. L., &amp; Bennett, A. (2005). Case studies and theory development in the social</w:t>
      </w:r>
      <w:r w:rsidR="002943A5" w:rsidRPr="00C12219">
        <w:rPr>
          <w:rFonts w:ascii="Times New Roman" w:hAnsi="Times New Roman" w:cs="Times New Roman"/>
        </w:rPr>
        <w:t xml:space="preserve"> </w:t>
      </w:r>
      <w:r w:rsidRPr="00C12219">
        <w:rPr>
          <w:rFonts w:ascii="Times New Roman" w:hAnsi="Times New Roman" w:cs="Times New Roman"/>
        </w:rPr>
        <w:t>sciences</w:t>
      </w:r>
      <w:r w:rsidR="006958F2" w:rsidRPr="00C12219">
        <w:rPr>
          <w:rFonts w:ascii="Times New Roman" w:hAnsi="Times New Roman" w:cs="Times New Roman"/>
        </w:rPr>
        <w:t xml:space="preserve">. </w:t>
      </w:r>
      <w:r w:rsidRPr="00C12219">
        <w:rPr>
          <w:rFonts w:ascii="Times New Roman" w:hAnsi="Times New Roman" w:cs="Times New Roman"/>
        </w:rPr>
        <w:t xml:space="preserve"> MIT Press.</w:t>
      </w:r>
    </w:p>
    <w:p w14:paraId="06C01A3F" w14:textId="03171392" w:rsidR="001B553B" w:rsidRPr="00C12219" w:rsidRDefault="001B553B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2219">
        <w:rPr>
          <w:rFonts w:ascii="Times New Roman" w:hAnsi="Times New Roman" w:cs="Times New Roman"/>
        </w:rPr>
        <w:t>Haas, E. B. (1958). The uniting of Europe: Political, social, and economic forces</w:t>
      </w:r>
      <w:r w:rsidR="002943A5" w:rsidRPr="00C12219">
        <w:rPr>
          <w:rFonts w:ascii="Times New Roman" w:hAnsi="Times New Roman" w:cs="Times New Roman"/>
        </w:rPr>
        <w:t xml:space="preserve"> </w:t>
      </w:r>
      <w:r w:rsidRPr="00C12219">
        <w:rPr>
          <w:rFonts w:ascii="Times New Roman" w:hAnsi="Times New Roman" w:cs="Times New Roman"/>
        </w:rPr>
        <w:t>1950–1957</w:t>
      </w:r>
      <w:r w:rsidR="006958F2" w:rsidRPr="00C12219">
        <w:rPr>
          <w:rFonts w:ascii="Times New Roman" w:hAnsi="Times New Roman" w:cs="Times New Roman"/>
        </w:rPr>
        <w:t xml:space="preserve">. </w:t>
      </w:r>
      <w:r w:rsidRPr="00C12219">
        <w:rPr>
          <w:rFonts w:ascii="Times New Roman" w:hAnsi="Times New Roman" w:cs="Times New Roman"/>
        </w:rPr>
        <w:t xml:space="preserve"> Stanford University Press.</w:t>
      </w:r>
    </w:p>
    <w:p w14:paraId="22B94E27" w14:textId="6150EC37" w:rsidR="001B553B" w:rsidRPr="00C12219" w:rsidRDefault="001B553B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2219">
        <w:rPr>
          <w:rFonts w:ascii="Times New Roman" w:hAnsi="Times New Roman" w:cs="Times New Roman"/>
        </w:rPr>
        <w:t>Hirschman, A. O. (1970). Exit, voice, and loyalty: Responses to decline in firms,</w:t>
      </w:r>
      <w:r w:rsidR="000E7C22" w:rsidRPr="00C12219">
        <w:rPr>
          <w:rFonts w:ascii="Times New Roman" w:hAnsi="Times New Roman" w:cs="Times New Roman"/>
        </w:rPr>
        <w:t xml:space="preserve"> </w:t>
      </w:r>
      <w:r w:rsidRPr="00C12219">
        <w:rPr>
          <w:rFonts w:ascii="Times New Roman" w:hAnsi="Times New Roman" w:cs="Times New Roman"/>
        </w:rPr>
        <w:t>organizations, and states</w:t>
      </w:r>
      <w:r w:rsidR="006958F2" w:rsidRPr="00C12219">
        <w:rPr>
          <w:rFonts w:ascii="Times New Roman" w:hAnsi="Times New Roman" w:cs="Times New Roman"/>
        </w:rPr>
        <w:t xml:space="preserve">. </w:t>
      </w:r>
      <w:r w:rsidRPr="00C12219">
        <w:rPr>
          <w:rFonts w:ascii="Times New Roman" w:hAnsi="Times New Roman" w:cs="Times New Roman"/>
        </w:rPr>
        <w:t xml:space="preserve"> Harvard University Press.</w:t>
      </w:r>
    </w:p>
    <w:p w14:paraId="257D6775" w14:textId="2D816DCB" w:rsidR="001B553B" w:rsidRPr="00C12219" w:rsidRDefault="001B553B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2219">
        <w:rPr>
          <w:rFonts w:ascii="Times New Roman" w:hAnsi="Times New Roman" w:cs="Times New Roman"/>
        </w:rPr>
        <w:lastRenderedPageBreak/>
        <w:t xml:space="preserve">Hooghe, L., &amp; Marks, G. (2009). A </w:t>
      </w:r>
      <w:r w:rsidR="009838DF" w:rsidRPr="00C12219">
        <w:rPr>
          <w:rFonts w:ascii="Times New Roman" w:hAnsi="Times New Roman" w:cs="Times New Roman"/>
        </w:rPr>
        <w:t>post-functionalist</w:t>
      </w:r>
      <w:r w:rsidRPr="00C12219">
        <w:rPr>
          <w:rFonts w:ascii="Times New Roman" w:hAnsi="Times New Roman" w:cs="Times New Roman"/>
        </w:rPr>
        <w:t xml:space="preserve"> theory of European integration: From</w:t>
      </w:r>
      <w:r w:rsidR="000E7C22" w:rsidRPr="00C12219">
        <w:rPr>
          <w:rFonts w:ascii="Times New Roman" w:hAnsi="Times New Roman" w:cs="Times New Roman"/>
        </w:rPr>
        <w:t xml:space="preserve"> </w:t>
      </w:r>
      <w:r w:rsidRPr="00C12219">
        <w:rPr>
          <w:rFonts w:ascii="Times New Roman" w:hAnsi="Times New Roman" w:cs="Times New Roman"/>
        </w:rPr>
        <w:t>permissive consensus to constraining dissensus. British Journal of Political Science</w:t>
      </w:r>
      <w:r w:rsidR="009838DF" w:rsidRPr="00C12219">
        <w:rPr>
          <w:rFonts w:ascii="Times New Roman" w:hAnsi="Times New Roman" w:cs="Times New Roman"/>
        </w:rPr>
        <w:t>.  39(1</w:t>
      </w:r>
      <w:r w:rsidRPr="00C12219">
        <w:rPr>
          <w:rFonts w:ascii="Times New Roman" w:hAnsi="Times New Roman" w:cs="Times New Roman"/>
        </w:rPr>
        <w:t xml:space="preserve">), 1–23. </w:t>
      </w:r>
      <w:hyperlink r:id="rId11" w:history="1">
        <w:r w:rsidR="009838DF" w:rsidRPr="00C12219">
          <w:rPr>
            <w:rStyle w:val="Hyperlink"/>
            <w:rFonts w:ascii="Times New Roman" w:hAnsi="Times New Roman" w:cs="Times New Roman"/>
          </w:rPr>
          <w:t>https://doi.org/10.1017/S0007123408000409</w:t>
        </w:r>
      </w:hyperlink>
      <w:r w:rsidR="009838DF" w:rsidRPr="00C12219">
        <w:rPr>
          <w:rFonts w:ascii="Times New Roman" w:hAnsi="Times New Roman" w:cs="Times New Roman"/>
        </w:rPr>
        <w:t xml:space="preserve"> </w:t>
      </w:r>
    </w:p>
    <w:p w14:paraId="48531AF9" w14:textId="4A0A7A6D" w:rsidR="001B553B" w:rsidRPr="00C12219" w:rsidRDefault="001B553B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2219">
        <w:rPr>
          <w:rFonts w:ascii="Times New Roman" w:hAnsi="Times New Roman" w:cs="Times New Roman"/>
        </w:rPr>
        <w:t>Institute for Economics &amp; Peace. (2024). Global Terrorism Index 2024: Measuring the impact</w:t>
      </w:r>
      <w:r w:rsidR="000E7C22" w:rsidRPr="00C12219">
        <w:rPr>
          <w:rFonts w:ascii="Times New Roman" w:hAnsi="Times New Roman" w:cs="Times New Roman"/>
        </w:rPr>
        <w:t xml:space="preserve"> of</w:t>
      </w:r>
      <w:r w:rsidRPr="00C12219">
        <w:rPr>
          <w:rFonts w:ascii="Times New Roman" w:hAnsi="Times New Roman" w:cs="Times New Roman"/>
        </w:rPr>
        <w:t xml:space="preserve"> terrorism</w:t>
      </w:r>
      <w:r w:rsidR="000E7C22" w:rsidRPr="00C12219">
        <w:rPr>
          <w:rFonts w:ascii="Times New Roman" w:hAnsi="Times New Roman" w:cs="Times New Roman"/>
        </w:rPr>
        <w:t xml:space="preserve">. </w:t>
      </w:r>
      <w:hyperlink r:id="rId12" w:history="1">
        <w:r w:rsidR="000E7C22" w:rsidRPr="00C12219">
          <w:rPr>
            <w:rStyle w:val="Hyperlink"/>
            <w:rFonts w:ascii="Times New Roman" w:hAnsi="Times New Roman" w:cs="Times New Roman"/>
          </w:rPr>
          <w:t>https://www.economicsandpeace.org/wp-content/uploads/2024/02/GTI-2024-web-290224</w:t>
        </w:r>
      </w:hyperlink>
      <w:r w:rsidRPr="00C12219">
        <w:rPr>
          <w:rFonts w:ascii="Times New Roman" w:hAnsi="Times New Roman" w:cs="Times New Roman"/>
        </w:rPr>
        <w:t>.</w:t>
      </w:r>
      <w:r w:rsidR="000E7C22" w:rsidRPr="00C12219">
        <w:rPr>
          <w:rFonts w:ascii="Times New Roman" w:hAnsi="Times New Roman" w:cs="Times New Roman"/>
        </w:rPr>
        <w:t xml:space="preserve"> Pdf</w:t>
      </w:r>
    </w:p>
    <w:p w14:paraId="14396793" w14:textId="45E31B1A" w:rsidR="001B553B" w:rsidRPr="00C12219" w:rsidRDefault="001B553B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2219">
        <w:rPr>
          <w:rFonts w:ascii="Times New Roman" w:hAnsi="Times New Roman" w:cs="Times New Roman"/>
        </w:rPr>
        <w:t>International Monetary Fund. (2026). World Economic Outlook database</w:t>
      </w:r>
      <w:r w:rsidR="00297506">
        <w:rPr>
          <w:rFonts w:ascii="Times New Roman" w:hAnsi="Times New Roman" w:cs="Times New Roman"/>
        </w:rPr>
        <w:t xml:space="preserve"> </w:t>
      </w:r>
      <w:r w:rsidRPr="00C12219">
        <w:rPr>
          <w:rFonts w:ascii="Times New Roman" w:hAnsi="Times New Roman" w:cs="Times New Roman"/>
        </w:rPr>
        <w:t>(April 2026 ed.).</w:t>
      </w:r>
      <w:r w:rsidR="000E7C22" w:rsidRPr="00C12219">
        <w:rPr>
          <w:rFonts w:ascii="Times New Roman" w:hAnsi="Times New Roman" w:cs="Times New Roman"/>
        </w:rPr>
        <w:t xml:space="preserve"> </w:t>
      </w:r>
      <w:r w:rsidRPr="00C12219">
        <w:rPr>
          <w:rFonts w:ascii="Times New Roman" w:hAnsi="Times New Roman" w:cs="Times New Roman"/>
        </w:rPr>
        <w:t>https://www.imf.org/en/Publications/WEO</w:t>
      </w:r>
    </w:p>
    <w:p w14:paraId="0847C265" w14:textId="0DE3C5EC" w:rsidR="001B553B" w:rsidRPr="00C12219" w:rsidRDefault="001B553B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2219">
        <w:rPr>
          <w:rFonts w:ascii="Times New Roman" w:hAnsi="Times New Roman" w:cs="Times New Roman"/>
        </w:rPr>
        <w:t>Jabbar, C. (2025, December 23). Corridors of the Alliance of Sahel States: Logistical</w:t>
      </w:r>
      <w:r w:rsidR="006124E2" w:rsidRPr="00C12219">
        <w:rPr>
          <w:rFonts w:ascii="Times New Roman" w:hAnsi="Times New Roman" w:cs="Times New Roman"/>
        </w:rPr>
        <w:t xml:space="preserve"> </w:t>
      </w:r>
      <w:r w:rsidRPr="00C12219">
        <w:rPr>
          <w:rFonts w:ascii="Times New Roman" w:hAnsi="Times New Roman" w:cs="Times New Roman"/>
        </w:rPr>
        <w:t>vulnerabilities, security constraints, and adaptation dynamics</w:t>
      </w:r>
      <w:r w:rsidR="006124E2" w:rsidRPr="00C12219">
        <w:rPr>
          <w:rFonts w:ascii="Times New Roman" w:hAnsi="Times New Roman" w:cs="Times New Roman"/>
        </w:rPr>
        <w:t>.</w:t>
      </w:r>
    </w:p>
    <w:p w14:paraId="4C718B38" w14:textId="782BE4D3" w:rsidR="001B553B" w:rsidRPr="00C12219" w:rsidRDefault="001B553B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2219">
        <w:rPr>
          <w:rFonts w:ascii="Times New Roman" w:hAnsi="Times New Roman" w:cs="Times New Roman"/>
        </w:rPr>
        <w:t xml:space="preserve">Mills, A. J., </w:t>
      </w:r>
      <w:proofErr w:type="spellStart"/>
      <w:r w:rsidRPr="00C12219">
        <w:rPr>
          <w:rFonts w:ascii="Times New Roman" w:hAnsi="Times New Roman" w:cs="Times New Roman"/>
        </w:rPr>
        <w:t>Durepos</w:t>
      </w:r>
      <w:proofErr w:type="spellEnd"/>
      <w:r w:rsidRPr="00C12219">
        <w:rPr>
          <w:rFonts w:ascii="Times New Roman" w:hAnsi="Times New Roman" w:cs="Times New Roman"/>
        </w:rPr>
        <w:t>, G., &amp; Wiebe, E. (Eds.). (2010). Most different systems design. In</w:t>
      </w:r>
      <w:r w:rsidR="006124E2" w:rsidRPr="00C12219">
        <w:rPr>
          <w:rFonts w:ascii="Times New Roman" w:hAnsi="Times New Roman" w:cs="Times New Roman"/>
        </w:rPr>
        <w:t xml:space="preserve"> </w:t>
      </w:r>
      <w:r w:rsidRPr="00C12219">
        <w:rPr>
          <w:rFonts w:ascii="Times New Roman" w:hAnsi="Times New Roman" w:cs="Times New Roman"/>
        </w:rPr>
        <w:t>Encyclopedia of case study research</w:t>
      </w:r>
      <w:r w:rsidR="006124E2" w:rsidRPr="00C12219">
        <w:rPr>
          <w:rFonts w:ascii="Times New Roman" w:hAnsi="Times New Roman" w:cs="Times New Roman"/>
        </w:rPr>
        <w:t>.</w:t>
      </w:r>
      <w:r w:rsidRPr="00C12219">
        <w:rPr>
          <w:rFonts w:ascii="Times New Roman" w:hAnsi="Times New Roman" w:cs="Times New Roman"/>
        </w:rPr>
        <w:t xml:space="preserve"> SAGE Publications.</w:t>
      </w:r>
    </w:p>
    <w:p w14:paraId="3AF6B7DD" w14:textId="07ADDD40" w:rsidR="001B553B" w:rsidRPr="00C12219" w:rsidRDefault="006124E2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hyperlink r:id="rId13" w:history="1">
        <w:r w:rsidRPr="00C12219">
          <w:rPr>
            <w:rStyle w:val="Hyperlink"/>
            <w:rFonts w:ascii="Times New Roman" w:hAnsi="Times New Roman" w:cs="Times New Roman"/>
          </w:rPr>
          <w:t>https://doi.org/10.4135/9781412957397.n211</w:t>
        </w:r>
      </w:hyperlink>
      <w:r w:rsidRPr="00C12219">
        <w:rPr>
          <w:rFonts w:ascii="Times New Roman" w:hAnsi="Times New Roman" w:cs="Times New Roman"/>
        </w:rPr>
        <w:t xml:space="preserve"> </w:t>
      </w:r>
    </w:p>
    <w:p w14:paraId="785E671E" w14:textId="6A60207B" w:rsidR="001B553B" w:rsidRPr="00C12219" w:rsidRDefault="001B553B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2219">
        <w:rPr>
          <w:rFonts w:ascii="Times New Roman" w:hAnsi="Times New Roman" w:cs="Times New Roman"/>
        </w:rPr>
        <w:t>Nye, J. S. (1971). *Peace in parts: Integration and conflict in regional organization</w:t>
      </w:r>
      <w:r w:rsidR="006124E2" w:rsidRPr="00C12219">
        <w:rPr>
          <w:rFonts w:ascii="Times New Roman" w:hAnsi="Times New Roman" w:cs="Times New Roman"/>
        </w:rPr>
        <w:t xml:space="preserve">. </w:t>
      </w:r>
      <w:r w:rsidRPr="00C12219">
        <w:rPr>
          <w:rFonts w:ascii="Times New Roman" w:hAnsi="Times New Roman" w:cs="Times New Roman"/>
        </w:rPr>
        <w:t>Little, Brown and Company.</w:t>
      </w:r>
    </w:p>
    <w:p w14:paraId="21B63DB9" w14:textId="4E355536" w:rsidR="001B553B" w:rsidRPr="00C4126F" w:rsidRDefault="001B553B" w:rsidP="00C4126F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2219">
        <w:rPr>
          <w:rFonts w:ascii="Times New Roman" w:hAnsi="Times New Roman" w:cs="Times New Roman"/>
        </w:rPr>
        <w:t>Oluyemi, O. A. (2025). The Cold War resurgence: A discourse on the rivalry between ECOWAS</w:t>
      </w:r>
      <w:r w:rsidR="006124E2" w:rsidRPr="00C12219">
        <w:rPr>
          <w:rFonts w:ascii="Times New Roman" w:hAnsi="Times New Roman" w:cs="Times New Roman"/>
        </w:rPr>
        <w:t xml:space="preserve"> </w:t>
      </w:r>
      <w:r w:rsidRPr="00C12219">
        <w:rPr>
          <w:rFonts w:ascii="Times New Roman" w:hAnsi="Times New Roman" w:cs="Times New Roman"/>
        </w:rPr>
        <w:t>and AES in West Africa. International Journal of Social Sciences and English Literature</w:t>
      </w:r>
      <w:r w:rsidR="00283C01" w:rsidRPr="00C12219">
        <w:rPr>
          <w:rFonts w:ascii="Times New Roman" w:hAnsi="Times New Roman" w:cs="Times New Roman"/>
        </w:rPr>
        <w:t xml:space="preserve">. </w:t>
      </w:r>
      <w:r w:rsidRPr="00C4126F">
        <w:rPr>
          <w:rFonts w:ascii="Times New Roman" w:hAnsi="Times New Roman" w:cs="Times New Roman"/>
        </w:rPr>
        <w:t>9</w:t>
      </w:r>
      <w:r w:rsidR="00283C01" w:rsidRPr="00C4126F">
        <w:rPr>
          <w:rFonts w:ascii="Times New Roman" w:hAnsi="Times New Roman" w:cs="Times New Roman"/>
        </w:rPr>
        <w:t>(</w:t>
      </w:r>
      <w:r w:rsidRPr="00C4126F">
        <w:rPr>
          <w:rFonts w:ascii="Times New Roman" w:hAnsi="Times New Roman" w:cs="Times New Roman"/>
        </w:rPr>
        <w:t xml:space="preserve">1), 1–9. </w:t>
      </w:r>
      <w:hyperlink r:id="rId14" w:history="1">
        <w:r w:rsidR="00283C01" w:rsidRPr="00C4126F">
          <w:rPr>
            <w:rStyle w:val="Hyperlink"/>
            <w:rFonts w:ascii="Times New Roman" w:hAnsi="Times New Roman" w:cs="Times New Roman"/>
          </w:rPr>
          <w:t>https://doi.org/10.55220/2576683x.v9.244</w:t>
        </w:r>
      </w:hyperlink>
      <w:r w:rsidR="00283C01" w:rsidRPr="00C4126F">
        <w:rPr>
          <w:rFonts w:ascii="Times New Roman" w:hAnsi="Times New Roman" w:cs="Times New Roman"/>
        </w:rPr>
        <w:t xml:space="preserve"> </w:t>
      </w:r>
    </w:p>
    <w:p w14:paraId="403BFF3A" w14:textId="10C56C8F" w:rsidR="00B649B3" w:rsidRDefault="00B649B3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B649B3">
        <w:rPr>
          <w:rFonts w:ascii="Times New Roman" w:hAnsi="Times New Roman" w:cs="Times New Roman"/>
        </w:rPr>
        <w:t xml:space="preserve">Ouedraogo, </w:t>
      </w:r>
      <w:proofErr w:type="spellStart"/>
      <w:r w:rsidRPr="00B649B3">
        <w:rPr>
          <w:rFonts w:ascii="Times New Roman" w:hAnsi="Times New Roman" w:cs="Times New Roman"/>
        </w:rPr>
        <w:t>Mahamadi</w:t>
      </w:r>
      <w:proofErr w:type="spellEnd"/>
      <w:r w:rsidRPr="00B649B3">
        <w:rPr>
          <w:rFonts w:ascii="Times New Roman" w:hAnsi="Times New Roman" w:cs="Times New Roman"/>
        </w:rPr>
        <w:t>. (2025). The AES Exit from ECOWAS and Brexit: A Comparative Reading Through Hirschman’s Exit–Voice–Loyalty Framework. Uirtus. 5. 10.59384/</w:t>
      </w:r>
      <w:r w:rsidR="00DE2331" w:rsidRPr="00B649B3">
        <w:rPr>
          <w:rFonts w:ascii="Times New Roman" w:hAnsi="Times New Roman" w:cs="Times New Roman"/>
        </w:rPr>
        <w:t>uirtus</w:t>
      </w:r>
      <w:r w:rsidR="00DE2331">
        <w:rPr>
          <w:rFonts w:ascii="Times New Roman" w:hAnsi="Times New Roman" w:cs="Times New Roman"/>
        </w:rPr>
        <w:t>. dec</w:t>
      </w:r>
      <w:r w:rsidRPr="00B649B3">
        <w:rPr>
          <w:rFonts w:ascii="Times New Roman" w:hAnsi="Times New Roman" w:cs="Times New Roman"/>
        </w:rPr>
        <w:t>2025n4.</w:t>
      </w:r>
    </w:p>
    <w:p w14:paraId="4691A37F" w14:textId="14C18861" w:rsidR="002B430C" w:rsidRDefault="002B430C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B430C">
        <w:rPr>
          <w:rFonts w:ascii="Times New Roman" w:hAnsi="Times New Roman" w:cs="Times New Roman"/>
        </w:rPr>
        <w:t>Princen</w:t>
      </w:r>
      <w:proofErr w:type="spellEnd"/>
      <w:r w:rsidRPr="002B430C">
        <w:rPr>
          <w:rFonts w:ascii="Times New Roman" w:hAnsi="Times New Roman" w:cs="Times New Roman"/>
        </w:rPr>
        <w:t xml:space="preserve">, S., Schimmelfennig, F., Sczepanski, R., Smekal, H., &amp; </w:t>
      </w:r>
      <w:proofErr w:type="spellStart"/>
      <w:r w:rsidRPr="002B430C">
        <w:rPr>
          <w:rFonts w:ascii="Times New Roman" w:hAnsi="Times New Roman" w:cs="Times New Roman"/>
        </w:rPr>
        <w:t>Zbiral</w:t>
      </w:r>
      <w:proofErr w:type="spellEnd"/>
      <w:r w:rsidRPr="002B430C">
        <w:rPr>
          <w:rFonts w:ascii="Times New Roman" w:hAnsi="Times New Roman" w:cs="Times New Roman"/>
        </w:rPr>
        <w:t>, R. (2024). Different yet the same? Differentiated integration and flexibility in implementation in the European Union. West European Politics, 47(3), 466–490. https://doi.org/10.1080/01402382.2022.2150944</w:t>
      </w:r>
    </w:p>
    <w:p w14:paraId="47C7ECC2" w14:textId="6C02E82B" w:rsidR="001B553B" w:rsidRPr="00C12219" w:rsidRDefault="001B553B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2219">
        <w:rPr>
          <w:rFonts w:ascii="Times New Roman" w:hAnsi="Times New Roman" w:cs="Times New Roman"/>
        </w:rPr>
        <w:t>Schmitter, P. C., &amp; Lefkofridi, Z. (2016). Neo-functionalism as a theory of disintegration.</w:t>
      </w:r>
      <w:r w:rsidR="003870B8" w:rsidRPr="00C12219">
        <w:rPr>
          <w:rFonts w:ascii="Times New Roman" w:hAnsi="Times New Roman" w:cs="Times New Roman"/>
        </w:rPr>
        <w:t xml:space="preserve"> </w:t>
      </w:r>
      <w:r w:rsidRPr="00C12219">
        <w:rPr>
          <w:rFonts w:ascii="Times New Roman" w:hAnsi="Times New Roman" w:cs="Times New Roman"/>
        </w:rPr>
        <w:t>Chinese Political Science Review</w:t>
      </w:r>
      <w:r w:rsidR="00343090" w:rsidRPr="00C12219">
        <w:rPr>
          <w:rFonts w:ascii="Times New Roman" w:hAnsi="Times New Roman" w:cs="Times New Roman"/>
        </w:rPr>
        <w:t>,</w:t>
      </w:r>
      <w:r w:rsidRPr="00C12219">
        <w:rPr>
          <w:rFonts w:ascii="Times New Roman" w:hAnsi="Times New Roman" w:cs="Times New Roman"/>
        </w:rPr>
        <w:t>1</w:t>
      </w:r>
      <w:r w:rsidR="00343090" w:rsidRPr="00C12219">
        <w:rPr>
          <w:rFonts w:ascii="Times New Roman" w:hAnsi="Times New Roman" w:cs="Times New Roman"/>
        </w:rPr>
        <w:t>(</w:t>
      </w:r>
      <w:r w:rsidRPr="00C12219">
        <w:rPr>
          <w:rFonts w:ascii="Times New Roman" w:hAnsi="Times New Roman" w:cs="Times New Roman"/>
        </w:rPr>
        <w:t>1), 1–29.</w:t>
      </w:r>
      <w:r w:rsidR="00343090" w:rsidRPr="00C12219">
        <w:rPr>
          <w:rFonts w:ascii="Times New Roman" w:hAnsi="Times New Roman" w:cs="Times New Roman"/>
        </w:rPr>
        <w:t xml:space="preserve"> </w:t>
      </w:r>
      <w:hyperlink r:id="rId15" w:history="1">
        <w:r w:rsidR="00343090" w:rsidRPr="00C12219">
          <w:rPr>
            <w:rStyle w:val="Hyperlink"/>
            <w:rFonts w:ascii="Times New Roman" w:hAnsi="Times New Roman" w:cs="Times New Roman"/>
          </w:rPr>
          <w:t>https://doi.org/10.1007/s41111-016-0012-4</w:t>
        </w:r>
      </w:hyperlink>
      <w:r w:rsidR="00343090" w:rsidRPr="00C12219">
        <w:rPr>
          <w:rFonts w:ascii="Times New Roman" w:hAnsi="Times New Roman" w:cs="Times New Roman"/>
        </w:rPr>
        <w:t xml:space="preserve"> </w:t>
      </w:r>
    </w:p>
    <w:p w14:paraId="3C0E7768" w14:textId="0ABC2D2C" w:rsidR="001B553B" w:rsidRPr="00C12219" w:rsidRDefault="001B553B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2219">
        <w:rPr>
          <w:rFonts w:ascii="Times New Roman" w:hAnsi="Times New Roman" w:cs="Times New Roman"/>
        </w:rPr>
        <w:t>Tainter, J. A. (1988). The collapse of complex societies</w:t>
      </w:r>
      <w:r w:rsidR="00343090" w:rsidRPr="00C12219">
        <w:rPr>
          <w:rFonts w:ascii="Times New Roman" w:hAnsi="Times New Roman" w:cs="Times New Roman"/>
        </w:rPr>
        <w:t xml:space="preserve">. </w:t>
      </w:r>
      <w:r w:rsidRPr="00C12219">
        <w:rPr>
          <w:rFonts w:ascii="Times New Roman" w:hAnsi="Times New Roman" w:cs="Times New Roman"/>
        </w:rPr>
        <w:t>Cambridge University Press.</w:t>
      </w:r>
    </w:p>
    <w:p w14:paraId="7C9EC3DF" w14:textId="002ADB5E" w:rsidR="001B553B" w:rsidRPr="00C12219" w:rsidRDefault="001B553B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2219">
        <w:rPr>
          <w:rFonts w:ascii="Times New Roman" w:hAnsi="Times New Roman" w:cs="Times New Roman"/>
        </w:rPr>
        <w:t>Tang, Y., &amp; Lan, G. (2023). Political factors, household income, under-five survival, and</w:t>
      </w:r>
      <w:r w:rsidR="003870B8" w:rsidRPr="00C12219">
        <w:rPr>
          <w:rFonts w:ascii="Times New Roman" w:hAnsi="Times New Roman" w:cs="Times New Roman"/>
        </w:rPr>
        <w:t xml:space="preserve"> </w:t>
      </w:r>
      <w:r w:rsidRPr="00C12219">
        <w:rPr>
          <w:rFonts w:ascii="Times New Roman" w:hAnsi="Times New Roman" w:cs="Times New Roman"/>
        </w:rPr>
        <w:t>life expectancy in the Sahel region. African Journal of Reproductive Health</w:t>
      </w:r>
      <w:r w:rsidR="003870B8" w:rsidRPr="00C12219">
        <w:rPr>
          <w:rFonts w:ascii="Times New Roman" w:hAnsi="Times New Roman" w:cs="Times New Roman"/>
        </w:rPr>
        <w:t>,</w:t>
      </w:r>
      <w:r w:rsidRPr="00C12219">
        <w:rPr>
          <w:rFonts w:ascii="Times New Roman" w:hAnsi="Times New Roman" w:cs="Times New Roman"/>
        </w:rPr>
        <w:t>27</w:t>
      </w:r>
      <w:r w:rsidR="003870B8" w:rsidRPr="00C12219">
        <w:rPr>
          <w:rFonts w:ascii="Times New Roman" w:hAnsi="Times New Roman" w:cs="Times New Roman"/>
        </w:rPr>
        <w:t>(</w:t>
      </w:r>
      <w:r w:rsidRPr="00C12219">
        <w:rPr>
          <w:rFonts w:ascii="Times New Roman" w:hAnsi="Times New Roman" w:cs="Times New Roman"/>
        </w:rPr>
        <w:t>12),</w:t>
      </w:r>
      <w:r w:rsidR="003870B8" w:rsidRPr="00C12219">
        <w:rPr>
          <w:rFonts w:ascii="Times New Roman" w:hAnsi="Times New Roman" w:cs="Times New Roman"/>
        </w:rPr>
        <w:t xml:space="preserve"> </w:t>
      </w:r>
      <w:r w:rsidRPr="00C12219">
        <w:rPr>
          <w:rFonts w:ascii="Times New Roman" w:hAnsi="Times New Roman" w:cs="Times New Roman"/>
        </w:rPr>
        <w:t xml:space="preserve">63–71. </w:t>
      </w:r>
      <w:hyperlink r:id="rId16" w:history="1">
        <w:r w:rsidR="003870B8" w:rsidRPr="00C12219">
          <w:rPr>
            <w:rStyle w:val="Hyperlink"/>
            <w:rFonts w:ascii="Times New Roman" w:hAnsi="Times New Roman" w:cs="Times New Roman"/>
          </w:rPr>
          <w:t>https://doi.org/10.29063/ajrh2023/v27i12.7</w:t>
        </w:r>
      </w:hyperlink>
      <w:r w:rsidR="003870B8" w:rsidRPr="00C12219">
        <w:rPr>
          <w:rFonts w:ascii="Times New Roman" w:hAnsi="Times New Roman" w:cs="Times New Roman"/>
        </w:rPr>
        <w:t xml:space="preserve"> </w:t>
      </w:r>
    </w:p>
    <w:p w14:paraId="31360AFB" w14:textId="153B23A9" w:rsidR="001B553B" w:rsidRPr="00C12219" w:rsidRDefault="001B553B" w:rsidP="00C12219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2219">
        <w:rPr>
          <w:rFonts w:ascii="Times New Roman" w:hAnsi="Times New Roman" w:cs="Times New Roman"/>
        </w:rPr>
        <w:lastRenderedPageBreak/>
        <w:t>UK Government. (2023, July). UK–Sahel region development partnership summary</w:t>
      </w:r>
      <w:r w:rsidR="001129D9" w:rsidRPr="00C12219">
        <w:rPr>
          <w:rFonts w:ascii="Times New Roman" w:hAnsi="Times New Roman" w:cs="Times New Roman"/>
        </w:rPr>
        <w:t xml:space="preserve">.  </w:t>
      </w:r>
      <w:r w:rsidRPr="00C12219">
        <w:rPr>
          <w:rFonts w:ascii="Times New Roman" w:hAnsi="Times New Roman" w:cs="Times New Roman"/>
        </w:rPr>
        <w:t>Foreign, Commonwealth &amp; Development Office.</w:t>
      </w:r>
      <w:r w:rsidRPr="00C12219">
        <w:rPr>
          <w:rFonts w:ascii="Times New Roman" w:hAnsi="Times New Roman" w:cs="Times New Roman"/>
          <w:b/>
          <w:bCs/>
        </w:rPr>
        <w:t xml:space="preserve"> </w:t>
      </w:r>
    </w:p>
    <w:p w14:paraId="53484DB6" w14:textId="26994CBE" w:rsidR="006F21F4" w:rsidRPr="00E938C7" w:rsidRDefault="001B553B" w:rsidP="00E938C7">
      <w:pPr>
        <w:pStyle w:val="ListParagraph"/>
        <w:numPr>
          <w:ilvl w:val="0"/>
          <w:numId w:val="1"/>
        </w:numPr>
        <w:spacing w:before="240" w:after="0" w:line="360" w:lineRule="auto"/>
        <w:jc w:val="both"/>
        <w:rPr>
          <w:rFonts w:ascii="Times New Roman" w:hAnsi="Times New Roman" w:cs="Times New Roman"/>
        </w:rPr>
      </w:pPr>
      <w:r w:rsidRPr="00C12219">
        <w:rPr>
          <w:rFonts w:ascii="Times New Roman" w:hAnsi="Times New Roman" w:cs="Times New Roman"/>
        </w:rPr>
        <w:t>Vollaard, H. (2014). Explaining European disintegration. Journal of Common Market Studies</w:t>
      </w:r>
      <w:r w:rsidR="001129D9" w:rsidRPr="00C12219">
        <w:rPr>
          <w:rFonts w:ascii="Times New Roman" w:hAnsi="Times New Roman" w:cs="Times New Roman"/>
        </w:rPr>
        <w:t>,</w:t>
      </w:r>
      <w:r w:rsidR="00E938C7">
        <w:rPr>
          <w:rFonts w:ascii="Times New Roman" w:hAnsi="Times New Roman" w:cs="Times New Roman"/>
        </w:rPr>
        <w:t xml:space="preserve"> </w:t>
      </w:r>
      <w:r w:rsidRPr="00E938C7">
        <w:rPr>
          <w:rFonts w:ascii="Times New Roman" w:hAnsi="Times New Roman" w:cs="Times New Roman"/>
        </w:rPr>
        <w:t>52</w:t>
      </w:r>
      <w:r w:rsidR="001129D9" w:rsidRPr="00E938C7">
        <w:rPr>
          <w:rFonts w:ascii="Times New Roman" w:hAnsi="Times New Roman" w:cs="Times New Roman"/>
        </w:rPr>
        <w:t>(</w:t>
      </w:r>
      <w:r w:rsidRPr="00E938C7">
        <w:rPr>
          <w:rFonts w:ascii="Times New Roman" w:hAnsi="Times New Roman" w:cs="Times New Roman"/>
        </w:rPr>
        <w:t xml:space="preserve">5), 1142–1159. </w:t>
      </w:r>
      <w:hyperlink r:id="rId17" w:history="1">
        <w:r w:rsidR="001129D9" w:rsidRPr="00E938C7">
          <w:rPr>
            <w:rStyle w:val="Hyperlink"/>
            <w:rFonts w:ascii="Times New Roman" w:hAnsi="Times New Roman" w:cs="Times New Roman"/>
          </w:rPr>
          <w:t>https://doi.org/10.1111/jcms.12132</w:t>
        </w:r>
      </w:hyperlink>
      <w:r w:rsidR="001129D9" w:rsidRPr="00E938C7">
        <w:rPr>
          <w:rFonts w:ascii="Times New Roman" w:hAnsi="Times New Roman" w:cs="Times New Roman"/>
        </w:rPr>
        <w:t xml:space="preserve"> </w:t>
      </w:r>
    </w:p>
    <w:sectPr w:rsidR="006F21F4" w:rsidRPr="00E938C7"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0856C" w14:textId="77777777" w:rsidR="00214649" w:rsidRDefault="00214649" w:rsidP="00083FA9">
      <w:pPr>
        <w:spacing w:after="0" w:line="240" w:lineRule="auto"/>
      </w:pPr>
      <w:r>
        <w:separator/>
      </w:r>
    </w:p>
  </w:endnote>
  <w:endnote w:type="continuationSeparator" w:id="0">
    <w:p w14:paraId="5B82C15D" w14:textId="77777777" w:rsidR="00214649" w:rsidRDefault="00214649" w:rsidP="00083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45815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8783A0" w14:textId="3DF529E1" w:rsidR="00E938C7" w:rsidRDefault="00E938C7" w:rsidP="00F11342">
        <w:pPr>
          <w:pStyle w:val="Foot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0D8A93" w14:textId="77777777" w:rsidR="00E938C7" w:rsidRDefault="00E938C7" w:rsidP="00E938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937062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DDE253C" w14:textId="2AF48B22" w:rsidR="00E938C7" w:rsidRDefault="00E938C7" w:rsidP="00F11342">
        <w:pPr>
          <w:pStyle w:val="Footer"/>
          <w:framePr w:wrap="none" w:vAnchor="text" w:hAnchor="margin" w:xAlign="right" w:y="1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C8962CA" w14:textId="77777777" w:rsidR="00E938C7" w:rsidRDefault="00E938C7" w:rsidP="00E938C7">
    <w:pPr>
      <w:pStyle w:val="Footer"/>
      <w:ind w:left="72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ECC4" w14:textId="77777777" w:rsidR="00214649" w:rsidRDefault="00214649" w:rsidP="00083FA9">
      <w:pPr>
        <w:spacing w:after="0" w:line="240" w:lineRule="auto"/>
      </w:pPr>
      <w:r>
        <w:separator/>
      </w:r>
    </w:p>
  </w:footnote>
  <w:footnote w:type="continuationSeparator" w:id="0">
    <w:p w14:paraId="6E62F1E2" w14:textId="77777777" w:rsidR="00214649" w:rsidRDefault="00214649" w:rsidP="00083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06EF"/>
    <w:multiLevelType w:val="hybridMultilevel"/>
    <w:tmpl w:val="62DAA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676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1F4"/>
    <w:rsid w:val="000149C1"/>
    <w:rsid w:val="00020D5F"/>
    <w:rsid w:val="00024E68"/>
    <w:rsid w:val="0003368F"/>
    <w:rsid w:val="000406D3"/>
    <w:rsid w:val="00041C8D"/>
    <w:rsid w:val="0004514B"/>
    <w:rsid w:val="00083917"/>
    <w:rsid w:val="00083A84"/>
    <w:rsid w:val="00083FA9"/>
    <w:rsid w:val="000900E7"/>
    <w:rsid w:val="00091F79"/>
    <w:rsid w:val="00097537"/>
    <w:rsid w:val="000A785F"/>
    <w:rsid w:val="000B3514"/>
    <w:rsid w:val="000C0C34"/>
    <w:rsid w:val="000D1BFC"/>
    <w:rsid w:val="000D56D5"/>
    <w:rsid w:val="000E1C97"/>
    <w:rsid w:val="000E5F68"/>
    <w:rsid w:val="000E7C22"/>
    <w:rsid w:val="001023FF"/>
    <w:rsid w:val="001129D9"/>
    <w:rsid w:val="00141EF4"/>
    <w:rsid w:val="00152C88"/>
    <w:rsid w:val="00155BF0"/>
    <w:rsid w:val="00193CA2"/>
    <w:rsid w:val="001B553B"/>
    <w:rsid w:val="001F3513"/>
    <w:rsid w:val="00202693"/>
    <w:rsid w:val="00211033"/>
    <w:rsid w:val="00214649"/>
    <w:rsid w:val="002331B0"/>
    <w:rsid w:val="00242E86"/>
    <w:rsid w:val="00265B2A"/>
    <w:rsid w:val="00283C01"/>
    <w:rsid w:val="00286128"/>
    <w:rsid w:val="00293238"/>
    <w:rsid w:val="002943A5"/>
    <w:rsid w:val="00297506"/>
    <w:rsid w:val="002B0AD8"/>
    <w:rsid w:val="002B42D3"/>
    <w:rsid w:val="002B430C"/>
    <w:rsid w:val="002D1683"/>
    <w:rsid w:val="002E106B"/>
    <w:rsid w:val="002F0CF3"/>
    <w:rsid w:val="002F55DC"/>
    <w:rsid w:val="00301236"/>
    <w:rsid w:val="00304179"/>
    <w:rsid w:val="003133CD"/>
    <w:rsid w:val="003163FA"/>
    <w:rsid w:val="00317487"/>
    <w:rsid w:val="0032455A"/>
    <w:rsid w:val="00326123"/>
    <w:rsid w:val="00333A05"/>
    <w:rsid w:val="003376DA"/>
    <w:rsid w:val="00343090"/>
    <w:rsid w:val="00343CFF"/>
    <w:rsid w:val="003659D3"/>
    <w:rsid w:val="0037366E"/>
    <w:rsid w:val="00374B8F"/>
    <w:rsid w:val="003870B8"/>
    <w:rsid w:val="00392899"/>
    <w:rsid w:val="003A620D"/>
    <w:rsid w:val="003B2B95"/>
    <w:rsid w:val="003C287A"/>
    <w:rsid w:val="003C53F3"/>
    <w:rsid w:val="003D7751"/>
    <w:rsid w:val="003E4187"/>
    <w:rsid w:val="003F0429"/>
    <w:rsid w:val="003F314A"/>
    <w:rsid w:val="004005BC"/>
    <w:rsid w:val="00401159"/>
    <w:rsid w:val="00401FAE"/>
    <w:rsid w:val="00403F96"/>
    <w:rsid w:val="004157B3"/>
    <w:rsid w:val="004262B0"/>
    <w:rsid w:val="00430AC6"/>
    <w:rsid w:val="00431204"/>
    <w:rsid w:val="00444C59"/>
    <w:rsid w:val="004456DA"/>
    <w:rsid w:val="00447C5A"/>
    <w:rsid w:val="00450284"/>
    <w:rsid w:val="00474618"/>
    <w:rsid w:val="004755B7"/>
    <w:rsid w:val="00494C76"/>
    <w:rsid w:val="004B548E"/>
    <w:rsid w:val="004C161F"/>
    <w:rsid w:val="004C4A56"/>
    <w:rsid w:val="004C4AB9"/>
    <w:rsid w:val="004E1E3C"/>
    <w:rsid w:val="00523ACE"/>
    <w:rsid w:val="00524751"/>
    <w:rsid w:val="00561AD5"/>
    <w:rsid w:val="00567063"/>
    <w:rsid w:val="005A04F6"/>
    <w:rsid w:val="005B191F"/>
    <w:rsid w:val="005B4FF1"/>
    <w:rsid w:val="005B608B"/>
    <w:rsid w:val="005C3A67"/>
    <w:rsid w:val="005E42AC"/>
    <w:rsid w:val="005E50E2"/>
    <w:rsid w:val="005F7379"/>
    <w:rsid w:val="006004BA"/>
    <w:rsid w:val="00601195"/>
    <w:rsid w:val="006124E2"/>
    <w:rsid w:val="00616F46"/>
    <w:rsid w:val="006322E9"/>
    <w:rsid w:val="00633461"/>
    <w:rsid w:val="00634F1D"/>
    <w:rsid w:val="006564B1"/>
    <w:rsid w:val="00657764"/>
    <w:rsid w:val="00657AFE"/>
    <w:rsid w:val="00684150"/>
    <w:rsid w:val="006958F2"/>
    <w:rsid w:val="006A0DFC"/>
    <w:rsid w:val="006A1EAD"/>
    <w:rsid w:val="006A2120"/>
    <w:rsid w:val="006A4F0C"/>
    <w:rsid w:val="006B7991"/>
    <w:rsid w:val="006C61D9"/>
    <w:rsid w:val="006D55C1"/>
    <w:rsid w:val="006E3B3E"/>
    <w:rsid w:val="006E4ADF"/>
    <w:rsid w:val="006F21F4"/>
    <w:rsid w:val="006F4EE3"/>
    <w:rsid w:val="00712902"/>
    <w:rsid w:val="00717369"/>
    <w:rsid w:val="007173D1"/>
    <w:rsid w:val="00720DF8"/>
    <w:rsid w:val="007310FD"/>
    <w:rsid w:val="00731F76"/>
    <w:rsid w:val="00745251"/>
    <w:rsid w:val="00762771"/>
    <w:rsid w:val="00772C6B"/>
    <w:rsid w:val="007825BD"/>
    <w:rsid w:val="007C0115"/>
    <w:rsid w:val="007C1ED4"/>
    <w:rsid w:val="007C60A2"/>
    <w:rsid w:val="007D7EEB"/>
    <w:rsid w:val="007E1886"/>
    <w:rsid w:val="00813166"/>
    <w:rsid w:val="00815F36"/>
    <w:rsid w:val="00820A8F"/>
    <w:rsid w:val="008607EA"/>
    <w:rsid w:val="0086353B"/>
    <w:rsid w:val="00890508"/>
    <w:rsid w:val="008928AE"/>
    <w:rsid w:val="00894DA8"/>
    <w:rsid w:val="008A2CC2"/>
    <w:rsid w:val="008C5A47"/>
    <w:rsid w:val="008C6D93"/>
    <w:rsid w:val="008D1653"/>
    <w:rsid w:val="008D6CFF"/>
    <w:rsid w:val="009111AB"/>
    <w:rsid w:val="00942886"/>
    <w:rsid w:val="00945E4A"/>
    <w:rsid w:val="00955BCA"/>
    <w:rsid w:val="0095617A"/>
    <w:rsid w:val="0098333B"/>
    <w:rsid w:val="009838DF"/>
    <w:rsid w:val="00986423"/>
    <w:rsid w:val="00992879"/>
    <w:rsid w:val="009A1D60"/>
    <w:rsid w:val="009A2E0B"/>
    <w:rsid w:val="009B74E5"/>
    <w:rsid w:val="009B7E10"/>
    <w:rsid w:val="009C7AA5"/>
    <w:rsid w:val="009D2448"/>
    <w:rsid w:val="009D6568"/>
    <w:rsid w:val="009D74DC"/>
    <w:rsid w:val="00A00526"/>
    <w:rsid w:val="00A00C1F"/>
    <w:rsid w:val="00A15B84"/>
    <w:rsid w:val="00A25DF6"/>
    <w:rsid w:val="00A274DD"/>
    <w:rsid w:val="00A56285"/>
    <w:rsid w:val="00A7773F"/>
    <w:rsid w:val="00AA08CB"/>
    <w:rsid w:val="00AA1DBF"/>
    <w:rsid w:val="00AB1FA4"/>
    <w:rsid w:val="00AC40D4"/>
    <w:rsid w:val="00AE06EC"/>
    <w:rsid w:val="00AE6027"/>
    <w:rsid w:val="00AE6632"/>
    <w:rsid w:val="00AE6FAC"/>
    <w:rsid w:val="00AF4C25"/>
    <w:rsid w:val="00AF7063"/>
    <w:rsid w:val="00B21B99"/>
    <w:rsid w:val="00B228FC"/>
    <w:rsid w:val="00B36819"/>
    <w:rsid w:val="00B43AAF"/>
    <w:rsid w:val="00B55F35"/>
    <w:rsid w:val="00B649B3"/>
    <w:rsid w:val="00B6748B"/>
    <w:rsid w:val="00B71268"/>
    <w:rsid w:val="00B853FB"/>
    <w:rsid w:val="00B90512"/>
    <w:rsid w:val="00BB089D"/>
    <w:rsid w:val="00BF5FBB"/>
    <w:rsid w:val="00BF6823"/>
    <w:rsid w:val="00BF7564"/>
    <w:rsid w:val="00C02E60"/>
    <w:rsid w:val="00C12219"/>
    <w:rsid w:val="00C345F1"/>
    <w:rsid w:val="00C4126F"/>
    <w:rsid w:val="00C41CDA"/>
    <w:rsid w:val="00C514C2"/>
    <w:rsid w:val="00C54B06"/>
    <w:rsid w:val="00C62C1F"/>
    <w:rsid w:val="00C66655"/>
    <w:rsid w:val="00C7314E"/>
    <w:rsid w:val="00C95803"/>
    <w:rsid w:val="00CA41A9"/>
    <w:rsid w:val="00CA5899"/>
    <w:rsid w:val="00CC7048"/>
    <w:rsid w:val="00CD1578"/>
    <w:rsid w:val="00CF3AAE"/>
    <w:rsid w:val="00CF5A4A"/>
    <w:rsid w:val="00D02ED6"/>
    <w:rsid w:val="00D0793C"/>
    <w:rsid w:val="00D1031D"/>
    <w:rsid w:val="00D43DD1"/>
    <w:rsid w:val="00D451F4"/>
    <w:rsid w:val="00D61B61"/>
    <w:rsid w:val="00D802E0"/>
    <w:rsid w:val="00D8710A"/>
    <w:rsid w:val="00D9187C"/>
    <w:rsid w:val="00DA7CA4"/>
    <w:rsid w:val="00DB309C"/>
    <w:rsid w:val="00DE2331"/>
    <w:rsid w:val="00DE2C28"/>
    <w:rsid w:val="00DE51D0"/>
    <w:rsid w:val="00E02C0A"/>
    <w:rsid w:val="00E146F6"/>
    <w:rsid w:val="00E238FE"/>
    <w:rsid w:val="00E30BE6"/>
    <w:rsid w:val="00E41E5C"/>
    <w:rsid w:val="00E9104D"/>
    <w:rsid w:val="00E938C7"/>
    <w:rsid w:val="00EA3079"/>
    <w:rsid w:val="00EA7B57"/>
    <w:rsid w:val="00EC32E3"/>
    <w:rsid w:val="00EE11C3"/>
    <w:rsid w:val="00EE5794"/>
    <w:rsid w:val="00EE5BA3"/>
    <w:rsid w:val="00EF19A4"/>
    <w:rsid w:val="00EF32ED"/>
    <w:rsid w:val="00F11342"/>
    <w:rsid w:val="00F11E37"/>
    <w:rsid w:val="00F126BB"/>
    <w:rsid w:val="00F15169"/>
    <w:rsid w:val="00F33B86"/>
    <w:rsid w:val="00F50097"/>
    <w:rsid w:val="00F60E4E"/>
    <w:rsid w:val="00F7554F"/>
    <w:rsid w:val="00F93029"/>
    <w:rsid w:val="00FA1E48"/>
    <w:rsid w:val="00FD150F"/>
    <w:rsid w:val="00FE4462"/>
    <w:rsid w:val="00FF6B1B"/>
    <w:rsid w:val="00FF6C08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C37DA"/>
  <w15:chartTrackingRefBased/>
  <w15:docId w15:val="{96B4E789-D696-4F99-B838-9B508FDFC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2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2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21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2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21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2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2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2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2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2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21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21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21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21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21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21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21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2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2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2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2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2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21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21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21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2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21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21F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FA9"/>
  </w:style>
  <w:style w:type="paragraph" w:styleId="Footer">
    <w:name w:val="footer"/>
    <w:basedOn w:val="Normal"/>
    <w:link w:val="FooterChar"/>
    <w:uiPriority w:val="99"/>
    <w:unhideWhenUsed/>
    <w:rsid w:val="00083F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FA9"/>
  </w:style>
  <w:style w:type="character" w:styleId="Hyperlink">
    <w:name w:val="Hyperlink"/>
    <w:basedOn w:val="DefaultParagraphFont"/>
    <w:uiPriority w:val="99"/>
    <w:unhideWhenUsed/>
    <w:rsid w:val="00561A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1A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A307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A307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EA3079"/>
  </w:style>
  <w:style w:type="character" w:customStyle="1" w:styleId="url">
    <w:name w:val="url"/>
    <w:basedOn w:val="DefaultParagraphFont"/>
    <w:rsid w:val="00EA3079"/>
  </w:style>
  <w:style w:type="character" w:styleId="PageNumber">
    <w:name w:val="page number"/>
    <w:basedOn w:val="DefaultParagraphFont"/>
    <w:uiPriority w:val="99"/>
    <w:semiHidden/>
    <w:unhideWhenUsed/>
    <w:rsid w:val="00E938C7"/>
  </w:style>
  <w:style w:type="paragraph" w:styleId="TOCHeading">
    <w:name w:val="TOC Heading"/>
    <w:basedOn w:val="Heading1"/>
    <w:next w:val="Normal"/>
    <w:uiPriority w:val="39"/>
    <w:unhideWhenUsed/>
    <w:qFormat/>
    <w:rsid w:val="00AF7063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293238"/>
    <w:pPr>
      <w:tabs>
        <w:tab w:val="right" w:leader="dot" w:pos="9350"/>
      </w:tabs>
      <w:spacing w:after="100" w:line="259" w:lineRule="auto"/>
      <w:ind w:left="220"/>
    </w:pPr>
    <w:rPr>
      <w:rFonts w:cs="Times New Roman"/>
      <w:kern w:val="0"/>
      <w:sz w:val="22"/>
      <w:szCs w:val="2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24E68"/>
    <w:pPr>
      <w:tabs>
        <w:tab w:val="right" w:leader="dot" w:pos="9350"/>
      </w:tabs>
      <w:spacing w:after="100" w:line="259" w:lineRule="auto"/>
      <w:jc w:val="center"/>
    </w:pPr>
    <w:rPr>
      <w:rFonts w:cs="Times New Roman"/>
      <w:kern w:val="0"/>
      <w:sz w:val="22"/>
      <w:szCs w:val="22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AF7063"/>
    <w:pPr>
      <w:spacing w:after="100" w:line="259" w:lineRule="auto"/>
      <w:ind w:left="440"/>
    </w:pPr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719/26312549.2021.21.1" TargetMode="External"/><Relationship Id="rId13" Type="http://schemas.openxmlformats.org/officeDocument/2006/relationships/hyperlink" Target="https://doi.org/10.4135/9781412957397.n211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conomicsandpeace.org/wp-content/uploads/2024/02/GTI-2024-web-290224" TargetMode="External"/><Relationship Id="rId17" Type="http://schemas.openxmlformats.org/officeDocument/2006/relationships/hyperlink" Target="https://doi.org/10.1111/jcms.121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29063/ajrh2023/v27i12.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7/S00071234080004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s41111-016-0012-4" TargetMode="External"/><Relationship Id="rId10" Type="http://schemas.openxmlformats.org/officeDocument/2006/relationships/hyperlink" Target="https://doi.org/10.1111/jcms.13497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doi.org/10.1186/s40878-018-0093-3" TargetMode="External"/><Relationship Id="rId14" Type="http://schemas.openxmlformats.org/officeDocument/2006/relationships/hyperlink" Target="https://doi.org/10.55220/2576683x.v9.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91C54-BFE1-4B30-95B1-DFFB2EC3BEC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5631</Words>
  <Characters>32102</Characters>
  <Application>Microsoft Office Word</Application>
  <DocSecurity>0</DocSecurity>
  <Lines>267</Lines>
  <Paragraphs>75</Paragraphs>
  <ScaleCrop>false</ScaleCrop>
  <Company/>
  <LinksUpToDate>false</LinksUpToDate>
  <CharactersWithSpaces>37658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ndoto frida</dc:creator>
  <cp:keywords/>
  <dc:description/>
  <cp:lastModifiedBy>ndoto frida</cp:lastModifiedBy>
  <cp:revision>2</cp:revision>
  <dcterms:created xsi:type="dcterms:W3CDTF">2026-06-22T15:30:00Z</dcterms:created>
  <dcterms:modified xsi:type="dcterms:W3CDTF">2026-06-22T15:30:00Z</dcterms:modified>
</cp:coreProperties>
</file>