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4CE23">
      <w:pPr>
        <w:pStyle w:val="24"/>
        <w:tabs>
          <w:tab w:val="left" w:pos="0"/>
        </w:tabs>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Picoline and Its Oxidized Derivatives: A Platform for Synthetic Innovation and Multifaceted Applications</w:t>
      </w:r>
    </w:p>
    <w:p w14:paraId="1FB3B647">
      <w:pPr>
        <w:spacing w:line="276" w:lineRule="auto"/>
        <w:jc w:val="center"/>
        <w:rPr>
          <w:rFonts w:ascii="Times New Roman" w:hAnsi="Times New Roman" w:cs="Times New Roman"/>
          <w:szCs w:val="24"/>
        </w:rPr>
      </w:pPr>
      <w:r>
        <w:rPr>
          <w:rFonts w:ascii="Times New Roman" w:hAnsi="Times New Roman" w:cs="Times New Roman"/>
          <w:b/>
          <w:bCs/>
          <w:szCs w:val="24"/>
        </w:rPr>
        <w:t/>
      </w:r>
      <w:r>
        <w:rPr>
          <w:rFonts w:ascii="Times New Roman" w:hAnsi="Times New Roman" w:cs="Times New Roman"/>
          <w:b/>
          <w:bCs/>
          <w:szCs w:val="24"/>
          <w:vertAlign w:val="superscript"/>
        </w:rPr>
        <w:t/>
      </w:r>
      <w:r>
        <w:rPr>
          <w:rFonts w:ascii="Times New Roman" w:hAnsi="Times New Roman" w:cs="Times New Roman"/>
          <w:b/>
          <w:bCs/>
          <w:szCs w:val="24"/>
        </w:rPr>
        <w:t/>
      </w:r>
      <w:r>
        <w:rPr>
          <w:rFonts w:hint="default" w:ascii="Times New Roman" w:hAnsi="Times New Roman" w:cs="Times New Roman"/>
          <w:b/>
          <w:bCs/>
          <w:szCs w:val="24"/>
          <w:lang w:val="en-US"/>
        </w:rPr>
        <w:t/>
      </w:r>
      <w:r>
        <w:rPr>
          <w:rFonts w:ascii="Times New Roman" w:hAnsi="Times New Roman" w:cs="Times New Roman"/>
          <w:b/>
          <w:bCs/>
          <w:szCs w:val="24"/>
        </w:rPr>
        <w:t/>
      </w:r>
      <w:r>
        <w:rPr>
          <w:rFonts w:hint="default" w:ascii="Times New Roman" w:hAnsi="Times New Roman" w:cs="Times New Roman"/>
          <w:b/>
          <w:bCs/>
          <w:szCs w:val="24"/>
          <w:lang w:val="en-US"/>
        </w:rPr>
        <w:t/>
      </w:r>
      <w:r>
        <w:rPr>
          <w:rFonts w:ascii="Times New Roman" w:hAnsi="Times New Roman" w:cs="Times New Roman"/>
          <w:b/>
          <w:bCs/>
          <w:szCs w:val="24"/>
        </w:rPr>
        <w:t/>
      </w:r>
      <w:r>
        <w:rPr>
          <w:rFonts w:ascii="Times New Roman" w:hAnsi="Times New Roman" w:cs="Times New Roman"/>
          <w:b/>
          <w:bCs/>
          <w:szCs w:val="24"/>
          <w:vertAlign w:val="superscript"/>
        </w:rPr>
        <w:t/>
      </w:r>
      <w:r>
        <w:rPr>
          <w:rFonts w:ascii="Times New Roman" w:hAnsi="Times New Roman" w:cs="Times New Roman"/>
          <w:b/>
          <w:bCs/>
          <w:szCs w:val="24"/>
          <w:vertAlign w:val="subscript"/>
        </w:rPr>
        <w:t xml:space="preserve"/>
      </w:r>
      <w:r>
        <w:rPr>
          <w:rFonts w:hint="default" w:ascii="Times New Roman" w:hAnsi="Times New Roman" w:cs="Times New Roman"/>
          <w:b/>
          <w:bCs/>
          <w:szCs w:val="24"/>
          <w:vertAlign w:val="subscript"/>
          <w:lang w:val="en-US"/>
        </w:rPr>
        <w:t xml:space="preserve"/>
      </w:r>
      <w:r>
        <w:rPr>
          <w:rFonts w:ascii="Times New Roman" w:hAnsi="Times New Roman" w:cs="Times New Roman"/>
          <w:b/>
          <w:bCs/>
          <w:szCs w:val="24"/>
        </w:rPr>
        <w:t/>
      </w:r>
      <w:r>
        <w:rPr>
          <w:rFonts w:ascii="Times New Roman" w:hAnsi="Times New Roman" w:cs="Times New Roman"/>
          <w:b/>
          <w:bCs/>
          <w:szCs w:val="24"/>
          <w:vertAlign w:val="superscript"/>
        </w:rPr>
        <w:t/>
      </w:r>
    </w:p>
    <w:p w14:paraId="1FB3B648">
      <w:pPr>
        <w:pStyle w:val="20"/>
        <w:jc w:val="both"/>
        <w:rPr>
          <w:rFonts w:ascii="Times New Roman" w:hAnsi="Times New Roman" w:cs="Times New Roman"/>
          <w:vertAlign w:val="superscript"/>
        </w:rPr>
      </w:pPr>
      <w:r>
        <w:rPr>
          <w:rFonts w:ascii="Times New Roman" w:hAnsi="Times New Roman" w:cs="Times New Roman"/>
          <w:vertAlign w:val="superscript"/>
        </w:rPr>
        <w:t/>
      </w:r>
      <w:r>
        <w:rPr>
          <w:rFonts w:ascii="Times New Roman" w:hAnsi="Times New Roman" w:cs="Times New Roman"/>
        </w:rPr>
        <w:t xml:space="preserve"/>
      </w:r>
      <w:r>
        <w:rPr>
          <w:rFonts w:hint="default" w:ascii="Times New Roman" w:hAnsi="Times New Roman" w:cs="Times New Roman"/>
          <w:lang w:val="en-US"/>
        </w:rPr>
        <w:t xml:space="preserve"/>
      </w:r>
      <w:r>
        <w:fldChar w:fldCharType="begin"/>
      </w:r>
      <w:r>
        <w:instrText xml:space="preserve"> HYPERLINK "mailto:shivanipardeshi1611@gmail.com" </w:instrText>
      </w:r>
      <w:r>
        <w:fldChar w:fldCharType="separate"/>
      </w:r>
      <w:r>
        <w:rPr>
          <w:rStyle w:val="14"/>
          <w:rFonts w:ascii="Times New Roman" w:hAnsi="Times New Roman" w:cs="Times New Roman"/>
          <w:szCs w:val="24"/>
          <w:vertAlign w:val="superscript"/>
        </w:rPr>
        <w:t/>
      </w:r>
      <w:r>
        <w:rPr>
          <w:rStyle w:val="14"/>
          <w:rFonts w:ascii="Times New Roman" w:hAnsi="Times New Roman" w:cs="Times New Roman"/>
          <w:szCs w:val="24"/>
          <w:vertAlign w:val="superscript"/>
        </w:rPr>
        <w:fldChar w:fldCharType="end"/>
      </w:r>
    </w:p>
    <w:p w14:paraId="1FB3B649">
      <w:pPr>
        <w:spacing w:after="0" w:line="276" w:lineRule="auto"/>
        <w:jc w:val="both"/>
        <w:rPr>
          <w:rFonts w:ascii="Times New Roman" w:hAnsi="Times New Roman" w:cs="Times New Roman"/>
          <w:szCs w:val="24"/>
        </w:rPr>
      </w:pPr>
      <w:r>
        <w:rPr>
          <w:rFonts w:ascii="Times New Roman" w:hAnsi="Times New Roman" w:cs="Times New Roman"/>
          <w:szCs w:val="24"/>
          <w:vertAlign w:val="superscript"/>
        </w:rPr>
        <w:t/>
      </w:r>
      <w:r>
        <w:rPr>
          <w:rFonts w:ascii="Times New Roman" w:hAnsi="Times New Roman" w:cs="Times New Roman"/>
          <w:szCs w:val="24"/>
        </w:rPr>
        <w:t/>
      </w:r>
    </w:p>
    <w:p w14:paraId="4E850A0B">
      <w:pPr>
        <w:spacing w:line="276" w:lineRule="auto"/>
        <w:jc w:val="both"/>
        <w:rPr>
          <w:rFonts w:ascii="Times New Roman" w:hAnsi="Times New Roman" w:cs="Times New Roman"/>
          <w:b/>
          <w:bCs/>
          <w:szCs w:val="24"/>
          <w:vertAlign w:val="superscript"/>
        </w:rPr>
      </w:pPr>
      <w:r>
        <w:rPr>
          <w:rFonts w:ascii="Times New Roman" w:hAnsi="Times New Roman" w:cs="Times New Roman"/>
        </w:rPr>
        <w:t xml:space="preserve"/>
      </w:r>
      <w:r>
        <w:rPr>
          <w:rFonts w:hint="default" w:ascii="Times New Roman" w:hAnsi="Times New Roman" w:cs="Times New Roman"/>
          <w:lang w:val="en-US"/>
        </w:rPr>
        <w:t xml:space="preserve"/>
      </w:r>
      <w:r>
        <w:fldChar w:fldCharType="begin"/>
      </w:r>
      <w:r>
        <w:instrText xml:space="preserve"> HYPERLINK "mailto:manjoosha28@gmail.com" </w:instrText>
      </w:r>
      <w:r>
        <w:fldChar w:fldCharType="separate"/>
      </w:r>
      <w:r>
        <w:rPr>
          <w:rStyle w:val="14"/>
          <w:rFonts w:ascii="Times New Roman" w:hAnsi="Times New Roman" w:cs="Times New Roman"/>
          <w:b/>
          <w:bCs/>
          <w:szCs w:val="24"/>
          <w:vertAlign w:val="superscript"/>
        </w:rPr>
        <w:t/>
      </w:r>
      <w:r>
        <w:rPr>
          <w:rStyle w:val="14"/>
          <w:rFonts w:ascii="Times New Roman" w:hAnsi="Times New Roman" w:cs="Times New Roman"/>
          <w:b/>
          <w:bCs/>
          <w:szCs w:val="24"/>
          <w:vertAlign w:val="superscript"/>
        </w:rPr>
        <w:fldChar w:fldCharType="end"/>
      </w:r>
      <w:r>
        <w:rPr>
          <w:rFonts w:ascii="Times New Roman" w:hAnsi="Times New Roman" w:cs="Times New Roman"/>
          <w:b/>
          <w:bCs/>
          <w:szCs w:val="24"/>
          <w:vertAlign w:val="superscript"/>
        </w:rPr>
        <w:t xml:space="preserve"/>
      </w:r>
    </w:p>
    <w:p w14:paraId="1FB3B64B">
      <w:pPr>
        <w:spacing w:line="276" w:lineRule="auto"/>
        <w:jc w:val="both"/>
        <w:rPr>
          <w:rFonts w:ascii="Times New Roman" w:hAnsi="Times New Roman" w:cs="Times New Roman"/>
          <w:szCs w:val="24"/>
          <w:vertAlign w:val="superscript"/>
        </w:rPr>
      </w:pPr>
      <w:r>
        <w:rPr>
          <w:rFonts w:ascii="Times New Roman" w:hAnsi="Times New Roman" w:cs="Times New Roman"/>
          <w:szCs w:val="24"/>
          <w:vertAlign w:val="superscript"/>
        </w:rPr>
        <w:t/>
      </w:r>
      <w:r>
        <w:rPr>
          <w:rFonts w:ascii="Times New Roman" w:hAnsi="Times New Roman" w:cs="Times New Roman"/>
          <w:szCs w:val="24"/>
        </w:rPr>
        <w:t/>
      </w:r>
      <w:r>
        <w:rPr>
          <w:rFonts w:ascii="Times New Roman" w:hAnsi="Times New Roman" w:cs="Times New Roman"/>
        </w:rPr>
        <w:t xml:space="preserve"/>
      </w:r>
      <w:r>
        <w:rPr>
          <w:rFonts w:ascii="Times New Roman" w:hAnsi="Times New Roman" w:cs="Times New Roman"/>
          <w:szCs w:val="24"/>
        </w:rPr>
        <w:t xml:space="preserve"/>
      </w:r>
      <w:r>
        <w:fldChar w:fldCharType="begin"/>
      </w:r>
      <w:r>
        <w:instrText xml:space="preserve"> HYPERLINK "mailto:dayalipagare15@gmail.com" </w:instrText>
      </w:r>
      <w:r>
        <w:fldChar w:fldCharType="separate"/>
      </w:r>
      <w:r>
        <w:rPr>
          <w:rStyle w:val="14"/>
          <w:rFonts w:ascii="Times New Roman" w:hAnsi="Times New Roman" w:cs="Times New Roman"/>
          <w:szCs w:val="24"/>
          <w:vertAlign w:val="superscript"/>
        </w:rPr>
        <w:t/>
      </w:r>
      <w:r>
        <w:rPr>
          <w:rStyle w:val="14"/>
          <w:rFonts w:ascii="Times New Roman" w:hAnsi="Times New Roman" w:cs="Times New Roman"/>
          <w:szCs w:val="24"/>
          <w:vertAlign w:val="superscript"/>
        </w:rPr>
        <w:fldChar w:fldCharType="end"/>
      </w:r>
      <w:r>
        <w:rPr>
          <w:rFonts w:ascii="Times New Roman" w:hAnsi="Times New Roman" w:cs="Times New Roman"/>
          <w:szCs w:val="24"/>
          <w:vertAlign w:val="superscript"/>
        </w:rPr>
        <w:t xml:space="preserve"/>
      </w:r>
    </w:p>
    <w:p w14:paraId="769169FC">
      <w:pPr>
        <w:spacing w:after="0" w:line="480" w:lineRule="auto"/>
        <w:jc w:val="center"/>
        <w:rPr>
          <w:rFonts w:ascii="Times New Roman" w:hAnsi="Times New Roman" w:cs="Times New Roman"/>
        </w:rPr>
      </w:pPr>
      <w:bookmarkStart w:id="0" w:name="_GoBack"/>
      <w:bookmarkEnd w:id="0"/>
    </w:p>
    <w:p w14:paraId="58BBB68E">
      <w:pPr>
        <w:spacing w:after="0" w:line="480" w:lineRule="auto"/>
        <w:jc w:val="center"/>
        <w:rPr>
          <w:rFonts w:ascii="Times New Roman" w:hAnsi="Times New Roman" w:cs="Times New Roman"/>
        </w:rPr>
      </w:pPr>
      <w:r>
        <w:rPr>
          <w:rFonts w:ascii="Times New Roman" w:hAnsi="Times New Roman" w:cs="Times New Roman"/>
        </w:rPr>
        <w:t/>
      </w:r>
    </w:p>
    <w:p w14:paraId="75EDAA8D">
      <w:pPr>
        <w:tabs>
          <w:tab w:val="center" w:pos="5213"/>
          <w:tab w:val="left" w:pos="8985"/>
        </w:tabs>
        <w:spacing w:after="0" w:line="480" w:lineRule="auto"/>
        <w:rPr>
          <w:rFonts w:ascii="Times New Roman" w:hAnsi="Times New Roman" w:cs="Times New Roman"/>
          <w:color w:val="0000FF" w:themeColor="hyperlink"/>
          <w:u w:val="single"/>
        </w:rPr>
      </w:pPr>
      <w:r>
        <w:rPr>
          <w:rFonts w:ascii="Times New Roman" w:hAnsi="Times New Roman" w:cs="Times New Roman"/>
        </w:rPr>
        <w:tab/>
      </w:r>
      <w:r>
        <w:rPr>
          <w:rFonts w:ascii="Times New Roman" w:hAnsi="Times New Roman" w:cs="Times New Roman"/>
          <w:lang w:bidi="mr-IN"/>
        </w:rPr>
        <w:pict>
          <v:shape id="_x0000_s1029" o:spid="_x0000_s1029" o:spt="32" type="#_x0000_t32" style="position:absolute;left:0pt;margin-left:0.75pt;margin-top:18.45pt;height:0pt;width:448.5pt;z-index:251659264;mso-width-relative:page;mso-height-relative:page;" o:connectortype="straight" filled="f" coordsize="21600,21600">
            <v:path arrowok="t"/>
            <v:fill on="f" focussize="0,0"/>
            <v:stroke/>
            <v:imagedata o:title=""/>
            <o:lock v:ext="edit"/>
          </v:shape>
        </w:pict>
      </w:r>
      <w:r>
        <w:fldChar w:fldCharType="begin"/>
      </w:r>
      <w:r>
        <w:instrText xml:space="preserve"> HYPERLINK "mailto:Email-manjoosha28@gmail.com" </w:instrText>
      </w:r>
      <w:r>
        <w:fldChar w:fldCharType="separate"/>
      </w:r>
      <w:r>
        <w:rPr>
          <w:rStyle w:val="14"/>
          <w:rFonts w:ascii="Times New Roman" w:hAnsi="Times New Roman" w:cs="Times New Roman"/>
        </w:rPr>
        <w:t/>
      </w:r>
      <w:r>
        <w:rPr>
          <w:rStyle w:val="14"/>
          <w:rFonts w:ascii="Times New Roman" w:hAnsi="Times New Roman" w:cs="Times New Roman"/>
        </w:rPr>
        <w:fldChar w:fldCharType="end"/>
      </w:r>
    </w:p>
    <w:p w14:paraId="1BF84DD5">
      <w:pPr>
        <w:widowControl w:val="0"/>
        <w:tabs>
          <w:tab w:val="left" w:pos="9360"/>
        </w:tabs>
        <w:overflowPunct w:val="0"/>
        <w:autoSpaceDE w:val="0"/>
        <w:autoSpaceDN w:val="0"/>
        <w:adjustRightInd w:val="0"/>
        <w:spacing w:after="0" w:line="360" w:lineRule="auto"/>
        <w:jc w:val="both"/>
        <w:rPr>
          <w:rFonts w:ascii="Times New Roman" w:hAnsi="Times New Roman" w:cs="Times New Roman"/>
          <w:b/>
          <w:sz w:val="24"/>
          <w:szCs w:val="24"/>
        </w:rPr>
      </w:pPr>
    </w:p>
    <w:p w14:paraId="2650753E">
      <w:pPr>
        <w:widowControl w:val="0"/>
        <w:tabs>
          <w:tab w:val="left" w:pos="9360"/>
        </w:tabs>
        <w:overflowPunct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5E6F4B53">
      <w:p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 xml:space="preserve">Picoline, a methyl-substituted pyridine isomer, and its oxidized derivatives, particularly picoline N-oxides, have garnered significant attention due to their versatile roles in synthetic chemistry and pharmaceutical development. This review comprehensively explores the structural evolution, synthetic methodologies, and biomedical relevance of picoline and its derivatives. Emphasis is placed on the strategic incorporation of picoline scaffolds in drug design, highlighting their physicochemical adaptability and bioisosteric potential. The abstracted data delineate the progression from foundational synthetic routes to advanced, regioselective and environmentally benign protocols for picoline N-oxide formation. Diverse oxidation strategies, including catalytic, electrochemical, and green chemistry approaches, are critically examined, with comparative insights into yield optimization, functional group tolerance, and scalability. Furthermore, the review underscores the pharmacological significance of picoline-based frameworks, particularly in neuroprotective, anti-inflammatory, and antimicrobial applications, supported by recent structure–activity relationship (SAR) studies. The role of N-oxide intermediates in modulating solubility, metabolic stability, and target specificity is also discussed, reinforcing their utility in rational drug design. By bridging synthetic innovation with therapeutic relevance, this article aims to provide a consolidated platform for researchers engaged in heterocyclic chemistry, medicinal chemistry and pharmaceutical </w:t>
      </w:r>
      <w:r>
        <w:rPr>
          <w:rFonts w:hint="default" w:ascii="Times New Roman" w:hAnsi="Times New Roman" w:cs="Times New Roman"/>
          <w:color w:val="000000" w:themeColor="text1"/>
          <w:sz w:val="24"/>
          <w:szCs w:val="24"/>
          <w:lang w:val="en-US"/>
        </w:rPr>
        <w:t>research and development</w:t>
      </w:r>
      <w:r>
        <w:rPr>
          <w:rFonts w:ascii="Times New Roman" w:hAnsi="Times New Roman" w:cs="Times New Roman"/>
          <w:color w:val="000000" w:themeColor="text1"/>
          <w:sz w:val="24"/>
          <w:szCs w:val="24"/>
          <w:lang w:val="en-IN"/>
        </w:rPr>
        <w:t>. The compiled synthesis pathways and derivative profiles consolidate existing literature but also as a springboard for future exploration into</w:t>
      </w:r>
      <w:r>
        <w:rPr>
          <w:rFonts w:hint="default"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IN"/>
        </w:rPr>
        <w:t xml:space="preserve">novel picoline-based entities with enhanced bioactivity and clinical promise. </w:t>
      </w:r>
    </w:p>
    <w:p w14:paraId="59CD33B0">
      <w:pPr>
        <w:widowControl w:val="0"/>
        <w:tabs>
          <w:tab w:val="left" w:pos="9360"/>
        </w:tabs>
        <w:overflowPunct w:val="0"/>
        <w:autoSpaceDE w:val="0"/>
        <w:autoSpaceDN w:val="0"/>
        <w:adjustRightInd w:val="0"/>
        <w:spacing w:after="0" w:line="360" w:lineRule="auto"/>
        <w:jc w:val="both"/>
        <w:rPr>
          <w:rFonts w:hint="default" w:ascii="Times New Roman" w:hAnsi="Times New Roman" w:cs="Times New Roman"/>
          <w:b/>
          <w:sz w:val="24"/>
          <w:szCs w:val="24"/>
          <w:lang w:val="en-US"/>
        </w:rPr>
      </w:pPr>
    </w:p>
    <w:p w14:paraId="3D436AB6">
      <w:pPr>
        <w:widowControl w:val="0"/>
        <w:tabs>
          <w:tab w:val="left" w:pos="9360"/>
        </w:tabs>
        <w:overflowPunct w:val="0"/>
        <w:autoSpaceDE w:val="0"/>
        <w:autoSpaceDN w:val="0"/>
        <w:adjustRightInd w:val="0"/>
        <w:spacing w:after="0" w:line="360" w:lineRule="auto"/>
        <w:jc w:val="both"/>
        <w:rPr>
          <w:rFonts w:hint="default" w:ascii="Times New Roman" w:hAnsi="Times New Roman" w:cs="Times New Roman"/>
          <w:sz w:val="24"/>
          <w:szCs w:val="24"/>
          <w:lang w:val="en-US"/>
        </w:rPr>
      </w:pPr>
      <w:r>
        <w:rPr>
          <w:rFonts w:ascii="Times New Roman" w:hAnsi="Times New Roman" w:cs="Times New Roman"/>
          <w:b/>
          <w:sz w:val="24"/>
          <w:szCs w:val="24"/>
          <w:lang w:val="de-DE"/>
        </w:rPr>
        <w:t xml:space="preserve"> Keywords</w:t>
      </w:r>
      <w:r>
        <w:rPr>
          <w:rFonts w:ascii="Times New Roman" w:hAnsi="Times New Roman" w:cs="Times New Roman"/>
          <w:sz w:val="24"/>
          <w:szCs w:val="24"/>
          <w:lang w:val="de-DE"/>
        </w:rPr>
        <w:t xml:space="preserve"> : </w:t>
      </w:r>
      <w:r>
        <w:rPr>
          <w:rFonts w:hint="default" w:ascii="Times New Roman" w:hAnsi="Times New Roman" w:cs="Times New Roman"/>
          <w:sz w:val="24"/>
          <w:szCs w:val="24"/>
          <w:lang w:val="en-US"/>
        </w:rPr>
        <w:t xml:space="preserve">Picoline </w:t>
      </w:r>
      <w:r>
        <w:rPr>
          <w:rFonts w:ascii="Times New Roman" w:hAnsi="Times New Roman" w:cs="Times New Roman"/>
          <w:sz w:val="24"/>
          <w:szCs w:val="24"/>
          <w:lang w:val="de-DE"/>
        </w:rPr>
        <w:t>, P</w:t>
      </w:r>
      <w:r>
        <w:rPr>
          <w:rFonts w:hint="default" w:ascii="Times New Roman" w:hAnsi="Times New Roman" w:cs="Times New Roman"/>
          <w:sz w:val="24"/>
          <w:szCs w:val="24"/>
          <w:lang w:val="en-US"/>
        </w:rPr>
        <w:t>icoline N-oxide</w:t>
      </w:r>
      <w:r>
        <w:rPr>
          <w:rFonts w:ascii="Times New Roman" w:hAnsi="Times New Roman" w:cs="Times New Roman"/>
          <w:sz w:val="24"/>
          <w:szCs w:val="24"/>
          <w:lang w:val="de-DE"/>
        </w:rPr>
        <w:t xml:space="preserve">, </w:t>
      </w:r>
      <w:r>
        <w:rPr>
          <w:rFonts w:hint="default" w:ascii="Times New Roman" w:hAnsi="Times New Roman" w:cs="Times New Roman"/>
          <w:sz w:val="24"/>
          <w:szCs w:val="24"/>
          <w:lang w:val="en-US"/>
        </w:rPr>
        <w:t xml:space="preserve">structure </w:t>
      </w:r>
      <w:r>
        <w:rPr>
          <w:rFonts w:ascii="Times New Roman" w:hAnsi="Times New Roman" w:cs="Times New Roman"/>
          <w:sz w:val="24"/>
          <w:szCs w:val="24"/>
          <w:lang w:val="de-DE"/>
        </w:rPr>
        <w:t>activity</w:t>
      </w:r>
      <w:r>
        <w:rPr>
          <w:rFonts w:hint="default" w:ascii="Times New Roman" w:hAnsi="Times New Roman" w:cs="Times New Roman"/>
          <w:sz w:val="24"/>
          <w:szCs w:val="24"/>
          <w:lang w:val="en-US"/>
        </w:rPr>
        <w:t xml:space="preserve">  relationship, pyridine isomer, drug design </w:t>
      </w:r>
    </w:p>
    <w:p w14:paraId="553F5BF7">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5394B29C">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r>
        <w:rPr>
          <w:rFonts w:ascii="Times New Roman" w:hAnsi="Times New Roman" w:cs="Times New Roman"/>
          <w:b/>
          <w:bCs/>
          <w:sz w:val="24"/>
          <w:szCs w:val="24"/>
        </w:rPr>
        <w:drawing>
          <wp:anchor distT="0" distB="0" distL="114300" distR="114300" simplePos="0" relativeHeight="251660288" behindDoc="0" locked="0" layoutInCell="1" allowOverlap="1">
            <wp:simplePos x="0" y="0"/>
            <wp:positionH relativeFrom="margin">
              <wp:posOffset>4445</wp:posOffset>
            </wp:positionH>
            <wp:positionV relativeFrom="paragraph">
              <wp:posOffset>98425</wp:posOffset>
            </wp:positionV>
            <wp:extent cx="6009005" cy="4245610"/>
            <wp:effectExtent l="9525" t="9525" r="13970" b="12065"/>
            <wp:wrapTopAndBottom/>
            <wp:docPr id="139139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90148"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009005" cy="4245610"/>
                    </a:xfrm>
                    <a:prstGeom prst="rect">
                      <a:avLst/>
                    </a:prstGeom>
                    <a:ln>
                      <a:solidFill>
                        <a:schemeClr val="tx1"/>
                      </a:solidFill>
                    </a:ln>
                  </pic:spPr>
                </pic:pic>
              </a:graphicData>
            </a:graphic>
          </wp:anchor>
        </w:drawing>
      </w:r>
    </w:p>
    <w:p w14:paraId="4EAFD8D0">
      <w:pPr>
        <w:widowControl w:val="0"/>
        <w:tabs>
          <w:tab w:val="left" w:pos="9360"/>
        </w:tabs>
        <w:overflowPunct w:val="0"/>
        <w:autoSpaceDE w:val="0"/>
        <w:autoSpaceDN w:val="0"/>
        <w:adjustRightInd w:val="0"/>
        <w:spacing w:after="0" w:line="360" w:lineRule="auto"/>
        <w:ind w:firstLine="3735" w:firstLineChars="155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Graphical Abstarct</w:t>
      </w:r>
    </w:p>
    <w:p w14:paraId="7536C86A">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3659BB8E">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1844638E">
      <w:pPr>
        <w:widowControl w:val="0"/>
        <w:tabs>
          <w:tab w:val="left" w:pos="9360"/>
        </w:tabs>
        <w:overflowPunct w:val="0"/>
        <w:autoSpaceDE w:val="0"/>
        <w:autoSpaceDN w:val="0"/>
        <w:adjustRightInd w:val="0"/>
        <w:spacing w:after="0" w:line="360" w:lineRule="auto"/>
        <w:jc w:val="both"/>
        <w:rPr>
          <w:rFonts w:ascii="Times New Roman" w:hAnsi="Times New Roman" w:cs="Times New Roman"/>
          <w:sz w:val="24"/>
          <w:szCs w:val="24"/>
          <w:lang w:val="de-DE"/>
        </w:rPr>
      </w:pPr>
    </w:p>
    <w:p w14:paraId="2D76B961">
      <w:pPr>
        <w:spacing w:line="360" w:lineRule="auto"/>
        <w:ind w:left="-567"/>
        <w:jc w:val="both"/>
        <w:rPr>
          <w:rFonts w:hint="default" w:ascii="Times New Roman" w:hAnsi="Times New Roman" w:cs="Times New Roman"/>
          <w:b/>
          <w:bCs/>
          <w:sz w:val="24"/>
          <w:szCs w:val="24"/>
        </w:rPr>
      </w:pPr>
      <w:r>
        <w:rPr>
          <w:rFonts w:hint="default" w:ascii="Times New Roman" w:hAnsi="Times New Roman" w:cs="Times New Roman"/>
          <w:b/>
          <w:bCs/>
          <w:sz w:val="24"/>
          <w:szCs w:val="24"/>
        </w:rPr>
        <w:t>Introduction</w:t>
      </w:r>
    </w:p>
    <w:p w14:paraId="1FB3B655">
      <w:pPr>
        <w:spacing w:line="36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Picoline, a methyl-substituted pyridine, represents a class of heteroaromatic compounds with three positional isomers 2-picoline (α-picoline), 3-picoline (β-picoline), and 4-picoline (γ-picoline) each defined by the location of the methyl group on the pyridine ring. These isomers are structurally simple yet chemically versatile, serving as foundational scaffolds in the synthesis of more complex nitrogen-containing heterocycles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{"citationItems":[{"id":"ITEM-1","itemData":{"id":"ITEM-1","issued":{"date-parts":[["0"]]},"title":"Weidel, H. (1879). \"Studien über Verbindungen aus dem animalischen Theer\" [On studies of compounds from animal tar]. Berichte der Deutschen Chemischen Gesellschaft (in German). 12 (2): 1989–2012. doi:10.1002/cber.187901202207. From p. 2008: \"Eine vollstän","type":"article-journal"},"uris":["http://www.mendeley.com/documents/?uuid=9ad15c70-fd98-4b28-99b6-21defdc738a9"]}],"mendeley":{"formattedCitation":"[1]","plainTextFormattedCitation":"[1]","previouslyFormattedCitation":"[1]"},"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{"citationItems":[{"id":"ITEM-1","itemData":{"id":"ITEM-1","issued":{"date-parts":[["0"]]},"title":"On (Weidel, 1879), pp. 2000–2001, Weidel shows that decarboxylation of picolinic acid yields pyridine. On (Weidel, 1873), p. 343, Weidel shows that decarboxylation of niacin yields pyridine. On (Weidel, 1879), p. 2000,","type":"article-journal"},"uris":["http://www.mendeley.com/documents/?uuid=a5fd79c3-6f1a-41fd-996a-c9db7d493631"]}],"mendeley":{"formattedCitation":"[2]","plainTextFormattedCitation":"[2]","previouslyFormattedCitation":"[2]"},"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t>. Their aromaticity, moderate basicity, and nucleophilicity make them valuable intermediates in organic synthesis, particularly in the pharmaceutical, agrochemical, and dye industries, as well as in biotechnology and life sciences, industrial and material sciences, and environmental and analytical chemistry. Among these, 2-picoline and 4-picoline are most commonly employed due to their favorable reactivity profiles and accessibility from coal tar or via catalytic methylation of pyridine</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{"citationItems":[{"id":"ITEM-1","itemData":{"id":"ITEM-1","issued":{"date-parts":[["0"]]},"title":"Weidel, H. (1879). \"Studien über Verbindungen aus dem animalischen Theer\" [On studies of compounds from animal tar]. Berichte der Deutschen Chemischen Gesellschaft (in German). 12 (2): 1989–2012. doi:10.1002/cber.187901202207. From p. 2008: \"Eine vollstän","type":"article-journal"},"uris":["http://www.mendeley.com/documents/?uuid=5c7418c9-8b5a-4ec0-8725-e73674f4bab8"]}],"mendeley":{"formattedCitation":"[1]","plainTextFormattedCitation":"[1]","previouslyFormattedCitation":"[1]"},"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B3B656">
      <w:pPr>
        <w:spacing w:line="360" w:lineRule="auto"/>
        <w:ind w:left="-502"/>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transformation of picoline into its N-oxide derivative picoline N-oxide marks a significant chemical modification that alters both the electronic and physicochemical properties of the molecule. </w:t>
      </w:r>
      <w:r>
        <w:rPr>
          <w:rFonts w:hint="default" w:ascii="Times New Roman" w:hAnsi="Times New Roman" w:cs="Times New Roman"/>
          <w:sz w:val="24"/>
          <w:szCs w:val="24"/>
          <w:lang w:val="en-IN"/>
        </w:rPr>
        <w:t>Picoline-N-oxides are a class of heterocyclic compounds derived from the oxidation of methylpyridine isomers.</w:t>
      </w:r>
      <w:r>
        <w:rPr>
          <w:rFonts w:hint="default" w:ascii="Times New Roman" w:hAnsi="Times New Roman" w:cs="Times New Roman"/>
          <w:sz w:val="24"/>
          <w:szCs w:val="24"/>
        </w:rPr>
        <w:t xml:space="preserve"> Picoline N-oxides are formed through oxidation at the nitrogen atom of the pyridine ring, typically using oxidizing agents such as hydrogen peroxide, m-chloroperbenzoic acid (m-CPBA), or peracetic acid</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{"citationItems":[{"id":"ITEM-1","itemData":{"DOI":"https://doi.org/10.1021%2Fja01596a019","author":[{"dropping-particle":"","family":"Ross, Sidney D.; Kelley, Donald J.; Labes","given":"Mortimer M. (1956).","non-dropping-particle":"","parse-names":false,"suffix":""}],"container-title":"Journal of the American Chemical Society.","id":"ITEM-1","issue":"15","issued":{"date-parts":[["1956"]]},"page":"3625-3627","title":"\"Molecular Compounds. VII. Interactions between 1,3,5-Trinitrobenzene and Pyridine-N-Oxides in Chloroform Solution\".","type":"article-journal","volume":"78"},"uris":["http://www.mendeley.com/documents/?uuid=8a10a0c8-3335-4fed-86ca-14c9cf4bf2d5"]}],"mendeley":{"formattedCitation":"[3]","plainTextFormattedCitation":"[3]","previouslyFormattedCitation":"[3]"},"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B3B657">
      <w:pPr>
        <w:spacing w:line="360" w:lineRule="auto"/>
        <w:ind w:left="-502"/>
        <w:jc w:val="both"/>
        <w:rPr>
          <w:rFonts w:hint="default" w:ascii="Times New Roman" w:hAnsi="Times New Roman" w:cs="Times New Roman"/>
          <w:sz w:val="24"/>
          <w:szCs w:val="24"/>
          <w:lang w:val="en-IN"/>
        </w:rPr>
      </w:pPr>
      <w:r>
        <w:rPr>
          <w:rFonts w:hint="default" w:ascii="Times New Roman" w:hAnsi="Times New Roman" w:cs="Times New Roman"/>
          <w:sz w:val="24"/>
          <w:szCs w:val="24"/>
        </w:rPr>
        <w:t>The oxidation of methyl-substituted pyridines to their corresponding N-oxides introduces a significant electronic perturbation at the nitrogen center, resulting in enhanced polarity, altered hydrogen bonding capacity, and modified reactivity. The N→O functionality imparts a zwitterionic resonance structure that facilitates diverse chemical transformations and influences solubility, permeability, and intermolecular interactions. These properties are particularly relevant in medicinal chemistry, drug metabolism, and bioactivation strategies, where N-oxides serve as bioreversible prodrugs and redox-active intermediates. Their selective activation under physiological conditions such as hypoxia-triggered reduction in tumor microenvironments has been exemplified by agents like tirapazamine</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{"citationItems":[{"id":"ITEM-1","itemData":{"DOI":"10.17077/0031-0360.24332","ISSN":"0031-0360","abstract":"OF THE DISCLOSURE This invention relates to the strengthening of glass articles by creating a surface layer of compressive stress therein through an ion exchange process. More particu larly, this invention relates to the strengthening of sodium aluminosilicate glasses wherein potassium ions are ex changed for sodium ions and contemplates heating such glasses in air prior to the ion exchange process. A recent development in the field of glass technology has been the discovery that alkali silicate glass articles can be strengthened several fold by means of an ion ex change process. In this process, a glass article containing lithium or sodium ions is contacted with a source of alkali metal ions having a larger ionic radius than lithium O 5 20 25 or sodium at an elevated temperature but below the strain point of the glass for a period of time such that the larger ions will migrate into the surface of the glass article and replace the smaller alkali ions therein. Since this exchange is carried out at a temperature below the strain point of the glass, there can be no viscous flow thereof to relieve the compressive stresses set up by the \"crowding\" of the larger ions into the glass structure in place of the smaller ions. Thus, a surface compression layer is set up in the glass article which greatly enhances the mechanical strength thereof. The means for carrying out this large-ion-for-Small-ion type of ion exchange has generally utilized two ap proaches. The first, represented by U.S. Pat. No. 3,218,220, involves an electrochemical technique while the second, represented by British Pat. No. 917,338, is dependent solely upon thermal diffusion of the ions. This second mode of operation has founded a new dimension in commercial glass manufacturing since it has permitted the production of glass articles exhibiting mechanical strengths heretofore not obtainable. And it is with this second method that the present invention is an improve ment thereon. British Pat. No. 966,733 discusses the unusual effect the addition of substantial amounts, i.e., greater than 5% by weight, of Al2O3 to alkali silicate glasses has upon the strength than can be imparted thereto through ion exchange of the large-ion-for-Small-ion type. Specific ex amples are recited therein of the exchange of potassium ions for sodium ions in sodium aluminocilicate glasses and the strengths obtained thereby compared with other sodium silicate glasses wherein the Al2O3 content is less than 5% by weight. …","author":[{"dropping-particle":"","family":"Calkin","given":"Homer L","non-dropping-particle":"","parse-names":false,"suffix":""}],"container-title":"The Palimpsest","id":"ITEM-1","issue":"7","issued":{"date-parts":[["1969"]]},"page":"2-4","title":"United States Patent Office","type":"article-journal","volume":"50"},"uris":["http://www.mendeley.com/documents/?uuid=2303dead-8304-4fe2-a5ef-317a4de8ec14"]}],"mendeley":{"formattedCitation":"[4]","plainTextFormattedCitation":"[4]","previouslyFormattedCitation":"[4]"},"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1FB3B658">
      <w:pPr>
        <w:spacing w:line="360" w:lineRule="auto"/>
        <w:ind w:left="-502"/>
        <w:jc w:val="both"/>
        <w:rPr>
          <w:rFonts w:hint="default" w:ascii="Times New Roman" w:hAnsi="Times New Roman" w:cs="Times New Roman"/>
          <w:sz w:val="24"/>
          <w:szCs w:val="24"/>
          <w:lang w:val="en-IN"/>
        </w:rPr>
      </w:pPr>
      <w:r>
        <w:rPr>
          <w:rFonts w:hint="default" w:ascii="Times New Roman" w:hAnsi="Times New Roman" w:cs="Times New Roman"/>
          <w:sz w:val="24"/>
          <w:szCs w:val="24"/>
        </w:rPr>
        <w:t>Furthermore, the N-oxide moiety functions as a directing group in metal-catalyzed C–H activation, enabling regioselective functionalization of the pyridine ring. Synthetic access to picoline N-oxides is typically achieved via oxidation at the ring nitrogen using reagents such as hydrogen peroxide, m-chloroperbenzoic acid, or peracetic acid, with reaction outcomes influenced by the electronic environment dictated by methyl group positioning</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{"citationItems":[{"id":"ITEM-1","itemData":{"DOI":"https://doi.org/10.1007/s43153-023-00369-0","author":[{"dropping-particle":"","family":"Gomes, E.L., de Freitas, D.A., Condotta","given":"R. et al.","non-dropping-particle":"","parse-names":false,"suffix":""}],"container-title":"Braz. J. Chem. Eng.","id":"ITEM-1","issued":{"date-parts":[["2023"]]},"page":"1021-1033","title":"Direct oxidation of 3-picoline (3-methyl-pyridine) to nicotinic acid with pure HNO3.","type":"article-journal","volume":"41"},"uris":["http://www.mendeley.com/documents/?uuid=ece0e91d-ea38-4b10-a57f-d9fce25df754"]}],"mendeley":{"formattedCitation":"[5]","plainTextFormattedCitation":"[5]","previouslyFormattedCitation":"[5]"},"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1FB3B659">
      <w:pPr>
        <w:spacing w:line="360" w:lineRule="auto"/>
        <w:ind w:left="-426"/>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Historical Background and Early Investigations</w:t>
      </w:r>
    </w:p>
    <w:p w14:paraId="1FB3B65A">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exploration of pyridine N-oxides began in the mid-20th century, with pioneering studies by Ross et al. (1956) that elucidated the donor-acceptor interactions of N-oxide systems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{"citationItems":[{"id":"ITEM-1","itemData":{"DOI":"https://doi.org/10.1021%2Fja01596a019","author":[{"dropping-particle":"","family":"Ross, Sidney D.; Kelley, Donald J.; Labes","given":"Mortimer M. (1956).","non-dropping-particle":"","parse-names":false,"suffix":""}],"container-title":"Journal of the American Chemical Society.","id":"ITEM-1","issue":"15","issued":{"date-parts":[["1956"]]},"page":"3625-3627","title":"\"Molecular Compounds. VII. Interactions between 1,3,5-Trinitrobenzene and Pyridine-N-Oxides in Chloroform Solution\".","type":"article-journal","volume":"78"},"uris":["http://www.mendeley.com/documents/?uuid=8a10a0c8-3335-4fed-86ca-14c9cf4bf2d5"]}],"mendeley":{"formattedCitation":"[3]","plainTextFormattedCitation":"[3]","previouslyFormattedCitation":"[3]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These investigations laid the foundation for understanding the electronic perturbations induced by N-oxidation and their implications for aromatic reactivity. The subsequent decades witnessed a surge in interest surrounding N-oxide derivatives, including picoline-N-oxides, as chemists recognized their potential in facilitating novel transformations and enhancing molecular functionality.</w:t>
      </w:r>
    </w:p>
    <w:p w14:paraId="1FB3B65B">
      <w:pPr>
        <w:spacing w:line="360" w:lineRule="auto"/>
        <w:ind w:left="-426"/>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Advances in the Synthesis and Mechanistic Understanding of Picoline N-Oxides</w:t>
      </w:r>
    </w:p>
    <w:p w14:paraId="1FB3B65C">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Recent developments in the synthesis of picoline N-oxides have transitioned from conventional batch oxidation protocols to more refined and sustainable methodologies. Controlled oxidation using aqueous hydrogen peroxide in the presence of catalytic system such as transition metals or supported reagents has demonstrated high selectivity and yield, though optimization remains critical to suppress overoxidation and ring degradation.</w:t>
      </w:r>
    </w:p>
    <w:p w14:paraId="1FB3B65D">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Innovations in flow chemistry and microreactor platforms have significantly enhanced process safety, scalability, and energy efficiency. These continuous systems offer precise modulation of reaction parameters, including temperature, residence time, and stoichiometry, thereby minimizing side reactions and streamlining product isolation. In parallel, electrochemical oxidation has emerged as a green alternative, circumventing the use of stoichiometric oxidants and aligning with environmentally responsible synthesis.</w:t>
      </w:r>
    </w:p>
    <w:p w14:paraId="459969A9">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Mechanistically, N-oxidation of picoline proceeds via nucleophilic attack of the oxidant on the pyridine nitrogen lone pair, generating a transient peroxy intermediate that rearranges to the N-oxide. The rate and efficiency of this transformation are governed by the electronic environment of the nitrogen atom, which is influenced by the positional orientation of the methyl substituent. Notably, 4-picoline</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{"citationItems":[{"id":"ITEM-1","itemData":{"author":[{"dropping-particle":"","family":"Intermediates","given":"Fine Chemical","non-dropping-particle":"","parse-names":false,"suffix":""}],"id":"ITEM-1","issued":{"date-parts":[["0"]]},"title":"The Role of 4-Methylpyridine N-Oxide in Modern Organic Synthesis","type":"article-journal"},"uris":["http://www.mendeley.com/documents/?uuid=221ec179-4d1a-42d3-811b-29c28097c5d2"]}],"mendeley":{"formattedCitation":"[6]","plainTextFormattedCitation":"[6]","previouslyFormattedCitation":"[6]"},"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xml:space="preserve"> exhibits enhanced reactivity due to increased electron density at the nitrogen site, in contrast to the relatively inert 3-isomer</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{"citationItems":[{"id":"ITEM-1","itemData":{"id":"ITEM-1","issued":{"date-parts":[["0"]]},"title":"Unverdorben, Otto (1826). \"Ueber das Verhalten der organischen Körper in höheren Temperaturen\" [On the behavior of organic substances at high temperatures]. Annalen der Physik und Chemie. 2nd series (in German). 8: 253–265, 477–487. Unverdorben named pico","type":"article-journal"},"uris":["http://www.mendeley.com/documents/?uuid=9534a5f8-0538-46fd-94f8-ac8f124c76c3"]}],"mendeley":{"formattedCitation":"[7]","plainTextFormattedCitation":"[7]","previouslyFormattedCitation":"[7]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{"citationItems":[{"id":"ITEM-1","itemData":{"id":"ITEM-1","issued":{"date-parts":[["0"]]},"title":"Anderson, Thomas (1849). \"On the constitution and properties of picoline, a new organic base from coal-tar\". Transactions of the Royal Society of Edinburgh. 16 (2): 123–136. doi:10.1017/S0080456800024984. On p. 124, Anderson names picoline. Anderson, Thom","type":"article-journal"},"uris":["http://www.mendeley.com/documents/?uuid=e08ef8f7-1ee3-4a30-ae55-14a0d709482e"]}],"mendeley":{"formattedCitation":"[8]","plainTextFormattedCitation":"[8]","previouslyFormattedCitation":"[8]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{"citationItems":[{"id":"ITEM-1","itemData":{"id":"ITEM-1","issued":{"date-parts":[["0"]]},"title":"Baeyer, Adolf (1870). \"Untersuchungen über die Basen der Pyridin- und Chinolinreihe. I. Ueber die Synthese des Picolins\" [Investigations into the bases of the pyridine and quinoline series. I. On the synthesis of picoline]. Annalen der Chemie und Pharmaci","type":"article-journal"},"uris":["http://www.mendeley.com/documents/?uuid=5f8bd747-9219-430d-9966-270e428b718a"]}],"mendeley":{"formattedCitation":"[9]","plainTextFormattedCitation":"[9]","previouslyFormattedCitation":"[9]"},"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[9]</w:t>
      </w:r>
      <w:r>
        <w:rPr>
          <w:rFonts w:hint="default" w:ascii="Times New Roman" w:hAnsi="Times New Roman" w:cs="Times New Roman"/>
          <w:sz w:val="24"/>
          <w:szCs w:val="24"/>
          <w:lang w:val="en-IN"/>
        </w:rPr>
        <w:fldChar w:fldCharType="end"/>
      </w:r>
    </w:p>
    <w:p w14:paraId="1FB3B660">
      <w:pPr>
        <w:spacing w:line="360" w:lineRule="auto"/>
        <w:ind w:left="-426"/>
        <w:jc w:val="both"/>
        <w:rPr>
          <w:rFonts w:hint="default" w:ascii="Times New Roman" w:hAnsi="Times New Roman" w:cs="Times New Roman"/>
          <w:b/>
          <w:bCs/>
          <w:color w:val="000000" w:themeColor="text1"/>
          <w:sz w:val="24"/>
          <w:szCs w:val="24"/>
          <w:u w:val="single"/>
          <w:lang w:val="en-IN"/>
        </w:rPr>
      </w:pPr>
      <w:r>
        <w:rPr>
          <w:rFonts w:hint="default" w:ascii="Times New Roman" w:hAnsi="Times New Roman" w:cs="Times New Roman"/>
          <w:b/>
          <w:bCs/>
          <w:color w:val="000000" w:themeColor="text1"/>
          <w:sz w:val="24"/>
          <w:szCs w:val="24"/>
          <w:u w:val="single"/>
          <w:lang w:val="en-IN"/>
        </w:rPr>
        <w:t>Mechanistic Insights into N-Oxidation</w:t>
      </w:r>
    </w:p>
    <w:p w14:paraId="1FB3B662">
      <w:pPr>
        <w:spacing w:line="360" w:lineRule="auto"/>
        <w:ind w:left="-567"/>
        <w:jc w:val="both"/>
        <w:rPr>
          <w:rFonts w:hint="default" w:ascii="Times New Roman" w:hAnsi="Times New Roman" w:cs="Times New Roman"/>
          <w:b/>
          <w:bCs/>
          <w:sz w:val="24"/>
          <w:szCs w:val="24"/>
          <w:lang w:val="en-IN"/>
        </w:rPr>
      </w:pPr>
      <w:r>
        <w:rPr>
          <w:rFonts w:hint="default" w:ascii="Times New Roman" w:hAnsi="Times New Roman" w:cs="Times New Roman"/>
          <w:sz w:val="24"/>
          <w:szCs w:val="24"/>
          <w:lang w:val="en-IN"/>
        </w:rPr>
        <w:t>The oxidation of picoline involves a peracid intermediate that facilitates oxygen transfer to the nitrogen center. The process is exothermic and sensitive to reaction conditions, including temperature, solvent polarity, and oxidant concentration. Mechanistic studies have revealed that the electron-rich nature of the methylpyridine ring enhances susceptibility to electrophilic attack, particularly in the 2-position isomer</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{"citationItems":[{"id":"ITEM-1","itemData":{"id":"ITEM-1","issued":{"date-parts":[["0"]]},"title":"National Center for Biotechnology Information (2025). PubChem Compound Summary for Picolines. Retrieved September 24, 2025 from https://pubchem.ncbi.nlm.nih.gov/compound/Picolines.","type":"article-journal"},"uris":["http://www.mendeley.com/documents/?uuid=f57869a6-e8b0-48ba-91f4-f5567cf89016"]}],"mendeley":{"formattedCitation":"[10]","plainTextFormattedCitation":"[10]","previouslyFormattedCitation":"[10]"},"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[10]</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{"citationItems":[{"id":"ITEM-1","itemData":{"author":[{"dropping-particle":"","family":"Guidelines","given":"Sampling","non-dropping-particle":"","parse-names":false,"suffix":""}],"id":"ITEM-1","issue":"April","issued":{"date-parts":[["2024"]]},"title":"BETA PICOLINE- SPECIFICATION : Not Applicable","type":"article-journal"},"uris":["http://www.mendeley.com/documents/?uuid=49997dd0-e151-43f0-836e-280c16797a56"]}],"mendeley":{"formattedCitation":"[11]","plainTextFormattedCitation":"[11]","previouslyFormattedCitation":"[11]"},"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[11]</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FB3B663">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Physicochemical Properties and Analytical Considerations</w:t>
      </w:r>
    </w:p>
    <w:p w14:paraId="1FB3B665">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physicochemical attributes of picoline-N-oxides such as melting point, boiling point, solubility, and polarity are influenced by isomeric structure. Analytical techniques including NMR spectroscopy, IR spectroscopy, and mass spectrometry are routinely employed to confirm N-oxide formation and assess purity. Thermal analysis (DSC/TGA) further aids in characterizing stability and decomposition profiles.</w:t>
      </w:r>
    </w:p>
    <w:p w14:paraId="1FB3B666">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Safety and Handling</w:t>
      </w:r>
    </w:p>
    <w:p w14:paraId="1FB3B66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Picoline-N-oxide compounds are generally regarded as low-hazard substances; however, standard laboratory safety protocols must be strictly observed during their handling and storage. Although not acutely toxic, these compounds may cause mild irritation upon contact with skin or eyes, and inhalation of dust or vapors should be avoided due to potential respiratory discomfort.</w:t>
      </w:r>
    </w:p>
    <w:p w14:paraId="4EC5BE0A">
      <w:pPr>
        <w:spacing w:line="360" w:lineRule="auto"/>
        <w:ind w:left="-567"/>
        <w:jc w:val="both"/>
        <w:rPr>
          <w:rFonts w:hint="default" w:ascii="Times New Roman" w:hAnsi="Times New Roman" w:cs="Times New Roman"/>
          <w:b/>
          <w:bCs/>
          <w:sz w:val="24"/>
          <w:szCs w:val="24"/>
          <w:u w:val="single"/>
          <w:lang w:val="en-US"/>
        </w:rPr>
      </w:pPr>
      <w:r>
        <w:rPr>
          <w:rFonts w:hint="default" w:ascii="Times New Roman" w:hAnsi="Times New Roman" w:cs="Times New Roman"/>
          <w:b/>
          <w:bCs/>
          <w:sz w:val="24"/>
          <w:szCs w:val="24"/>
          <w:u w:val="single"/>
          <w:lang w:val="en-IN"/>
        </w:rPr>
        <w:t>Exposure Control</w:t>
      </w:r>
      <w:r>
        <w:rPr>
          <w:rFonts w:hint="default" w:ascii="Times New Roman" w:hAnsi="Times New Roman" w:cs="Times New Roman"/>
          <w:b/>
          <w:bCs/>
          <w:sz w:val="24"/>
          <w:szCs w:val="24"/>
          <w:u w:val="single"/>
          <w:lang w:val="en-US"/>
        </w:rPr>
        <w:t xml:space="preserve"> </w:t>
      </w:r>
    </w:p>
    <w:p w14:paraId="1FB3B669">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All manipulations should be conducted in a well-ventilated fume hood. Personnel must wear appropriate personal protective equipment, including nitrile gloves, safety goggles, and laboratory coats. In cases of prolonged exposure or large-scale operations, respiratory protection may be warranted.</w:t>
      </w:r>
    </w:p>
    <w:p w14:paraId="1FB3B66A">
      <w:pPr>
        <w:spacing w:line="360" w:lineRule="auto"/>
        <w:ind w:left="-567"/>
        <w:jc w:val="both"/>
        <w:rPr>
          <w:rFonts w:hint="default" w:ascii="Times New Roman" w:hAnsi="Times New Roman" w:cs="Times New Roman"/>
          <w:sz w:val="24"/>
          <w:szCs w:val="24"/>
          <w:lang w:val="en-IN"/>
        </w:rPr>
      </w:pPr>
    </w:p>
    <w:p w14:paraId="5F63E6AB">
      <w:pPr>
        <w:spacing w:line="360" w:lineRule="auto"/>
        <w:ind w:left="-567"/>
        <w:jc w:val="both"/>
        <w:rPr>
          <w:rFonts w:hint="default" w:ascii="Times New Roman" w:hAnsi="Times New Roman" w:cs="Times New Roman"/>
          <w:sz w:val="24"/>
          <w:szCs w:val="24"/>
          <w:u w:val="single"/>
          <w:lang w:val="en-IN"/>
        </w:rPr>
      </w:pPr>
      <w:r>
        <w:rPr>
          <w:rFonts w:hint="default" w:ascii="Times New Roman" w:hAnsi="Times New Roman" w:cs="Times New Roman"/>
          <w:b/>
          <w:bCs/>
          <w:sz w:val="24"/>
          <w:szCs w:val="24"/>
          <w:u w:val="single"/>
          <w:lang w:val="en-IN"/>
        </w:rPr>
        <w:t>Storage Conditions</w:t>
      </w:r>
      <w:r>
        <w:rPr>
          <w:rFonts w:hint="default" w:ascii="Times New Roman" w:hAnsi="Times New Roman" w:cs="Times New Roman"/>
          <w:sz w:val="24"/>
          <w:szCs w:val="24"/>
          <w:u w:val="single"/>
          <w:lang w:val="en-IN"/>
        </w:rPr>
        <w:t xml:space="preserve">: </w:t>
      </w:r>
    </w:p>
    <w:p w14:paraId="1FB3B66C">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Materials should be stored in airtight containers under dry, cool, and ventilated conditions. Picoline-N-oxides are sensitive to moisture and light; therefore, desiccation and protection from direct sunlight are recommended to maintain chemical stability.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Identification","given":"Company","non-dropping-particle":"","parse-names":false,"suffix":""}],"container-title":"Facilities","id":"ITEM-1","issued":{"date-parts":[["2010"]]},"page":"1-5","title":"Section 1 - Chemical Product and Company Identification Section 3 - Hazards Identification Section 4 - First Aid Measures","type":"article-journal"},"uris":["http://www.mendeley.com/documents/?uuid=ed39d275-97c1-40d2-84f0-d174de058ee3"]}],"mendeley":{"formattedCitation":"[12]","plainTextFormattedCitation":"[12]","previouslyFormattedCitation":"[12]"},"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[12]</w:t>
      </w:r>
      <w:r>
        <w:rPr>
          <w:rFonts w:hint="default" w:ascii="Times New Roman" w:hAnsi="Times New Roman" w:cs="Times New Roman"/>
          <w:sz w:val="24"/>
          <w:szCs w:val="24"/>
          <w:lang w:val="en-IN"/>
        </w:rPr>
        <w:fldChar w:fldCharType="end"/>
      </w:r>
    </w:p>
    <w:p w14:paraId="22F0C868">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Spill and Disposal Protocols</w:t>
      </w:r>
    </w:p>
    <w:p w14:paraId="1FB3B66E">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In the event of accidental release, containment using inert absorbents (e.g., silica, vermiculite) is advised. Waste material should be collected and disposed of in accordance with institutional hazardous waste guidelines and local environmental regulations. Incineration under controlled conditions is preferred for disposal of N-oxide derivatives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{"citationItems":[{"id":"ITEM-1","itemData":{"ISBN":"1800424930","abstract":"Kaolin Asp ® 400p","author":[{"dropping-particle":"","family":"1910.1200","given":"The OSHA Hazard Communication Standard 29 C F R","non-dropping-particle":"","parse-names":false,"suffix":""}],"container-title":"Material Safety Data Sheet","id":"ITEM-1","issue":"2","issued":{"date-parts":[["2012"]]},"page":"1-6","title":"Safety Data Sheet . ةم سلا تانايب ةرشن Safety Data Sheet","type":"article-journal","volume":"4"},"uris":["http://www.mendeley.com/documents/?uuid=53a9b05d-a44a-4971-907f-6f725894f805"]}],"mendeley":{"formattedCitation":"[13]","plainTextFormattedCitation":"[13]","previouslyFormattedCitation":"[13]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8465C5E">
      <w:pPr>
        <w:spacing w:line="360" w:lineRule="auto"/>
        <w:ind w:left="-567"/>
        <w:jc w:val="both"/>
        <w:rPr>
          <w:rFonts w:hint="default" w:ascii="Times New Roman" w:hAnsi="Times New Roman" w:cs="Times New Roman"/>
          <w:b/>
          <w:bCs/>
          <w:sz w:val="24"/>
          <w:szCs w:val="24"/>
          <w:u w:val="single"/>
          <w:lang w:val="en-IN"/>
        </w:rPr>
      </w:pPr>
      <w:r>
        <w:rPr>
          <w:rFonts w:hint="default" w:ascii="Times New Roman" w:hAnsi="Times New Roman" w:cs="Times New Roman"/>
          <w:b/>
          <w:bCs/>
          <w:sz w:val="24"/>
          <w:szCs w:val="24"/>
          <w:u w:val="single"/>
          <w:lang w:val="en-IN"/>
        </w:rPr>
        <w:t>Regulatory Status</w:t>
      </w:r>
    </w:p>
    <w:p w14:paraId="23820301">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Picoline-N-oxides are not classified under major international hazard categories (e.g., GHS Category 1), but users should consult relevant national chemical inventories and safety data sheets for specific compliance requirements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{"citationItems":[{"id":"ITEM-1","itemData":{"ISBN":"0008001007141","id":"ITEM-1","issue":"HazCom","issued":{"date-parts":[["2012"]]},"page":"1-9","title":"Alpha Picoline Safety Data Sheet Jubilant Ingrevia Limited Alpha Picoline Safety Data Sheet Jubilant Ingrevia Limited","type":"article-journal","volume":"2012"},"uris":["http://www.mendeley.com/documents/?uuid=28616e08-9119-494a-b2d0-fa2f7d2e5bc1"]}],"mendeley":{"formattedCitation":"[14]","plainTextFormattedCitation":"[14]","previouslyFormattedCitation":"[14]"},"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[14]</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FB3B671">
      <w:pPr>
        <w:spacing w:line="360" w:lineRule="auto"/>
        <w:ind w:left="-567"/>
        <w:jc w:val="both"/>
        <w:rPr>
          <w:rFonts w:hint="default" w:ascii="Times New Roman" w:hAnsi="Times New Roman" w:cs="Times New Roman"/>
          <w:sz w:val="24"/>
          <w:szCs w:val="24"/>
          <w:u w:val="single"/>
          <w:lang w:val="en-IN"/>
        </w:rPr>
      </w:pPr>
      <w:r>
        <w:rPr>
          <w:rFonts w:hint="default" w:ascii="Times New Roman" w:hAnsi="Times New Roman" w:cs="Times New Roman"/>
          <w:b/>
          <w:bCs/>
          <w:sz w:val="24"/>
          <w:szCs w:val="24"/>
          <w:u w:val="single"/>
          <w:lang w:val="en-IN"/>
        </w:rPr>
        <w:t xml:space="preserve">Synthetic Methodologies </w:t>
      </w:r>
    </w:p>
    <w:p w14:paraId="082045FE">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bCs/>
          <w:sz w:val="24"/>
          <w:szCs w:val="24"/>
          <w:lang w:val="en-IN"/>
        </w:rPr>
        <w:t>Classical Oxidation Techniques</w:t>
      </w:r>
      <w:r>
        <w:rPr>
          <w:rFonts w:hint="default" w:ascii="Times New Roman" w:hAnsi="Times New Roman" w:cs="Times New Roman"/>
          <w:sz w:val="24"/>
          <w:szCs w:val="24"/>
          <w:lang w:val="en-IN"/>
        </w:rPr>
        <w:t xml:space="preserve"> </w:t>
      </w:r>
    </w:p>
    <w:p w14:paraId="1FB3B673">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Traditional synthesis of picoline-N-oxides involves oxidation using peracids such as m-chloroperbenzoic acid (m-CPBA) or hydrogen peroxide under acidic conditions. These reactions proceed via electrophilic oxygen transfer to the pyridine nitrogen, forming the N-oxide moiety.</w:t>
      </w:r>
    </w:p>
    <w:p w14:paraId="1FB3B674">
      <w:pPr>
        <w:spacing w:line="360" w:lineRule="auto"/>
        <w:ind w:left="-567"/>
        <w:jc w:val="both"/>
        <w:rPr>
          <w:rFonts w:hint="default" w:ascii="Times New Roman" w:hAnsi="Times New Roman" w:cs="Times New Roman"/>
          <w:b/>
          <w:bCs/>
          <w:sz w:val="24"/>
          <w:szCs w:val="24"/>
          <w:lang w:val="en-IN"/>
        </w:rPr>
      </w:pP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bCs/>
          <w:sz w:val="24"/>
          <w:szCs w:val="24"/>
          <w:lang w:val="en-IN"/>
        </w:rPr>
        <w:t>Catalytic and Green Chemistry Approaches</w:t>
      </w:r>
    </w:p>
    <w:p w14:paraId="1FB3B675">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Recent advancements have emphasized environmentally benign protocols. For example, phosphotungstic acid catalyzed oxidation using hydrogen peroxide yields 4-chloro-3-methoxy-2-picoline-N-oxide with high efficiency and minimal waste. These methods align with green chemistry principles, promoting atom economy, reduced toxicity, and scalability.</w:t>
      </w:r>
    </w:p>
    <w:p w14:paraId="1FB3B676">
      <w:pPr>
        <w:spacing w:line="360" w:lineRule="auto"/>
        <w:ind w:left="-567"/>
        <w:jc w:val="both"/>
        <w:rPr>
          <w:rFonts w:hint="default" w:ascii="Times New Roman" w:hAnsi="Times New Roman" w:cs="Times New Roman"/>
          <w:b/>
          <w:bCs/>
          <w:sz w:val="24"/>
          <w:szCs w:val="24"/>
          <w:lang w:val="en-IN"/>
        </w:rPr>
      </w:pPr>
      <w:r>
        <w:rPr>
          <w:rFonts w:hint="default" w:ascii="Times New Roman" w:hAnsi="Times New Roman" w:cs="Times New Roman"/>
          <w:b w:val="0"/>
          <w:bCs w:val="0"/>
          <w:sz w:val="24"/>
          <w:szCs w:val="24"/>
          <w:lang w:val="en-US"/>
        </w:rPr>
        <w:t>-</w:t>
      </w:r>
      <w:r>
        <w:rPr>
          <w:rFonts w:hint="default" w:ascii="Times New Roman" w:hAnsi="Times New Roman" w:cs="Times New Roman"/>
          <w:b/>
          <w:bCs/>
          <w:sz w:val="24"/>
          <w:szCs w:val="24"/>
          <w:lang w:val="en-US"/>
        </w:rPr>
        <w:t xml:space="preserve"> </w:t>
      </w:r>
      <w:r>
        <w:rPr>
          <w:rFonts w:hint="default" w:ascii="Times New Roman" w:hAnsi="Times New Roman" w:cs="Times New Roman"/>
          <w:b/>
          <w:bCs/>
          <w:sz w:val="24"/>
          <w:szCs w:val="24"/>
          <w:lang w:val="en-IN"/>
        </w:rPr>
        <w:t>Synthetic Utility and Functional Transformations</w:t>
      </w:r>
    </w:p>
    <w:p w14:paraId="1FB3B677">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Picoline-N-oxides serve as versatile intermediates in organic synthesis due to their nucleophilic character and ability to undergo rearrangement reactions.</w:t>
      </w:r>
    </w:p>
    <w:p w14:paraId="05AB9137">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IN"/>
        </w:rPr>
        <w:t>Boekelheide Rearrangement</w:t>
      </w:r>
      <w:r>
        <w:rPr>
          <w:rFonts w:hint="default" w:ascii="Times New Roman" w:hAnsi="Times New Roman" w:cs="Times New Roman"/>
          <w:sz w:val="24"/>
          <w:szCs w:val="24"/>
          <w:lang w:val="en-IN"/>
        </w:rPr>
        <w:t xml:space="preserve">: </w:t>
      </w:r>
    </w:p>
    <w:p w14:paraId="1FB3B67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Enables α-functionalization adjacent to the nitrogen atom, yielding hydroxymethylated derivatives.</w:t>
      </w:r>
    </w:p>
    <w:p w14:paraId="28D951B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US"/>
        </w:rPr>
        <w:t>-</w:t>
      </w:r>
      <w:r>
        <w:rPr>
          <w:rFonts w:hint="default" w:ascii="Times New Roman" w:hAnsi="Times New Roman" w:cs="Times New Roman"/>
          <w:b/>
          <w:bCs/>
          <w:sz w:val="24"/>
          <w:szCs w:val="24"/>
          <w:lang w:val="en-IN"/>
        </w:rPr>
        <w:t>Electrophilic Substitution</w:t>
      </w:r>
      <w:r>
        <w:rPr>
          <w:rFonts w:hint="default" w:ascii="Times New Roman" w:hAnsi="Times New Roman" w:cs="Times New Roman"/>
          <w:sz w:val="24"/>
          <w:szCs w:val="24"/>
          <w:lang w:val="en-IN"/>
        </w:rPr>
        <w:t xml:space="preserve">: </w:t>
      </w:r>
    </w:p>
    <w:p w14:paraId="226798C8">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Facilitated by the electron-donating nature of the N-oxide group, allowing regioselective transformations.These reactions expand the synthetic repertoire for constructing complex heterocycles and functionalized aromatic systems.</w:t>
      </w:r>
    </w:p>
    <w:p w14:paraId="1FB3B67A">
      <w:pPr>
        <w:spacing w:line="360" w:lineRule="auto"/>
        <w:ind w:left="-567"/>
        <w:jc w:val="both"/>
        <w:rPr>
          <w:rFonts w:hint="default" w:ascii="Times New Roman" w:hAnsi="Times New Roman" w:cs="Times New Roman"/>
          <w:sz w:val="24"/>
          <w:szCs w:val="24"/>
          <w:lang w:val="en-IN"/>
        </w:rPr>
      </w:pPr>
      <w:r>
        <w:rPr>
          <w:rFonts w:hint="default" w:ascii="Times New Roman" w:hAnsi="Times New Roman" w:cs="Times New Roman"/>
          <w:b/>
          <w:bCs/>
          <w:color w:val="000000" w:themeColor="text1"/>
          <w:sz w:val="24"/>
          <w:szCs w:val="24"/>
          <w:u w:val="single"/>
          <w:lang w:val="en-US"/>
        </w:rPr>
        <w:t>-</w:t>
      </w:r>
      <w:r>
        <w:rPr>
          <w:rFonts w:hint="default" w:ascii="Times New Roman" w:hAnsi="Times New Roman" w:cs="Times New Roman"/>
          <w:b/>
          <w:bCs/>
          <w:color w:val="000000" w:themeColor="text1"/>
          <w:sz w:val="24"/>
          <w:szCs w:val="24"/>
          <w:u w:val="single"/>
          <w:lang w:val="en-IN"/>
        </w:rPr>
        <w:t>Applications of Picoline N-Oxides Across Scientific Domains</w:t>
      </w:r>
    </w:p>
    <w:p w14:paraId="1FB3B67B">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1.Medicinal Chemistry and Drug Development</w:t>
      </w:r>
    </w:p>
    <w:p w14:paraId="1FB3B67C">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Prodrug Strategy:</w:t>
      </w:r>
      <w:r>
        <w:rPr>
          <w:rFonts w:hint="default" w:ascii="Times New Roman" w:hAnsi="Times New Roman" w:cs="Times New Roman"/>
          <w:sz w:val="24"/>
          <w:szCs w:val="24"/>
          <w:lang w:val="en-IN"/>
        </w:rPr>
        <w:t xml:space="preserve"> Enhance solubility and enable site-specific activation; exemplified by tirapazamine.  </w:t>
      </w:r>
    </w:p>
    <w:p w14:paraId="1FB3B67D">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Redox Modulation:</w:t>
      </w:r>
      <w:r>
        <w:rPr>
          <w:rFonts w:hint="default" w:ascii="Times New Roman" w:hAnsi="Times New Roman" w:cs="Times New Roman"/>
          <w:sz w:val="24"/>
          <w:szCs w:val="24"/>
          <w:lang w:val="en-IN"/>
        </w:rPr>
        <w:t xml:space="preserve"> Support oxidative stress regulation, biosensors, and redox-sensitive therapeutics.  </w:t>
      </w:r>
    </w:p>
    <w:p w14:paraId="1FB3B67E">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C–H Activation:</w:t>
      </w:r>
      <w:r>
        <w:rPr>
          <w:rFonts w:hint="default" w:ascii="Times New Roman" w:hAnsi="Times New Roman" w:cs="Times New Roman"/>
          <w:sz w:val="24"/>
          <w:szCs w:val="24"/>
          <w:lang w:val="en-IN"/>
        </w:rPr>
        <w:t xml:space="preserve"> Direct regioselective pyridine functionalization in drug discovery.  </w:t>
      </w:r>
    </w:p>
    <w:p w14:paraId="1FB3B67F">
      <w:pPr>
        <w:pStyle w:val="24"/>
        <w:numPr>
          <w:ilvl w:val="0"/>
          <w:numId w:val="1"/>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Metabolic Profiling:</w:t>
      </w:r>
      <w:r>
        <w:rPr>
          <w:rFonts w:hint="default" w:ascii="Times New Roman" w:hAnsi="Times New Roman" w:cs="Times New Roman"/>
          <w:sz w:val="24"/>
          <w:szCs w:val="24"/>
          <w:lang w:val="en-IN"/>
        </w:rPr>
        <w:t xml:space="preserve"> Serve as phase I metabolites and LC-MS/MS standards.</w:t>
      </w:r>
    </w:p>
    <w:p w14:paraId="1FB3B680">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2. Co-ordination Chemistry</w:t>
      </w:r>
    </w:p>
    <w:p w14:paraId="1FB3B681">
      <w:pPr>
        <w:pStyle w:val="24"/>
        <w:numPr>
          <w:ilvl w:val="0"/>
          <w:numId w:val="2"/>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Ligand Design:</w:t>
      </w:r>
      <w:r>
        <w:rPr>
          <w:rFonts w:hint="default" w:ascii="Times New Roman" w:hAnsi="Times New Roman" w:cs="Times New Roman"/>
          <w:sz w:val="24"/>
          <w:szCs w:val="24"/>
          <w:lang w:val="en-IN"/>
        </w:rPr>
        <w:t xml:space="preserve"> Act as bidentate ligands with transition metals.  </w:t>
      </w:r>
    </w:p>
    <w:p w14:paraId="1FB3B682">
      <w:pPr>
        <w:pStyle w:val="24"/>
        <w:numPr>
          <w:ilvl w:val="0"/>
          <w:numId w:val="2"/>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Catalysis and Assembly:</w:t>
      </w:r>
      <w:r>
        <w:rPr>
          <w:rFonts w:hint="default" w:ascii="Times New Roman" w:hAnsi="Times New Roman" w:cs="Times New Roman"/>
          <w:sz w:val="24"/>
          <w:szCs w:val="24"/>
          <w:lang w:val="en-IN"/>
        </w:rPr>
        <w:t xml:space="preserve"> Enable oxidation catalysis and supramolecular architectures.</w:t>
      </w:r>
    </w:p>
    <w:p w14:paraId="1FB3B683">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3. Agrochemical and Environmental Chemistry </w:t>
      </w:r>
    </w:p>
    <w:p w14:paraId="1FB3B684">
      <w:pPr>
        <w:pStyle w:val="24"/>
        <w:numPr>
          <w:ilvl w:val="0"/>
          <w:numId w:val="3"/>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Herbicide/Pesticide Synthesis:</w:t>
      </w:r>
      <w:r>
        <w:rPr>
          <w:rFonts w:hint="default" w:ascii="Times New Roman" w:hAnsi="Times New Roman" w:cs="Times New Roman"/>
          <w:sz w:val="24"/>
          <w:szCs w:val="24"/>
          <w:lang w:val="en-IN"/>
        </w:rPr>
        <w:t xml:space="preserve"> Improve enzymatic binding for selective inhibitors.  </w:t>
      </w:r>
    </w:p>
    <w:p w14:paraId="1FB3B685">
      <w:pPr>
        <w:pStyle w:val="24"/>
        <w:numPr>
          <w:ilvl w:val="0"/>
          <w:numId w:val="3"/>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Plant Growth Regulators:</w:t>
      </w:r>
      <w:r>
        <w:rPr>
          <w:rFonts w:hint="default" w:ascii="Times New Roman" w:hAnsi="Times New Roman" w:cs="Times New Roman"/>
          <w:sz w:val="24"/>
          <w:szCs w:val="24"/>
          <w:lang w:val="en-IN"/>
        </w:rPr>
        <w:t xml:space="preserve"> Mimic auxin-like activity via hydroxypicoline derivatives.  </w:t>
      </w:r>
    </w:p>
    <w:p w14:paraId="1FB3B686">
      <w:pPr>
        <w:pStyle w:val="24"/>
        <w:numPr>
          <w:ilvl w:val="0"/>
          <w:numId w:val="3"/>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Sustainable Chemistry:</w:t>
      </w:r>
      <w:r>
        <w:rPr>
          <w:rFonts w:hint="default" w:ascii="Times New Roman" w:hAnsi="Times New Roman" w:cs="Times New Roman"/>
          <w:sz w:val="24"/>
          <w:szCs w:val="24"/>
          <w:lang w:val="en-IN"/>
        </w:rPr>
        <w:t xml:space="preserve"> Support green synthesis with low toxicity and biodegradability.</w:t>
      </w:r>
    </w:p>
    <w:p w14:paraId="1FB3B687">
      <w:pPr>
        <w:spacing w:line="360" w:lineRule="auto"/>
        <w:ind w:left="-426"/>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 xml:space="preserve">4. </w:t>
      </w:r>
      <w:r>
        <w:rPr>
          <w:rFonts w:hint="default" w:ascii="Times New Roman" w:hAnsi="Times New Roman" w:cs="Times New Roman"/>
          <w:sz w:val="24"/>
          <w:szCs w:val="24"/>
          <w:lang w:val="en-IN"/>
        </w:rPr>
        <w:t>Synthetic Methodology</w:t>
      </w:r>
      <w:r>
        <w:rPr>
          <w:rFonts w:hint="default" w:ascii="Times New Roman" w:hAnsi="Times New Roman" w:cs="Times New Roman"/>
          <w:b/>
          <w:bCs/>
          <w:sz w:val="24"/>
          <w:szCs w:val="24"/>
          <w:lang w:val="en-IN"/>
        </w:rPr>
        <w:t xml:space="preserve">  </w:t>
      </w:r>
    </w:p>
    <w:p w14:paraId="1FB3B688">
      <w:pPr>
        <w:pStyle w:val="24"/>
        <w:numPr>
          <w:ilvl w:val="0"/>
          <w:numId w:val="4"/>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King-Type Transformations: </w:t>
      </w:r>
      <w:r>
        <w:rPr>
          <w:rFonts w:hint="default" w:ascii="Times New Roman" w:hAnsi="Times New Roman" w:cs="Times New Roman"/>
          <w:sz w:val="24"/>
          <w:szCs w:val="24"/>
          <w:lang w:val="en-IN"/>
        </w:rPr>
        <w:t xml:space="preserve">Enable electrophilic activation for pyridinium iodide synthesis.  </w:t>
      </w:r>
    </w:p>
    <w:p w14:paraId="1FB3B689">
      <w:pPr>
        <w:pStyle w:val="24"/>
        <w:numPr>
          <w:ilvl w:val="0"/>
          <w:numId w:val="4"/>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Rearrangement Reactions: </w:t>
      </w:r>
      <w:r>
        <w:rPr>
          <w:rFonts w:hint="default" w:ascii="Times New Roman" w:hAnsi="Times New Roman" w:cs="Times New Roman"/>
          <w:sz w:val="24"/>
          <w:szCs w:val="24"/>
          <w:lang w:val="en-IN"/>
        </w:rPr>
        <w:t>Undergo Boekelheide and Meisenheimer rearrangements with high selectivity.</w:t>
      </w:r>
    </w:p>
    <w:p w14:paraId="1FB3B68A">
      <w:pPr>
        <w:pStyle w:val="24"/>
        <w:spacing w:line="360" w:lineRule="auto"/>
        <w:ind w:left="0"/>
        <w:jc w:val="both"/>
        <w:rPr>
          <w:rFonts w:hint="default" w:ascii="Times New Roman" w:hAnsi="Times New Roman" w:cs="Times New Roman"/>
          <w:sz w:val="24"/>
          <w:szCs w:val="24"/>
          <w:lang w:val="en-IN"/>
        </w:rPr>
      </w:pPr>
    </w:p>
    <w:p w14:paraId="1FB3B68B">
      <w:pPr>
        <w:spacing w:line="360" w:lineRule="auto"/>
        <w:ind w:left="-426"/>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5. Emerging Technologies and Material Science </w:t>
      </w:r>
    </w:p>
    <w:p w14:paraId="1FB3B68C">
      <w:pPr>
        <w:pStyle w:val="24"/>
        <w:numPr>
          <w:ilvl w:val="0"/>
          <w:numId w:val="5"/>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Polymeric Integration:</w:t>
      </w:r>
      <w:r>
        <w:rPr>
          <w:rFonts w:hint="default" w:ascii="Times New Roman" w:hAnsi="Times New Roman" w:cs="Times New Roman"/>
          <w:sz w:val="24"/>
          <w:szCs w:val="24"/>
          <w:lang w:val="en-IN"/>
        </w:rPr>
        <w:t xml:space="preserve"> Explore drug delivery and sensing platforms.  </w:t>
      </w:r>
    </w:p>
    <w:p w14:paraId="1FB3B68D">
      <w:pPr>
        <w:pStyle w:val="24"/>
        <w:numPr>
          <w:ilvl w:val="0"/>
          <w:numId w:val="5"/>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Computational Design:</w:t>
      </w:r>
      <w:r>
        <w:rPr>
          <w:rFonts w:hint="default" w:ascii="Times New Roman" w:hAnsi="Times New Roman" w:cs="Times New Roman"/>
          <w:sz w:val="24"/>
          <w:szCs w:val="24"/>
          <w:lang w:val="en-IN"/>
        </w:rPr>
        <w:t xml:space="preserve"> Guide functionalization via quantum chemical studies.  </w:t>
      </w:r>
    </w:p>
    <w:p w14:paraId="1FB3B68E">
      <w:pPr>
        <w:pStyle w:val="24"/>
        <w:numPr>
          <w:ilvl w:val="0"/>
          <w:numId w:val="5"/>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Photoredox and Flow Chemistry:</w:t>
      </w:r>
      <w:r>
        <w:rPr>
          <w:rFonts w:hint="default" w:ascii="Times New Roman" w:hAnsi="Times New Roman" w:cs="Times New Roman"/>
          <w:sz w:val="24"/>
          <w:szCs w:val="24"/>
          <w:lang w:val="en-IN"/>
        </w:rPr>
        <w:t xml:space="preserve"> Expand scalable synthetic access.</w:t>
      </w:r>
    </w:p>
    <w:p w14:paraId="1FB3B68F">
      <w:pPr>
        <w:spacing w:line="360" w:lineRule="auto"/>
        <w:ind w:left="-426"/>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 xml:space="preserve">6. </w:t>
      </w:r>
      <w:r>
        <w:rPr>
          <w:rFonts w:hint="default" w:ascii="Times New Roman" w:hAnsi="Times New Roman" w:cs="Times New Roman"/>
          <w:sz w:val="24"/>
          <w:szCs w:val="24"/>
          <w:lang w:val="en-IN"/>
        </w:rPr>
        <w:t>Pharmaceutical Sciences</w:t>
      </w:r>
    </w:p>
    <w:p w14:paraId="1FB3B690">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Prodrug Design: </w:t>
      </w:r>
      <w:r>
        <w:rPr>
          <w:rFonts w:hint="default" w:ascii="Times New Roman" w:hAnsi="Times New Roman" w:cs="Times New Roman"/>
          <w:sz w:val="24"/>
          <w:szCs w:val="24"/>
          <w:lang w:val="en-IN"/>
        </w:rPr>
        <w:t xml:space="preserve">Improve solubility, permeability, and site-specific activation.  </w:t>
      </w:r>
    </w:p>
    <w:p w14:paraId="1FB3B691">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Redox-Sensitive Therapeutics:</w:t>
      </w:r>
      <w:r>
        <w:rPr>
          <w:rFonts w:hint="default" w:ascii="Times New Roman" w:hAnsi="Times New Roman" w:cs="Times New Roman"/>
          <w:sz w:val="24"/>
          <w:szCs w:val="24"/>
          <w:lang w:val="en-IN"/>
        </w:rPr>
        <w:t xml:space="preserve"> Enable ROS-targeted therapies and biosensing.  </w:t>
      </w:r>
    </w:p>
    <w:p w14:paraId="1FB3B692">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Drug Metabolism:</w:t>
      </w:r>
      <w:r>
        <w:rPr>
          <w:rFonts w:hint="default" w:ascii="Times New Roman" w:hAnsi="Times New Roman" w:cs="Times New Roman"/>
          <w:sz w:val="24"/>
          <w:szCs w:val="24"/>
          <w:lang w:val="en-IN"/>
        </w:rPr>
        <w:t xml:space="preserve"> Aid in metabolite profiling and LC-MS/MS analysis.  </w:t>
      </w:r>
    </w:p>
    <w:p w14:paraId="038BA488">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Synthetic Utility:</w:t>
      </w:r>
      <w:r>
        <w:rPr>
          <w:rFonts w:hint="default" w:ascii="Times New Roman" w:hAnsi="Times New Roman" w:cs="Times New Roman"/>
          <w:sz w:val="24"/>
          <w:szCs w:val="24"/>
          <w:lang w:val="en-IN"/>
        </w:rPr>
        <w:t xml:space="preserve"> Facilitate regioselective C–H activation for SAR studies.</w:t>
      </w:r>
    </w:p>
    <w:p w14:paraId="663AA0A6">
      <w:pPr>
        <w:pStyle w:val="24"/>
        <w:numPr>
          <w:ilvl w:val="0"/>
          <w:numId w:val="0"/>
        </w:numPr>
        <w:spacing w:line="360" w:lineRule="auto"/>
        <w:ind w:left="-360" w:leftChars="0"/>
        <w:jc w:val="both"/>
        <w:rPr>
          <w:rFonts w:hint="default" w:ascii="Times New Roman" w:hAnsi="Times New Roman" w:cs="Times New Roman"/>
          <w:b/>
          <w:bCs/>
          <w:sz w:val="24"/>
          <w:szCs w:val="24"/>
          <w:lang w:val="en-IN"/>
        </w:rPr>
      </w:pPr>
    </w:p>
    <w:p w14:paraId="1FB3B694">
      <w:pPr>
        <w:pStyle w:val="24"/>
        <w:numPr>
          <w:ilvl w:val="0"/>
          <w:numId w:val="7"/>
        </w:numPr>
        <w:spacing w:line="360" w:lineRule="auto"/>
        <w:ind w:left="-360" w:leftChars="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Heterocyclic and Coordination Chemistry</w:t>
      </w:r>
    </w:p>
    <w:p w14:paraId="1FB3B695">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Ligand Design:</w:t>
      </w:r>
      <w:r>
        <w:rPr>
          <w:rFonts w:hint="default" w:ascii="Times New Roman" w:hAnsi="Times New Roman" w:cs="Times New Roman"/>
          <w:sz w:val="24"/>
          <w:szCs w:val="24"/>
          <w:lang w:val="en-IN"/>
        </w:rPr>
        <w:t xml:space="preserve"> Form stable metal complexes for catalysis and recognition.  </w:t>
      </w:r>
    </w:p>
    <w:p w14:paraId="1FB3B696">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Electrophilic Activation:</w:t>
      </w:r>
      <w:r>
        <w:rPr>
          <w:rFonts w:hint="default" w:ascii="Times New Roman" w:hAnsi="Times New Roman" w:cs="Times New Roman"/>
          <w:sz w:val="24"/>
          <w:szCs w:val="24"/>
          <w:lang w:val="en-IN"/>
        </w:rPr>
        <w:t xml:space="preserve"> Enable selective rearrangements for functionalized scaffolds.  </w:t>
      </w:r>
    </w:p>
    <w:p w14:paraId="1FB3B697">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King-Type Transformations:</w:t>
      </w:r>
      <w:r>
        <w:rPr>
          <w:rFonts w:hint="default" w:ascii="Times New Roman" w:hAnsi="Times New Roman" w:cs="Times New Roman"/>
          <w:sz w:val="24"/>
          <w:szCs w:val="24"/>
          <w:lang w:val="en-IN"/>
        </w:rPr>
        <w:t xml:space="preserve"> Highlight N→O activation in heterocyclic synthesis.  </w:t>
      </w:r>
    </w:p>
    <w:p w14:paraId="7367A66E">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Emerging Methodologies: </w:t>
      </w:r>
      <w:r>
        <w:rPr>
          <w:rFonts w:hint="default" w:ascii="Times New Roman" w:hAnsi="Times New Roman" w:cs="Times New Roman"/>
          <w:sz w:val="24"/>
          <w:szCs w:val="24"/>
          <w:lang w:val="en-IN"/>
        </w:rPr>
        <w:t>Advance photo-redox, flow, and computational chemistry.</w:t>
      </w:r>
    </w:p>
    <w:p w14:paraId="4E43AA79">
      <w:pPr>
        <w:pStyle w:val="24"/>
        <w:numPr>
          <w:ilvl w:val="0"/>
          <w:numId w:val="0"/>
        </w:numPr>
        <w:spacing w:line="360" w:lineRule="auto"/>
        <w:ind w:left="-360" w:leftChars="0"/>
        <w:jc w:val="both"/>
        <w:rPr>
          <w:rFonts w:hint="default" w:ascii="Times New Roman" w:hAnsi="Times New Roman" w:cs="Times New Roman"/>
          <w:sz w:val="24"/>
          <w:szCs w:val="24"/>
          <w:lang w:val="en-IN"/>
        </w:rPr>
      </w:pPr>
    </w:p>
    <w:p w14:paraId="1FB3B699">
      <w:pPr>
        <w:pStyle w:val="24"/>
        <w:numPr>
          <w:ilvl w:val="0"/>
          <w:numId w:val="0"/>
        </w:numPr>
        <w:spacing w:line="360" w:lineRule="auto"/>
        <w:ind w:left="-360" w:leftChars="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8. </w:t>
      </w:r>
      <w:r>
        <w:rPr>
          <w:rFonts w:hint="default" w:ascii="Times New Roman" w:hAnsi="Times New Roman" w:cs="Times New Roman"/>
          <w:sz w:val="24"/>
          <w:szCs w:val="24"/>
          <w:lang w:val="en-IN"/>
        </w:rPr>
        <w:t xml:space="preserve">Agrochemical and Environmental Chemistry  </w:t>
      </w:r>
    </w:p>
    <w:p w14:paraId="1FB3B69A">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Herbicide Development:</w:t>
      </w:r>
      <w:r>
        <w:rPr>
          <w:rFonts w:hint="default" w:ascii="Times New Roman" w:hAnsi="Times New Roman" w:cs="Times New Roman"/>
          <w:sz w:val="24"/>
          <w:szCs w:val="24"/>
          <w:lang w:val="en-IN"/>
        </w:rPr>
        <w:t xml:space="preserve"> Enhance specificity via nucleophilic interactions.  </w:t>
      </w:r>
    </w:p>
    <w:p w14:paraId="1FB3B69B">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Plant Growth Regulation:</w:t>
      </w:r>
      <w:r>
        <w:rPr>
          <w:rFonts w:hint="default" w:ascii="Times New Roman" w:hAnsi="Times New Roman" w:cs="Times New Roman"/>
          <w:sz w:val="24"/>
          <w:szCs w:val="24"/>
          <w:lang w:val="en-IN"/>
        </w:rPr>
        <w:t xml:space="preserve"> Influence physiological processes with tailored regulators.  </w:t>
      </w:r>
    </w:p>
    <w:p w14:paraId="1FB3B69C">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Sustainable Design:</w:t>
      </w:r>
      <w:r>
        <w:rPr>
          <w:rFonts w:hint="default" w:ascii="Times New Roman" w:hAnsi="Times New Roman" w:cs="Times New Roman"/>
          <w:sz w:val="24"/>
          <w:szCs w:val="24"/>
          <w:lang w:val="en-IN"/>
        </w:rPr>
        <w:t xml:space="preserve"> Align with eco-friendly, biodegradable synthesis.  </w:t>
      </w:r>
    </w:p>
    <w:p w14:paraId="1FB3B69D">
      <w:pPr>
        <w:pStyle w:val="24"/>
        <w:numPr>
          <w:ilvl w:val="0"/>
          <w:numId w:val="6"/>
        </w:numPr>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SAR and Analog Generation:</w:t>
      </w:r>
      <w:r>
        <w:rPr>
          <w:rFonts w:hint="default" w:ascii="Times New Roman" w:hAnsi="Times New Roman" w:cs="Times New Roman"/>
          <w:sz w:val="24"/>
          <w:szCs w:val="24"/>
          <w:lang w:val="en-IN"/>
        </w:rPr>
        <w:t xml:space="preserve"> Accelerate agrochemical discovery through modular chemistry</w:t>
      </w:r>
    </w:p>
    <w:p w14:paraId="1FB3B69E">
      <w:pPr>
        <w:pStyle w:val="24"/>
        <w:spacing w:line="360" w:lineRule="auto"/>
        <w:ind w:left="0"/>
        <w:jc w:val="both"/>
        <w:rPr>
          <w:rFonts w:hint="default" w:ascii="Times New Roman" w:hAnsi="Times New Roman" w:cs="Times New Roman"/>
          <w:sz w:val="24"/>
          <w:szCs w:val="24"/>
          <w:lang w:val="en-IN"/>
        </w:rPr>
      </w:pPr>
    </w:p>
    <w:p w14:paraId="30419263">
      <w:pPr>
        <w:spacing w:line="360" w:lineRule="auto"/>
        <w:jc w:val="center"/>
        <w:rPr>
          <w:rFonts w:hint="default" w:ascii="Times New Roman" w:hAnsi="Times New Roman" w:cs="Times New Roman"/>
          <w:b/>
          <w:bCs/>
          <w:sz w:val="24"/>
          <w:szCs w:val="24"/>
        </w:rPr>
      </w:pPr>
      <w:r>
        <w:rPr>
          <w:rFonts w:hint="default" w:ascii="Times New Roman" w:hAnsi="Times New Roman" w:cs="Times New Roman"/>
          <w:sz w:val="24"/>
          <w:szCs w:val="24"/>
          <w:lang w:val="en-IN"/>
        </w:rPr>
        <w:drawing>
          <wp:inline distT="0" distB="0" distL="0" distR="0">
            <wp:extent cx="4119245" cy="2806700"/>
            <wp:effectExtent l="9525" t="9525" r="11430" b="15875"/>
            <wp:docPr id="941587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87306" name="Picture 5"/>
                    <pic:cNvPicPr>
                      <a:picLocks noChangeAspect="1"/>
                    </pic:cNvPicPr>
                  </pic:nvPicPr>
                  <pic:blipFill>
                    <a:blip r:embed="rId8" cstate="print">
                      <a:extLst>
                        <a:ext uri="{28A0092B-C50C-407E-A947-70E740481C1C}">
                          <a14:useLocalDpi xmlns:a14="http://schemas.microsoft.com/office/drawing/2010/main" val="0"/>
                        </a:ext>
                      </a:extLst>
                    </a:blip>
                    <a:srcRect b="4224"/>
                    <a:stretch>
                      <a:fillRect/>
                    </a:stretch>
                  </pic:blipFill>
                  <pic:spPr>
                    <a:xfrm>
                      <a:off x="0" y="0"/>
                      <a:ext cx="4119245" cy="28067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FB3B6A0">
      <w:pPr>
        <w:spacing w:line="360" w:lineRule="auto"/>
        <w:jc w:val="center"/>
        <w:rPr>
          <w:rFonts w:hint="default" w:ascii="Times New Roman" w:hAnsi="Times New Roman" w:cs="Times New Roman"/>
          <w:b/>
          <w:bCs/>
          <w:color w:val="EE0000"/>
          <w:sz w:val="24"/>
          <w:szCs w:val="24"/>
        </w:rPr>
      </w:pPr>
      <w:r>
        <w:rPr>
          <w:rFonts w:hint="default" w:ascii="Times New Roman" w:hAnsi="Times New Roman" w:cs="Times New Roman"/>
          <w:b/>
          <w:bCs/>
          <w:sz w:val="24"/>
          <w:szCs w:val="24"/>
        </w:rPr>
        <w:t xml:space="preserve">Figure No. 1:  </w:t>
      </w:r>
      <w:r>
        <w:rPr>
          <w:rFonts w:hint="default" w:ascii="Times New Roman" w:hAnsi="Times New Roman" w:cs="Times New Roman"/>
          <w:b/>
          <w:bCs/>
          <w:color w:val="EE0000"/>
          <w:sz w:val="24"/>
          <w:szCs w:val="24"/>
        </w:rPr>
        <w:t>Applications of Picoline-N-Oxide in various Fields</w:t>
      </w:r>
    </w:p>
    <w:p w14:paraId="67863AE7">
      <w:pPr>
        <w:spacing w:line="360" w:lineRule="auto"/>
        <w:jc w:val="both"/>
        <w:rPr>
          <w:rFonts w:hint="default" w:ascii="Times New Roman" w:hAnsi="Times New Roman" w:cs="Times New Roman"/>
          <w:b/>
          <w:bCs/>
          <w:sz w:val="24"/>
          <w:szCs w:val="24"/>
        </w:rPr>
      </w:pPr>
    </w:p>
    <w:p w14:paraId="1FB3B6A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Design Constraints of Picoline N-Oxides</w:t>
      </w:r>
    </w:p>
    <w:p w14:paraId="1FB3B6A2">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Despite their promising attributes, the use of picoline N-oxides in drug development is not without challenges. Their increased polarity can sometimes hinder passive diffusion across lipid membranes, necessitating the use of transporters or formulation strategies to ensure adequate bioavailability. Additionally, the stability of N-oxides under physiological conditions must be carefully evaluated, as premature reduction or hydrolysis can compromise therapeutic efficacy.</w:t>
      </w:r>
    </w:p>
    <w:p w14:paraId="0F711526">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From a synthetic perspective, regioselective oxidation of picoline isomers remains a topic of ongoing research. Achieving high selectivity without overoxidation or side reactions requires precise control over reaction parameters and catalyst design. The development of asymmetric oxidation methods and chiral N-oxide derivatives also presents opportunities for expanding the chemical space of bioactive molecules.</w:t>
      </w:r>
    </w:p>
    <w:p w14:paraId="6DFE6194">
      <w:pPr>
        <w:spacing w:line="360" w:lineRule="auto"/>
        <w:jc w:val="both"/>
        <w:rPr>
          <w:rFonts w:hint="default" w:ascii="Times New Roman" w:hAnsi="Times New Roman" w:cs="Times New Roman"/>
          <w:sz w:val="24"/>
          <w:szCs w:val="24"/>
        </w:rPr>
      </w:pPr>
    </w:p>
    <w:p w14:paraId="56778C79">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Synthetic approaches to </w:t>
      </w:r>
      <w:r>
        <w:rPr>
          <w:rFonts w:hint="default" w:ascii="Times New Roman" w:hAnsi="Times New Roman" w:cs="Times New Roman"/>
          <w:b/>
          <w:bCs/>
          <w:sz w:val="24"/>
          <w:szCs w:val="24"/>
          <w:lang w:val="en-IN"/>
        </w:rPr>
        <w:t xml:space="preserve">picoline-N-oxide </w:t>
      </w:r>
      <w:r>
        <w:rPr>
          <w:rFonts w:hint="default" w:ascii="Times New Roman" w:hAnsi="Times New Roman" w:cs="Times New Roman"/>
          <w:b/>
          <w:bCs/>
          <w:sz w:val="24"/>
          <w:szCs w:val="24"/>
        </w:rPr>
        <w:t>and related derivatives:</w:t>
      </w:r>
    </w:p>
    <w:p w14:paraId="70830B94">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1.Adams et al</w:t>
      </w:r>
      <w:r>
        <w:rPr>
          <w:rFonts w:hint="default" w:ascii="Times New Roman" w:hAnsi="Times New Roman" w:cs="Times New Roman"/>
          <w:i/>
          <w:iCs/>
          <w:sz w:val="24"/>
          <w:szCs w:val="24"/>
        </w:rPr>
        <w:t>.</w:t>
      </w:r>
      <w:r>
        <w:rPr>
          <w:rFonts w:hint="default" w:ascii="Times New Roman" w:hAnsi="Times New Roman" w:cs="Times New Roman"/>
          <w:sz w:val="24"/>
          <w:szCs w:val="24"/>
        </w:rPr>
        <w:t xml:space="preserve"> report the synthesis of ethyl 6-benzyloxy-2-pyridylacetate via condensation of 6-benzyloxy-2-pyridylacetic acid derivatives, followed by debenzylation and rearrangement. Comp. A is identified as a key intermediate in the total synthesis of cytisine, a bioactive alkaloid. Additionally, 6-bromo-2-methylpyridine undergoes nucleophilic substitution with sodium benzyloxide to yield 6-benzyloxy-2-methylpyridine, which is subsequently oxidized with peracetic acid to form its N-oxide derivative. These transformations highlight the strategic application of benzyloxy protection and pyridine N-oxidation in heterocyclic synthesis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{"citationItems":[{"id":"ITEM-1","itemData":{"DOI":"10.1021/ja01641a017","ISSN":"15205126","abstract":"2- and 4-picoline 1-oxides and 6-benzyloxy-2-methylpyridine 1-oxide condense with ethyl oxalate to give the corresponding ethyl pyridylpyruvate 1-oxides. The pyruvates upon treatment with hydroxylamine form α-oximino derivatives which by means of alkali are converted to the corresponding acetonitriles. Peroxide in acetic acid converts the pyruvates from the 2-and 4-picoline 1-oxides to the corresponding picolinic acid 1-oxides. Peracetic acid reacts with 6-benzyloxy-2-methylpyri-dine 1-oxide to give a mixture of 2-picolinic acid 1-oxide and 6-benzyloxy-2-pyridylacetic acid 1-oxide. The ester of this latter compound and the 6-benzyloxy-2-methylpyridine 1-oxide upon hydrogenation or hydrolysis give the corresponding 1-hydroxy-2-pyridones. © 1954, American Chemical Society. All rights reserved.","author":[{"dropping-particle":"","family":"Adams","given":"Roger","non-dropping-particle":"","parse-names":false,"suffix":""},{"dropping-particle":"","family":"Miyano","given":"Seiji","non-dropping-particle":"","parse-names":false,"suffix":""}],"container-title":"Journal of the American Chemical Society","id":"ITEM-1","issue":"12","issued":{"date-parts":[["1954"]]},"page":"3168-3171","title":"Condensation Reactions of Picoline 1-Oxides","type":"article-journal","volume":"76"},"uris":["http://www.mendeley.com/documents/?uuid=d28aef66-8804-4621-858a-55c9349b5c48"]}],"mendeley":{"formattedCitation":"[15]","plainTextFormattedCitation":"[15]","previouslyFormattedCitation":"[15]"},"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07BA7AC5">
      <w:pPr>
        <w:spacing w:line="36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object>
          <v:shape id="_x0000_i1025" o:spt="75" type="#_x0000_t75" style="height:57.4pt;width:101.2pt;" o:ole="t" filled="f" o:preferrelative="t" stroked="f" coordsize="21600,21600">
            <v:path/>
            <v:fill on="f" focussize="0,0"/>
            <v:stroke on="f"/>
            <v:imagedata r:id="rId10" o:title=""/>
            <o:lock v:ext="edit" aspectratio="t"/>
            <w10:wrap type="none"/>
            <w10:anchorlock/>
          </v:shape>
          <o:OLEObject Type="Embed" ProgID="ChemDraw_x64.Document.6.0" ShapeID="_x0000_i1025" DrawAspect="Content" ObjectID="_1468075725" r:id="rId9">
            <o:LockedField>false</o:LockedField>
          </o:OLEObject>
        </w:object>
      </w:r>
    </w:p>
    <w:p w14:paraId="251BD3BA">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 xml:space="preserve">2.In continuation of synthetic investigations on 4-substituted picolines, </w:t>
      </w:r>
      <w:r>
        <w:rPr>
          <w:rFonts w:hint="default" w:ascii="Times New Roman" w:hAnsi="Times New Roman" w:cs="Times New Roman"/>
          <w:b/>
          <w:bCs/>
          <w:color w:val="000000" w:themeColor="text1"/>
          <w:sz w:val="24"/>
          <w:szCs w:val="24"/>
          <w:lang w:val="en-IN"/>
        </w:rPr>
        <w:t>Herz et al.</w:t>
      </w:r>
      <w:r>
        <w:rPr>
          <w:rFonts w:hint="default" w:ascii="Times New Roman" w:hAnsi="Times New Roman" w:cs="Times New Roman"/>
          <w:color w:val="000000" w:themeColor="text1"/>
          <w:sz w:val="24"/>
          <w:szCs w:val="24"/>
          <w:lang w:val="en-IN"/>
        </w:rPr>
        <w:t xml:space="preserve"> explored the preparation of 4-nitro- and 4-amino-3-picoline via pyridine N-oxide intermediates. Building on prior findings by Ochiai and den Hertog regarding electrophilic substitution on pyridine N-oxides, the authors achieved selective nitration of 3-picoline N-oxide to yield 4-nitro-3-picoline N-oxide. This intermediate was synthesized by oxidation of 3-picoline with peracetic acid, followed by nitration using potassium nitrate in sulfuric acid. </w:t>
      </w:r>
    </w:p>
    <w:p w14:paraId="46AA54A9">
      <w:pPr>
        <w:pStyle w:val="24"/>
        <w:spacing w:line="360" w:lineRule="auto"/>
        <w:ind w:left="0"/>
        <w:jc w:val="both"/>
        <w:rPr>
          <w:rFonts w:hint="default" w:ascii="Times New Roman" w:hAnsi="Times New Roman" w:cs="Times New Roman"/>
          <w:b/>
          <w:bCs/>
          <w:color w:val="000000" w:themeColor="text1"/>
          <w:sz w:val="24"/>
          <w:szCs w:val="24"/>
          <w:lang w:val="en-IN"/>
        </w:rPr>
      </w:pPr>
      <w:r>
        <w:rPr>
          <w:rFonts w:hint="default" w:ascii="Times New Roman" w:hAnsi="Times New Roman" w:cs="Times New Roman"/>
          <w:color w:val="000000" w:themeColor="text1"/>
          <w:sz w:val="24"/>
          <w:szCs w:val="24"/>
          <w:lang w:val="en-IN"/>
        </w:rPr>
        <w:t>Reduction of the nitro N-oxide over palladium-black in acetic acid/acetic anhydride afforded 4-amino-3-picoline, crystallizing as colorless needles (m.p. 107.4–108.6 °C), with confirmation via picrate and N-acetyl derivatives. Alternatively, direct reduction of 4-nitro-3-picoline N-oxide with phosphorus trichloride in chloroform yielded 4-nitro-3-picoline (m.p. 27–29 °C), which was further reduced catalytically to 4-amino-3-picoline. The synthetic route thus provides a convenient and regioselective method for accessing 4-substituted 3-picoline derivatives via N-oxide intermediates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{"citationItems":[{"id":"ITEM-1","itemData":{"author":[{"dropping-particle":"","family":"WERNER HERZ AND LIN TSAI","given":"","non-dropping-particle":"","parse-names":false,"suffix":""}],"id":"ITEM-1","issued":{"date-parts":[["1954"]]},"page":"4184-4185","title":"4-Nitro- and 4-Amino-3-picoline","type":"article-journal","volume":"76"},"uris":["http://www.mendeley.com/documents/?uuid=9fa98131-dc6d-4922-abb6-c1d2c485a8d6"]}],"mendeley":{"formattedCitation":"[16]","plainTextFormattedCitation":"[16]","previouslyFormattedCitation":"[16]"},"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[16]</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r>
        <w:rPr>
          <w:rFonts w:hint="default" w:ascii="Times New Roman" w:hAnsi="Times New Roman" w:cs="Times New Roman"/>
          <w:b/>
          <w:bCs/>
          <w:color w:val="000000" w:themeColor="text1"/>
          <w:sz w:val="24"/>
          <w:szCs w:val="24"/>
          <w:lang w:val="en-IN"/>
        </w:rPr>
        <w:t xml:space="preserve"> </w:t>
      </w:r>
    </w:p>
    <w:p w14:paraId="0CCC20AB">
      <w:pPr>
        <w:pStyle w:val="24"/>
        <w:spacing w:line="360" w:lineRule="auto"/>
        <w:ind w:left="0"/>
        <w:jc w:val="both"/>
        <w:rPr>
          <w:rFonts w:hint="default" w:ascii="Times New Roman" w:hAnsi="Times New Roman" w:cs="Times New Roman"/>
          <w:b/>
          <w:bCs/>
          <w:color w:val="000000" w:themeColor="text1"/>
          <w:sz w:val="24"/>
          <w:szCs w:val="24"/>
          <w:lang w:val="en-IN"/>
        </w:rPr>
      </w:pPr>
    </w:p>
    <w:p w14:paraId="505EF125">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3.Kato et al.</w:t>
      </w:r>
      <w:r>
        <w:rPr>
          <w:rFonts w:hint="default" w:ascii="Times New Roman" w:hAnsi="Times New Roman" w:cs="Times New Roman"/>
          <w:sz w:val="24"/>
          <w:szCs w:val="24"/>
          <w:lang w:val="en-IN"/>
        </w:rPr>
        <w:t xml:space="preserve"> (1956) investigated the reduction behavior of 4-nitro-2,6-lutidine 1-oxide (Ia) and 4-nitro-3-picoline 1-oxide (Ib), extending prior findings by Ochiai et al. on the resistance of N-oxide functionalities to reduction relative to nitro groups. Catalytic hydrogenation using Pd-C in aqueous media afforded the corresponding 4-amino 1-oxides (IIa, IIb) with uptake of three equivalents of hydrogen. Reaction kinetics were influenced by catalyst loading and temperature; low Pd-C concentrations favored formation of azo by-products (Va, Vb), whereas higher loadings yielded IIa and IIb efficiently.In methanolic and dilute hydrochloric acid media, incomplete reduction and competitive azo formation were observed. Conversely, reduction in glacial acetic acid with acetic anhydride or in the presence of platinum oxide proceeded smoothly to the amino derivatives (IIIa, IIIb).Alternative reductions using hydrogen sulfide, sodium nitrite, or zinc dust yielded azo (Va, Vb) and azoxy (IVa, IVb) derivatives. Product isolation and characterization were facilitated by differential solubility profiles, enabling effective separation of amino oxides from by-products.These findings underscore the nuanced reactivity of nitro-N-oxide systems and provide optimized conditions for selective synthesis of amino-substituted pyridine N-oxides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{"citationItems":[{"id":"ITEM-1","itemData":{"author":[{"dropping-particle":"","family":"Tetsuzo Kato","given":"Fumiko Hamaguchi","non-dropping-particle":"","parse-names":false,"suffix":""}],"container-title":"NII-Electronic library service","id":"ITEM-1","issued":{"date-parts":[["1956"]]},"page":"174-177","title":"Synthesis of Methylpyridine Derivatives IX. Reduction of 4-Nitro-2,6-lutidine 1-oxide and 4-Nitro-3-picoline 1-oxide","type":"article-journal","volume":"4"},"uris":["http://www.mendeley.com/documents/?uuid=54f8a182-888c-4466-9421-0754aec89428"]}],"mendeley":{"formattedCitation":"[17]","plainTextFormattedCitation":"[17]","previouslyFormattedCitation":"[17]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xml:space="preserve">. </w:t>
      </w:r>
    </w:p>
    <w:p w14:paraId="6959593D">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1:</w:t>
      </w:r>
    </w:p>
    <w:p w14:paraId="31C4F932">
      <w:pPr>
        <w:pStyle w:val="24"/>
        <w:spacing w:line="360" w:lineRule="auto"/>
        <w:ind w:left="0" w:firstLine="2160" w:firstLineChars="900"/>
        <w:rPr>
          <w:rFonts w:hint="default" w:ascii="Times New Roman" w:hAnsi="Times New Roman" w:cs="Times New Roman"/>
          <w:b/>
          <w:bCs/>
          <w:color w:val="000000" w:themeColor="text1"/>
          <w:sz w:val="24"/>
          <w:szCs w:val="24"/>
          <w:lang w:val="en-IN"/>
        </w:rPr>
      </w:pPr>
      <w:r>
        <w:rPr>
          <w:rFonts w:hint="default" w:ascii="Times New Roman" w:hAnsi="Times New Roman" w:cs="Times New Roman"/>
          <w:sz w:val="24"/>
          <w:szCs w:val="24"/>
        </w:rPr>
        <w:object>
          <v:shape id="_x0000_i1026" o:spt="75" type="#_x0000_t75" style="height:259.05pt;width:290.05pt;" o:ole="t" filled="f" o:preferrelative="t" stroked="f" coordsize="21600,21600">
            <v:path/>
            <v:fill on="f" focussize="0,0"/>
            <v:stroke on="f"/>
            <v:imagedata r:id="rId12" o:title=""/>
            <o:lock v:ext="edit" aspectratio="t"/>
            <w10:wrap type="none"/>
            <w10:anchorlock/>
          </v:shape>
          <o:OLEObject Type="Embed" ProgID="ChemDraw_x64.Document.6.0" ShapeID="_x0000_i1026" DrawAspect="Content" ObjectID="_1468075726" r:id="rId11">
            <o:LockedField>false</o:LockedField>
          </o:OLEObject>
        </w:object>
      </w:r>
    </w:p>
    <w:p w14:paraId="06DFFDFE">
      <w:pPr>
        <w:pStyle w:val="24"/>
        <w:spacing w:line="360" w:lineRule="auto"/>
        <w:ind w:left="0"/>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IN"/>
        </w:rPr>
        <w:t>4.Masatomo Hamana et al</w:t>
      </w:r>
      <w:r>
        <w:rPr>
          <w:rFonts w:hint="default" w:ascii="Times New Roman" w:hAnsi="Times New Roman" w:cs="Times New Roman"/>
          <w:sz w:val="24"/>
          <w:szCs w:val="24"/>
          <w:lang w:val="en-IN"/>
        </w:rPr>
        <w:t>. investigated the reactivity of 2-picoline 1-oxide in the context of the King reaction, originally reported in 1944, wherein aryl methyl ketones react with iodine and pyridine to yield 1-aroylmethylpyridinium iodides (e.g., acetophenone → 1-phenacylpyridinium iodide). This transformation has since been extended to various N-heterocycles bearing active hydrogen, including 1-methyl-2- or -4-picolinium iodide, quinaldine, lepidine, 6-methylquinaldine, and 1-methylisoquinoline.</w:t>
      </w:r>
    </w:p>
    <w:p w14:paraId="5A1FAFAC">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Kröhnke later demonstrated that unquaternised 2- or 4-picoline fails to undergo this reaction, whereas their quaternised analogues do, highlighting the role of methyl group activation via quaternisation. However, the influence of N-oxidation remained unexplored.</w:t>
      </w:r>
    </w:p>
    <w:p w14:paraId="0CA32E62">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lang w:val="en-IN"/>
        </w:rPr>
        <w:t>Hamana et al. addressed this gap by refluxing 2-picoline 1-oxide with equimolar iodine and excess pyridine, successfully synthesizing 1-(1-oxido-2-pyridylmethyl) pyridinium iodide (I) -(m.p. 180-181 °C, decomp.), which formed a dipicrate derivative (m.p. 142–143 °C). These findings underscore the activating effect of N-oxidation in facilitating the King-type transformation of picoline derivatives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{"citationItems":[{"id":"ITEM-1","itemData":{"author":[{"dropping-particle":"","family":"Mosatomo Hamana","given":"Yoshinobu Gotoh","non-dropping-particle":"","parse-names":false,"suffix":""}],"container-title":"NII-Electronic library service","id":"ITEM-1","issued":{"date-parts":[["1960"]]},"page":"692-697","title":"Studies on tertiary amine oxides III. King reaction of 2-picoline 1- oxide","type":"article-journal","volume":"8"},"uris":["http://www.mendeley.com/documents/?uuid=edea7284-c3c2-44ec-8747-374f8a76843c"]}],"mendeley":{"formattedCitation":"[18]","plainTextFormattedCitation":"[18]","previouslyFormattedCitation":"[18]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[18]</w:t>
      </w:r>
      <w:r>
        <w:rPr>
          <w:rFonts w:hint="default" w:ascii="Times New Roman" w:hAnsi="Times New Roman" w:cs="Times New Roman"/>
          <w:sz w:val="24"/>
          <w:szCs w:val="24"/>
          <w:lang w:val="en-IN"/>
        </w:rPr>
        <w:fldChar w:fldCharType="end"/>
      </w:r>
      <w:r>
        <w:rPr>
          <w:rFonts w:hint="default" w:ascii="Times New Roman" w:hAnsi="Times New Roman" w:cs="Times New Roman"/>
          <w:b/>
          <w:bCs/>
          <w:sz w:val="24"/>
          <w:szCs w:val="24"/>
          <w:lang w:val="en-IN"/>
        </w:rPr>
        <w:t>.</w:t>
      </w:r>
    </w:p>
    <w:p w14:paraId="3AA1D342">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Scheme 2: King reaction</w:t>
      </w:r>
    </w:p>
    <w:p w14:paraId="764DC8A4">
      <w:pPr>
        <w:pStyle w:val="15"/>
        <w:spacing w:line="360" w:lineRule="auto"/>
        <w:ind w:left="-360"/>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27" o:spt="75" type="#_x0000_t75" style="height:294pt;width:372.65pt;" o:ole="t" filled="f" o:preferrelative="t" stroked="f" coordsize="21600,21600">
            <v:path/>
            <v:fill on="f" focussize="0,0"/>
            <v:stroke on="f" joinstyle="miter"/>
            <v:imagedata r:id="rId14" o:title=""/>
            <o:lock v:ext="edit" aspectratio="t"/>
            <w10:wrap type="none"/>
            <w10:anchorlock/>
          </v:shape>
          <o:OLEObject Type="Embed" ProgID="ChemDraw_x64.Document.6.0" ShapeID="_x0000_i1027" DrawAspect="Content" ObjectID="_1468075727" r:id="rId13">
            <o:LockedField>false</o:LockedField>
          </o:OLEObject>
        </w:object>
      </w:r>
    </w:p>
    <w:p w14:paraId="2AC016F4">
      <w:pPr>
        <w:pStyle w:val="15"/>
        <w:spacing w:line="360" w:lineRule="auto"/>
        <w:ind w:left="-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5. </w:t>
      </w:r>
      <w:r>
        <w:rPr>
          <w:rFonts w:hint="default" w:ascii="Times New Roman" w:hAnsi="Times New Roman" w:cs="Times New Roman"/>
          <w:b/>
          <w:bCs/>
          <w:sz w:val="24"/>
          <w:szCs w:val="24"/>
        </w:rPr>
        <w:t>Traynelis et al</w:t>
      </w:r>
      <w:r>
        <w:rPr>
          <w:rFonts w:hint="default" w:ascii="Times New Roman" w:hAnsi="Times New Roman" w:cs="Times New Roman"/>
          <w:sz w:val="24"/>
          <w:szCs w:val="24"/>
        </w:rPr>
        <w:t>. investigated the reactions of picoline N-oxide with various phenyl acetates - m- and p-nitrophenyl, 2,4-dinitrophenyl, and 2,4,6-trichlorophenyl-yielding pyridylmethyl acetates. Mechanistic insights were supported by the formation of a 1:1 adduct between picryl acetate and picoline N-oxide, identified as 1-acetoxy-2-methylpyridinium picrate. Treatment with triethylamine converted this intermediate to pyridylmethyl acetate and triethylamine picrate, providing chemical evidence for the involvement of the 1-acetoxy-2-methylpyridinium cation as the key reactive species. The reaction of 4-picoline N-oxide with 2,4,6-trichlorophenyl acetate yielded 4-pyridylmethyl acetate along with minor alkylpyridine byproducts, further substantiating the proposed mechanism</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{"citationItems":[{"id":"ITEM-1","itemData":{"abstract":"The reactions of %picoline N-oxide with m-and pnitrophenyl, 2,pdinitrophenyl, and 2,4,6-trichlorophenyl scetstes pr+ duced %pyridylmethyl acetate in 5 4 3 % yield and them multa are interpreted in term^ of the me.&amp;\" of the reaction of %picoline N-oxide with acetic anhydride. When picryl acetate and %picoline N-oxide were mixed, there formed a 1 : 1 complex whoee structure waa established aa 1-acetoxy-2-methylpyridinium picrate. This adduct upon treatment with tri-ethylamine waa converted to Zpyridylmethyl acetate and triethylamine picrate and thus providea chemical evidence in mpport of l-acetoxy-%methylpyridbium cation aa the initial species in the mgg&amp;.ed mechanisms for reaction of %picoline N-oxide with acetic anhydride or various phenyl acetates. The reaction of 4picoline N-oxide with 2,4,6trichlorophenyl acetate gave 4pyridyhethyl acetate along with some alkyl-pyridines. The reaction of 2-alkylpyridine N-oxides and acetic anhydride to produce 2-(a-acetoxyalky1)-pyridines has received much attention since its initial report by Boekelheide.%s During the course of our study6 of the mechanism of this reaction, we had occasion to observe the formation of spyridyl-methyl acetate when %picoline N-oxide wm allowed to react with 2,4,6-trichlorophenyI acetate or 2,Pdinitrophenyl acetate. In this report we wish to describe our observations with these and other substituted phenyl acetates and interpret these results in terms of the m e c h a n i i for the reaction of 2-picoline N-oxide and acetic anhydride. When phenyl acetate or o-chlorophenyl acetate and %picoline N-oxide were heated at 14(r150° alone or in xylene, no observed reaction occurred and unchanged ester was recovered in 77% and 78% yield, respectively. However, na-and pnitro-phenyl acetate, 2,Minitrophenyl acetate, and 2,4,6-trichlorophenyl acetate did undergo reaction with %picoline N-oxide to produce 2-pyridylmethyl acetate (111) and the corresponding phenols. The yields of ester I11 ranged from 5-4395 while the corresponding phenols were found in 12-5074, yield. In addition unchanged ester was recovered from most experiments and in a few instances excellent material balance was found. The phenols were identified by melting points and mixture melting points with authentic samples, while Zpyridylmethyl acetate was characterized by physical constants, its picrate and comparison of the infrared spectrum with an authentic sample. In the case of the 2,Pdinitrophenyl acetate reac-(1) For paper I1 in t…","author":[{"dropping-particle":"","family":"Traynelis","given":"J J","non-dropping-particle":"","parse-names":false,"suffix":""},{"dropping-particle":"","family":"Martello","given":"R F","non-dropping-particle":"","parse-names":false,"suffix":""}],"container-title":"J. Am. Chem. Soc","id":"ITEM-1","issue":"2","issued":{"date-parts":[["1961"]]},"page":"2744","title":"Aromatic N-Oxides. 111. Reaction of Z-PicOline N-Oxide with Phenyl Acetates1s2","type":"article-journal","volume":"82"},"uris":["http://www.mendeley.com/documents/?uuid=afde64f2-520f-4970-aa90-0c08e157f053"]}],"mendeley":{"formattedCitation":"[19]","plainTextFormattedCitation":"[19]","previouslyFormattedCitation":"[19]"},"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29FBEBA">
      <w:pPr>
        <w:pStyle w:val="15"/>
        <w:spacing w:line="360" w:lineRule="auto"/>
        <w:ind w:left="-360"/>
        <w:jc w:val="both"/>
        <w:rPr>
          <w:rFonts w:hint="default" w:ascii="Times New Roman" w:hAnsi="Times New Roman" w:cs="Times New Roman"/>
          <w:color w:val="EE0000"/>
          <w:sz w:val="24"/>
          <w:szCs w:val="24"/>
          <w:lang w:val="en-IN"/>
        </w:rPr>
      </w:pPr>
      <w:r>
        <w:rPr>
          <w:rFonts w:hint="default" w:ascii="Times New Roman" w:hAnsi="Times New Roman" w:cs="Times New Roman"/>
          <w:b/>
          <w:bCs/>
          <w:sz w:val="24"/>
          <w:szCs w:val="24"/>
        </w:rPr>
        <w:t xml:space="preserve">Scheme 3 : Substitution reaction </w:t>
      </w:r>
    </w:p>
    <w:p w14:paraId="3564B4D8">
      <w:pPr>
        <w:spacing w:line="360" w:lineRule="auto"/>
        <w:jc w:val="center"/>
        <w:rPr>
          <w:rFonts w:hint="default" w:ascii="Times New Roman" w:hAnsi="Times New Roman" w:cs="Times New Roman"/>
          <w:color w:val="EE0000"/>
          <w:sz w:val="24"/>
          <w:szCs w:val="24"/>
          <w:lang w:val="en-IN"/>
        </w:rPr>
      </w:pPr>
      <w:r>
        <w:rPr>
          <w:rFonts w:hint="default" w:ascii="Times New Roman" w:hAnsi="Times New Roman" w:cs="Times New Roman"/>
          <w:color w:val="EE0000"/>
          <w:sz w:val="24"/>
          <w:szCs w:val="24"/>
          <w:lang w:val="en-IN"/>
        </w:rPr>
        <w:drawing>
          <wp:inline distT="0" distB="0" distL="0" distR="0">
            <wp:extent cx="5648960" cy="1470025"/>
            <wp:effectExtent l="0" t="0" r="2540" b="0"/>
            <wp:docPr id="1890800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00665"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48960" cy="1470025"/>
                    </a:xfrm>
                    <a:prstGeom prst="rect">
                      <a:avLst/>
                    </a:prstGeom>
                    <a:noFill/>
                    <a:ln>
                      <a:noFill/>
                    </a:ln>
                  </pic:spPr>
                </pic:pic>
              </a:graphicData>
            </a:graphic>
          </wp:inline>
        </w:drawing>
      </w:r>
    </w:p>
    <w:p w14:paraId="609A932A">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 xml:space="preserve">6. Under the conditions described by </w:t>
      </w:r>
      <w:r>
        <w:rPr>
          <w:rFonts w:hint="default" w:ascii="Times New Roman" w:hAnsi="Times New Roman" w:cs="Times New Roman"/>
          <w:b/>
          <w:bCs/>
          <w:color w:val="000000" w:themeColor="text1"/>
          <w:sz w:val="24"/>
          <w:szCs w:val="24"/>
        </w:rPr>
        <w:t xml:space="preserve">B.M. Bain </w:t>
      </w:r>
      <w:r>
        <w:rPr>
          <w:rFonts w:hint="default" w:ascii="Times New Roman" w:hAnsi="Times New Roman" w:cs="Times New Roman"/>
          <w:color w:val="000000" w:themeColor="text1"/>
          <w:sz w:val="24"/>
          <w:szCs w:val="24"/>
        </w:rPr>
        <w:t>et al., the reaction of 3-picoline N-oxide with acetic anhydride yielded several pyridone derivatives. Among these, two notable products were isolated: 3-methyl-1-(5-methyl-2-pyridyl)-2-pyridone and 1-(3-methyl-2-pyridyl)-2-pyridone. The formation of these compounds supports a mechanistic pathway involving nucleophilic attack at the 2-position of a substituted pyridine by the N-oxide function, followed by internuclear oxygen transfer. This mechanism, previously proposed for similar systems, appears applicable here despite the absence of direct evidence for oxygen migration. Importantly, the isolation of 1-(3-methyl-2-pyridyl)-2-pyridone challenges earlier steric hindrance arguments that had been used to explain its non-formation in reactions involving 2-bromopyridine. These findings suggest that steric factors may not be the primary determinant in the formation of such pyridone derivative</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{"citationItems":[{"id":"ITEM-1","itemData":{"author":[{"dropping-particle":"","family":"Reaction","given":"The","non-dropping-particle":"","parse-names":false,"suffix":""}],"id":"ITEM-1","issue":"5216","issued":{"date-parts":[["1964"]]},"page":"5216-5223","title":"5216 B a i n and Saxton: The Reaction of Nicotinic Acid 1031. The Reaction","type":"article-journal"},"uris":["http://www.mendeley.com/documents/?uuid=2bab1847-6467-43bb-a545-2bd119699d22"]}],"mendeley":{"formattedCitation":"[20]","plainTextFormattedCitation":"[20]","previouslyFormattedCitation":"[20]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{"citationItems":[{"id":"ITEM-1","itemData":{"id":"ITEM-1","issued":{"date-parts":[["0"]]},"title":"Ramirez and von Ostwalden, Chem. and Ind., 1957, 46; J. Amer. Chem. SOC., 1959, 81, 156.","type":"article-journal"},"uris":["http://www.mendeley.com/documents/?uuid=0fb73976-3f17-4451-be5d-67c5bfd10dc8"]}],"mendeley":{"formattedCitation":"[21]","plainTextFormattedCitation":"[21]","previouslyFormattedCitation":"[21]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{"citationItems":[{"id":"ITEM-1","itemData":{"id":"ITEM-1","issued":{"date-parts":[["0"]]},"title":"Taylor and Crovetti, J. Org. Cltem., 1964, 19, 1636.","type":"article-journal"},"uris":["http://www.mendeley.com/documents/?uuid=e876bf7c-5f81-4706-99cd-fc2375d8c5ba"]}],"mendeley":{"formattedCitation":"[22]","plainTextFormattedCitation":"[22]","previouslyFormattedCitation":"[22]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{"citationItems":[{"id":"ITEM-1","itemData":{"id":"ITEM-1","issued":{"date-parts":[["0"]]},"title":"Boekelheide and Linn, J. Anter. Chem. SOC., 1954, 76, 1286.","type":"article-journal"},"uris":["http://www.mendeley.com/documents/?uuid=91537530-ee55-4bd0-90ba-0835887540ac"]}],"mendeley":{"formattedCitation":"[23]","plainTextFormattedCitation":"[23]","previouslyFormattedCitation":"[23]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3A58E340">
      <w:pPr>
        <w:spacing w:line="360" w:lineRule="auto"/>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Scheme 4: Nucleophilic Substitution reaction</w:t>
      </w:r>
    </w:p>
    <w:p w14:paraId="4D12BA26">
      <w:pPr>
        <w:spacing w:line="360" w:lineRule="auto"/>
        <w:rPr>
          <w:rFonts w:hint="default" w:ascii="Times New Roman" w:hAnsi="Times New Roman" w:cs="Times New Roman"/>
          <w:sz w:val="24"/>
          <w:szCs w:val="24"/>
        </w:rPr>
      </w:pPr>
    </w:p>
    <w:p w14:paraId="627C19BF">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28" o:spt="75" type="#_x0000_t75" style="height:129.95pt;width:450.65pt;" o:ole="t" filled="f" o:preferrelative="t" stroked="f" coordsize="21600,21600">
            <v:path/>
            <v:fill on="f" focussize="0,0"/>
            <v:stroke on="f"/>
            <v:imagedata r:id="rId17" o:title=""/>
            <o:lock v:ext="edit" aspectratio="t"/>
            <w10:wrap type="none"/>
            <w10:anchorlock/>
          </v:shape>
          <o:OLEObject Type="Embed" ProgID="ChemDraw_x64.Document.6.0" ShapeID="_x0000_i1028" DrawAspect="Content" ObjectID="_1468075728" r:id="rId16">
            <o:LockedField>false</o:LockedField>
          </o:OLEObject>
        </w:object>
      </w:r>
    </w:p>
    <w:p w14:paraId="00E44308">
      <w:pPr>
        <w:spacing w:line="360" w:lineRule="auto"/>
        <w:jc w:val="both"/>
        <w:rPr>
          <w:rFonts w:hint="default" w:ascii="Times New Roman" w:hAnsi="Times New Roman" w:cs="Times New Roman"/>
          <w:color w:val="EE0000"/>
          <w:sz w:val="24"/>
          <w:szCs w:val="24"/>
          <w:lang w:val="en-IN"/>
        </w:rPr>
      </w:pPr>
    </w:p>
    <w:p w14:paraId="68171BF7">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7.Shigeru Oae et al.</w:t>
      </w:r>
      <w:r>
        <w:rPr>
          <w:rFonts w:hint="default" w:ascii="Times New Roman" w:hAnsi="Times New Roman" w:cs="Times New Roman"/>
          <w:sz w:val="24"/>
          <w:szCs w:val="24"/>
          <w:lang w:val="en-IN"/>
        </w:rPr>
        <w:t xml:space="preserve"> investigated the mechanistic pathway of the rearrangement reaction between 2-picoline N-oxide and acetic anhydride using oxygen-18 isotopic labeling. The study revealed that both the carbonyl and ether oxygen atoms in the product, 2-acetoxymethylpyridine, incorporated equal amounts of oxygen-18, indicating complete scrambling of the labeled oxygen atoms. Hydrolysis of the ester yielded 2-pyridinemethanol, which retained the isotopic distribution, further supporting the proposed mechanism.</w:t>
      </w:r>
    </w:p>
    <w:p w14:paraId="5998B03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Control experiments with radical scavengers (e.g., DPPH) and varying solvent volumes showed no significant impact on product yield, suggesting that the reaction proceeds via a solvent-caged radical pair rather than a free radical chain or ionic pathway. The authors ruled out intramolecular cyclic rearrangement and nucleophilic attack mechanisms based on the isotopic data and reaction behavior.</w:t>
      </w:r>
    </w:p>
    <w:p w14:paraId="51AE0860">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findings support a homolytic cleavage of the N-O bond in the anhydrobase intermediate, followed by recombination of the acetoxy and picolyl radicals within the solvent cage. This mechanistic insight distinguishes the behavior of 2-picoline N-oxide from its 4-isomer and contributes to a deeper understanding of tertiary amine N-oxide rearrangements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{"citationItems":[{"id":"ITEM-1","itemData":{"DOI":"https://doi.org/10.1007/3-540-30031-7_32","container-title":"Springer, Berlin, Heidelberg","id":"ITEM-1","issued":{"date-parts":[["2006"]]},"title":"Boekelheide reaction.In: Name Reactions. Springer, Berlin,","type":"article-journal"},"uris":["http://www.mendeley.com/documents/?uuid=f55bf52d-801f-4722-aa52-8b757fbae9de"]}],"mendeley":{"formattedCitation":"[24]","plainTextFormattedCitation":"[24]","previouslyFormattedCitation":"[24]"},"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[24]</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{"citationItems":[{"id":"ITEM-1","itemData":{"id":"ITEM-1","issued":{"date-parts":[["0"]]},"title":"J.A. Berson and T Cohen journal of american chemical society 77,1281,1955","type":"article-journal"},"uris":["http://www.mendeley.com/documents/?uuid=a52eb137-5208-4475-93d0-f5b953ddd793"]}],"mendeley":{"formattedCitation":"[25]","plainTextFormattedCitation":"[25]","previouslyFormattedCitation":"[25]"},"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[25]</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{"citationItems":[{"id":"ITEM-1","itemData":{"author":[{"dropping-particle":"","family":"Shigeru Oae, Teijiro kitao","given":"YoshinoriKitaoka","non-dropping-particle":"","parse-names":false,"suffix":""}],"id":"ITEM-1","issued":{"date-parts":[["1962"]]},"page":"3359-3362","title":"The mechanism of the reaction of 2-Picoline N-Oxide with acetic anhydride","type":"article-journal","volume":"84"},"uris":["http://www.mendeley.com/documents/?uuid=39d435d3-a630-442f-940e-e2bfdf3c27d4"]}],"mendeley":{"formattedCitation":"[26]","plainTextFormattedCitation":"[26]","previouslyFormattedCitation":"[26]"},"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[26]</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C841A27">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5:  Rearrangement reaction</w:t>
      </w:r>
    </w:p>
    <w:p w14:paraId="12EC0464">
      <w:pPr>
        <w:spacing w:line="360" w:lineRule="auto"/>
        <w:jc w:val="center"/>
        <w:rPr>
          <w:rFonts w:hint="default" w:ascii="Times New Roman" w:hAnsi="Times New Roman" w:cs="Times New Roman"/>
          <w:sz w:val="24"/>
          <w:szCs w:val="24"/>
          <w:lang w:val="en-IN"/>
        </w:rPr>
      </w:pPr>
      <w:r>
        <w:rPr>
          <w:rFonts w:hint="default" w:ascii="Times New Roman" w:hAnsi="Times New Roman" w:cs="Times New Roman"/>
          <w:sz w:val="24"/>
          <w:szCs w:val="24"/>
        </w:rPr>
        <w:drawing>
          <wp:inline distT="0" distB="0" distL="0" distR="0">
            <wp:extent cx="3899535" cy="3116580"/>
            <wp:effectExtent l="0" t="0" r="0" b="0"/>
            <wp:docPr id="1731469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69350" name="Picture 9"/>
                    <pic:cNvPicPr>
                      <a:picLocks noChangeAspect="1"/>
                    </pic:cNvPicPr>
                  </pic:nvPicPr>
                  <pic:blipFill>
                    <a:blip r:embed="rId18"/>
                    <a:stretch>
                      <a:fillRect/>
                    </a:stretch>
                  </pic:blipFill>
                  <pic:spPr>
                    <a:xfrm>
                      <a:off x="0" y="0"/>
                      <a:ext cx="3902180" cy="3118345"/>
                    </a:xfrm>
                    <a:prstGeom prst="rect">
                      <a:avLst/>
                    </a:prstGeom>
                    <a:noFill/>
                    <a:ln>
                      <a:noFill/>
                    </a:ln>
                  </pic:spPr>
                </pic:pic>
              </a:graphicData>
            </a:graphic>
          </wp:inline>
        </w:drawing>
      </w:r>
    </w:p>
    <w:p w14:paraId="037128FA">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8. Shigeru Oae et al.</w:t>
      </w:r>
      <w:r>
        <w:rPr>
          <w:rFonts w:hint="default" w:ascii="Times New Roman" w:hAnsi="Times New Roman" w:cs="Times New Roman"/>
          <w:sz w:val="24"/>
          <w:szCs w:val="24"/>
          <w:lang w:val="en-IN"/>
        </w:rPr>
        <w:t xml:space="preserve"> investigated the mechanistic pathway of the rearrangement reaction between 4-picoline N-oxide and acetic anhydride, focusing on the origin and distribution of oxygen atoms in the resulting 4-acetoxymethylpyridine. Using oxygen-18 labeling, the study revealed that the carbonyl oxygen in the ester product originates exclusively from acetic anhydride, while the ether oxygen is retained from the N-oxide moiety. This selective incorporation contrasts with the behavior observed in the 2-picoline N-oxide system, indicating a distinct mechanistic route.</w:t>
      </w:r>
    </w:p>
    <w:p w14:paraId="273DBE9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authors proposed a concerted rearrangement mechanism involving an anhydrobase intermediate, where the acetyl group migrates to the methyl position without homolytic cleavage of the N–O bond. Supporting evidence includes the absence of radical inhibition effects and the lack of isotopic scrambling. The reaction proceeds efficiently under mild conditions and does not involve free radical intermediates, as confirmed by control experiments with radical scavengers.</w:t>
      </w:r>
    </w:p>
    <w:p w14:paraId="6A2993A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findings provide critical insight into the stereoelectronic factors governing N-oxide rearrangements and highlight the positional influence of the methyl group on reaction pathways. The study contributes to a broader understanding of heterocyclic N-oxide chemistry and its synthetic applications in regioselective functionalization.</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{"citationItems":[{"id":"ITEM-1","itemData":{"author":[{"dropping-particle":"","family":"Shigeru Oae, Teijiro kitao","given":"YoshinoriKitaoka","non-dropping-particle":"","parse-names":false,"suffix":""}],"id":"ITEM-1","issued":{"date-parts":[["1962"]]},"page":"3362-3365","title":"The mechanism of the reaction of 4 -picoline N- oxide with Acetic Anhydride","type":"article-journal","volume":"84"},"uris":["http://www.mendeley.com/documents/?uuid=bcb6ca8e-3298-4d3e-a8be-b0ab455dd256"]}],"mendeley":{"formattedCitation":"[27]","plainTextFormattedCitation":"[27]","previouslyFormattedCitation":"[27]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[27]</w:t>
      </w:r>
      <w:r>
        <w:rPr>
          <w:rFonts w:hint="default" w:ascii="Times New Roman" w:hAnsi="Times New Roman" w:cs="Times New Roman"/>
          <w:sz w:val="24"/>
          <w:szCs w:val="24"/>
          <w:lang w:val="en-IN"/>
        </w:rPr>
        <w:fldChar w:fldCharType="end"/>
      </w:r>
    </w:p>
    <w:p w14:paraId="7CD19C8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6:</w:t>
      </w:r>
      <w:r>
        <w:rPr>
          <w:rFonts w:hint="default" w:ascii="Times New Roman" w:hAnsi="Times New Roman" w:cs="Times New Roman"/>
          <w:sz w:val="24"/>
          <w:szCs w:val="24"/>
          <w:lang w:val="en-IN"/>
        </w:rPr>
        <w:t xml:space="preserve"> </w:t>
      </w:r>
      <w:r>
        <w:rPr>
          <w:rFonts w:hint="default" w:ascii="Times New Roman" w:hAnsi="Times New Roman" w:cs="Times New Roman"/>
          <w:b/>
          <w:bCs/>
          <w:sz w:val="24"/>
          <w:szCs w:val="24"/>
          <w:lang w:val="en-IN"/>
        </w:rPr>
        <w:t>Rearrangement reaction</w:t>
      </w:r>
    </w:p>
    <w:p w14:paraId="4B7BC37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object>
          <v:shape id="_x0000_i1029" o:spt="75" type="#_x0000_t75" style="height:233.05pt;width:430.55pt;" o:ole="t" filled="f" o:preferrelative="t" stroked="f" coordsize="21600,21600">
            <v:path/>
            <v:fill on="f" focussize="0,0"/>
            <v:stroke on="f"/>
            <v:imagedata r:id="rId20" cropbottom="2345f" o:title=""/>
            <o:lock v:ext="edit" aspectratio="t"/>
            <w10:wrap type="none"/>
            <w10:anchorlock/>
          </v:shape>
          <o:OLEObject Type="Embed" ProgID="ChemDraw_x64.Document.6.0" ShapeID="_x0000_i1029" DrawAspect="Content" ObjectID="_1468075729" r:id="rId19">
            <o:LockedField>false</o:LockedField>
          </o:OLEObject>
        </w:object>
      </w:r>
    </w:p>
    <w:p w14:paraId="78CAA07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9.Tetsuzo Kato et al.</w:t>
      </w:r>
      <w:r>
        <w:rPr>
          <w:rFonts w:hint="default" w:ascii="Times New Roman" w:hAnsi="Times New Roman" w:cs="Times New Roman"/>
          <w:sz w:val="24"/>
          <w:szCs w:val="24"/>
          <w:lang w:val="en-IN"/>
        </w:rPr>
        <w:t xml:space="preserve"> investigated the reactivity of picolines and their N-oxides with amyl nitrite under various conditions in liquid ammonia, employing sodium or potassium amide as base. While picolines showed limited reactivity, their N-oxides underwent smooth transformation to yield aldoximes and acid amides. Notably, 2-picoline 1-oxide afforded picolinaldehyde 1-oxide oxime with minor formation of picolinamide 1-oxide. Reactivity varied with substitution: the methyl group at the 4-position was most reactive, followed by the 2-position, while the 3-position remained largely inert.</w:t>
      </w:r>
    </w:p>
    <w:p w14:paraId="107B1A4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 study revealed that aldoximes formed under these conditions were predominantly syn-type, stabilized via intramolecular hydrogen bonding. Anti-type aldoximes, formed at room temperature, readily converted to nitriles or amidines upon further treatment with sodium amide. Additionally, 4-picoline 1-oxide yielded isonicotinonitrile 1-oxide and isonicotinamide 1-oxide, demonstrating unique nitrile formation. Comparative reactions with non-oxidized picolines confirmed the enhanced reactivity conferred by N-oxidation.</w:t>
      </w:r>
    </w:p>
    <w:p w14:paraId="5DACB57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findings underscore the influence of positional substitution and N-oxidation on methyl group activation in pyridine derivatives, offering mechanistic insights and synthetic routes to functionalized heterocycles via nitrosation in ammonia media</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{"citationItems":[{"id":"ITEM-1","itemData":{"author":[{"dropping-particle":"","family":"Tetsuzo Kato","given":"Yoshinobu Goto","non-dropping-particle":"","parse-names":false,"suffix":""}],"container-title":"NII-Electronic library service","id":"ITEM-1","issued":{"date-parts":[["1963"]]},"page":"461-465","title":"Synthesis of Methylpyridine Derivatives. The Reaction of Picolines and their N-Oxides with Amyl Nitrites","type":"article-journal","volume":"11"},"uris":["http://www.mendeley.com/documents/?uuid=0213f719-fece-4c95-afed-9f9abf15e411"]}],"mendeley":{"formattedCitation":"[28]","plainTextFormattedCitation":"[28]","previouslyFormattedCitation":"[28]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[28]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45B9961A">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Scheme 7: substitution </w:t>
      </w:r>
      <w:r>
        <w:rPr>
          <w:rFonts w:hint="default" w:ascii="Times New Roman" w:hAnsi="Times New Roman" w:cs="Times New Roman"/>
          <w:b/>
          <w:bCs/>
          <w:sz w:val="24"/>
          <w:szCs w:val="24"/>
          <w:lang w:val="en-US"/>
        </w:rPr>
        <w:t xml:space="preserve">and </w:t>
      </w:r>
      <w:r>
        <w:rPr>
          <w:rFonts w:hint="default" w:ascii="Times New Roman" w:hAnsi="Times New Roman" w:cs="Times New Roman"/>
          <w:b/>
          <w:bCs/>
          <w:sz w:val="24"/>
          <w:szCs w:val="24"/>
          <w:lang w:val="en-IN"/>
        </w:rPr>
        <w:t xml:space="preserve"> N-oxidation</w:t>
      </w:r>
    </w:p>
    <w:p w14:paraId="737AA30C">
      <w:p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30" o:spt="75" type="#_x0000_t75" style="height:106.2pt;width:410pt;" o:ole="t" filled="f" o:preferrelative="t" stroked="f" coordsize="21600,21600">
            <v:path/>
            <v:fill on="f" focussize="0,0"/>
            <v:stroke on="f"/>
            <v:imagedata r:id="rId22" o:title=""/>
            <o:lock v:ext="edit" aspectratio="t"/>
            <w10:wrap type="none"/>
            <w10:anchorlock/>
          </v:shape>
          <o:OLEObject Type="Embed" ProgID="ChemDraw_x64.Document.6.0" ShapeID="_x0000_i1030" DrawAspect="Content" ObjectID="_1468075730" r:id="rId21">
            <o:LockedField>false</o:LockedField>
          </o:OLEObject>
        </w:object>
      </w:r>
    </w:p>
    <w:p w14:paraId="3D1F380D">
      <w:pPr>
        <w:spacing w:line="360" w:lineRule="auto"/>
        <w:jc w:val="both"/>
        <w:rPr>
          <w:rFonts w:hint="default" w:ascii="Times New Roman" w:hAnsi="Times New Roman" w:cs="Times New Roman"/>
          <w:sz w:val="24"/>
          <w:szCs w:val="24"/>
        </w:rPr>
      </w:pPr>
    </w:p>
    <w:p w14:paraId="766E5619">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10. David Osborne </w:t>
      </w:r>
      <w:r>
        <w:rPr>
          <w:rFonts w:hint="default" w:ascii="Times New Roman" w:hAnsi="Times New Roman" w:cs="Times New Roman"/>
          <w:color w:val="000000" w:themeColor="text1"/>
          <w:sz w:val="24"/>
          <w:szCs w:val="24"/>
        </w:rPr>
        <w:t>et al. report the efficient acylation of 2-picoline N-oxide and 2,6-lutidine N-oxide using sodium amide in liquid ammonia as the condensing agent, with various aliphatic, aromatic, and heterocyclic esters. The reaction of 2-picoline N-oxide with methyl benzoate yielded 2-phenacylpyridine N-oxide, isolated as a water-insoluble solid with a melting point of 158 °C. Similarly, 2,6-lutidine N-oxide reacted with methyl nicotinate to afford 2,6-lutidyl 3-pyridyl ketone N-oxide, a water-soluble compound with a melting point of 133–134 °C. In another variation, the reaction of 2,6-lutidine N-oxide with ethyl isobutyrate produced 2,6-lutidyl isopropyl ketone N-oxide, which was isolated by vacuum distillation and characterized by a boiling point of 140–146 °C at 0.5 mmHg and a melting point of 91–92 °C. These results demonstrate the versatility and effectiveness of sodium amide-mediated acylation of pyridine N-oxides under anhydrous conditions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{"citationItems":[{"id":"ITEM-1","itemData":{"id":"ITEM-1","issue":"1","issued":{"date-parts":[["0"]]},"page":"138-140","title":"The Acylation of 2-Picoline-N-oxide and 2,6-Lutidine N-oxide","type":"article-journal","volume":"1"},"uris":["http://www.mendeley.com/documents/?uuid=c746690b-9687-4fbe-afcf-64cfbd46e79e"]}],"mendeley":{"formattedCitation":"[29]","plainTextFormattedCitation":"[29]","previouslyFormattedCitation":"[29]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[29]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D. Behun and R. Levine, ibid., 81, 5157 (1959).","type":"article-journal"},"uris":["http://www.mendeley.com/documents/?uuid=01572a72-6b0d-49e5-aa76-f6b260661459"]}],"mendeley":{"formattedCitation":"[30]","plainTextFormattedCitation":"[30]","previouslyFormattedCitation":"[30]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{"citationItems":[{"id":"ITEM-1","itemData":{"id":"ITEM-1","issued":{"date-parts":[["0"]]},"title":"R. Adams and S. J. Miyano, ibid., 76, 3168 (1954).","type":"article-journal"},"uris":["http://www.mendeley.com/documents/?uuid=e41e1905-9eea-4bfe-a4d6-739a3c8e5a4c"]}],"mendeley":{"formattedCitation":"[31]","plainTextFormattedCitation":"[31]","previouslyFormattedCitation":"[31]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Boekelheide and R. J. Windgassen, ibid.. 81, 1456 (1959).","type":"article-journal"},"uris":["http://www.mendeley.com/documents/?uuid=ec575462-3d90-4cec-8067-8cbe895acdc1"]}],"mendeley":{"formattedCitation":"[32]","plainTextFormattedCitation":"[32]","previouslyFormattedCitation":"[32]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{"citationItems":[{"id":"ITEM-1","itemData":{"id":"ITEM-1","issued":{"date-parts":[["0"]]},"title":"T. Kato and Y. Goto, Chem. Phnrm. BUZZ., 11, 461 (1963).","type":"article-journal"},"uris":["http://www.mendeley.com/documents/?uuid=b6237fb9-e2cb-49de-b353-33832aab60e5"]}],"mendeley":{"formattedCitation":"[33]","plainTextFormattedCitation":"[33]","previouslyFormattedCitation":"[33]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428EC1AF">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8: Acylation reaction</w:t>
      </w:r>
    </w:p>
    <w:p w14:paraId="70B06B81">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31" o:spt="75" type="#_x0000_t75" style="height:403.25pt;width:451.35pt;" o:ole="t" filled="f" o:preferrelative="t" stroked="f" coordsize="21600,21600">
            <v:path/>
            <v:fill on="f" focussize="0,0"/>
            <v:stroke on="f"/>
            <v:imagedata r:id="rId24" o:title=""/>
            <o:lock v:ext="edit" aspectratio="t"/>
            <w10:wrap type="none"/>
            <w10:anchorlock/>
          </v:shape>
          <o:OLEObject Type="Embed" ProgID="ChemDraw_x64.Document.6.0" ShapeID="_x0000_i1031" DrawAspect="Content" ObjectID="_1468075731" r:id="rId23">
            <o:LockedField>false</o:LockedField>
          </o:OLEObject>
        </w:object>
      </w:r>
    </w:p>
    <w:p w14:paraId="4826A390">
      <w:pPr>
        <w:spacing w:line="360" w:lineRule="auto"/>
        <w:rPr>
          <w:rFonts w:hint="default" w:ascii="Times New Roman" w:hAnsi="Times New Roman" w:cs="Times New Roman"/>
          <w:color w:val="EE0000"/>
          <w:sz w:val="24"/>
          <w:szCs w:val="24"/>
        </w:rPr>
      </w:pPr>
    </w:p>
    <w:p w14:paraId="218E44D0">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11. S. Oae et al.</w:t>
      </w:r>
      <w:r>
        <w:rPr>
          <w:rFonts w:hint="default" w:ascii="Times New Roman" w:hAnsi="Times New Roman" w:cs="Times New Roman"/>
          <w:color w:val="000000" w:themeColor="text1"/>
          <w:sz w:val="24"/>
          <w:szCs w:val="24"/>
        </w:rPr>
        <w:t xml:space="preserve"> investigated the isotopic behavior of 2-picoline and 4-picoline N-oxides reacting with uniformly acetic anhydride in various solvents. For 2-picoline N-oxide, the solvent had no effect on the distribution in the major product, 2-acetoxymethylpyridine, indicating a solvent-independent intramolecular radical cage mechanism involving homolytic N–O bond cleavage and recombination. In contrast, the reaction of 4-picoline N-oxide yielded a mixture of 3-acetoxy-4-methylpyridine and 4-acetoxymethylpyridine with incorporation patterns consistent with an intermolecular pathway. This involves nucleophilic attack by acetoxy anions at the methylene or C-3 position of the pyridine ring, accompanied by heterolytic N–O bond cleavage. These findings highlight distinct mechanistic pathways for structurally related N-oxides and underscore the influence of substitution patterns on reaction dynamics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{"citationItems":[{"id":"ITEM-1","itemData":{"author":[{"dropping-particle":"","family":"S. OAE*","given":"Y. KITAOKA and T. KITAO","non-dropping-particle":"","parse-names":false,"suffix":""}],"container-title":"Tetrahedron","id":"ITEM-1","issued":{"date-parts":[["1964"]]},"page":"2645-2689","title":"rearrangement of tertiary amine oxides - SOLVENT EFFECTS ON THE REACTIONS OF Z- AND 4-PICOLINE N-OXIDES WITH ACETIC ANHYDRIDE","type":"article-journal","volume":"20"},"uris":["http://www.mendeley.com/documents/?uuid=738ceb96-5191-46b8-aef0-7d6f056c579f"]}],"mendeley":{"formattedCitation":"[34]","plainTextFormattedCitation":"[34]","previouslyFormattedCitation":"[34]"},"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[34]</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J. Traynelis and R. F. Martello, J. Amer. Chem. Sot. 80,659O (1958).","type":"article-journal"},"uris":["http://www.mendeley.com/documents/?uuid=9fd7d9d1-a24c-43e3-9fca-8d05dd08150c"]}],"mendeley":{"formattedCitation":"[35]","plainTextFormattedCitation":"[35]","previouslyFormattedCitation":"[35]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J. Traynelis and R. F. Martello, J. Amer. Ckm. Sot. 82,2744 (1960).","type":"article-journal"},"uris":["http://www.mendeley.com/documents/?uuid=75d91582-6fe3-407a-8c54-982b5c1d8786"]}],"mendeley":{"formattedCitation":"[36]","plainTextFormattedCitation":"[36]","previouslyFormattedCitation":"[36]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{"citationItems":[{"id":"ITEM-1","itemData":{"id":"ITEM-1","issued":{"date-parts":[["0"]]},"title":"V. J. Traynelis, S. A. I. GaIlagher, I. H. M. and R. F. Martello, J. Org. C&amp;m. 26,436","type":"article-journal"},"uris":["http://www.mendeley.com/documents/?uuid=1153287f-f3a2-43e3-a1e5-6d61850afa28"]}],"mendeley":{"formattedCitation":"[37]","plainTextFormattedCitation":"[37]","previouslyFormattedCitation":"[37]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04A1DECF">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 xml:space="preserve">Scheme 9: nucleophilic substitution reaction </w:t>
      </w:r>
    </w:p>
    <w:p w14:paraId="21BA56D5">
      <w:pPr>
        <w:spacing w:line="360" w:lineRule="auto"/>
        <w:jc w:val="both"/>
        <w:rPr>
          <w:rFonts w:hint="default" w:ascii="Times New Roman" w:hAnsi="Times New Roman" w:cs="Times New Roman"/>
          <w:color w:val="000000" w:themeColor="text1"/>
          <w:sz w:val="24"/>
          <w:szCs w:val="24"/>
        </w:rPr>
      </w:pPr>
    </w:p>
    <w:p w14:paraId="01E9F20D">
      <w:pPr>
        <w:spacing w:line="360" w:lineRule="auto"/>
        <w:jc w:val="center"/>
        <w:rPr>
          <w:rFonts w:hint="default" w:ascii="Times New Roman" w:hAnsi="Times New Roman" w:cs="Times New Roman"/>
          <w:color w:val="000000" w:themeColor="text1"/>
          <w:sz w:val="24"/>
          <w:szCs w:val="24"/>
        </w:rPr>
      </w:pPr>
      <w:r>
        <w:rPr>
          <w:rFonts w:hint="default" w:ascii="Times New Roman" w:hAnsi="Times New Roman" w:cs="Times New Roman"/>
          <w:sz w:val="24"/>
          <w:szCs w:val="24"/>
        </w:rPr>
        <w:object>
          <v:shape id="_x0000_i1032" o:spt="75" type="#_x0000_t75" style="height:209.85pt;width:411pt;" o:ole="t" filled="f" o:preferrelative="t" stroked="f" coordsize="21600,21600">
            <v:path/>
            <v:fill on="f" focussize="0,0"/>
            <v:stroke on="f"/>
            <v:imagedata r:id="rId26" o:title=""/>
            <o:lock v:ext="edit" aspectratio="t"/>
            <w10:wrap type="none"/>
            <w10:anchorlock/>
          </v:shape>
          <o:OLEObject Type="Embed" ProgID="ChemDraw_x64.Document.6.0" ShapeID="_x0000_i1032" DrawAspect="Content" ObjectID="_1468075732" r:id="rId25">
            <o:LockedField>false</o:LockedField>
          </o:OLEObject>
        </w:object>
      </w:r>
    </w:p>
    <w:p w14:paraId="751B292B">
      <w:pPr>
        <w:spacing w:line="360" w:lineRule="auto"/>
        <w:jc w:val="both"/>
        <w:rPr>
          <w:rFonts w:hint="default" w:ascii="Times New Roman" w:hAnsi="Times New Roman" w:cs="Times New Roman"/>
          <w:sz w:val="24"/>
          <w:szCs w:val="24"/>
        </w:rPr>
      </w:pPr>
    </w:p>
    <w:p w14:paraId="3C98BE4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rPr>
        <w:t>12.Traynelis and Gallagher et al.</w:t>
      </w:r>
      <w:r>
        <w:rPr>
          <w:rFonts w:hint="default" w:ascii="Times New Roman" w:hAnsi="Times New Roman" w:cs="Times New Roman"/>
          <w:sz w:val="24"/>
          <w:szCs w:val="24"/>
        </w:rPr>
        <w:t xml:space="preserve"> report a product study of 4-picoline N-oxide reactions with acetic, isobutyric, and pivalic anhydrides. The reaction yielded carbon dioxide, esters namely 4-acyloxymethylpyridine and 3-acyloxy-4-methylpyridine and a range of alkylpyridines including 4-alkyl-, 3,4-dialkyl-, and 2,4-dialkylpyridines. The observed product distribution is rationalized through an intramolecular radical-pair mechanism involving an anhydro base intermediate, offering mechanistic insight into N-oxide reactivity with aliphatic anhydrides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{"citationItems":[{"id":"ITEM-1","itemData":{"author":[{"dropping-particle":"","family":"Vicent J Trayneils","given":"Sr.Ann Immaculata gallagher","non-dropping-particle":"","parse-names":false,"suffix":""}],"container-title":"Journal of the American Chemical Society","id":"ITEM-1","issue":"24","issued":{"date-parts":[["1965"]]},"page":"5710-5715","title":"Aromatic N-Oxides. V. The Reaction of 4-Picoline N-Oxide with Various Anhydrides","type":"article-journal","volume":"87"},"uris":["http://www.mendeley.com/documents/?uuid=7ef71d53-7f40-4166-b7ee-dd988fcc9b88"]}],"mendeley":{"formattedCitation":"[38]","plainTextFormattedCitation":"[38]","previouslyFormattedCitation":"[38]"},"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3F9D2DBC">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10: Photoredox reaction</w:t>
      </w:r>
    </w:p>
    <w:p w14:paraId="5D720469">
      <w:pPr>
        <w:spacing w:line="360" w:lineRule="auto"/>
        <w:ind w:left="720"/>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33" o:spt="75" type="#_x0000_t75" style="height:399.8pt;width:347.35pt;" o:ole="t" filled="f" o:preferrelative="t" stroked="f" coordsize="21600,21600">
            <v:path/>
            <v:fill on="f" focussize="0,0"/>
            <v:stroke on="f"/>
            <v:imagedata r:id="rId28" o:title=""/>
            <o:lock v:ext="edit" aspectratio="t"/>
            <w10:wrap type="none"/>
            <w10:anchorlock/>
          </v:shape>
          <o:OLEObject Type="Embed" ProgID="ChemDraw_x64.Document.6.0" ShapeID="_x0000_i1033" DrawAspect="Content" ObjectID="_1468075733" r:id="rId27">
            <o:LockedField>false</o:LockedField>
          </o:OLEObject>
        </w:object>
      </w:r>
    </w:p>
    <w:p w14:paraId="628DDA9F">
      <w:pPr>
        <w:spacing w:line="360" w:lineRule="auto"/>
        <w:jc w:val="both"/>
        <w:rPr>
          <w:rFonts w:hint="default" w:ascii="Times New Roman" w:hAnsi="Times New Roman" w:cs="Times New Roman"/>
          <w:sz w:val="24"/>
          <w:szCs w:val="24"/>
        </w:rPr>
      </w:pPr>
    </w:p>
    <w:p w14:paraId="28045D5E">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13. P.W. Ford et al</w:t>
      </w:r>
      <w:r>
        <w:rPr>
          <w:rFonts w:hint="default" w:ascii="Times New Roman" w:hAnsi="Times New Roman" w:cs="Times New Roman"/>
          <w:color w:val="000000" w:themeColor="text1"/>
          <w:sz w:val="24"/>
          <w:szCs w:val="24"/>
        </w:rPr>
        <w:t>. revisited the reaction of 2-picoline N-oxide with acetic anhydride, previously assumed to yield a single product 2-acetoxymethylpyridine. Their analytical study, including NMR, IR, and mass spectrometry, revealed that the reaction actually produces a mixture of three regioisomeric acetoxypicolines: 2-acetoxymethylpyridine (major, ~66%), 3-acetoxy-2-picoline (~15–18%), and 5-acetoxy-2-picoline (~16–18%). These isomers were separated and structurally confirmed via preparative gas chromatography and spectral comparison with authentic samples.</w:t>
      </w:r>
    </w:p>
    <w:p w14:paraId="4A7EB64A">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The formation of 3-acetoxy-2-picoline and 5-acetoxy-2-picoline is attributed to a free radical pathway involving homolytic cleavage of an N-acetoxy intermediate. The resulting picolyl radical exhibits delocalization across the 2-, 3-, and 5-positions, enabling recombination with the acetoxy radical at multiple sites. This mechanism is supported by isotopic labeling studies and aligns with the observed product distribution, ruling out ionic rearrangement as the dominant pathway.</w:t>
      </w:r>
    </w:p>
    <w:p w14:paraId="7A24183C">
      <w:pPr>
        <w:tabs>
          <w:tab w:val="left" w:pos="5103"/>
        </w:tabs>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This work refines the understanding of N-oxide reactivity with acetic anhydride and highlights the regioselective complexity inherent in pyridine N-oxide transformations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{"citationItems":[{"id":"ITEM-1","itemData":{"author":[{"dropping-particle":"","family":"Ford","given":"By P W","non-dropping-particle":"","parse-names":false,"suffix":""},{"dropping-particle":"","family":"Swan","given":"J M","non-dropping-particle":"","parse-names":false,"suffix":""}],"container-title":"Aust. J. Chem","id":"ITEM-1","issued":{"date-parts":[["1965"]]},"title":"BY-PRODUCTS IN THE REACTION OF 2-PICOLINE N-OXIDE WITH ACETIC ANHYDRIDE","type":"article-journal","volume":"18"},"uris":["http://www.mendeley.com/documents/?uuid=0ec3dfa2-fc6c-4b24-a110-8c4ec315de0f"]}],"mendeley":{"formattedCitation":"[39]","plainTextFormattedCitation":"[39]","previouslyFormattedCitation":"[39]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[39]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{"citationItems":[{"id":"ITEM-1","itemData":{"id":"ITEM-1","issued":{"date-parts":[["0"]]},"title":"Okuda, S., Pharm. Bull., Tokyo, 1955, 3, 316.","type":"article-journal"},"uris":["http://www.mendeley.com/documents/?uuid=7f344cd3-061c-410d-b94d-7a1e908bc899"]}],"mendeley":{"formattedCitation":"[40]","plainTextFormattedCitation":"[40]","previouslyFormattedCitation":"[40]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{"citationItems":[{"id":"ITEM-1","itemData":{"id":"ITEM-1","issued":{"date-parts":[["0"]]},"title":"Kobayashi, G., and Furukawa, S., Pharm. Bull., Tokyo, 1953, 1, 347.","type":"article-journal"},"uris":["http://www.mendeley.com/documents/?uuid=199eb474-3585-4db5-98a8-5f85eab3e61b"]}],"mendeley":{"formattedCitation":"[41]","plainTextFormattedCitation":"[41]","previouslyFormattedCitation":"[41]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{"citationItems":[{"id":"ITEM-1","itemData":{"id":"ITEM-1","issued":{"date-parts":[["0"]]},"title":"Boekelheide, V., and Linn, W. J., J. Amer. Chem. Soc., 1954, 76, 1286.","type":"article-journal"},"uris":["http://www.mendeley.com/documents/?uuid=f5d1242d-6a0a-460f-9190-34d7ec20fd43"]}],"mendeley":{"formattedCitation":"[42]","plainTextFormattedCitation":"[42]","previouslyFormattedCitation":"[42]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{"citationItems":[{"id":"ITEM-1","itemData":{"id":"ITEM-1","issued":{"date-parts":[["0"]]},"title":"Oae, S., Kitao, T., and Kitaoka, Y., J. Amer. Chem. Soc., 1962, 84, 3359.","type":"article-journal"},"uris":["http://www.mendeley.com/documents/?uuid=cea1c420-4371-4088-b74c-7b9ec22e34f9"]}],"mendeley":{"formattedCitation":"[43]","plainTextFormattedCitation":"[43]","previouslyFormattedCitation":"[43]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2CA10187">
      <w:pPr>
        <w:spacing w:line="360" w:lineRule="auto"/>
        <w:rPr>
          <w:rFonts w:hint="default" w:ascii="Times New Roman" w:hAnsi="Times New Roman" w:cs="Times New Roman"/>
          <w:color w:val="000000" w:themeColor="text1"/>
          <w:sz w:val="24"/>
          <w:szCs w:val="24"/>
        </w:rPr>
      </w:pPr>
      <w:r>
        <w:rPr>
          <w:rFonts w:hint="default" w:ascii="Times New Roman" w:hAnsi="Times New Roman" w:cs="Times New Roman"/>
          <w:b/>
          <w:bCs/>
          <w:sz w:val="24"/>
          <w:szCs w:val="24"/>
          <w:lang w:val="en-IN"/>
        </w:rPr>
        <w:t xml:space="preserve">Scheme 11: Homolytic fission of N-acetoxy anhydro base </w:t>
      </w:r>
    </w:p>
    <w:p w14:paraId="115A723C">
      <w:pPr>
        <w:spacing w:line="360" w:lineRule="auto"/>
        <w:rPr>
          <w:rFonts w:hint="default" w:ascii="Times New Roman" w:hAnsi="Times New Roman" w:cs="Times New Roman"/>
          <w:color w:val="000000" w:themeColor="text1"/>
          <w:sz w:val="24"/>
          <w:szCs w:val="24"/>
        </w:rPr>
      </w:pPr>
      <w:r>
        <w:rPr>
          <w:rFonts w:hint="default" w:ascii="Times New Roman" w:hAnsi="Times New Roman" w:cs="Times New Roman"/>
          <w:sz w:val="24"/>
          <w:szCs w:val="24"/>
        </w:rPr>
        <w:object>
          <v:shape id="_x0000_i1034" o:spt="75" type="#_x0000_t75" style="height:224.7pt;width:424.55pt;" o:ole="t" filled="f" o:preferrelative="t" stroked="f" coordsize="21600,21600">
            <v:path/>
            <v:fill on="f" focussize="0,0"/>
            <v:stroke on="f"/>
            <v:imagedata r:id="rId30" o:title=""/>
            <o:lock v:ext="edit" aspectratio="t"/>
            <w10:wrap type="none"/>
            <w10:anchorlock/>
          </v:shape>
          <o:OLEObject Type="Embed" ProgID="ChemDraw_x64.Document.6.0" ShapeID="_x0000_i1034" DrawAspect="Content" ObjectID="_1468075734" r:id="rId29">
            <o:LockedField>false</o:LockedField>
          </o:OLEObject>
        </w:object>
      </w:r>
    </w:p>
    <w:p w14:paraId="3C5E58D1">
      <w:pPr>
        <w:spacing w:line="360" w:lineRule="auto"/>
        <w:rPr>
          <w:rFonts w:hint="default" w:ascii="Times New Roman" w:hAnsi="Times New Roman" w:cs="Times New Roman"/>
          <w:color w:val="000000" w:themeColor="text1"/>
          <w:sz w:val="24"/>
          <w:szCs w:val="24"/>
        </w:rPr>
      </w:pPr>
    </w:p>
    <w:p w14:paraId="373F515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color w:val="000000" w:themeColor="text1"/>
          <w:sz w:val="24"/>
          <w:szCs w:val="24"/>
          <w:lang w:val="en-IN"/>
        </w:rPr>
        <w:t>14. W. S. Chilton et al.</w:t>
      </w:r>
      <w:r>
        <w:rPr>
          <w:rFonts w:hint="default" w:ascii="Times New Roman" w:hAnsi="Times New Roman" w:cs="Times New Roman"/>
          <w:color w:val="000000" w:themeColor="text1"/>
          <w:sz w:val="24"/>
          <w:szCs w:val="24"/>
          <w:lang w:val="en-IN"/>
        </w:rPr>
        <w:t xml:space="preserve"> report an efficient method for synthesizing pyridine-2- and -4-carboxaldehyde derivatives via a base-catalyzed intramolecular oxidation of hydroxymethylpyridine N-oxides. This transformation proceeds through a distinct NO heterolysis pathway, differing from previously proposed intermolecular mechanisms.</w:t>
      </w:r>
    </w:p>
    <w:p w14:paraId="1320D179">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Hydroxymethylpyridine was first obtained via acylative rearrangement of picoline N-oxide and subsequently oxidized to its N-oxide form. Treatment of 2-hydroxymethylpyridine N-oxide with phenylhydrazine in dilute sodium hydroxide yielded pyridine-2-carboxaldehyde phenylhydrazone. Control experiments confirmed that phenylhydrazine does not act as the oxidant, as comparable yields were obtained based on its stoichiometry, and no product formed in the absence of base or N-oxide functionality.</w:t>
      </w:r>
    </w:p>
    <w:p w14:paraId="6D10D862">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Further mechanistic evidence was provided by reactions involving excess 2-ethylpyridine N-oxide, which failed to produce intermolecular oxidation products, indicating that the alcohol is oxidized at the expense of the N-oxide via an intramolecular process. The proposed mechanism involves enolization to an enolamine intermediate, followed by base-induced elimination and NO bond cleavage, analogous to the oxidative step in osazone formation.</w:t>
      </w:r>
    </w:p>
    <w:p w14:paraId="3A4A281B">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No reaction was observed with the methyl ether analog, supporting the requirement for a free hydroxyl group. These findings expand the synthetic utility of picoline N-oxides in aldehyde synthesis and highlight a novel intramolecular redox pathway</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{"citationItems":[{"id":"ITEM-1","itemData":{"author":[{"dropping-particle":"","family":"W.S. Chilton","given":"Alice K.Butler","non-dropping-particle":"","parse-names":false,"suffix":""}],"id":"ITEM-1","issued":{"date-parts":[["1966"]]},"page":"1270-71","title":"Preparation of Aldehydes Derivatives from Picoline N-Oxides","type":"article-journal","volume":"32"},"uris":["http://www.mendeley.com/documents/?uuid=b330fc33-8cad-47eb-87fc-f52ddfb52be4"]}],"mendeley":{"formattedCitation":"[44]","plainTextFormattedCitation":"[44]","previouslyFormattedCitation":"[44]"},"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[44]</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49F15B11">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12: Intramolecular oxidation reaction </w:t>
      </w:r>
    </w:p>
    <w:p w14:paraId="68F5405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0" distR="0">
            <wp:extent cx="2667000" cy="990600"/>
            <wp:effectExtent l="0" t="0" r="0" b="0"/>
            <wp:docPr id="809452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52341"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7000" cy="990600"/>
                    </a:xfrm>
                    <a:prstGeom prst="rect">
                      <a:avLst/>
                    </a:prstGeom>
                    <a:noFill/>
                    <a:ln>
                      <a:noFill/>
                    </a:ln>
                  </pic:spPr>
                </pic:pic>
              </a:graphicData>
            </a:graphic>
          </wp:inline>
        </w:drawing>
      </w:r>
    </w:p>
    <w:p w14:paraId="5AFA9D53">
      <w:pPr>
        <w:spacing w:line="360" w:lineRule="auto"/>
        <w:jc w:val="both"/>
        <w:rPr>
          <w:rFonts w:hint="default" w:ascii="Times New Roman" w:hAnsi="Times New Roman" w:cs="Times New Roman"/>
          <w:color w:val="000000" w:themeColor="text1"/>
          <w:sz w:val="24"/>
          <w:szCs w:val="24"/>
          <w:lang w:val="en-IN"/>
        </w:rPr>
      </w:pPr>
    </w:p>
    <w:p w14:paraId="123EE326">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15.Cohen et al.</w:t>
      </w:r>
      <w:r>
        <w:rPr>
          <w:rFonts w:hint="default" w:ascii="Times New Roman" w:hAnsi="Times New Roman" w:cs="Times New Roman"/>
          <w:sz w:val="24"/>
          <w:szCs w:val="24"/>
          <w:lang w:val="en-IN"/>
        </w:rPr>
        <w:t xml:space="preserve"> proposed that the N–O bond in the anhydrobase intermediate, derived from 4-picoline N-oxide and acetic anhydride, undergoes heterolytic cleavage to yield an acetate anion and a picolyl cation. This cationic species may subsequently be intercepted by either internal or external acetate or acetic acid, rationalizing the formation of products via a unified cleavage pathway. Supporting evidence for this mechanism includes the formation of substantial ester products in reactions involving 2-picoline N-oxide with phenylacetic and trichloroacetic anhydrides. However, analogous results with 4-picoline N-oxide have also been interpreted in favor of a radical-pair mechanism. To probe the intermediacy of the picolyl cation, reactions were conducted in anisole and benzonitrile. In anisole, a 20% yield of three picolylanisole isomers was obtained, with meta and para derivatives confirmed by comparison to authentic samples. The observed meta:para ratio of 0.25 aligns with electrophilic aromatic substitution by a cationic species rather than radical attack, which typically yields higher meta selectivity. These findings lend credence to a cationic pathway under specific conditions, although mechanistic ambiguity persists due to competing interpretations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{"citationItems":[{"id":"ITEM-1","itemData":{"author":[{"dropping-particle":"","family":"Theodore Cohen","given":"Gary L. Deets","non-dropping-particle":"","parse-names":false,"suffix":""}],"container-title":"Journal ojthe American Chemical Society","id":"ITEM-1","issue":"15","issued":{"date-parts":[["1967"]]},"page":"3939-3940","title":"The Reaction of 4-Picoline N-Oxide with Acetic Anhydride. Trapping of the Cationic Intermediate","type":"article-journal","volume":"89"},"uris":["http://www.mendeley.com/documents/?uuid=50defb29-7ceb-42b6-811a-c44998f0a922"]}],"mendeley":{"formattedCitation":"[45]","plainTextFormattedCitation":"[45]","previouslyFormattedCitation":"[45]"},"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[45]</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19CE14E">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13: Rearrangement reaction </w:t>
      </w:r>
    </w:p>
    <w:p w14:paraId="4A7C1F2A">
      <w:pPr>
        <w:spacing w:line="360" w:lineRule="auto"/>
        <w:jc w:val="both"/>
        <w:rPr>
          <w:rFonts w:hint="default" w:ascii="Times New Roman" w:hAnsi="Times New Roman" w:cs="Times New Roman"/>
          <w:color w:val="000000" w:themeColor="text1"/>
          <w:sz w:val="24"/>
          <w:szCs w:val="24"/>
          <w:lang w:val="en-IN"/>
        </w:rPr>
      </w:pPr>
    </w:p>
    <w:p w14:paraId="16C46015">
      <w:pPr>
        <w:spacing w:line="360" w:lineRule="auto"/>
        <w:jc w:val="both"/>
        <w:rPr>
          <w:rFonts w:hint="default" w:ascii="Times New Roman" w:hAnsi="Times New Roman" w:cs="Times New Roman"/>
          <w:b/>
          <w:bCs/>
          <w:sz w:val="24"/>
          <w:szCs w:val="24"/>
          <w:lang w:val="en-IN"/>
        </w:rPr>
      </w:pPr>
    </w:p>
    <w:p w14:paraId="72C629D2">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35" o:spt="75" type="#_x0000_t75" style="height:104.95pt;width:332.75pt;" o:ole="t" filled="f" o:preferrelative="t" stroked="f" coordsize="21600,21600">
            <v:path/>
            <v:fill on="f" focussize="0,0"/>
            <v:stroke on="f"/>
            <v:imagedata r:id="rId33" o:title=""/>
            <o:lock v:ext="edit" aspectratio="t"/>
            <w10:wrap type="none"/>
            <w10:anchorlock/>
          </v:shape>
          <o:OLEObject Type="Embed" ProgID="ChemDraw_x64.Document.6.0" ShapeID="_x0000_i1035" DrawAspect="Content" ObjectID="_1468075735" r:id="rId32">
            <o:LockedField>false</o:LockedField>
          </o:OLEObject>
        </w:object>
      </w:r>
    </w:p>
    <w:p w14:paraId="1BAE53CB">
      <w:pPr>
        <w:spacing w:line="360" w:lineRule="auto"/>
        <w:jc w:val="both"/>
        <w:rPr>
          <w:rFonts w:hint="default" w:ascii="Times New Roman" w:hAnsi="Times New Roman" w:cs="Times New Roman"/>
          <w:b/>
          <w:bCs/>
          <w:sz w:val="24"/>
          <w:szCs w:val="24"/>
          <w:lang w:val="en-IN"/>
        </w:rPr>
      </w:pPr>
    </w:p>
    <w:p w14:paraId="2A432B2E">
      <w:pPr>
        <w:spacing w:line="360" w:lineRule="auto"/>
        <w:jc w:val="both"/>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16. T. Coenig et al.</w:t>
      </w:r>
      <w:r>
        <w:rPr>
          <w:rFonts w:hint="default" w:ascii="Times New Roman" w:hAnsi="Times New Roman" w:cs="Times New Roman"/>
          <w:color w:val="000000" w:themeColor="text1"/>
          <w:sz w:val="24"/>
          <w:szCs w:val="24"/>
        </w:rPr>
        <w:t xml:space="preserve"> report that the reaction of trichloroacetyl chloride with 2-picoline N-oxide in refluxing chloroform leads to the formation of 2-pyridylmethyl chloride and carbon dioxide in high yield. The transformation proceeds via the intermediate formation of a trichloroacetate ester, as confirmed by </w:t>
      </w:r>
      <w:r>
        <w:rPr>
          <w:rFonts w:hint="default" w:ascii="Times New Roman" w:hAnsi="Times New Roman" w:cs="Times New Roman"/>
          <w:color w:val="000000" w:themeColor="text1"/>
          <w:sz w:val="24"/>
          <w:szCs w:val="24"/>
          <w:vertAlign w:val="superscript"/>
        </w:rPr>
        <w:t>1</w:t>
      </w:r>
      <w:r>
        <w:rPr>
          <w:rFonts w:hint="default" w:ascii="Times New Roman" w:hAnsi="Times New Roman" w:cs="Times New Roman"/>
          <w:color w:val="000000" w:themeColor="text1"/>
          <w:sz w:val="24"/>
          <w:szCs w:val="24"/>
        </w:rPr>
        <w:t>H NMR spectroscopy (singlet at 5.8 ppm). Upon extended reflux, this ester undergoes conversion to the chloride product, evidenced by the emergence of a new singlet at 5.1 ppm and progressive CO₂ evolution. After 12 hours, the ester is nearly consumed, and the final product is isolated . The same chloride product is obtained when 2-pyridylcarbinol is treated with trichloroacetyl chloride or its anhydride, indicating a general pathway involving ester formation followed by chloride substitution. This study highlights a practical route for synthesizing pyridylmethyl chlorides via N-oxide activation and ester-mediated halogenation</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{"citationItems":[{"id":"ITEM-1","itemData":{"author":[{"dropping-particle":"","family":"T. KOENIG AND J. S. WIECZORE","given":"","non-dropping-particle":"","parse-names":false,"suffix":""}],"container-title":"The Journal of Organic Chemistry","id":"ITEM-1","issue":"4","issued":{"date-parts":[["1968"]]},"page":"1530-1532","title":"The Reactions of Trichloroacetyl Chloride with 2-Picoline N-Oxide and Pyridylcarbinols","type":"article-journal","volume":"33"},"uris":["http://www.mendeley.com/documents/?uuid=c265e89a-d0ee-4c28-b9d0-dc41ec40825c"]}],"mendeley":{"formattedCitation":"[46]","plainTextFormattedCitation":"[46]","previouslyFormattedCitation":"[46]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{"citationItems":[{"id":"ITEM-1","itemData":{"id":"ITEM-1","issued":{"date-parts":[["0"]]},"title":"M. L. Clark, J. Phys. Chem., 64, 1758 (1960);","type":"article-journal"},"uris":["http://www.mendeley.com/documents/?uuid=2d5b9bed-3eaf-4bfe-8098-c391546e39d6"]}],"mendeley":{"formattedCitation":"[47]","plainTextFormattedCitation":"[47]","previouslyFormattedCitation":"[47]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{"citationItems":[{"id":"ITEM-1","itemData":{"id":"ITEM-1","issued":{"date-parts":[["0"]]},"title":"G. Hall and F. Verhoek, J. Amer. Chcm. Soc., 69, 613 (1947)","type":"article-journal"},"uris":["http://www.mendeley.com/documents/?uuid=ea81500c-96dd-4f88-a9bf-a618f99b194a"]}],"mendeley":{"formattedCitation":"[48]","plainTextFormattedCitation":"[48]","previouslyFormattedCitation":"[48]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{"citationItems":[{"id":"ITEM-1","itemData":{"id":"ITEM-1","issued":{"date-parts":[["0"]]},"title":"H. Patwardhan and A. N. Kappanna, 2. Physik. Chem. (Leipaig), A160, 51 (1933).","type":"article-journal"},"uris":["http://www.mendeley.com/documents/?uuid=519aa7e3-44d2-4d78-91d6-3d4a5adcc3d6"]}],"mendeley":{"formattedCitation":"[49]","plainTextFormattedCitation":"[49]","previouslyFormattedCitation":"[49]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[49]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{"citationItems":[{"id":"ITEM-1","itemData":{"id":"ITEM-1","issued":{"date-parts":[["0"]]},"title":"H. Bosshard, R. Moroy, M. Schmid, and H. Zollinger, Helu. Chim. Acto, 42, 175 (1959)","type":"article-journal"},"uris":["http://www.mendeley.com/documents/?uuid=b2ba634c-5c08-4176-a8cc-737b85cf237d"]}],"mendeley":{"formattedCitation":"[50]","plainTextFormattedCitation":"[50]","previouslyFormattedCitation":"[50]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b/>
          <w:bCs/>
          <w:color w:val="000000" w:themeColor="text1"/>
          <w:sz w:val="24"/>
          <w:szCs w:val="24"/>
        </w:rPr>
        <w:t>.</w:t>
      </w:r>
    </w:p>
    <w:p w14:paraId="0D20CF88">
      <w:pPr>
        <w:spacing w:line="360" w:lineRule="auto"/>
        <w:rPr>
          <w:rFonts w:hint="default" w:ascii="Times New Roman" w:hAnsi="Times New Roman" w:cs="Times New Roman"/>
          <w:b/>
          <w:bCs/>
          <w:color w:val="EE0000"/>
          <w:sz w:val="24"/>
          <w:szCs w:val="24"/>
        </w:rPr>
      </w:pPr>
      <w:r>
        <w:rPr>
          <w:rFonts w:hint="default" w:ascii="Times New Roman" w:hAnsi="Times New Roman" w:cs="Times New Roman"/>
          <w:b/>
          <w:bCs/>
          <w:sz w:val="24"/>
          <w:szCs w:val="24"/>
          <w:lang w:val="en-IN"/>
        </w:rPr>
        <w:t>Scheme 14: Substitution reaction</w:t>
      </w:r>
    </w:p>
    <w:p w14:paraId="7B0A46F0">
      <w:pPr>
        <w:spacing w:line="360" w:lineRule="auto"/>
        <w:jc w:val="center"/>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36" o:spt="75" type="#_x0000_t75" style="height:301.45pt;width:402pt;" o:ole="t" filled="f" o:preferrelative="t" stroked="f" coordsize="21600,21600">
            <v:path/>
            <v:fill on="f" focussize="0,0"/>
            <v:stroke on="f"/>
            <v:imagedata r:id="rId35" o:title=""/>
            <o:lock v:ext="edit" aspectratio="t"/>
            <w10:wrap type="none"/>
            <w10:anchorlock/>
          </v:shape>
          <o:OLEObject Type="Embed" ProgID="ChemDraw_x64.Document.6.0" ShapeID="_x0000_i1036" DrawAspect="Content" ObjectID="_1468075736" r:id="rId34">
            <o:LockedField>false</o:LockedField>
          </o:OLEObject>
        </w:object>
      </w:r>
    </w:p>
    <w:p w14:paraId="5EFBE8E7">
      <w:pPr>
        <w:pStyle w:val="24"/>
        <w:spacing w:line="360" w:lineRule="auto"/>
        <w:ind w:left="0"/>
        <w:jc w:val="both"/>
        <w:rPr>
          <w:rFonts w:hint="default" w:ascii="Times New Roman" w:hAnsi="Times New Roman" w:cs="Times New Roman"/>
          <w:b/>
          <w:bCs/>
          <w:sz w:val="24"/>
          <w:szCs w:val="24"/>
          <w:lang w:val="en-IN"/>
        </w:rPr>
      </w:pPr>
      <w:r>
        <w:rPr>
          <w:rFonts w:hint="default" w:ascii="Times New Roman" w:hAnsi="Times New Roman" w:cs="Times New Roman"/>
          <w:b/>
          <w:bCs/>
          <w:color w:val="000000" w:themeColor="text1"/>
          <w:sz w:val="24"/>
          <w:szCs w:val="24"/>
          <w:lang w:val="en-IN"/>
        </w:rPr>
        <w:t xml:space="preserve">17.Hisano </w:t>
      </w:r>
      <w:r>
        <w:rPr>
          <w:rFonts w:hint="default" w:ascii="Times New Roman" w:hAnsi="Times New Roman" w:cs="Times New Roman"/>
          <w:b/>
          <w:bCs/>
          <w:i/>
          <w:iCs/>
          <w:color w:val="000000" w:themeColor="text1"/>
          <w:sz w:val="24"/>
          <w:szCs w:val="24"/>
          <w:lang w:val="en-IN"/>
        </w:rPr>
        <w:t>et al</w:t>
      </w:r>
      <w:r>
        <w:rPr>
          <w:rFonts w:hint="default" w:ascii="Times New Roman" w:hAnsi="Times New Roman" w:cs="Times New Roman"/>
          <w:i/>
          <w:iCs/>
          <w:color w:val="000000" w:themeColor="text1"/>
          <w:sz w:val="24"/>
          <w:szCs w:val="24"/>
          <w:lang w:val="en-IN"/>
        </w:rPr>
        <w:t>.</w:t>
      </w:r>
      <w:r>
        <w:rPr>
          <w:rFonts w:hint="default" w:ascii="Times New Roman" w:hAnsi="Times New Roman" w:cs="Times New Roman"/>
          <w:color w:val="000000" w:themeColor="text1"/>
          <w:sz w:val="24"/>
          <w:szCs w:val="24"/>
          <w:lang w:val="en-IN"/>
        </w:rPr>
        <w:t xml:space="preserve"> report the isolation and characterization of two isomeric cycloadducts (III and IV) formed from the reaction of 3-picoline-N-oxide with phenylisocyanate in DMF at 110 °C. The adducts, obtained in 34% and 24% yields respectively, exhibit identical molecular weights (m/z 228) and elemental compositions (C₁₃H₁₂N₂O₂), consistent with 1:1 stoichiometry. Spectroscopic analyses (IR, NMR, UV) confirm the presence of carbonyl functionalities and distinguish the isomeric nature of the products. Upon alkaline hydrolysis, III and IV convert to 2-anilino-3-methylpyridine (V) and 2-anilino-5-methylpyridine (VI), respectively. Elevated reaction temperatures (150 °C) favor direct formation of V and VI, with minimal recovery of III. Mechanistic considerations suggest either distinct transition states or a common ionic intermediate capable of cyclization at alternate ring positions. The study represents the first documented isolation of primary cycloadducts from an N-oxide–isocyanate system and underscores the subtle influence of methyl substitution on regioselectivity and thermal stability</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{"citationItems":[{"id":"ITEM-1","itemData":{"author":[{"dropping-particle":"","family":"Takuzo Hisano","given":"Shin Yoshikawa &amp; Keiji Muraoka","non-dropping-particle":"","parse-names":false,"suffix":""}],"container-title":"Organic Preparations and Procedures International","id":"ITEM-1","issue":"2","issued":{"date-parts":[["1973"]]},"page":"95-103","title":"Isolation and characterization of two primary cycloadducts from the reaction of phenylisocyanate with 3-picoline-n-oxide","type":"article-journal","volume":"5"},"uris":["http://www.mendeley.com/documents/?uuid=34c7e428-58ed-4834-be1b-fc87626224f6"]}],"mendeley":{"formattedCitation":"[51]","plainTextFormattedCitation":"[51]","previouslyFormattedCitation":"[51]"},"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[51]</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0122D0D8">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 xml:space="preserve"> </w:t>
      </w:r>
      <w:r>
        <w:rPr>
          <w:rFonts w:hint="default" w:ascii="Times New Roman" w:hAnsi="Times New Roman" w:cs="Times New Roman"/>
          <w:b/>
          <w:bCs/>
          <w:sz w:val="24"/>
          <w:szCs w:val="24"/>
          <w:lang w:val="en-IN"/>
        </w:rPr>
        <w:t>Scheme 15:Aza- Diels Alder reaction</w:t>
      </w:r>
    </w:p>
    <w:p w14:paraId="2FB2A9AA">
      <w:pPr>
        <w:spacing w:line="360" w:lineRule="auto"/>
        <w:jc w:val="both"/>
        <w:rPr>
          <w:rFonts w:hint="default" w:ascii="Times New Roman" w:hAnsi="Times New Roman" w:cs="Times New Roman"/>
          <w:color w:val="000000" w:themeColor="text1"/>
          <w:sz w:val="24"/>
          <w:szCs w:val="24"/>
          <w:lang w:val="en-IN"/>
        </w:rPr>
      </w:pPr>
    </w:p>
    <w:p w14:paraId="7423A543">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drawing>
          <wp:inline distT="0" distB="0" distL="0" distR="0">
            <wp:extent cx="5562600" cy="2423160"/>
            <wp:effectExtent l="0" t="0" r="0" b="2540"/>
            <wp:docPr id="1028647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47434"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562600" cy="2423160"/>
                    </a:xfrm>
                    <a:prstGeom prst="rect">
                      <a:avLst/>
                    </a:prstGeom>
                    <a:noFill/>
                    <a:ln>
                      <a:noFill/>
                    </a:ln>
                  </pic:spPr>
                </pic:pic>
              </a:graphicData>
            </a:graphic>
          </wp:inline>
        </w:drawing>
      </w:r>
    </w:p>
    <w:p w14:paraId="16880420">
      <w:pPr>
        <w:spacing w:line="360" w:lineRule="auto"/>
        <w:jc w:val="both"/>
        <w:rPr>
          <w:rFonts w:hint="default" w:ascii="Times New Roman" w:hAnsi="Times New Roman" w:cs="Times New Roman"/>
          <w:color w:val="000000" w:themeColor="text1"/>
          <w:sz w:val="24"/>
          <w:szCs w:val="24"/>
          <w:lang w:val="en-IN"/>
        </w:rPr>
      </w:pPr>
    </w:p>
    <w:p w14:paraId="77E673F8">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18. Karayannis et al.</w:t>
      </w:r>
      <w:r>
        <w:rPr>
          <w:rFonts w:hint="default" w:ascii="Times New Roman" w:hAnsi="Times New Roman" w:cs="Times New Roman"/>
          <w:sz w:val="24"/>
          <w:szCs w:val="24"/>
        </w:rPr>
        <w:t xml:space="preserve"> synthesized and characterized cobalt(II), nickel(II), and copper(II) complexes with 2-, 3-, and 4-picoline N-oxides (picO) using ligand-to-metal ratios of 2:1 and 8:1. Complexes formed under 2:1 conditions exhibited mono- or binuclear structures with coordinated nitrate groups, including [M(2-picO)₂(ONO₂)(O₂NO)] (M = Co, Ni), [Cu(2-picO)₂(ONO₂)₂], and [Co(3-picO)₂(O₂NO)₂]. Binuclear architecture was proposed for Co(NO₃)₂·(4-picO). In contrast, 8:1 ligand-rich conditions yielded ionic complexes such as M(2-picO)₄(ONO₂) and Cu(2-picO)₄₂. For Cu(NO₃)₂·4(3-picO), spectroscopic data supported either a monomeric or binuclear formulation. These findings highlight the influence of ligand ratio and picoline isomer on coordination geometry and nuclearity</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{"citationItems":[{"id":"ITEM-1","itemData":{"author":[{"dropping-particle":"","family":"Karayannis","given":"N M","non-dropping-particle":"","parse-names":false,"suffix":""},{"dropping-particle":"","family":"Mikulski","given":"C M","non-dropping-particle":"","parse-names":false,"suffix":""},{"dropping-particle":"","family":"Pytlewski","given":"L L","non-dropping-particle":"","parse-names":false,"suffix":""},{"dropping-particle":"","family":"Labes","given":"M M","non-dropping-particle":"","parse-names":false,"suffix":""}],"container-title":"Inorganic Chemistry","id":"ITEM-1","issue":"5","issued":{"date-parts":[["1973"]]},"page":"1946-1951","title":"2-, 3-, and 4-Picoline N-Oxide Complexes with Cobalt(II), Nickel(II), and Copper(I1) Nitrates","type":"article-journal","volume":"13"},"uris":["http://www.mendeley.com/documents/?uuid=4bb51a0c-1f86-4669-8d72-94d15adfc14b"]}],"mendeley":{"formattedCitation":"[52]","plainTextFormattedCitation":"[52]","previouslyFormattedCitation":"[52]"},"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r>
        <w:rPr>
          <w:rFonts w:hint="default" w:ascii="Times New Roman" w:hAnsi="Times New Roman" w:cs="Times New Roman"/>
          <w:b/>
          <w:bCs/>
          <w:sz w:val="24"/>
          <w:szCs w:val="24"/>
        </w:rPr>
        <w:t xml:space="preserve"> </w:t>
      </w:r>
    </w:p>
    <w:p w14:paraId="451A4ACF">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19. Jerry A. Jenkins</w:t>
      </w:r>
      <w:r>
        <w:rPr>
          <w:rFonts w:hint="default" w:ascii="Times New Roman" w:hAnsi="Times New Roman" w:cs="Times New Roman"/>
          <w:sz w:val="24"/>
          <w:szCs w:val="24"/>
          <w:lang w:val="en-IN"/>
        </w:rPr>
        <w:t xml:space="preserve"> </w:t>
      </w:r>
      <w:r>
        <w:rPr>
          <w:rFonts w:hint="default" w:ascii="Times New Roman" w:hAnsi="Times New Roman" w:cs="Times New Roman"/>
          <w:b/>
          <w:bCs/>
          <w:sz w:val="24"/>
          <w:szCs w:val="24"/>
        </w:rPr>
        <w:t>et al.</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IN"/>
        </w:rPr>
        <w:t>conducted a detailed mechanistic investigation into the reaction of 2-picoline N-oxide with phenylacetic anhydride, which proceeds via two competing pathways: a rearrangement route yielding picolyl phenylacetate, 2-(3-phenylethyl)pyridine, minor products, and CO₂; and an oxidative cleavage pathway producing benzaldehyde, 2-picoline, and CO. The relative dominance of each pathway is highly sensitive to isotopic substitution, providing a robust framework for evaluating hydrogen isotope effects.</w:t>
      </w:r>
    </w:p>
    <w:p w14:paraId="1CB4C75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 significant primary kinetic isotope effect (KIE = 3.8–4.2) was observed in the rearrangement pathway when comparing methyl-deuterated and undeuterated 2-picoline N-oxide, indicating that formation of the anhydro base intermediate is rate-limiting. Conversely, the oxidation pathway displayed an inverse isotope effect (KIE = 0.76–0.81) upon deuteration at the methylene group of phenylacetic anhydride, consistent with reversible enol/enolate formation preceding an SN1'-type carbocationic transition state.</w:t>
      </w:r>
    </w:p>
    <w:p w14:paraId="5E4FE37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Solvent polarity was found to moderately influence the pathway distribution, with evidence supporting ion-pairing interactions and a dual fragmentation mechanism of the anhydro base. These insights advance the mechanistic understanding of N-oxide chemistry and highlight the strategic use of isotopic labeling and solvent effects in elucidating complex reaction pathways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{"citationItems":[{"id":"ITEM-1","itemData":{"author":[{"dropping-particle":"","family":"Jerry A. Jenkins","given":"Theodore Cohen","non-dropping-particle":"","parse-names":false,"suffix":""}],"container-title":"J. Org. Chem.","id":"ITEM-1","issued":{"date-parts":[["1975"]]},"page":"24","title":"Deuterium Isotopes effects and the Influence of Solvent in the Redox and Rearrangement Reactions of 2-Picoline N-oxide and Phenylacetic Anhydride","type":"article-journal","volume":"40"},"uris":["http://www.mendeley.com/documents/?uuid=60153589-90ac-48ad-af10-e4b1b685b35a"]}],"mendeley":{"formattedCitation":"[53]","plainTextFormattedCitation":"[53]","previouslyFormattedCitation":"[53]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[53]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39D53E8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16 : Rearrangement reaction</w:t>
      </w:r>
    </w:p>
    <w:p w14:paraId="3B462B59">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37" o:spt="75" type="#_x0000_t75" style="height:19.7pt;width:528.8pt;" o:ole="t" filled="f" o:preferrelative="t" stroked="f" coordsize="21600,21600">
            <v:path/>
            <v:fill on="f" focussize="0,0"/>
            <v:stroke on="f"/>
            <v:imagedata r:id="rId38" o:title=""/>
            <o:lock v:ext="edit" aspectratio="t"/>
            <w10:wrap type="none"/>
            <w10:anchorlock/>
          </v:shape>
          <o:OLEObject Type="Embed" ProgID="ChemDraw.Document.6.0" ShapeID="_x0000_i1037" DrawAspect="Content" ObjectID="_1468075737" r:id="rId37">
            <o:LockedField>false</o:LockedField>
          </o:OLEObject>
        </w:object>
      </w:r>
    </w:p>
    <w:p w14:paraId="0C1E25BA">
      <w:pPr>
        <w:pStyle w:val="24"/>
        <w:tabs>
          <w:tab w:val="left" w:pos="426"/>
        </w:tabs>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20.Mary Lynne Ash et al.</w:t>
      </w:r>
      <w:r>
        <w:rPr>
          <w:rFonts w:hint="default" w:ascii="Times New Roman" w:hAnsi="Times New Roman" w:cs="Times New Roman"/>
          <w:sz w:val="24"/>
          <w:szCs w:val="24"/>
          <w:lang w:val="en-IN"/>
        </w:rPr>
        <w:t xml:space="preserve"> report an efficient method for synthesizing 2-chloromethylpyridine via the reaction of 2-picoline-N-oxide with phosphoryl chloride in the presence of triethylamine. This protocol achieves 90% conversion with 98% selectivity, outperforming previously reported chlorination methods that suffered from low yields or excessive byproduct formation. The reaction proceeds through an intermediate complex, which, when stabilized by triethylamine, avoids decomposition and side reactions such as aromatic substitution.</w:t>
      </w:r>
    </w:p>
    <w:p w14:paraId="7B9A12CE">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A comparative evaluation of alternative chlorinating agents including titanium tetrachloride, zinc chloride, sulfuryl chloride, phosgene, and chloroacetyl chloride revealed inferior yields or selectivity, with some reagents merely deoxygenating the N-oxide to picoline. The authors emphasize the critical role of reaction timing and reagent addition sequence in optimizing product formation. Specifically, maintaining a controlled presence of the intermediate complex during triethylamine addition was essential to suppress undesired pathways.</w:t>
      </w:r>
    </w:p>
    <w:p w14:paraId="60D0588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study establishes phosphoryl chloride, in conjunction with triethylamine, as a cost-effective and scalable route for producing 2-chloromethylpyridine with minimal waste. The mechanistic insights and procedural refinements presented by Ash et al. offer valuable guidance for synthetic applications involving pyridine derivatives and halomethylation strategies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{"citationItems":[{"id":"ITEM-1","itemData":{"author":[{"dropping-particle":"","family":"Ash","given":"Mary Lynne","non-dropping-particle":"","parse-names":false,"suffix":""},{"dropping-particle":"","family":"Pews","given":"R Garth","non-dropping-particle":"","parse-names":false,"suffix":""}],"id":"ITEM-1","issue":"c","issued":{"date-parts":[["1981"]]},"page":"5-6","title":"The Synthesis of 2-Chloromethylpyridine from 2-Picoline-N-Oxide","type":"article-journal","volume":"98"},"uris":["http://www.mendeley.com/documents/?uuid=6c2e9778-1f69-4a01-aa63-77e6b222f259"]}],"mendeley":{"formattedCitation":"[54]","plainTextFormattedCitation":"[54]","previouslyFormattedCitation":"[54]"},"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[54]</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33E212D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Scheme 17: Hantzsch pyridine synthesis </w:t>
      </w:r>
    </w:p>
    <w:p w14:paraId="657C1471">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38" o:spt="75" type="#_x0000_t75" style="height:244.65pt;width:431.35pt;" o:ole="t" filled="f" o:preferrelative="t" stroked="f" coordsize="21600,21600">
            <v:path/>
            <v:fill on="f" focussize="0,0"/>
            <v:stroke on="f" joinstyle="miter"/>
            <v:imagedata r:id="rId40" o:title=""/>
            <o:lock v:ext="edit" aspectratio="t"/>
            <w10:wrap type="none"/>
            <w10:anchorlock/>
          </v:shape>
          <o:OLEObject Type="Embed" ProgID="ChemDraw_x64.Document.6.0" ShapeID="_x0000_i1038" DrawAspect="Content" ObjectID="_1468075738" r:id="rId39">
            <o:LockedField>false</o:LockedField>
          </o:OLEObject>
        </w:object>
      </w:r>
    </w:p>
    <w:p w14:paraId="4C58EAA0">
      <w:pPr>
        <w:spacing w:line="360" w:lineRule="auto"/>
        <w:jc w:val="both"/>
        <w:rPr>
          <w:rFonts w:hint="default" w:ascii="Times New Roman" w:hAnsi="Times New Roman" w:cs="Times New Roman"/>
          <w:sz w:val="24"/>
          <w:szCs w:val="24"/>
        </w:rPr>
      </w:pPr>
    </w:p>
    <w:p w14:paraId="53AB3FC2">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21.</w:t>
      </w:r>
      <w:r>
        <w:rPr>
          <w:rFonts w:hint="default" w:ascii="Times New Roman" w:hAnsi="Times New Roman" w:cs="Times New Roman"/>
          <w:b/>
          <w:bCs/>
          <w:color w:val="000000" w:themeColor="text1"/>
          <w:sz w:val="24"/>
          <w:szCs w:val="24"/>
        </w:rPr>
        <w:t>Hiroshi Igeta et al</w:t>
      </w:r>
      <w:r>
        <w:rPr>
          <w:rFonts w:hint="default" w:ascii="Times New Roman" w:hAnsi="Times New Roman" w:cs="Times New Roman"/>
          <w:color w:val="000000" w:themeColor="text1"/>
          <w:sz w:val="24"/>
          <w:szCs w:val="24"/>
        </w:rPr>
        <w:t>. demonstrated that flash vacuum pyrolysis (FVP) of 2-picoline N-oxide leads to the formation of 2-picoline, pyridine, 2-vinylpyridine, bis(2-pyridyl)methane, and 1,2-bis(2-pyridyl)ethane. These products arise through radical pathways, with strong evidence supporting the intermediacy of the 2-picolyl (2-pyridylmethyl) radical.</w:t>
      </w:r>
    </w:p>
    <w:p w14:paraId="6BB9E7E4">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br w:type="textWrapping"/>
      </w:r>
      <w:r>
        <w:rPr>
          <w:rFonts w:hint="default" w:ascii="Times New Roman" w:hAnsi="Times New Roman" w:cs="Times New Roman"/>
          <w:color w:val="000000" w:themeColor="text1"/>
          <w:sz w:val="24"/>
          <w:szCs w:val="24"/>
        </w:rPr>
        <w:t>The pyrolysis initiates with homolytic cleavage of the N–O bond in 2-picoline N-oxide, generating the 2-picolyl radical. This radical undergoes:</w:t>
      </w:r>
    </w:p>
    <w:p w14:paraId="5601FDAD">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Hydrogen abstraction</w:t>
      </w:r>
      <w:r>
        <w:rPr>
          <w:rFonts w:hint="default" w:ascii="Times New Roman" w:hAnsi="Times New Roman" w:cs="Times New Roman"/>
          <w:color w:val="000000" w:themeColor="text1"/>
          <w:sz w:val="24"/>
          <w:szCs w:val="24"/>
        </w:rPr>
        <w:t xml:space="preserve"> to form 2-picoline and pyridine.</w:t>
      </w:r>
    </w:p>
    <w:p w14:paraId="256DCCC3">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Radical coupling</w:t>
      </w:r>
      <w:r>
        <w:rPr>
          <w:rFonts w:hint="default" w:ascii="Times New Roman" w:hAnsi="Times New Roman" w:cs="Times New Roman"/>
          <w:color w:val="000000" w:themeColor="text1"/>
          <w:sz w:val="24"/>
          <w:szCs w:val="24"/>
        </w:rPr>
        <w:t xml:space="preserve"> to yield bis(2-pyridyl)methane and 1,2-bis(2-pyridyl)ethane.</w:t>
      </w:r>
    </w:p>
    <w:p w14:paraId="0055126F">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β-Elimination</w:t>
      </w:r>
      <w:r>
        <w:rPr>
          <w:rFonts w:hint="default" w:ascii="Times New Roman" w:hAnsi="Times New Roman" w:cs="Times New Roman"/>
          <w:color w:val="000000" w:themeColor="text1"/>
          <w:sz w:val="24"/>
          <w:szCs w:val="24"/>
        </w:rPr>
        <w:t xml:space="preserve"> to produce 2-vinylpyridine.</w:t>
      </w:r>
    </w:p>
    <w:p w14:paraId="5AB0EBA3">
      <w:pPr>
        <w:numPr>
          <w:ilvl w:val="0"/>
          <w:numId w:val="8"/>
        </w:num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Cross-coupling</w:t>
      </w:r>
      <w:r>
        <w:rPr>
          <w:rFonts w:hint="default" w:ascii="Times New Roman" w:hAnsi="Times New Roman" w:cs="Times New Roman"/>
          <w:color w:val="000000" w:themeColor="text1"/>
          <w:sz w:val="24"/>
          <w:szCs w:val="24"/>
        </w:rPr>
        <w:t xml:space="preserve"> with solvent-derived radicals (e.g., benzyl radicals from toluene) to form mixed products.</w:t>
      </w:r>
    </w:p>
    <w:p w14:paraId="504CB8B6">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The formation of these compounds under low-pressure, nonpolar conditions confirms the radical nature of the process. The stability and reactivity of the 2-picolyl radical are further supported by its persistence even at low concentrations and its participation in diverse radical transformations. These findings provide direct mechanistic insight into the thermal decomposition of heterocyclic N-oxides via radical pathway</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{"citationItems":[{"id":"ITEM-1","itemData":{"author":[{"dropping-particle":"","family":"Akio Oshawa, Takayuki Kawaguchi","given":"Hiroshi Igeta","non-dropping-particle":"","parse-names":false,"suffix":""}],"container-title":"Chem.Pharm. Bull.","id":"ITEM-1","issue":"5","issued":{"date-parts":[["1981"]]},"page":"1483-1486","title":"Flash Vacuum Pyrolysis of 2-Picoline N-oxide Formation of 2-picolyl Radical","type":"article-journal","volume":"29"},"uris":["http://www.mendeley.com/documents/?uuid=16c4614f-935c-48c1-97aa-28068348a4e6"]}],"mendeley":{"formattedCitation":"[55]","plainTextFormattedCitation":"[55]","previouslyFormattedCitation":"[55]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FB1B056">
      <w:pPr>
        <w:spacing w:line="360" w:lineRule="auto"/>
        <w:rPr>
          <w:rFonts w:hint="default" w:ascii="Times New Roman" w:hAnsi="Times New Roman" w:cs="Times New Roman"/>
          <w:color w:val="EE0000"/>
          <w:sz w:val="24"/>
          <w:szCs w:val="24"/>
        </w:rPr>
      </w:pPr>
    </w:p>
    <w:p w14:paraId="796C1834">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18: Intermolecular reaction</w:t>
      </w:r>
    </w:p>
    <w:p w14:paraId="5F1B1909">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39" o:spt="75" type="#_x0000_t75" style="height:327.65pt;width:451.35pt;" o:ole="t" filled="f" o:preferrelative="t" stroked="f" coordsize="21600,21600">
            <v:path/>
            <v:fill on="f" focussize="0,0"/>
            <v:stroke on="f" joinstyle="miter"/>
            <v:imagedata r:id="rId42" o:title=""/>
            <o:lock v:ext="edit" aspectratio="t"/>
            <w10:wrap type="none"/>
            <w10:anchorlock/>
          </v:shape>
          <o:OLEObject Type="Embed" ProgID="ChemDraw_x64.Document.6.0" ShapeID="_x0000_i1039" DrawAspect="Content" ObjectID="_1468075739" r:id="rId41">
            <o:LockedField>false</o:LockedField>
          </o:OLEObject>
        </w:object>
      </w:r>
    </w:p>
    <w:p w14:paraId="1B1FFA49">
      <w:pPr>
        <w:spacing w:line="360" w:lineRule="auto"/>
        <w:jc w:val="both"/>
        <w:rPr>
          <w:rFonts w:hint="default" w:ascii="Times New Roman" w:hAnsi="Times New Roman" w:cs="Times New Roman"/>
          <w:sz w:val="24"/>
          <w:szCs w:val="24"/>
        </w:rPr>
      </w:pPr>
    </w:p>
    <w:p w14:paraId="72E19A21">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22.Noiusuke Hata et al</w:t>
      </w:r>
      <w:r>
        <w:rPr>
          <w:rFonts w:hint="default" w:ascii="Times New Roman" w:hAnsi="Times New Roman" w:cs="Times New Roman"/>
          <w:sz w:val="24"/>
          <w:szCs w:val="24"/>
        </w:rPr>
        <w:t>. conducted a detailed investigation into the gas-phase photolysis of 2-picoline N-oxide under monochromatic irradiation at 3261 Å and 2537 Å. Irradiation at 3261 Å, corresponding to the n→π* transition, led to a photochemical rearrangement yielding 2-pyridinemethanol, whereas exposure to 2537 Å (π→π* transition) induced N→O bond cleavage, producing 2-picoline. Temperature-dependent quantum yield measurements indicated that the formation of intermediate fraction C is thermally activated. The activation energies for 2-pyridinemethanol and 2-picoline formation were determined to be 3.4 kcal mol⁻¹ and 1.1 kcal mol⁻¹, respectively. These results highlight two distinct mechanistic pathways governed by the nature of electronic excitation and thermal conditions. A comprehensive mechanistic analysis of post-excitation processes is in progress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{"citationItems":[{"id":"ITEM-1","itemData":{"DOI":"10.1063/1.1732830","ISSN":"00219606","abstract":"The gaseous photolysis of pyridine N-oxide was carried out by irradiating with the 3261 A (Cd) or 2537 A (Hg) resonance line which corresponds to the absorption due to an n-π*or a π-π*transition of this substance, respectively. The main product was pyridine in both cases. However, there exists a remarkable difference in the relation between the quantum yield of pyridine produced and the temperature. In the case of 3261 A irradiation the quantum yield of pyridine increases steeply at temperatures greater than 80°C, which means that an activation energy would be required for the production of pyridine. On the other hand, the quantum yield of pyridine produced at 2537 A irradiation was nearly independent of the temperature. The activation energy necessary for the production of pyridine in the case of 3261 A irradiation is about 11.9 kcal mol-1, which was estimated from the temperature-dependence of the quantum yield of pyridine. The chemical processes succeeding to an π-π*or a π-π*transition of pyridine N-oxide were interpreted under the assumption that the excited molecule dissociates to pyridine and atomic oxygen in a predissociative manner, in which a triplet state crossing with the first excited state exists as a short-lived intermediate. The gaseous photolysis of 2-picoline N-oxide was also carried out by irradiating it with the 3261 or 2537 A resonance line. It was found that 2-picoline N-oxide undergoes a photochemical rearrangement to isomerize to 2-pyridinemethanol at 3261 A (π-π*transition) and a fission of N→O bond to produce 2-picoline at 2537 A (π-π*transition).","author":[{"dropping-particle":"","family":"Hata","given":"Norisuke","non-dropping-particle":"","parse-names":false,"suffix":""},{"dropping-particle":"","family":"Tanaka","given":"Ikuzo","non-dropping-particle":"","parse-names":false,"suffix":""}],"container-title":"The Journal of Chemical Physics","id":"ITEM-1","issue":"8","issued":{"date-parts":[["1962"]]},"page":"2072-2077","title":"Chemical processes subsequent to n-π*and π-π*transitions of pyridine n-oxide and 2-picoline n-oxide","type":"article-journal","volume":"36"},"uris":["http://www.mendeley.com/documents/?uuid=9b415b9e-4c5e-4f6a-892d-a96dccb89972"]}],"mendeley":{"formattedCitation":"[56]","plainTextFormattedCitation":"[56]","previouslyFormattedCitation":"[56]"},"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14:paraId="751AF850">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23.Douglas et al. </w:t>
      </w:r>
      <w:r>
        <w:rPr>
          <w:rFonts w:hint="default" w:ascii="Times New Roman" w:hAnsi="Times New Roman" w:cs="Times New Roman"/>
          <w:color w:val="000000" w:themeColor="text1"/>
          <w:sz w:val="24"/>
          <w:szCs w:val="24"/>
        </w:rPr>
        <w:t>investigated copper(II) complexes of 2-amino-3-picoline N-oxide, isolating a series of salts including perchlorate, tetrafluoroborate, nitrate, chloride, and bromide. These complexes were characterized using infrared, UV-visible, and electron spin resonance spectroscopy. By varying the ligand-to-metal ratio, they obtained compounds with empirical formulas such as Cu(L)₄X₂, Cu(L)₂X₂, and Cu(L)X₂, where L represents 2-amino-3-picoline N-oxide and X denotes the counterion. A deprotonated complex, Cu(L–H)₂, was also synthesized via base treatment and is proposed to adopt a square planar geometry, forming dimers in nonpolar solvents.</w:t>
      </w:r>
    </w:p>
    <w:p w14:paraId="26B4FC04">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Complexes with weakly coordinating anions like perchlorate and tetrafluoroborate exhibit 1:2 electrolyte behavior, indicating uncoordinated anions, while nitrate complexes show 1:1 conductivity, suggesting partial coordination or ion pairing. Halide-derived complexes are non-electrolytes and sparingly soluble, consistent with polymeric structures involving coordinated halide ions. Spectral data reveal that coordination occurs through the N-oxide oxygen, not the amino group, as evidenced by shifts in ν(NO) bands below 1200 cm⁻¹ and elevated ν(NH₂) frequencies. The Cu–O stretching bands between 430–440 cm⁻¹ further support N-oxide coordination. Deviations in anion vibrational bands suggest weak hydrogen bonding interactions, particularly with larger polyatomic anions. These findings expand the understanding of ligand behavior in copper(II) coordination chemistry and highlight the steric and electronic influences on complex formation</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{"citationItems":[{"id":"ITEM-1","itemData":{"author":[{"dropping-particle":"","family":"Nipp","given":"Douglas X. West* and Crystal A.","non-dropping-particle":"","parse-names":false,"suffix":""}],"container-title":"Transition Met. Chem.","id":"ITEM-1","issued":{"date-parts":[["1985"]]},"page":"201-206","title":"2-Amino-3-picoline N-oxide Complexes Formed from Various Copper(II) Salts","type":"article-journal","volume":"10"},"uris":["http://www.mendeley.com/documents/?uuid=5d0ebf22-3745-461f-ac2c-4b4d5a681e93"]}],"mendeley":{"formattedCitation":"[57]","plainTextFormattedCitation":"[57]","previouslyFormattedCitation":"[57]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C. T. Rendell and L. K. Thompson, Can. Y. Chem., 57, 1 (1979).","type":"article-journal"},"uris":["http://www.mendeley.com/documents/?uuid=363dbfaf-bd15-4c2b-a70f-3e04dfdf60ce"]}],"mendeley":{"formattedCitation":"[58]","plainTextFormattedCitation":"[58]","previouslyFormattedCitation":"[58]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[58]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881AE60">
      <w:pPr>
        <w:spacing w:line="360" w:lineRule="auto"/>
        <w:jc w:val="both"/>
        <w:rPr>
          <w:rFonts w:hint="default" w:ascii="Times New Roman" w:hAnsi="Times New Roman" w:cs="Times New Roman"/>
          <w:color w:val="000000" w:themeColor="text1"/>
          <w:sz w:val="24"/>
          <w:szCs w:val="24"/>
        </w:rPr>
      </w:pPr>
    </w:p>
    <w:p w14:paraId="10197BAB">
      <w:pPr>
        <w:spacing w:line="360" w:lineRule="auto"/>
        <w:jc w:val="both"/>
        <w:rPr>
          <w:rFonts w:hint="default" w:ascii="Times New Roman" w:hAnsi="Times New Roman" w:cs="Times New Roman"/>
          <w:color w:val="000000" w:themeColor="text1"/>
          <w:sz w:val="24"/>
          <w:szCs w:val="24"/>
        </w:rPr>
      </w:pPr>
    </w:p>
    <w:p w14:paraId="61664DED">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40" o:spt="75" type="#_x0000_t75" style="height:194.35pt;width:218.35pt;" o:ole="t" filled="f" o:preferrelative="t" stroked="f" coordsize="21600,21600">
            <v:path/>
            <v:fill on="f" focussize="0,0"/>
            <v:stroke on="f" joinstyle="miter"/>
            <v:imagedata r:id="rId44" o:title=""/>
            <o:lock v:ext="edit" aspectratio="t"/>
            <w10:wrap type="none"/>
            <w10:anchorlock/>
          </v:shape>
          <o:OLEObject Type="Embed" ProgID="ChemDraw_x64.Document.6.0" ShapeID="_x0000_i1040" DrawAspect="Content" ObjectID="_1468075740" r:id="rId43">
            <o:LockedField>false</o:LockedField>
          </o:OLEObject>
        </w:object>
      </w:r>
    </w:p>
    <w:p w14:paraId="217070AD">
      <w:pPr>
        <w:spacing w:line="360" w:lineRule="auto"/>
        <w:jc w:val="both"/>
        <w:rPr>
          <w:rFonts w:hint="default" w:ascii="Times New Roman" w:hAnsi="Times New Roman" w:cs="Times New Roman"/>
          <w:color w:val="EE0000"/>
          <w:sz w:val="24"/>
          <w:szCs w:val="24"/>
        </w:rPr>
      </w:pPr>
    </w:p>
    <w:p w14:paraId="6D567647">
      <w:pPr>
        <w:spacing w:line="360" w:lineRule="auto"/>
        <w:jc w:val="both"/>
        <w:rPr>
          <w:rFonts w:hint="default" w:ascii="Times New Roman" w:hAnsi="Times New Roman" w:cs="Times New Roman"/>
          <w:color w:val="EE0000"/>
          <w:sz w:val="24"/>
          <w:szCs w:val="24"/>
          <w:lang w:val="en-IN"/>
        </w:rPr>
      </w:pPr>
    </w:p>
    <w:p w14:paraId="6329C5A5">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24.</w:t>
      </w:r>
      <w:r>
        <w:rPr>
          <w:rFonts w:hint="default" w:ascii="Times New Roman" w:hAnsi="Times New Roman" w:cs="Times New Roman"/>
          <w:b/>
          <w:bCs/>
          <w:color w:val="000000" w:themeColor="text1"/>
          <w:sz w:val="24"/>
          <w:szCs w:val="24"/>
          <w:lang w:val="en-IN"/>
        </w:rPr>
        <w:t>Tazuko Hisano et al.</w:t>
      </w:r>
      <w:r>
        <w:rPr>
          <w:rFonts w:hint="default" w:ascii="Times New Roman" w:hAnsi="Times New Roman" w:cs="Times New Roman"/>
          <w:color w:val="000000" w:themeColor="text1"/>
          <w:sz w:val="24"/>
          <w:szCs w:val="24"/>
          <w:lang w:val="en-IN"/>
        </w:rPr>
        <w:t xml:space="preserve"> investigated the 1,3-dipolar cycloaddition of pyridine N-oxides with phenyl isocyanate, emphasizing the influence of solvent-mediated charge-transfer complexes on regioselectivity. Spectroscopic and kinetic analyses revealed that phenyl isocyanate forms stable charge-transfer complexes with both pyridine N-oxides and aromatic solvents, affecting transition state geometry and orbital interactions. In reactions involving 3-methylpyridine N-oxide, two regioisomeric products form via a concerted mechanism, with their ratio (A/B) varying by solvent: equal in sulfolane and favoring product A in 3-methylpyridine. These findings highlight that regioselectivity is governed not only by steric and electronic factors but also by π–π stacking and charge-transfer stabilization</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{"citationItems":[{"id":"ITEM-1","itemData":{"author":[{"dropping-particle":"","family":"Nipp","given":"Douglas X. West* and Crystal A.","non-dropping-particle":"","parse-names":false,"suffix":""}],"container-title":"Transition Met. Chem.","id":"ITEM-1","issued":{"date-parts":[["1985"]]},"page":"201-206","title":"2-Amino-3-picoline N-oxide Complexes Formed from Various Copper(II) Salts","type":"article-journal","volume":"10"},"uris":["http://www.mendeley.com/documents/?uuid=5d0ebf22-3745-461f-ac2c-4b4d5a681e93"]}],"mendeley":{"formattedCitation":"[57]","plainTextFormattedCitation":"[57]","previouslyFormattedCitation":"[57]"},"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[57]</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{"citationItems":[{"id":"ITEM-1","itemData":{"id":"ITEM-1","issued":{"date-parts":[["0"]]},"title":"R P Lang, j.Am Chem. Soc. 8,520 (1958)","type":"article-journal"},"uris":["http://www.mendeley.com/documents/?uuid=dee2c131-c2e6-4eac-b2cc-b6d5287a6381"]}],"mendeley":{"formattedCitation":"[59]","plainTextFormattedCitation":"[59]","previouslyFormattedCitation":"[59]"},"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[59]</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{"citationItems":[{"id":"ITEM-1","itemData":{"id":"ITEM-1","issued":{"date-parts":[["0"]]},"title":"K.Dimroth, C. Reichardt and A.Schweig, ibid.699,95 (1963)","type":"article-journal"},"uris":["http://www.mendeley.com/documents/?uuid=199fa0c7-13e0-485e-bc38-b4eb8c7c23e3"]}],"mendeley":{"formattedCitation":"[60]","plainTextFormattedCitation":"[60]","previouslyFormattedCitation":"[60]"},"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[60]</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455BBF68">
      <w:pPr>
        <w:spacing w:line="360" w:lineRule="auto"/>
        <w:rPr>
          <w:rFonts w:hint="default" w:ascii="Times New Roman" w:hAnsi="Times New Roman" w:cs="Times New Roman"/>
          <w:b/>
          <w:bCs/>
          <w:color w:val="000000" w:themeColor="text1"/>
          <w:sz w:val="24"/>
          <w:szCs w:val="24"/>
          <w:lang w:val="en-IN"/>
        </w:rPr>
      </w:pPr>
      <w:r>
        <w:rPr>
          <w:rFonts w:hint="default" w:ascii="Times New Roman" w:hAnsi="Times New Roman" w:cs="Times New Roman"/>
          <w:b/>
          <w:bCs/>
          <w:sz w:val="24"/>
          <w:szCs w:val="24"/>
          <w:lang w:val="en-IN"/>
        </w:rPr>
        <w:t xml:space="preserve">Scheme 19: </w:t>
      </w:r>
      <w:r>
        <w:rPr>
          <w:rFonts w:hint="default" w:ascii="Times New Roman" w:hAnsi="Times New Roman" w:cs="Times New Roman"/>
          <w:b/>
          <w:bCs/>
          <w:color w:val="000000" w:themeColor="text1"/>
          <w:sz w:val="24"/>
          <w:szCs w:val="24"/>
          <w:lang w:val="en-IN"/>
        </w:rPr>
        <w:t>cycloaddition of pyridine N-oxides with phenyl isocyanate</w:t>
      </w:r>
    </w:p>
    <w:p w14:paraId="7872AB80">
      <w:pPr>
        <w:spacing w:line="360" w:lineRule="auto"/>
        <w:jc w:val="both"/>
        <w:rPr>
          <w:rFonts w:hint="default" w:ascii="Times New Roman" w:hAnsi="Times New Roman" w:cs="Times New Roman"/>
          <w:color w:val="EE0000"/>
          <w:sz w:val="24"/>
          <w:szCs w:val="24"/>
          <w:lang w:val="en-IN"/>
        </w:rPr>
      </w:pPr>
      <w:r>
        <w:rPr>
          <w:rFonts w:hint="default" w:ascii="Times New Roman" w:hAnsi="Times New Roman" w:cs="Times New Roman"/>
          <w:color w:val="EE0000"/>
          <w:sz w:val="24"/>
          <w:szCs w:val="24"/>
          <w:lang w:val="en-IN"/>
        </w:rPr>
        <w:drawing>
          <wp:inline distT="0" distB="0" distL="0" distR="0">
            <wp:extent cx="6120130" cy="2089785"/>
            <wp:effectExtent l="0" t="0" r="1270" b="5715"/>
            <wp:docPr id="1997635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35971"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20130" cy="2089785"/>
                    </a:xfrm>
                    <a:prstGeom prst="rect">
                      <a:avLst/>
                    </a:prstGeom>
                    <a:noFill/>
                    <a:ln>
                      <a:noFill/>
                    </a:ln>
                  </pic:spPr>
                </pic:pic>
              </a:graphicData>
            </a:graphic>
          </wp:inline>
        </w:drawing>
      </w:r>
    </w:p>
    <w:p w14:paraId="13568950">
      <w:pPr>
        <w:spacing w:line="360" w:lineRule="auto"/>
        <w:jc w:val="center"/>
        <w:rPr>
          <w:rFonts w:hint="default" w:ascii="Times New Roman" w:hAnsi="Times New Roman" w:cs="Times New Roman"/>
          <w:sz w:val="24"/>
          <w:szCs w:val="24"/>
        </w:rPr>
      </w:pPr>
    </w:p>
    <w:p w14:paraId="217ADDE2">
      <w:pPr>
        <w:spacing w:line="360" w:lineRule="auto"/>
        <w:jc w:val="both"/>
        <w:rPr>
          <w:rFonts w:hint="default" w:ascii="Times New Roman" w:hAnsi="Times New Roman" w:cs="Times New Roman"/>
          <w:sz w:val="24"/>
          <w:szCs w:val="24"/>
        </w:rPr>
      </w:pPr>
    </w:p>
    <w:p w14:paraId="3AB5C7B6">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25.Vicentini et al.</w:t>
      </w:r>
      <w:r>
        <w:rPr>
          <w:rFonts w:hint="default" w:ascii="Times New Roman" w:hAnsi="Times New Roman" w:cs="Times New Roman"/>
          <w:sz w:val="24"/>
          <w:szCs w:val="24"/>
          <w:lang w:val="en-IN"/>
        </w:rPr>
        <w:t xml:space="preserve"> (1992) synthesized and characterized a series of lanthanoid picrate complexes coordinated with 4-picoline-N-oxide (4-picNO), replacing most of the hydration water in previously known compounds. The complexes, with varying stoichiometries depending on the lanthanoid ion (La, Pr, Nd, Eu, Gd, Yb), were analyzed through elemental analysis, IR and UV-visible spectroscopy, conductance measurements, and thermal techniques (TG/DSC). The study revealed that coordination occurs via oxygen atoms, and the bonding is predominantly electrostatic with minimal 4f orbital participation. Thermal decomposition pathways were proposed, showing high enthalpies and explosive tendencies, especially under rapid heating. These findings underscore the stability and reactivity of such complexes, with implications for their handling and potential applications in coordination chemistry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{"citationItems":[{"id":"ITEM-1","itemData":{"DOI":"10.1016/0040-6031(92)80046-Y","ISSN":"00406031","abstract":"Complexes with compositions Ln(C6H2N3O7)3 ·3.5(4-picNO)·H2O (Ln = La, Pr), Ln(C6H2N3O7)3 ·3(4-picNO)·H2O (Ln = Nd, Eu, Gd) and Yb(C6H2N3O7)3 ·3(4-picNO)·3H2O are described and characterized. The thermal behaviour of such complexes is also reported. © 1992.","author":[{"dropping-particle":"","family":"Vicentini","given":"G.","non-dropping-particle":"","parse-names":false,"suffix":""},{"dropping-particle":"","family":"Silva","given":"E. Meira","non-dropping-particle":"Da","parse-names":false,"suffix":""},{"dropping-particle":"","family":"Matos","given":"J. R.","non-dropping-particle":"","parse-names":false,"suffix":""},{"dropping-particle":"","family":"Zinner","given":"K.","non-dropping-particle":"","parse-names":false,"suffix":""}],"container-title":"Thermochimica Acta","id":"ITEM-1","issue":"C","issued":{"date-parts":[["1992"]]},"page":"39-44","title":"Synthesis, characterization and thermal properties of some lanthanoid picrate complexes with 4-picoline-N-oxide (4-picNO)","type":"article-journal","volume":"195"},"uris":["http://www.mendeley.com/documents/?uuid=2d4f5093-2628-4b08-a376-dc7f7859a487"]}],"mendeley":{"formattedCitation":"[61]","plainTextFormattedCitation":"[61]","previouslyFormattedCitation":"[61]"},"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[61]</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r>
        <w:rPr>
          <w:rFonts w:hint="default" w:ascii="Times New Roman" w:hAnsi="Times New Roman" w:cs="Times New Roman"/>
          <w:b/>
          <w:bCs/>
          <w:sz w:val="24"/>
          <w:szCs w:val="24"/>
          <w:lang w:val="en-IN"/>
        </w:rPr>
        <w:t xml:space="preserve"> </w:t>
      </w:r>
    </w:p>
    <w:p w14:paraId="2953C5A6">
      <w:pPr>
        <w:pStyle w:val="15"/>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26.Aniela Puszko et al.</w:t>
      </w:r>
      <w:r>
        <w:rPr>
          <w:rFonts w:hint="default" w:ascii="Times New Roman" w:hAnsi="Times New Roman" w:cs="Times New Roman"/>
          <w:sz w:val="24"/>
          <w:szCs w:val="24"/>
        </w:rPr>
        <w:t xml:space="preserve"> investigated the UV-visible spectral and electronic properties of 2-iodopicolines, their N-oxides, and 2-iodo-4-nitropicoline N-oxides in ethanol. Using modified INDO calculations, they assigned electronic transitions and evaluated substituent effects on molecular orbitals, charge distribution, and dipole moments. All compounds exhibited characteristic π→π* transitions between 200–300 nm, while nitro-substituted N-oxides showed an additional charge-transfer band at 300–400 nm, arising from electron delocalization between N-oxide and nitro groups via the pyridine ring. Ortho methyl substituents modulated this interaction through steric and electrostatic effects, as reflected in calculated twist angles.</w:t>
      </w:r>
    </w:p>
    <w:p w14:paraId="0DD23C16">
      <w:pPr>
        <w:pStyle w:val="15"/>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N-oxidation elevated HOMO energies (−10.01 to −9.55 eV), whereas nitration lowered them (−10.19 eV); methyl substitution had minimal impact. Charge density analysis revealed enhanced intramolecular charge transfer in 4-nitro derivatives, correlating with their reactivity during ethanolysis. Dipole moment calculations aligned with experimental values, confirming molecular geometries. N-oxides exhibited the highest dipole moments, while nitro substitution reduced them due to opposing electron-withdrawing effects. Methyl groups at position 5 increased dipole moments by 20–25%. Upon excitation, dipole shifts ranged from 1.00–2.73 D, with nitro derivatives showing the most pronounced changes, consistent with charge-transfer behavior</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{"citationItems":[{"id":"ITEM-1","itemData":{"author":[{"dropping-particle":"","family":"Puszko","given":"Aniela","non-dropping-particle":"","parse-names":false,"suffix":""}],"id":"ITEM-1","issued":{"date-parts":[["1995"]]},"page":"1-9","title":"MOLECULAR STRUCTURE Electronic spectra and structure of 2-iodopicolines , their N-oxides and 2-iodo-4-nitropicoline N-oxides","type":"article-journal","volume":"344"},"uris":["http://www.mendeley.com/documents/?uuid=9a16247c-60cc-4a90-a25a-76428dc736cb"]}],"mendeley":{"formattedCitation":"[62]","plainTextFormattedCitation":"[62]","previouslyFormattedCitation":"[62]"},"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451C33D6">
      <w:pPr>
        <w:pStyle w:val="15"/>
        <w:spacing w:line="360" w:lineRule="auto"/>
        <w:jc w:val="both"/>
        <w:rPr>
          <w:rFonts w:hint="default" w:ascii="Times New Roman" w:hAnsi="Times New Roman" w:cs="Times New Roman"/>
          <w:sz w:val="24"/>
          <w:szCs w:val="24"/>
        </w:rPr>
      </w:pPr>
    </w:p>
    <w:p w14:paraId="54974F82">
      <w:pPr>
        <w:pStyle w:val="15"/>
        <w:spacing w:line="360" w:lineRule="auto"/>
        <w:rPr>
          <w:rFonts w:hint="default" w:ascii="Times New Roman" w:hAnsi="Times New Roman" w:cs="Times New Roman"/>
          <w:sz w:val="24"/>
          <w:szCs w:val="24"/>
        </w:rPr>
      </w:pPr>
      <w:r>
        <w:rPr>
          <w:rFonts w:hint="default" w:ascii="Times New Roman" w:hAnsi="Times New Roman" w:cs="Times New Roman"/>
          <w:sz w:val="24"/>
          <w:szCs w:val="24"/>
        </w:rPr>
        <w:object>
          <v:shape id="_x0000_i1041" o:spt="75" type="#_x0000_t75" style="height:151.35pt;width:103.35pt;" o:ole="t" filled="f" o:preferrelative="t" stroked="f" coordsize="21600,21600">
            <v:path/>
            <v:fill on="f" focussize="0,0"/>
            <v:stroke on="f" joinstyle="miter"/>
            <v:imagedata r:id="rId47" o:title=""/>
            <o:lock v:ext="edit" aspectratio="t"/>
            <w10:wrap type="none"/>
            <w10:anchorlock/>
          </v:shape>
          <o:OLEObject Type="Embed" ProgID="ChemDraw_x64.Document.6.0" ShapeID="_x0000_i1041" DrawAspect="Content" ObjectID="_1468075741" r:id="rId46">
            <o:LockedField>false</o:LockedField>
          </o:OLEObject>
        </w:object>
      </w:r>
    </w:p>
    <w:p w14:paraId="29A535F1">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27.Michael Murray et al.</w:t>
      </w:r>
      <w:r>
        <w:rPr>
          <w:rFonts w:hint="default" w:ascii="Times New Roman" w:hAnsi="Times New Roman" w:cs="Times New Roman"/>
          <w:color w:val="000000" w:themeColor="text1"/>
          <w:sz w:val="24"/>
          <w:szCs w:val="24"/>
        </w:rPr>
        <w:t xml:space="preserve"> evaluated the biological effects of three isomeric picoline N-oxides 2-, 3-, and 4-methylpyridine N-oxides as oxidized metabolites of industrial pyridine derivatives. Following a single dose (100 mg/kg) in rats, the 3- and 4-isomers significantly induced cytochrome P450 enzymes, particularly CYP2B, as confirmed by immunoblotting and increased microsomal substrate oxidation. The 2-isomer did not elevate CYP2B but upregulated CYP2E1 expression to 160–200% of control.</w:t>
      </w:r>
    </w:p>
    <w:p w14:paraId="42132223">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All three isomers enhanced aniline 4-hydroxylation, consistent with CYP2B/2E1 induction. Additionally, 3- and 4-isomers increased 4-nitrophenol 2-hydroxylation and CYP1A-mediated 7-ethylresorufin O-de-ethylation, while CYP3A-dependent androstenedione 6-hydroxylation was suppressed most notably by the 2-isomer.</w:t>
      </w:r>
    </w:p>
    <w:p w14:paraId="7E78CDDC">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Importantly, lipid peroxidation during NADPH-supported CCl₄ oxidation was elevated in microsomes from 3- and 4-isomer-treated rats, implicating CYP2B in this oxidative stress, as confirmed by inhibition with orphenadrine but not 4-methylpyrazole. These results suggest that selective induction of CYP2B and CYP2E1 by picoline N-oxides may contribute to pyridine-associated hepatotoxicity via enhanced microsomal lipid peroxidation</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{"citationItems":[{"id":"ITEM-1","itemData":{"DOI":"10.1016/S0378-4274(97)00092-1","ISSN":"03784274","PMID":"9486956","abstract":"Pyridine derivatives are widely used solvents and precursors for the synthesis of chemicals of industrial importance. Oxidized metabolites have been implicated in the observed toxicity of pyridines and are known to induce drug-metabolizing enzymes in rat liver. In this study the three isomeric picoline (methylpyridine) N-oxides, as major oxidized metabolites of 2-, 3- and 4-picoline, were evaluated as inducers of cytochrome P450 (CYP) enzymes in rat liver. After a single dose of 100 mg/kg 24 h before sacrifice the 3- and 4-isomers were effective inducers of microsomal substrate oxidations associated with the phenobarbital-inducible CYPs 2B; upregulation of CYP2B protein was confirmed by immunoblotting. In contrast, the 2-isomer did not increase CYP2B protein or activity in rat liver but CYP2E1 protein expression was upregulated by the isomers to 160-200% of control. The three chemicals increased aniline 4-hydroxylation activity in rat liver, which is consistent with induction of CYPs 2B or 2E1 and 4-nitrophenol 2-hydroxylation activity was increased in microsomal fractions from 3- and 4-picoline N-oxide-treated rats. The activities of several other CYPs were also determined and CYP1A-dependent 7-ethylresorufin O-deethylation was increased (to ~6- and 2-fold of control) by the 3- and 4-isomer, respectively, whereas the activity of CYP3A-mediated androstenedione 6β-hydroxylation was decreased by the agents-most notably by the 2-isomer. During NADPH-supported oxidation of CCl4 lipid peroxidation was increased in microsomes from 3- and 4-picoline N-oxide-pretreated rats and was modulated in vitro by the CYP2B inhibitor orphenadrine, but not by the CYP2E1 inhibitor 4-methylpyrazole. These findings establish that particular isomers of picoline N-oxide rapidly upregulate CYP2B or, to a lesser extent, CYP2E1 and implicate CYP2B in the enhanced lipid peroxidation observed in microsomes from rats treated with 3-and 4-picoline N-oxides. Such induction process may contribute to the hepatotoxicity of pyridines by enhancing the capacity for microsomal lipid peroxidation.","author":[{"dropping-particle":"","family":"Murray","given":"Michael","non-dropping-particle":"","parse-names":false,"suffix":""},{"dropping-particle":"","family":"Sefton","given":"Rachel M.","non-dropping-particle":"","parse-names":false,"suffix":""},{"dropping-particle":"","family":"Martini","given":"Robert","non-dropping-particle":"","parse-names":false,"suffix":""},{"dropping-particle":"","family":"Butler","given":"Alison M.","non-dropping-particle":"","parse-names":false,"suffix":""}],"container-title":"Toxicology Letters","id":"ITEM-1","issue":"2-3","issued":{"date-parts":[["1997"]]},"page":"195-203","title":"Induction of cytochromes P450 2B and 2E1 in rat liver by isomeric picoline N-oxides","type":"article-journal","volume":"93"},"uris":["http://www.mendeley.com/documents/?uuid=67ee9d34-474f-496e-a557-ec0c335dc65a"]}],"mendeley":{"formattedCitation":"[63]","plainTextFormattedCitation":"[63]","previouslyFormattedCitation":"[63]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{"citationItems":[{"id":"ITEM-1","itemData":{"id":"ITEM-1","issued":{"date-parts":[["0"]]},"title":"Murray, M., Ryan, A.J., 1982. Inhibition and enhancement of mixed-function oxidases by nitrogen heterocycles. Biochem. Pharmacol. 31, 3002±3005.","type":"article-journal"},"uris":["http://www.mendeley.com/documents/?uuid=d9c137c0-062b-43b2-a95f-6ede90e87c66"]}],"mendeley":{"formattedCitation":"[64]","plainTextFormattedCitation":"[64]","previouslyFormattedCitation":"[64]"},"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[64]</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{"citationItems":[{"id":"ITEM-1","itemData":{"id":"ITEM-1","issued":{"date-parts":[["0"]]},"title":"Lowry, O.H., Rosebrough, N.J., Farr, A.L., Randall, R.J., 1951. Protein measurement with the Folin phenol reagent. J. Biol. Chem. 193, 265±275.","type":"article-journal"},"uris":["http://www.mendeley.com/documents/?uuid=795c2782-ea7e-409f-9010-9fe3ed446f32"]}],"mendeley":{"formattedCitation":"[65]","plainTextFormattedCitation":"[65]","previouslyFormattedCitation":"[65]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{"citationItems":[{"id":"ITEM-1","itemData":{"id":"ITEM-1","issued":{"date-parts":[["0"]]},"title":"Murray, M., Wilkinson, C.F., Hetnarski, K., 1985. Cy tochrome P-450 and monooxygenase activity in hepatic microsomes from N-phenylimidazole-treated rats. Toxicol. Lett. 25, 191±198.","type":"article-journal"},"uris":["http://www.mendeley.com/documents/?uuid=c223232e-8ae8-4683-b971-6c2750a9235c"]}],"mendeley":{"formattedCitation":"[66]","plainTextFormattedCitation":"[66]","previouslyFormattedCitation":"[66]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[66]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0D6CFF85">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42" o:spt="75" type="#_x0000_t75" style="height:106.35pt;width:87pt;" o:ole="t" filled="f" o:preferrelative="t" stroked="f" coordsize="21600,21600">
            <v:path/>
            <v:fill on="f" focussize="0,0"/>
            <v:stroke on="f" joinstyle="miter"/>
            <v:imagedata r:id="rId49" o:title=""/>
            <o:lock v:ext="edit" aspectratio="t"/>
            <w10:wrap type="none"/>
            <w10:anchorlock/>
          </v:shape>
          <o:OLEObject Type="Embed" ProgID="ChemDraw_x64.Document.6.0" ShapeID="_x0000_i1042" DrawAspect="Content" ObjectID="_1468075742" r:id="rId48">
            <o:LockedField>false</o:LockedField>
          </o:OLEObject>
        </w:object>
      </w:r>
    </w:p>
    <w:p w14:paraId="4B4EB9E4">
      <w:pPr>
        <w:pStyle w:val="24"/>
        <w:spacing w:line="360" w:lineRule="auto"/>
        <w:ind w:left="0"/>
        <w:jc w:val="both"/>
        <w:rPr>
          <w:rFonts w:hint="default" w:ascii="Times New Roman" w:hAnsi="Times New Roman" w:eastAsia="Times New Roman" w:cs="Times New Roman"/>
          <w:b/>
          <w:bCs/>
          <w:kern w:val="0"/>
          <w:sz w:val="24"/>
          <w:szCs w:val="24"/>
          <w:lang w:val="en-IN" w:eastAsia="en-IN"/>
          <w14:ligatures w14:val="none"/>
        </w:rPr>
      </w:pPr>
      <w:r>
        <w:rPr>
          <w:rFonts w:hint="default" w:ascii="Times New Roman" w:hAnsi="Times New Roman" w:cs="Times New Roman"/>
          <w:b/>
          <w:bCs/>
          <w:sz w:val="24"/>
          <w:szCs w:val="24"/>
          <w:lang w:val="en-IN"/>
        </w:rPr>
        <w:t>28.Rodolfo Moreno-Fuquén et al.</w:t>
      </w:r>
      <w:r>
        <w:rPr>
          <w:rFonts w:hint="default" w:ascii="Times New Roman" w:hAnsi="Times New Roman" w:cs="Times New Roman"/>
          <w:sz w:val="24"/>
          <w:szCs w:val="24"/>
          <w:lang w:val="en-IN"/>
        </w:rPr>
        <w:t xml:space="preserve"> reported the crystal structure of the molecular complex 2C₆H₇NO·C₆H₆O₂, derived from 3-picoline N-oxide and hydroquinone. The formation of the complex is attributed to intermolecular hydrogen bonding between the N-oxide oxygen of 3-picoline and the hydroxyl oxygen of hydroquinone. The structure exhibits a dihedral angle of 48.16(5)° between the aromatic rings and reveals π–π stacking interactions along the  crystallographic axis. Comparative analysis highlights structural parallels with analogous hydrogen-bonded systems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{"citationItems":[{"id":"ITEM-1","itemData":{"DOI":"10.1107/S0108270197016260","ISSN":"01082701","abstract":"The title system, 2C6H7NO.C6H6O2, belongs to a series of molecular complexes formed from 3-picoline N-oxide and diverse hydrogen-bond donors. The molecular complex owes its formation to a hydrogen bond between the O atom of the N-oxide group of each 3-picoline N-oxide molecule and the O atom of an OH group of the hydroquinone molecule. The complex has a dihedral angle of 48.16(5)° between the aromatic rings and exhibits overlap between the hydroquinone and 3-picoline N-oxide molecules in the [001] direction. The structural characteristics of the title complex are compared with those of similar systems.","author":[{"dropping-particle":"","family":"Moreno-Fuquen","given":"Rodolfo","non-dropping-particle":"","parse-names":false,"suffix":""},{"dropping-particle":"","family":"Prado Gambardella","given":"Maria Teresa","non-dropping-particle":"Do","parse-names":false,"suffix":""},{"dropping-particle":"","family":"Valderrama-N","given":"Jaime","non-dropping-particle":"","parse-names":false,"suffix":""}],"container-title":"Acta Crystallographica Section C: Crystal Structure Communications","id":"ITEM-1","issue":"4","issued":{"date-parts":[["1998"]]},"page":"515-517","title":"2:1 complex of 3-picoline N-oxide and hydroquinone","type":"article-journal","volume":"54"},"uris":["http://www.mendeley.com/documents/?uuid=03b9345f-57e3-481e-9913-18ee20d434c9"]}],"mendeley":{"formattedCitation":"[67]","plainTextFormattedCitation":"[67]","previouslyFormattedCitation":"[67]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036117E6">
      <w:pPr>
        <w:spacing w:line="360" w:lineRule="auto"/>
        <w:jc w:val="center"/>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43" o:spt="75" type="#_x0000_t75" style="height:135.45pt;width:214.55pt;" o:ole="t" filled="f" o:preferrelative="t" stroked="f" coordsize="21600,21600">
            <v:path/>
            <v:fill on="f" focussize="0,0"/>
            <v:stroke on="f"/>
            <v:imagedata r:id="rId51" o:title=""/>
            <o:lock v:ext="edit" aspectratio="t"/>
            <w10:wrap type="none"/>
            <w10:anchorlock/>
          </v:shape>
          <o:OLEObject Type="Embed" ProgID="ChemDraw_x64.Document.6.0" ShapeID="_x0000_i1043" DrawAspect="Content" ObjectID="_1468075743" r:id="rId50">
            <o:LockedField>false</o:LockedField>
          </o:OLEObject>
        </w:object>
      </w:r>
    </w:p>
    <w:p w14:paraId="3D1410CF">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29.Lech Chumurzynski et al.</w:t>
      </w:r>
      <w:r>
        <w:rPr>
          <w:rFonts w:hint="default" w:ascii="Times New Roman" w:hAnsi="Times New Roman" w:cs="Times New Roman"/>
          <w:sz w:val="24"/>
          <w:szCs w:val="24"/>
          <w:lang w:val="en-IN"/>
        </w:rPr>
        <w:t xml:space="preserve"> investigated the acid–base properties of  substituted pyridine N-oxidesspecifically, 2-halo (Cl, Br, I)-4-nitropicoline N-oxides bearing methyl groups at positions 3, 5, or 6 via potentiometric titration in acetonitrile. Acid dissociation constants (pKa) of the protonated species were determined and compared with those of mono- and disubstituted analogues. Substitution effects revealed significant suppression of basicity due to the combined electron-withdrawing influence of nitro and halogen groups, yielding pKa values below 5 (maximum 5.56 for 2I-4NO₂-5PicO), in contrast to unsubstituted pyridine N-oxide (pKa = 10.04).</w:t>
      </w:r>
    </w:p>
    <w:p w14:paraId="45D5A59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Relative to carboxylic acids and phenols (pKa = 16–27), these cationic acids are markedly stronger in acetonitrile, yet weaker than mineral acids such as H₂SO₄ and HCl (pKa ≈ 7.9–8.9). The conjugate bases are thus classified as very weak, comparable to 4-nitropyridine N-oxide and 3-bromo-4-nitropyridine N-oxide. Attempts to determine cationic homoconjugation constants in acetonitrile were unsuccessful, indicating methodological limitations. These findings contribute to a deeper understanding of substituent effects on N-oxide acidity and offer predictive insights into aqueous behavior via solvent correlation models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author":[{"dropping-particle":"","family":"Kaczmarczyk","given":"Ewa","non-dropping-particle":"","parse-names":false,"suffix":""},{"dropping-particle":"","family":"Puszko","given":"Aniela","non-dropping-particle":"","parse-names":false,"suffix":""},{"dropping-particle":"","family":"Lorenc","given":"Jadwiga","non-dropping-particle":"","parse-names":false,"suffix":""},{"dropping-particle":"","family":"Chmurzynski","given":"Lech","non-dropping-particle":"","parse-names":false,"suffix":""}],"container-title":"Molecules","id":"ITEM-1","issued":{"date-parts":[["1999"]]},"page":"94-103","title":"A Study of Acid-Base Equilibria in Acetonitrile Systems of 2-Halo(Cl,Br,I)-4-nitropicoline(3,5,6) N-oxides","type":"article-journal","volume":"4"},"uris":["http://www.mendeley.com/documents/?uuid=45c46de8-92af-4d30-97d6-557f42b87b5e"]}],"mendeley":{"formattedCitation":"[68]","plainTextFormattedCitation":"[68]","previouslyFormattedCitation":"[68]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2D018BDB">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lang w:val="en-IN"/>
        </w:rPr>
        <w:t>Scheme 20: Substitution reaction</w:t>
      </w:r>
    </w:p>
    <w:p w14:paraId="70A3EFE4">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44" o:spt="75" type="#_x0000_t75" style="height:68.35pt;width:186pt;" o:ole="t" filled="f" o:preferrelative="t" stroked="f" coordsize="21600,21600">
            <v:path/>
            <v:fill on="f" focussize="0,0"/>
            <v:stroke on="f" joinstyle="miter"/>
            <v:imagedata r:id="rId53" o:title=""/>
            <o:lock v:ext="edit" aspectratio="t"/>
            <w10:wrap type="none"/>
            <w10:anchorlock/>
          </v:shape>
          <o:OLEObject Type="Embed" ProgID="ChemDraw_x64.Document.6.0" ShapeID="_x0000_i1044" DrawAspect="Content" ObjectID="_1468075744" r:id="rId52">
            <o:LockedField>false</o:LockedField>
          </o:OLEObject>
        </w:object>
      </w:r>
    </w:p>
    <w:p w14:paraId="7FF3C49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t>In these equations B stands for an N-oxide molecule and SH for an acetonitrile molecule, the latter being an aprotic polar solvent of weak amphiprotic properties.</w:t>
      </w:r>
    </w:p>
    <w:p w14:paraId="483045DA">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30. Kyo Chul Lee et al.</w:t>
      </w:r>
      <w:r>
        <w:rPr>
          <w:rFonts w:hint="default" w:ascii="Times New Roman" w:hAnsi="Times New Roman" w:cs="Times New Roman"/>
          <w:sz w:val="24"/>
          <w:szCs w:val="24"/>
          <w:lang w:val="en-IN"/>
        </w:rPr>
        <w:t xml:space="preserve"> report an efficient two-step synthetic strategy for the preparation of fluoromethylpyridyl-substituted amines, designed for incorporation of the short-lived positron-emitting radionuclide fluorine-18 (t₁/₂ = 110 min). The sequence involves nucleophilic fluorination of methanesulfonate (mesylate) derivatives of 6-chloro-α-hydroxy-2- and -3-picolines, followed by N-arylation with chloropicoline. This tandem process, termed </w:t>
      </w:r>
      <w:r>
        <w:rPr>
          <w:rFonts w:hint="default" w:ascii="Times New Roman" w:hAnsi="Times New Roman" w:cs="Times New Roman"/>
          <w:i/>
          <w:iCs/>
          <w:sz w:val="24"/>
          <w:szCs w:val="24"/>
          <w:lang w:val="en-IN"/>
        </w:rPr>
        <w:t>fluorination–N-arylation</w:t>
      </w:r>
      <w:r>
        <w:rPr>
          <w:rFonts w:hint="default" w:ascii="Times New Roman" w:hAnsi="Times New Roman" w:cs="Times New Roman"/>
          <w:sz w:val="24"/>
          <w:szCs w:val="24"/>
          <w:lang w:val="en-IN"/>
        </w:rPr>
        <w:t>, was demonstrated using 1-phenylpiperazine as a model substrate.</w:t>
      </w:r>
    </w:p>
    <w:p w14:paraId="7EF4959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Two key intermediates were synthesized: the 2-picoline-derived mesylate in four steps from 6-chloro-2-picoline (78% overall yield), and the 3-picoline-derived mesylate in three steps from 6-chloronicotinic acid. The fluorination step proceeds via fluoride ion displacement under mild conditions, enabling rapid and selective introduction of the fluoromethyl group. Subsequent arylation affords structurally diverse pyridyl-substituted amines suitable for radiolabeling.</w:t>
      </w:r>
    </w:p>
    <w:p w14:paraId="081B69B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methodology offers a robust and scalable platform for the synthesis of fluorine-18 labeled amine derivatives, with potential applications in positron emission tomography (PET) imaging and radiopharmaceutical development. The operational simplicity, high efficiency, and compatibility with short-lived isotopes underscore its value in medicinal and diagnostic chemistry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{"citationItems":[{"id":"ITEM-1","itemData":{"DOI":"https://doi.org/10.1021/jo990994f","author":[{"dropping-particle":"","family":"Kyo Chul Lee","given":"Dae Yoon Chi","non-dropping-particle":"","parse-names":false,"suffix":""}],"container-title":"J. Org. Chem.","id":"ITEM-1","issue":"23","issued":{"date-parts":[["1999"]]},"page":"8576–8581","title":"An Efficient Synthesis of (Fluoromethyl)pyridylamines for Labeling with Fluorine-18","type":"article-journal","volume":"64"},"uris":["http://www.mendeley.com/documents/?uuid=8fd4bd62-064c-456f-a0e4-3ede9c398118"]}],"mendeley":{"formattedCitation":"[69]","plainTextFormattedCitation":"[69]","previouslyFormattedCitation":"[69]"},"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[69]</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1EB38399">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 xml:space="preserve">Scheme 21: Nucleophilic substitution  </w:t>
      </w:r>
    </w:p>
    <w:p w14:paraId="67CC508F">
      <w:pPr>
        <w:spacing w:line="360" w:lineRule="auto"/>
        <w:jc w:val="both"/>
        <w:rPr>
          <w:rFonts w:hint="default" w:ascii="Times New Roman" w:hAnsi="Times New Roman" w:cs="Times New Roman"/>
          <w:sz w:val="24"/>
          <w:szCs w:val="24"/>
          <w:lang w:val="en-IN"/>
        </w:rPr>
      </w:pPr>
    </w:p>
    <w:p w14:paraId="243B5ED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drawing>
          <wp:inline distT="0" distB="0" distL="0" distR="0">
            <wp:extent cx="3965575" cy="1770380"/>
            <wp:effectExtent l="0" t="0" r="0" b="0"/>
            <wp:docPr id="14088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99912"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972993" cy="1773469"/>
                    </a:xfrm>
                    <a:prstGeom prst="rect">
                      <a:avLst/>
                    </a:prstGeom>
                    <a:noFill/>
                    <a:ln>
                      <a:noFill/>
                    </a:ln>
                  </pic:spPr>
                </pic:pic>
              </a:graphicData>
            </a:graphic>
          </wp:inline>
        </w:drawing>
      </w:r>
    </w:p>
    <w:p w14:paraId="4D32B65C">
      <w:pPr>
        <w:spacing w:line="360" w:lineRule="auto"/>
        <w:jc w:val="both"/>
        <w:rPr>
          <w:rFonts w:hint="default" w:ascii="Times New Roman" w:hAnsi="Times New Roman" w:cs="Times New Roman"/>
          <w:b/>
          <w:bCs/>
          <w:sz w:val="24"/>
          <w:szCs w:val="24"/>
          <w:lang w:val="en-IN"/>
        </w:rPr>
      </w:pPr>
    </w:p>
    <w:p w14:paraId="4558BFF7">
      <w:pPr>
        <w:pStyle w:val="24"/>
        <w:spacing w:line="360" w:lineRule="auto"/>
        <w:ind w:left="0"/>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31. M. Ramkrishna et al.</w:t>
      </w:r>
      <w:r>
        <w:rPr>
          <w:rFonts w:hint="default" w:ascii="Times New Roman" w:hAnsi="Times New Roman" w:cs="Times New Roman"/>
          <w:sz w:val="24"/>
          <w:szCs w:val="24"/>
          <w:lang w:val="en-IN"/>
        </w:rPr>
        <w:t xml:space="preserve"> report a sustainable and efficient protocol for the selective mono-N-oxidation of heterocycles, particularly substituted pyrazines and pyridines, using 30% aqueous H₂O₂ as a green oxidant in the presence of redox-active molecular sieves (TS-1, Ti–ZSM-5(30), Ti–MCM-41). Among these, TS-1 (Si/Ti = 33) exhibited superior catalytic activity and selectivity, especially in aqueous media and in the presence of electron-withdrawing substituents, except for cyano derivatives. The methodology is operationally simple, employs reusable solid catalysts (5 wt.%), and generates water as the sole by-product, underscoring its eco-friendly nature and practical applicability for scalable N-oxide synthesis</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{"citationItems":[{"id":"ITEM-1","itemData":{"DOI":"10.1016/S1381-1169(02)00059-6","ISSN":"13811169","abstract":"The present work envisages an eco-friendly route for N-oxidation of heterocycles and selective mono N-oxidation of substituted pyrazines in good yields using 30% dilute H2O2 as an oxidant together with redox molecular sieves (TS-1, Ti-ZSM-5 (30), Ti-MCM-41) as catalysts in aqueous and non-aqueous medium as solvent. The TS-1 catalyst is shown good activity and selectivity in N-oxidation of substituted pyridines and pyrazines except -cyano substituted pyridines and pyrazines. The activity has been enhanced with TS-1 catalyst in aqueous medium in comparison with non-aqueous medium as solvent when electron-withdrawing groups are present. The solid catalysts displayed consistent activity for several cycles. © 2002 Elsevier Science B.V. All rights reserved.","author":[{"dropping-particle":"","family":"Ramakrishna Prasad","given":"M.","non-dropping-particle":"","parse-names":false,"suffix":""},{"dropping-particle":"","family":"Kamalakar","given":"G.","non-dropping-particle":"","parse-names":false,"suffix":""},{"dropping-particle":"","family":"Madhavi","given":"G.","non-dropping-particle":"","parse-names":false,"suffix":""},{"dropping-particle":"","family":"Kulkarni","given":"S. J.","non-dropping-particle":"","parse-names":false,"suffix":""},{"dropping-particle":"V.","family":"Raghavan","given":"K.","non-dropping-particle":"","parse-names":false,"suffix":""}],"container-title":"Journal of Molecular Catalysis A: Chemical","id":"ITEM-1","issue":"1-2","issued":{"date-parts":[["2002"]]},"page":"109-120","title":"An efficient synthesis of heterocyclic N-oxides over molecular sieve catalysts","type":"article-journal","volume":"186"},"uris":["http://www.mendeley.com/documents/?uuid=57d69cdd-8c72-4502-8fe8-4aab5add0914"]}],"mendeley":{"formattedCitation":"[70]","plainTextFormattedCitation":"[70]","previouslyFormattedCitation":"[70]"},"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[70]</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344D8F06">
      <w:pPr>
        <w:pStyle w:val="24"/>
        <w:spacing w:line="360" w:lineRule="auto"/>
        <w:ind w:left="0"/>
        <w:jc w:val="both"/>
        <w:rPr>
          <w:rFonts w:hint="default" w:ascii="Times New Roman" w:hAnsi="Times New Roman" w:cs="Times New Roman"/>
          <w:b/>
          <w:bCs/>
          <w:sz w:val="24"/>
          <w:szCs w:val="24"/>
          <w:lang w:val="en-IN"/>
        </w:rPr>
      </w:pPr>
    </w:p>
    <w:p w14:paraId="306E008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32. Franz A. Mautner et al.</w:t>
      </w:r>
      <w:r>
        <w:rPr>
          <w:rFonts w:hint="default" w:ascii="Times New Roman" w:hAnsi="Times New Roman" w:cs="Times New Roman"/>
          <w:sz w:val="24"/>
          <w:szCs w:val="24"/>
          <w:lang w:val="en-IN"/>
        </w:rPr>
        <w:t xml:space="preserve"> report the synthesis and structural characterization of three novel one-dimensional polymeric azido complexes: Zn(N₃)₂(pyNO)(H₂O)₂, Zn(N₃)₂(3picNO)₂(H₂O)₂, and Cd(N₃)₂(3picNO)₂(H₂O)₂. X-ray crystallography reveals that all complexes feature trans-[M(N₃)₂(H₂O)₂]ₙ chains stabilized by noncoordinated pyridine-N-oxide or 3-picoline-N-oxide molecules. In Zn(N₃)₂(pyNO)(H₂O)₂, the pyNO ligand remains uncoordinated, forming three hydrogen bonds with adjacent aqua ligands, while the metal center adopts a distorted octahedral geometry via double end-on azido bridges.</w:t>
      </w:r>
    </w:p>
    <w:p w14:paraId="07162245">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Complexes containing 3-picNO are isomorphous, with each ligand forming two hydrogen bonds. The azido groups exhibit asymmetric bridging (μ-1,1), and the Zn–Zn and Cd–Cd separations fall within expected ranges for such architectures. IR spectroscopy supports the structural findings, with characteristic ν_as(N₃) and δ_s(N₃) bands indicating vibrational coupling and hydrogen bonding effects.</w:t>
      </w:r>
    </w:p>
    <w:p w14:paraId="0A32439E">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results demonstrate the structural versatility of pyridine-N-oxide derivatives in stabilizing azido-bridged metal chains and highlight the influence of ligand substitution on hydrogen bonding and coordination geometry. The study expands the understanding of azido coordination polymers and their supramolecular assembly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{"citationItems":[{"id":"ITEM-1","itemData":{"DOI":"10.1007/s00706-003-0066-5","ISSN":"00269247","abstract":"The interaction of pyridine-N-oxide (pyNO) and 3-picoline-N-oxide (3picNO) with zinc(II) and cadmiura(II) azides afforded complexes with empirical formulae Zn(N3)2(pyNO)(H2O)2, Zn(N3)2(3picNO)2(H2O)2 and Cd(N3)2(3picNO)2(H2O) 2. The IR spectra of these complexes are measured and discussed. X-Ray single crystal diffraction showed for the first complex, which should be formulated as {[Zn(N3)2(H2O) 2](pyNO)}n, to consist of 1D chains of trans-[Zn(N 3)2(H2O)2]n, double end-on (μ-1,1) azido bridges and noncoordinated pyNO molecules. The other two complexes are isomorphous containing 1D trans-[M(N3) 2(H2O)2]n, double (μ-1,1) azido bridges, and hydrogen bonded noncoordinated 3picNO molecules. Each pyridine-N-oxide molecule forms three hydrogen bonds, whereas the 3-picoline-N-oxides form two hydrogen bonds. The metal centers exhibit distorted octahedral geometry.","author":[{"dropping-particle":"","family":"Mautner","given":"Franz A.","non-dropping-particle":"","parse-names":false,"suffix":""},{"dropping-particle":"","family":"Gspan","given":"Christian","non-dropping-particle":"","parse-names":false,"suffix":""},{"dropping-particle":"","family":"Goher","given":"Mohamed A.S.","non-dropping-particle":"","parse-names":false,"suffix":""},{"dropping-particle":"","family":"Abu-Youssef","given":"Morsy A.M.","non-dropping-particle":"","parse-names":false,"suffix":""}],"container-title":"Monatshefte fur Chemie","id":"ITEM-1","issue":"10","issued":{"date-parts":[["2003"]]},"page":"1311-1320","title":"Three New 1D Polymeric Zinc(II) and Cadmium(II) Azido Complexes Containing Noncoordinated Pyridine-N-oxide or 3-Picoline-N-oxide","type":"article-journal","volume":"134"},"uris":["http://www.mendeley.com/documents/?uuid=eff021de-cd31-4937-95a0-986c68f686d2"]}],"mendeley":{"formattedCitation":"[71]","plainTextFormattedCitation":"[71]","previouslyFormattedCitation":"[71]"},"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[71]</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25C7D741">
      <w:pPr>
        <w:tabs>
          <w:tab w:val="left" w:pos="426"/>
        </w:tabs>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33</w:t>
      </w:r>
      <w:r>
        <w:rPr>
          <w:rFonts w:hint="default" w:ascii="Times New Roman" w:hAnsi="Times New Roman" w:cs="Times New Roman"/>
          <w:color w:val="000000" w:themeColor="text1"/>
          <w:sz w:val="24"/>
          <w:szCs w:val="24"/>
          <w:lang w:val="en-IN"/>
        </w:rPr>
        <w:t xml:space="preserve">.Deoxygenation of N-Oxides with Triphenylphosphine Catalyzed by Dichlorodioxomolybdenum(VI) </w:t>
      </w:r>
      <w:r>
        <w:rPr>
          <w:rFonts w:hint="default" w:ascii="Times New Roman" w:hAnsi="Times New Roman" w:cs="Times New Roman"/>
          <w:b/>
          <w:bCs/>
          <w:color w:val="000000" w:themeColor="text1"/>
          <w:sz w:val="24"/>
          <w:szCs w:val="24"/>
          <w:lang w:val="en-IN"/>
        </w:rPr>
        <w:t>Sanz et al</w:t>
      </w:r>
      <w:r>
        <w:rPr>
          <w:rFonts w:hint="default" w:ascii="Times New Roman" w:hAnsi="Times New Roman" w:cs="Times New Roman"/>
          <w:color w:val="000000" w:themeColor="text1"/>
          <w:sz w:val="24"/>
          <w:szCs w:val="24"/>
          <w:lang w:val="en-IN"/>
        </w:rPr>
        <w:t>. report a chemoselective protocol for the deoxygenation of heteroaromatic c N-oxides under mild conditions, employing triphenylphosphine (PPh₃) as an oxygen acceptor and dichlorodioxomolybdenum(VI) [MoO₂Cl₂] as catalyst. The method demonstrates efficient oxo-transfer catalysis, affording complete conversion to the corresponding amines in common solvents. The authors highlight the superior reactivity observed in THF, likely attributed to enhanced solubility of the catalytic species. This strategy provides a practical and selective alternative to existing deoxygenation methods, with broad applicability in heterocyclic synthesis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{"citationItems":[{"id":"ITEM-1","itemData":{"DOI":"10.1055/s-2005-868504","author":[{"dropping-particle":"","family":"Robert Sanz, Jaime Escribano, Yolanda Fernandez","given":"Rafael Aguado","non-dropping-particle":"","parse-names":false,"suffix":""}],"container-title":"Synlett 2005","id":"ITEM-1","issued":{"date-parts":[["2005"]]},"page":"1389-1392","title":"Deoxygenation of N-oxides with Triphenylphosphine, Catalyzed by Dichlorodioxomolybdenum(VI)","type":"article-journal","volume":"9"},"uris":["http://www.mendeley.com/documents/?uuid=94cf4cf0-bc5d-4fe8-8e42-a0dd3a6f811e"]}],"mendeley":{"formattedCitation":"[72]","plainTextFormattedCitation":"[72]","previouslyFormattedCitation":"[72]"},"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[72]</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7E998C9C">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Scheme 22 :Deoxygenation of N-oxides</w:t>
      </w:r>
    </w:p>
    <w:p w14:paraId="63B43F1F">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45" o:spt="75" type="#_x0000_t75" style="height:97.35pt;width:285pt;" o:ole="t" filled="f" o:preferrelative="t" stroked="f" coordsize="21600,21600">
            <v:path/>
            <v:fill on="f" focussize="0,0"/>
            <v:stroke on="f" joinstyle="miter"/>
            <v:imagedata r:id="rId56" o:title=""/>
            <o:lock v:ext="edit" aspectratio="t"/>
            <w10:wrap type="none"/>
            <w10:anchorlock/>
          </v:shape>
          <o:OLEObject Type="Embed" ProgID="ChemDraw_x64.Document.6.0" ShapeID="_x0000_i1045" DrawAspect="Content" ObjectID="_1468075745" r:id="rId55">
            <o:LockedField>false</o:LockedField>
          </o:OLEObject>
        </w:object>
      </w:r>
    </w:p>
    <w:p w14:paraId="2F4E2C32">
      <w:pPr>
        <w:spacing w:line="360" w:lineRule="auto"/>
        <w:jc w:val="both"/>
        <w:rPr>
          <w:rFonts w:hint="default" w:ascii="Times New Roman" w:hAnsi="Times New Roman" w:cs="Times New Roman"/>
          <w:b/>
          <w:bCs/>
          <w:sz w:val="24"/>
          <w:szCs w:val="24"/>
          <w:lang w:val="en-IN"/>
        </w:rPr>
      </w:pPr>
    </w:p>
    <w:p w14:paraId="7F1B842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34. Ijuin et al.</w:t>
      </w:r>
      <w:r>
        <w:rPr>
          <w:rFonts w:hint="default" w:ascii="Times New Roman" w:hAnsi="Times New Roman" w:cs="Times New Roman"/>
          <w:sz w:val="24"/>
          <w:szCs w:val="24"/>
          <w:lang w:val="en-IN"/>
        </w:rPr>
        <w:t xml:space="preserve"> designed and synthesized a novel class of L-amino acids incorporating pyridine moieties to evaluate their inhibitory potential against human nitric oxide synthase (NOS) isozymes. Among the synthesized analogs, the 2-aminopyridine-based derivative exhibited potent and broad-spectrum inhibition across all NOS isoforms, attributed to favorable hydrogen bonding and electrostatic interactions within the active site. In contrast, regioisomers with substitutions at the 4- and 5-positions, as well as derivatives containing 2-methylpyridine or sulfonyl linkers, showed markedly reduced activity, highlighting the critical role of amino group positioning for effective binding. Computational docking studies corroborated these findings, demonstrating that optimal orientation of the amidino moiety and pyridine nitrogen enhances interaction with key residues such as Glu377 and Arg388. These results underscore the importance of precise structural features in modulating NOS inhibition and suggest that 2-aminopyridine-based L-amino acids serve as promising scaffolds for future development of selective NOS inhibitors.</w:t>
      </w:r>
      <w:r>
        <w:rPr>
          <w:rFonts w:hint="default" w:ascii="Times New Roman" w:hAnsi="Times New Roman" w:eastAsia="Times New Roman" w:cs="Times New Roman"/>
          <w:b/>
          <w:bCs/>
          <w:kern w:val="0"/>
          <w:sz w:val="24"/>
          <w:szCs w:val="24"/>
          <w:lang w:val="en-IN" w:eastAsia="en-IN"/>
          <w14:ligatures w14:val="none"/>
        </w:rPr>
        <w:t xml:space="preserve"> </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{"citationItems":[{"id":"ITEM-1","itemData":{"DOI":"10.1016/j.bmc.2006.01.020","ISSN":"09680896","PMID":"16466923","abstract":"New amino acids 7-12 were designed and synthesized as candidate inhibitors of human nitric oxide synthase (NOS). The 2-aminopyridine-containing l-amino acids 8 had potent inhibitory activity toward all of the human NOS isozymes. However, the regioisomers 9 and 10, and 2-methylpyridine-containing compound 11 had much lower inhibitory activity. Human NOS isozymes were also inhibited by 7, which lacks an amino group on the pyridine moiety. A computational docking study was carried out to investigate the mechanism of the inhibitory effect. © 2006 Elsevier Ltd. All rights reserved.","author":[{"dropping-particle":"","family":"Ijuin","given":"Ryosuke","non-dropping-particle":"","parse-names":false,"suffix":""},{"dropping-particle":"","family":"Umezawa","given":"Naoki","non-dropping-particle":"","parse-names":false,"suffix":""},{"dropping-particle":"","family":"Higuchi","given":"Tsunehiko","non-dropping-particle":"","parse-names":false,"suffix":""}],"container-title":"Bioorganic and Medicinal Chemistry","id":"ITEM-1","issue":"10","issued":{"date-parts":[["2006"]]},"page":"3563-3570","title":"Design, synthesis, and evaluation of new type of l-amino acids containing pyridine moiety as nitric oxide synthase inhibitor","type":"article-journal","volume":"14"},"uris":["http://www.mendeley.com/documents/?uuid=2d0c0811-568f-429d-8dc0-da1e119555bd"]}],"mendeley":{"formattedCitation":"[73]","plainTextFormattedCitation":"[73]","previouslyFormattedCitation":"[73]"},"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[73]</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 xml:space="preserve">. </w:t>
      </w:r>
    </w:p>
    <w:p w14:paraId="733487D6">
      <w:pPr>
        <w:spacing w:line="360" w:lineRule="auto"/>
        <w:jc w:val="both"/>
        <w:rPr>
          <w:rFonts w:hint="default" w:ascii="Times New Roman" w:hAnsi="Times New Roman" w:cs="Times New Roman"/>
          <w:sz w:val="24"/>
          <w:szCs w:val="24"/>
          <w:lang w:val="en-IN"/>
        </w:rPr>
      </w:pPr>
    </w:p>
    <w:p w14:paraId="1ED1B6B0">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46" o:spt="75" type="#_x0000_t75" style="height:67.65pt;width:249.65pt;" o:ole="t" filled="f" o:preferrelative="t" stroked="f" coordsize="21600,21600">
            <v:path/>
            <v:fill on="f" focussize="0,0"/>
            <v:stroke on="f" joinstyle="miter"/>
            <v:imagedata r:id="rId58" o:title=""/>
            <o:lock v:ext="edit" aspectratio="t"/>
            <w10:wrap type="none"/>
            <w10:anchorlock/>
          </v:shape>
          <o:OLEObject Type="Embed" ProgID="ChemDraw_x64.Document.6.0" ShapeID="_x0000_i1046" DrawAspect="Content" ObjectID="_1468075746" r:id="rId57">
            <o:LockedField>false</o:LockedField>
          </o:OLEObject>
        </w:object>
      </w:r>
    </w:p>
    <w:p w14:paraId="3D1C2AC3">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2-aminopyridinyl-thio-L-amino acid</w:t>
      </w:r>
    </w:p>
    <w:p w14:paraId="75480996">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35.Hans Andersson et al.</w:t>
      </w:r>
      <w:r>
        <w:rPr>
          <w:rFonts w:hint="default" w:ascii="Times New Roman" w:hAnsi="Times New Roman" w:cs="Times New Roman"/>
          <w:color w:val="000000" w:themeColor="text1"/>
          <w:sz w:val="24"/>
          <w:szCs w:val="24"/>
          <w:lang w:val="en-IN"/>
        </w:rPr>
        <w:t xml:space="preserve"> report a highly efficient and stereo-defined method for synthesizing substituted di-enal oximes through the direct addition of Grignard reagents to pyridine N-oxides under mild conditions. This transformation proceeds rapidly and affords the desired olefinic oximes in good to excellent yields, with precise control over stereochemistry.</w:t>
      </w:r>
    </w:p>
    <w:p w14:paraId="67A4ABC3">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The methodology offers a streamlined approach to constructing functionalized olefins, which are valuable both as bioactive scaffolds and as versatile intermediates in complex molecule synthesis. The use of pyridine N-oxides as electrophilic partners enhances reactivity and selectivity, enabling the formation of structurally defined products without the need for harsh conditions or extensive purification.</w:t>
      </w:r>
    </w:p>
    <w:p w14:paraId="335E43D0">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color w:val="000000" w:themeColor="text1"/>
          <w:sz w:val="24"/>
          <w:szCs w:val="24"/>
          <w:lang w:val="en-IN"/>
        </w:rPr>
        <w:t>This protocol expands the synthetic utility of N-oxide chemistry and demonstrates the potential of Grignard reagents in stereo controlled C–C bond formation. The resulting di-enal oximes may serve as precursors for further elaboration in medicinal chemistry, agrochemical development, or materials science, underscoring the broad applicability of this strategy in modern organic synthesis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{"citationItems":[{"id":"ITEM-1","itemData":{"DOI":"https://doi.org/10.1016/j.tetlet.2007.07.161","author":[{"dropping-particle":"","family":"Andersson","given":"Hans Xiaoyang Wang","non-dropping-particle":"","parse-names":false,"suffix":""},{"dropping-particle":"","family":"Björklund","given":"Mikael","non-dropping-particle":"","parse-names":false,"suffix":""},{"dropping-particle":"","family":"Olsson","given":"Roger","non-dropping-particle":"","parse-names":false,"suffix":""}],"container-title":"Tetrahedron","id":"ITEM-1","issue":"39","issued":{"date-parts":[["2007"]]},"page":"6941-6944","title":"Reaction of pyridine N-oxides with Grignard reagents: a stereodefined synthesis of substituted dienal oximes Author links open overlay panel","type":"article-journal","volume":"48"},"uris":["http://www.mendeley.com/documents/?uuid=858fc8b4-8415-4a31-915a-03316dc5fbbf"]}],"mendeley":{"formattedCitation":"[74]","plainTextFormattedCitation":"[74]","previouslyFormattedCitation":"[74]"},"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[74]</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r>
        <w:rPr>
          <w:rFonts w:hint="default" w:ascii="Times New Roman" w:hAnsi="Times New Roman" w:cs="Times New Roman"/>
          <w:b/>
          <w:bCs/>
          <w:sz w:val="24"/>
          <w:szCs w:val="24"/>
          <w:lang w:val="en-IN"/>
        </w:rPr>
        <w:t xml:space="preserve"> </w:t>
      </w:r>
    </w:p>
    <w:p w14:paraId="425C5296">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23: </w:t>
      </w:r>
      <w:r>
        <w:rPr>
          <w:rFonts w:hint="default" w:ascii="Times New Roman" w:hAnsi="Times New Roman" w:cs="Times New Roman"/>
          <w:b/>
          <w:bCs/>
          <w:color w:val="000000" w:themeColor="text1"/>
          <w:sz w:val="24"/>
          <w:szCs w:val="24"/>
          <w:lang w:val="en-IN"/>
        </w:rPr>
        <w:t>Direct addition of Grignard reagents</w:t>
      </w:r>
      <w:r>
        <w:rPr>
          <w:rFonts w:hint="default" w:ascii="Times New Roman" w:hAnsi="Times New Roman" w:cs="Times New Roman"/>
          <w:color w:val="000000" w:themeColor="text1"/>
          <w:sz w:val="24"/>
          <w:szCs w:val="24"/>
          <w:lang w:val="en-IN"/>
        </w:rPr>
        <w:t xml:space="preserve"> </w:t>
      </w:r>
    </w:p>
    <w:p w14:paraId="6AD91E07">
      <w:pPr>
        <w:spacing w:line="360" w:lineRule="auto"/>
        <w:jc w:val="both"/>
        <w:rPr>
          <w:rFonts w:hint="default" w:ascii="Times New Roman" w:hAnsi="Times New Roman" w:cs="Times New Roman"/>
          <w:color w:val="000000" w:themeColor="text1"/>
          <w:sz w:val="24"/>
          <w:szCs w:val="24"/>
          <w:lang w:val="en-IN"/>
        </w:rPr>
      </w:pPr>
    </w:p>
    <w:p w14:paraId="2661F512">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sz w:val="24"/>
          <w:szCs w:val="24"/>
        </w:rPr>
        <w:drawing>
          <wp:inline distT="0" distB="0" distL="0" distR="0">
            <wp:extent cx="3185160" cy="1264920"/>
            <wp:effectExtent l="0" t="0" r="0" b="0"/>
            <wp:docPr id="949983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83598"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187336" cy="1265758"/>
                    </a:xfrm>
                    <a:prstGeom prst="rect">
                      <a:avLst/>
                    </a:prstGeom>
                    <a:noFill/>
                    <a:ln>
                      <a:noFill/>
                    </a:ln>
                  </pic:spPr>
                </pic:pic>
              </a:graphicData>
            </a:graphic>
          </wp:inline>
        </w:drawing>
      </w:r>
    </w:p>
    <w:p w14:paraId="17037734">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36.Zukerman-Schpector et al.</w:t>
      </w:r>
      <w:r>
        <w:rPr>
          <w:rFonts w:hint="default" w:ascii="Times New Roman" w:hAnsi="Times New Roman" w:cs="Times New Roman"/>
          <w:color w:val="000000" w:themeColor="text1"/>
          <w:sz w:val="24"/>
          <w:szCs w:val="24"/>
          <w:lang w:val="en-IN"/>
        </w:rPr>
        <w:t xml:space="preserve"> report the synthesis and characterization of two 1:1 hydrogen-bonded co-crystals formed between 2,4,6-trinitrophenol (picric acid) and 4-methylmorpholine-N-oxide  or 3-picoline-N-oxide. Single-crystal X-ray diffraction revealed well-defined packing motifs comprising cation–anion pairs stabilized by hydrogen bonding through nitro and phenolate oxygen atoms. </w:t>
      </w:r>
    </w:p>
    <w:p w14:paraId="7B00BA30">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Semi-empirical (AM1) and DFT/B3LYP(6-31G) calculations were employed to evaluate the (hyper)polarizabilities of both crystallographic and optimized geometries. The scalar properties α and γ exhibited consistent trends across both methods, while β- being vectorial- showed irregular variation with geometry optimization. Notably, β values for the complexes exceeded the additive contributions of individual components, indicating significant electrostatic enhancement without substantial charge transfer.</w:t>
      </w:r>
    </w:p>
    <w:p w14:paraId="65F3BB65">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t>These findings underscore the utility of picric acid as a supramolecular scaffold for designing nonlinear optical (NLO) materials. The congruence between AM1 and DFT results suggests that AM1 may serve as a cost-effective preliminary screening tool for NLO candidates prior to high-level computational refinement</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{"citationItems":[{"id":"ITEM-1","itemData":{"DOI":"10.1524/zkri.2007.222.8.427","ISSN":"00442968","abstract":"(1) C6H2N3O7-·C5H12NO2+, Mr = 346.26, P21/c, a = 7.2356(6), b = 10.5765(9), c = 19.593(2) Å, β = 95.101(6)°, V = 1493.5(2) Å3, Z = 4, R1 = 0.0414; (2) C6H2N3O7-·C6H8NO+, Mr = 338.24, P21/n, a = 7.8713(5), b = 6.1979(7), c = 28.697(3) Å, β = 90.028(7)°, V= 1400.0(2) Å3, Z = 4, R1 = 0.0416. The packing units in both compounds consist of hydrogen bonded cation-anion pairs. The (hyper)polarizabilities have been calculated for the crystallographic and optimized molecules, by AM1 and at the DFT/B3LYP(6-31G**) level. © by Oldenbourg Wissenschaftsverlag.","author":[{"dropping-particle":"","family":"Zukerman-Schpector","given":"Julio","non-dropping-particle":"","parse-names":false,"suffix":""},{"dropping-particle":"","family":"Vega-Teijido","given":"Mauricio","non-dropping-particle":"","parse-names":false,"suffix":""},{"dropping-particle":"","family":"Carvalho","given":"Cristina C.","non-dropping-particle":"","parse-names":false,"suffix":""},{"dropping-particle":"","family":"Isolani","given":"Paulo C.","non-dropping-particle":"","parse-names":false,"suffix":""},{"dropping-particle":"","family":"Caracelli","given":"Ignez","non-dropping-particle":"","parse-names":false,"suffix":""}],"container-title":"Zeitschrift fur Kristallographie","id":"ITEM-1","issue":"8","issued":{"date-parts":[["2007"]]},"page":"427-431","title":"Structure characterization of molecular complexes for non-linear optical materials. II. 1:1 complexes of 4-methyl-morpholine-N-oxide (1) and 3-picoline-N-oxide (2) with 2,4,6-trinitrophenol, studied by X-ray, AM1 and DFT calculations","type":"article-journal","volume":"222"},"uris":["http://www.mendeley.com/documents/?uuid=0f6e9b86-2845-45f2-b3e2-507c37b0538a"]}],"mendeley":{"formattedCitation":"[75]","plainTextFormattedCitation":"[75]","previouslyFormattedCitation":"[75]"},"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[75]</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52690A8D">
      <w:pPr>
        <w:spacing w:line="360" w:lineRule="auto"/>
        <w:jc w:val="center"/>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drawing>
          <wp:inline distT="0" distB="0" distL="0" distR="0">
            <wp:extent cx="3104515" cy="1398270"/>
            <wp:effectExtent l="0" t="0" r="6985" b="11430"/>
            <wp:docPr id="672879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79098"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112199" cy="1402199"/>
                    </a:xfrm>
                    <a:prstGeom prst="rect">
                      <a:avLst/>
                    </a:prstGeom>
                    <a:noFill/>
                    <a:ln>
                      <a:noFill/>
                    </a:ln>
                  </pic:spPr>
                </pic:pic>
              </a:graphicData>
            </a:graphic>
          </wp:inline>
        </w:drawing>
      </w:r>
    </w:p>
    <w:p w14:paraId="4841422F">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37. Louis-Charles Campeau et al.</w:t>
      </w:r>
      <w:r>
        <w:rPr>
          <w:rFonts w:hint="default" w:ascii="Times New Roman" w:hAnsi="Times New Roman" w:cs="Times New Roman"/>
          <w:sz w:val="24"/>
          <w:szCs w:val="24"/>
          <w:lang w:val="en-IN"/>
        </w:rPr>
        <w:t xml:space="preserve"> report a palladium-catalyzed direct arylation methodology applicable to a wide array of azine and azole N-oxides. Regioselectivity was systematically investigated for non-symmetrical azines, revealing that both ligand selection and substituent patterns critically influence regioisomeric outcomes. For azole N-oxides, arylation proceeds preferentially at the C-2 position under mild conditions, followed sequentially by C-5 and C-4 functionalization.</w:t>
      </w:r>
    </w:p>
    <w:p w14:paraId="0A94D12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strategy demonstrates broad functional group tolerance and offers a streamlined alternative to conventional cross-coupling techniques for heterobiaryl synthesis. Its synthetic utility is exemplified in the preparation of bioactive compounds, including a sodium channel inhibitor and a Tie2 tyrosine kinase inhibitor. The findings establish foundational insights into azine/azole C–H activation mechanisms and provide a platform for further mechanistic and medicinal chemistry exploration</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{"citationItems":[{"id":"ITEM-1","itemData":{"DOI":"10.1021/ja808332k","ISSN":"15205126","PMID":"19215128","abstract":"Palladium-catalyzed direct arylation reactions are described with a broad range of azine and azole W-oxides. In addition to aspects of functional group compatibility, issues of regioselectivity have been explored when nonsymmetrical azine W-oxides are used. In these cases, both the choice of ligand and the nature of the azine substituents play important roles in determining the regioisomeric distribution. When azole W-oxides are employed, preferential reaction is observed for arylation at C2 which occurs under very mild conditions. Subsequent reactions are observed to occur at C5 followed by arylation at C4. The potential utility of this methodology is illustrated by its use in the synthesis of a potent sodium channel inhibitor 1 and a Tie2 Tyrosine Kinase inhibitor 2. © 2009 American Chemical Society.","author":[{"dropping-particle":"","family":"Campeau","given":"Louis Charles","non-dropping-particle":"","parse-names":false,"suffix":""},{"dropping-particle":"","family":"Stuart","given":"David R.","non-dropping-particle":"","parse-names":false,"suffix":""},{"dropping-particle":"","family":"Leclerc","given":"Jean Philippe","non-dropping-particle":"","parse-names":false,"suffix":""},{"dropping-particle":"","family":"Bertrand-Laperle","given":"Mégan","non-dropping-particle":"","parse-names":false,"suffix":""},{"dropping-particle":"","family":"Villemure","given":"Elisia","non-dropping-particle":"","parse-names":false,"suffix":""},{"dropping-particle":"","family":"Sun","given":"Ho Yan","non-dropping-particle":"","parse-names":false,"suffix":""},{"dropping-particle":"","family":"Lasserre","given":"Sandrine","non-dropping-particle":"","parse-names":false,"suffix":""},{"dropping-particle":"","family":"Guimond","given":"Nicolas","non-dropping-particle":"","parse-names":false,"suffix":""},{"dropping-particle":"","family":"Lecavallier","given":"Melanie","non-dropping-particle":"","parse-names":false,"suffix":""},{"dropping-particle":"","family":"Fagnou","given":"Keith","non-dropping-particle":"","parse-names":false,"suffix":""}],"container-title":"Journal of the American Chemical Society","id":"ITEM-1","issue":"9","issued":{"date-parts":[["2009"]]},"page":"3291-3306","title":"Palladium-catalyzed direct arylation of azine and azole N-oxides: Reaction development, scope and applications in synthesis","type":"article-journal","volume":"131"},"uris":["http://www.mendeley.com/documents/?uuid=ab9353e1-92dd-44db-b084-df2364fda6b9"]}],"mendeley":{"formattedCitation":"[76]","plainTextFormattedCitation":"[76]","previouslyFormattedCitation":"[76]"},"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[76]</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0A27A07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Scheme 24: Palladium-catalyzed direct arylation</w:t>
      </w:r>
      <w:r>
        <w:rPr>
          <w:rFonts w:hint="default" w:ascii="Times New Roman" w:hAnsi="Times New Roman" w:cs="Times New Roman"/>
          <w:sz w:val="24"/>
          <w:szCs w:val="24"/>
          <w:lang w:val="en-IN"/>
        </w:rPr>
        <w:t xml:space="preserve"> </w:t>
      </w:r>
    </w:p>
    <w:p w14:paraId="2D4438B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object>
          <v:shape id="_x0000_i1047" o:spt="75" type="#_x0000_t75" style="height:164.35pt;width:453.65pt;" o:ole="t" filled="f" o:preferrelative="t" stroked="f" coordsize="21600,21600">
            <v:path/>
            <v:fill on="f" focussize="0,0"/>
            <v:stroke on="f" joinstyle="miter"/>
            <v:imagedata r:id="rId62" o:title=""/>
            <o:lock v:ext="edit" aspectratio="t"/>
            <w10:wrap type="none"/>
            <w10:anchorlock/>
          </v:shape>
          <o:OLEObject Type="Embed" ProgID="ChemDraw_x64.Document.6.0" ShapeID="_x0000_i1047" DrawAspect="Content" ObjectID="_1468075747" r:id="rId61">
            <o:LockedField>false</o:LockedField>
          </o:OLEObject>
        </w:object>
      </w:r>
    </w:p>
    <w:p w14:paraId="4314FCA5">
      <w:pPr>
        <w:tabs>
          <w:tab w:val="left" w:pos="426"/>
        </w:tabs>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38. V.N. Kalevaru et al.</w:t>
      </w:r>
      <w:r>
        <w:rPr>
          <w:rFonts w:hint="default" w:ascii="Times New Roman" w:hAnsi="Times New Roman" w:cs="Times New Roman"/>
          <w:sz w:val="24"/>
          <w:szCs w:val="24"/>
          <w:lang w:val="en-IN"/>
        </w:rPr>
        <w:t xml:space="preserve"> synthesized a series of titania-supported vanadium phosphorus oxide (VPO) catalysts with varying VPO loadings (5–50 wt%) and evaluated their performance in the selective ammoxidation of 3-picoline to nicotinonitrile . Characterization via ICP-OES, TG/DTA, BET, XRD, FTIR (Py-ads), and XPS confirmed the formation of the active (VO)₂P₂O₇ phase and revealed a correlation between VPO content, surface acidity, and catalytic behavior. FTIR studies indicated the presence of both Lewis and Brønsted acid sites, with optimal proportions observed at 20 wt% VPO loading.</w:t>
      </w:r>
    </w:p>
    <w:p w14:paraId="172D24F4">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Catalytic testing in a fixed-bed reactor demonstrated superior activity and selectivity for supported catalysts compared to bulk VPO. The 20 wt% VPO/TiO₂ catalyst exhibited nearly complete conversion of 3-picoline and an NN yield of 83%, attributed to balanced acidity and enhanced surface area. Thermal analysis confirmed phase transformation and removal of residual solvents and sulfates. XPS data showed stable vanadium oxidation states across fresh and spent samples.</w:t>
      </w:r>
    </w:p>
    <w:p w14:paraId="319C8A90">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These findings underscore the potential of supported VPO systems for industrial nitrile synthesis and highlight the critical role of acid site distribution and support interaction in optimizing catalytic performance</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{"citationItems":[{"id":"ITEM-1","itemData":{"DOI":"10.1016/j.apcata.2010.07.034","ISSN":"0926860X","abstract":"Series of vanadium phosphorus oxide (VPO) catalysts supported over titania (anatase) were synthesised with varying contents of VPO (5-50 wt%). These solids were characterised by ICP-OES, TG/DTA, BET, XRD, FTIR (Py-ads) and XPS. The catalytic activity was evaluated for ammoxidation of 3-picoline (3-pic) to nicotinonitrile (NN) in a fixed bed catalytic reactor. Thermal analysis provided good hints on the phase transformation of VHP precursor into active VPP phase at around 400 °C. BET surface areas and pore volumes are found to depend on VPO loading and varied in the range from 70 m2/g to 133 m 2/g. XRD demonstrates the formation of (VO)2P 2O7 (VPP) phase. XPS showed that an average oxidation state of vanadium around 4.0, which is found to be unaltered in the spent samples. FTIR (Py-ads) revealed the presence of both Lewis and Brønsted sites with varying proportions, which again depend upon VPO loading. Correlation of acidic properties (Lewis and Brønsted acid sites) of the catalysts with that of performance of catalysts was explored. VPO loading has a clear influence on the acidic properties and thereby catalytic activity and selectivity. Catalytic results showed that the supported catalysts gave better performance compared to bulk VPO. Yield of NN increased up to 20 wt% VPO loading and then decreased with further increase in VPO content. Among all catalysts tested, the 20 wt% VPO/TiO2 exhibited the best performance (X-3-pic = ca. 100% and Y-NN = 83%). © 2010 Elsevier B.V. All rights reserved.","author":[{"dropping-particle":"","family":"Kalevaru","given":"V. N.","non-dropping-particle":"","parse-names":false,"suffix":""},{"dropping-particle":"","family":"Madaan","given":"N.","non-dropping-particle":"","parse-names":false,"suffix":""},{"dropping-particle":"","family":"Martin","given":"A.","non-dropping-particle":"","parse-names":false,"suffix":""}],"container-title":"Applied Catalysis A: General","id":"ITEM-1","issue":"1-2","issued":{"date-parts":[["2011"]]},"page":"52-62","title":"Synthesis, characterization and catalytic performance of titania supported VPO catalysts for the ammoxidation of 3-picoline","type":"article-journal","volume":"391"},"uris":["http://www.mendeley.com/documents/?uuid=9bed1828-0cef-4367-842f-53c607a186cc"]}],"mendeley":{"formattedCitation":"[77]","plainTextFormattedCitation":"[77]","previouslyFormattedCitation":"[77]"},"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[77]</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06FFE68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39. Insu Kim et al.</w:t>
      </w:r>
      <w:r>
        <w:rPr>
          <w:rFonts w:hint="default" w:ascii="Times New Roman" w:hAnsi="Times New Roman" w:cs="Times New Roman"/>
          <w:sz w:val="24"/>
          <w:szCs w:val="24"/>
          <w:lang w:val="en-IN"/>
        </w:rPr>
        <w:t xml:space="preserve"> developed a rhodium-catalyzed oxygenative addition protocol for the direct transformation of terminal alkynes into esters, amides, and carboxylic acids using azine and azole N-oxides as oxidants. The methodology demonstrates broad substrate scope and functional group tolerance under mild conditions, with regioselectivity governed by ligand choice and substituent effects. Intramolecular and intermolecular variants were optimized using [Rh(COD)Cl]₂ and</w:t>
      </w:r>
    </w:p>
    <w:p w14:paraId="1092B9D7">
      <w:pPr>
        <w:pStyle w:val="24"/>
        <w:spacing w:line="360" w:lineRule="auto"/>
        <w:ind w:left="0"/>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 xml:space="preserve"> P(4-F-C₆H₄)₃, enabling efficient coupling with alcohols, amines, and water.</w:t>
      </w:r>
    </w:p>
    <w:p w14:paraId="67F0187D">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Mechanistic studies, including deuterium labeling and control experiments, suggest a non-oxirene pathway and implicate N-oxide-mediated C–H activation. The transformation proceeds without exclusion of air or moisture, offering practical advantages. Gram-scale synthesis of bioactive esters further illustrates the synthetic utility of the method.</w:t>
      </w:r>
    </w:p>
    <w:p w14:paraId="00E853C6">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This work provides a valuable alternative to traditional cross-coupling strategies for heterobiaryl construction and lays mechanistic groundwork for future exploration of rhodium-catalyzed oxidative transformations in medicinal chemistry</w:t>
      </w: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CSL_CITATION {"citationItems":[{"id":"ITEM-1","itemData":{"DOI":"https://doi.org/10.1002/anie.201303669","author":[{"dropping-particle":"","family":"Insu Kim","given":"Prof. Chulbom Lee","non-dropping-particle":"","parse-names":false,"suffix":""}],"container-title":"A Journal of the German Chemical Society","id":"ITEM-1","issue":"38","issued":{"date-parts":[["2013"]]},"page":"10023-10026","title":"Rhodium-Catalyzed Oxygenative Addition to Terminal Alkynes for the Synthesis of Esters, Amides, and Carboxylic Acids†","type":"article-journal","volume":"52"},"uris":["http://www.mendeley.com/documents/?uuid=a02ad5f0-975c-477e-92f4-05adb3dd2a58"]}],"mendeley":{"formattedCitation":"[78]","plainTextFormattedCitation":"[78]","previouslyFormattedCitation":"[78]"},"properties":{"noteIndex":0},"schema":"https://github.com/citation-style-language/schema/raw/master/csl-citation.json"}</w:instrText>
      </w:r>
      <w:r>
        <w:rPr>
          <w:rFonts w:hint="default" w:ascii="Times New Roman" w:hAnsi="Times New Roman" w:cs="Times New Roman"/>
          <w:sz w:val="24"/>
          <w:szCs w:val="24"/>
          <w:lang w:val="en-IN"/>
        </w:rPr>
        <w:fldChar w:fldCharType="separate"/>
      </w:r>
      <w:r>
        <w:rPr>
          <w:rFonts w:hint="default" w:ascii="Times New Roman" w:hAnsi="Times New Roman" w:cs="Times New Roman"/>
          <w:sz w:val="24"/>
          <w:szCs w:val="24"/>
          <w:lang w:val="en-IN"/>
        </w:rPr>
        <w:t>[78]</w:t>
      </w:r>
      <w:r>
        <w:rPr>
          <w:rFonts w:hint="default" w:ascii="Times New Roman" w:hAnsi="Times New Roman" w:cs="Times New Roman"/>
          <w:sz w:val="24"/>
          <w:szCs w:val="24"/>
          <w:lang w:val="en-IN"/>
        </w:rPr>
        <w:fldChar w:fldCharType="end"/>
      </w:r>
      <w:r>
        <w:rPr>
          <w:rFonts w:hint="default" w:ascii="Times New Roman" w:hAnsi="Times New Roman" w:cs="Times New Roman"/>
          <w:sz w:val="24"/>
          <w:szCs w:val="24"/>
          <w:lang w:val="en-IN"/>
        </w:rPr>
        <w:t>.</w:t>
      </w:r>
    </w:p>
    <w:p w14:paraId="6B7D6BC4">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IN"/>
        </w:rPr>
        <w:t xml:space="preserve">Scheme 25: </w:t>
      </w:r>
      <w:r>
        <w:rPr>
          <w:rFonts w:hint="default" w:ascii="Times New Roman" w:hAnsi="Times New Roman" w:cs="Times New Roman"/>
          <w:b/>
          <w:bCs/>
          <w:sz w:val="24"/>
          <w:szCs w:val="24"/>
        </w:rPr>
        <w:t>Oxidation of alkynes</w:t>
      </w:r>
    </w:p>
    <w:p w14:paraId="6BE276AB">
      <w:pPr>
        <w:spacing w:line="360" w:lineRule="auto"/>
        <w:jc w:val="both"/>
        <w:rPr>
          <w:rFonts w:hint="default" w:ascii="Times New Roman" w:hAnsi="Times New Roman" w:cs="Times New Roman"/>
          <w:sz w:val="24"/>
          <w:szCs w:val="24"/>
          <w:lang w:val="en-IN"/>
        </w:rPr>
      </w:pPr>
    </w:p>
    <w:p w14:paraId="69EF709C">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object>
          <v:shape id="_x0000_i1048" o:spt="75" type="#_x0000_t75" style="height:94.65pt;width:481.65pt;" o:ole="t" filled="f" o:preferrelative="t" stroked="f" coordsize="21600,21600">
            <v:path/>
            <v:fill on="f" focussize="0,0"/>
            <v:stroke on="f" joinstyle="miter"/>
            <v:imagedata r:id="rId64" o:title=""/>
            <o:lock v:ext="edit" aspectratio="t"/>
            <w10:wrap type="none"/>
            <w10:anchorlock/>
          </v:shape>
          <o:OLEObject Type="Embed" ProgID="ChemDraw_x64.Document.6.0" ShapeID="_x0000_i1048" DrawAspect="Content" ObjectID="_1468075748" r:id="rId63">
            <o:LockedField>false</o:LockedField>
          </o:OLEObject>
        </w:object>
      </w:r>
    </w:p>
    <w:p w14:paraId="737C2028">
      <w:pPr>
        <w:spacing w:line="360" w:lineRule="auto"/>
        <w:jc w:val="both"/>
        <w:rPr>
          <w:rFonts w:hint="default" w:ascii="Times New Roman" w:hAnsi="Times New Roman" w:cs="Times New Roman"/>
          <w:sz w:val="24"/>
          <w:szCs w:val="24"/>
        </w:rPr>
      </w:pPr>
    </w:p>
    <w:p w14:paraId="29D1E60F">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40. Zhao-bian Xie et al.</w:t>
      </w:r>
      <w:r>
        <w:rPr>
          <w:rFonts w:hint="default" w:ascii="Times New Roman" w:hAnsi="Times New Roman" w:cs="Times New Roman"/>
          <w:color w:val="000000" w:themeColor="text1"/>
          <w:sz w:val="24"/>
          <w:szCs w:val="24"/>
          <w:lang w:val="en-IN"/>
        </w:rPr>
        <w:t xml:space="preserve"> employed molecular dynamics simulations, alongside M06-2X and MP2(full) quantum chemical methods, to investigate the binding energies, mechanical properties, and sensitivity modulation of HMX/2-picoline-N-oxide cocrystals across various molar ratios. Their findings demonstrate that co-crystallization is energetically and structurally favored at 1:1, 2:1, and 3:1 ratios, which exhibit enhanced binding energies and improved ductility. Cooperativity effects validated through reduced density gradient and surface electrostatic potential analyses are prominent in cyclic CH₄ complexes (low dielectric), whereas HF (high dielectric) induces anti-cooperativity, destabilizing the cocrystal. Strengthening of the N–NO₂ bond and intermolecular hydrogen bonding contribute to reduced impact sensitivity, as evidenced by lower VS,max, smaller σ²⁺, and higher ν values. Solvent polarity plays a critical role, with low-dielectric media promoting cooperative interactions and facilitating cocrystal formation. Additionally, cocrystals in the 5:1–10:1 range exhibit satisfactory explosive characteristics, underscoring their potential utility in energetic material applications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{"citationItems":[{"id":"ITEM-1","itemData":{"DOI":"10.1080/00268976.2016.1190038","ISSN":"13623028","abstract":"ABSTRACT: Molecular dynamics method was employed to study the binding energies and mechanical properties of the selected crystal planes of the energetic/nonenergetic 1,3,5,7-tetranitro-1,3,5,7-tetrazacyclooctane (HMX)/2-picoline-N-oxide cocrystal in different molecular ratios. The solvent effect in HMX:2-picoline-N-oxide (1:1) was calculated, and the cooperativity effect was discussed in HMX···HF/CH4···2-picoline-N-oxide by using the M06-2X and MP2(full) methods at the 6-311++G** basis set. The density, oxygen balance and detonation velocity were calculated. The results indicate that HMX/2-picoline-N-oxide prefers cocrystalising in the 1:1, 2:1 and 3:1 molar ratios, in which the cocrystals own the highest binding energy and best ductility. The cooperativity effect is present in the cyclic complex with CH4, while the anti-cooperativity effect is found in the HF complex. Thus, in order to obtain stable HMX/2-picoline-N-oxide cocrystal, the solvent with low dielectric constant should be chosen, as is in accordance with the result from solvent effect. The reduced density gradient (RDG) and surface electrostatic potential analysis confirms the cooperativity effect and reveals the nature of decreased sensitivity in complex (or cocrystal). The cocrystals in the molar ratios of 5:1–10:1 could be satisfactory in view of explosive properties.","author":[{"dropping-particle":"","family":"Xie","given":"Zhao Bian","non-dropping-particle":"","parse-names":false,"suffix":""},{"dropping-particle":"","family":"Hu","given":"Shuang Qi","non-dropping-particle":"","parse-names":false,"suffix":""},{"dropping-particle":"","family":"Cao","given":"Xiong","non-dropping-particle":"","parse-names":false,"suffix":""}],"container-title":"Molecular Physics","id":"ITEM-1","issue":"14","issued":{"date-parts":[["2016"]]},"page":"2164-2176","title":"Theoretical insight into the influence of molecular ratio on the binding energy and mechanical property of HMX/2-picoline-N-oxide cocrystal, cooperativity effect and surface electrostatic potential","type":"article-journal","volume":"114"},"uris":["http://www.mendeley.com/documents/?uuid=37a28039-55f3-4b36-83f9-882f6ae2912a"]}],"mendeley":{"formattedCitation":"[79]","plainTextFormattedCitation":"[79]","previouslyFormattedCitation":"[79]"},"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[79]</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 xml:space="preserve">. </w:t>
      </w:r>
    </w:p>
    <w:p w14:paraId="2ECF0A9C">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41. Kari Rissanen</w:t>
      </w:r>
      <w:r>
        <w:rPr>
          <w:rFonts w:hint="default" w:ascii="Times New Roman" w:hAnsi="Times New Roman" w:cs="Times New Roman"/>
          <w:color w:val="000000" w:themeColor="text1"/>
          <w:sz w:val="24"/>
          <w:szCs w:val="24"/>
        </w:rPr>
        <w:t xml:space="preserve"> et al. report the formation and characterization of host–guest complexes between Cethyl-2-methylresorcinarene and a series of aromatic and aliphatic N-oxides. These interactions are governed by a combination of intra- and intermolecular hydrogen bonding, C–H⋯π, π⋯π, and C–I⋯π interactions. The host exhibits conformational adaptability, adopting a flexible geometry to accommodate 3-methylpyridine N-oxide, while maintaining a crown-like conformation for 2-methyl- and 4-methoxypyridine N-oxides, underscoring the influence of guest substituents.</w:t>
      </w:r>
    </w:p>
    <w:p w14:paraId="57D6CD1D">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In the case of N-methylmorpholine N-oxide, the equatorial N–CH₃ group penetrates deeply into the cavity, significantly altering the host’s geometry. Notably, 2-iodopyridine N-oxide forms a unique 2:2 pseudocapsular complex, facilitated by the disruption of its native halogen-bonded polymeric structure and stabilized through C–I⋯π interactions between adjacent host–guest pairs.</w:t>
      </w:r>
    </w:p>
    <w:p w14:paraId="6687A9D6">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 xml:space="preserve">Structural elucidation via single crystal X-ray diffraction and solution-phase </w:t>
      </w:r>
      <w:r>
        <w:rPr>
          <w:rFonts w:hint="default" w:ascii="Times New Roman" w:hAnsi="Times New Roman" w:cs="Times New Roman"/>
          <w:color w:val="000000" w:themeColor="text1"/>
          <w:sz w:val="24"/>
          <w:szCs w:val="24"/>
          <w:vertAlign w:val="superscript"/>
        </w:rPr>
        <w:t>1</w:t>
      </w:r>
      <w:r>
        <w:rPr>
          <w:rFonts w:hint="default" w:ascii="Times New Roman" w:hAnsi="Times New Roman" w:cs="Times New Roman"/>
          <w:color w:val="000000" w:themeColor="text1"/>
          <w:sz w:val="24"/>
          <w:szCs w:val="24"/>
        </w:rPr>
        <w:t>H NMR spectroscopy confirms the spatial arrangement and binding modes of the complexes. These findings highlight the suitability of N-oxides as versatile guests for resorcinarene-based assemblies and their potential utility as ligands in organometallic frameworks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{"citationItems":[{"id":"ITEM-1","itemData":{"DOI":"10.1002/adma.202502818","ISSN":"15214095","abstract":"Twenty-seven pyridine N-oxides (PyNOs) are investigated to evaluate the gelation of their silver(I) trifluoroacetate (AgTFA) complexes across eight solvents. Gelation occurs selectively with PyNOs featuring electron-donating groups, while those with electron-withdrawing or mixed groups do not form gels. A combination of two different PyNOs, one with an electron-donating group and the second with an electron-withdrawing group, form a gel, suggesting that gel-forming PyNO-AgTFA can override the non-gelling tendency of PyNOs comprising electron-withdrawing groups. Pyridine-AgTFA complexes lacking the N–O group fail to gel, underscoring the crucial role of the N–O functionality and its coordination with silver(I) in facilitating gelation. The resulting PyNO-AgTFA gels demonstrate remarkable mechanical strengths, enabling the fabrication of free-standing and load-bearing gel shapes, such as rods and horseshoes, with sizes up to several centimeters. The analysis of 65 X-ray crystal structures reveals that PyNO-AgTFA complexes manifest four distinct structural motifs, even when crystallized under different solvents and ligand-to-metal ratios, demonstrating a strong preference for a specific set of silver(I) complexes. X-ray crystallography and powder X-ray diffraction studies predict gel structures without single crystals. Density functional theory calculations of recurring non-covalent interactions in the crystal structures show interaction energies ranging from −1 to −92 kJ mol−1.","author":[{"dropping-particle":"","family":"Puttreddy","given":"Rakesh","non-dropping-particle":"","parse-names":false,"suffix":""},{"dropping-particle":"","family":"Thongrom","given":"Boonya","non-dropping-particle":"","parse-names":false,"suffix":""},{"dropping-particle":"","family":"Rautiainen","given":"J. Mikko","non-dropping-particle":"","parse-names":false,"suffix":""},{"dropping-particle":"","family":"Lahtinen","given":"Manu","non-dropping-particle":"","parse-names":false,"suffix":""},{"dropping-particle":"","family":"Kukkonen","given":"Esa","non-dropping-particle":"","parse-names":false,"suffix":""},{"dropping-particle":"","family":"Haag","given":"Rainer","non-dropping-particle":"","parse-names":false,"suffix":""},{"dropping-particle":"","family":"Moilanen","given":"Jani O.","non-dropping-particle":"","parse-names":false,"suffix":""},{"dropping-particle":"","family":"Lundell","given":"Jan","non-dropping-particle":"","parse-names":false,"suffix":""},{"dropping-particle":"","family":"Rissanen","given":"Kari","non-dropping-particle":"","parse-names":false,"suffix":""}],"container-title":"Advanced Materials","id":"ITEM-1","issue":"I","issued":{"date-parts":[["2025"]]},"page":"1-13","title":"Free-Standing Supramolecular Pyridine N-Oxide-Silver(I) Metallogels","type":"article-journal","volume":"2502818"},"uris":["http://www.mendeley.com/documents/?uuid=caca366b-c963-4edc-a17e-055c700c8349"]}],"mendeley":{"formattedCitation":"[80]","plainTextFormattedCitation":"[80]","previouslyFormattedCitation":"[80]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{"citationItems":[{"id":"ITEM-1","itemData":{"id":"ITEM-1","issued":{"date-parts":[["0"]]},"title":"(a) P. Timmerman, W. Verboom and D. N. Reinhoudt, Tetrahedron, 1996, 52, 2663–2704; (b) V. Böhmer, Angew. Chem., Int. Ed. Engl., 1995, 34, 713–745; (c) K. Rissanen, Angew. Chem., Int. Ed., 2005, 44, 3652–3654.","type":"article-journal"},"uris":["http://www.mendeley.com/documents/?uuid=543e7943-b6c0-4c46-ab15-d00c94605222"]}],"mendeley":{"formattedCitation":"[81]","plainTextFormattedCitation":"[81]","previouslyFormattedCitation":"[81]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{"citationItems":[{"id":"ITEM-1","itemData":{"id":"ITEM-1","issued":{"date-parts":[["0"]]},"title":"(a) M. Nissinen, E. Wegelius, D. Falábu and K. Rissanen, CrystEngComm, 2000, 2, 151; (b) M. Nissinen and K. Rissanen, Supramol. Chem., 2003, 15, 581–590.","type":"article-journal"},"uris":["http://www.mendeley.com/documents/?uuid=e9ca2d0d-00d6-476a-b1df-fe9c4034a364"]}],"mendeley":{"formattedCitation":"[82]","plainTextFormattedCitation":"[82]","previouslyFormattedCitation":"[82]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{"citationItems":[{"id":"ITEM-1","itemData":{"id":"ITEM-1","issued":{"date-parts":[["0"]]},"title":"C. R. Hubbard, V. L. Himes, A. D. Mighell and S. W. Page, Acta Crystallogr., Sect. B: Struct. Crystallogr. Cryst. Chem., 1980, 36, 2819–2821","type":"article-journal"},"uris":["http://www.mendeley.com/documents/?uuid=47e7013f-01e3-4e45-8397-7fff44d494c8"]}],"mendeley":{"formattedCitation":"[83]","plainTextFormattedCitation":"[83]","previouslyFormattedCitation":"[83]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 xml:space="preserve">. </w:t>
      </w:r>
    </w:p>
    <w:p w14:paraId="41CC5022">
      <w:pPr>
        <w:spacing w:line="360" w:lineRule="auto"/>
        <w:jc w:val="both"/>
        <w:rPr>
          <w:rFonts w:hint="default" w:ascii="Times New Roman" w:hAnsi="Times New Roman" w:cs="Times New Roman"/>
          <w:sz w:val="24"/>
          <w:szCs w:val="24"/>
        </w:rPr>
      </w:pPr>
    </w:p>
    <w:p w14:paraId="386A9C5F">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49" o:spt="75" type="#_x0000_t75" style="height:132pt;width:207pt;" o:ole="t" filled="f" o:preferrelative="t" stroked="f" coordsize="21600,21600">
            <v:path/>
            <v:fill on="f" focussize="0,0"/>
            <v:stroke on="f" joinstyle="miter"/>
            <v:imagedata r:id="rId66" o:title=""/>
            <o:lock v:ext="edit" aspectratio="t"/>
            <w10:wrap type="none"/>
            <w10:anchorlock/>
          </v:shape>
          <o:OLEObject Type="Embed" ProgID="ChemDraw_x64.Document.6.0" ShapeID="_x0000_i1049" DrawAspect="Content" ObjectID="_1468075749" r:id="rId65">
            <o:LockedField>false</o:LockedField>
          </o:OLEObject>
        </w:object>
      </w:r>
    </w:p>
    <w:p w14:paraId="54C5DC96">
      <w:pPr>
        <w:spacing w:line="360" w:lineRule="auto"/>
        <w:jc w:val="both"/>
        <w:rPr>
          <w:rFonts w:hint="default" w:ascii="Times New Roman" w:hAnsi="Times New Roman" w:cs="Times New Roman"/>
          <w:b/>
          <w:bCs/>
          <w:color w:val="000000" w:themeColor="text1"/>
          <w:sz w:val="24"/>
          <w:szCs w:val="24"/>
          <w:lang w:val="en-IN"/>
        </w:rPr>
      </w:pPr>
    </w:p>
    <w:p w14:paraId="71D3FC67">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42.Maes et al.</w:t>
      </w:r>
      <w:r>
        <w:rPr>
          <w:rFonts w:hint="default" w:ascii="Times New Roman" w:hAnsi="Times New Roman" w:cs="Times New Roman"/>
          <w:color w:val="000000" w:themeColor="text1"/>
          <w:sz w:val="24"/>
          <w:szCs w:val="24"/>
          <w:lang w:val="en-IN"/>
        </w:rPr>
        <w:t xml:space="preserve"> report a copper-catalyzed aerobic oxidation of benzylpyridine N-oxides employing molecular oxygen under additive-free conditions. The N-oxide moiety functions as an intrinsic activator for benzylic methylene oxidation, enabling selective transformation while suppressing undesired N-deoxygenation pathways via intermolecular oxygen transfer. .2-Benzylpyridine N-oxides exhibited higher reactivity than their 4-substituted analogs, with electronic properties influencing product distribution. The N-oxide group plays a tripartite role: (i) facilitating synthesis from readily available pyridine N-oxides, (ii) promoting Cu-catalyzed oxidation, and (iii) enabling diverse post-functionalizations on the pyridine ring including C–C, C–N, C–O, and C–Cl bond formations with both nucleophilic and electrophilic partners. These transformations are inaccessible on the corresponding deoxygenated benzoylpyridines.The methodology’s synthetic utility is exemplified in a formal route to the antihistaminic drug Acrivastine, involving three sequential N-oxide-directed C–H functionalization starting from picoline N-oxide. This work highlights the strategic value of N-oxide activation in site-selective oxidation and downstream diversification of heteroaromatic scaffolds</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{"citationItems":[{"id":"ITEM-1","itemData":{"DOI":"10.1002/adsc.201700588","ISSN":"16154169","abstract":"A copper-catalyzed aerobic oxidation of benzylpyridine N-oxides is reported. The N-oxide moiety acts as a built-in activator for the benzylic methylene oxidation, without requirement of additives. Reaction conditions were identified which suppress undesired benzoylpyridine formation via N-deoxygenation involving intermolecular oxygen transfer. The versatility of the N-oxide group of the benzoylpyridine N-oxide reaction products for post-functionalization of the pyridine ring is demonstrated through efficient C–C, C–N, C–O and C–Cl bond forming procedures, with both nucleophiles and electrophiles. Finally, the applicability of the new synthetic methodology is demonstrated in an alternative route towards the antihistaminic drug Acrivastine via three consecutive N-oxide activated C–H functionalization processes, starting from picoline N-oxide. (Figure presented.).","author":[{"dropping-particle":"","family":"Sterckx","given":"Hans","non-dropping-particle":"","parse-names":false,"suffix":""},{"dropping-particle":"","family":"Sambiagio","given":"Carlo","non-dropping-particle":"","parse-names":false,"suffix":""},{"dropping-particle":"","family":"Médran-Navarrete","given":"Vincent","non-dropping-particle":"","parse-names":false,"suffix":""},{"dropping-particle":"","family":"Maes","given":"Bert U.W.","non-dropping-particle":"","parse-names":false,"suffix":""}],"container-title":"Advanced Synthesis and Catalysis","id":"ITEM-1","issue":"18","issued":{"date-parts":[["2017"]]},"page":"3226-3236","title":"Copper-Catalyzed Aerobic Oxygenation of Benzylpyridine N-Oxides and Subsequent Post-Functionalization","type":"article-journal","volume":"359"},"uris":["http://www.mendeley.com/documents/?uuid=518d9faf-7fb5-421e-8975-772d514eb8e4"]}],"mendeley":{"formattedCitation":"[84]","plainTextFormattedCitation":"[84]","previouslyFormattedCitation":"[84]"},"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[84]</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w:t>
      </w:r>
    </w:p>
    <w:p w14:paraId="6C86FB18">
      <w:pPr>
        <w:spacing w:line="360" w:lineRule="auto"/>
        <w:jc w:val="both"/>
        <w:rPr>
          <w:rFonts w:hint="default" w:ascii="Times New Roman" w:hAnsi="Times New Roman" w:cs="Times New Roman"/>
          <w:b/>
          <w:bCs/>
          <w:color w:val="000000" w:themeColor="text1"/>
          <w:sz w:val="24"/>
          <w:szCs w:val="24"/>
          <w:lang w:val="en-IN"/>
        </w:rPr>
      </w:pPr>
      <w:r>
        <w:rPr>
          <w:rFonts w:hint="default" w:ascii="Times New Roman" w:hAnsi="Times New Roman" w:cs="Times New Roman"/>
          <w:b/>
          <w:bCs/>
          <w:sz w:val="24"/>
          <w:szCs w:val="24"/>
          <w:lang w:val="en-IN"/>
        </w:rPr>
        <w:t xml:space="preserve">Scheme 26: </w:t>
      </w:r>
      <w:r>
        <w:rPr>
          <w:rFonts w:hint="default" w:ascii="Times New Roman" w:hAnsi="Times New Roman" w:cs="Times New Roman"/>
          <w:b/>
          <w:bCs/>
          <w:color w:val="000000" w:themeColor="text1"/>
          <w:sz w:val="24"/>
          <w:szCs w:val="24"/>
          <w:lang w:val="en-IN"/>
        </w:rPr>
        <w:t>Copper-catalyzed aerobic oxidation</w:t>
      </w:r>
      <w:r>
        <w:rPr>
          <w:rFonts w:hint="default" w:ascii="Times New Roman" w:hAnsi="Times New Roman" w:cs="Times New Roman"/>
          <w:color w:val="000000" w:themeColor="text1"/>
          <w:sz w:val="24"/>
          <w:szCs w:val="24"/>
          <w:lang w:val="en-IN"/>
        </w:rPr>
        <w:t xml:space="preserve"> </w:t>
      </w:r>
    </w:p>
    <w:p w14:paraId="115BB558">
      <w:pPr>
        <w:spacing w:line="360" w:lineRule="auto"/>
        <w:jc w:val="center"/>
        <w:rPr>
          <w:rFonts w:hint="default" w:ascii="Times New Roman" w:hAnsi="Times New Roman" w:cs="Times New Roman"/>
          <w:color w:val="000000" w:themeColor="text1"/>
          <w:sz w:val="24"/>
          <w:szCs w:val="24"/>
          <w:lang w:val="en-IN"/>
        </w:rPr>
      </w:pPr>
      <w:r>
        <w:rPr>
          <w:rFonts w:hint="default" w:ascii="Times New Roman" w:hAnsi="Times New Roman" w:cs="Times New Roman"/>
          <w:color w:val="000000" w:themeColor="text1"/>
          <w:sz w:val="24"/>
          <w:szCs w:val="24"/>
          <w:lang w:val="en-IN"/>
        </w:rPr>
        <w:drawing>
          <wp:inline distT="0" distB="0" distL="0" distR="0">
            <wp:extent cx="4782820" cy="3136265"/>
            <wp:effectExtent l="0" t="0" r="5080" b="635"/>
            <wp:docPr id="54428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81782"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803827" cy="3150219"/>
                    </a:xfrm>
                    <a:prstGeom prst="rect">
                      <a:avLst/>
                    </a:prstGeom>
                    <a:noFill/>
                    <a:ln>
                      <a:noFill/>
                    </a:ln>
                  </pic:spPr>
                </pic:pic>
              </a:graphicData>
            </a:graphic>
          </wp:inline>
        </w:drawing>
      </w:r>
    </w:p>
    <w:p w14:paraId="1536F366">
      <w:pPr>
        <w:spacing w:line="360" w:lineRule="auto"/>
        <w:jc w:val="both"/>
        <w:rPr>
          <w:rFonts w:hint="default" w:ascii="Times New Roman" w:hAnsi="Times New Roman" w:eastAsia="Times New Roman" w:cs="Times New Roman"/>
          <w:kern w:val="0"/>
          <w:sz w:val="24"/>
          <w:szCs w:val="24"/>
          <w:lang w:val="en-IN" w:eastAsia="en-IN"/>
          <w14:ligatures w14:val="none"/>
        </w:rPr>
      </w:pPr>
      <w:r>
        <w:rPr>
          <w:rFonts w:hint="default" w:ascii="Times New Roman" w:hAnsi="Times New Roman" w:cs="Times New Roman"/>
          <w:b/>
          <w:bCs/>
          <w:sz w:val="24"/>
          <w:szCs w:val="24"/>
        </w:rPr>
        <w:t xml:space="preserve">43. Xu </w:t>
      </w:r>
      <w:r>
        <w:rPr>
          <w:rFonts w:hint="default" w:ascii="Times New Roman" w:hAnsi="Times New Roman" w:cs="Times New Roman"/>
          <w:b/>
          <w:bCs/>
          <w:i/>
          <w:iCs/>
          <w:sz w:val="24"/>
          <w:szCs w:val="24"/>
        </w:rPr>
        <w:t>et al.</w:t>
      </w:r>
      <w:r>
        <w:rPr>
          <w:rFonts w:hint="default" w:ascii="Times New Roman" w:hAnsi="Times New Roman" w:cs="Times New Roman"/>
          <w:sz w:val="24"/>
          <w:szCs w:val="24"/>
        </w:rPr>
        <w:t xml:space="preserve"> present a comparative study on the synthesis of 3-methylpyridine-N-oxide, a key intermediate in the production of 2-chloro-5-methylpyridine, which serves as a precursor for neonicotinoid insecticides such as imidacloprid and acetamiprid. Due to the exothermic nature and hazardous properties of 3-methylpyridine, conventional semi-batch oxidation methods pose significant safety and efficiency limitations. To address these challenges, three methodologies were evaluated: traditional semi-batch, co-current microreaction, and circular microreaction systems. Among them, the circular microreaction approach demonstrated superior performance, yielding ~90% product with minimal side reactions and enhanced process control. Optimization of catalyst loading (MoO₃),and reaction temperature (90 °C) further improved yield. The integration of high-throughput micromixers suggests promising scalability for industrial application</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{"citationItems":[{"id":"ITEM-1","itemData":{"DOI":"10.1016/j.cjche.2020.02.002","ISSN":"10049541","abstract":"3-Methylpyridine-N-oxide is an essential intermediate in the preparation of 2-chloro-5-methylpyridine, which can be used to synthesize nicotine insecticides such as imidacloprid and acetamiprid. The traditional method of production of 3-methylpyridine-N-oxide is catalytic oxidation of 3-methylpyridine in semi-batch reactors. Due to strong exothermic reaction and explosive property of 3-methylpyridine, the reaction efficiency and safety is low using batch technology. Therefore, the development of a safer and efficient 3-methylpyridine-N-oxide production process is very necessary in industrial production. In this paper, microreaction systems were introduced into the preparation of 3-methylpyridine-N-oxide. The comparison of three different methods (traditional semi-batch method, co-current microreaction method, and circular microreaction method) showed that the circular microreaction method was the most applicable, with relative higher product yield (~ 90%), less side reaction and better reaction control.","author":[{"dropping-particle":"","family":"Sang","given":"Funing","non-dropping-particle":"","parse-names":false,"suffix":""},{"dropping-particle":"","family":"Huang","given":"Jinpei","non-dropping-particle":"","parse-names":false,"suffix":""},{"dropping-particle":"","family":"Xu","given":"Jianhong","non-dropping-particle":"","parse-names":false,"suffix":""}],"container-title":"Chinese Journal of Chemical Engineering","id":"ITEM-1","issue":"5","issued":{"date-parts":[["2020"]]},"page":"1320-1325","publisher":"Elsevier B.V.","title":"A circular microreaction method to the safe and efficient synthesis of 3-methylpyridine-N-oxide","type":"article-journal","volume":"28"},"uris":["http://www.mendeley.com/documents/?uuid=338d1eca-2137-4989-97c0-9e6abbf0da92"]}],"mendeley":{"formattedCitation":"[85]","plainTextFormattedCitation":"[85]","previouslyFormattedCitation":"[85]"},"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782453B6">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sz w:val="24"/>
          <w:szCs w:val="24"/>
          <w:lang w:val="en-IN"/>
        </w:rPr>
        <w:t xml:space="preserve">Scheme 27(a): Schiff base formation reaction </w:t>
      </w:r>
    </w:p>
    <w:p w14:paraId="24AC6E25">
      <w:pPr>
        <w:spacing w:line="360" w:lineRule="auto"/>
        <w:jc w:val="both"/>
        <w:rPr>
          <w:rFonts w:hint="default" w:ascii="Times New Roman" w:hAnsi="Times New Roman" w:cs="Times New Roman"/>
          <w:sz w:val="24"/>
          <w:szCs w:val="24"/>
          <w:lang w:val="en-IN"/>
        </w:rPr>
      </w:pPr>
    </w:p>
    <w:p w14:paraId="060A5331">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object>
          <v:shape id="_x0000_i1050" o:spt="75" type="#_x0000_t75" style="height:216pt;width:427.35pt;" o:ole="t" filled="f" o:preferrelative="t" stroked="f" coordsize="21600,21600">
            <v:path/>
            <v:fill on="f" focussize="0,0"/>
            <v:stroke on="f" joinstyle="miter"/>
            <v:imagedata r:id="rId69" o:title=""/>
            <o:lock v:ext="edit" aspectratio="t"/>
            <w10:wrap type="none"/>
            <w10:anchorlock/>
          </v:shape>
          <o:OLEObject Type="Embed" ProgID="ChemDraw_x64.Document.6.0" ShapeID="_x0000_i1050" DrawAspect="Content" ObjectID="_1468075750" r:id="rId68">
            <o:LockedField>false</o:LockedField>
          </o:OLEObject>
        </w:object>
      </w:r>
    </w:p>
    <w:p w14:paraId="552638CB">
      <w:pPr>
        <w:spacing w:line="360" w:lineRule="auto"/>
        <w:jc w:val="both"/>
        <w:rPr>
          <w:rFonts w:hint="default" w:ascii="Times New Roman" w:hAnsi="Times New Roman" w:cs="Times New Roman"/>
          <w:color w:val="000000" w:themeColor="text1"/>
          <w:sz w:val="24"/>
          <w:szCs w:val="24"/>
          <w:lang w:val="en-IN"/>
        </w:rPr>
      </w:pPr>
    </w:p>
    <w:p w14:paraId="365DB437">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Scheme 28 (b):</w:t>
      </w:r>
    </w:p>
    <w:p w14:paraId="7F3B2EC3">
      <w:pPr>
        <w:spacing w:line="360" w:lineRule="auto"/>
        <w:jc w:val="both"/>
        <w:rPr>
          <w:rFonts w:hint="default" w:ascii="Times New Roman" w:hAnsi="Times New Roman" w:cs="Times New Roman"/>
          <w:color w:val="000000" w:themeColor="text1"/>
          <w:sz w:val="24"/>
          <w:szCs w:val="24"/>
          <w:lang w:val="en-IN"/>
        </w:rPr>
      </w:pPr>
    </w:p>
    <w:p w14:paraId="43D76E1C">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sz w:val="24"/>
          <w:szCs w:val="24"/>
        </w:rPr>
        <w:object>
          <v:shape id="_x0000_i1051" o:spt="75" type="#_x0000_t75" style="height:90pt;width:368pt;" o:ole="t" filled="f" o:preferrelative="t" stroked="f" coordsize="21600,21600">
            <v:path/>
            <v:fill on="f" focussize="0,0"/>
            <v:stroke on="f" joinstyle="miter"/>
            <v:imagedata r:id="rId71" o:title=""/>
            <o:lock v:ext="edit" aspectratio="t"/>
            <w10:wrap type="none"/>
            <w10:anchorlock/>
          </v:shape>
          <o:OLEObject Type="Embed" ProgID="ChemDraw_x64.Document.6.0" ShapeID="_x0000_i1051" DrawAspect="Content" ObjectID="_1468075751" r:id="rId70">
            <o:LockedField>false</o:LockedField>
          </o:OLEObject>
        </w:object>
      </w:r>
    </w:p>
    <w:p w14:paraId="3AA7F0A1">
      <w:pPr>
        <w:spacing w:line="360" w:lineRule="auto"/>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 xml:space="preserve">44. Song </w:t>
      </w:r>
      <w:r>
        <w:rPr>
          <w:rFonts w:hint="default" w:ascii="Times New Roman" w:hAnsi="Times New Roman" w:cs="Times New Roman"/>
          <w:b/>
          <w:bCs/>
          <w:i/>
          <w:iCs/>
          <w:color w:val="000000" w:themeColor="text1"/>
          <w:sz w:val="24"/>
          <w:szCs w:val="24"/>
          <w:lang w:val="en-IN"/>
        </w:rPr>
        <w:t>et al.</w:t>
      </w:r>
      <w:r>
        <w:rPr>
          <w:rFonts w:hint="default" w:ascii="Times New Roman" w:hAnsi="Times New Roman" w:cs="Times New Roman"/>
          <w:color w:val="000000" w:themeColor="text1"/>
          <w:sz w:val="24"/>
          <w:szCs w:val="24"/>
          <w:lang w:val="en-IN"/>
        </w:rPr>
        <w:t xml:space="preserve"> have developed a highly efficient and operationally simple one-pot method for synthesizing 2-chloromethylpyridines via chlorination of 2-alkylpyridine N-oxides using triphosgene (BTC) and triethylamine (TEA) at room temperature. The protocol accommodates a broad substrate scope including 2-alkylpyridines, 2-methylquinolines, and phenanthroline N-oxides yielding products with HCl and CO₂ as the only byproducts. Mechanistic studies, particularly with 2-methylquinoline derivatives, confirm a reversible [3,3]-sigmatropic rearrangement. </w:t>
      </w:r>
      <w:r>
        <w:rPr>
          <w:rFonts w:hint="default" w:ascii="Times New Roman" w:hAnsi="Times New Roman" w:cs="Times New Roman"/>
          <w:color w:val="000000" w:themeColor="text1"/>
          <w:sz w:val="24"/>
          <w:szCs w:val="24"/>
          <w:lang w:val="en-IN"/>
        </w:rPr>
        <w:fldChar w:fldCharType="begin" w:fldLock="1"/>
      </w:r>
      <w:r>
        <w:rPr>
          <w:rFonts w:hint="default" w:ascii="Times New Roman" w:hAnsi="Times New Roman" w:cs="Times New Roman"/>
          <w:color w:val="000000" w:themeColor="text1"/>
          <w:sz w:val="24"/>
          <w:szCs w:val="24"/>
          <w:lang w:val="en-IN"/>
        </w:rPr>
        <w:instrText xml:space="preserve">ADDIN CSL_CITATION {"citationItems":[{"id":"ITEM-1","itemData":{"DOI":"10.1021/acs.joc.1c00749","ISSN":"15206904","abstract":"A facile and effective synthesis of 2-chloromethylpyridines was developed by a one-pot reaction of 2-alkylpyridin-N-oxides and triphosgene at room temperature. As starting materials, N-oxides of 2-alkylpyridine derivatives, including 2-alkylpyridines, 2-methyl quinolines, and phenanthroline, can react rapidly with triphosgene in the presence of triethylamine, affording 2-chloromethylpyridines in good to excellent yields (52-95%). Using the 2-methylquinoline substrate for the mechanistic study, it has been well demonstrated that the chlorination reaction undergoes a [3,3]-sigmatropic rearrangement, which can be observed as a reversible process by monitoring the intermediates. Moreover, the chlorination reaction can be used to construct a rapid and sensitive fluorescent probe for the detection of phosgene.","author":[{"dropping-particle":"","family":"Li","given":"Hao","non-dropping-particle":"","parse-names":false,"suffix":""},{"dropping-particle":"","family":"Xia","given":"Hong Cheng","non-dropping-particle":"","parse-names":false,"suffix":""},{"dropping-particle":"","family":"Nie","given":"Fang Yuan","non-dropping-particle":"","parse-names":false,"suffix":""},{"dropping-particle":"","family":"Song","given":"Qin Hua","non-dropping-particle":"","parse-names":false,"suffix":""}],"container-title":"Journal of Organic Chemistry","id":"ITEM-1","issue":"12","issued":{"date-parts":[["2021"]]},"page":"8308-8318","title":"Rapid and Effective Reaction of 2-Methylpyridin-N-oxides with Triphosgene via a [3,3]-Sigmatropic Rearrangement: Mechanism and Applications","type":"article-journal","volume":"86"},"uris":["http://www.mendeley.com/documents/?uuid=a8a91d96-bcf0-4c19-9f33-7bec278148e2"]}],"mendeley":{"formattedCitation":"[86]","plainTextFormattedCitation":"[86]","previouslyFormattedCitation":"[86]"},"properties":{"noteIndex":0},"schema":"https://github.com/citation-style-language/schema/raw/master/csl-citation.json"}</w:instrText>
      </w:r>
      <w:r>
        <w:rPr>
          <w:rFonts w:hint="default" w:ascii="Times New Roman" w:hAnsi="Times New Roman" w:cs="Times New Roman"/>
          <w:color w:val="000000" w:themeColor="text1"/>
          <w:sz w:val="24"/>
          <w:szCs w:val="24"/>
          <w:lang w:val="en-IN"/>
        </w:rPr>
        <w:fldChar w:fldCharType="separate"/>
      </w:r>
      <w:r>
        <w:rPr>
          <w:rFonts w:hint="default" w:ascii="Times New Roman" w:hAnsi="Times New Roman" w:cs="Times New Roman"/>
          <w:color w:val="000000" w:themeColor="text1"/>
          <w:sz w:val="24"/>
          <w:szCs w:val="24"/>
          <w:lang w:val="en-IN"/>
        </w:rPr>
        <w:t>[86]</w:t>
      </w:r>
      <w:r>
        <w:rPr>
          <w:rFonts w:hint="default" w:ascii="Times New Roman" w:hAnsi="Times New Roman" w:cs="Times New Roman"/>
          <w:color w:val="000000" w:themeColor="text1"/>
          <w:sz w:val="24"/>
          <w:szCs w:val="24"/>
          <w:lang w:val="en-IN"/>
        </w:rPr>
        <w:fldChar w:fldCharType="end"/>
      </w:r>
      <w:r>
        <w:rPr>
          <w:rFonts w:hint="default" w:ascii="Times New Roman" w:hAnsi="Times New Roman" w:cs="Times New Roman"/>
          <w:color w:val="000000" w:themeColor="text1"/>
          <w:sz w:val="24"/>
          <w:szCs w:val="24"/>
          <w:lang w:val="en-IN"/>
        </w:rPr>
        <w:t xml:space="preserve">. </w:t>
      </w:r>
    </w:p>
    <w:p w14:paraId="5080A805">
      <w:pPr>
        <w:pStyle w:val="24"/>
        <w:spacing w:line="360" w:lineRule="auto"/>
        <w:ind w:left="0"/>
        <w:jc w:val="both"/>
        <w:rPr>
          <w:rFonts w:hint="default" w:ascii="Times New Roman" w:hAnsi="Times New Roman" w:cs="Times New Roman"/>
          <w:color w:val="000000" w:themeColor="text1"/>
          <w:sz w:val="24"/>
          <w:szCs w:val="24"/>
          <w:lang w:val="en-IN"/>
        </w:rPr>
      </w:pPr>
      <w:r>
        <w:rPr>
          <w:rFonts w:hint="default" w:ascii="Times New Roman" w:hAnsi="Times New Roman" w:cs="Times New Roman"/>
          <w:b/>
          <w:bCs/>
          <w:color w:val="000000" w:themeColor="text1"/>
          <w:sz w:val="24"/>
          <w:szCs w:val="24"/>
          <w:lang w:val="en-IN"/>
        </w:rPr>
        <w:t>Scheme 29 :</w:t>
      </w:r>
      <w:r>
        <w:rPr>
          <w:rFonts w:hint="default" w:ascii="Times New Roman" w:hAnsi="Times New Roman" w:cs="Times New Roman"/>
          <w:color w:val="000000" w:themeColor="text1"/>
          <w:sz w:val="24"/>
          <w:szCs w:val="24"/>
          <w:lang w:val="en-IN"/>
        </w:rPr>
        <w:t xml:space="preserve"> </w:t>
      </w:r>
      <w:r>
        <w:rPr>
          <w:rFonts w:hint="default" w:ascii="Times New Roman" w:hAnsi="Times New Roman" w:cs="Times New Roman"/>
          <w:b/>
          <w:bCs/>
          <w:color w:val="000000" w:themeColor="text1"/>
          <w:sz w:val="24"/>
          <w:szCs w:val="24"/>
          <w:lang w:val="en-IN"/>
        </w:rPr>
        <w:t>Claisen rearrangement</w:t>
      </w:r>
    </w:p>
    <w:p w14:paraId="5C9240FC">
      <w:pPr>
        <w:spacing w:line="360" w:lineRule="auto"/>
        <w:jc w:val="center"/>
        <w:rPr>
          <w:rFonts w:hint="default" w:ascii="Times New Roman" w:hAnsi="Times New Roman" w:cs="Times New Roman"/>
          <w:b/>
          <w:bCs/>
          <w:sz w:val="24"/>
          <w:szCs w:val="24"/>
          <w:lang w:val="en-IN"/>
        </w:rPr>
      </w:pPr>
      <w:r>
        <w:rPr>
          <w:rFonts w:hint="default" w:ascii="Times New Roman" w:hAnsi="Times New Roman" w:cs="Times New Roman"/>
          <w:sz w:val="24"/>
          <w:szCs w:val="24"/>
        </w:rPr>
        <w:object>
          <v:shape id="_x0000_i1052" o:spt="75" type="#_x0000_t75" style="height:264.65pt;width:375.35pt;" o:ole="t" filled="f" o:preferrelative="t" stroked="f" coordsize="21600,21600">
            <v:path/>
            <v:fill on="f" focussize="0,0"/>
            <v:stroke on="f" joinstyle="miter"/>
            <v:imagedata r:id="rId73" o:title=""/>
            <o:lock v:ext="edit" aspectratio="t"/>
            <w10:wrap type="none"/>
            <w10:anchorlock/>
          </v:shape>
          <o:OLEObject Type="Embed" ProgID="ChemDraw_x64.Document.6.0" ShapeID="_x0000_i1052" DrawAspect="Content" ObjectID="_1468075752" r:id="rId72">
            <o:LockedField>false</o:LockedField>
          </o:OLEObject>
        </w:object>
      </w:r>
    </w:p>
    <w:p w14:paraId="1C0DBDBE">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lang w:val="en-IN"/>
        </w:rPr>
        <w:t>45</w:t>
      </w:r>
      <w:r>
        <w:rPr>
          <w:rFonts w:hint="default" w:ascii="Times New Roman" w:hAnsi="Times New Roman" w:cs="Times New Roman"/>
          <w:sz w:val="24"/>
          <w:szCs w:val="24"/>
          <w:lang w:val="en-IN"/>
        </w:rPr>
        <w:t xml:space="preserve">.The synthesis and crystal structure of a novel dinuclear cobalt(II) complex, [Co₂Br₄(C₆H₇NO)₄]·C₄H₁₀O, has been  elucidated by </w:t>
      </w:r>
      <w:r>
        <w:rPr>
          <w:rFonts w:hint="default" w:ascii="Times New Roman" w:hAnsi="Times New Roman" w:cs="Times New Roman"/>
          <w:b/>
          <w:bCs/>
          <w:sz w:val="24"/>
          <w:szCs w:val="24"/>
          <w:lang w:val="en-IN"/>
        </w:rPr>
        <w:t>Christian Näther et al.</w:t>
      </w:r>
      <w:r>
        <w:rPr>
          <w:rFonts w:hint="default" w:ascii="Times New Roman" w:hAnsi="Times New Roman" w:cs="Times New Roman"/>
          <w:sz w:val="24"/>
          <w:szCs w:val="24"/>
          <w:lang w:val="en-IN"/>
        </w:rPr>
        <w:t xml:space="preserve"> through the reaction of CoBr₂ with 2-methylpyridine N-oxide in n-butanol. Structural analysis via single-crystal X-ray diffraction reveals that each cobalt center adopts a five-coordinate geometry, involving two bromide ions and three N-oxide ligands one terminal and two bridging resulting in centrosymmetric Co₂O₂ ring motifs. The n-butanol solvent, disordered around an inversion center, participates in O–H···Br hydrogen bonding, stabilizing the extended chain structure.</w:t>
      </w:r>
    </w:p>
    <w:p w14:paraId="5634F4AB">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lang w:val="en-IN"/>
        </w:rPr>
        <w:t>Thermal analysis indicates solvent loss below 523 K, leading to a distinct crystalline phase with modified cobalt coordination, as verified by PXRD and IR spectroscopy. Notably, this phase transition also occurs slowly under ambient conditions, suggesting inherent thermal sensitivity. Comparative structural data show analogs among other transition metals, yet no precedent exists for cobalt(II) halide complexes incorporating methylpyridine N-oxide.</w:t>
      </w:r>
    </w:p>
    <w:p w14:paraId="1B2E1C59">
      <w:pPr>
        <w:pStyle w:val="15"/>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These findings, as presented by Näther and colleagues, underscore the versatility of pyridine N-oxide ligands in coordination chemistry and highlight their utility in designing thermally responsive molecular architectures</w:t>
      </w:r>
      <w:r>
        <w:rPr>
          <w:rFonts w:hint="default" w:ascii="Times New Roman" w:hAnsi="Times New Roman" w:cs="Times New Roman"/>
          <w:sz w:val="24"/>
          <w:szCs w:val="24"/>
        </w:rPr>
        <w:fldChar w:fldCharType="begin" w:fldLock="1"/>
      </w:r>
      <w:r>
        <w:rPr>
          <w:rFonts w:hint="default" w:ascii="Times New Roman" w:hAnsi="Times New Roman" w:cs="Times New Roman"/>
          <w:sz w:val="24"/>
          <w:szCs w:val="24"/>
        </w:rPr>
        <w:instrText xml:space="preserve">ADDIN CSL_CITATION {"citationItems":[{"id":"ITEM-1","itemData":{"DOI":"10.1107/S2056989023008228","ISSN":"20569890","abstract":"Reaction of CoBr2 with 2-methylpyridine N-oxide in n-butanol leads to the formation of the title compound, [CoBr2]2(2-methylpyridine N-oxide)4 - n-butanol or [Co2Br4(C6H7NO)4] C4H10O. The asymmetric unit of the title compound consists of one CoII cation as well as two bromide anions and two 2-methylpyridine N-oxide coligands in general positions and one n-butanol molecule that is disordered around a center of inversion. The CoII cations are fivefold coordinated by two bromide anions and one terminal as well as two bridging 2-methylpyridine N-oxide and linked by two symmetry-related μ-1,1(O,O) 2-methylpyridine N-oxide coligands into dinuclear units that are located on centers of inversion. In the crystal structure, the dinuclear units are also connected via pairs of C-H Br hydrogen bonds into chains that elongate in the b-axis direction. The n-butanol molecules are located between the chains and are linked via O-H Br hydrogen bonds each to one chain. Powder X-ray diffraction (PXRD) measurements reveal that a pure phase has been obtained. Measurements using thermogravimetry and differential thermoanalysis shows one mass loss up to 523 K, in which the n-butanol molecules are removed. PXRD measurements of the residue obtained after n-butanol removal shows that a completely different crystalline phase has been obtained and IR investigations indicate significant structural changes in the Co coordination.","author":[{"dropping-particle":"","family":"Näther","given":"Christian","non-dropping-particle":"","parse-names":false,"suffix":""},{"dropping-particle":"","family":"Jess","given":"Inke","non-dropping-particle":"","parse-names":false,"suffix":""}],"container-title":"Acta Crystallographica Section E: Crystallographic Communications","id":"ITEM-1","issue":"Pt 11","issued":{"date-parts":[["2023"]]},"page":"972-976","title":"Synthesis, crystal structure and reactivity of bis(μ-2-methylpyridine N-oxide-κ2O:O)bis[dibromido(2-methylpyridine N-oxide-κO)cobalt(II)] butanol monosolvate","type":"article-journal","volume":"79"},"uris":["http://www.mendeley.com/documents/?uuid=4ec0491d-a337-400d-8b4c-0f49170c624a"]}],"mendeley":{"formattedCitation":"[87]","plainTextFormattedCitation":"[87]","previouslyFormattedCitation":"[87]"},"properties":{"noteIndex":0},"schema":"https://github.com/citation-style-language/schema/raw/master/csl-citation.json"}</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[87]</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14:paraId="5F9808F9">
      <w:pPr>
        <w:pStyle w:val="15"/>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object>
          <v:shape id="_x0000_i1053" o:spt="75" type="#_x0000_t75" style="height:261.35pt;width:369.35pt;" o:ole="t" filled="f" o:preferrelative="t" stroked="f" coordsize="21600,21600">
            <v:path/>
            <v:fill on="f" focussize="0,0"/>
            <v:stroke on="f" joinstyle="miter"/>
            <v:imagedata r:id="rId75" o:title=""/>
            <o:lock v:ext="edit" aspectratio="t"/>
            <w10:wrap type="none"/>
            <w10:anchorlock/>
          </v:shape>
          <o:OLEObject Type="Embed" ProgID="ChemDraw_x64.Document.6.0" ShapeID="_x0000_i1053" DrawAspect="Content" ObjectID="_1468075753" r:id="rId74">
            <o:LockedField>false</o:LockedField>
          </o:OLEObject>
        </w:object>
      </w:r>
    </w:p>
    <w:p w14:paraId="25BD8A0E">
      <w:pPr>
        <w:spacing w:after="0"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b/>
          <w:bCs/>
          <w:kern w:val="0"/>
          <w:sz w:val="24"/>
          <w:szCs w:val="24"/>
          <w:lang w:val="en-IN" w:eastAsia="en-IN" w:bidi="ar-SA"/>
          <w14:ligatures w14:val="none"/>
        </w:rPr>
        <w:t xml:space="preserve">46. Maurizio D’Auria </w:t>
      </w:r>
      <w:r>
        <w:rPr>
          <w:rFonts w:hint="default" w:ascii="Times New Roman" w:hAnsi="Times New Roman" w:eastAsia="Times New Roman" w:cs="Times New Roman"/>
          <w:b/>
          <w:bCs/>
          <w:i/>
          <w:iCs/>
          <w:kern w:val="0"/>
          <w:sz w:val="24"/>
          <w:szCs w:val="24"/>
          <w:lang w:val="en-IN" w:eastAsia="en-IN" w:bidi="ar-SA"/>
          <w14:ligatures w14:val="none"/>
        </w:rPr>
        <w:t>et al.</w:t>
      </w:r>
      <w:r>
        <w:rPr>
          <w:rFonts w:hint="default" w:ascii="Times New Roman" w:hAnsi="Times New Roman" w:eastAsia="Times New Roman" w:cs="Times New Roman"/>
          <w:kern w:val="0"/>
          <w:sz w:val="24"/>
          <w:szCs w:val="24"/>
          <w:lang w:val="en-IN" w:eastAsia="en-IN" w:bidi="ar-SA"/>
          <w14:ligatures w14:val="none"/>
        </w:rPr>
        <w:t xml:space="preserve"> report that the photochemical isomerization of 2-picoline N-oxide proceeds via the formation of oxaziridine intermediates, which subsequently rearrange into oxazepine derivatives. These oxazepines undergo further transformation into pyrrole-based compounds, with a pronounced selectivity toward 5-methyl-2-formylpyrrole. Complete Active Space Self-Consistent Field (CASSCF) calculations reveal the presence of a single conical intersection that facilitates the formation of 2-methyl-7-oxa-1-azabicyclo[4.1.0]hepta-2,4-diene, thereby rationalizing the observed product distribution.</w:t>
      </w:r>
    </w:p>
    <w:p w14:paraId="7365FCCC">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Density Functional Theory (DFT) investigations of 4,6-dimethylpyrimidine N-oxide indicate the formation of both oxaziridine and oxadiazepine species. Notably, the most thermodynamically stable oxaziridine corresponds to a minor reaction product, a phenomenon attributed to the topology of conical intersections accessed from the excited singlet state. A similar mechanistic profile is observed in the DFT analysis of 2-methoxypyrimidine N-oxide, which also supports the formation of both oxaziridine and oxadiazepine derivatives.</w:t>
      </w:r>
    </w:p>
    <w:p w14:paraId="2AA0036A">
      <w:pPr>
        <w:pStyle w:val="24"/>
        <w:spacing w:before="100" w:beforeAutospacing="1" w:after="100" w:afterAutospacing="1" w:line="360" w:lineRule="auto"/>
        <w:ind w:left="0"/>
        <w:jc w:val="both"/>
        <w:rPr>
          <w:rFonts w:hint="default" w:ascii="Times New Roman" w:hAnsi="Times New Roman" w:eastAsia="Times New Roman" w:cs="Times New Roman"/>
          <w:b/>
          <w:bCs/>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In contrast, prior studies on pyridazine N-oxide have demonstrated the absence of oxaziridine intermediates; instead, the excited singlet state directly evolves into a ring-opened species bearing a diazo moiety. The present findings underscore that, in the absence of this diazo functionality, the ring-opening pathway is effectively suppressed, thereby favoring the oxaziridine–oxadiazepine transformation sequence</w:t>
      </w:r>
      <w:r>
        <w:rPr>
          <w:rFonts w:hint="default" w:ascii="Times New Roman" w:hAnsi="Times New Roman" w:eastAsia="Times New Roman" w:cs="Times New Roman"/>
          <w:kern w:val="0"/>
          <w:sz w:val="24"/>
          <w:szCs w:val="24"/>
          <w:lang w:val="en-IN" w:eastAsia="en-IN" w:bidi="ar-SA"/>
          <w14:ligatures w14:val="none"/>
        </w:rPr>
        <w:fldChar w:fldCharType="begin" w:fldLock="1"/>
      </w:r>
      <w:r>
        <w:rPr>
          <w:rFonts w:hint="default" w:ascii="Times New Roman" w:hAnsi="Times New Roman" w:eastAsia="Times New Roman" w:cs="Times New Roman"/>
          <w:kern w:val="0"/>
          <w:sz w:val="24"/>
          <w:szCs w:val="24"/>
          <w:lang w:val="en-IN" w:eastAsia="en-IN" w:bidi="ar-SA"/>
          <w14:ligatures w14:val="none"/>
        </w:rPr>
        <w:instrText xml:space="preserve">ADDIN CSL_CITATION {"citationItems":[{"id":"ITEM-1","itemData":{"DOI":"10.1016/j.tet.2025.134583","ISSN":"14645416","abstract":"The photochemical isomerization of 2-picoline N-oxide showed the formation of the corresponding oxaziridine derivatives that can be converted into oxazepines. Both the oxazepines can be converted into the corresponding pyrrole derivatives. The preferential formation of 5-methyl-2-formylpyrrole can be explained by using CASSCF calculations. In this case, only one conical intersection can be determined, favoring the formation of 2-methyl-7-oxa-1-azabicyclo[4.1.0]hepta-2,4-diene. DFT calculations on the photochemical isomerization of 4,6-dimethylpyrimidine N-oxide showed that both the corresponding oxaziridine and oxadiazepine derivatives can be formed. However, the most stable oxaziridine was that allowing the formation of the minor product obtained in the reaction. This behavior can be explained considering the possible conical intersections from the excited singlet state and the oxazidines. DFT calculations on 2-methoxypyrimidine N-oxide are in agreement with the formation of the corresponding oxaziridine and oxadiazepine derivatives.","author":[{"dropping-particle":"","family":"D'Auria","given":"Maurizio","non-dropping-particle":"","parse-names":false,"suffix":""},{"dropping-particle":"","family":"Racioppi","given":"Rocco","non-dropping-particle":"","parse-names":false,"suffix":""}],"container-title":"Tetrahedron","id":"ITEM-1","issue":"January","issued":{"date-parts":[["2025"]]},"page":"134583","publisher":"Elsevier Ltd","title":"The photochemical isomerization of 2-picoline N-oxide, 4,6-dimethylpyrimidine N-oxide and 2-methoxypyrimidine N-oxide. A DFT study","type":"article-journal","volume":"177"},"uris":["http://www.mendeley.com/documents/?uuid=c411cea1-f34d-473f-8e11-8c51959aa179"]}],"mendeley":{"formattedCitation":"[88]","plainTextFormattedCitation":"[88]","previouslyFormattedCitation":"[88]"},"properties":{"noteIndex":0},"schema":"https://github.com/citation-style-language/schema/raw/master/csl-citation.json"}</w:instrText>
      </w:r>
      <w:r>
        <w:rPr>
          <w:rFonts w:hint="default" w:ascii="Times New Roman" w:hAnsi="Times New Roman" w:eastAsia="Times New Roman" w:cs="Times New Roman"/>
          <w:kern w:val="0"/>
          <w:sz w:val="24"/>
          <w:szCs w:val="24"/>
          <w:lang w:val="en-IN" w:eastAsia="en-IN" w:bidi="ar-SA"/>
          <w14:ligatures w14:val="none"/>
        </w:rPr>
        <w:fldChar w:fldCharType="separate"/>
      </w:r>
      <w:r>
        <w:rPr>
          <w:rFonts w:hint="default" w:ascii="Times New Roman" w:hAnsi="Times New Roman" w:eastAsia="Times New Roman" w:cs="Times New Roman"/>
          <w:kern w:val="0"/>
          <w:sz w:val="24"/>
          <w:szCs w:val="24"/>
          <w:lang w:val="en-IN" w:eastAsia="en-IN" w:bidi="ar-SA"/>
          <w14:ligatures w14:val="none"/>
        </w:rPr>
        <w:t>[88]</w:t>
      </w:r>
      <w:r>
        <w:rPr>
          <w:rFonts w:hint="default" w:ascii="Times New Roman" w:hAnsi="Times New Roman" w:eastAsia="Times New Roman" w:cs="Times New Roman"/>
          <w:kern w:val="0"/>
          <w:sz w:val="24"/>
          <w:szCs w:val="24"/>
          <w:lang w:val="en-IN" w:eastAsia="en-IN" w:bidi="ar-SA"/>
          <w14:ligatures w14:val="none"/>
        </w:rPr>
        <w:fldChar w:fldCharType="end"/>
      </w:r>
      <w:r>
        <w:rPr>
          <w:rFonts w:hint="default" w:ascii="Times New Roman" w:hAnsi="Times New Roman" w:eastAsia="Times New Roman" w:cs="Times New Roman"/>
          <w:kern w:val="0"/>
          <w:sz w:val="24"/>
          <w:szCs w:val="24"/>
          <w:lang w:val="en-IN" w:eastAsia="en-IN" w:bidi="ar-SA"/>
          <w14:ligatures w14:val="none"/>
        </w:rPr>
        <w:t xml:space="preserve">. </w:t>
      </w:r>
    </w:p>
    <w:p w14:paraId="7EDAC177">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p>
    <w:p w14:paraId="615ECEC7">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p>
    <w:p w14:paraId="7AAF0186">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b/>
          <w:bCs/>
          <w:kern w:val="0"/>
          <w:sz w:val="24"/>
          <w:szCs w:val="24"/>
          <w:lang w:val="en-IN" w:eastAsia="en-IN" w:bidi="ar-SA"/>
          <w14:ligatures w14:val="none"/>
        </w:rPr>
        <w:t>47.</w:t>
      </w:r>
      <w:r>
        <w:rPr>
          <w:rFonts w:hint="default" w:ascii="Times New Roman" w:hAnsi="Times New Roman" w:eastAsia="Times New Roman" w:cs="Times New Roman"/>
          <w:kern w:val="0"/>
          <w:sz w:val="24"/>
          <w:szCs w:val="24"/>
          <w:lang w:val="en-IN" w:eastAsia="en-IN" w:bidi="ar-SA"/>
          <w14:ligatures w14:val="none"/>
        </w:rPr>
        <w:t xml:space="preserve"> Pyridine N-oxide–silver(I) trifluoroacetate (PyNO-AgTFA) complexes exhibit selective gelation behavior governed by the electronic nature of the PyNO substituents and solvent polarity, as demonstrated by </w:t>
      </w:r>
      <w:r>
        <w:rPr>
          <w:rFonts w:hint="default" w:ascii="Times New Roman" w:hAnsi="Times New Roman" w:eastAsia="Times New Roman" w:cs="Times New Roman"/>
          <w:b/>
          <w:bCs/>
          <w:kern w:val="0"/>
          <w:sz w:val="24"/>
          <w:szCs w:val="24"/>
          <w:lang w:val="en-IN" w:eastAsia="en-IN" w:bidi="ar-SA"/>
          <w14:ligatures w14:val="none"/>
        </w:rPr>
        <w:t>Rakesh Puttreddy et al.</w:t>
      </w:r>
      <w:r>
        <w:rPr>
          <w:rFonts w:hint="default" w:ascii="Times New Roman" w:hAnsi="Times New Roman" w:eastAsia="Times New Roman" w:cs="Times New Roman"/>
          <w:kern w:val="0"/>
          <w:sz w:val="24"/>
          <w:szCs w:val="24"/>
          <w:lang w:val="en-IN" w:eastAsia="en-IN" w:bidi="ar-SA"/>
          <w14:ligatures w14:val="none"/>
        </w:rPr>
        <w:t xml:space="preserve"> Among 27 PyNOs studied, only those bearing electron-donating groups formed gels across solvents such as benzene, toluene, ethyl acetate, and acetone, while electron-withdrawing or mixed substituents failed to gel. Interestingly, binary mixtures of donor and acceptor PyNOs yielded gels, suggesting that gel-forming PyNOs can override non-gelling partners. Control experiments confirmed that pyridine analogues lacking the N-oxide group do not gel, underscoring the essential role of the N–O oxygen in coordinating silver(I) and immobilizing solvent molecules. Structural analysis of 65 X-ray crystal structures revealed four dominant PyNO-AgTFA motifs, independent of solvent or stoichiometry, and DFT calculations showed stabilizing non-covalent interactions ranging from −1 to −92 kJ mol⁻¹. The resulting gels are mechanically robust, self-healing, and capable of forming free-standing shapes at the centimeter scale, stabilized by dense silver(I) coordination networks and hydrogen/fluorine-based contacts. However, gelation fails in highly polar solvents like water, DMF, DMSO, and ethanol, limiting immediate biomedical applications. These findings lay the groundwork for future development of biocompatible hydrogels and nanoparticle-infused materials with enhanced mechanical properties.</w:t>
      </w:r>
      <w:r>
        <w:rPr>
          <w:rFonts w:hint="default" w:ascii="Times New Roman" w:hAnsi="Times New Roman" w:eastAsia="Times New Roman" w:cs="Times New Roman"/>
          <w:kern w:val="0"/>
          <w:sz w:val="24"/>
          <w:szCs w:val="24"/>
          <w:lang w:val="en-IN" w:eastAsia="en-IN" w:bidi="ar-SA"/>
          <w14:ligatures w14:val="none"/>
        </w:rPr>
        <w:fldChar w:fldCharType="begin" w:fldLock="1"/>
      </w:r>
      <w:r>
        <w:rPr>
          <w:rFonts w:hint="default" w:ascii="Times New Roman" w:hAnsi="Times New Roman" w:eastAsia="Times New Roman" w:cs="Times New Roman"/>
          <w:kern w:val="0"/>
          <w:sz w:val="24"/>
          <w:szCs w:val="24"/>
          <w:lang w:val="en-IN" w:eastAsia="en-IN" w:bidi="ar-SA"/>
          <w14:ligatures w14:val="none"/>
        </w:rPr>
        <w:instrText xml:space="preserve">ADDIN CSL_CITATION {"citationItems":[{"id":"ITEM-1","itemData":{"DOI":"10.1002/adma.202502818","ISSN":"15214095","abstract":"Twenty-seven pyridine N-oxides (PyNOs) are investigated to evaluate the gelation of their silver(I) trifluoroacetate (AgTFA) complexes across eight solvents. Gelation occurs selectively with PyNOs featuring electron-donating groups, while those with electron-withdrawing or mixed groups do not form gels. A combination of two different PyNOs, one with an electron-donating group and the second with an electron-withdrawing group, form a gel, suggesting that gel-forming PyNO-AgTFA can override the non-gelling tendency of PyNOs comprising electron-withdrawing groups. Pyridine-AgTFA complexes lacking the N–O group fail to gel, underscoring the crucial role of the N–O functionality and its coordination with silver(I) in facilitating gelation. The resulting PyNO-AgTFA gels demonstrate remarkable mechanical strengths, enabling the fabrication of free-standing and load-bearing gel shapes, such as rods and horseshoes, with sizes up to several centimeters. The analysis of 65 X-ray crystal structures reveals that PyNO-AgTFA complexes manifest four distinct structural motifs, even when crystallized under different solvents and ligand-to-metal ratios, demonstrating a strong preference for a specific set of silver(I) complexes. X-ray crystallography and powder X-ray diffraction studies predict gel structures without single crystals. Density functional theory calculations of recurring non-covalent interactions in the crystal structures show interaction energies ranging from −1 to −92 kJ mol−1.","author":[{"dropping-particle":"","family":"Puttreddy","given":"Rakesh","non-dropping-particle":"","parse-names":false,"suffix":""},{"dropping-particle":"","family":"Thongrom","given":"Boonya","non-dropping-particle":"","parse-names":false,"suffix":""},{"dropping-particle":"","family":"Rautiainen","given":"J. Mikko","non-dropping-particle":"","parse-names":false,"suffix":""},{"dropping-particle":"","family":"Lahtinen","given":"Manu","non-dropping-particle":"","parse-names":false,"suffix":""},{"dropping-particle":"","family":"Kukkonen","given":"Esa","non-dropping-particle":"","parse-names":false,"suffix":""},{"dropping-particle":"","family":"Haag","given":"Rainer","non-dropping-particle":"","parse-names":false,"suffix":""},{"dropping-particle":"","family":"Moilanen","given":"Jani O.","non-dropping-particle":"","parse-names":false,"suffix":""},{"dropping-particle":"","family":"Lundell","given":"Jan","non-dropping-particle":"","parse-names":false,"suffix":""},{"dropping-particle":"","family":"Rissanen","given":"Kari","non-dropping-particle":"","parse-names":false,"suffix":""}],"container-title":"Advanced Materials","id":"ITEM-1","issue":"I","issued":{"date-parts":[["2025"]]},"page":"1-13","title":"Free-Standing Supramolecular Pyridine N-Oxide-Silver(I) Metallogels","type":"article-journal","volume":"2502818"},"uris":["http://www.mendeley.com/documents/?uuid=caca366b-c963-4edc-a17e-055c700c8349"]}],"mendeley":{"formattedCitation":"[80]","plainTextFormattedCitation":"[80]","previouslyFormattedCitation":"[80]"},"properties":{"noteIndex":0},"schema":"https://github.com/citation-style-language/schema/raw/master/csl-citation.json"}</w:instrText>
      </w:r>
      <w:r>
        <w:rPr>
          <w:rFonts w:hint="default" w:ascii="Times New Roman" w:hAnsi="Times New Roman" w:eastAsia="Times New Roman" w:cs="Times New Roman"/>
          <w:kern w:val="0"/>
          <w:sz w:val="24"/>
          <w:szCs w:val="24"/>
          <w:lang w:val="en-IN" w:eastAsia="en-IN" w:bidi="ar-SA"/>
          <w14:ligatures w14:val="none"/>
        </w:rPr>
        <w:fldChar w:fldCharType="separate"/>
      </w:r>
      <w:r>
        <w:rPr>
          <w:rFonts w:hint="default" w:ascii="Times New Roman" w:hAnsi="Times New Roman" w:eastAsia="Times New Roman" w:cs="Times New Roman"/>
          <w:kern w:val="0"/>
          <w:sz w:val="24"/>
          <w:szCs w:val="24"/>
          <w:lang w:val="en-IN" w:eastAsia="en-IN" w:bidi="ar-SA"/>
          <w14:ligatures w14:val="none"/>
        </w:rPr>
        <w:t>[80]</w:t>
      </w:r>
      <w:r>
        <w:rPr>
          <w:rFonts w:hint="default" w:ascii="Times New Roman" w:hAnsi="Times New Roman" w:eastAsia="Times New Roman" w:cs="Times New Roman"/>
          <w:kern w:val="0"/>
          <w:sz w:val="24"/>
          <w:szCs w:val="24"/>
          <w:lang w:val="en-IN" w:eastAsia="en-IN" w:bidi="ar-SA"/>
          <w14:ligatures w14:val="none"/>
        </w:rPr>
        <w:fldChar w:fldCharType="end"/>
      </w:r>
    </w:p>
    <w:p w14:paraId="01A84D9B">
      <w:pPr>
        <w:pStyle w:val="24"/>
        <w:spacing w:before="100" w:beforeAutospacing="1" w:after="100" w:afterAutospacing="1" w:line="360" w:lineRule="auto"/>
        <w:ind w:left="0"/>
        <w:jc w:val="both"/>
        <w:rPr>
          <w:rFonts w:hint="default" w:ascii="Times New Roman" w:hAnsi="Times New Roman" w:eastAsia="Times New Roman" w:cs="Times New Roman"/>
          <w:kern w:val="0"/>
          <w:sz w:val="24"/>
          <w:szCs w:val="24"/>
          <w:lang w:val="en-IN" w:eastAsia="en-IN" w:bidi="ar-SA"/>
          <w14:ligatures w14:val="none"/>
        </w:rPr>
      </w:pPr>
    </w:p>
    <w:p w14:paraId="74D8D74F">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48.Maurizio D’Auria </w:t>
      </w:r>
      <w:r>
        <w:rPr>
          <w:rFonts w:hint="default" w:ascii="Times New Roman" w:hAnsi="Times New Roman" w:cs="Times New Roman"/>
          <w:color w:val="000000" w:themeColor="text1"/>
          <w:sz w:val="24"/>
          <w:szCs w:val="24"/>
        </w:rPr>
        <w:t>et al. conducted a computational investigation into the photochemical isomerization of 2-picoline N-oxide, revealing a mechanistic sequence involving oxaziridine and oxazepine intermediates. In the Photochemical Reactivity of 5-Methylpyrimidine N-oxide, the transformation proceeds via an oxaziridine intermediate to yield an α,β-unsaturated nitrile, highlighting the reactivity of pyrimidine N-oxides under UV irradiation. The Photochemical Isomerization of 2-Picoline N-oxide demonstrates that upon excitation, the N-oxide undergoes rearrangement to form 5-methylpyrrole-2-carbaldehyde, with the oxaziridine intermediate playing a central role. The Proposed Mechanism for the Photochemical Isomerization of 2-Picoline N-oxide outlines a stepwise pathway: initial formation of an oxaziridine, followed by conversion to a methylpyridone and then to an oxazepine. The Possible Photochemical Isomerizations of 2-Picoline N-oxide detail two competing routes—one via oxaziridine leading to pyrrole derivatives through low-energy transition states, and another via oxazepine intermediates requiring higher activation energies. CASSCF calculations confirm that only one conical intersection favors the formation of a specific oxaziridine, rationalizing the selective product outcome and emphasizing the role of excited-state dynamics in N-oxide photochemistry</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{"citationItems":[{"id":"ITEM-1","itemData":{"DOI":"10.1016/j.tet.2025.134583","ISSN":"14645416","abstract":"The photochemical isomerization of 2-picoline N-oxide showed the formation of the corresponding oxaziridine derivatives that can be converted into oxazepines. Both the oxazepines can be converted into the corresponding pyrrole derivatives. The preferential formation of 5-methyl-2-formylpyrrole can be explained by using CASSCF calculations. In this case, only one conical intersection can be determined, favoring the formation of 2-methyl-7-oxa-1-azabicyclo[4.1.0]hepta-2,4-diene. DFT calculations on the photochemical isomerization of 4,6-dimethylpyrimidine N-oxide showed that both the corresponding oxaziridine and oxadiazepine derivatives can be formed. However, the most stable oxaziridine was that allowing the formation of the minor product obtained in the reaction. This behavior can be explained considering the possible conical intersections from the excited singlet state and the oxazidines. DFT calculations on 2-methoxypyrimidine N-oxide are in agreement with the formation of the corresponding oxaziridine and oxadiazepine derivatives.","author":[{"dropping-particle":"","family":"D'Auria","given":"Maurizio","non-dropping-particle":"","parse-names":false,"suffix":""},{"dropping-particle":"","family":"Racioppi","given":"Rocco","non-dropping-particle":"","parse-names":false,"suffix":""}],"container-title":"Tetrahedron","id":"ITEM-1","issue":"January","issued":{"date-parts":[["2025"]]},"page":"134583","publisher":"Elsevier Ltd","title":"The photochemical isomerization of 2-picoline N-oxide, 4,6-dimethylpyrimidine N-oxide and 2-methoxypyrimidine N-oxide. A DFT study","type":"article-journal","volume":"177"},"uris":["http://www.mendeley.com/documents/?uuid=c411cea1-f34d-473f-8e11-8c51959aa179"]}],"mendeley":{"formattedCitation":"[88]","plainTextFormattedCitation":"[88]","previouslyFormattedCitation":"[88]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{"citationItems":[{"id":"ITEM-1","itemData":{"id":"ITEM-1","issued":{"date-parts":[["0"]]},"title":"J.S treith, C Sigwalt, tetrahedron Lett (1966) 1347-1350","type":"article-journal"},"uris":["http://www.mendeley.com/documents/?uuid=95038186-91b1-4650-958c-710bf9bde83d"]}],"mendeley":{"formattedCitation":"[89]","plainTextFormattedCitation":"[89]","previouslyFormattedCitation":"[89]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[89]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{"citationItems":[{"id":"ITEM-1","itemData":{"id":"ITEM-1","issued":{"date-parts":[["0"]]},"title":"N.Hata Bull , chem society Jpn 34 (1961) 1440-1444","type":"article-journal"},"uris":["http://www.mendeley.com/documents/?uuid=7e35f674-bc44-48a6-8ec9-ab257463d723"]}],"mendeley":{"formattedCitation":"[90]","plainTextFormattedCitation":"[90]","previouslyFormattedCitation":"[90]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Streith, P. Martz, Tetrahedron Lett. (1969) 4899–4900","type":"article-journal"},"uris":["http://www.mendeley.com/documents/?uuid=247d4dfc-27bd-40ff-a5e1-07f247e80125"]}],"mendeley":{"formattedCitation":"[91]","plainTextFormattedCitation":"[91]","previouslyFormattedCitation":"[91]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{"citationItems":[{"id":"ITEM-1","itemData":{"id":"ITEM-1","issued":{"date-parts":[["0"]]},"title":"J. Streith, C. Leibovici, P. Martz, Bull. Soc. Chim. Fr. (1971) 4152–4160","type":"article-journal"},"uris":["http://www.mendeley.com/documents/?uuid=59952359-3d77-4998-9a31-c98869c11501"]}],"mendeley":{"formattedCitation":"[92]","plainTextFormattedCitation":"[92]","previouslyFormattedCitation":"[92]"},"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[92]</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198C0C8">
      <w:pPr>
        <w:spacing w:line="360" w:lineRule="auto"/>
        <w:jc w:val="both"/>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30 : Photochemical reaction of 5-methoxyl pyrimidine N-oxide</w:t>
      </w:r>
    </w:p>
    <w:p w14:paraId="58CCA8F0">
      <w:pPr>
        <w:spacing w:line="360" w:lineRule="auto"/>
        <w:rPr>
          <w:rFonts w:hint="default" w:ascii="Times New Roman" w:hAnsi="Times New Roman" w:cs="Times New Roman"/>
          <w:sz w:val="24"/>
          <w:szCs w:val="24"/>
        </w:rPr>
      </w:pPr>
    </w:p>
    <w:p w14:paraId="42F4FC49">
      <w:pPr>
        <w:spacing w:line="360" w:lineRule="auto"/>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54" o:spt="75" type="#_x0000_t75" style="height:97.65pt;width:451.35pt;" o:ole="t" filled="f" o:preferrelative="t" stroked="f" coordsize="21600,21600">
            <v:path/>
            <v:fill on="f" focussize="0,0"/>
            <v:stroke on="f" joinstyle="miter"/>
            <v:imagedata r:id="rId77" o:title=""/>
            <o:lock v:ext="edit" aspectratio="t"/>
            <w10:wrap type="none"/>
            <w10:anchorlock/>
          </v:shape>
          <o:OLEObject Type="Embed" ProgID="ChemDraw_x64.Document.6.0" ShapeID="_x0000_i1054" DrawAspect="Content" ObjectID="_1468075754" r:id="rId76">
            <o:LockedField>false</o:LockedField>
          </o:OLEObject>
        </w:object>
      </w:r>
    </w:p>
    <w:p w14:paraId="65312013">
      <w:pPr>
        <w:spacing w:line="360" w:lineRule="auto"/>
        <w:jc w:val="center"/>
        <w:rPr>
          <w:rFonts w:hint="default" w:ascii="Times New Roman" w:hAnsi="Times New Roman" w:cs="Times New Roman"/>
          <w:b/>
          <w:bCs/>
          <w:color w:val="EE0000"/>
          <w:sz w:val="24"/>
          <w:szCs w:val="24"/>
        </w:rPr>
      </w:pPr>
      <w:r>
        <w:rPr>
          <w:rFonts w:hint="default" w:ascii="Times New Roman" w:hAnsi="Times New Roman" w:cs="Times New Roman"/>
          <w:sz w:val="24"/>
          <w:szCs w:val="24"/>
        </w:rPr>
        <w:object>
          <v:shape id="_x0000_i1055" o:spt="75" type="#_x0000_t75" style="height:87.65pt;width:270.65pt;" o:ole="t" filled="f" o:preferrelative="t" stroked="f" coordsize="21600,21600">
            <v:path/>
            <v:fill on="f" focussize="0,0"/>
            <v:stroke on="f" joinstyle="miter"/>
            <v:imagedata r:id="rId79" o:title=""/>
            <o:lock v:ext="edit" aspectratio="t"/>
            <w10:wrap type="none"/>
            <w10:anchorlock/>
          </v:shape>
          <o:OLEObject Type="Embed" ProgID="ChemDraw_x64.Document.6.0" ShapeID="_x0000_i1055" DrawAspect="Content" ObjectID="_1468075755" r:id="rId78">
            <o:LockedField>false</o:LockedField>
          </o:OLEObject>
        </w:object>
      </w:r>
    </w:p>
    <w:p w14:paraId="0135E81D">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 xml:space="preserve">49. Rakesh Puttreddy et al. </w:t>
      </w:r>
      <w:r>
        <w:rPr>
          <w:rFonts w:hint="default" w:ascii="Times New Roman" w:hAnsi="Times New Roman" w:cs="Times New Roman"/>
          <w:color w:val="000000" w:themeColor="text1"/>
          <w:sz w:val="24"/>
          <w:szCs w:val="24"/>
        </w:rPr>
        <w:t>report the X-ray crystal structure of the centrosymmetric complex [Ag(μ-O₃SCF₃)₂{(4MePyNO)₂I}]₂ (1-AgI), which features a rare combination of orthogonal bonding motifs: a three-center, four-electron [O–I–O]⁺ halogen bond and two symmetric I⁺–Ag⁺ coordination bonds. The [O–I–O]⁺ interaction is stabilized by 4-methylpyridine N-oxide ligands, while the I⁺–Ag⁺ bonds (2.8625(16) Å) fall within the range typical of genuine metal–metal interactions, such as Au⁺–Ag⁺ and Cu⁺–Ag⁺.</w:t>
      </w:r>
    </w:p>
    <w:p w14:paraId="0C166313">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The orthogonality of the halogen and coordination bonds arises from the spatial distribution of the iodine(I) cation’s p-hole and electron belt, allowing both interactions to coexist independently within the molecular framework. DFT calculations confirm that the I⁺–Ag⁺ bond is a closed-shell interaction with significant covalent character. This study provides the first atomically resolved structural evidence for [O–I–O]⁺ halogen bonding in such systems and establishes a precedent for non-metal–metal cation bonding. Future work will explore the generality of I⁺ coordination with other metals and N-oxide ligands to develop new supramolecular architectures</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{"citationItems":[{"id":"ITEM-1","itemData":{"DOI":"10.1038/s41467-025-62191-1","ISSN":"20411723","PMID":"40804255","abstract":"Metal-metal bonds between metal cations are ubiquitous in coordination complexes, whereas similar bonding characteristics between non-metal and metal cations are not. Here, we report an X-ray crystal structure of a centrosymmetric complex [Ag(m-O3SCF3)2{(4MePyNO)2I}]2 (1-AgI), where the iodine(I) cation forms an unusual 3-centre 4-electron [O–I–O]+ halogen bond with two oxygen atoms from two 4-methylpyridine N-oxide (4MePyNO). The iodine(I) atoms from two [4MePyNO−I−ONPyMe4]+ cations, which, together with the two silver(I) atoms from the paddlewheel [Ag(m-O3SCF3)2]22− structure, establish two unique I+–Ag+ bonds at 2.863(2) Å. This bond length is characteristic of bimetallic coordination bonds such as Au+−Ag+ [2.8553(6) Å], Cu+−Ag+ [2.8616(9) Å], and Pt2+−Ag+ [2.8602(4) Å]. Density Functional Theory calculations unambiguously support the existence of the I+–Ag+ coordination bond between non-metal and metal cations in complex 1-AgI.","author":[{"dropping-particle":"","family":"Puttreddy","given":"Rakesh","non-dropping-particle":"","parse-names":false,"suffix":""},{"dropping-particle":"","family":"Limberg","given":"Niklas","non-dropping-particle":"","parse-names":false,"suffix":""},{"dropping-particle":"","family":"Müller","given":"Carsten","non-dropping-particle":"","parse-names":false,"suffix":""},{"dropping-particle":"","family":"Riedel","given":"Sebastian","non-dropping-particle":"","parse-names":false,"suffix":""},{"dropping-particle":"","family":"Frontera","given":"Antonio","non-dropping-particle":"","parse-names":false,"suffix":""},{"dropping-particle":"","family":"Lundell","given":"Jan","non-dropping-particle":"","parse-names":false,"suffix":""},{"dropping-particle":"","family":"Rissanen","given":"Kari","non-dropping-particle":"","parse-names":false,"suffix":""}],"container-title":"Nature Communications ","id":"ITEM-1","issue":"1","issued":{"date-parts":[["2025"]]},"page":"1-9","publisher":"Springer US","title":"A non-metal-to-metal I+−Ag+ coordination bond","type":"article-journal","volume":"16"},"uris":["http://www.mendeley.com/documents/?uuid=5775227b-783c-420c-9b35-91f487c8df21"]}],"mendeley":{"formattedCitation":"[93]","plainTextFormattedCitation":"[93]","previouslyFormattedCitation":"[93]"},"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[93]</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{"citationItems":[{"id":"ITEM-1","itemData":{"id":"ITEM-1","issued":{"date-parts":[["0"]]},"title":"Lindblad, S. et al. O–I–O halogen bond of halonium ions. Chem. Commun. 56, 9671–9674 (2020).","type":"article-journal"},"uris":["http://www.mendeley.com/documents/?uuid=f6a876a4-cd63-4477-b5b5-c16ea77ae3b6"]}],"mendeley":{"formattedCitation":"[94]","plainTextFormattedCitation":"[94]","previouslyFormattedCitation":"[94]"},"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[94]</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{"citationItems":[{"id":"ITEM-1","itemData":{"id":"ITEM-1","issued":{"date-parts":[["0"]]},"title":"Puttreddy, R. &amp; Steel, P. J. 4-Methoxypyridine N-oxide: an electron rich ligand that can simultaneously bridge three silver atoms. Inorg. Chem. Commun. 41,33–36 (2014).","type":"article-journal"},"uris":["http://www.mendeley.com/documents/?uuid=f7107b98-150e-4455-bf02-83f3eaf16672"]}],"mendeley":{"formattedCitation":"[95]","plainTextFormattedCitation":"[95]","previouslyFormattedCitation":"[95]"},"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[95]</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{"citationItems":[{"id":"ITEM-1","itemData":{"id":"ITEM-1","issued":{"date-parts":[["0"]]},"title":"Puttreddy, R. &amp; Steel, P. J. Pyridine N-oxide: a hyperdentate argen tophile. CrystEngComm 16,556–560 (2014).","type":"article-journal"},"uris":["http://www.mendeley.com/documents/?uuid=c8894daf-eea1-45c3-b469-d947cafa4f96"]}],"mendeley":{"formattedCitation":"[96]","plainTextFormattedCitation":"[96]","previouslyFormattedCitation":"[96]"},"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[96]</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5C619A22">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 xml:space="preserve">Scheme 31: Metal-Ligand co-ordination reaction </w:t>
      </w:r>
    </w:p>
    <w:p w14:paraId="2A0AB084">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56" o:spt="75" type="#_x0000_t75" style="height:446.35pt;width:350pt;" o:ole="t" filled="f" o:preferrelative="t" stroked="f" coordsize="21600,21600">
            <v:path/>
            <v:fill on="f" focussize="0,0"/>
            <v:stroke on="f" joinstyle="miter"/>
            <v:imagedata r:id="rId81" o:title=""/>
            <o:lock v:ext="edit" aspectratio="t"/>
            <w10:wrap type="none"/>
            <w10:anchorlock/>
          </v:shape>
          <o:OLEObject Type="Embed" ProgID="ChemDraw_x64.Document.6.0" ShapeID="_x0000_i1056" DrawAspect="Content" ObjectID="_1468075756" r:id="rId80">
            <o:LockedField>false</o:LockedField>
          </o:OLEObject>
        </w:object>
      </w:r>
    </w:p>
    <w:p w14:paraId="32639822">
      <w:pPr>
        <w:spacing w:line="360" w:lineRule="auto"/>
        <w:rPr>
          <w:rFonts w:hint="default" w:ascii="Times New Roman" w:hAnsi="Times New Roman" w:cs="Times New Roman"/>
          <w:color w:val="EE0000"/>
          <w:sz w:val="24"/>
          <w:szCs w:val="24"/>
        </w:rPr>
      </w:pPr>
    </w:p>
    <w:p w14:paraId="27ACA461">
      <w:pPr>
        <w:spacing w:line="360" w:lineRule="auto"/>
        <w:rPr>
          <w:rFonts w:hint="default" w:ascii="Times New Roman" w:hAnsi="Times New Roman" w:cs="Times New Roman"/>
          <w:i/>
          <w:iCs/>
          <w:color w:val="EE0000"/>
          <w:sz w:val="24"/>
          <w:szCs w:val="24"/>
        </w:rPr>
      </w:pPr>
    </w:p>
    <w:p w14:paraId="77D4DFCB">
      <w:pPr>
        <w:spacing w:line="360" w:lineRule="auto"/>
        <w:rPr>
          <w:rFonts w:hint="default" w:ascii="Times New Roman" w:hAnsi="Times New Roman" w:cs="Times New Roman"/>
          <w:i/>
          <w:iCs/>
          <w:color w:val="EE0000"/>
          <w:sz w:val="24"/>
          <w:szCs w:val="24"/>
        </w:rPr>
      </w:pPr>
    </w:p>
    <w:p w14:paraId="0BFE0DAF">
      <w:pPr>
        <w:spacing w:line="360" w:lineRule="auto"/>
        <w:rPr>
          <w:rFonts w:hint="default" w:ascii="Times New Roman" w:hAnsi="Times New Roman" w:cs="Times New Roman"/>
          <w:i/>
          <w:iCs/>
          <w:color w:val="EE0000"/>
          <w:sz w:val="24"/>
          <w:szCs w:val="24"/>
        </w:rPr>
      </w:pPr>
    </w:p>
    <w:p w14:paraId="37A86B43">
      <w:pPr>
        <w:spacing w:line="360" w:lineRule="auto"/>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 xml:space="preserve">50.By Yu-Fei Song et all </w:t>
      </w:r>
    </w:p>
    <w:p w14:paraId="38C6C57E">
      <w:pPr>
        <w:spacing w:line="360" w:lineRule="auto"/>
        <w:rPr>
          <w:rFonts w:hint="default" w:ascii="Times New Roman" w:hAnsi="Times New Roman" w:cs="Times New Roman"/>
          <w:i/>
          <w:iCs/>
          <w:color w:val="000000" w:themeColor="text1"/>
          <w:sz w:val="24"/>
          <w:szCs w:val="24"/>
        </w:rPr>
      </w:pPr>
      <w:r>
        <w:rPr>
          <w:rFonts w:hint="default" w:ascii="Times New Roman" w:hAnsi="Times New Roman" w:cs="Times New Roman"/>
          <w:color w:val="000000" w:themeColor="text1"/>
          <w:sz w:val="24"/>
          <w:szCs w:val="24"/>
        </w:rPr>
        <w:t>The catalytic N-oxidation of 4-picoline using hydrogen peroxide (H₂O₂) as the oxidant and a heterogeneous Lewis acid catalyst, Tris-LDH-La(PW₁₁)₂, under aqueous conditions at room temperature. The reaction proceeds efficiently, converting 4-picoline into 4-picoline N-oxide with high selectivity and yield.</w:t>
      </w:r>
    </w:p>
    <w:p w14:paraId="3C9357C7">
      <w:pPr>
        <w:spacing w:line="360" w:lineRule="auto"/>
        <w:jc w:val="both"/>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Comparative studies with other catalysts (e.g., Na-PW₁₂, K-P₂W₁₈, La₂O₃, LaCl₃) demonstrate the superior performance of the La-containing POM composite. The high turnover number (TON = 235) confirms the catalyst’s efficiency</w:t>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{"citationItems":[{"id":"ITEM-1","itemData":{"DOI":"10.1002/cctc.201500594","ISSN":"18673899","abstract":"N-Oxides are a class of highly important compounds that are used widely as synthetic intermediates. In this paper, we demonstrate for the first time the use of a polyoxometalate-based composite material as a highly efficient heterogeneous catalyst for the N-oxidation of pyridines and its derivatives in the presence of H2O2 at room temperature. The composite was prepared by the intercalation of the [La(PW11O39)2]11- anion into a layered double hydroxide (LDH) modified with tris(hydroxymethyl)aminomethane (Tris). Additionally, the Tris-LDH-La(PW11)2-based catalyst has been employed for the denitrogenation of a model oil mixture in the presence of 1-butyl-3-methylimidazolium tetrafluoroborate and H2O2. Denitrogenation can be achieved in 40 min at 75 C. Finally, the heterogeneous catalyst can be recovered easily and reused at least 10 times without a measurable decrease of the catalytic activity and disintegration of the Tris-LDH-La(PW11)2 structure. Between the sheets: We demonstrate for the first time the use of a polyoxometalate-based composite material as a highly efficient heterogeneous catalyst for the N-oxidation of pyridines and its derivatives in the presence of H2O2 at room temperature. The composite is prepared by the intercalation of the [La(PW11O39)2]11- anion into a layered double hydroxide modified with tris(hydroxymethyl)aminomethane.","author":[{"dropping-particle":"","family":"Liu","given":"Kai","non-dropping-particle":"","parse-names":false,"suffix":""},{"dropping-particle":"","family":"Yao","given":"Zhixiao","non-dropping-particle":"","parse-names":false,"suffix":""},{"dropping-particle":"","family":"Miras","given":"Haralampos N.","non-dropping-particle":"","parse-names":false,"suffix":""},{"dropping-particle":"","family":"Song","given":"Yu Fei","non-dropping-particle":"","parse-names":false,"suffix":""}],"container-title":"ChemCatChem","id":"ITEM-1","issue":"23","issued":{"date-parts":[["2015"]]},"page":"3903-3910","title":"Facile Immobilization of a Lewis Acid Polyoxometalate onto Layered Double Hydroxides for Highly Efficient N-Oxidation of Pyridine-Based Derivatives and Denitrogenation","type":"article-journal","volume":"7"},"uris":["http://www.mendeley.com/documents/?uuid=27d4ce6e-c684-4f46-8adf-3514df761e2f"]}],"mendeley":{"formattedCitation":"[97]","plainTextFormattedCitation":"[97]","previouslyFormattedCitation":"[97]"},"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[97]</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{"citationItems":[{"id":"ITEM-1","itemData":{"id":"ITEM-1","issued":{"date-parts":[["0"]]},"title":"F. F. Bamoharram, M. M. Heravi, M. Roshani and N. Tavakoli, J. Mol. Catal. A: Chem, 2006, 252, 219-225.","type":"article-journal"},"uris":["http://www.mendeley.com/documents/?uuid=7092fce9-edaa-4b55-b65c-39eb9eecbd9b"]}],"mendeley":{"formattedCitation":"[98]","plainTextFormattedCitation":"[98]","previouslyFormattedCitation":"[98]"},"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[98]</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{"citationItems":[{"id":"ITEM-1","itemData":{"id":"ITEM-1","issued":{"date-parts":[["0"]]},"title":"Y. Chen, D. Yan and Y. F. Song, Dalton Trans., 2014, 43, 14570.","type":"article-journal"},"uris":["http://www.mendeley.com/documents/?uuid=6302fe1a-e887-4d26-a6fd-bfbb937029b9"]}],"mendeley":{"formattedCitation":"[99]","plainTextFormattedCitation":"[99]","previouslyFormattedCitation":"[99]"},"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[99]</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{"citationItems":[{"id":"ITEM-1","itemData":{"id":"ITEM-1","issued":{"date-parts":[["0"]]},"title":"Y. Dou, J. Han, T. Wang, M. Wei, D. G. Evans and X. Duan, Langmuir, 2012, 28, 9535-9542.","type":"article-journal"},"uris":["http://www.mendeley.com/documents/?uuid=2989e296-5856-418d-b7a0-d2a4c4e8932c"]}],"mendeley":{"formattedCitation":"[100]","plainTextFormattedCitation":"[100]","previouslyFormattedCitation":"[100]"},"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[100]</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fldChar w:fldCharType="begin" w:fldLock="1"/>
      </w:r>
      <w:r>
        <w:rPr>
          <w:rFonts w:hint="default" w:ascii="Times New Roman" w:hAnsi="Times New Roman" w:cs="Times New Roman"/>
          <w:color w:val="000000" w:themeColor="text1"/>
          <w:sz w:val="24"/>
          <w:szCs w:val="24"/>
        </w:rPr>
        <w:instrText xml:space="preserve">ADDIN CSL_CITATION {"citationItems":[{"id":"ITEM-1","itemData":{"id":"ITEM-1","issued":{"date-parts":[["0"]]},"title":"Z. P. Xu and H. C. Zeng, Chem. Mater., 2001, 13, 4555-4563.","type":"article-journal"},"uris":["http://www.mendeley.com/documents/?uuid=d8834470-677e-4dd0-a4de-14a3ad8abb4b"]}],"mendeley":{"formattedCitation":"[101]","plainTextFormattedCitation":"[101]"},"properties":{"noteIndex":0},"schema":"https://github.com/citation-style-language/schema/raw/master/csl-citation.json"}</w:instrText>
      </w:r>
      <w:r>
        <w:rPr>
          <w:rFonts w:hint="default" w:ascii="Times New Roman" w:hAnsi="Times New Roman" w:cs="Times New Roman"/>
          <w:color w:val="000000" w:themeColor="text1"/>
          <w:sz w:val="24"/>
          <w:szCs w:val="24"/>
        </w:rPr>
        <w:fldChar w:fldCharType="separate"/>
      </w:r>
      <w:r>
        <w:rPr>
          <w:rFonts w:hint="default" w:ascii="Times New Roman" w:hAnsi="Times New Roman" w:cs="Times New Roman"/>
          <w:color w:val="000000" w:themeColor="text1"/>
          <w:sz w:val="24"/>
          <w:szCs w:val="24"/>
        </w:rPr>
        <w:t>[101]</w:t>
      </w:r>
      <w:r>
        <w:rPr>
          <w:rFonts w:hint="default" w:ascii="Times New Roman" w:hAnsi="Times New Roman" w:cs="Times New Roman"/>
          <w:color w:val="000000" w:themeColor="text1"/>
          <w:sz w:val="24"/>
          <w:szCs w:val="24"/>
        </w:rPr>
        <w:fldChar w:fldCharType="end"/>
      </w:r>
      <w:r>
        <w:rPr>
          <w:rFonts w:hint="default" w:ascii="Times New Roman" w:hAnsi="Times New Roman" w:cs="Times New Roman"/>
          <w:color w:val="000000" w:themeColor="text1"/>
          <w:sz w:val="24"/>
          <w:szCs w:val="24"/>
        </w:rPr>
        <w:t>.</w:t>
      </w:r>
    </w:p>
    <w:p w14:paraId="2B80709D">
      <w:pPr>
        <w:spacing w:line="360" w:lineRule="auto"/>
        <w:rPr>
          <w:rFonts w:hint="default" w:ascii="Times New Roman" w:hAnsi="Times New Roman" w:cs="Times New Roman"/>
          <w:color w:val="EE0000"/>
          <w:sz w:val="24"/>
          <w:szCs w:val="24"/>
        </w:rPr>
      </w:pPr>
      <w:r>
        <w:rPr>
          <w:rFonts w:hint="default" w:ascii="Times New Roman" w:hAnsi="Times New Roman" w:cs="Times New Roman"/>
          <w:b/>
          <w:bCs/>
          <w:sz w:val="24"/>
          <w:szCs w:val="24"/>
          <w:lang w:val="en-IN"/>
        </w:rPr>
        <w:t>Scheme 32 :</w:t>
      </w:r>
      <w:r>
        <w:rPr>
          <w:rFonts w:hint="default" w:ascii="Times New Roman" w:hAnsi="Times New Roman" w:cs="Times New Roman"/>
          <w:color w:val="EE0000"/>
          <w:sz w:val="24"/>
          <w:szCs w:val="24"/>
        </w:rPr>
        <w:t xml:space="preserve"> </w:t>
      </w:r>
      <w:r>
        <w:rPr>
          <w:rFonts w:hint="default" w:ascii="Times New Roman" w:hAnsi="Times New Roman" w:cs="Times New Roman"/>
          <w:b/>
          <w:bCs/>
          <w:color w:val="0C0C0C" w:themeColor="text1" w:themeTint="F2"/>
          <w:sz w:val="24"/>
          <w:szCs w:val="24"/>
        </w:rPr>
        <w:t>Catalytic N-oxidation</w:t>
      </w:r>
      <w:r>
        <w:rPr>
          <w:rFonts w:hint="default" w:ascii="Times New Roman" w:hAnsi="Times New Roman" w:cs="Times New Roman"/>
          <w:color w:val="0C0C0C" w:themeColor="text1" w:themeTint="F2"/>
          <w:sz w:val="24"/>
          <w:szCs w:val="24"/>
        </w:rPr>
        <w:t xml:space="preserve"> </w:t>
      </w:r>
    </w:p>
    <w:p w14:paraId="07B33081">
      <w:pPr>
        <w:spacing w:line="360" w:lineRule="auto"/>
        <w:jc w:val="center"/>
        <w:rPr>
          <w:rFonts w:hint="default" w:ascii="Times New Roman" w:hAnsi="Times New Roman" w:cs="Times New Roman"/>
          <w:color w:val="EE0000"/>
          <w:sz w:val="24"/>
          <w:szCs w:val="24"/>
        </w:rPr>
      </w:pPr>
      <w:r>
        <w:rPr>
          <w:rFonts w:hint="default" w:ascii="Times New Roman" w:hAnsi="Times New Roman" w:cs="Times New Roman"/>
          <w:sz w:val="24"/>
          <w:szCs w:val="24"/>
        </w:rPr>
        <w:object>
          <v:shape id="_x0000_i1057" o:spt="75" type="#_x0000_t75" style="height:100.35pt;width:322.35pt;" o:ole="t" filled="f" o:preferrelative="t" stroked="f" coordsize="21600,21600">
            <v:path/>
            <v:fill on="f" focussize="0,0"/>
            <v:stroke on="f" joinstyle="miter"/>
            <v:imagedata r:id="rId83" o:title=""/>
            <o:lock v:ext="edit" aspectratio="t"/>
            <w10:wrap type="none"/>
            <w10:anchorlock/>
          </v:shape>
          <o:OLEObject Type="Embed" ProgID="ChemDraw_x64.Document.6.0" ShapeID="_x0000_i1057" DrawAspect="Content" ObjectID="_1468075757" r:id="rId82">
            <o:LockedField>false</o:LockedField>
          </o:OLEObject>
        </w:object>
      </w:r>
    </w:p>
    <w:p w14:paraId="1620F751">
      <w:pPr>
        <w:spacing w:line="360" w:lineRule="auto"/>
        <w:rPr>
          <w:rFonts w:hint="default" w:ascii="Times New Roman" w:hAnsi="Times New Roman" w:cs="Times New Roman"/>
          <w:color w:val="EE0000"/>
          <w:sz w:val="24"/>
          <w:szCs w:val="24"/>
        </w:rPr>
      </w:pPr>
      <w:r>
        <w:rPr>
          <w:rFonts w:hint="default" w:ascii="Times New Roman" w:hAnsi="Times New Roman" w:cs="Times New Roman"/>
          <w:color w:val="000000" w:themeColor="text1"/>
          <w:sz w:val="24"/>
          <w:szCs w:val="24"/>
        </w:rPr>
        <w:t>This transformation highlights the potential of Tris-LDH-La(PW₁₁)₂ as a robust, recyclable, and environmentally benign catalyst for the selective N-oxidation of pyridine derivatives under mild conditions.</w:t>
      </w:r>
    </w:p>
    <w:p w14:paraId="1FB3B73E">
      <w:pPr>
        <w:spacing w:before="100" w:beforeAutospacing="1" w:after="100" w:afterAutospacing="1" w:line="360" w:lineRule="auto"/>
        <w:jc w:val="both"/>
        <w:rPr>
          <w:rFonts w:hint="default" w:ascii="Times New Roman" w:hAnsi="Times New Roman" w:eastAsia="Times New Roman" w:cs="Times New Roman"/>
          <w:b/>
          <w:bCs/>
          <w:kern w:val="0"/>
          <w:sz w:val="24"/>
          <w:szCs w:val="24"/>
          <w:lang w:val="en-IN" w:eastAsia="en-IN" w:bidi="ar-SA"/>
          <w14:ligatures w14:val="none"/>
        </w:rPr>
      </w:pPr>
      <w:r>
        <w:rPr>
          <w:rFonts w:hint="default" w:ascii="Times New Roman" w:hAnsi="Times New Roman" w:eastAsia="Times New Roman" w:cs="Times New Roman"/>
          <w:b/>
          <w:bCs/>
          <w:kern w:val="0"/>
          <w:sz w:val="24"/>
          <w:szCs w:val="24"/>
          <w:lang w:val="en-IN" w:eastAsia="en-IN" w:bidi="ar-SA"/>
          <w14:ligatures w14:val="none"/>
        </w:rPr>
        <w:t>Conclusive Summary</w:t>
      </w:r>
    </w:p>
    <w:p w14:paraId="1FB3B73F">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Picoline N-oxides, derived from methyl-substituted pyridines, represent a class of heterocyclic compounds with significant synthetic and pharmacological importance. Their unique structural features particularly the presence of an N-oxide functional group impart distinct electronic and steric properties that influence reactivity, solubility, and biological activity. The position of the methyl group on the pyridine ring (2, 3, or 4-picoline) plays a critical role in determining regioselectivity during oxidation and subsequent transformations.</w:t>
      </w:r>
    </w:p>
    <w:p w14:paraId="1FB3B740">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These compounds serve as versatile intermediates in organic synthesis, acting as oxygen donors, directing groups, and precursors to various functionalized heterocycles. Their ability to undergo electrophilic substitution, nucleophilic addition, and rearrangement reactions makes them valuable tools in constructing complex molecular architectures. Moreover, picoline N-oxides are employed as ligands in coordination chemistry, where their electron-rich nitrogen and oxygen atoms facilitate metal binding and catalysis.</w:t>
      </w:r>
    </w:p>
    <w:p w14:paraId="1FB3B741">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In medicinal chemistry, picoline N-oxides have shown promise due to their enhanced water solubility and potential bioactivity. They are explored as prodrug candidates, redox-sensitive agents, and modulators of enzyme activity. Their incorporation into drug molecules can improve pharmacokinetic profiles and target specificity. Additionally, their role in agrochemicals and materials science such as in the development of herbicides, dyes, and polymer additives further underscores their broad applicability.</w:t>
      </w:r>
    </w:p>
    <w:p w14:paraId="1FB3B742">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Recent advancements in synthetic methodologies, including catalytic oxidation, electrochemical approaches, and green chemistry protocols, have improved the efficiency and sustainability of picoline N-oxide production. These innovations address challenges related to regioselectivity, scalability, and environmental impact.</w:t>
      </w:r>
    </w:p>
    <w:p w14:paraId="1FB3B743">
      <w:pPr>
        <w:spacing w:before="100" w:beforeAutospacing="1" w:after="100" w:afterAutospacing="1" w:line="360" w:lineRule="auto"/>
        <w:jc w:val="both"/>
        <w:rPr>
          <w:rFonts w:hint="default" w:ascii="Times New Roman" w:hAnsi="Times New Roman" w:eastAsia="Times New Roman" w:cs="Times New Roman"/>
          <w:kern w:val="0"/>
          <w:sz w:val="24"/>
          <w:szCs w:val="24"/>
          <w:lang w:val="en-IN" w:eastAsia="en-IN" w:bidi="ar-SA"/>
          <w14:ligatures w14:val="none"/>
        </w:rPr>
      </w:pPr>
      <w:r>
        <w:rPr>
          <w:rFonts w:hint="default" w:ascii="Times New Roman" w:hAnsi="Times New Roman" w:eastAsia="Times New Roman" w:cs="Times New Roman"/>
          <w:kern w:val="0"/>
          <w:sz w:val="24"/>
          <w:szCs w:val="24"/>
          <w:lang w:val="en-IN" w:eastAsia="en-IN" w:bidi="ar-SA"/>
          <w14:ligatures w14:val="none"/>
        </w:rPr>
        <w:t>This review consolidates foundational knowledge and emerging trends surrounding picoline N-oxides, highlighting their multifaceted roles across chemical disciplines. Future research may focus on chiral N-oxide derivatives, photoredox applications, and computational modeling to unlock new functionalities and therapeutic potentials. Overall, picoline N-oxides stand as indispensable entities in the evolving landscape of heterocyclic chemistry, offering rich opportunities for innovation in synthesis, catalysis, and biomedical science.</w:t>
      </w:r>
    </w:p>
    <w:p w14:paraId="6872A8DE">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vertAlign w:val="superscript"/>
        </w:rPr>
        <w:pict>
          <v:line id="Straight Connector 1" o:spid="_x0000_s1032" o:spt="20" style="position:absolute;left:0pt;margin-left:0pt;margin-top:0pt;height:1.65pt;width:483.9pt;mso-position-horizontal-relative:margin;z-index:251662336;mso-width-relative:page;mso-height-relative:page;" filled="f" stroked="t" coordsize="21600,21600" o:gfxdata="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Edj1QAAAAMBAAAPAAAAAAAAAAEAIAAAACIAAABkcnMvZG93bnJldi54bWxQSwECFAAUAAAACACH&#10;TuJAjT9ZDu4BAADiAwAADgAAAAAAAAABACAAAAAkAQAAZHJzL2Uyb0RvYy54bWxQSwUGAAAAAAYA&#10;BgBZAQAAhAUAAAAA&#10;">
            <v:path arrowok="t"/>
            <v:fill on="f" focussize="0,0"/>
            <v:stroke color="#4A7EBB" joinstyle="round"/>
            <v:imagedata o:title=""/>
            <o:lock v:ext="edit" aspectratio="f"/>
          </v:line>
        </w:pict>
      </w:r>
      <w:r>
        <w:rPr>
          <w:rFonts w:hint="default" w:ascii="Times New Roman" w:hAnsi="Times New Roman" w:cs="Times New Roman"/>
          <w:b/>
          <w:bCs/>
          <w:sz w:val="24"/>
          <w:szCs w:val="24"/>
          <w:vertAlign w:val="superscript"/>
          <w:lang w:val="en-US"/>
        </w:rPr>
        <w:t>Acknowledgment</w:t>
      </w:r>
    </w:p>
    <w:p w14:paraId="1FB3B745">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sz w:val="24"/>
          <w:szCs w:val="24"/>
          <w:lang w:val="en-IN"/>
        </w:rPr>
        <w:t>The authors gratefully acknowledge the institutional support and the valuable insights received during the preparation of this review. Constructive input from colleagues and mentors is sincerely appreciated.</w:t>
      </w:r>
    </w:p>
    <w:p w14:paraId="1FB3B746">
      <w:pPr>
        <w:spacing w:line="36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Declaration of Competing Interest</w:t>
      </w:r>
      <w:r>
        <w:rPr>
          <w:rFonts w:hint="default" w:ascii="Times New Roman" w:hAnsi="Times New Roman" w:cs="Times New Roman"/>
          <w:sz w:val="24"/>
          <w:szCs w:val="24"/>
        </w:rPr>
        <w:t xml:space="preserve"> </w:t>
      </w:r>
    </w:p>
    <w:p w14:paraId="1FB3B747">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t>The authors declare no conflict of interest, financial or other- wise.</w:t>
      </w:r>
    </w:p>
    <w:p w14:paraId="1FB3B748">
      <w:pPr>
        <w:spacing w:line="360" w:lineRule="auto"/>
        <w:jc w:val="both"/>
        <w:rPr>
          <w:rFonts w:hint="default" w:ascii="Times New Roman" w:hAnsi="Times New Roman" w:cs="Times New Roman"/>
          <w:sz w:val="24"/>
          <w:szCs w:val="24"/>
          <w:lang w:val="en-IN"/>
        </w:rPr>
      </w:pPr>
      <w:r>
        <w:rPr>
          <w:rFonts w:hint="default" w:ascii="Times New Roman" w:hAnsi="Times New Roman" w:cs="Times New Roman"/>
          <w:b/>
          <w:bCs/>
          <w:sz w:val="24"/>
          <w:szCs w:val="24"/>
          <w:vertAlign w:val="superscript"/>
        </w:rPr>
        <w:pict>
          <v:line id="_x0000_s1031" o:spid="_x0000_s1031" o:spt="20" style="position:absolute;left:0pt;margin-left:0pt;margin-top:0pt;height:1.65pt;width:483.9pt;mso-position-horizontal-relative:margin;z-index:251661312;mso-width-relative:page;mso-height-relative:page;" filled="f" stroked="t" coordsize="21600,21600" o:gfxdata="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PxHY9UAAAADAQAADwAAAAAAAAABACAAAAAiAAAAZHJzL2Rvd25yZXYueG1sUEsBAhQAFAAAAAgA&#10;h07iQJav0BzvAQAA4gMAAA4AAAAAAAAAAQAgAAAAJAEAAGRycy9lMm9Eb2MueG1sUEsFBgAAAAAG&#10;AAYAWQEAAIUFAAAAAA==&#10;">
            <v:path arrowok="t"/>
            <v:fill on="f" focussize="0,0"/>
            <v:stroke color="#4A7EBB" joinstyle="round"/>
            <v:imagedata o:title=""/>
            <o:lock v:ext="edit" aspectratio="f"/>
          </v:line>
        </w:pict>
      </w:r>
    </w:p>
    <w:p w14:paraId="1FB3B749">
      <w:pPr>
        <w:spacing w:line="360" w:lineRule="auto"/>
        <w:jc w:val="both"/>
        <w:rPr>
          <w:rFonts w:hint="default" w:ascii="Times New Roman" w:hAnsi="Times New Roman" w:cs="Times New Roman"/>
          <w:b/>
          <w:bCs/>
          <w:sz w:val="24"/>
          <w:szCs w:val="24"/>
          <w:lang w:val="en-IN"/>
        </w:rPr>
      </w:pPr>
      <w:r>
        <w:rPr>
          <w:rFonts w:hint="default" w:ascii="Times New Roman" w:hAnsi="Times New Roman" w:cs="Times New Roman"/>
          <w:b/>
          <w:bCs/>
          <w:sz w:val="24"/>
          <w:szCs w:val="24"/>
          <w:lang w:val="en-IN"/>
        </w:rPr>
        <w:t>REFERENCE</w:t>
      </w:r>
    </w:p>
    <w:p w14:paraId="1AE75A0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sz w:val="24"/>
          <w:szCs w:val="24"/>
          <w:lang w:val="en-IN"/>
        </w:rPr>
        <w:fldChar w:fldCharType="begin" w:fldLock="1"/>
      </w:r>
      <w:r>
        <w:rPr>
          <w:rFonts w:hint="default" w:ascii="Times New Roman" w:hAnsi="Times New Roman" w:cs="Times New Roman"/>
          <w:sz w:val="24"/>
          <w:szCs w:val="24"/>
          <w:lang w:val="en-IN"/>
        </w:rPr>
        <w:instrText xml:space="preserve">ADDIN Mendeley Bibliography CSL_BIBLIOGRAPHY </w:instrText>
      </w:r>
      <w:r>
        <w:rPr>
          <w:rFonts w:hint="default" w:ascii="Times New Roman" w:hAnsi="Times New Roman" w:cs="Times New Roman"/>
          <w:sz w:val="24"/>
          <w:szCs w:val="24"/>
          <w:lang w:val="en-IN"/>
        </w:rPr>
        <w:fldChar w:fldCharType="separate"/>
      </w:r>
      <w:r>
        <w:rPr>
          <w:rFonts w:hint="default" w:ascii="Times New Roman" w:hAnsi="Times New Roman" w:cs="Times New Roman"/>
          <w:kern w:val="0"/>
          <w:sz w:val="24"/>
          <w:szCs w:val="24"/>
        </w:rPr>
        <w:t>[1]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“Weidel, H. (1879). ‘Studien über Verbindungen aus dem animalischen Theer’ [On studies of compounds from animal tar]. Berichte der Deutschen Chemischen Gesellschaft (in German). 12 (2): 1989–2012. doi:10.1002/cber.187901202207. From p. 2008: "Eine vollstän”.</w:t>
      </w:r>
    </w:p>
    <w:p w14:paraId="3874673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“On (Weidel, 1879), pp. 2000–2001, Weidel shows that decarboxylation of picolinic acid yields pyridine. On (Weidel, 1873), p. 343, Weidel shows that decarboxylation of niacin yields pyridine. On (Weidel, 1879), p. 2000,”.</w:t>
      </w:r>
    </w:p>
    <w:p w14:paraId="64A7E80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M. (1956). Ross, Sidney D.; Kelley, Donald J.; Labes, “‘Molecular Compounds. VII. Interactions between 1,3,5-Trinitrobenzene and Pyridine-N-Oxides in Chloroform Solution’.,”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78, no. 15, pp. 3625–3627, 1956, doi: https://doi.org/10.1021%2Fja01596a019.</w:t>
      </w:r>
    </w:p>
    <w:p w14:paraId="187CCF2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L. Calkin, “United States Patent Office,” </w:t>
      </w:r>
      <w:r>
        <w:rPr>
          <w:rFonts w:hint="default" w:ascii="Times New Roman" w:hAnsi="Times New Roman" w:cs="Times New Roman"/>
          <w:i/>
          <w:iCs/>
          <w:kern w:val="0"/>
          <w:sz w:val="24"/>
          <w:szCs w:val="24"/>
        </w:rPr>
        <w:t>Palimpsest (Iowa. City).</w:t>
      </w:r>
      <w:r>
        <w:rPr>
          <w:rFonts w:hint="default" w:ascii="Times New Roman" w:hAnsi="Times New Roman" w:cs="Times New Roman"/>
          <w:kern w:val="0"/>
          <w:sz w:val="24"/>
          <w:szCs w:val="24"/>
        </w:rPr>
        <w:t>, vol. 50, no. 7, pp. 2–4, 1969, doi: 10.17077/0031-0360.24332.</w:t>
      </w:r>
    </w:p>
    <w:p w14:paraId="0723BBA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et al. Gomes, E.L., de Freitas, D.A., Condotta, “Direct oxidation of 3-picoline (3-methyl-pyridine) to nicotinic acid with pure HNO3.,” </w:t>
      </w:r>
      <w:r>
        <w:rPr>
          <w:rFonts w:hint="default" w:ascii="Times New Roman" w:hAnsi="Times New Roman" w:cs="Times New Roman"/>
          <w:i/>
          <w:iCs/>
          <w:kern w:val="0"/>
          <w:sz w:val="24"/>
          <w:szCs w:val="24"/>
        </w:rPr>
        <w:t>Braz. J. Chem. Eng.</w:t>
      </w:r>
      <w:r>
        <w:rPr>
          <w:rFonts w:hint="default" w:ascii="Times New Roman" w:hAnsi="Times New Roman" w:cs="Times New Roman"/>
          <w:kern w:val="0"/>
          <w:sz w:val="24"/>
          <w:szCs w:val="24"/>
        </w:rPr>
        <w:t>, vol. 41, pp. 1021–1033, 2023, doi: https://doi.org/10.1007/s43153-023-00369-0.</w:t>
      </w:r>
    </w:p>
    <w:p w14:paraId="00E296C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F. C. Intermediates, “The Role of 4-Methylpyridine N-Oxide in Modern Organic Synthesis”.</w:t>
      </w:r>
    </w:p>
    <w:p w14:paraId="0FBF81C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“Unverdorben, Otto (1826). ‘Ueber das Verhalten der organischen Körper in höheren Temperaturen’ [On the behavior of organic substances at high temperatures]. Annalen der Physik und Chemie. 2nd series (in German). 8: 253–265, 477–487. Unverdorben named pico”.</w:t>
      </w:r>
    </w:p>
    <w:p w14:paraId="40E354B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“Anderson, Thomas (1849). ‘On the constitution and properties of picoline, a new organic base from coal-tar’. Transactions of the Royal Society of Edinburgh. 16 (2): 123–136. doi:10.1017/S0080456800024984. On p. 124, Anderson names picoline. Anderson, Thom”.</w:t>
      </w:r>
    </w:p>
    <w:p w14:paraId="6C35BB2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“Baeyer, Adolf (1870). ‘Untersuchungen über die Basen der Pyridin- und Chinolinreihe. I. Ueber die Synthese des Picolins’ [Investigations into the bases of the pyridine and quinoline series. I. On the synthesis of picoline]. Annalen der Chemie und Pharmaci”.</w:t>
      </w:r>
    </w:p>
    <w:p w14:paraId="645967A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“National Center for Biotechnology Information (2025). PubChem Compound Summary for Picolines. Retrieved September 24, 2025 from https://pubchem.ncbi.nlm.nih.gov/compound/Picolines.”.</w:t>
      </w:r>
    </w:p>
    <w:p w14:paraId="54EB9E7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S. Guidelines, “BETA PICOLINE- SPECIFICATION : Not Applicable,” no. April, 2024.</w:t>
      </w:r>
    </w:p>
    <w:p w14:paraId="6E2BC2D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C. Identification, “Section 1 - Chemical Product and Company Identification Section 3 - Hazards Identification Section 4 - First Aid Measures,” </w:t>
      </w:r>
      <w:r>
        <w:rPr>
          <w:rFonts w:hint="default" w:ascii="Times New Roman" w:hAnsi="Times New Roman" w:cs="Times New Roman"/>
          <w:i/>
          <w:iCs/>
          <w:kern w:val="0"/>
          <w:sz w:val="24"/>
          <w:szCs w:val="24"/>
        </w:rPr>
        <w:t>Facilities</w:t>
      </w:r>
      <w:r>
        <w:rPr>
          <w:rFonts w:hint="default" w:ascii="Times New Roman" w:hAnsi="Times New Roman" w:cs="Times New Roman"/>
          <w:kern w:val="0"/>
          <w:sz w:val="24"/>
          <w:szCs w:val="24"/>
        </w:rPr>
        <w:t>, pp. 1–5, 2010.</w:t>
      </w:r>
    </w:p>
    <w:p w14:paraId="1FDE194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T. O. H. C. S. 29 C. F. R. 1910.1200, “Safety Data Sheet . ةم سلا تانايب ةرشن Safety Data Sheet,” </w:t>
      </w:r>
      <w:r>
        <w:rPr>
          <w:rFonts w:hint="default" w:ascii="Times New Roman" w:hAnsi="Times New Roman" w:cs="Times New Roman"/>
          <w:i/>
          <w:iCs/>
          <w:kern w:val="0"/>
          <w:sz w:val="24"/>
          <w:szCs w:val="24"/>
        </w:rPr>
        <w:t>Mater. Saf. Data Sheet</w:t>
      </w:r>
      <w:r>
        <w:rPr>
          <w:rFonts w:hint="default" w:ascii="Times New Roman" w:hAnsi="Times New Roman" w:cs="Times New Roman"/>
          <w:kern w:val="0"/>
          <w:sz w:val="24"/>
          <w:szCs w:val="24"/>
        </w:rPr>
        <w:t>, vol. 4, no. 2, pp. 1–6, 2012, [Online]. Available: https://shrinkwrapcontainments.com/Images/media/SDS%0AShrink%0AFilm.pdf</w:t>
      </w:r>
    </w:p>
    <w:p w14:paraId="267D9A8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“Alpha Picoline Safety Data Sheet Jubilant Ingrevia Limited Alpha Picoline Safety Data Sheet Jubilant Ingrevia Limited,” vol. 2012, no. HazCom, pp. 1–9, 2012.</w:t>
      </w:r>
    </w:p>
    <w:p w14:paraId="3B9E1B0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Adams and S. Miyano, “Condensation Reactions of Picoline 1-Oxides,”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76, no. 12, pp. 3168–3171, 1954, doi: 10.1021/ja01641a017.</w:t>
      </w:r>
    </w:p>
    <w:p w14:paraId="3B801AF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WERNER HERZ AND LIN TSAI, “4-Nitro- and 4-Amino-3-picoline,” vol. 76, pp. 4184–4185, 1954.</w:t>
      </w:r>
    </w:p>
    <w:p w14:paraId="3C9812E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F. H. Tetsuzo Kato, “Synthesis of Methylpyridine Derivatives IX. Reduction of 4-Nitro-2,6-lutidine 1-oxide and 4-Nitro-3-picoline 1-oxide,” </w:t>
      </w:r>
      <w:r>
        <w:rPr>
          <w:rFonts w:hint="default" w:ascii="Times New Roman" w:hAnsi="Times New Roman" w:cs="Times New Roman"/>
          <w:i/>
          <w:iCs/>
          <w:kern w:val="0"/>
          <w:sz w:val="24"/>
          <w:szCs w:val="24"/>
        </w:rPr>
        <w:t>NII-Electronic Libr. Serv.</w:t>
      </w:r>
      <w:r>
        <w:rPr>
          <w:rFonts w:hint="default" w:ascii="Times New Roman" w:hAnsi="Times New Roman" w:cs="Times New Roman"/>
          <w:kern w:val="0"/>
          <w:sz w:val="24"/>
          <w:szCs w:val="24"/>
        </w:rPr>
        <w:t>, vol. 4, pp. 174–177, 1956.</w:t>
      </w:r>
    </w:p>
    <w:p w14:paraId="311A348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Y. G. Mosatomo Hamana, “Studies on tertiary amine oxides III. King reaction of 2-picoline 1- oxide,” </w:t>
      </w:r>
      <w:r>
        <w:rPr>
          <w:rFonts w:hint="default" w:ascii="Times New Roman" w:hAnsi="Times New Roman" w:cs="Times New Roman"/>
          <w:i/>
          <w:iCs/>
          <w:kern w:val="0"/>
          <w:sz w:val="24"/>
          <w:szCs w:val="24"/>
        </w:rPr>
        <w:t>NII-Electronic Libr. Serv.</w:t>
      </w:r>
      <w:r>
        <w:rPr>
          <w:rFonts w:hint="default" w:ascii="Times New Roman" w:hAnsi="Times New Roman" w:cs="Times New Roman"/>
          <w:kern w:val="0"/>
          <w:sz w:val="24"/>
          <w:szCs w:val="24"/>
        </w:rPr>
        <w:t>, vol. 8, pp. 692–697, 1960.</w:t>
      </w:r>
    </w:p>
    <w:p w14:paraId="555F297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J. J. Traynelis and R. F. Martello, “Aromatic N-Oxides. 111. Reaction of Z-PicOline N-Oxide with Phenyl Acetates1s2,”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82, no. 2, p. 2744, 1961.</w:t>
      </w:r>
    </w:p>
    <w:p w14:paraId="3EC69A1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 Reaction, “5216 B a i n and Saxton: The Reaction of Nicotinic Acid 1031. The Reaction,” no. 5216, pp. 5216–5223, 1964.</w:t>
      </w:r>
    </w:p>
    <w:p w14:paraId="64113DD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“Ramirez and von Ostwalden, Chem. and Ind., 1957, 46; J. Amer. Chem. SOC., 1959, 81, 156.”.</w:t>
      </w:r>
    </w:p>
    <w:p w14:paraId="047F304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“Taylor and Crovetti, J. Org. Cltem., 1964, 19, 1636.”.</w:t>
      </w:r>
    </w:p>
    <w:p w14:paraId="1E6B402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“Boekelheide and Linn, J. Anter. Chem. SOC., 1954, 76, 1286.”.</w:t>
      </w:r>
    </w:p>
    <w:p w14:paraId="1389BCE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“Boekelheide reaction.In: Name Reactions. Springer, Berlin,” </w:t>
      </w:r>
      <w:r>
        <w:rPr>
          <w:rFonts w:hint="default" w:ascii="Times New Roman" w:hAnsi="Times New Roman" w:cs="Times New Roman"/>
          <w:i/>
          <w:iCs/>
          <w:kern w:val="0"/>
          <w:sz w:val="24"/>
          <w:szCs w:val="24"/>
        </w:rPr>
        <w:t>Springer, Berlin, Heidelb.</w:t>
      </w:r>
      <w:r>
        <w:rPr>
          <w:rFonts w:hint="default" w:ascii="Times New Roman" w:hAnsi="Times New Roman" w:cs="Times New Roman"/>
          <w:kern w:val="0"/>
          <w:sz w:val="24"/>
          <w:szCs w:val="24"/>
        </w:rPr>
        <w:t>, 2006, doi: https://doi.org/10.1007/3-540-30031-7_32.</w:t>
      </w:r>
    </w:p>
    <w:p w14:paraId="26212A3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“J.A. Berson and T Cohen journal of american chemical society 77,1281,1955”.</w:t>
      </w:r>
    </w:p>
    <w:p w14:paraId="615C2A5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Shigeru Oae, Teijiro kitao, “The mechanism of the reaction of 2-Picoline N-Oxide with acetic anhydride,” vol. 84, pp. 3359–3362, 1962.</w:t>
      </w:r>
    </w:p>
    <w:p w14:paraId="27D1EAB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Shigeru Oae, Teijiro kitao, “The mechanism of the reaction of 4 -picoline N- oxide with Acetic Anhydride,” vol. 84, pp. 3362–3365, 1962.</w:t>
      </w:r>
    </w:p>
    <w:p w14:paraId="3B26E392">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Y. G. Tetsuzo Kato, “Synthesis of Methylpyridine Derivatives. The Reaction of Picolines and their N-Oxides with Amyl Nitrites,” </w:t>
      </w:r>
      <w:r>
        <w:rPr>
          <w:rFonts w:hint="default" w:ascii="Times New Roman" w:hAnsi="Times New Roman" w:cs="Times New Roman"/>
          <w:i/>
          <w:iCs/>
          <w:kern w:val="0"/>
          <w:sz w:val="24"/>
          <w:szCs w:val="24"/>
        </w:rPr>
        <w:t>NII-Electronic Libr. Serv.</w:t>
      </w:r>
      <w:r>
        <w:rPr>
          <w:rFonts w:hint="default" w:ascii="Times New Roman" w:hAnsi="Times New Roman" w:cs="Times New Roman"/>
          <w:kern w:val="0"/>
          <w:sz w:val="24"/>
          <w:szCs w:val="24"/>
        </w:rPr>
        <w:t>, vol. 11, pp. 461–465, 1963.</w:t>
      </w:r>
    </w:p>
    <w:p w14:paraId="5DF5377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[29]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“The Acylation of 2-Picoline-N-oxide and 2,6-Lutidine N-oxide,” vol. 1, no. 1, pp. 138–140, [Online]. Available: Department of Chemistry, University of Pittsburgh</w:t>
      </w:r>
    </w:p>
    <w:p w14:paraId="235EECB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D. Behun and R. Levine, ibid., 81, 5157 (1959).”.</w:t>
      </w:r>
    </w:p>
    <w:p w14:paraId="0BABD95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“R. Adams and S. J. Miyano, ibid., 76, 3168 (1954).”.</w:t>
      </w:r>
    </w:p>
    <w:p w14:paraId="5ABD7C3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Boekelheide and R. J. Windgassen, ibid.. 81, 1456 (1959).”.</w:t>
      </w:r>
    </w:p>
    <w:p w14:paraId="3252A711">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“T. Kato and Y. Goto, Chem. Phnrm. BUZZ., 11, 461 (1963).”.</w:t>
      </w:r>
    </w:p>
    <w:p w14:paraId="27DFF84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Y. K. and T. K. S. OAE*, “rearrangement of tertiary amine oxides - SOLVENT EFFECTS ON THE REACTIONS OF Z- AND 4-PICOLINE N-OXIDES WITH ACETIC ANHYDRIDE,” </w:t>
      </w:r>
      <w:r>
        <w:rPr>
          <w:rFonts w:hint="default" w:ascii="Times New Roman" w:hAnsi="Times New Roman" w:cs="Times New Roman"/>
          <w:i/>
          <w:iCs/>
          <w:kern w:val="0"/>
          <w:sz w:val="24"/>
          <w:szCs w:val="24"/>
        </w:rPr>
        <w:t>Tetrahedron</w:t>
      </w:r>
      <w:r>
        <w:rPr>
          <w:rFonts w:hint="default" w:ascii="Times New Roman" w:hAnsi="Times New Roman" w:cs="Times New Roman"/>
          <w:kern w:val="0"/>
          <w:sz w:val="24"/>
          <w:szCs w:val="24"/>
        </w:rPr>
        <w:t>, vol. 20, pp. 2645–2689, 1964.</w:t>
      </w:r>
    </w:p>
    <w:p w14:paraId="564502C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J. Traynelis and R. F. Martello, J. Amer. Chem. Sot. 80,659O (1958).”.</w:t>
      </w:r>
    </w:p>
    <w:p w14:paraId="30895D1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J. Traynelis and R. F. Martello, J. Amer. Ckm. Sot. 82,2744 (1960).”.</w:t>
      </w:r>
    </w:p>
    <w:p w14:paraId="20C54DC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“V. J. Traynelis, S. A. I. GaIlagher, I. H. M. and R. F. Martello, J. Org. C&amp;m. 26,436”.</w:t>
      </w:r>
    </w:p>
    <w:p w14:paraId="4C452F32">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S. A. I. gallagher Vicent J Trayneils, “Aromatic N-Oxides. V. The Reaction of 4-Picoline N-Oxide with Various Anhydrides,”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87, no. 24, pp. 5710–5715, 1965.</w:t>
      </w:r>
    </w:p>
    <w:p w14:paraId="1530669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[39]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B. P. W. Ford and J. M. Swan, “BY-PRODUCTS IN THE REACTION OF 2-PICOLINE N-OXIDE WITH ACETIC ANHYDRIDE,” </w:t>
      </w:r>
      <w:r>
        <w:rPr>
          <w:rFonts w:hint="default" w:ascii="Times New Roman" w:hAnsi="Times New Roman" w:cs="Times New Roman"/>
          <w:i/>
          <w:iCs/>
          <w:kern w:val="0"/>
          <w:sz w:val="24"/>
          <w:szCs w:val="24"/>
        </w:rPr>
        <w:t>Aust. J. Chem</w:t>
      </w:r>
      <w:r>
        <w:rPr>
          <w:rFonts w:hint="default" w:ascii="Times New Roman" w:hAnsi="Times New Roman" w:cs="Times New Roman"/>
          <w:kern w:val="0"/>
          <w:sz w:val="24"/>
          <w:szCs w:val="24"/>
        </w:rPr>
        <w:t>, vol. 18, 1965.</w:t>
      </w:r>
    </w:p>
    <w:p w14:paraId="7CDC3EA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“Okuda, S., Pharm. Bull., Tokyo, 1955, 3, 316.”.</w:t>
      </w:r>
    </w:p>
    <w:p w14:paraId="285CE61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“Kobayashi, G., and Furukawa, S., Pharm. Bull., Tokyo, 1953, 1, 347.”.</w:t>
      </w:r>
    </w:p>
    <w:p w14:paraId="0EF49EC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“Boekelheide, V., and Linn, W. J., J. Amer. Chem. Soc., 1954, 76, 1286.”.</w:t>
      </w:r>
    </w:p>
    <w:p w14:paraId="597D2E7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“Oae, S., Kitao, T., and Kitaoka, Y., J. Amer. Chem. Soc., 1962, 84, 3359.”.</w:t>
      </w:r>
    </w:p>
    <w:p w14:paraId="326D293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K. B. W.S. Chilton, “Preparation of Aldehydes Derivatives from Picoline N-Oxides,” vol. 32, pp. 1270–71, 1966.</w:t>
      </w:r>
    </w:p>
    <w:p w14:paraId="20D3A2A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G. L. D. Theodore Cohen, “The Reaction of 4-Picoline N-Oxide with Acetic Anhydride. Trapping of the Cationic Intermediate,” </w:t>
      </w:r>
      <w:r>
        <w:rPr>
          <w:rFonts w:hint="default" w:ascii="Times New Roman" w:hAnsi="Times New Roman" w:cs="Times New Roman"/>
          <w:i/>
          <w:iCs/>
          <w:kern w:val="0"/>
          <w:sz w:val="24"/>
          <w:szCs w:val="24"/>
        </w:rPr>
        <w:t>J. ojthe Am. Chem. Soc.</w:t>
      </w:r>
      <w:r>
        <w:rPr>
          <w:rFonts w:hint="default" w:ascii="Times New Roman" w:hAnsi="Times New Roman" w:cs="Times New Roman"/>
          <w:kern w:val="0"/>
          <w:sz w:val="24"/>
          <w:szCs w:val="24"/>
        </w:rPr>
        <w:t>, vol. 89, no. 15, pp. 3939–3940, 1967.</w:t>
      </w:r>
    </w:p>
    <w:p w14:paraId="721317C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T. KOENIG AND J. S. WIECZORE, “The Reactions of Trichloroacetyl Chloride with 2-Picoline N-Oxide and Pyridylcarbinols,”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33, no. 4, pp. 1530–1532, 1968.</w:t>
      </w:r>
    </w:p>
    <w:p w14:paraId="618377C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 L. Clark, J. Phys. Chem., 64, 1758 (1960);”.</w:t>
      </w:r>
    </w:p>
    <w:p w14:paraId="0B978C9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“G. Hall and F. Verhoek, J. Amer. Chcm. Soc., 69, 613 (1947)”.</w:t>
      </w:r>
    </w:p>
    <w:p w14:paraId="4FF8B77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[49]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“H. Patwardhan and A. N. Kappanna, 2. Physik. Chem. (Leipaig), A160, 51 (1933).”.</w:t>
      </w:r>
    </w:p>
    <w:p w14:paraId="13A36F2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“H. Bosshard, R. Moroy, M. Schmid, and H. Zollinger, Helu. Chim. Acto, 42, 175 (1959)”.</w:t>
      </w:r>
    </w:p>
    <w:p w14:paraId="7FEC0EF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S. Y. &amp; K. M. Takuzo Hisano, “Isolation and characterization of two primary cycloadducts from the reaction of phenylisocyanate with 3-picoline-n-oxide,” </w:t>
      </w:r>
      <w:r>
        <w:rPr>
          <w:rFonts w:hint="default" w:ascii="Times New Roman" w:hAnsi="Times New Roman" w:cs="Times New Roman"/>
          <w:i/>
          <w:iCs/>
          <w:kern w:val="0"/>
          <w:sz w:val="24"/>
          <w:szCs w:val="24"/>
        </w:rPr>
        <w:t>Org. Prep. Proced. Int.</w:t>
      </w:r>
      <w:r>
        <w:rPr>
          <w:rFonts w:hint="default" w:ascii="Times New Roman" w:hAnsi="Times New Roman" w:cs="Times New Roman"/>
          <w:kern w:val="0"/>
          <w:sz w:val="24"/>
          <w:szCs w:val="24"/>
        </w:rPr>
        <w:t>, vol. 5, no. 2, pp. 95–103, 1973, [Online]. Available: http://dx.doi.org/10.1080/00304947309356473</w:t>
      </w:r>
    </w:p>
    <w:p w14:paraId="1E073E3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N. M. Karayannis, C. M. Mikulski, L. L. Pytlewski, and M. M. Labes, “2-, 3-, and 4-Picoline N-Oxide Complexes with Cobalt(II), Nickel(II), and Copper(I1) Nitrates,” </w:t>
      </w:r>
      <w:r>
        <w:rPr>
          <w:rFonts w:hint="default" w:ascii="Times New Roman" w:hAnsi="Times New Roman" w:cs="Times New Roman"/>
          <w:i/>
          <w:iCs/>
          <w:kern w:val="0"/>
          <w:sz w:val="24"/>
          <w:szCs w:val="24"/>
        </w:rPr>
        <w:t>Inorg. Chem.</w:t>
      </w:r>
      <w:r>
        <w:rPr>
          <w:rFonts w:hint="default" w:ascii="Times New Roman" w:hAnsi="Times New Roman" w:cs="Times New Roman"/>
          <w:kern w:val="0"/>
          <w:sz w:val="24"/>
          <w:szCs w:val="24"/>
        </w:rPr>
        <w:t>, vol. 13, no. 5, pp. 1946–1951, 1973.</w:t>
      </w:r>
    </w:p>
    <w:p w14:paraId="16E9F8F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T. C. Jerry A. Jenkins, “Deuterium Isotopes effects and the Influence of Solvent in the Redox and Rearrangement Reactions of 2-Picoline N-oxide and Phenylacetic Anhydride,”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40, p. 24, 1975.</w:t>
      </w:r>
    </w:p>
    <w:p w14:paraId="29016F7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 L. Ash and R. G. Pews, “The Synthesis of 2-Chloromethylpyridine from 2-Picoline-N-Oxide,” vol. 98, no. c, pp. 5–6, 1981.</w:t>
      </w:r>
    </w:p>
    <w:p w14:paraId="371E814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I. Akio Oshawa, Takayuki Kawaguchi, “Flash Vacuum Pyrolysis of 2-Picoline N-oxide Formation of 2-picolyl Radical,” </w:t>
      </w:r>
      <w:r>
        <w:rPr>
          <w:rFonts w:hint="default" w:ascii="Times New Roman" w:hAnsi="Times New Roman" w:cs="Times New Roman"/>
          <w:i/>
          <w:iCs/>
          <w:kern w:val="0"/>
          <w:sz w:val="24"/>
          <w:szCs w:val="24"/>
        </w:rPr>
        <w:t>Chem.Pharm. Bull.</w:t>
      </w:r>
      <w:r>
        <w:rPr>
          <w:rFonts w:hint="default" w:ascii="Times New Roman" w:hAnsi="Times New Roman" w:cs="Times New Roman"/>
          <w:kern w:val="0"/>
          <w:sz w:val="24"/>
          <w:szCs w:val="24"/>
        </w:rPr>
        <w:t>, vol. 29, no. 5, pp. 1483–1486, 1981.</w:t>
      </w:r>
    </w:p>
    <w:p w14:paraId="2853229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N. Hata and I. Tanaka, “Chemical processes subsequent to n-π*and π-π*transitions of pyridine n-oxide and 2-picoline n-oxide,” </w:t>
      </w:r>
      <w:r>
        <w:rPr>
          <w:rFonts w:hint="default" w:ascii="Times New Roman" w:hAnsi="Times New Roman" w:cs="Times New Roman"/>
          <w:i/>
          <w:iCs/>
          <w:kern w:val="0"/>
          <w:sz w:val="24"/>
          <w:szCs w:val="24"/>
        </w:rPr>
        <w:t>J. Chem. Phys.</w:t>
      </w:r>
      <w:r>
        <w:rPr>
          <w:rFonts w:hint="default" w:ascii="Times New Roman" w:hAnsi="Times New Roman" w:cs="Times New Roman"/>
          <w:kern w:val="0"/>
          <w:sz w:val="24"/>
          <w:szCs w:val="24"/>
        </w:rPr>
        <w:t>, vol. 36, no. 8, pp. 2072–2077, 1962, doi: 10.1063/1.1732830.</w:t>
      </w:r>
    </w:p>
    <w:p w14:paraId="1863D15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D. X. W. and C. A. Nipp, “2-Amino-3-picoline N-oxide Complexes Formed from Various Copper(II) Salts,” </w:t>
      </w:r>
      <w:r>
        <w:rPr>
          <w:rFonts w:hint="default" w:ascii="Times New Roman" w:hAnsi="Times New Roman" w:cs="Times New Roman"/>
          <w:i/>
          <w:iCs/>
          <w:kern w:val="0"/>
          <w:sz w:val="24"/>
          <w:szCs w:val="24"/>
        </w:rPr>
        <w:t>Transit. Met. Chem.</w:t>
      </w:r>
      <w:r>
        <w:rPr>
          <w:rFonts w:hint="default" w:ascii="Times New Roman" w:hAnsi="Times New Roman" w:cs="Times New Roman"/>
          <w:kern w:val="0"/>
          <w:sz w:val="24"/>
          <w:szCs w:val="24"/>
        </w:rPr>
        <w:t>, vol. 10, pp. 201–206, 1985.</w:t>
      </w:r>
    </w:p>
    <w:p w14:paraId="48634E4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C. T. Rendell and L. K. Thompson, Can. Y. Chem., 57, 1 (1979).”.</w:t>
      </w:r>
    </w:p>
    <w:p w14:paraId="24BDBDF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[59]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“R P Lang, j.Am Chem. Soc. 8,520 (1958)”.</w:t>
      </w:r>
    </w:p>
    <w:p w14:paraId="1E2CDEC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“K.Dimroth, C. Reichardt and A.Schweig, ibid.699,95 (1963)”.</w:t>
      </w:r>
    </w:p>
    <w:p w14:paraId="3A6C624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G. Vicentini, E. M. Da Silva, J. R. Matos, and K. Zinner, “Synthesis, characterization and thermal properties of some lanthanoid picrate complexes with 4-picoline-N-oxide (4-picNO),” </w:t>
      </w:r>
      <w:r>
        <w:rPr>
          <w:rFonts w:hint="default" w:ascii="Times New Roman" w:hAnsi="Times New Roman" w:cs="Times New Roman"/>
          <w:i/>
          <w:iCs/>
          <w:kern w:val="0"/>
          <w:sz w:val="24"/>
          <w:szCs w:val="24"/>
        </w:rPr>
        <w:t>Thermochim. Acta</w:t>
      </w:r>
      <w:r>
        <w:rPr>
          <w:rFonts w:hint="default" w:ascii="Times New Roman" w:hAnsi="Times New Roman" w:cs="Times New Roman"/>
          <w:kern w:val="0"/>
          <w:sz w:val="24"/>
          <w:szCs w:val="24"/>
        </w:rPr>
        <w:t>, vol. 195, no. C, pp. 39–44, 1992, doi: 10.1016/0040-6031(92)80046-Y.</w:t>
      </w:r>
    </w:p>
    <w:p w14:paraId="6B02DE4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Puszko, “MOLECULAR STRUCTURE Electronic spectra and structure of 2-iodopicolines , their N-oxides and 2-iodo-4-nitropicoline N-oxides,” vol. 344, pp. 1–9, 1995.</w:t>
      </w:r>
    </w:p>
    <w:p w14:paraId="6817767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Murray, R. M. Sefton, R. Martini, and A. M. Butler, “Induction of cytochromes P450 2B and 2E1 in rat liver by isomeric picoline N-oxides,” </w:t>
      </w:r>
      <w:r>
        <w:rPr>
          <w:rFonts w:hint="default" w:ascii="Times New Roman" w:hAnsi="Times New Roman" w:cs="Times New Roman"/>
          <w:i/>
          <w:iCs/>
          <w:kern w:val="0"/>
          <w:sz w:val="24"/>
          <w:szCs w:val="24"/>
        </w:rPr>
        <w:t>Toxicol. Lett.</w:t>
      </w:r>
      <w:r>
        <w:rPr>
          <w:rFonts w:hint="default" w:ascii="Times New Roman" w:hAnsi="Times New Roman" w:cs="Times New Roman"/>
          <w:kern w:val="0"/>
          <w:sz w:val="24"/>
          <w:szCs w:val="24"/>
        </w:rPr>
        <w:t>, vol. 93, no. 2–3, pp. 195–203, 1997, doi: 10.1016/S0378-4274(97)00092-1.</w:t>
      </w:r>
    </w:p>
    <w:p w14:paraId="672846C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“Murray, M., Ryan, A.J., 1982. Inhibition and enhancement of mixed-function oxidases by nitrogen heterocycles. Biochem. Pharmacol. 31, 3002±3005.”.</w:t>
      </w:r>
    </w:p>
    <w:p w14:paraId="0F30768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“Lowry, O.H., Rosebrough, N.J., Farr, A.L., Randall, R.J., 1951. Protein measurement with the Folin phenol reagent. J. Biol. Chem. 193, 265±275.”.</w:t>
      </w:r>
    </w:p>
    <w:p w14:paraId="513F9C9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“Murray, M., Wilkinson, C.F., Hetnarski, K., 1985. Cy tochrome P-450 and monooxygenase activity in hepatic microsomes from N-phenylimidazole-treated rats. Toxicol. Lett. 25, 191±198.”.</w:t>
      </w:r>
    </w:p>
    <w:p w14:paraId="10662EC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Moreno-Fuquen, M. T. Do Prado Gambardella, and J. Valderrama-N, “2:1 complex of 3-picoline N-oxide and hydroquinone,” </w:t>
      </w:r>
      <w:r>
        <w:rPr>
          <w:rFonts w:hint="default" w:ascii="Times New Roman" w:hAnsi="Times New Roman" w:cs="Times New Roman"/>
          <w:i/>
          <w:iCs/>
          <w:kern w:val="0"/>
          <w:sz w:val="24"/>
          <w:szCs w:val="24"/>
        </w:rPr>
        <w:t>Acta Crystallogr. Sect. C Cryst. Struct. Commun.</w:t>
      </w:r>
      <w:r>
        <w:rPr>
          <w:rFonts w:hint="default" w:ascii="Times New Roman" w:hAnsi="Times New Roman" w:cs="Times New Roman"/>
          <w:kern w:val="0"/>
          <w:sz w:val="24"/>
          <w:szCs w:val="24"/>
        </w:rPr>
        <w:t>, vol. 54, no. 4, pp. 515–517, 1998, doi: 10.1107/S0108270197016260.</w:t>
      </w:r>
    </w:p>
    <w:p w14:paraId="3B1C984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E. Kaczmarczyk, A. Puszko, J. Lorenc, and L. Chmurzynski, “A Study of Acid-Base Equilibria in Acetonitrile Systems of 2-Halo(Cl,Br,I)-4-nitropicoline(3,5,6) N-oxides,” </w:t>
      </w:r>
      <w:r>
        <w:rPr>
          <w:rFonts w:hint="default" w:ascii="Times New Roman" w:hAnsi="Times New Roman" w:cs="Times New Roman"/>
          <w:i/>
          <w:iCs/>
          <w:kern w:val="0"/>
          <w:sz w:val="24"/>
          <w:szCs w:val="24"/>
        </w:rPr>
        <w:t>Molecules</w:t>
      </w:r>
      <w:r>
        <w:rPr>
          <w:rFonts w:hint="default" w:ascii="Times New Roman" w:hAnsi="Times New Roman" w:cs="Times New Roman"/>
          <w:kern w:val="0"/>
          <w:sz w:val="24"/>
          <w:szCs w:val="24"/>
        </w:rPr>
        <w:t>, vol. 4, pp. 94–103, 1999, [Online]. Available: http://www.mdpi.org/</w:t>
      </w:r>
    </w:p>
    <w:p w14:paraId="530AA06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[69]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D. Y. C. Kyo Chul Lee, “An Efficient Synthesis of (Fluoromethyl)pyridylamines for Labeling with Fluorine-18,”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64, no. 23, pp. 8576–8581, 1999, doi: https://doi.org/10.1021/jo990994f.</w:t>
      </w:r>
    </w:p>
    <w:p w14:paraId="59B95E1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Ramakrishna Prasad, G. Kamalakar, G. Madhavi, S. J. Kulkarni, and K. V. Raghavan, “An efficient synthesis of heterocyclic N-oxides over molecular sieve catalysts,” </w:t>
      </w:r>
      <w:r>
        <w:rPr>
          <w:rFonts w:hint="default" w:ascii="Times New Roman" w:hAnsi="Times New Roman" w:cs="Times New Roman"/>
          <w:i/>
          <w:iCs/>
          <w:kern w:val="0"/>
          <w:sz w:val="24"/>
          <w:szCs w:val="24"/>
        </w:rPr>
        <w:t>J. Mol. Catal. A Chem.</w:t>
      </w:r>
      <w:r>
        <w:rPr>
          <w:rFonts w:hint="default" w:ascii="Times New Roman" w:hAnsi="Times New Roman" w:cs="Times New Roman"/>
          <w:kern w:val="0"/>
          <w:sz w:val="24"/>
          <w:szCs w:val="24"/>
        </w:rPr>
        <w:t>, vol. 186, no. 1–2, pp. 109–120, 2002, doi: 10.1016/S1381-1169(02)00059-6.</w:t>
      </w:r>
    </w:p>
    <w:p w14:paraId="375CB403">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F. A. Mautner, C. Gspan, M. A. S. Goher, and M. A. M. Abu-Youssef, “Three New 1D Polymeric Zinc(II) and Cadmium(II) Azido Complexes Containing Noncoordinated Pyridine-N-oxide or 3-Picoline-N-oxide,” </w:t>
      </w:r>
      <w:r>
        <w:rPr>
          <w:rFonts w:hint="default" w:ascii="Times New Roman" w:hAnsi="Times New Roman" w:cs="Times New Roman"/>
          <w:i/>
          <w:iCs/>
          <w:kern w:val="0"/>
          <w:sz w:val="24"/>
          <w:szCs w:val="24"/>
        </w:rPr>
        <w:t>Monatshefte fur Chemie</w:t>
      </w:r>
      <w:r>
        <w:rPr>
          <w:rFonts w:hint="default" w:ascii="Times New Roman" w:hAnsi="Times New Roman" w:cs="Times New Roman"/>
          <w:kern w:val="0"/>
          <w:sz w:val="24"/>
          <w:szCs w:val="24"/>
        </w:rPr>
        <w:t>, vol. 134, no. 10, pp. 1311–1320, 2003, doi: 10.1007/s00706-003-0066-5.</w:t>
      </w:r>
    </w:p>
    <w:p w14:paraId="7A72AE61">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A. Robert Sanz, Jaime Escribano, Yolanda Fernandez, “Deoxygenation of N-oxides with Triphenylphosphine, Catalyzed by Dichlorodioxomolybdenum(VI),” </w:t>
      </w:r>
      <w:r>
        <w:rPr>
          <w:rFonts w:hint="default" w:ascii="Times New Roman" w:hAnsi="Times New Roman" w:cs="Times New Roman"/>
          <w:i/>
          <w:iCs/>
          <w:kern w:val="0"/>
          <w:sz w:val="24"/>
          <w:szCs w:val="24"/>
        </w:rPr>
        <w:t>Synlett 2005</w:t>
      </w:r>
      <w:r>
        <w:rPr>
          <w:rFonts w:hint="default" w:ascii="Times New Roman" w:hAnsi="Times New Roman" w:cs="Times New Roman"/>
          <w:kern w:val="0"/>
          <w:sz w:val="24"/>
          <w:szCs w:val="24"/>
        </w:rPr>
        <w:t>, vol. 9, pp. 1389–1392, 2005, doi: 10.1055/s-2005-868504.</w:t>
      </w:r>
    </w:p>
    <w:p w14:paraId="1C98B088">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Ijuin, N. Umezawa, and T. Higuchi, “Design, synthesis, and evaluation of new type of l-amino acids containing pyridine moiety as nitric oxide synthase inhibitor,” </w:t>
      </w:r>
      <w:r>
        <w:rPr>
          <w:rFonts w:hint="default" w:ascii="Times New Roman" w:hAnsi="Times New Roman" w:cs="Times New Roman"/>
          <w:i/>
          <w:iCs/>
          <w:kern w:val="0"/>
          <w:sz w:val="24"/>
          <w:szCs w:val="24"/>
        </w:rPr>
        <w:t>Bioorganic Med. Chem.</w:t>
      </w:r>
      <w:r>
        <w:rPr>
          <w:rFonts w:hint="default" w:ascii="Times New Roman" w:hAnsi="Times New Roman" w:cs="Times New Roman"/>
          <w:kern w:val="0"/>
          <w:sz w:val="24"/>
          <w:szCs w:val="24"/>
        </w:rPr>
        <w:t>, vol. 14, no. 10, pp. 3563–3570, 2006, doi: 10.1016/j.bmc.2006.01.020.</w:t>
      </w:r>
    </w:p>
    <w:p w14:paraId="28B91D76">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X. W. Andersson, M. Björklund, and R. Olsson, “Reaction of pyridine N-oxides with Grignard reagents: a stereodefined synthesis of substituted dienal oximes Author links open overlay panel,” </w:t>
      </w:r>
      <w:r>
        <w:rPr>
          <w:rFonts w:hint="default" w:ascii="Times New Roman" w:hAnsi="Times New Roman" w:cs="Times New Roman"/>
          <w:i/>
          <w:iCs/>
          <w:kern w:val="0"/>
          <w:sz w:val="24"/>
          <w:szCs w:val="24"/>
        </w:rPr>
        <w:t>Tetrahedron</w:t>
      </w:r>
      <w:r>
        <w:rPr>
          <w:rFonts w:hint="default" w:ascii="Times New Roman" w:hAnsi="Times New Roman" w:cs="Times New Roman"/>
          <w:kern w:val="0"/>
          <w:sz w:val="24"/>
          <w:szCs w:val="24"/>
        </w:rPr>
        <w:t>, vol. 48, no. 39, pp. 6941–6944, 2007, doi: https://doi.org/10.1016/j.tetlet.2007.07.161.</w:t>
      </w:r>
    </w:p>
    <w:p w14:paraId="60ABF95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J. Zukerman-Schpector, M. Vega-Teijido, C. C. Carvalho, P. C. Isolani, and I. Caracelli, “Structure characterization of molecular complexes for non-linear optical materials. II. 1:1 complexes of 4-methyl-morpholine-N-oxide (1) and 3-picoline-N-oxide (2) with 2,4,6-trinitrophenol, studied by X-ray, AM1 and DFT calculations,” </w:t>
      </w:r>
      <w:r>
        <w:rPr>
          <w:rFonts w:hint="default" w:ascii="Times New Roman" w:hAnsi="Times New Roman" w:cs="Times New Roman"/>
          <w:i/>
          <w:iCs/>
          <w:kern w:val="0"/>
          <w:sz w:val="24"/>
          <w:szCs w:val="24"/>
        </w:rPr>
        <w:t>Zeitschrift fur Krist.</w:t>
      </w:r>
      <w:r>
        <w:rPr>
          <w:rFonts w:hint="default" w:ascii="Times New Roman" w:hAnsi="Times New Roman" w:cs="Times New Roman"/>
          <w:kern w:val="0"/>
          <w:sz w:val="24"/>
          <w:szCs w:val="24"/>
        </w:rPr>
        <w:t>, vol. 222, no. 8, pp. 427–431, 2007, doi: 10.1524/zkri.2007.222.8.427.</w:t>
      </w:r>
    </w:p>
    <w:p w14:paraId="4089E87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L. C. Campeau </w:t>
      </w:r>
      <w:r>
        <w:rPr>
          <w:rFonts w:hint="default" w:ascii="Times New Roman" w:hAnsi="Times New Roman" w:cs="Times New Roman"/>
          <w:i/>
          <w:iCs/>
          <w:kern w:val="0"/>
          <w:sz w:val="24"/>
          <w:szCs w:val="24"/>
        </w:rPr>
        <w:t>et al.</w:t>
      </w:r>
      <w:r>
        <w:rPr>
          <w:rFonts w:hint="default" w:ascii="Times New Roman" w:hAnsi="Times New Roman" w:cs="Times New Roman"/>
          <w:kern w:val="0"/>
          <w:sz w:val="24"/>
          <w:szCs w:val="24"/>
        </w:rPr>
        <w:t xml:space="preserve">, “Palladium-catalyzed direct arylation of azine and azole N-oxides: Reaction development, scope and applications in synthesis,” </w:t>
      </w:r>
      <w:r>
        <w:rPr>
          <w:rFonts w:hint="default" w:ascii="Times New Roman" w:hAnsi="Times New Roman" w:cs="Times New Roman"/>
          <w:i/>
          <w:iCs/>
          <w:kern w:val="0"/>
          <w:sz w:val="24"/>
          <w:szCs w:val="24"/>
        </w:rPr>
        <w:t>J. Am. Chem. Soc.</w:t>
      </w:r>
      <w:r>
        <w:rPr>
          <w:rFonts w:hint="default" w:ascii="Times New Roman" w:hAnsi="Times New Roman" w:cs="Times New Roman"/>
          <w:kern w:val="0"/>
          <w:sz w:val="24"/>
          <w:szCs w:val="24"/>
        </w:rPr>
        <w:t>, vol. 131, no. 9, pp. 3291–3306, 2009, doi: 10.1021/ja808332k.</w:t>
      </w:r>
    </w:p>
    <w:p w14:paraId="05A7A68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V. N. Kalevaru, N. Madaan, and A. Martin, “Synthesis, characterization and catalytic performance of titania supported VPO catalysts for the ammoxidation of 3-picoline,” </w:t>
      </w:r>
      <w:r>
        <w:rPr>
          <w:rFonts w:hint="default" w:ascii="Times New Roman" w:hAnsi="Times New Roman" w:cs="Times New Roman"/>
          <w:i/>
          <w:iCs/>
          <w:kern w:val="0"/>
          <w:sz w:val="24"/>
          <w:szCs w:val="24"/>
        </w:rPr>
        <w:t>Appl. Catal. A Gen.</w:t>
      </w:r>
      <w:r>
        <w:rPr>
          <w:rFonts w:hint="default" w:ascii="Times New Roman" w:hAnsi="Times New Roman" w:cs="Times New Roman"/>
          <w:kern w:val="0"/>
          <w:sz w:val="24"/>
          <w:szCs w:val="24"/>
        </w:rPr>
        <w:t>, vol. 391, no. 1–2, pp. 52–62, 2011, doi: 10.1016/j.apcata.2010.07.034.</w:t>
      </w:r>
    </w:p>
    <w:p w14:paraId="0BAC2A3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P. C. L. Insu Kim, “Rhodium-Catalyzed Oxygenative Addition to Terminal Alkynes for the Synthesis of Esters, Amides, and Carboxylic Acids†,” </w:t>
      </w:r>
      <w:r>
        <w:rPr>
          <w:rFonts w:hint="default" w:ascii="Times New Roman" w:hAnsi="Times New Roman" w:cs="Times New Roman"/>
          <w:i/>
          <w:iCs/>
          <w:kern w:val="0"/>
          <w:sz w:val="24"/>
          <w:szCs w:val="24"/>
        </w:rPr>
        <w:t>A J. Ger. Chem. Soc.</w:t>
      </w:r>
      <w:r>
        <w:rPr>
          <w:rFonts w:hint="default" w:ascii="Times New Roman" w:hAnsi="Times New Roman" w:cs="Times New Roman"/>
          <w:kern w:val="0"/>
          <w:sz w:val="24"/>
          <w:szCs w:val="24"/>
        </w:rPr>
        <w:t>, vol. 52, no. 38, pp. 10023–10026, 2013, doi: https://doi.org/10.1002/anie.201303669.</w:t>
      </w:r>
    </w:p>
    <w:p w14:paraId="66DD2B8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[79]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Z. B. Xie, S. Q. Hu, and X. Cao, “Theoretical insight into the influence of molecular ratio on the binding energy and mechanical property of HMX/2-picoline-N-oxide cocrystal, cooperativity effect and surface electrostatic potential,” </w:t>
      </w:r>
      <w:r>
        <w:rPr>
          <w:rFonts w:hint="default" w:ascii="Times New Roman" w:hAnsi="Times New Roman" w:cs="Times New Roman"/>
          <w:i/>
          <w:iCs/>
          <w:kern w:val="0"/>
          <w:sz w:val="24"/>
          <w:szCs w:val="24"/>
        </w:rPr>
        <w:t>Mol. Phys.</w:t>
      </w:r>
      <w:r>
        <w:rPr>
          <w:rFonts w:hint="default" w:ascii="Times New Roman" w:hAnsi="Times New Roman" w:cs="Times New Roman"/>
          <w:kern w:val="0"/>
          <w:sz w:val="24"/>
          <w:szCs w:val="24"/>
        </w:rPr>
        <w:t>, vol. 114, no. 14, pp. 2164–2176, 2016, doi: 10.1080/00268976.2016.1190038.</w:t>
      </w:r>
    </w:p>
    <w:p w14:paraId="4DDC54F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Puttreddy </w:t>
      </w:r>
      <w:r>
        <w:rPr>
          <w:rFonts w:hint="default" w:ascii="Times New Roman" w:hAnsi="Times New Roman" w:cs="Times New Roman"/>
          <w:i/>
          <w:iCs/>
          <w:kern w:val="0"/>
          <w:sz w:val="24"/>
          <w:szCs w:val="24"/>
        </w:rPr>
        <w:t>et al.</w:t>
      </w:r>
      <w:r>
        <w:rPr>
          <w:rFonts w:hint="default" w:ascii="Times New Roman" w:hAnsi="Times New Roman" w:cs="Times New Roman"/>
          <w:kern w:val="0"/>
          <w:sz w:val="24"/>
          <w:szCs w:val="24"/>
        </w:rPr>
        <w:t xml:space="preserve">, “Free-Standing Supramolecular Pyridine N-Oxide-Silver(I) Metallogels,” </w:t>
      </w:r>
      <w:r>
        <w:rPr>
          <w:rFonts w:hint="default" w:ascii="Times New Roman" w:hAnsi="Times New Roman" w:cs="Times New Roman"/>
          <w:i/>
          <w:iCs/>
          <w:kern w:val="0"/>
          <w:sz w:val="24"/>
          <w:szCs w:val="24"/>
        </w:rPr>
        <w:t>Adv. Mater.</w:t>
      </w:r>
      <w:r>
        <w:rPr>
          <w:rFonts w:hint="default" w:ascii="Times New Roman" w:hAnsi="Times New Roman" w:cs="Times New Roman"/>
          <w:kern w:val="0"/>
          <w:sz w:val="24"/>
          <w:szCs w:val="24"/>
        </w:rPr>
        <w:t>, vol. 2502818, no. I, pp. 1–13, 2025, doi: 10.1002/adma.202502818.</w:t>
      </w:r>
    </w:p>
    <w:p w14:paraId="18B4E0B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P. Timmerman, W. Verboom and D. N. Reinhoudt, Tetrahedron, 1996, 52, 2663–2704; (b) V. Böhmer, Angew. Chem., Int. Ed. Engl., 1995, 34, 713–745; (c) K. Rissanen, Angew. Chem., Int. Ed., 2005, 44, 3652–3654.”.</w:t>
      </w:r>
    </w:p>
    <w:p w14:paraId="6E1DF43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“(a) M. Nissinen, E. Wegelius, D. Falábu and K. Rissanen, CrystEngComm, 2000, 2, 151; (b) M. Nissinen and K. Rissanen, Supramol. Chem., 2003, 15, 581–590.”.</w:t>
      </w:r>
    </w:p>
    <w:p w14:paraId="0E2FE2F7">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“C. R. Hubbard, V. L. Himes, A. D. Mighell and S. W. Page, Acta Crystallogr., Sect. B: Struct. Crystallogr. Cryst. Chem., 1980, 36, 2819–2821”.</w:t>
      </w:r>
    </w:p>
    <w:p w14:paraId="5E22DBB2">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Sterckx, C. Sambiagio, V. Médran-Navarrete, and B. U. W. Maes, “Copper-Catalyzed Aerobic Oxygenation of Benzylpyridine N-Oxides and Subsequent Post-Functionalization,” </w:t>
      </w:r>
      <w:r>
        <w:rPr>
          <w:rFonts w:hint="default" w:ascii="Times New Roman" w:hAnsi="Times New Roman" w:cs="Times New Roman"/>
          <w:i/>
          <w:iCs/>
          <w:kern w:val="0"/>
          <w:sz w:val="24"/>
          <w:szCs w:val="24"/>
        </w:rPr>
        <w:t>Adv. Synth. Catal.</w:t>
      </w:r>
      <w:r>
        <w:rPr>
          <w:rFonts w:hint="default" w:ascii="Times New Roman" w:hAnsi="Times New Roman" w:cs="Times New Roman"/>
          <w:kern w:val="0"/>
          <w:sz w:val="24"/>
          <w:szCs w:val="24"/>
        </w:rPr>
        <w:t>, vol. 359, no. 18, pp. 3226–3236, 2017, doi: 10.1002/adsc.201700588.</w:t>
      </w:r>
    </w:p>
    <w:p w14:paraId="7A531DD1">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F. Sang, J. Huang, and J. Xu, “A circular microreaction method to the safe and efficient synthesis of 3-methylpyridine-N-oxide,” </w:t>
      </w:r>
      <w:r>
        <w:rPr>
          <w:rFonts w:hint="default" w:ascii="Times New Roman" w:hAnsi="Times New Roman" w:cs="Times New Roman"/>
          <w:i/>
          <w:iCs/>
          <w:kern w:val="0"/>
          <w:sz w:val="24"/>
          <w:szCs w:val="24"/>
        </w:rPr>
        <w:t>Chinese J. Chem. Eng.</w:t>
      </w:r>
      <w:r>
        <w:rPr>
          <w:rFonts w:hint="default" w:ascii="Times New Roman" w:hAnsi="Times New Roman" w:cs="Times New Roman"/>
          <w:kern w:val="0"/>
          <w:sz w:val="24"/>
          <w:szCs w:val="24"/>
        </w:rPr>
        <w:t>, vol. 28, no. 5, pp. 1320–1325, 2020, doi: 10.1016/j.cjche.2020.02.002.</w:t>
      </w:r>
    </w:p>
    <w:p w14:paraId="61ABD92E">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H. Li, H. C. Xia, F. Y. Nie, and Q. H. Song, “Rapid and Effective Reaction of 2-Methylpyridin-N-oxides with Triphosgene via a [3,3]-Sigmatropic Rearrangement: Mechanism and Applications,” </w:t>
      </w:r>
      <w:r>
        <w:rPr>
          <w:rFonts w:hint="default" w:ascii="Times New Roman" w:hAnsi="Times New Roman" w:cs="Times New Roman"/>
          <w:i/>
          <w:iCs/>
          <w:kern w:val="0"/>
          <w:sz w:val="24"/>
          <w:szCs w:val="24"/>
        </w:rPr>
        <w:t>J. Org. Chem.</w:t>
      </w:r>
      <w:r>
        <w:rPr>
          <w:rFonts w:hint="default" w:ascii="Times New Roman" w:hAnsi="Times New Roman" w:cs="Times New Roman"/>
          <w:kern w:val="0"/>
          <w:sz w:val="24"/>
          <w:szCs w:val="24"/>
        </w:rPr>
        <w:t>, vol. 86, no. 12, pp. 8308–8318, 2021, doi: 10.1021/acs.joc.1c00749.</w:t>
      </w:r>
    </w:p>
    <w:p w14:paraId="18B7961A">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C. Näther and I. Jess, “Synthesis, crystal structure and reactivity of bis(μ-2-methylpyridine N-oxide-κ2O:O)bis[dibromido(2-methylpyridine N-oxide-κO)cobalt(II)] butanol monosolvate,” </w:t>
      </w:r>
      <w:r>
        <w:rPr>
          <w:rFonts w:hint="default" w:ascii="Times New Roman" w:hAnsi="Times New Roman" w:cs="Times New Roman"/>
          <w:i/>
          <w:iCs/>
          <w:kern w:val="0"/>
          <w:sz w:val="24"/>
          <w:szCs w:val="24"/>
        </w:rPr>
        <w:t>Acta Crystallogr. Sect. E Crystallogr. Commun.</w:t>
      </w:r>
      <w:r>
        <w:rPr>
          <w:rFonts w:hint="default" w:ascii="Times New Roman" w:hAnsi="Times New Roman" w:cs="Times New Roman"/>
          <w:kern w:val="0"/>
          <w:sz w:val="24"/>
          <w:szCs w:val="24"/>
        </w:rPr>
        <w:t>, vol. 79, no. Pt 11, pp. 972–976, 2023, doi: 10.1107/S2056989023008228.</w:t>
      </w:r>
    </w:p>
    <w:p w14:paraId="5606157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M. D’Auria and R. Racioppi, “The photochemical isomerization of 2-picoline N-oxide, 4,6-dimethylpyrimidine N-oxide and 2-methoxypyrimidine N-oxide. A DFT study,” </w:t>
      </w:r>
      <w:r>
        <w:rPr>
          <w:rFonts w:hint="default" w:ascii="Times New Roman" w:hAnsi="Times New Roman" w:cs="Times New Roman"/>
          <w:i/>
          <w:iCs/>
          <w:kern w:val="0"/>
          <w:sz w:val="24"/>
          <w:szCs w:val="24"/>
        </w:rPr>
        <w:t>Tetrahedron</w:t>
      </w:r>
      <w:r>
        <w:rPr>
          <w:rFonts w:hint="default" w:ascii="Times New Roman" w:hAnsi="Times New Roman" w:cs="Times New Roman"/>
          <w:kern w:val="0"/>
          <w:sz w:val="24"/>
          <w:szCs w:val="24"/>
        </w:rPr>
        <w:t>, vol. 177, no. January, p. 134583, 2025, doi: 10.1016/j.tet.2025.134583.</w:t>
      </w:r>
    </w:p>
    <w:p w14:paraId="42738FDD">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[89]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“J.S treith, C Sigwalt, tetrahedron Lett (1966) 1347-1350”.</w:t>
      </w:r>
    </w:p>
    <w:p w14:paraId="6662EC3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“N.Hata Bull , chem society Jpn 34 (1961) 1440-1444”.</w:t>
      </w:r>
    </w:p>
    <w:p w14:paraId="7C0E1A5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Streith, P. Martz, Tetrahedron Lett. (1969) 4899–4900”.</w:t>
      </w:r>
    </w:p>
    <w:p w14:paraId="4415FD5C">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[92]</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“J. Streith, C. Leibovici, P. Martz, Bull. Soc. Chim. Fr. (1971) 4152–4160”.</w:t>
      </w:r>
    </w:p>
    <w:p w14:paraId="1AA58645">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[93]</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R. Puttreddy </w:t>
      </w:r>
      <w:r>
        <w:rPr>
          <w:rFonts w:hint="default" w:ascii="Times New Roman" w:hAnsi="Times New Roman" w:cs="Times New Roman"/>
          <w:i/>
          <w:iCs/>
          <w:kern w:val="0"/>
          <w:sz w:val="24"/>
          <w:szCs w:val="24"/>
        </w:rPr>
        <w:t>et al.</w:t>
      </w:r>
      <w:r>
        <w:rPr>
          <w:rFonts w:hint="default" w:ascii="Times New Roman" w:hAnsi="Times New Roman" w:cs="Times New Roman"/>
          <w:kern w:val="0"/>
          <w:sz w:val="24"/>
          <w:szCs w:val="24"/>
        </w:rPr>
        <w:t xml:space="preserve">, “A non-metal-to-metal I+−Ag+ coordination bond,” </w:t>
      </w:r>
      <w:r>
        <w:rPr>
          <w:rFonts w:hint="default" w:ascii="Times New Roman" w:hAnsi="Times New Roman" w:cs="Times New Roman"/>
          <w:i/>
          <w:iCs/>
          <w:kern w:val="0"/>
          <w:sz w:val="24"/>
          <w:szCs w:val="24"/>
        </w:rPr>
        <w:t xml:space="preserve">Nat. Commun. </w:t>
      </w:r>
      <w:r>
        <w:rPr>
          <w:rFonts w:hint="default" w:ascii="Times New Roman" w:hAnsi="Times New Roman" w:cs="Times New Roman"/>
          <w:kern w:val="0"/>
          <w:sz w:val="24"/>
          <w:szCs w:val="24"/>
        </w:rPr>
        <w:t>, vol. 16, no. 1, pp. 1–9, 2025, doi: 10.1038/s41467-025-62191-1.</w:t>
      </w:r>
    </w:p>
    <w:p w14:paraId="5B1CC25B">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[94]</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“Lindblad, S. et al. O–I–O halogen bond of halonium ions. Chem. Commun. 56, 9671–9674 (2020).”.</w:t>
      </w:r>
    </w:p>
    <w:p w14:paraId="79590D39">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[95]</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“Puttreddy, R. &amp; Steel, P. J. 4-Methoxypyridine N-oxide: an electron rich ligand that can simultaneously bridge three silver atoms. Inorg. Chem. Commun. 41,33–36 (2014).”.</w:t>
      </w:r>
    </w:p>
    <w:p w14:paraId="685D40A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[96]</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“Puttreddy, R. &amp; Steel, P. J. Pyridine N-oxide: a hyperdentate argen tophile. CrystEngComm 16,556–560 (2014).”.</w:t>
      </w:r>
    </w:p>
    <w:p w14:paraId="5C8778E0">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[97]</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 xml:space="preserve">K. Liu, Z. Yao, H. N. Miras, and Y. F. Song, “Facile Immobilization of a Lewis Acid Polyoxometalate onto Layered Double Hydroxides for Highly Efficient N-Oxidation of Pyridine-Based Derivatives and Denitrogenation,” </w:t>
      </w:r>
      <w:r>
        <w:rPr>
          <w:rFonts w:hint="default" w:ascii="Times New Roman" w:hAnsi="Times New Roman" w:cs="Times New Roman"/>
          <w:i/>
          <w:iCs/>
          <w:kern w:val="0"/>
          <w:sz w:val="24"/>
          <w:szCs w:val="24"/>
        </w:rPr>
        <w:t>ChemCatChem</w:t>
      </w:r>
      <w:r>
        <w:rPr>
          <w:rFonts w:hint="default" w:ascii="Times New Roman" w:hAnsi="Times New Roman" w:cs="Times New Roman"/>
          <w:kern w:val="0"/>
          <w:sz w:val="24"/>
          <w:szCs w:val="24"/>
        </w:rPr>
        <w:t>, vol. 7, no. 23, pp. 3903–3910, 2015, doi: 10.1002/cctc.201500594.</w:t>
      </w:r>
    </w:p>
    <w:p w14:paraId="54351A84">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[98]</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“F. F. Bamoharram, M. M. Heravi, M. Roshani and N. Tavakoli, J. Mol. Catal. A: Chem, 2006, 252, 219-225.”.</w:t>
      </w:r>
    </w:p>
    <w:p w14:paraId="14471E6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[99]</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Chen, D. Yan and Y. F. Song, Dalton Trans., 2014, 43, 14570.”.</w:t>
      </w:r>
    </w:p>
    <w:p w14:paraId="0767520F">
      <w:pPr>
        <w:widowControl w:val="0"/>
        <w:autoSpaceDE w:val="0"/>
        <w:autoSpaceDN w:val="0"/>
        <w:adjustRightInd w:val="0"/>
        <w:spacing w:line="360" w:lineRule="auto"/>
        <w:ind w:left="640" w:hanging="640"/>
        <w:rPr>
          <w:rFonts w:hint="default" w:ascii="Times New Roman" w:hAnsi="Times New Roman" w:cs="Times New Roman"/>
          <w:kern w:val="0"/>
          <w:sz w:val="24"/>
          <w:szCs w:val="24"/>
        </w:rPr>
      </w:pPr>
      <w:r>
        <w:rPr>
          <w:rFonts w:hint="default" w:ascii="Times New Roman" w:hAnsi="Times New Roman" w:cs="Times New Roman"/>
          <w:kern w:val="0"/>
          <w:sz w:val="24"/>
          <w:szCs w:val="24"/>
        </w:rPr>
        <w:t>[100]</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“Y. Dou, J. Han, T. Wang, M. Wei, D. G. Evans and X. Duan, Langmuir, 2012, 28, 9535-9542.”.</w:t>
      </w:r>
    </w:p>
    <w:p w14:paraId="21C3B2BD">
      <w:pPr>
        <w:widowControl w:val="0"/>
        <w:autoSpaceDE w:val="0"/>
        <w:autoSpaceDN w:val="0"/>
        <w:adjustRightInd w:val="0"/>
        <w:spacing w:line="360" w:lineRule="auto"/>
        <w:ind w:left="640" w:hanging="640"/>
        <w:rPr>
          <w:rFonts w:hint="default" w:ascii="Times New Roman" w:hAnsi="Times New Roman" w:cs="Times New Roman"/>
          <w:sz w:val="24"/>
          <w:szCs w:val="24"/>
        </w:rPr>
      </w:pPr>
      <w:r>
        <w:rPr>
          <w:rFonts w:hint="default" w:ascii="Times New Roman" w:hAnsi="Times New Roman" w:cs="Times New Roman"/>
          <w:kern w:val="0"/>
          <w:sz w:val="24"/>
          <w:szCs w:val="24"/>
        </w:rPr>
        <w:t>[101]</w:t>
      </w:r>
      <w:r>
        <w:rPr>
          <w:rFonts w:hint="default" w:ascii="Times New Roman" w:hAnsi="Times New Roman" w:cs="Times New Roman"/>
          <w:kern w:val="0"/>
          <w:sz w:val="24"/>
          <w:szCs w:val="24"/>
        </w:rPr>
        <w:tab/>
      </w:r>
      <w:r>
        <w:rPr>
          <w:rFonts w:hint="default" w:ascii="Times New Roman" w:hAnsi="Times New Roman" w:cs="Times New Roman"/>
          <w:kern w:val="0"/>
          <w:sz w:val="24"/>
          <w:szCs w:val="24"/>
        </w:rPr>
        <w:t>“Z. P. Xu and H. C. Zeng, Chem. Mater., 2001, 13, 4555-4563.”.</w:t>
      </w:r>
    </w:p>
    <w:p w14:paraId="650085BC">
      <w:pPr>
        <w:widowControl w:val="0"/>
        <w:tabs>
          <w:tab w:val="left" w:pos="9360"/>
        </w:tabs>
        <w:overflowPunct w:val="0"/>
        <w:autoSpaceDE w:val="0"/>
        <w:autoSpaceDN w:val="0"/>
        <w:adjustRightInd w:val="0"/>
        <w:spacing w:after="0" w:line="360" w:lineRule="auto"/>
        <w:jc w:val="both"/>
        <w:rPr>
          <w:rFonts w:hint="default" w:ascii="Times New Roman" w:hAnsi="Times New Roman" w:cs="Times New Roman"/>
          <w:sz w:val="24"/>
          <w:szCs w:val="24"/>
          <w:lang w:val="de-DE"/>
        </w:rPr>
      </w:pPr>
      <w:r>
        <w:rPr>
          <w:rFonts w:hint="default" w:ascii="Times New Roman" w:hAnsi="Times New Roman" w:cs="Times New Roman"/>
          <w:sz w:val="24"/>
          <w:szCs w:val="24"/>
          <w:lang w:val="en-IN"/>
        </w:rPr>
        <w:fldChar w:fldCharType="end"/>
      </w:r>
    </w:p>
    <w:p w14:paraId="198F85C4">
      <w:pPr>
        <w:spacing w:line="360" w:lineRule="auto"/>
        <w:jc w:val="both"/>
        <w:rPr>
          <w:rFonts w:hint="default" w:ascii="Times New Roman" w:hAnsi="Times New Roman" w:cs="Times New Roman"/>
          <w:sz w:val="24"/>
          <w:szCs w:val="24"/>
        </w:rPr>
      </w:pPr>
    </w:p>
    <w:p w14:paraId="2214F133">
      <w:pPr>
        <w:spacing w:line="360" w:lineRule="auto"/>
        <w:jc w:val="both"/>
        <w:rPr>
          <w:rFonts w:hint="default" w:ascii="Times New Roman" w:hAnsi="Times New Roman" w:cs="Times New Roman"/>
          <w:sz w:val="24"/>
          <w:szCs w:val="24"/>
        </w:rPr>
      </w:pPr>
    </w:p>
    <w:p w14:paraId="6E08E539">
      <w:pPr>
        <w:spacing w:line="360" w:lineRule="auto"/>
        <w:jc w:val="both"/>
        <w:rPr>
          <w:rFonts w:hint="default" w:ascii="Times New Roman" w:hAnsi="Times New Roman" w:cs="Times New Roman"/>
          <w:sz w:val="24"/>
          <w:szCs w:val="24"/>
        </w:rPr>
      </w:pPr>
    </w:p>
    <w:p w14:paraId="793230E3">
      <w:pPr>
        <w:pStyle w:val="24"/>
        <w:autoSpaceDE w:val="0"/>
        <w:autoSpaceDN w:val="0"/>
        <w:adjustRightInd w:val="0"/>
        <w:spacing w:after="0" w:line="360" w:lineRule="auto"/>
        <w:ind w:left="900"/>
        <w:jc w:val="both"/>
        <w:rPr>
          <w:rFonts w:hint="default" w:ascii="Times New Roman" w:hAnsi="Times New Roman" w:cs="Times New Roman"/>
          <w:sz w:val="24"/>
          <w:szCs w:val="24"/>
        </w:rPr>
      </w:pPr>
    </w:p>
    <w:sectPr>
      <w:footerReference r:id="rId5" w:type="default"/>
      <w:pgSz w:w="12240" w:h="15840"/>
      <w:pgMar w:top="540" w:right="806" w:bottom="720" w:left="100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angal">
    <w:altName w:val="Segoe Print"/>
    <w:panose1 w:val="000004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Bernard MT Condensed">
    <w:panose1 w:val="02050806060905020404"/>
    <w:charset w:val="00"/>
    <w:family w:val="roman"/>
    <w:pitch w:val="default"/>
    <w:sig w:usb0="00000003" w:usb1="00000000" w:usb2="00000000" w:usb3="00000000" w:csb0="20000001" w:csb1="00000000"/>
  </w:font>
  <w:font w:name="Frutiger LT 55 Roman">
    <w:altName w:val="Segoe Print"/>
    <w:panose1 w:val="00000000000000000000"/>
    <w:charset w:val="00"/>
    <w:family w:val="roman"/>
    <w:pitch w:val="default"/>
    <w:sig w:usb0="00000000" w:usb1="00000000" w:usb2="00000000" w:usb3="00000000" w:csb0="00000001" w:csb1="00000000"/>
  </w:font>
  <w:font w:name="AvantGarde Medium">
    <w:altName w:val="Segoe Print"/>
    <w:panose1 w:val="00000000000000000000"/>
    <w:charset w:val="00"/>
    <w:family w:val="swiss"/>
    <w:pitch w:val="default"/>
    <w:sig w:usb0="00000000" w:usb1="00000000" w:usb2="00000000" w:usb3="00000000" w:csb0="00000001" w:csb1="00000000"/>
  </w:font>
  <w:font w:name="Symbol">
    <w:panose1 w:val="050501020107060205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39"/>
      <w:docPartObj>
        <w:docPartGallery w:val="autotext"/>
      </w:docPartObj>
    </w:sdtPr>
    <w:sdtContent>
      <w:p w14:paraId="4058C5AA">
        <w:pPr>
          <w:pStyle w:val="11"/>
          <w:jc w:val="center"/>
        </w:pPr>
        <w:r>
          <w:fldChar w:fldCharType="begin"/>
        </w:r>
        <w:r>
          <w:instrText xml:space="preserve"> PAGE   \* MERGEFORMAT </w:instrText>
        </w:r>
        <w:r>
          <w:fldChar w:fldCharType="separate"/>
        </w:r>
        <w:r>
          <w:t>1</w:t>
        </w:r>
        <w:r>
          <w:fldChar w:fldCharType="end"/>
        </w:r>
      </w:p>
    </w:sdtContent>
  </w:sdt>
  <w:p w14:paraId="715B0BA3">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519F74"/>
    <w:multiLevelType w:val="singleLevel"/>
    <w:tmpl w:val="EB519F74"/>
    <w:lvl w:ilvl="0" w:tentative="0">
      <w:start w:val="7"/>
      <w:numFmt w:val="decimal"/>
      <w:suff w:val="space"/>
      <w:lvlText w:val="%1."/>
      <w:lvlJc w:val="left"/>
    </w:lvl>
  </w:abstractNum>
  <w:abstractNum w:abstractNumId="1">
    <w:nsid w:val="15592DBE"/>
    <w:multiLevelType w:val="multilevel"/>
    <w:tmpl w:val="15592DBE"/>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2">
    <w:nsid w:val="23E70673"/>
    <w:multiLevelType w:val="multilevel"/>
    <w:tmpl w:val="23E70673"/>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3">
    <w:nsid w:val="2D3E6FF6"/>
    <w:multiLevelType w:val="multilevel"/>
    <w:tmpl w:val="2D3E6FF6"/>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4">
    <w:nsid w:val="2F383CD4"/>
    <w:multiLevelType w:val="multilevel"/>
    <w:tmpl w:val="2F383C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6486E81"/>
    <w:multiLevelType w:val="multilevel"/>
    <w:tmpl w:val="46486E81"/>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6">
    <w:nsid w:val="48EE12BC"/>
    <w:multiLevelType w:val="multilevel"/>
    <w:tmpl w:val="48EE12BC"/>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7">
    <w:nsid w:val="552B09CB"/>
    <w:multiLevelType w:val="multilevel"/>
    <w:tmpl w:val="552B09CB"/>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num w:numId="1">
    <w:abstractNumId w:val="6"/>
  </w:num>
  <w:num w:numId="2">
    <w:abstractNumId w:val="5"/>
  </w:num>
  <w:num w:numId="3">
    <w:abstractNumId w:val="1"/>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026C07"/>
    <w:rsid w:val="000020FD"/>
    <w:rsid w:val="000038F3"/>
    <w:rsid w:val="00004685"/>
    <w:rsid w:val="0000499B"/>
    <w:rsid w:val="000063FD"/>
    <w:rsid w:val="00007574"/>
    <w:rsid w:val="000108B8"/>
    <w:rsid w:val="00012E36"/>
    <w:rsid w:val="0001370C"/>
    <w:rsid w:val="00024EC6"/>
    <w:rsid w:val="00026C07"/>
    <w:rsid w:val="00027BFC"/>
    <w:rsid w:val="00035AED"/>
    <w:rsid w:val="000462D2"/>
    <w:rsid w:val="00055D78"/>
    <w:rsid w:val="00057C6E"/>
    <w:rsid w:val="0007042F"/>
    <w:rsid w:val="00071541"/>
    <w:rsid w:val="0007270C"/>
    <w:rsid w:val="000747CD"/>
    <w:rsid w:val="00080D35"/>
    <w:rsid w:val="00083E3D"/>
    <w:rsid w:val="00085D8A"/>
    <w:rsid w:val="00090AE2"/>
    <w:rsid w:val="000921AC"/>
    <w:rsid w:val="000939B4"/>
    <w:rsid w:val="000A21EA"/>
    <w:rsid w:val="000A2C81"/>
    <w:rsid w:val="000A4DF0"/>
    <w:rsid w:val="000B7369"/>
    <w:rsid w:val="000B7EAB"/>
    <w:rsid w:val="000C0A72"/>
    <w:rsid w:val="000C1FA9"/>
    <w:rsid w:val="000C48E7"/>
    <w:rsid w:val="000D493E"/>
    <w:rsid w:val="000D7B2B"/>
    <w:rsid w:val="000E2F96"/>
    <w:rsid w:val="000E6812"/>
    <w:rsid w:val="000E6DD9"/>
    <w:rsid w:val="000E6E44"/>
    <w:rsid w:val="000F0C24"/>
    <w:rsid w:val="000F1963"/>
    <w:rsid w:val="00110707"/>
    <w:rsid w:val="0011087D"/>
    <w:rsid w:val="0012362F"/>
    <w:rsid w:val="00124D10"/>
    <w:rsid w:val="00125697"/>
    <w:rsid w:val="00132426"/>
    <w:rsid w:val="001334A1"/>
    <w:rsid w:val="00136E36"/>
    <w:rsid w:val="00140CAB"/>
    <w:rsid w:val="0014119C"/>
    <w:rsid w:val="00142C10"/>
    <w:rsid w:val="00146D26"/>
    <w:rsid w:val="00154664"/>
    <w:rsid w:val="00154E46"/>
    <w:rsid w:val="0015537E"/>
    <w:rsid w:val="00155615"/>
    <w:rsid w:val="00161BE9"/>
    <w:rsid w:val="001640BE"/>
    <w:rsid w:val="00164F61"/>
    <w:rsid w:val="001717C7"/>
    <w:rsid w:val="001758D9"/>
    <w:rsid w:val="00175E85"/>
    <w:rsid w:val="00176155"/>
    <w:rsid w:val="00183319"/>
    <w:rsid w:val="00183E7F"/>
    <w:rsid w:val="0019304D"/>
    <w:rsid w:val="00195D88"/>
    <w:rsid w:val="001962DF"/>
    <w:rsid w:val="001A4A60"/>
    <w:rsid w:val="001B2289"/>
    <w:rsid w:val="001C3188"/>
    <w:rsid w:val="001C6D1E"/>
    <w:rsid w:val="001D0E79"/>
    <w:rsid w:val="001D3662"/>
    <w:rsid w:val="001D3898"/>
    <w:rsid w:val="001D4B5D"/>
    <w:rsid w:val="001D4F31"/>
    <w:rsid w:val="001D7619"/>
    <w:rsid w:val="001E1A27"/>
    <w:rsid w:val="001E5123"/>
    <w:rsid w:val="001F3196"/>
    <w:rsid w:val="001F5795"/>
    <w:rsid w:val="001F6D2E"/>
    <w:rsid w:val="00203C37"/>
    <w:rsid w:val="00207808"/>
    <w:rsid w:val="00207B60"/>
    <w:rsid w:val="00207DBF"/>
    <w:rsid w:val="002109D0"/>
    <w:rsid w:val="002140E8"/>
    <w:rsid w:val="0022240D"/>
    <w:rsid w:val="00230B05"/>
    <w:rsid w:val="00242EDA"/>
    <w:rsid w:val="00245A66"/>
    <w:rsid w:val="00245F79"/>
    <w:rsid w:val="00250A34"/>
    <w:rsid w:val="0025170B"/>
    <w:rsid w:val="002525A8"/>
    <w:rsid w:val="002525BE"/>
    <w:rsid w:val="0025260C"/>
    <w:rsid w:val="002544D4"/>
    <w:rsid w:val="002548F5"/>
    <w:rsid w:val="00254A78"/>
    <w:rsid w:val="00254EFA"/>
    <w:rsid w:val="002628DF"/>
    <w:rsid w:val="002638E3"/>
    <w:rsid w:val="0026660F"/>
    <w:rsid w:val="00266E5B"/>
    <w:rsid w:val="0027737D"/>
    <w:rsid w:val="00280CB7"/>
    <w:rsid w:val="00284AE1"/>
    <w:rsid w:val="00285B96"/>
    <w:rsid w:val="00286A4F"/>
    <w:rsid w:val="0029431C"/>
    <w:rsid w:val="002A0211"/>
    <w:rsid w:val="002A0AD6"/>
    <w:rsid w:val="002A2263"/>
    <w:rsid w:val="002B116F"/>
    <w:rsid w:val="002B59D1"/>
    <w:rsid w:val="002B5F9C"/>
    <w:rsid w:val="002B74BD"/>
    <w:rsid w:val="002B7B71"/>
    <w:rsid w:val="002C1275"/>
    <w:rsid w:val="002C4B3D"/>
    <w:rsid w:val="002D1457"/>
    <w:rsid w:val="002D5703"/>
    <w:rsid w:val="002D6F88"/>
    <w:rsid w:val="002E14D7"/>
    <w:rsid w:val="002E38E2"/>
    <w:rsid w:val="002E3D33"/>
    <w:rsid w:val="002F1A3A"/>
    <w:rsid w:val="0030250A"/>
    <w:rsid w:val="00304D3A"/>
    <w:rsid w:val="0030675F"/>
    <w:rsid w:val="00316628"/>
    <w:rsid w:val="00322294"/>
    <w:rsid w:val="003329BD"/>
    <w:rsid w:val="00334058"/>
    <w:rsid w:val="0033468D"/>
    <w:rsid w:val="00336748"/>
    <w:rsid w:val="00343AD6"/>
    <w:rsid w:val="00347BB3"/>
    <w:rsid w:val="00350005"/>
    <w:rsid w:val="00357FEE"/>
    <w:rsid w:val="003603CE"/>
    <w:rsid w:val="00360F50"/>
    <w:rsid w:val="00363762"/>
    <w:rsid w:val="0036471B"/>
    <w:rsid w:val="0037086C"/>
    <w:rsid w:val="0037680B"/>
    <w:rsid w:val="003771E6"/>
    <w:rsid w:val="00382FDB"/>
    <w:rsid w:val="00391185"/>
    <w:rsid w:val="003919A1"/>
    <w:rsid w:val="003957E7"/>
    <w:rsid w:val="003A1792"/>
    <w:rsid w:val="003B0119"/>
    <w:rsid w:val="003B198C"/>
    <w:rsid w:val="003B2218"/>
    <w:rsid w:val="003B270D"/>
    <w:rsid w:val="003B31AF"/>
    <w:rsid w:val="003B484F"/>
    <w:rsid w:val="003B762E"/>
    <w:rsid w:val="003B7E06"/>
    <w:rsid w:val="003C04F8"/>
    <w:rsid w:val="003C1A40"/>
    <w:rsid w:val="003D4433"/>
    <w:rsid w:val="003E5D40"/>
    <w:rsid w:val="003E64E9"/>
    <w:rsid w:val="003E67D4"/>
    <w:rsid w:val="003F39E8"/>
    <w:rsid w:val="003F6A72"/>
    <w:rsid w:val="00400005"/>
    <w:rsid w:val="00401C0A"/>
    <w:rsid w:val="0040371B"/>
    <w:rsid w:val="00410EB0"/>
    <w:rsid w:val="0041306E"/>
    <w:rsid w:val="004236C9"/>
    <w:rsid w:val="004244B9"/>
    <w:rsid w:val="004266D0"/>
    <w:rsid w:val="00433769"/>
    <w:rsid w:val="0043475D"/>
    <w:rsid w:val="0044128C"/>
    <w:rsid w:val="00444538"/>
    <w:rsid w:val="00444BD6"/>
    <w:rsid w:val="004543EB"/>
    <w:rsid w:val="004547CB"/>
    <w:rsid w:val="00462670"/>
    <w:rsid w:val="00465378"/>
    <w:rsid w:val="0047074D"/>
    <w:rsid w:val="00470CA3"/>
    <w:rsid w:val="00474246"/>
    <w:rsid w:val="004818C1"/>
    <w:rsid w:val="004818F6"/>
    <w:rsid w:val="00485CD7"/>
    <w:rsid w:val="00491A59"/>
    <w:rsid w:val="0049321D"/>
    <w:rsid w:val="0049543E"/>
    <w:rsid w:val="004A0FA2"/>
    <w:rsid w:val="004A2547"/>
    <w:rsid w:val="004A2D52"/>
    <w:rsid w:val="004B00AC"/>
    <w:rsid w:val="004B14E9"/>
    <w:rsid w:val="004B6E5D"/>
    <w:rsid w:val="004B7E7F"/>
    <w:rsid w:val="004C537C"/>
    <w:rsid w:val="004D0668"/>
    <w:rsid w:val="004D27DB"/>
    <w:rsid w:val="004D6D71"/>
    <w:rsid w:val="004E00A2"/>
    <w:rsid w:val="004E2693"/>
    <w:rsid w:val="004E37AC"/>
    <w:rsid w:val="004E795C"/>
    <w:rsid w:val="004F4027"/>
    <w:rsid w:val="004F7206"/>
    <w:rsid w:val="004F76A6"/>
    <w:rsid w:val="00512203"/>
    <w:rsid w:val="005135F6"/>
    <w:rsid w:val="005237AD"/>
    <w:rsid w:val="00523E0C"/>
    <w:rsid w:val="00524B67"/>
    <w:rsid w:val="005270F6"/>
    <w:rsid w:val="005319E3"/>
    <w:rsid w:val="00532D79"/>
    <w:rsid w:val="00533474"/>
    <w:rsid w:val="005371A0"/>
    <w:rsid w:val="00542DCC"/>
    <w:rsid w:val="00545F5B"/>
    <w:rsid w:val="00553DCE"/>
    <w:rsid w:val="00555560"/>
    <w:rsid w:val="0055631B"/>
    <w:rsid w:val="0055718E"/>
    <w:rsid w:val="00557AA5"/>
    <w:rsid w:val="00563A2F"/>
    <w:rsid w:val="00563D43"/>
    <w:rsid w:val="00566155"/>
    <w:rsid w:val="0057119C"/>
    <w:rsid w:val="00572A02"/>
    <w:rsid w:val="00576CEF"/>
    <w:rsid w:val="00582171"/>
    <w:rsid w:val="00586DB4"/>
    <w:rsid w:val="00594D84"/>
    <w:rsid w:val="00596561"/>
    <w:rsid w:val="005A011E"/>
    <w:rsid w:val="005A5A24"/>
    <w:rsid w:val="005B3200"/>
    <w:rsid w:val="005B37E6"/>
    <w:rsid w:val="005B4344"/>
    <w:rsid w:val="005B45AD"/>
    <w:rsid w:val="005C0F9C"/>
    <w:rsid w:val="005D6969"/>
    <w:rsid w:val="005E1CFC"/>
    <w:rsid w:val="005E2E6B"/>
    <w:rsid w:val="005E3176"/>
    <w:rsid w:val="005F3B6D"/>
    <w:rsid w:val="005F7001"/>
    <w:rsid w:val="00601562"/>
    <w:rsid w:val="00605024"/>
    <w:rsid w:val="0061358A"/>
    <w:rsid w:val="00615D1D"/>
    <w:rsid w:val="00617AC9"/>
    <w:rsid w:val="006227E4"/>
    <w:rsid w:val="00622F01"/>
    <w:rsid w:val="006251E9"/>
    <w:rsid w:val="00635D79"/>
    <w:rsid w:val="00636329"/>
    <w:rsid w:val="006406E0"/>
    <w:rsid w:val="0064527B"/>
    <w:rsid w:val="00647EB6"/>
    <w:rsid w:val="00652D8D"/>
    <w:rsid w:val="0065688C"/>
    <w:rsid w:val="00657399"/>
    <w:rsid w:val="00663D70"/>
    <w:rsid w:val="00676759"/>
    <w:rsid w:val="00680192"/>
    <w:rsid w:val="00682172"/>
    <w:rsid w:val="00687FA9"/>
    <w:rsid w:val="00690EF3"/>
    <w:rsid w:val="006916CB"/>
    <w:rsid w:val="0069798D"/>
    <w:rsid w:val="006A082D"/>
    <w:rsid w:val="006A2517"/>
    <w:rsid w:val="006A3931"/>
    <w:rsid w:val="006A4CD3"/>
    <w:rsid w:val="006A6153"/>
    <w:rsid w:val="006B3D1B"/>
    <w:rsid w:val="006B4D58"/>
    <w:rsid w:val="006B5D8C"/>
    <w:rsid w:val="006B7A2E"/>
    <w:rsid w:val="006C0D7F"/>
    <w:rsid w:val="006D784B"/>
    <w:rsid w:val="006E060A"/>
    <w:rsid w:val="006E15E3"/>
    <w:rsid w:val="006F6F37"/>
    <w:rsid w:val="006F7A1A"/>
    <w:rsid w:val="0070092A"/>
    <w:rsid w:val="0070127F"/>
    <w:rsid w:val="00702689"/>
    <w:rsid w:val="00702B0A"/>
    <w:rsid w:val="00706E6B"/>
    <w:rsid w:val="007126E2"/>
    <w:rsid w:val="00713254"/>
    <w:rsid w:val="007148CF"/>
    <w:rsid w:val="00720078"/>
    <w:rsid w:val="00720198"/>
    <w:rsid w:val="00722FD4"/>
    <w:rsid w:val="007252AA"/>
    <w:rsid w:val="0073554E"/>
    <w:rsid w:val="00757DB3"/>
    <w:rsid w:val="007608F2"/>
    <w:rsid w:val="00765207"/>
    <w:rsid w:val="00766F4A"/>
    <w:rsid w:val="00772668"/>
    <w:rsid w:val="007744D7"/>
    <w:rsid w:val="00785359"/>
    <w:rsid w:val="007922BA"/>
    <w:rsid w:val="007A022E"/>
    <w:rsid w:val="007A0843"/>
    <w:rsid w:val="007A0E97"/>
    <w:rsid w:val="007A6BA6"/>
    <w:rsid w:val="007B15AD"/>
    <w:rsid w:val="007B646F"/>
    <w:rsid w:val="007C2CE8"/>
    <w:rsid w:val="007C4E9E"/>
    <w:rsid w:val="007D10A6"/>
    <w:rsid w:val="007D1324"/>
    <w:rsid w:val="007D2281"/>
    <w:rsid w:val="007D2D48"/>
    <w:rsid w:val="007D2FDC"/>
    <w:rsid w:val="007E0B04"/>
    <w:rsid w:val="007E368E"/>
    <w:rsid w:val="007E3F6E"/>
    <w:rsid w:val="007F000A"/>
    <w:rsid w:val="007F07F8"/>
    <w:rsid w:val="007F4E4E"/>
    <w:rsid w:val="007F5131"/>
    <w:rsid w:val="00805ECE"/>
    <w:rsid w:val="00806631"/>
    <w:rsid w:val="008066BE"/>
    <w:rsid w:val="00806DA7"/>
    <w:rsid w:val="00822FD1"/>
    <w:rsid w:val="00831C79"/>
    <w:rsid w:val="00833B70"/>
    <w:rsid w:val="00837EA0"/>
    <w:rsid w:val="00842995"/>
    <w:rsid w:val="008500A6"/>
    <w:rsid w:val="00852106"/>
    <w:rsid w:val="00852E6F"/>
    <w:rsid w:val="0086095C"/>
    <w:rsid w:val="00862539"/>
    <w:rsid w:val="00864CFA"/>
    <w:rsid w:val="00866A6A"/>
    <w:rsid w:val="0086779B"/>
    <w:rsid w:val="008710C0"/>
    <w:rsid w:val="00873DE0"/>
    <w:rsid w:val="008818E8"/>
    <w:rsid w:val="0088436B"/>
    <w:rsid w:val="00887058"/>
    <w:rsid w:val="008876B0"/>
    <w:rsid w:val="008879B6"/>
    <w:rsid w:val="00891CF1"/>
    <w:rsid w:val="00893542"/>
    <w:rsid w:val="00893F91"/>
    <w:rsid w:val="0089726E"/>
    <w:rsid w:val="008A0469"/>
    <w:rsid w:val="008A19B9"/>
    <w:rsid w:val="008A7245"/>
    <w:rsid w:val="008B3D77"/>
    <w:rsid w:val="008B498F"/>
    <w:rsid w:val="008C2B9A"/>
    <w:rsid w:val="008C69F3"/>
    <w:rsid w:val="008C7BAF"/>
    <w:rsid w:val="008D18A5"/>
    <w:rsid w:val="008E460E"/>
    <w:rsid w:val="008E69CE"/>
    <w:rsid w:val="008F1987"/>
    <w:rsid w:val="008F5B50"/>
    <w:rsid w:val="008F77F2"/>
    <w:rsid w:val="009009C2"/>
    <w:rsid w:val="0090113C"/>
    <w:rsid w:val="0090208C"/>
    <w:rsid w:val="00907305"/>
    <w:rsid w:val="0091246C"/>
    <w:rsid w:val="009143A0"/>
    <w:rsid w:val="00934691"/>
    <w:rsid w:val="00934966"/>
    <w:rsid w:val="009362B9"/>
    <w:rsid w:val="00937E8B"/>
    <w:rsid w:val="00942589"/>
    <w:rsid w:val="00943A7D"/>
    <w:rsid w:val="00943DDA"/>
    <w:rsid w:val="00944820"/>
    <w:rsid w:val="0095225A"/>
    <w:rsid w:val="009524DE"/>
    <w:rsid w:val="00953603"/>
    <w:rsid w:val="00953EF6"/>
    <w:rsid w:val="00972242"/>
    <w:rsid w:val="0097400D"/>
    <w:rsid w:val="00981AD1"/>
    <w:rsid w:val="009866F3"/>
    <w:rsid w:val="009867D9"/>
    <w:rsid w:val="009920E9"/>
    <w:rsid w:val="00994297"/>
    <w:rsid w:val="009C1A39"/>
    <w:rsid w:val="009C6F8B"/>
    <w:rsid w:val="009D3A76"/>
    <w:rsid w:val="009D6F51"/>
    <w:rsid w:val="009E4C09"/>
    <w:rsid w:val="009E5982"/>
    <w:rsid w:val="009E599E"/>
    <w:rsid w:val="009E690F"/>
    <w:rsid w:val="009F072B"/>
    <w:rsid w:val="009F2937"/>
    <w:rsid w:val="00A000FB"/>
    <w:rsid w:val="00A045A1"/>
    <w:rsid w:val="00A11D7D"/>
    <w:rsid w:val="00A13460"/>
    <w:rsid w:val="00A13C74"/>
    <w:rsid w:val="00A1429F"/>
    <w:rsid w:val="00A14AB7"/>
    <w:rsid w:val="00A1702F"/>
    <w:rsid w:val="00A178E4"/>
    <w:rsid w:val="00A279E3"/>
    <w:rsid w:val="00A309CC"/>
    <w:rsid w:val="00A31393"/>
    <w:rsid w:val="00A32831"/>
    <w:rsid w:val="00A3330A"/>
    <w:rsid w:val="00A436E5"/>
    <w:rsid w:val="00A448FB"/>
    <w:rsid w:val="00A44C6C"/>
    <w:rsid w:val="00A458DD"/>
    <w:rsid w:val="00A46789"/>
    <w:rsid w:val="00A54C05"/>
    <w:rsid w:val="00A55AF9"/>
    <w:rsid w:val="00A616A8"/>
    <w:rsid w:val="00A64023"/>
    <w:rsid w:val="00A67D9C"/>
    <w:rsid w:val="00A706D6"/>
    <w:rsid w:val="00A737A1"/>
    <w:rsid w:val="00A7380F"/>
    <w:rsid w:val="00A7596A"/>
    <w:rsid w:val="00A7632B"/>
    <w:rsid w:val="00A81DBE"/>
    <w:rsid w:val="00A90A6E"/>
    <w:rsid w:val="00A93599"/>
    <w:rsid w:val="00A953F5"/>
    <w:rsid w:val="00A9639A"/>
    <w:rsid w:val="00A97562"/>
    <w:rsid w:val="00AA0429"/>
    <w:rsid w:val="00AA223A"/>
    <w:rsid w:val="00AB0DD7"/>
    <w:rsid w:val="00AB4C69"/>
    <w:rsid w:val="00AC1346"/>
    <w:rsid w:val="00AC2CB9"/>
    <w:rsid w:val="00AD3CF0"/>
    <w:rsid w:val="00AD53EF"/>
    <w:rsid w:val="00AE11EE"/>
    <w:rsid w:val="00AE6A65"/>
    <w:rsid w:val="00AF027B"/>
    <w:rsid w:val="00AF0DBF"/>
    <w:rsid w:val="00AF309E"/>
    <w:rsid w:val="00B027D8"/>
    <w:rsid w:val="00B031FF"/>
    <w:rsid w:val="00B104F7"/>
    <w:rsid w:val="00B1378D"/>
    <w:rsid w:val="00B14899"/>
    <w:rsid w:val="00B14C14"/>
    <w:rsid w:val="00B225AC"/>
    <w:rsid w:val="00B22D6D"/>
    <w:rsid w:val="00B25F56"/>
    <w:rsid w:val="00B26510"/>
    <w:rsid w:val="00B36941"/>
    <w:rsid w:val="00B36C8C"/>
    <w:rsid w:val="00B50C58"/>
    <w:rsid w:val="00B51F61"/>
    <w:rsid w:val="00B55320"/>
    <w:rsid w:val="00B612EC"/>
    <w:rsid w:val="00B66E4F"/>
    <w:rsid w:val="00B759FE"/>
    <w:rsid w:val="00B76E64"/>
    <w:rsid w:val="00B82963"/>
    <w:rsid w:val="00B848EB"/>
    <w:rsid w:val="00B86306"/>
    <w:rsid w:val="00B93347"/>
    <w:rsid w:val="00BA2F64"/>
    <w:rsid w:val="00BA4924"/>
    <w:rsid w:val="00BA5D7A"/>
    <w:rsid w:val="00BA61E7"/>
    <w:rsid w:val="00BB0DF7"/>
    <w:rsid w:val="00BB2D90"/>
    <w:rsid w:val="00BB61A8"/>
    <w:rsid w:val="00BB6D65"/>
    <w:rsid w:val="00BB767E"/>
    <w:rsid w:val="00BC2AF9"/>
    <w:rsid w:val="00BC3D8B"/>
    <w:rsid w:val="00BC425F"/>
    <w:rsid w:val="00BC6B12"/>
    <w:rsid w:val="00BD2846"/>
    <w:rsid w:val="00BD542F"/>
    <w:rsid w:val="00BD5BEB"/>
    <w:rsid w:val="00BE56C9"/>
    <w:rsid w:val="00BF0334"/>
    <w:rsid w:val="00BF7072"/>
    <w:rsid w:val="00C04353"/>
    <w:rsid w:val="00C06660"/>
    <w:rsid w:val="00C06FBC"/>
    <w:rsid w:val="00C10C47"/>
    <w:rsid w:val="00C14296"/>
    <w:rsid w:val="00C148BD"/>
    <w:rsid w:val="00C14D5A"/>
    <w:rsid w:val="00C15559"/>
    <w:rsid w:val="00C175BA"/>
    <w:rsid w:val="00C21C63"/>
    <w:rsid w:val="00C23C43"/>
    <w:rsid w:val="00C24397"/>
    <w:rsid w:val="00C26696"/>
    <w:rsid w:val="00C30AF1"/>
    <w:rsid w:val="00C34805"/>
    <w:rsid w:val="00C36F5C"/>
    <w:rsid w:val="00C404AA"/>
    <w:rsid w:val="00C41F5B"/>
    <w:rsid w:val="00C41FE1"/>
    <w:rsid w:val="00C43E4F"/>
    <w:rsid w:val="00C44206"/>
    <w:rsid w:val="00C45BD2"/>
    <w:rsid w:val="00C46B70"/>
    <w:rsid w:val="00C55A43"/>
    <w:rsid w:val="00C56734"/>
    <w:rsid w:val="00C57575"/>
    <w:rsid w:val="00C6303D"/>
    <w:rsid w:val="00C64300"/>
    <w:rsid w:val="00C66CCC"/>
    <w:rsid w:val="00C67386"/>
    <w:rsid w:val="00C70613"/>
    <w:rsid w:val="00C70FBB"/>
    <w:rsid w:val="00C72CCD"/>
    <w:rsid w:val="00C73181"/>
    <w:rsid w:val="00C81CE1"/>
    <w:rsid w:val="00C928F5"/>
    <w:rsid w:val="00C96994"/>
    <w:rsid w:val="00CA6378"/>
    <w:rsid w:val="00CB08AD"/>
    <w:rsid w:val="00CB2C5C"/>
    <w:rsid w:val="00CB2E91"/>
    <w:rsid w:val="00CB3893"/>
    <w:rsid w:val="00CB6A3B"/>
    <w:rsid w:val="00CC4E89"/>
    <w:rsid w:val="00CC6D00"/>
    <w:rsid w:val="00CD01B8"/>
    <w:rsid w:val="00CD074E"/>
    <w:rsid w:val="00CD789C"/>
    <w:rsid w:val="00CE1DAE"/>
    <w:rsid w:val="00CF38E6"/>
    <w:rsid w:val="00CF5DC4"/>
    <w:rsid w:val="00D02E07"/>
    <w:rsid w:val="00D055BE"/>
    <w:rsid w:val="00D119EB"/>
    <w:rsid w:val="00D1663E"/>
    <w:rsid w:val="00D177DB"/>
    <w:rsid w:val="00D212D1"/>
    <w:rsid w:val="00D3111A"/>
    <w:rsid w:val="00D311ED"/>
    <w:rsid w:val="00D31692"/>
    <w:rsid w:val="00D33ED9"/>
    <w:rsid w:val="00D3580B"/>
    <w:rsid w:val="00D35A3F"/>
    <w:rsid w:val="00D376F1"/>
    <w:rsid w:val="00D4257C"/>
    <w:rsid w:val="00D4377E"/>
    <w:rsid w:val="00D44FB8"/>
    <w:rsid w:val="00D514EB"/>
    <w:rsid w:val="00D53122"/>
    <w:rsid w:val="00D534AC"/>
    <w:rsid w:val="00D537E8"/>
    <w:rsid w:val="00D56E12"/>
    <w:rsid w:val="00D64B23"/>
    <w:rsid w:val="00D70E33"/>
    <w:rsid w:val="00D71684"/>
    <w:rsid w:val="00D7551D"/>
    <w:rsid w:val="00D8319A"/>
    <w:rsid w:val="00D856A0"/>
    <w:rsid w:val="00D87A87"/>
    <w:rsid w:val="00D94453"/>
    <w:rsid w:val="00DA2927"/>
    <w:rsid w:val="00DA3F36"/>
    <w:rsid w:val="00DB2C91"/>
    <w:rsid w:val="00DB4F45"/>
    <w:rsid w:val="00DC1AA8"/>
    <w:rsid w:val="00DC57C3"/>
    <w:rsid w:val="00DC692D"/>
    <w:rsid w:val="00DC7578"/>
    <w:rsid w:val="00DC7FF7"/>
    <w:rsid w:val="00DD3A38"/>
    <w:rsid w:val="00DD3FE0"/>
    <w:rsid w:val="00DD6DB9"/>
    <w:rsid w:val="00DE17C5"/>
    <w:rsid w:val="00DE2665"/>
    <w:rsid w:val="00DE374B"/>
    <w:rsid w:val="00DE41E5"/>
    <w:rsid w:val="00DE488A"/>
    <w:rsid w:val="00DE49C8"/>
    <w:rsid w:val="00DE70E8"/>
    <w:rsid w:val="00DF3A04"/>
    <w:rsid w:val="00DF6045"/>
    <w:rsid w:val="00E00499"/>
    <w:rsid w:val="00E05AEB"/>
    <w:rsid w:val="00E12202"/>
    <w:rsid w:val="00E23D20"/>
    <w:rsid w:val="00E24FDB"/>
    <w:rsid w:val="00E25E85"/>
    <w:rsid w:val="00E304BF"/>
    <w:rsid w:val="00E30E44"/>
    <w:rsid w:val="00E32495"/>
    <w:rsid w:val="00E37A06"/>
    <w:rsid w:val="00E44252"/>
    <w:rsid w:val="00E452A4"/>
    <w:rsid w:val="00E457A1"/>
    <w:rsid w:val="00E46A9E"/>
    <w:rsid w:val="00E47E39"/>
    <w:rsid w:val="00E55439"/>
    <w:rsid w:val="00E55FBC"/>
    <w:rsid w:val="00E6106A"/>
    <w:rsid w:val="00E613A9"/>
    <w:rsid w:val="00E622F0"/>
    <w:rsid w:val="00E632C0"/>
    <w:rsid w:val="00E70AA4"/>
    <w:rsid w:val="00E74F3A"/>
    <w:rsid w:val="00E75346"/>
    <w:rsid w:val="00E756A9"/>
    <w:rsid w:val="00E75EAB"/>
    <w:rsid w:val="00E76A0F"/>
    <w:rsid w:val="00E82A2F"/>
    <w:rsid w:val="00E854C2"/>
    <w:rsid w:val="00E940D1"/>
    <w:rsid w:val="00E956FD"/>
    <w:rsid w:val="00EA0261"/>
    <w:rsid w:val="00EA270C"/>
    <w:rsid w:val="00EA6A8C"/>
    <w:rsid w:val="00EB3108"/>
    <w:rsid w:val="00EB38B0"/>
    <w:rsid w:val="00EC38FC"/>
    <w:rsid w:val="00EC7269"/>
    <w:rsid w:val="00EC7FAC"/>
    <w:rsid w:val="00ED3520"/>
    <w:rsid w:val="00ED59FB"/>
    <w:rsid w:val="00ED7CA0"/>
    <w:rsid w:val="00EE0DE4"/>
    <w:rsid w:val="00EE3DD6"/>
    <w:rsid w:val="00EF02C0"/>
    <w:rsid w:val="00EF03FA"/>
    <w:rsid w:val="00EF1E21"/>
    <w:rsid w:val="00EF2A05"/>
    <w:rsid w:val="00F02B4E"/>
    <w:rsid w:val="00F07227"/>
    <w:rsid w:val="00F07271"/>
    <w:rsid w:val="00F110E4"/>
    <w:rsid w:val="00F117EE"/>
    <w:rsid w:val="00F12D91"/>
    <w:rsid w:val="00F14D29"/>
    <w:rsid w:val="00F15549"/>
    <w:rsid w:val="00F161E5"/>
    <w:rsid w:val="00F163A4"/>
    <w:rsid w:val="00F166D9"/>
    <w:rsid w:val="00F317D3"/>
    <w:rsid w:val="00F32ECB"/>
    <w:rsid w:val="00F33922"/>
    <w:rsid w:val="00F34755"/>
    <w:rsid w:val="00F34D64"/>
    <w:rsid w:val="00F37948"/>
    <w:rsid w:val="00F40A63"/>
    <w:rsid w:val="00F45735"/>
    <w:rsid w:val="00F46A0F"/>
    <w:rsid w:val="00F50DA6"/>
    <w:rsid w:val="00F66AAA"/>
    <w:rsid w:val="00F75351"/>
    <w:rsid w:val="00F756BD"/>
    <w:rsid w:val="00F77485"/>
    <w:rsid w:val="00F84A4E"/>
    <w:rsid w:val="00F91657"/>
    <w:rsid w:val="00FA0255"/>
    <w:rsid w:val="00FA0C1A"/>
    <w:rsid w:val="00FA1218"/>
    <w:rsid w:val="00FA27D6"/>
    <w:rsid w:val="00FA3365"/>
    <w:rsid w:val="00FA6D07"/>
    <w:rsid w:val="00FB61EA"/>
    <w:rsid w:val="00FC2EF0"/>
    <w:rsid w:val="00FC325B"/>
    <w:rsid w:val="00FC32B9"/>
    <w:rsid w:val="00FD1C34"/>
    <w:rsid w:val="00FD26C9"/>
    <w:rsid w:val="00FD3048"/>
    <w:rsid w:val="00FD5DB9"/>
    <w:rsid w:val="00FE00D9"/>
    <w:rsid w:val="02331ABF"/>
    <w:rsid w:val="05385B79"/>
    <w:rsid w:val="0A074F47"/>
    <w:rsid w:val="0DEF52EA"/>
    <w:rsid w:val="12C16C73"/>
    <w:rsid w:val="204607B7"/>
    <w:rsid w:val="312445B4"/>
    <w:rsid w:val="3DFC34A6"/>
    <w:rsid w:val="45E61A88"/>
    <w:rsid w:val="471A5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9"/>
      </o:rules>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9"/>
    <w:qFormat/>
    <w:uiPriority w:val="9"/>
    <w:pPr>
      <w:spacing w:before="600" w:after="0" w:line="360" w:lineRule="auto"/>
      <w:outlineLvl w:val="0"/>
    </w:pPr>
    <w:rPr>
      <w:rFonts w:ascii="Cambria" w:hAnsi="Cambria" w:eastAsia="Times New Roman" w:cs="Times New Roman"/>
      <w:b/>
      <w:bCs/>
      <w:i/>
      <w:iCs/>
      <w:sz w:val="32"/>
      <w:szCs w:val="32"/>
      <w:lang w:bidi="en-US"/>
    </w:rPr>
  </w:style>
  <w:style w:type="paragraph" w:styleId="3">
    <w:name w:val="heading 2"/>
    <w:basedOn w:val="1"/>
    <w:next w:val="1"/>
    <w:link w:val="3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31"/>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5"/>
    <w:semiHidden/>
    <w:unhideWhenUsed/>
    <w:qFormat/>
    <w:uiPriority w:val="99"/>
    <w:pPr>
      <w:spacing w:after="0" w:line="240" w:lineRule="auto"/>
    </w:pPr>
    <w:rPr>
      <w:rFonts w:ascii="Tahoma" w:hAnsi="Tahoma" w:cs="Tahoma"/>
      <w:sz w:val="16"/>
      <w:szCs w:val="16"/>
    </w:rPr>
  </w:style>
  <w:style w:type="paragraph" w:styleId="8">
    <w:name w:val="Body Text"/>
    <w:basedOn w:val="1"/>
    <w:link w:val="47"/>
    <w:qFormat/>
    <w:uiPriority w:val="0"/>
    <w:pPr>
      <w:spacing w:after="0" w:line="240" w:lineRule="auto"/>
      <w:jc w:val="center"/>
    </w:pPr>
    <w:rPr>
      <w:rFonts w:ascii="Times New Roman" w:hAnsi="Times New Roman" w:eastAsia="Times New Roman" w:cs="Times New Roman"/>
      <w:b/>
      <w:bCs/>
      <w:color w:val="0000FF"/>
      <w:sz w:val="24"/>
      <w:szCs w:val="24"/>
    </w:rPr>
  </w:style>
  <w:style w:type="paragraph" w:styleId="9">
    <w:name w:val="caption"/>
    <w:basedOn w:val="1"/>
    <w:next w:val="1"/>
    <w:unhideWhenUsed/>
    <w:qFormat/>
    <w:uiPriority w:val="35"/>
    <w:pPr>
      <w:spacing w:line="240" w:lineRule="auto"/>
    </w:pPr>
    <w:rPr>
      <w:b/>
      <w:bCs/>
      <w:color w:val="4F81BD" w:themeColor="accent1"/>
      <w:sz w:val="18"/>
      <w:szCs w:val="18"/>
      <w:lang w:val="en-IN" w:eastAsia="en-IN"/>
    </w:rPr>
  </w:style>
  <w:style w:type="character" w:styleId="10">
    <w:name w:val="Emphasis"/>
    <w:basedOn w:val="5"/>
    <w:qFormat/>
    <w:uiPriority w:val="20"/>
    <w:rPr>
      <w:i/>
      <w:iCs/>
    </w:rPr>
  </w:style>
  <w:style w:type="paragraph" w:styleId="11">
    <w:name w:val="footer"/>
    <w:basedOn w:val="1"/>
    <w:link w:val="28"/>
    <w:unhideWhenUsed/>
    <w:qFormat/>
    <w:uiPriority w:val="99"/>
    <w:pPr>
      <w:tabs>
        <w:tab w:val="center" w:pos="4680"/>
        <w:tab w:val="right" w:pos="9360"/>
      </w:tabs>
      <w:spacing w:after="0" w:line="240" w:lineRule="auto"/>
    </w:pPr>
  </w:style>
  <w:style w:type="paragraph" w:styleId="12">
    <w:name w:val="footnote text"/>
    <w:basedOn w:val="1"/>
    <w:link w:val="41"/>
    <w:unhideWhenUsed/>
    <w:qFormat/>
    <w:uiPriority w:val="99"/>
    <w:pPr>
      <w:spacing w:after="0" w:line="240" w:lineRule="auto"/>
    </w:pPr>
    <w:rPr>
      <w:sz w:val="20"/>
      <w:szCs w:val="20"/>
    </w:rPr>
  </w:style>
  <w:style w:type="paragraph" w:styleId="13">
    <w:name w:val="header"/>
    <w:basedOn w:val="1"/>
    <w:link w:val="27"/>
    <w:unhideWhenUsed/>
    <w:qFormat/>
    <w:uiPriority w:val="99"/>
    <w:pPr>
      <w:tabs>
        <w:tab w:val="center" w:pos="4680"/>
        <w:tab w:val="right" w:pos="9360"/>
      </w:tabs>
      <w:spacing w:after="0" w:line="240" w:lineRule="auto"/>
    </w:pPr>
  </w:style>
  <w:style w:type="character" w:styleId="14">
    <w:name w:val="Hyperlink"/>
    <w:basedOn w:val="5"/>
    <w:unhideWhenUsed/>
    <w:qFormat/>
    <w:uiPriority w:val="0"/>
    <w:rPr>
      <w:color w:val="0000FF" w:themeColor="hyperlink"/>
      <w:u w:val="single"/>
    </w:rPr>
  </w:style>
  <w:style w:type="paragraph" w:styleId="1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bidi="mr-IN"/>
    </w:rPr>
  </w:style>
  <w:style w:type="character" w:styleId="16">
    <w:name w:val="Strong"/>
    <w:basedOn w:val="5"/>
    <w:qFormat/>
    <w:uiPriority w:val="22"/>
    <w:rPr>
      <w:b/>
      <w:bCs/>
    </w:rPr>
  </w:style>
  <w:style w:type="table" w:styleId="17">
    <w:name w:val="Table Grid"/>
    <w:basedOn w:val="6"/>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8">
    <w:name w:val="Title"/>
    <w:basedOn w:val="1"/>
    <w:link w:val="45"/>
    <w:qFormat/>
    <w:uiPriority w:val="0"/>
    <w:pPr>
      <w:pBdr>
        <w:bottom w:val="single" w:color="4F81BD" w:sz="8" w:space="4"/>
      </w:pBdr>
      <w:spacing w:after="300" w:line="240" w:lineRule="auto"/>
    </w:pPr>
    <w:rPr>
      <w:rFonts w:hint="eastAsia" w:ascii="Calibri" w:hAnsi="Calibri" w:eastAsia="SimSun" w:cs="Times New Roman"/>
      <w:color w:val="17365D"/>
      <w:spacing w:val="5"/>
      <w:kern w:val="28"/>
      <w:sz w:val="52"/>
      <w:szCs w:val="52"/>
      <w:lang w:eastAsia="zh-CN"/>
    </w:rPr>
  </w:style>
  <w:style w:type="character" w:customStyle="1" w:styleId="19">
    <w:name w:val="Heading 1 Char"/>
    <w:basedOn w:val="5"/>
    <w:link w:val="2"/>
    <w:qFormat/>
    <w:uiPriority w:val="9"/>
    <w:rPr>
      <w:rFonts w:ascii="Cambria" w:hAnsi="Cambria" w:eastAsia="Times New Roman" w:cs="Times New Roman"/>
      <w:b/>
      <w:bCs/>
      <w:i/>
      <w:iCs/>
      <w:sz w:val="32"/>
      <w:szCs w:val="32"/>
      <w:lang w:bidi="en-US"/>
    </w:rPr>
  </w:style>
  <w:style w:type="paragraph" w:styleId="20">
    <w:name w:val="No Spacing"/>
    <w:link w:val="21"/>
    <w:qFormat/>
    <w:uiPriority w:val="1"/>
    <w:pPr>
      <w:spacing w:after="0" w:line="240" w:lineRule="auto"/>
    </w:pPr>
    <w:rPr>
      <w:rFonts w:ascii="Calibri" w:hAnsi="Calibri" w:eastAsia="Calibri" w:cs="Times New Roman"/>
      <w:sz w:val="22"/>
      <w:szCs w:val="22"/>
      <w:lang w:val="en-IN" w:eastAsia="en-US" w:bidi="ar-SA"/>
    </w:rPr>
  </w:style>
  <w:style w:type="character" w:customStyle="1" w:styleId="21">
    <w:name w:val="No Spacing Char"/>
    <w:basedOn w:val="5"/>
    <w:link w:val="20"/>
    <w:qFormat/>
    <w:uiPriority w:val="1"/>
    <w:rPr>
      <w:rFonts w:ascii="Calibri" w:hAnsi="Calibri" w:eastAsia="Calibri" w:cs="Times New Roman"/>
      <w:lang w:val="en-IN"/>
    </w:rPr>
  </w:style>
  <w:style w:type="paragraph" w:customStyle="1" w:styleId="22">
    <w:name w:val="02 Paper Authors"/>
    <w:qFormat/>
    <w:uiPriority w:val="0"/>
    <w:pPr>
      <w:spacing w:after="0" w:line="240" w:lineRule="exact"/>
    </w:pPr>
    <w:rPr>
      <w:rFonts w:ascii="Times New Roman" w:hAnsi="Times New Roman" w:eastAsia="Times New Roman" w:cs="Times New Roman"/>
      <w:b/>
      <w:sz w:val="22"/>
      <w:szCs w:val="22"/>
      <w:lang w:val="en-GB" w:eastAsia="en-GB" w:bidi="ar-SA"/>
    </w:rPr>
  </w:style>
  <w:style w:type="character" w:customStyle="1" w:styleId="23">
    <w:name w:val="go"/>
    <w:basedOn w:val="5"/>
    <w:qFormat/>
    <w:uiPriority w:val="0"/>
  </w:style>
  <w:style w:type="paragraph" w:styleId="24">
    <w:name w:val="List Paragraph"/>
    <w:basedOn w:val="1"/>
    <w:qFormat/>
    <w:uiPriority w:val="34"/>
    <w:pPr>
      <w:ind w:left="720"/>
      <w:contextualSpacing/>
    </w:pPr>
  </w:style>
  <w:style w:type="character" w:customStyle="1" w:styleId="25">
    <w:name w:val="Balloon Text Char"/>
    <w:basedOn w:val="5"/>
    <w:link w:val="7"/>
    <w:semiHidden/>
    <w:qFormat/>
    <w:uiPriority w:val="99"/>
    <w:rPr>
      <w:rFonts w:ascii="Tahoma" w:hAnsi="Tahoma" w:cs="Tahoma"/>
      <w:sz w:val="16"/>
      <w:szCs w:val="16"/>
    </w:rPr>
  </w:style>
  <w:style w:type="character" w:customStyle="1" w:styleId="26">
    <w:name w:val="st"/>
    <w:basedOn w:val="5"/>
    <w:qFormat/>
    <w:uiPriority w:val="0"/>
  </w:style>
  <w:style w:type="character" w:customStyle="1" w:styleId="27">
    <w:name w:val="Header Char"/>
    <w:basedOn w:val="5"/>
    <w:link w:val="13"/>
    <w:qFormat/>
    <w:uiPriority w:val="99"/>
  </w:style>
  <w:style w:type="character" w:customStyle="1" w:styleId="28">
    <w:name w:val="Footer Char"/>
    <w:basedOn w:val="5"/>
    <w:link w:val="11"/>
    <w:qFormat/>
    <w:uiPriority w:val="99"/>
  </w:style>
  <w:style w:type="paragraph" w:customStyle="1" w:styleId="29">
    <w:name w:val="Date1"/>
    <w:next w:val="1"/>
    <w:qFormat/>
    <w:uiPriority w:val="0"/>
    <w:pPr>
      <w:widowControl w:val="0"/>
      <w:spacing w:before="120" w:after="240" w:line="240" w:lineRule="auto"/>
      <w:jc w:val="center"/>
    </w:pPr>
    <w:rPr>
      <w:rFonts w:ascii="Times New Roman" w:hAnsi="Times New Roman" w:eastAsia="Times New Roman" w:cs="Mangal"/>
      <w:i/>
      <w:iCs/>
      <w:sz w:val="18"/>
      <w:szCs w:val="18"/>
      <w:lang w:val="en-GB" w:eastAsia="en-US" w:bidi="hi-IN"/>
    </w:rPr>
  </w:style>
  <w:style w:type="character" w:customStyle="1" w:styleId="30">
    <w:name w:val="Heading 2 Char"/>
    <w:basedOn w:val="5"/>
    <w:link w:val="3"/>
    <w:qFormat/>
    <w:uiPriority w:val="99"/>
    <w:rPr>
      <w:rFonts w:asciiTheme="majorHAnsi" w:hAnsiTheme="majorHAnsi" w:eastAsiaTheme="majorEastAsia" w:cstheme="majorBidi"/>
      <w:b/>
      <w:bCs/>
      <w:color w:val="4F81BD" w:themeColor="accent1"/>
      <w:sz w:val="26"/>
      <w:szCs w:val="26"/>
    </w:rPr>
  </w:style>
  <w:style w:type="character" w:customStyle="1" w:styleId="31">
    <w:name w:val="Heading 3 Char"/>
    <w:basedOn w:val="5"/>
    <w:link w:val="4"/>
    <w:qFormat/>
    <w:uiPriority w:val="9"/>
    <w:rPr>
      <w:rFonts w:asciiTheme="majorHAnsi" w:hAnsiTheme="majorHAnsi" w:eastAsiaTheme="majorEastAsia" w:cstheme="majorBidi"/>
      <w:b/>
      <w:bCs/>
      <w:color w:val="4F81BD" w:themeColor="accent1"/>
    </w:rPr>
  </w:style>
  <w:style w:type="character" w:customStyle="1" w:styleId="32">
    <w:name w:val="apple-converted-space"/>
    <w:basedOn w:val="5"/>
    <w:qFormat/>
    <w:uiPriority w:val="0"/>
  </w:style>
  <w:style w:type="character" w:customStyle="1" w:styleId="33">
    <w:name w:val="inlineblock"/>
    <w:basedOn w:val="5"/>
    <w:qFormat/>
    <w:uiPriority w:val="0"/>
  </w:style>
  <w:style w:type="character" w:customStyle="1" w:styleId="34">
    <w:name w:val="article__author-link"/>
    <w:basedOn w:val="5"/>
    <w:qFormat/>
    <w:uiPriority w:val="0"/>
  </w:style>
  <w:style w:type="character" w:customStyle="1" w:styleId="35">
    <w:name w:val="mw-headline"/>
    <w:basedOn w:val="5"/>
    <w:qFormat/>
    <w:uiPriority w:val="0"/>
  </w:style>
  <w:style w:type="paragraph" w:customStyle="1" w:styleId="36">
    <w:name w:val="Default"/>
    <w:qFormat/>
    <w:uiPriority w:val="0"/>
    <w:pPr>
      <w:autoSpaceDE w:val="0"/>
      <w:autoSpaceDN w:val="0"/>
      <w:adjustRightInd w:val="0"/>
      <w:spacing w:after="0" w:line="240" w:lineRule="auto"/>
    </w:pPr>
    <w:rPr>
      <w:rFonts w:ascii="Bernard MT Condensed" w:hAnsi="Bernard MT Condensed" w:cs="Bernard MT Condensed" w:eastAsiaTheme="minorHAnsi"/>
      <w:color w:val="000000"/>
      <w:sz w:val="24"/>
      <w:szCs w:val="24"/>
      <w:lang w:val="en-US" w:eastAsia="en-US" w:bidi="mr-IN"/>
    </w:rPr>
  </w:style>
  <w:style w:type="character" w:customStyle="1" w:styleId="37">
    <w:name w:val="A1"/>
    <w:qFormat/>
    <w:uiPriority w:val="99"/>
    <w:rPr>
      <w:rFonts w:cs="Frutiger LT 55 Roman"/>
      <w:color w:val="000000"/>
      <w:sz w:val="16"/>
      <w:szCs w:val="16"/>
    </w:rPr>
  </w:style>
  <w:style w:type="character" w:customStyle="1" w:styleId="38">
    <w:name w:val="A2"/>
    <w:qFormat/>
    <w:uiPriority w:val="99"/>
    <w:rPr>
      <w:rFonts w:cs="AvantGarde Medium"/>
      <w:b/>
      <w:bCs/>
      <w:color w:val="000000"/>
      <w:sz w:val="48"/>
      <w:szCs w:val="48"/>
    </w:rPr>
  </w:style>
  <w:style w:type="character" w:styleId="39">
    <w:name w:val="Placeholder Text"/>
    <w:basedOn w:val="5"/>
    <w:semiHidden/>
    <w:qFormat/>
    <w:uiPriority w:val="99"/>
    <w:rPr>
      <w:color w:val="808080"/>
    </w:rPr>
  </w:style>
  <w:style w:type="paragraph" w:customStyle="1" w:styleId="40">
    <w:name w:val="Decimal Aligned"/>
    <w:basedOn w:val="1"/>
    <w:qFormat/>
    <w:uiPriority w:val="40"/>
    <w:pPr>
      <w:tabs>
        <w:tab w:val="decimal" w:pos="360"/>
      </w:tabs>
    </w:pPr>
  </w:style>
  <w:style w:type="character" w:customStyle="1" w:styleId="41">
    <w:name w:val="Footnote Text Char"/>
    <w:basedOn w:val="5"/>
    <w:link w:val="12"/>
    <w:qFormat/>
    <w:uiPriority w:val="99"/>
    <w:rPr>
      <w:sz w:val="20"/>
      <w:szCs w:val="20"/>
    </w:rPr>
  </w:style>
  <w:style w:type="character" w:customStyle="1" w:styleId="42">
    <w:name w:val="Subtle Emphasis"/>
    <w:basedOn w:val="5"/>
    <w:qFormat/>
    <w:uiPriority w:val="19"/>
    <w:rPr>
      <w:rFonts w:eastAsiaTheme="minorEastAsia" w:cstheme="minorBidi"/>
      <w:i/>
      <w:iCs/>
      <w:color w:val="7F7F7F" w:themeColor="text1" w:themeTint="7F"/>
      <w:szCs w:val="22"/>
      <w:lang w:val="en-US"/>
    </w:rPr>
  </w:style>
  <w:style w:type="table" w:customStyle="1" w:styleId="43">
    <w:name w:val="Light Shading - Accent 11"/>
    <w:basedOn w:val="6"/>
    <w:qFormat/>
    <w:uiPriority w:val="60"/>
    <w:pPr>
      <w:spacing w:after="0" w:line="240" w:lineRule="auto"/>
    </w:pPr>
    <w:rPr>
      <w:color w:val="366091" w:themeColor="accent1" w:themeShade="BF"/>
      <w:lang w:bidi="en-US"/>
    </w:rPr>
    <w:tblPr>
      <w:tblBorders>
        <w:top w:val="single" w:color="4F81BD" w:themeColor="accent1" w:sz="8" w:space="0"/>
        <w:bottom w:val="single" w:color="4F81BD" w:themeColor="accent1" w:sz="8" w:space="0"/>
      </w:tblBorders>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table" w:customStyle="1" w:styleId="44">
    <w:name w:val="Light List1"/>
    <w:basedOn w:val="6"/>
    <w:qFormat/>
    <w:uiPriority w:val="61"/>
    <w:pPr>
      <w:spacing w:after="0" w:line="240" w:lineRule="auto"/>
    </w:pPr>
    <w:rPr>
      <w:lang w:bidi="en-US"/>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45">
    <w:name w:val="Title Char"/>
    <w:basedOn w:val="5"/>
    <w:link w:val="18"/>
    <w:qFormat/>
    <w:uiPriority w:val="0"/>
    <w:rPr>
      <w:rFonts w:ascii="Calibri" w:hAnsi="Calibri" w:eastAsia="SimSun" w:cs="Times New Roman"/>
      <w:color w:val="17365D"/>
      <w:spacing w:val="5"/>
      <w:kern w:val="28"/>
      <w:sz w:val="52"/>
      <w:szCs w:val="52"/>
      <w:lang w:eastAsia="zh-CN"/>
    </w:rPr>
  </w:style>
  <w:style w:type="paragraph" w:customStyle="1" w:styleId="46">
    <w:name w:val="Experimental"/>
    <w:basedOn w:val="1"/>
    <w:qFormat/>
    <w:uiPriority w:val="0"/>
    <w:pPr>
      <w:spacing w:after="80" w:line="235" w:lineRule="exact"/>
      <w:jc w:val="both"/>
    </w:pPr>
    <w:rPr>
      <w:rFonts w:ascii="Times New Roman" w:hAnsi="Times New Roman" w:eastAsia="Times New Roman" w:cs="Times New Roman"/>
      <w:kern w:val="18"/>
      <w:sz w:val="21"/>
      <w:szCs w:val="20"/>
      <w:lang w:eastAsia="de-DE"/>
    </w:rPr>
  </w:style>
  <w:style w:type="character" w:customStyle="1" w:styleId="47">
    <w:name w:val="Body Text Char"/>
    <w:basedOn w:val="5"/>
    <w:link w:val="8"/>
    <w:qFormat/>
    <w:uiPriority w:val="0"/>
    <w:rPr>
      <w:rFonts w:ascii="Times New Roman" w:hAnsi="Times New Roman" w:eastAsia="Times New Roman" w:cs="Times New Roman"/>
      <w:b/>
      <w:bCs/>
      <w:color w:val="0000FF"/>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44.emf"/><Relationship Id="rId82" Type="http://schemas.openxmlformats.org/officeDocument/2006/relationships/oleObject" Target="embeddings/oleObject33.bin"/><Relationship Id="rId81" Type="http://schemas.openxmlformats.org/officeDocument/2006/relationships/image" Target="media/image43.emf"/><Relationship Id="rId80" Type="http://schemas.openxmlformats.org/officeDocument/2006/relationships/oleObject" Target="embeddings/oleObject32.bin"/><Relationship Id="rId8" Type="http://schemas.openxmlformats.org/officeDocument/2006/relationships/image" Target="media/image2.png"/><Relationship Id="rId79" Type="http://schemas.openxmlformats.org/officeDocument/2006/relationships/image" Target="media/image42.emf"/><Relationship Id="rId78" Type="http://schemas.openxmlformats.org/officeDocument/2006/relationships/oleObject" Target="embeddings/oleObject31.bin"/><Relationship Id="rId77" Type="http://schemas.openxmlformats.org/officeDocument/2006/relationships/image" Target="media/image41.emf"/><Relationship Id="rId76" Type="http://schemas.openxmlformats.org/officeDocument/2006/relationships/oleObject" Target="embeddings/oleObject30.bin"/><Relationship Id="rId75" Type="http://schemas.openxmlformats.org/officeDocument/2006/relationships/image" Target="media/image40.emf"/><Relationship Id="rId74" Type="http://schemas.openxmlformats.org/officeDocument/2006/relationships/oleObject" Target="embeddings/oleObject29.bin"/><Relationship Id="rId73" Type="http://schemas.openxmlformats.org/officeDocument/2006/relationships/image" Target="media/image39.emf"/><Relationship Id="rId72" Type="http://schemas.openxmlformats.org/officeDocument/2006/relationships/oleObject" Target="embeddings/oleObject28.bin"/><Relationship Id="rId71" Type="http://schemas.openxmlformats.org/officeDocument/2006/relationships/image" Target="media/image38.emf"/><Relationship Id="rId70" Type="http://schemas.openxmlformats.org/officeDocument/2006/relationships/oleObject" Target="embeddings/oleObject27.bin"/><Relationship Id="rId7" Type="http://schemas.openxmlformats.org/officeDocument/2006/relationships/image" Target="media/image1.png"/><Relationship Id="rId69" Type="http://schemas.openxmlformats.org/officeDocument/2006/relationships/image" Target="media/image37.emf"/><Relationship Id="rId68" Type="http://schemas.openxmlformats.org/officeDocument/2006/relationships/oleObject" Target="embeddings/oleObject26.bin"/><Relationship Id="rId67" Type="http://schemas.openxmlformats.org/officeDocument/2006/relationships/image" Target="media/image36.png"/><Relationship Id="rId66" Type="http://schemas.openxmlformats.org/officeDocument/2006/relationships/image" Target="media/image35.emf"/><Relationship Id="rId65" Type="http://schemas.openxmlformats.org/officeDocument/2006/relationships/oleObject" Target="embeddings/oleObject25.bin"/><Relationship Id="rId64" Type="http://schemas.openxmlformats.org/officeDocument/2006/relationships/image" Target="media/image34.emf"/><Relationship Id="rId63" Type="http://schemas.openxmlformats.org/officeDocument/2006/relationships/oleObject" Target="embeddings/oleObject24.bin"/><Relationship Id="rId62" Type="http://schemas.openxmlformats.org/officeDocument/2006/relationships/image" Target="media/image33.emf"/><Relationship Id="rId61" Type="http://schemas.openxmlformats.org/officeDocument/2006/relationships/oleObject" Target="embeddings/oleObject23.bin"/><Relationship Id="rId60" Type="http://schemas.openxmlformats.org/officeDocument/2006/relationships/image" Target="media/image32.png"/><Relationship Id="rId6" Type="http://schemas.openxmlformats.org/officeDocument/2006/relationships/theme" Target="theme/theme1.xml"/><Relationship Id="rId59" Type="http://schemas.openxmlformats.org/officeDocument/2006/relationships/image" Target="media/image31.emf"/><Relationship Id="rId58" Type="http://schemas.openxmlformats.org/officeDocument/2006/relationships/image" Target="media/image30.emf"/><Relationship Id="rId57" Type="http://schemas.openxmlformats.org/officeDocument/2006/relationships/oleObject" Target="embeddings/oleObject22.bin"/><Relationship Id="rId56" Type="http://schemas.openxmlformats.org/officeDocument/2006/relationships/image" Target="media/image29.emf"/><Relationship Id="rId55" Type="http://schemas.openxmlformats.org/officeDocument/2006/relationships/oleObject" Target="embeddings/oleObject21.bin"/><Relationship Id="rId54" Type="http://schemas.openxmlformats.org/officeDocument/2006/relationships/image" Target="media/image28.emf"/><Relationship Id="rId53" Type="http://schemas.openxmlformats.org/officeDocument/2006/relationships/image" Target="media/image27.emf"/><Relationship Id="rId52" Type="http://schemas.openxmlformats.org/officeDocument/2006/relationships/oleObject" Target="embeddings/oleObject20.bin"/><Relationship Id="rId51" Type="http://schemas.openxmlformats.org/officeDocument/2006/relationships/image" Target="media/image26.emf"/><Relationship Id="rId50" Type="http://schemas.openxmlformats.org/officeDocument/2006/relationships/oleObject" Target="embeddings/oleObject19.bin"/><Relationship Id="rId5" Type="http://schemas.openxmlformats.org/officeDocument/2006/relationships/footer" Target="footer1.xml"/><Relationship Id="rId49" Type="http://schemas.openxmlformats.org/officeDocument/2006/relationships/image" Target="media/image25.emf"/><Relationship Id="rId48" Type="http://schemas.openxmlformats.org/officeDocument/2006/relationships/oleObject" Target="embeddings/oleObject18.bin"/><Relationship Id="rId47" Type="http://schemas.openxmlformats.org/officeDocument/2006/relationships/image" Target="media/image24.emf"/><Relationship Id="rId46" Type="http://schemas.openxmlformats.org/officeDocument/2006/relationships/oleObject" Target="embeddings/oleObject17.bin"/><Relationship Id="rId45" Type="http://schemas.openxmlformats.org/officeDocument/2006/relationships/image" Target="media/image23.emf"/><Relationship Id="rId44" Type="http://schemas.openxmlformats.org/officeDocument/2006/relationships/image" Target="media/image22.emf"/><Relationship Id="rId43" Type="http://schemas.openxmlformats.org/officeDocument/2006/relationships/oleObject" Target="embeddings/oleObject16.bin"/><Relationship Id="rId42" Type="http://schemas.openxmlformats.org/officeDocument/2006/relationships/image" Target="media/image21.emf"/><Relationship Id="rId41" Type="http://schemas.openxmlformats.org/officeDocument/2006/relationships/oleObject" Target="embeddings/oleObject15.bin"/><Relationship Id="rId40" Type="http://schemas.openxmlformats.org/officeDocument/2006/relationships/image" Target="media/image20.emf"/><Relationship Id="rId4" Type="http://schemas.openxmlformats.org/officeDocument/2006/relationships/endnotes" Target="endnotes.xml"/><Relationship Id="rId39" Type="http://schemas.openxmlformats.org/officeDocument/2006/relationships/oleObject" Target="embeddings/oleObject14.bin"/><Relationship Id="rId38" Type="http://schemas.openxmlformats.org/officeDocument/2006/relationships/image" Target="media/image19.emf"/><Relationship Id="rId37" Type="http://schemas.openxmlformats.org/officeDocument/2006/relationships/oleObject" Target="embeddings/oleObject13.bin"/><Relationship Id="rId36" Type="http://schemas.openxmlformats.org/officeDocument/2006/relationships/image" Target="media/image18.png"/><Relationship Id="rId35" Type="http://schemas.openxmlformats.org/officeDocument/2006/relationships/image" Target="media/image17.emf"/><Relationship Id="rId34" Type="http://schemas.openxmlformats.org/officeDocument/2006/relationships/oleObject" Target="embeddings/oleObject12.bin"/><Relationship Id="rId33" Type="http://schemas.openxmlformats.org/officeDocument/2006/relationships/image" Target="media/image16.emf"/><Relationship Id="rId32" Type="http://schemas.openxmlformats.org/officeDocument/2006/relationships/oleObject" Target="embeddings/oleObject11.bin"/><Relationship Id="rId31" Type="http://schemas.openxmlformats.org/officeDocument/2006/relationships/image" Target="media/image15.emf"/><Relationship Id="rId30" Type="http://schemas.openxmlformats.org/officeDocument/2006/relationships/image" Target="media/image14.emf"/><Relationship Id="rId3" Type="http://schemas.openxmlformats.org/officeDocument/2006/relationships/footnotes" Target="footnotes.xml"/><Relationship Id="rId29" Type="http://schemas.openxmlformats.org/officeDocument/2006/relationships/oleObject" Target="embeddings/oleObject10.bin"/><Relationship Id="rId28" Type="http://schemas.openxmlformats.org/officeDocument/2006/relationships/image" Target="media/image13.emf"/><Relationship Id="rId27" Type="http://schemas.openxmlformats.org/officeDocument/2006/relationships/oleObject" Target="embeddings/oleObject9.bin"/><Relationship Id="rId26" Type="http://schemas.openxmlformats.org/officeDocument/2006/relationships/image" Target="media/image12.emf"/><Relationship Id="rId25" Type="http://schemas.openxmlformats.org/officeDocument/2006/relationships/oleObject" Target="embeddings/oleObject8.bin"/><Relationship Id="rId24" Type="http://schemas.openxmlformats.org/officeDocument/2006/relationships/image" Target="media/image11.emf"/><Relationship Id="rId23" Type="http://schemas.openxmlformats.org/officeDocument/2006/relationships/oleObject" Target="embeddings/oleObject7.bin"/><Relationship Id="rId22" Type="http://schemas.openxmlformats.org/officeDocument/2006/relationships/image" Target="media/image10.emf"/><Relationship Id="rId21" Type="http://schemas.openxmlformats.org/officeDocument/2006/relationships/oleObject" Target="embeddings/oleObject6.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9"/>
    <customShpInfo spid="_x0000_s1032"/>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4393</Words>
  <Characters>30933</Characters>
  <Lines>218</Lines>
  <Paragraphs>61</Paragraphs>
  <TotalTime>14</TotalTime>
  <ScaleCrop>false</ScaleCrop>
  <LinksUpToDate>false</LinksUpToDate>
  <CharactersWithSpaces>35293</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2014-05-26T13:48:00Z</dcterms:created>
  <dc:creator>mahesh</dc:creator>
  <cp:lastModifiedBy>manjoosha28</cp:lastModifiedBy>
  <cp:lastPrinted>2014-07-16T23:28:00Z</cp:lastPrinted>
  <dcterms:modified xsi:type="dcterms:W3CDTF">2026-06-17T10:33:51Z</dcterms:modified>
  <cp:revision>377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9B34377905EC4596BD86D21B50981B33_12</vt:lpwstr>
  </property>
  <property fmtid="{D5CDD505-2E9C-101B-9397-08002B2CF9AE}" pid="4" name="KSOTemplateDocerSaveRecord">
    <vt:lpwstr>eyJoZGlkIjoiYjk5ODM0YmMxOWJiYWQyNDU4MGIzYWRmYTA0ZmI5NDciLCJ1c2VySWQiOiI1NjcwOTU0NTUzNzkifQ==</vt:lpwstr>
  </property>
</Properties>
</file>