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51B" w:rsidRDefault="00FD3434">
      <w:pPr>
        <w:spacing w:after="0"/>
        <w:rPr>
          <w:rFonts w:ascii="Arial" w:hAnsi="Arial" w:cs="Arial"/>
          <w:b/>
          <w:bCs/>
          <w:sz w:val="24"/>
          <w:szCs w:val="24"/>
        </w:rPr>
      </w:pPr>
      <w:r>
        <w:rPr>
          <w:rFonts w:ascii="Times New Roman" w:hAnsi="Times New Roman"/>
          <w:b/>
          <w:bCs/>
          <w:sz w:val="28"/>
          <w:szCs w:val="21"/>
        </w:rPr>
        <w:t xml:space="preserve">Exploring the </w:t>
      </w:r>
      <w:r w:rsidR="00FD0BD0" w:rsidRPr="002F238E">
        <w:rPr>
          <w:rFonts w:ascii="Times New Roman" w:hAnsi="Times New Roman"/>
          <w:b/>
          <w:bCs/>
          <w:sz w:val="28"/>
          <w:szCs w:val="21"/>
        </w:rPr>
        <w:t>Frequency and Indications of Alternative Blood Transfusion Strategies in Children with ABO and Rh Blood Types: A Systematic Review</w:t>
      </w:r>
      <w:r w:rsidR="00FD0BD0">
        <w:rPr>
          <w:b/>
          <w:bCs/>
          <w:sz w:val="21"/>
          <w:szCs w:val="21"/>
        </w:rPr>
        <w:t>.</w:t>
      </w:r>
    </w:p>
    <w:p w:rsidR="00FA051B" w:rsidRDefault="00FD0BD0">
      <w:pPr>
        <w:spacing w:after="0"/>
        <w:rPr>
          <w:rFonts w:ascii="Arial" w:hAnsi="Arial" w:cs="Arial"/>
          <w:b/>
          <w:bCs/>
        </w:rPr>
      </w:pPr>
      <w:r>
        <w:rPr>
          <w:rFonts w:ascii="Arial" w:eastAsia="Times New Roman" w:hAnsi="Arial" w:cs="Arial"/>
          <w:bCs/>
          <w:sz w:val="24"/>
          <w:szCs w:val="24"/>
        </w:rPr>
        <w:t>--------------------------------------------------------------------------------------------------------------------</w:t>
      </w:r>
    </w:p>
    <w:p w:rsidR="000C25A2" w:rsidRPr="00EB2F54" w:rsidRDefault="000C25A2" w:rsidP="00EB2F54">
      <w:pPr>
        <w:spacing w:after="0"/>
        <w:jc w:val="both"/>
        <w:rPr>
          <w:rFonts w:ascii="Times New Roman" w:hAnsi="Times New Roman"/>
          <w:b/>
          <w:bCs/>
          <w:sz w:val="20"/>
          <w:szCs w:val="20"/>
        </w:rPr>
      </w:pPr>
      <w:bookmarkStart w:id="0" w:name="_Hlk207130501"/>
      <w:r w:rsidRPr="006526D3">
        <w:rPr>
          <w:rFonts w:ascii="Times New Roman" w:hAnsi="Times New Roman"/>
          <w:b/>
        </w:rPr>
        <w:t xml:space="preserve">*Jacques </w:t>
      </w:r>
      <w:proofErr w:type="spellStart"/>
      <w:r w:rsidRPr="006526D3">
        <w:rPr>
          <w:rFonts w:ascii="Times New Roman" w:hAnsi="Times New Roman"/>
          <w:b/>
        </w:rPr>
        <w:t>Forwah</w:t>
      </w:r>
      <w:proofErr w:type="spellEnd"/>
      <w:r w:rsidRPr="006526D3">
        <w:rPr>
          <w:rFonts w:ascii="Times New Roman" w:hAnsi="Times New Roman"/>
          <w:b/>
        </w:rPr>
        <w:t xml:space="preserve"> Ndeh</w:t>
      </w:r>
      <w:r w:rsidRPr="006526D3">
        <w:rPr>
          <w:rFonts w:ascii="Times New Roman" w:hAnsi="Times New Roman"/>
          <w:b/>
          <w:vertAlign w:val="superscript"/>
        </w:rPr>
        <w:t>1</w:t>
      </w:r>
      <w:r w:rsidRPr="006526D3">
        <w:rPr>
          <w:rFonts w:ascii="Times New Roman" w:hAnsi="Times New Roman"/>
          <w:b/>
        </w:rPr>
        <w:t xml:space="preserve">, </w:t>
      </w:r>
      <w:proofErr w:type="spellStart"/>
      <w:r w:rsidRPr="006526D3">
        <w:rPr>
          <w:rFonts w:ascii="Times New Roman" w:hAnsi="Times New Roman"/>
          <w:b/>
        </w:rPr>
        <w:t>Edeani</w:t>
      </w:r>
      <w:proofErr w:type="spellEnd"/>
      <w:r w:rsidRPr="006526D3">
        <w:rPr>
          <w:rFonts w:ascii="Times New Roman" w:hAnsi="Times New Roman"/>
          <w:b/>
        </w:rPr>
        <w:t xml:space="preserve"> Bobby David</w:t>
      </w:r>
      <w:r w:rsidRPr="006526D3">
        <w:rPr>
          <w:rFonts w:ascii="Times New Roman" w:hAnsi="Times New Roman"/>
          <w:b/>
          <w:vertAlign w:val="superscript"/>
        </w:rPr>
        <w:t>2</w:t>
      </w:r>
      <w:r w:rsidRPr="006526D3">
        <w:rPr>
          <w:rFonts w:ascii="Times New Roman" w:hAnsi="Times New Roman"/>
          <w:b/>
        </w:rPr>
        <w:t xml:space="preserve">, </w:t>
      </w:r>
      <w:proofErr w:type="spellStart"/>
      <w:r w:rsidRPr="006526D3">
        <w:rPr>
          <w:rFonts w:ascii="Times New Roman" w:hAnsi="Times New Roman"/>
          <w:b/>
        </w:rPr>
        <w:t>Edung</w:t>
      </w:r>
      <w:proofErr w:type="spellEnd"/>
      <w:r w:rsidRPr="006526D3">
        <w:rPr>
          <w:rFonts w:ascii="Times New Roman" w:hAnsi="Times New Roman"/>
          <w:b/>
        </w:rPr>
        <w:t xml:space="preserve"> </w:t>
      </w:r>
      <w:proofErr w:type="spellStart"/>
      <w:r w:rsidRPr="006526D3">
        <w:rPr>
          <w:rFonts w:ascii="Times New Roman" w:hAnsi="Times New Roman"/>
          <w:b/>
        </w:rPr>
        <w:t>Emem</w:t>
      </w:r>
      <w:proofErr w:type="spellEnd"/>
      <w:r w:rsidRPr="006526D3">
        <w:rPr>
          <w:rFonts w:ascii="Times New Roman" w:hAnsi="Times New Roman"/>
          <w:b/>
        </w:rPr>
        <w:t xml:space="preserve"> Samuel</w:t>
      </w:r>
      <w:r w:rsidRPr="006526D3">
        <w:rPr>
          <w:rFonts w:ascii="Times New Roman" w:hAnsi="Times New Roman"/>
          <w:b/>
          <w:vertAlign w:val="superscript"/>
        </w:rPr>
        <w:t>3</w:t>
      </w:r>
      <w:r w:rsidRPr="006526D3">
        <w:rPr>
          <w:rFonts w:ascii="Times New Roman" w:hAnsi="Times New Roman"/>
          <w:b/>
        </w:rPr>
        <w:t>, Arinze Joseph Edochie</w:t>
      </w:r>
      <w:r w:rsidRPr="006526D3">
        <w:rPr>
          <w:rFonts w:ascii="Times New Roman" w:hAnsi="Times New Roman"/>
          <w:b/>
          <w:vertAlign w:val="superscript"/>
        </w:rPr>
        <w:t>4</w:t>
      </w:r>
      <w:r w:rsidRPr="006526D3">
        <w:rPr>
          <w:rFonts w:ascii="Times New Roman" w:hAnsi="Times New Roman"/>
          <w:b/>
        </w:rPr>
        <w:t xml:space="preserve">, </w:t>
      </w:r>
      <w:proofErr w:type="spellStart"/>
      <w:r w:rsidRPr="006526D3">
        <w:rPr>
          <w:rFonts w:ascii="Times New Roman" w:hAnsi="Times New Roman"/>
          <w:b/>
        </w:rPr>
        <w:t>Onajiyovwi</w:t>
      </w:r>
      <w:proofErr w:type="spellEnd"/>
      <w:r w:rsidRPr="006526D3">
        <w:rPr>
          <w:rFonts w:ascii="Times New Roman" w:hAnsi="Times New Roman"/>
          <w:b/>
        </w:rPr>
        <w:t xml:space="preserve"> M.Collins</w:t>
      </w:r>
      <w:r w:rsidRPr="006526D3">
        <w:rPr>
          <w:rFonts w:ascii="Times New Roman" w:hAnsi="Times New Roman"/>
          <w:b/>
          <w:vertAlign w:val="superscript"/>
        </w:rPr>
        <w:t>5</w:t>
      </w:r>
      <w:r w:rsidRPr="006526D3">
        <w:rPr>
          <w:rFonts w:ascii="Times New Roman" w:hAnsi="Times New Roman"/>
          <w:b/>
        </w:rPr>
        <w:t xml:space="preserve">, </w:t>
      </w:r>
      <w:proofErr w:type="spellStart"/>
      <w:r w:rsidRPr="006526D3">
        <w:rPr>
          <w:rFonts w:ascii="Times New Roman" w:hAnsi="Times New Roman"/>
          <w:b/>
        </w:rPr>
        <w:t>Enomen</w:t>
      </w:r>
      <w:proofErr w:type="spellEnd"/>
      <w:r w:rsidRPr="006526D3">
        <w:rPr>
          <w:rFonts w:ascii="Times New Roman" w:hAnsi="Times New Roman"/>
          <w:b/>
        </w:rPr>
        <w:t xml:space="preserve"> Ekata</w:t>
      </w:r>
      <w:r w:rsidRPr="006526D3">
        <w:rPr>
          <w:rFonts w:ascii="Times New Roman" w:hAnsi="Times New Roman"/>
          <w:b/>
          <w:vertAlign w:val="superscript"/>
        </w:rPr>
        <w:t>6</w:t>
      </w:r>
      <w:r w:rsidRPr="006526D3">
        <w:rPr>
          <w:rFonts w:ascii="Times New Roman" w:hAnsi="Times New Roman"/>
          <w:b/>
        </w:rPr>
        <w:t xml:space="preserve"> ,</w:t>
      </w:r>
      <w:proofErr w:type="spellStart"/>
      <w:r w:rsidRPr="006526D3">
        <w:rPr>
          <w:rFonts w:ascii="Times New Roman" w:hAnsi="Times New Roman"/>
          <w:b/>
        </w:rPr>
        <w:t>Uchenna</w:t>
      </w:r>
      <w:proofErr w:type="spellEnd"/>
      <w:r w:rsidRPr="006526D3">
        <w:rPr>
          <w:rFonts w:ascii="Times New Roman" w:hAnsi="Times New Roman"/>
          <w:b/>
        </w:rPr>
        <w:t xml:space="preserve"> </w:t>
      </w:r>
      <w:proofErr w:type="spellStart"/>
      <w:r w:rsidRPr="006526D3">
        <w:rPr>
          <w:rFonts w:ascii="Times New Roman" w:hAnsi="Times New Roman"/>
          <w:b/>
        </w:rPr>
        <w:t>Livinus</w:t>
      </w:r>
      <w:proofErr w:type="spellEnd"/>
      <w:r w:rsidRPr="006526D3">
        <w:rPr>
          <w:rFonts w:ascii="Times New Roman" w:hAnsi="Times New Roman"/>
          <w:b/>
        </w:rPr>
        <w:t xml:space="preserve">  Akuka</w:t>
      </w:r>
      <w:r w:rsidRPr="006526D3">
        <w:rPr>
          <w:rFonts w:ascii="Times New Roman" w:hAnsi="Times New Roman"/>
          <w:b/>
          <w:vertAlign w:val="superscript"/>
        </w:rPr>
        <w:t>7</w:t>
      </w:r>
      <w:r w:rsidRPr="006526D3">
        <w:rPr>
          <w:rFonts w:ascii="Times New Roman" w:hAnsi="Times New Roman"/>
          <w:b/>
        </w:rPr>
        <w:t xml:space="preserve"> ,Okoye </w:t>
      </w:r>
      <w:proofErr w:type="spellStart"/>
      <w:r w:rsidRPr="006526D3">
        <w:rPr>
          <w:rFonts w:ascii="Times New Roman" w:hAnsi="Times New Roman"/>
          <w:b/>
        </w:rPr>
        <w:t>Chukwuebuka</w:t>
      </w:r>
      <w:proofErr w:type="spellEnd"/>
      <w:r w:rsidRPr="006526D3">
        <w:rPr>
          <w:rFonts w:ascii="Times New Roman" w:hAnsi="Times New Roman"/>
          <w:b/>
        </w:rPr>
        <w:t xml:space="preserve"> Daniel</w:t>
      </w:r>
      <w:r w:rsidRPr="006526D3">
        <w:rPr>
          <w:rFonts w:ascii="Times New Roman" w:hAnsi="Times New Roman"/>
          <w:b/>
          <w:vertAlign w:val="superscript"/>
        </w:rPr>
        <w:t>8</w:t>
      </w:r>
      <w:r w:rsidRPr="006526D3">
        <w:rPr>
          <w:rFonts w:ascii="Times New Roman" w:hAnsi="Times New Roman"/>
          <w:b/>
        </w:rPr>
        <w:t xml:space="preserve">, </w:t>
      </w:r>
      <w:proofErr w:type="spellStart"/>
      <w:r w:rsidRPr="006526D3">
        <w:rPr>
          <w:rFonts w:ascii="Times New Roman" w:hAnsi="Times New Roman"/>
          <w:b/>
        </w:rPr>
        <w:t>Okoli</w:t>
      </w:r>
      <w:proofErr w:type="spellEnd"/>
      <w:r w:rsidRPr="006526D3">
        <w:rPr>
          <w:rFonts w:ascii="Times New Roman" w:hAnsi="Times New Roman"/>
          <w:b/>
        </w:rPr>
        <w:t xml:space="preserve"> </w:t>
      </w:r>
      <w:proofErr w:type="spellStart"/>
      <w:r w:rsidRPr="006526D3">
        <w:rPr>
          <w:rFonts w:ascii="Times New Roman" w:hAnsi="Times New Roman"/>
          <w:b/>
        </w:rPr>
        <w:t>Ijeoma</w:t>
      </w:r>
      <w:proofErr w:type="spellEnd"/>
      <w:r w:rsidRPr="006526D3">
        <w:rPr>
          <w:rFonts w:ascii="Times New Roman" w:hAnsi="Times New Roman"/>
          <w:b/>
        </w:rPr>
        <w:t xml:space="preserve"> Chinasa</w:t>
      </w:r>
      <w:r w:rsidRPr="006526D3">
        <w:rPr>
          <w:rFonts w:ascii="Times New Roman" w:hAnsi="Times New Roman"/>
          <w:b/>
          <w:vertAlign w:val="superscript"/>
        </w:rPr>
        <w:t>9</w:t>
      </w:r>
      <w:r w:rsidRPr="006526D3">
        <w:rPr>
          <w:rFonts w:ascii="Times New Roman" w:hAnsi="Times New Roman"/>
          <w:b/>
        </w:rPr>
        <w:t xml:space="preserve"> , </w:t>
      </w:r>
      <w:proofErr w:type="spellStart"/>
      <w:r w:rsidRPr="006526D3">
        <w:rPr>
          <w:rFonts w:ascii="Times New Roman" w:hAnsi="Times New Roman"/>
          <w:b/>
        </w:rPr>
        <w:t>Emefuru</w:t>
      </w:r>
      <w:proofErr w:type="spellEnd"/>
      <w:r w:rsidRPr="006526D3">
        <w:rPr>
          <w:rFonts w:ascii="Times New Roman" w:hAnsi="Times New Roman"/>
          <w:b/>
        </w:rPr>
        <w:t xml:space="preserve"> Juliet Adaku</w:t>
      </w:r>
      <w:r w:rsidRPr="006526D3">
        <w:rPr>
          <w:rFonts w:ascii="Times New Roman" w:hAnsi="Times New Roman"/>
          <w:b/>
          <w:vertAlign w:val="superscript"/>
        </w:rPr>
        <w:t>10</w:t>
      </w:r>
      <w:r w:rsidRPr="006526D3">
        <w:rPr>
          <w:rFonts w:ascii="Times New Roman" w:hAnsi="Times New Roman"/>
          <w:b/>
        </w:rPr>
        <w:t xml:space="preserve">, </w:t>
      </w:r>
      <w:proofErr w:type="spellStart"/>
      <w:r w:rsidRPr="006526D3">
        <w:rPr>
          <w:rFonts w:ascii="Times New Roman" w:hAnsi="Times New Roman"/>
          <w:b/>
        </w:rPr>
        <w:t>Tagbo</w:t>
      </w:r>
      <w:proofErr w:type="spellEnd"/>
      <w:r w:rsidRPr="006526D3">
        <w:rPr>
          <w:rFonts w:ascii="Times New Roman" w:hAnsi="Times New Roman"/>
          <w:b/>
        </w:rPr>
        <w:t xml:space="preserve"> </w:t>
      </w:r>
      <w:proofErr w:type="spellStart"/>
      <w:r w:rsidRPr="006526D3">
        <w:rPr>
          <w:rFonts w:ascii="Times New Roman" w:hAnsi="Times New Roman"/>
          <w:b/>
        </w:rPr>
        <w:t>Chinenye</w:t>
      </w:r>
      <w:proofErr w:type="spellEnd"/>
      <w:r w:rsidRPr="006526D3">
        <w:rPr>
          <w:rFonts w:ascii="Times New Roman" w:hAnsi="Times New Roman"/>
          <w:b/>
        </w:rPr>
        <w:t xml:space="preserve"> Peace</w:t>
      </w:r>
      <w:r w:rsidRPr="006526D3">
        <w:rPr>
          <w:rFonts w:ascii="Times New Roman" w:hAnsi="Times New Roman"/>
          <w:b/>
          <w:vertAlign w:val="superscript"/>
        </w:rPr>
        <w:t>11</w:t>
      </w:r>
      <w:r w:rsidRPr="006526D3">
        <w:rPr>
          <w:rFonts w:ascii="Times New Roman" w:hAnsi="Times New Roman"/>
          <w:b/>
        </w:rPr>
        <w:t xml:space="preserve"> , </w:t>
      </w:r>
      <w:proofErr w:type="spellStart"/>
      <w:r w:rsidRPr="006526D3">
        <w:rPr>
          <w:rFonts w:ascii="Times New Roman" w:hAnsi="Times New Roman"/>
          <w:b/>
        </w:rPr>
        <w:t>Tamarapiriye</w:t>
      </w:r>
      <w:proofErr w:type="spellEnd"/>
      <w:r w:rsidRPr="006526D3">
        <w:rPr>
          <w:rFonts w:ascii="Times New Roman" w:hAnsi="Times New Roman"/>
          <w:b/>
        </w:rPr>
        <w:t xml:space="preserve"> Powel Ojuoh</w:t>
      </w:r>
      <w:r w:rsidRPr="006526D3">
        <w:rPr>
          <w:rFonts w:ascii="Times New Roman" w:hAnsi="Times New Roman"/>
          <w:b/>
          <w:vertAlign w:val="superscript"/>
        </w:rPr>
        <w:t>12</w:t>
      </w:r>
      <w:r w:rsidRPr="006526D3">
        <w:rPr>
          <w:rFonts w:ascii="Times New Roman" w:hAnsi="Times New Roman"/>
          <w:b/>
        </w:rPr>
        <w:t xml:space="preserve">, </w:t>
      </w:r>
      <w:proofErr w:type="spellStart"/>
      <w:r w:rsidRPr="006526D3">
        <w:rPr>
          <w:rFonts w:ascii="Times New Roman" w:hAnsi="Times New Roman"/>
          <w:b/>
        </w:rPr>
        <w:t>Oluwatofunmi</w:t>
      </w:r>
      <w:proofErr w:type="spellEnd"/>
      <w:r w:rsidRPr="006526D3">
        <w:rPr>
          <w:rFonts w:ascii="Times New Roman" w:hAnsi="Times New Roman"/>
          <w:b/>
        </w:rPr>
        <w:t xml:space="preserve"> Olarewaju</w:t>
      </w:r>
      <w:r w:rsidRPr="006526D3">
        <w:rPr>
          <w:rFonts w:ascii="Times New Roman" w:hAnsi="Times New Roman"/>
          <w:b/>
          <w:vertAlign w:val="superscript"/>
        </w:rPr>
        <w:t>13</w:t>
      </w:r>
      <w:r w:rsidRPr="006526D3">
        <w:rPr>
          <w:rFonts w:ascii="Times New Roman" w:hAnsi="Times New Roman"/>
          <w:b/>
        </w:rPr>
        <w:t>, Ramatu Umar Ibrahim</w:t>
      </w:r>
      <w:r w:rsidRPr="006526D3">
        <w:rPr>
          <w:rFonts w:ascii="Times New Roman" w:hAnsi="Times New Roman"/>
          <w:b/>
          <w:vertAlign w:val="superscript"/>
        </w:rPr>
        <w:t>14</w:t>
      </w:r>
      <w:r w:rsidRPr="006526D3">
        <w:rPr>
          <w:rFonts w:ascii="Times New Roman" w:hAnsi="Times New Roman"/>
          <w:b/>
        </w:rPr>
        <w:t xml:space="preserve">, </w:t>
      </w:r>
      <w:proofErr w:type="spellStart"/>
      <w:r w:rsidRPr="006526D3">
        <w:rPr>
          <w:rFonts w:ascii="Times New Roman" w:hAnsi="Times New Roman"/>
          <w:b/>
        </w:rPr>
        <w:t>Ekere</w:t>
      </w:r>
      <w:proofErr w:type="spellEnd"/>
      <w:r w:rsidRPr="006526D3">
        <w:rPr>
          <w:rFonts w:ascii="Times New Roman" w:hAnsi="Times New Roman"/>
          <w:b/>
        </w:rPr>
        <w:t xml:space="preserve"> Chinedu Romanus</w:t>
      </w:r>
      <w:r w:rsidRPr="006526D3">
        <w:rPr>
          <w:rFonts w:ascii="Times New Roman" w:hAnsi="Times New Roman"/>
          <w:b/>
          <w:vertAlign w:val="superscript"/>
        </w:rPr>
        <w:t>15</w:t>
      </w:r>
      <w:r w:rsidRPr="006526D3">
        <w:rPr>
          <w:rFonts w:ascii="Times New Roman" w:hAnsi="Times New Roman"/>
          <w:b/>
        </w:rPr>
        <w:t>, Ademola Samuel Adeyemi</w:t>
      </w:r>
      <w:r w:rsidRPr="006526D3">
        <w:rPr>
          <w:rFonts w:ascii="Times New Roman" w:hAnsi="Times New Roman"/>
          <w:b/>
          <w:vertAlign w:val="superscript"/>
        </w:rPr>
        <w:t>16</w:t>
      </w:r>
      <w:r w:rsidRPr="006526D3">
        <w:rPr>
          <w:rFonts w:ascii="Times New Roman" w:hAnsi="Times New Roman"/>
          <w:b/>
        </w:rPr>
        <w:t>, Joy Heart Avong</w:t>
      </w:r>
      <w:r w:rsidRPr="006526D3">
        <w:rPr>
          <w:rFonts w:ascii="Times New Roman" w:hAnsi="Times New Roman"/>
          <w:b/>
          <w:vertAlign w:val="superscript"/>
        </w:rPr>
        <w:t>17</w:t>
      </w:r>
      <w:r w:rsidRPr="006526D3">
        <w:rPr>
          <w:rFonts w:ascii="Times New Roman" w:hAnsi="Times New Roman"/>
          <w:b/>
        </w:rPr>
        <w:t xml:space="preserve"> ,</w:t>
      </w:r>
      <w:proofErr w:type="spellStart"/>
      <w:r w:rsidRPr="006526D3">
        <w:rPr>
          <w:rFonts w:ascii="Times New Roman" w:hAnsi="Times New Roman"/>
          <w:b/>
        </w:rPr>
        <w:t>Ola</w:t>
      </w:r>
      <w:r w:rsidR="00AC2E0A">
        <w:rPr>
          <w:rFonts w:ascii="Times New Roman" w:hAnsi="Times New Roman"/>
          <w:b/>
        </w:rPr>
        <w:t>o</w:t>
      </w:r>
      <w:r w:rsidRPr="006526D3">
        <w:rPr>
          <w:rFonts w:ascii="Times New Roman" w:hAnsi="Times New Roman"/>
          <w:b/>
        </w:rPr>
        <w:t>sebikan</w:t>
      </w:r>
      <w:proofErr w:type="spellEnd"/>
      <w:r w:rsidRPr="006526D3">
        <w:rPr>
          <w:rFonts w:ascii="Times New Roman" w:hAnsi="Times New Roman"/>
          <w:b/>
        </w:rPr>
        <w:t xml:space="preserve"> </w:t>
      </w:r>
      <w:proofErr w:type="spellStart"/>
      <w:r w:rsidRPr="006526D3">
        <w:rPr>
          <w:rFonts w:ascii="Times New Roman" w:hAnsi="Times New Roman"/>
          <w:b/>
        </w:rPr>
        <w:t>Oluwaseu</w:t>
      </w:r>
      <w:r w:rsidR="006E0963">
        <w:rPr>
          <w:rFonts w:ascii="Times New Roman" w:hAnsi="Times New Roman"/>
          <w:b/>
        </w:rPr>
        <w:t>n</w:t>
      </w:r>
      <w:proofErr w:type="spellEnd"/>
      <w:r w:rsidRPr="006526D3">
        <w:rPr>
          <w:rFonts w:ascii="Times New Roman" w:hAnsi="Times New Roman"/>
          <w:b/>
        </w:rPr>
        <w:t xml:space="preserve"> Dorcas</w:t>
      </w:r>
      <w:r w:rsidRPr="006526D3">
        <w:rPr>
          <w:rFonts w:ascii="Times New Roman" w:hAnsi="Times New Roman"/>
          <w:b/>
          <w:vertAlign w:val="superscript"/>
        </w:rPr>
        <w:t>18</w:t>
      </w:r>
      <w:r w:rsidRPr="006526D3">
        <w:rPr>
          <w:rFonts w:ascii="Times New Roman" w:hAnsi="Times New Roman"/>
          <w:b/>
        </w:rPr>
        <w:t xml:space="preserve">, Vivian </w:t>
      </w:r>
      <w:proofErr w:type="spellStart"/>
      <w:r w:rsidRPr="006526D3">
        <w:rPr>
          <w:rFonts w:ascii="Times New Roman" w:hAnsi="Times New Roman"/>
          <w:b/>
        </w:rPr>
        <w:t>Somtoochukwu</w:t>
      </w:r>
      <w:proofErr w:type="spellEnd"/>
      <w:r w:rsidRPr="006526D3">
        <w:rPr>
          <w:rFonts w:ascii="Times New Roman" w:hAnsi="Times New Roman"/>
          <w:b/>
        </w:rPr>
        <w:t xml:space="preserve"> Ibezim</w:t>
      </w:r>
      <w:r w:rsidRPr="006526D3">
        <w:rPr>
          <w:rFonts w:ascii="Times New Roman" w:hAnsi="Times New Roman"/>
          <w:b/>
          <w:vertAlign w:val="superscript"/>
        </w:rPr>
        <w:t>19</w:t>
      </w:r>
      <w:r w:rsidRPr="006526D3">
        <w:rPr>
          <w:rFonts w:ascii="Times New Roman" w:hAnsi="Times New Roman"/>
          <w:b/>
        </w:rPr>
        <w:t>,</w:t>
      </w:r>
      <w:r w:rsidRPr="006526D3">
        <w:rPr>
          <w:rFonts w:ascii="Times New Roman" w:hAnsi="Times New Roman"/>
          <w:b/>
          <w:bCs/>
        </w:rPr>
        <w:t xml:space="preserve">Emekwue </w:t>
      </w:r>
      <w:proofErr w:type="spellStart"/>
      <w:r w:rsidRPr="006526D3">
        <w:rPr>
          <w:rFonts w:ascii="Times New Roman" w:hAnsi="Times New Roman"/>
          <w:b/>
          <w:bCs/>
        </w:rPr>
        <w:t>Chukwudi</w:t>
      </w:r>
      <w:proofErr w:type="spellEnd"/>
      <w:r w:rsidRPr="006526D3">
        <w:rPr>
          <w:rFonts w:ascii="Times New Roman" w:hAnsi="Times New Roman"/>
          <w:b/>
          <w:bCs/>
        </w:rPr>
        <w:t xml:space="preserve"> Alex</w:t>
      </w:r>
      <w:r>
        <w:rPr>
          <w:rFonts w:ascii="Times New Roman" w:hAnsi="Times New Roman"/>
          <w:b/>
          <w:bCs/>
          <w:vertAlign w:val="superscript"/>
        </w:rPr>
        <w:t>20</w:t>
      </w:r>
      <w:r w:rsidR="00EB2F54">
        <w:rPr>
          <w:rFonts w:ascii="Times New Roman" w:hAnsi="Times New Roman"/>
          <w:b/>
          <w:bCs/>
          <w:vertAlign w:val="superscript"/>
        </w:rPr>
        <w:t xml:space="preserve"> </w:t>
      </w:r>
      <w:r w:rsidR="00EB2F54">
        <w:rPr>
          <w:rFonts w:ascii="Times New Roman" w:eastAsia="Times New Roman" w:hAnsi="Times New Roman"/>
          <w:b/>
          <w:bCs/>
        </w:rPr>
        <w:t>,</w:t>
      </w:r>
      <w:r w:rsidRPr="006526D3">
        <w:rPr>
          <w:rFonts w:ascii="Times New Roman" w:eastAsia="Times New Roman" w:hAnsi="Times New Roman"/>
          <w:b/>
          <w:bCs/>
        </w:rPr>
        <w:t>Kingsley Akaba Onoride</w:t>
      </w:r>
      <w:r>
        <w:rPr>
          <w:rFonts w:ascii="Times New Roman" w:eastAsia="Times New Roman" w:hAnsi="Times New Roman"/>
          <w:b/>
          <w:bCs/>
          <w:vertAlign w:val="superscript"/>
        </w:rPr>
        <w:t>21</w:t>
      </w:r>
      <w:r>
        <w:rPr>
          <w:rFonts w:ascii="Times New Roman" w:eastAsia="Times New Roman" w:hAnsi="Times New Roman"/>
          <w:b/>
          <w:bCs/>
        </w:rPr>
        <w:t xml:space="preserve">, </w:t>
      </w:r>
      <w:proofErr w:type="spellStart"/>
      <w:r w:rsidR="00EB2F54" w:rsidRPr="00EB2F54">
        <w:rPr>
          <w:rFonts w:ascii="Times New Roman" w:eastAsia="Times New Roman" w:hAnsi="Times New Roman"/>
          <w:b/>
          <w:bCs/>
        </w:rPr>
        <w:t>Ofor</w:t>
      </w:r>
      <w:proofErr w:type="spellEnd"/>
      <w:r w:rsidR="00EB2F54" w:rsidRPr="00EB2F54">
        <w:rPr>
          <w:rFonts w:ascii="Times New Roman" w:eastAsia="Times New Roman" w:hAnsi="Times New Roman"/>
          <w:b/>
          <w:bCs/>
        </w:rPr>
        <w:t xml:space="preserve"> Joshua Obase-Otumoyi</w:t>
      </w:r>
      <w:r w:rsidR="00EB2F54" w:rsidRPr="00EB2F54">
        <w:rPr>
          <w:rFonts w:ascii="Times New Roman" w:eastAsia="Times New Roman" w:hAnsi="Times New Roman"/>
          <w:b/>
          <w:bCs/>
          <w:vertAlign w:val="superscript"/>
        </w:rPr>
        <w:t>22</w:t>
      </w:r>
      <w:r w:rsidR="00EB2F54" w:rsidRPr="00EB2F54">
        <w:rPr>
          <w:rFonts w:ascii="Times New Roman" w:eastAsia="Times New Roman" w:hAnsi="Times New Roman"/>
          <w:b/>
          <w:bCs/>
        </w:rPr>
        <w:t>,</w:t>
      </w:r>
      <w:r w:rsidR="00BB3241" w:rsidRPr="00EB2F54">
        <w:rPr>
          <w:rFonts w:ascii="Times New Roman" w:eastAsia="Times New Roman" w:hAnsi="Times New Roman"/>
          <w:b/>
          <w:bCs/>
        </w:rPr>
        <w:t xml:space="preserve"> </w:t>
      </w:r>
      <w:proofErr w:type="spellStart"/>
      <w:r w:rsidR="00EB2F54" w:rsidRPr="00A22C24">
        <w:rPr>
          <w:rFonts w:ascii="Times New Roman" w:hAnsi="Times New Roman"/>
          <w:b/>
        </w:rPr>
        <w:t>Idiege</w:t>
      </w:r>
      <w:proofErr w:type="spellEnd"/>
      <w:r w:rsidR="00EB2F54" w:rsidRPr="00A22C24">
        <w:rPr>
          <w:rFonts w:ascii="Times New Roman" w:hAnsi="Times New Roman"/>
          <w:b/>
        </w:rPr>
        <w:t xml:space="preserve"> </w:t>
      </w:r>
      <w:proofErr w:type="spellStart"/>
      <w:r w:rsidR="00EB2F54" w:rsidRPr="00A22C24">
        <w:rPr>
          <w:rFonts w:ascii="Times New Roman" w:hAnsi="Times New Roman"/>
          <w:b/>
        </w:rPr>
        <w:t>Idiege</w:t>
      </w:r>
      <w:proofErr w:type="spellEnd"/>
      <w:r w:rsidR="00EB2F54" w:rsidRPr="00A22C24">
        <w:rPr>
          <w:rFonts w:ascii="Times New Roman" w:hAnsi="Times New Roman"/>
          <w:b/>
        </w:rPr>
        <w:t xml:space="preserve"> Omang</w:t>
      </w:r>
      <w:r w:rsidR="00BB3241">
        <w:rPr>
          <w:rFonts w:ascii="Times New Roman" w:hAnsi="Times New Roman"/>
          <w:b/>
          <w:vertAlign w:val="superscript"/>
        </w:rPr>
        <w:t>2</w:t>
      </w:r>
      <w:r w:rsidR="00887610">
        <w:rPr>
          <w:rFonts w:ascii="Times New Roman" w:hAnsi="Times New Roman"/>
          <w:b/>
          <w:vertAlign w:val="superscript"/>
        </w:rPr>
        <w:t>3</w:t>
      </w:r>
      <w:r w:rsidR="00BB3241">
        <w:rPr>
          <w:rFonts w:ascii="Times New Roman" w:hAnsi="Times New Roman"/>
          <w:b/>
        </w:rPr>
        <w:t>,</w:t>
      </w:r>
      <w:r w:rsidR="00BB3241" w:rsidRPr="00BB3241">
        <w:rPr>
          <w:rFonts w:ascii="Times New Roman" w:hAnsi="Times New Roman"/>
          <w:b/>
          <w:bCs/>
        </w:rPr>
        <w:t xml:space="preserve"> </w:t>
      </w:r>
      <w:r w:rsidR="00BB3241" w:rsidRPr="00EB2F54">
        <w:rPr>
          <w:rFonts w:ascii="Times New Roman" w:hAnsi="Times New Roman"/>
          <w:b/>
          <w:bCs/>
        </w:rPr>
        <w:t xml:space="preserve">Immaculate </w:t>
      </w:r>
      <w:proofErr w:type="spellStart"/>
      <w:r w:rsidR="00BB3241" w:rsidRPr="00EB2F54">
        <w:rPr>
          <w:rFonts w:ascii="Times New Roman" w:hAnsi="Times New Roman"/>
          <w:b/>
          <w:bCs/>
        </w:rPr>
        <w:t>Ihuoma</w:t>
      </w:r>
      <w:proofErr w:type="spellEnd"/>
      <w:r w:rsidR="00BB3241" w:rsidRPr="00EB2F54">
        <w:rPr>
          <w:rFonts w:ascii="Times New Roman" w:hAnsi="Times New Roman"/>
          <w:b/>
          <w:bCs/>
        </w:rPr>
        <w:t xml:space="preserve"> </w:t>
      </w:r>
      <w:r w:rsidR="00BB3241" w:rsidRPr="00887610">
        <w:rPr>
          <w:rFonts w:ascii="Times New Roman" w:hAnsi="Times New Roman"/>
          <w:b/>
          <w:bCs/>
        </w:rPr>
        <w:t>Ekeagba</w:t>
      </w:r>
      <w:r w:rsidR="00887610">
        <w:rPr>
          <w:rFonts w:ascii="Times New Roman" w:hAnsi="Times New Roman"/>
          <w:b/>
          <w:bCs/>
          <w:vertAlign w:val="superscript"/>
        </w:rPr>
        <w:t>24</w:t>
      </w:r>
      <w:r w:rsidR="00887610">
        <w:rPr>
          <w:rFonts w:ascii="Times New Roman" w:hAnsi="Times New Roman"/>
          <w:b/>
          <w:bCs/>
        </w:rPr>
        <w:t xml:space="preserve"> ,</w:t>
      </w:r>
      <w:proofErr w:type="spellStart"/>
      <w:r w:rsidRPr="00887610">
        <w:rPr>
          <w:rFonts w:ascii="Times New Roman" w:eastAsia="Times New Roman" w:hAnsi="Times New Roman"/>
          <w:b/>
          <w:bCs/>
        </w:rPr>
        <w:t>Abeshi</w:t>
      </w:r>
      <w:proofErr w:type="spellEnd"/>
      <w:r w:rsidRPr="00EB2F54">
        <w:rPr>
          <w:rFonts w:ascii="Times New Roman" w:eastAsia="Times New Roman" w:hAnsi="Times New Roman"/>
          <w:b/>
          <w:bCs/>
        </w:rPr>
        <w:t xml:space="preserve"> Sylvester Ete</w:t>
      </w:r>
      <w:r w:rsidRPr="006526D3">
        <w:rPr>
          <w:rFonts w:ascii="Times New Roman" w:eastAsia="Times New Roman" w:hAnsi="Times New Roman"/>
          <w:b/>
          <w:bCs/>
        </w:rPr>
        <w:t>nikang</w:t>
      </w:r>
      <w:r>
        <w:rPr>
          <w:rFonts w:ascii="Times New Roman" w:eastAsia="Times New Roman" w:hAnsi="Times New Roman"/>
          <w:b/>
          <w:bCs/>
          <w:vertAlign w:val="superscript"/>
        </w:rPr>
        <w:t>2</w:t>
      </w:r>
      <w:r w:rsidR="00887610">
        <w:rPr>
          <w:rFonts w:ascii="Times New Roman" w:eastAsia="Times New Roman" w:hAnsi="Times New Roman"/>
          <w:b/>
          <w:bCs/>
          <w:vertAlign w:val="superscript"/>
        </w:rPr>
        <w:t>5</w:t>
      </w:r>
    </w:p>
    <w:p w:rsidR="000C25A2" w:rsidRPr="00BB3241" w:rsidRDefault="000C25A2" w:rsidP="00BB3241">
      <w:pPr>
        <w:spacing w:after="0" w:line="240" w:lineRule="auto"/>
        <w:jc w:val="both"/>
        <w:rPr>
          <w:rFonts w:ascii="Times New Roman" w:hAnsi="Times New Roman"/>
          <w:b/>
          <w:bCs/>
        </w:rPr>
      </w:pPr>
      <w:r w:rsidRPr="00BB3241">
        <w:rPr>
          <w:rFonts w:ascii="Times New Roman" w:hAnsi="Times New Roman"/>
          <w:b/>
          <w:bCs/>
        </w:rPr>
        <w:t>=========================================================================</w:t>
      </w:r>
    </w:p>
    <w:p w:rsidR="00AC2E0A"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1</w:t>
      </w:r>
      <w:r w:rsidRPr="00887610">
        <w:rPr>
          <w:rFonts w:ascii="Times New Roman" w:hAnsi="Times New Roman"/>
          <w:sz w:val="20"/>
          <w:szCs w:val="20"/>
        </w:rPr>
        <w:t>Department of Hematology and Blood Transfusion Sciences, Faculty of Clinical Sciences, University of Calabar Teaching Hospital ,Calabar ,Cross River State ,Nigeria</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2</w:t>
      </w:r>
      <w:r w:rsidRPr="00887610">
        <w:rPr>
          <w:rFonts w:ascii="Times New Roman" w:hAnsi="Times New Roman"/>
          <w:sz w:val="20"/>
          <w:szCs w:val="20"/>
        </w:rPr>
        <w:t>Department of Radiation Oncology ,University of Nigeria  Teaching Hospital ,</w:t>
      </w:r>
      <w:proofErr w:type="spellStart"/>
      <w:r w:rsidRPr="00887610">
        <w:rPr>
          <w:rFonts w:ascii="Times New Roman" w:hAnsi="Times New Roman"/>
          <w:sz w:val="20"/>
          <w:szCs w:val="20"/>
        </w:rPr>
        <w:t>Ituku</w:t>
      </w:r>
      <w:proofErr w:type="spellEnd"/>
      <w:r w:rsidRPr="00887610">
        <w:rPr>
          <w:rFonts w:ascii="Times New Roman" w:hAnsi="Times New Roman"/>
          <w:sz w:val="20"/>
          <w:szCs w:val="20"/>
        </w:rPr>
        <w:t xml:space="preserve">- </w:t>
      </w:r>
      <w:proofErr w:type="spellStart"/>
      <w:r w:rsidRPr="00887610">
        <w:rPr>
          <w:rFonts w:ascii="Times New Roman" w:hAnsi="Times New Roman"/>
          <w:sz w:val="20"/>
          <w:szCs w:val="20"/>
        </w:rPr>
        <w:t>Ozalla</w:t>
      </w:r>
      <w:proofErr w:type="spellEnd"/>
      <w:r w:rsidRPr="00887610">
        <w:rPr>
          <w:rFonts w:ascii="Times New Roman" w:hAnsi="Times New Roman"/>
          <w:sz w:val="20"/>
          <w:szCs w:val="20"/>
        </w:rPr>
        <w:t>, Enugu State Nigeria.</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3</w:t>
      </w:r>
      <w:r w:rsidRPr="00887610">
        <w:rPr>
          <w:rFonts w:ascii="Times New Roman" w:hAnsi="Times New Roman"/>
          <w:sz w:val="20"/>
          <w:szCs w:val="20"/>
        </w:rPr>
        <w:t>Emergency Department ,</w:t>
      </w:r>
      <w:proofErr w:type="spellStart"/>
      <w:r w:rsidRPr="00887610">
        <w:rPr>
          <w:rFonts w:ascii="Times New Roman" w:hAnsi="Times New Roman"/>
          <w:sz w:val="20"/>
          <w:szCs w:val="20"/>
        </w:rPr>
        <w:t>Basildon</w:t>
      </w:r>
      <w:proofErr w:type="spellEnd"/>
      <w:r w:rsidRPr="00887610">
        <w:rPr>
          <w:rFonts w:ascii="Times New Roman" w:hAnsi="Times New Roman"/>
          <w:sz w:val="20"/>
          <w:szCs w:val="20"/>
        </w:rPr>
        <w:t xml:space="preserve"> and </w:t>
      </w:r>
      <w:proofErr w:type="spellStart"/>
      <w:r w:rsidRPr="00887610">
        <w:rPr>
          <w:rFonts w:ascii="Times New Roman" w:hAnsi="Times New Roman"/>
          <w:sz w:val="20"/>
          <w:szCs w:val="20"/>
        </w:rPr>
        <w:t>Thurock</w:t>
      </w:r>
      <w:proofErr w:type="spellEnd"/>
      <w:r w:rsidRPr="00887610">
        <w:rPr>
          <w:rFonts w:ascii="Times New Roman" w:hAnsi="Times New Roman"/>
          <w:sz w:val="20"/>
          <w:szCs w:val="20"/>
        </w:rPr>
        <w:t xml:space="preserve"> University  Hospital  London  NHS Trust United Kingdom</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rPr>
        <w:t xml:space="preserve"> </w:t>
      </w:r>
      <w:r w:rsidRPr="00887610">
        <w:rPr>
          <w:rFonts w:ascii="Times New Roman" w:hAnsi="Times New Roman"/>
          <w:sz w:val="20"/>
          <w:szCs w:val="20"/>
          <w:vertAlign w:val="superscript"/>
        </w:rPr>
        <w:t>4</w:t>
      </w:r>
      <w:r w:rsidRPr="00887610">
        <w:rPr>
          <w:rFonts w:ascii="Times New Roman" w:hAnsi="Times New Roman"/>
          <w:sz w:val="20"/>
          <w:szCs w:val="20"/>
        </w:rPr>
        <w:t xml:space="preserve">Department of public health Queen Elizabeth Hospital Newcastle  -UHB NHS Trust United Kingdom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5</w:t>
      </w:r>
      <w:r w:rsidRPr="00887610">
        <w:rPr>
          <w:rFonts w:ascii="Times New Roman" w:hAnsi="Times New Roman"/>
          <w:sz w:val="20"/>
          <w:szCs w:val="20"/>
        </w:rPr>
        <w:t xml:space="preserve">Department of </w:t>
      </w:r>
      <w:proofErr w:type="spellStart"/>
      <w:r w:rsidRPr="00887610">
        <w:rPr>
          <w:rFonts w:ascii="Times New Roman" w:hAnsi="Times New Roman"/>
          <w:sz w:val="20"/>
          <w:szCs w:val="20"/>
        </w:rPr>
        <w:t>ENT,Nnamdi</w:t>
      </w:r>
      <w:proofErr w:type="spellEnd"/>
      <w:r w:rsidRPr="00887610">
        <w:rPr>
          <w:rFonts w:ascii="Times New Roman" w:hAnsi="Times New Roman"/>
          <w:sz w:val="20"/>
          <w:szCs w:val="20"/>
        </w:rPr>
        <w:t xml:space="preserve"> </w:t>
      </w:r>
      <w:proofErr w:type="spellStart"/>
      <w:r w:rsidRPr="00887610">
        <w:rPr>
          <w:rFonts w:ascii="Times New Roman" w:hAnsi="Times New Roman"/>
          <w:sz w:val="20"/>
          <w:szCs w:val="20"/>
        </w:rPr>
        <w:t>Azikwe</w:t>
      </w:r>
      <w:proofErr w:type="spellEnd"/>
      <w:r w:rsidRPr="00887610">
        <w:rPr>
          <w:rFonts w:ascii="Times New Roman" w:hAnsi="Times New Roman"/>
          <w:sz w:val="20"/>
          <w:szCs w:val="20"/>
        </w:rPr>
        <w:t xml:space="preserve"> university Teaching Hospital Nnewi ,Anambra State Nigeria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6</w:t>
      </w:r>
      <w:r w:rsidRPr="00887610">
        <w:rPr>
          <w:rFonts w:ascii="Times New Roman" w:hAnsi="Times New Roman"/>
          <w:sz w:val="20"/>
          <w:szCs w:val="20"/>
        </w:rPr>
        <w:t>Department of General Practices ,</w:t>
      </w:r>
      <w:proofErr w:type="spellStart"/>
      <w:r w:rsidRPr="00887610">
        <w:rPr>
          <w:rFonts w:ascii="Times New Roman" w:hAnsi="Times New Roman"/>
          <w:sz w:val="20"/>
          <w:szCs w:val="20"/>
        </w:rPr>
        <w:t>Askern</w:t>
      </w:r>
      <w:proofErr w:type="spellEnd"/>
      <w:r w:rsidRPr="00887610">
        <w:rPr>
          <w:rFonts w:ascii="Times New Roman" w:hAnsi="Times New Roman"/>
          <w:sz w:val="20"/>
          <w:szCs w:val="20"/>
        </w:rPr>
        <w:t xml:space="preserve"> Medical Centre ,Doncaster United Kingdom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7</w:t>
      </w:r>
      <w:r w:rsidR="00AC2E0A" w:rsidRPr="00887610">
        <w:rPr>
          <w:rFonts w:ascii="Times New Roman" w:hAnsi="Times New Roman"/>
          <w:sz w:val="20"/>
          <w:szCs w:val="20"/>
        </w:rPr>
        <w:t>Department of  Care of Elderly ,Queen Elizabeth  Hospital , Queen Elizabeth avenue ,Sheriff Hill, Gateshead , Tyne and Wear, NE96SX ,England , United kingdom</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8</w:t>
      </w:r>
      <w:r w:rsidRPr="00887610">
        <w:rPr>
          <w:rFonts w:ascii="Times New Roman" w:hAnsi="Times New Roman"/>
          <w:sz w:val="20"/>
          <w:szCs w:val="20"/>
        </w:rPr>
        <w:t xml:space="preserve">Department of </w:t>
      </w:r>
      <w:proofErr w:type="spellStart"/>
      <w:r w:rsidRPr="00887610">
        <w:rPr>
          <w:rFonts w:ascii="Times New Roman" w:hAnsi="Times New Roman"/>
          <w:sz w:val="20"/>
          <w:szCs w:val="20"/>
        </w:rPr>
        <w:t>Paedistrics</w:t>
      </w:r>
      <w:proofErr w:type="spellEnd"/>
      <w:r w:rsidRPr="00887610">
        <w:rPr>
          <w:rFonts w:ascii="Times New Roman" w:hAnsi="Times New Roman"/>
          <w:sz w:val="20"/>
          <w:szCs w:val="20"/>
        </w:rPr>
        <w:t xml:space="preserve"> </w:t>
      </w:r>
      <w:proofErr w:type="spellStart"/>
      <w:r w:rsidRPr="00887610">
        <w:rPr>
          <w:rFonts w:ascii="Times New Roman" w:hAnsi="Times New Roman"/>
          <w:sz w:val="20"/>
          <w:szCs w:val="20"/>
        </w:rPr>
        <w:t>Asaba</w:t>
      </w:r>
      <w:proofErr w:type="spellEnd"/>
      <w:r w:rsidRPr="00887610">
        <w:rPr>
          <w:rFonts w:ascii="Times New Roman" w:hAnsi="Times New Roman"/>
          <w:sz w:val="20"/>
          <w:szCs w:val="20"/>
        </w:rPr>
        <w:t xml:space="preserve"> Specialist  Hospital ,</w:t>
      </w:r>
      <w:proofErr w:type="spellStart"/>
      <w:r w:rsidRPr="00887610">
        <w:rPr>
          <w:rFonts w:ascii="Times New Roman" w:hAnsi="Times New Roman"/>
          <w:sz w:val="20"/>
          <w:szCs w:val="20"/>
        </w:rPr>
        <w:t>Asaba</w:t>
      </w:r>
      <w:proofErr w:type="spellEnd"/>
      <w:r w:rsidR="00AC2E0A" w:rsidRPr="00887610">
        <w:rPr>
          <w:rFonts w:ascii="Times New Roman" w:hAnsi="Times New Roman"/>
          <w:sz w:val="20"/>
          <w:szCs w:val="20"/>
        </w:rPr>
        <w:t>,</w:t>
      </w:r>
      <w:r w:rsidRPr="00887610">
        <w:rPr>
          <w:rFonts w:ascii="Times New Roman" w:hAnsi="Times New Roman"/>
          <w:sz w:val="20"/>
          <w:szCs w:val="20"/>
        </w:rPr>
        <w:t xml:space="preserve"> Delta State, Nigeria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9</w:t>
      </w:r>
      <w:r w:rsidRPr="00887610">
        <w:rPr>
          <w:rFonts w:ascii="Times New Roman" w:hAnsi="Times New Roman"/>
          <w:sz w:val="20"/>
          <w:szCs w:val="20"/>
        </w:rPr>
        <w:t>Department of Internal Medicine Metropolitan Family Hospital ,</w:t>
      </w:r>
      <w:proofErr w:type="spellStart"/>
      <w:r w:rsidRPr="00887610">
        <w:rPr>
          <w:rFonts w:ascii="Times New Roman" w:hAnsi="Times New Roman"/>
          <w:sz w:val="20"/>
          <w:szCs w:val="20"/>
        </w:rPr>
        <w:t>Ibadan,Oyo</w:t>
      </w:r>
      <w:proofErr w:type="spellEnd"/>
      <w:r w:rsidRPr="00887610">
        <w:rPr>
          <w:rFonts w:ascii="Times New Roman" w:hAnsi="Times New Roman"/>
          <w:sz w:val="20"/>
          <w:szCs w:val="20"/>
        </w:rPr>
        <w:t xml:space="preserve"> State , Nigeria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10</w:t>
      </w:r>
      <w:r w:rsidRPr="00887610">
        <w:rPr>
          <w:rFonts w:ascii="Times New Roman" w:hAnsi="Times New Roman"/>
          <w:sz w:val="20"/>
          <w:szCs w:val="20"/>
        </w:rPr>
        <w:t>Department of Intern</w:t>
      </w:r>
      <w:r w:rsidR="00AC2E0A" w:rsidRPr="00887610">
        <w:rPr>
          <w:rFonts w:ascii="Times New Roman" w:hAnsi="Times New Roman"/>
          <w:sz w:val="20"/>
          <w:szCs w:val="20"/>
        </w:rPr>
        <w:t xml:space="preserve">al </w:t>
      </w:r>
      <w:r w:rsidRPr="00887610">
        <w:rPr>
          <w:rFonts w:ascii="Times New Roman" w:hAnsi="Times New Roman"/>
          <w:sz w:val="20"/>
          <w:szCs w:val="20"/>
        </w:rPr>
        <w:t>Medicine Lagos State Health Service Commission ,</w:t>
      </w:r>
      <w:r w:rsidR="00AC2E0A" w:rsidRPr="00887610">
        <w:rPr>
          <w:rFonts w:ascii="Times New Roman" w:hAnsi="Times New Roman"/>
          <w:sz w:val="20"/>
          <w:szCs w:val="20"/>
        </w:rPr>
        <w:t xml:space="preserve"> </w:t>
      </w:r>
      <w:r w:rsidRPr="00887610">
        <w:rPr>
          <w:rFonts w:ascii="Times New Roman" w:hAnsi="Times New Roman"/>
          <w:sz w:val="20"/>
          <w:szCs w:val="20"/>
        </w:rPr>
        <w:t xml:space="preserve">Lagos State, Nigeria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11</w:t>
      </w:r>
      <w:r w:rsidRPr="00887610">
        <w:rPr>
          <w:rFonts w:ascii="Times New Roman" w:hAnsi="Times New Roman"/>
          <w:sz w:val="20"/>
          <w:szCs w:val="20"/>
        </w:rPr>
        <w:t xml:space="preserve">Department of Public ,University of Nigeria Teaching Hospital Enugu State , Nigeria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1</w:t>
      </w:r>
      <w:r w:rsidR="00C07958" w:rsidRPr="00887610">
        <w:rPr>
          <w:rFonts w:ascii="Times New Roman" w:hAnsi="Times New Roman"/>
          <w:sz w:val="20"/>
          <w:szCs w:val="20"/>
          <w:vertAlign w:val="superscript"/>
        </w:rPr>
        <w:t>2</w:t>
      </w:r>
      <w:r w:rsidRPr="00887610">
        <w:rPr>
          <w:rFonts w:ascii="Times New Roman" w:hAnsi="Times New Roman"/>
          <w:sz w:val="20"/>
          <w:szCs w:val="20"/>
        </w:rPr>
        <w:t xml:space="preserve">Department of medical unit ,NNPC Medical Services Ltd Benin City Edo State Nigeria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1</w:t>
      </w:r>
      <w:r w:rsidR="00C07958" w:rsidRPr="00887610">
        <w:rPr>
          <w:rFonts w:ascii="Times New Roman" w:hAnsi="Times New Roman"/>
          <w:sz w:val="20"/>
          <w:szCs w:val="20"/>
          <w:vertAlign w:val="superscript"/>
        </w:rPr>
        <w:t>3</w:t>
      </w:r>
      <w:r w:rsidRPr="00887610">
        <w:rPr>
          <w:rFonts w:ascii="Times New Roman" w:hAnsi="Times New Roman"/>
          <w:sz w:val="20"/>
          <w:szCs w:val="20"/>
        </w:rPr>
        <w:t xml:space="preserve">Department of </w:t>
      </w:r>
      <w:r w:rsidR="00F74022" w:rsidRPr="00887610">
        <w:rPr>
          <w:rFonts w:ascii="Times New Roman" w:hAnsi="Times New Roman"/>
          <w:sz w:val="20"/>
          <w:szCs w:val="20"/>
        </w:rPr>
        <w:t xml:space="preserve">Family </w:t>
      </w:r>
      <w:r w:rsidRPr="00887610">
        <w:rPr>
          <w:rFonts w:ascii="Times New Roman" w:hAnsi="Times New Roman"/>
          <w:sz w:val="20"/>
          <w:szCs w:val="20"/>
        </w:rPr>
        <w:t xml:space="preserve"> </w:t>
      </w:r>
      <w:r w:rsidR="00C07958" w:rsidRPr="00887610">
        <w:rPr>
          <w:rFonts w:ascii="Times New Roman" w:hAnsi="Times New Roman"/>
          <w:sz w:val="20"/>
          <w:szCs w:val="20"/>
        </w:rPr>
        <w:t xml:space="preserve">Medicine </w:t>
      </w:r>
      <w:r w:rsidRPr="00887610">
        <w:rPr>
          <w:rFonts w:ascii="Times New Roman" w:hAnsi="Times New Roman"/>
          <w:sz w:val="20"/>
          <w:szCs w:val="20"/>
        </w:rPr>
        <w:t xml:space="preserve">Duchess International Hospital Ikeja Lagos State, Nigeria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1</w:t>
      </w:r>
      <w:r w:rsidR="00C07958" w:rsidRPr="00887610">
        <w:rPr>
          <w:rFonts w:ascii="Times New Roman" w:hAnsi="Times New Roman"/>
          <w:sz w:val="20"/>
          <w:szCs w:val="20"/>
          <w:vertAlign w:val="superscript"/>
        </w:rPr>
        <w:t>4</w:t>
      </w:r>
      <w:r w:rsidR="003D476F" w:rsidRPr="00887610">
        <w:rPr>
          <w:rFonts w:ascii="Times New Roman" w:hAnsi="Times New Roman"/>
          <w:sz w:val="20"/>
          <w:szCs w:val="20"/>
        </w:rPr>
        <w:t>D</w:t>
      </w:r>
      <w:r w:rsidR="00C07958" w:rsidRPr="00887610">
        <w:rPr>
          <w:rFonts w:ascii="Times New Roman" w:hAnsi="Times New Roman"/>
          <w:sz w:val="20"/>
          <w:szCs w:val="20"/>
        </w:rPr>
        <w:t>epartment of</w:t>
      </w:r>
      <w:r w:rsidR="003D476F" w:rsidRPr="00887610">
        <w:rPr>
          <w:rFonts w:ascii="Times New Roman" w:hAnsi="Times New Roman"/>
          <w:sz w:val="20"/>
          <w:szCs w:val="20"/>
        </w:rPr>
        <w:t xml:space="preserve"> Family Medicine </w:t>
      </w:r>
      <w:r w:rsidR="00C07958" w:rsidRPr="00887610">
        <w:rPr>
          <w:rFonts w:ascii="Times New Roman" w:hAnsi="Times New Roman"/>
          <w:sz w:val="20"/>
          <w:szCs w:val="20"/>
        </w:rPr>
        <w:t xml:space="preserve"> </w:t>
      </w:r>
      <w:r w:rsidR="003D476F" w:rsidRPr="00887610">
        <w:rPr>
          <w:rFonts w:ascii="Times New Roman" w:hAnsi="Times New Roman"/>
          <w:sz w:val="20"/>
          <w:szCs w:val="20"/>
        </w:rPr>
        <w:t>M</w:t>
      </w:r>
      <w:r w:rsidRPr="00887610">
        <w:rPr>
          <w:rFonts w:ascii="Times New Roman" w:hAnsi="Times New Roman"/>
          <w:sz w:val="20"/>
          <w:szCs w:val="20"/>
        </w:rPr>
        <w:t xml:space="preserve">aitama District Hospital Abuja </w:t>
      </w:r>
      <w:r w:rsidR="003D476F" w:rsidRPr="00887610">
        <w:rPr>
          <w:rFonts w:ascii="Times New Roman" w:hAnsi="Times New Roman"/>
          <w:sz w:val="20"/>
          <w:szCs w:val="20"/>
        </w:rPr>
        <w:t>, Nigeria/</w:t>
      </w:r>
      <w:r w:rsidRPr="00887610">
        <w:rPr>
          <w:rFonts w:ascii="Times New Roman" w:hAnsi="Times New Roman"/>
          <w:sz w:val="20"/>
          <w:szCs w:val="20"/>
        </w:rPr>
        <w:t xml:space="preserve"> </w:t>
      </w:r>
      <w:proofErr w:type="spellStart"/>
      <w:r w:rsidRPr="00887610">
        <w:rPr>
          <w:rFonts w:ascii="Times New Roman" w:hAnsi="Times New Roman"/>
          <w:sz w:val="20"/>
          <w:szCs w:val="20"/>
        </w:rPr>
        <w:t>Kubwa</w:t>
      </w:r>
      <w:proofErr w:type="spellEnd"/>
      <w:r w:rsidRPr="00887610">
        <w:rPr>
          <w:rFonts w:ascii="Times New Roman" w:hAnsi="Times New Roman"/>
          <w:sz w:val="20"/>
          <w:szCs w:val="20"/>
        </w:rPr>
        <w:t xml:space="preserve"> General Hospital Abuja</w:t>
      </w:r>
      <w:r w:rsidR="003D476F" w:rsidRPr="00887610">
        <w:rPr>
          <w:rFonts w:ascii="Times New Roman" w:hAnsi="Times New Roman"/>
          <w:sz w:val="20"/>
          <w:szCs w:val="20"/>
        </w:rPr>
        <w:t>,</w:t>
      </w:r>
      <w:r w:rsidRPr="00887610">
        <w:rPr>
          <w:rFonts w:ascii="Times New Roman" w:hAnsi="Times New Roman"/>
          <w:sz w:val="20"/>
          <w:szCs w:val="20"/>
        </w:rPr>
        <w:t xml:space="preserve"> Nigeria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1</w:t>
      </w:r>
      <w:r w:rsidR="003D476F" w:rsidRPr="00887610">
        <w:rPr>
          <w:rFonts w:ascii="Times New Roman" w:hAnsi="Times New Roman"/>
          <w:sz w:val="20"/>
          <w:szCs w:val="20"/>
          <w:vertAlign w:val="superscript"/>
        </w:rPr>
        <w:t>5</w:t>
      </w:r>
      <w:r w:rsidRPr="00887610">
        <w:rPr>
          <w:rFonts w:ascii="Times New Roman" w:hAnsi="Times New Roman"/>
          <w:sz w:val="20"/>
          <w:szCs w:val="20"/>
        </w:rPr>
        <w:t>Department of pediatrics mum’s Care hospital Lusaka Zambia</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1</w:t>
      </w:r>
      <w:r w:rsidR="003D476F" w:rsidRPr="00887610">
        <w:rPr>
          <w:rFonts w:ascii="Times New Roman" w:hAnsi="Times New Roman"/>
          <w:sz w:val="20"/>
          <w:szCs w:val="20"/>
          <w:vertAlign w:val="superscript"/>
        </w:rPr>
        <w:t>6</w:t>
      </w:r>
      <w:r w:rsidRPr="00887610">
        <w:rPr>
          <w:rFonts w:ascii="Times New Roman" w:hAnsi="Times New Roman"/>
          <w:sz w:val="20"/>
          <w:szCs w:val="20"/>
        </w:rPr>
        <w:t xml:space="preserve">Department of Internal Medicine ,University of Ilorin, </w:t>
      </w:r>
      <w:proofErr w:type="spellStart"/>
      <w:r w:rsidRPr="00887610">
        <w:rPr>
          <w:rFonts w:ascii="Times New Roman" w:hAnsi="Times New Roman"/>
          <w:sz w:val="20"/>
          <w:szCs w:val="20"/>
        </w:rPr>
        <w:t>kwara</w:t>
      </w:r>
      <w:proofErr w:type="spellEnd"/>
      <w:r w:rsidRPr="00887610">
        <w:rPr>
          <w:rFonts w:ascii="Times New Roman" w:hAnsi="Times New Roman"/>
          <w:sz w:val="20"/>
          <w:szCs w:val="20"/>
        </w:rPr>
        <w:t xml:space="preserve">  state . Nigeria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1</w:t>
      </w:r>
      <w:r w:rsidR="003D476F" w:rsidRPr="00887610">
        <w:rPr>
          <w:rFonts w:ascii="Times New Roman" w:hAnsi="Times New Roman"/>
          <w:sz w:val="20"/>
          <w:szCs w:val="20"/>
          <w:vertAlign w:val="superscript"/>
        </w:rPr>
        <w:t>7</w:t>
      </w:r>
      <w:r w:rsidRPr="00887610">
        <w:rPr>
          <w:rFonts w:ascii="Times New Roman" w:hAnsi="Times New Roman"/>
          <w:sz w:val="20"/>
          <w:szCs w:val="20"/>
        </w:rPr>
        <w:t xml:space="preserve">Department  of </w:t>
      </w:r>
      <w:proofErr w:type="spellStart"/>
      <w:r w:rsidRPr="00887610">
        <w:rPr>
          <w:rFonts w:ascii="Times New Roman" w:hAnsi="Times New Roman"/>
          <w:sz w:val="20"/>
          <w:szCs w:val="20"/>
        </w:rPr>
        <w:t>Paediatrics</w:t>
      </w:r>
      <w:proofErr w:type="spellEnd"/>
      <w:r w:rsidRPr="00887610">
        <w:rPr>
          <w:rFonts w:ascii="Times New Roman" w:hAnsi="Times New Roman"/>
          <w:sz w:val="20"/>
          <w:szCs w:val="20"/>
        </w:rPr>
        <w:t xml:space="preserve"> ,Lifeline  Children Hospital ,</w:t>
      </w:r>
      <w:r w:rsidR="00540E66" w:rsidRPr="00887610">
        <w:rPr>
          <w:rFonts w:ascii="Times New Roman" w:hAnsi="Times New Roman"/>
          <w:sz w:val="20"/>
          <w:szCs w:val="20"/>
        </w:rPr>
        <w:t xml:space="preserve"> </w:t>
      </w:r>
      <w:proofErr w:type="spellStart"/>
      <w:r w:rsidR="00540E66" w:rsidRPr="00887610">
        <w:rPr>
          <w:rFonts w:ascii="Times New Roman" w:hAnsi="Times New Roman"/>
          <w:sz w:val="20"/>
          <w:szCs w:val="20"/>
        </w:rPr>
        <w:t>Surulene</w:t>
      </w:r>
      <w:proofErr w:type="spellEnd"/>
      <w:r w:rsidR="00540E66" w:rsidRPr="00887610">
        <w:rPr>
          <w:rFonts w:ascii="Times New Roman" w:hAnsi="Times New Roman"/>
          <w:sz w:val="20"/>
          <w:szCs w:val="20"/>
        </w:rPr>
        <w:t xml:space="preserve"> Lagos, </w:t>
      </w:r>
      <w:r w:rsidRPr="00887610">
        <w:rPr>
          <w:rFonts w:ascii="Times New Roman" w:hAnsi="Times New Roman"/>
          <w:sz w:val="20"/>
          <w:szCs w:val="20"/>
        </w:rPr>
        <w:t xml:space="preserve">Lagos ,Lagos State Nigeria </w:t>
      </w:r>
    </w:p>
    <w:p w:rsidR="000C25A2" w:rsidRPr="00887610" w:rsidRDefault="000C25A2" w:rsidP="00BB3241">
      <w:pPr>
        <w:spacing w:after="0" w:line="240" w:lineRule="auto"/>
        <w:jc w:val="both"/>
        <w:rPr>
          <w:rFonts w:ascii="Times New Roman" w:hAnsi="Times New Roman"/>
          <w:sz w:val="20"/>
          <w:szCs w:val="20"/>
        </w:rPr>
      </w:pPr>
      <w:r w:rsidRPr="00887610">
        <w:rPr>
          <w:rFonts w:ascii="Times New Roman" w:hAnsi="Times New Roman"/>
          <w:sz w:val="20"/>
          <w:szCs w:val="20"/>
          <w:vertAlign w:val="superscript"/>
        </w:rPr>
        <w:t>1</w:t>
      </w:r>
      <w:r w:rsidR="003D476F" w:rsidRPr="00887610">
        <w:rPr>
          <w:rFonts w:ascii="Times New Roman" w:hAnsi="Times New Roman"/>
          <w:sz w:val="20"/>
          <w:szCs w:val="20"/>
          <w:vertAlign w:val="superscript"/>
        </w:rPr>
        <w:t>8</w:t>
      </w:r>
      <w:r w:rsidRPr="00887610">
        <w:rPr>
          <w:rFonts w:ascii="Times New Roman" w:hAnsi="Times New Roman"/>
          <w:sz w:val="20"/>
          <w:szCs w:val="20"/>
        </w:rPr>
        <w:t xml:space="preserve">Department of </w:t>
      </w:r>
      <w:proofErr w:type="spellStart"/>
      <w:r w:rsidRPr="00887610">
        <w:rPr>
          <w:rFonts w:ascii="Times New Roman" w:hAnsi="Times New Roman"/>
          <w:sz w:val="20"/>
          <w:szCs w:val="20"/>
        </w:rPr>
        <w:t>Paediatrics</w:t>
      </w:r>
      <w:proofErr w:type="spellEnd"/>
      <w:r w:rsidRPr="00887610">
        <w:rPr>
          <w:rFonts w:ascii="Times New Roman" w:hAnsi="Times New Roman"/>
          <w:sz w:val="20"/>
          <w:szCs w:val="20"/>
        </w:rPr>
        <w:t xml:space="preserve"> ,</w:t>
      </w:r>
      <w:proofErr w:type="spellStart"/>
      <w:r w:rsidRPr="00887610">
        <w:rPr>
          <w:rFonts w:ascii="Times New Roman" w:hAnsi="Times New Roman"/>
          <w:sz w:val="20"/>
          <w:szCs w:val="20"/>
        </w:rPr>
        <w:t>Kwara</w:t>
      </w:r>
      <w:proofErr w:type="spellEnd"/>
      <w:r w:rsidRPr="00887610">
        <w:rPr>
          <w:rFonts w:ascii="Times New Roman" w:hAnsi="Times New Roman"/>
          <w:sz w:val="20"/>
          <w:szCs w:val="20"/>
        </w:rPr>
        <w:t xml:space="preserve"> State Teaching Hospital ,Ilorin ,</w:t>
      </w:r>
      <w:proofErr w:type="spellStart"/>
      <w:r w:rsidRPr="00887610">
        <w:rPr>
          <w:rFonts w:ascii="Times New Roman" w:hAnsi="Times New Roman"/>
          <w:sz w:val="20"/>
          <w:szCs w:val="20"/>
        </w:rPr>
        <w:t>Kwara</w:t>
      </w:r>
      <w:proofErr w:type="spellEnd"/>
      <w:r w:rsidRPr="00887610">
        <w:rPr>
          <w:rFonts w:ascii="Times New Roman" w:hAnsi="Times New Roman"/>
          <w:sz w:val="20"/>
          <w:szCs w:val="20"/>
        </w:rPr>
        <w:t xml:space="preserve"> State, Nigeria </w:t>
      </w:r>
    </w:p>
    <w:p w:rsidR="000C25A2" w:rsidRPr="00887610" w:rsidRDefault="003D476F" w:rsidP="00BB3241">
      <w:pPr>
        <w:pStyle w:val="NoSpacing"/>
        <w:rPr>
          <w:rFonts w:ascii="Times New Roman" w:hAnsi="Times New Roman"/>
          <w:sz w:val="20"/>
          <w:szCs w:val="20"/>
        </w:rPr>
      </w:pPr>
      <w:r w:rsidRPr="00887610">
        <w:rPr>
          <w:rFonts w:ascii="Times New Roman" w:hAnsi="Times New Roman"/>
          <w:sz w:val="20"/>
          <w:szCs w:val="20"/>
          <w:vertAlign w:val="superscript"/>
        </w:rPr>
        <w:t>19</w:t>
      </w:r>
      <w:r w:rsidR="000C25A2" w:rsidRPr="00887610">
        <w:rPr>
          <w:rFonts w:ascii="Times New Roman" w:hAnsi="Times New Roman"/>
          <w:sz w:val="20"/>
          <w:szCs w:val="20"/>
        </w:rPr>
        <w:t>Emergency</w:t>
      </w:r>
      <w:r w:rsidR="000C25A2" w:rsidRPr="00887610">
        <w:rPr>
          <w:rFonts w:ascii="Times New Roman" w:hAnsi="Times New Roman"/>
          <w:sz w:val="20"/>
          <w:szCs w:val="20"/>
        </w:rPr>
        <w:t xml:space="preserve"> Department </w:t>
      </w:r>
      <w:r w:rsidR="000C25A2" w:rsidRPr="00887610">
        <w:rPr>
          <w:rFonts w:ascii="Times New Roman" w:hAnsi="Times New Roman"/>
          <w:sz w:val="20"/>
          <w:szCs w:val="20"/>
        </w:rPr>
        <w:t xml:space="preserve"> ,Royal Infirmary of Edinburgh,</w:t>
      </w:r>
      <w:r w:rsidR="00540E66" w:rsidRPr="00887610">
        <w:rPr>
          <w:rFonts w:ascii="Times New Roman" w:hAnsi="Times New Roman"/>
          <w:sz w:val="20"/>
          <w:szCs w:val="20"/>
        </w:rPr>
        <w:t xml:space="preserve"> </w:t>
      </w:r>
      <w:r w:rsidR="000C25A2" w:rsidRPr="00887610">
        <w:rPr>
          <w:rFonts w:ascii="Times New Roman" w:hAnsi="Times New Roman"/>
          <w:sz w:val="20"/>
          <w:szCs w:val="20"/>
        </w:rPr>
        <w:t xml:space="preserve">Scotland </w:t>
      </w:r>
      <w:r w:rsidR="000C25A2" w:rsidRPr="00887610">
        <w:rPr>
          <w:rFonts w:ascii="Times New Roman" w:hAnsi="Times New Roman"/>
          <w:sz w:val="20"/>
          <w:szCs w:val="20"/>
        </w:rPr>
        <w:t xml:space="preserve"> ,United Kingdom</w:t>
      </w:r>
    </w:p>
    <w:p w:rsidR="000C25A2" w:rsidRPr="00887610" w:rsidRDefault="000C25A2" w:rsidP="00BB3241">
      <w:pPr>
        <w:pStyle w:val="NoSpacing"/>
        <w:rPr>
          <w:rFonts w:ascii="Times New Roman" w:hAnsi="Times New Roman"/>
          <w:sz w:val="20"/>
          <w:szCs w:val="20"/>
        </w:rPr>
      </w:pPr>
      <w:r w:rsidRPr="00887610">
        <w:rPr>
          <w:rFonts w:ascii="Times New Roman" w:hAnsi="Times New Roman"/>
          <w:sz w:val="20"/>
          <w:szCs w:val="20"/>
          <w:vertAlign w:val="superscript"/>
        </w:rPr>
        <w:t>2</w:t>
      </w:r>
      <w:r w:rsidR="004132BC" w:rsidRPr="00887610">
        <w:rPr>
          <w:rFonts w:ascii="Times New Roman" w:hAnsi="Times New Roman"/>
          <w:sz w:val="20"/>
          <w:szCs w:val="20"/>
          <w:vertAlign w:val="superscript"/>
        </w:rPr>
        <w:t>0</w:t>
      </w:r>
      <w:r w:rsidRPr="00887610">
        <w:rPr>
          <w:rFonts w:ascii="Times New Roman" w:hAnsi="Times New Roman"/>
          <w:sz w:val="20"/>
          <w:szCs w:val="20"/>
        </w:rPr>
        <w:t>Department of Hematology and blood transfusion medicine  ,University of Calabar Teaching Hospital ,Calabar ,Cross River State ,Nigeria.</w:t>
      </w:r>
    </w:p>
    <w:p w:rsidR="000E4D8D" w:rsidRPr="00887610" w:rsidRDefault="004132BC" w:rsidP="00BB3241">
      <w:pPr>
        <w:pStyle w:val="NoSpacing"/>
        <w:rPr>
          <w:rFonts w:ascii="Times New Roman" w:hAnsi="Times New Roman"/>
          <w:b/>
          <w:bCs/>
          <w:sz w:val="20"/>
          <w:szCs w:val="20"/>
        </w:rPr>
      </w:pPr>
      <w:r w:rsidRPr="00887610">
        <w:rPr>
          <w:rFonts w:ascii="Times New Roman" w:hAnsi="Times New Roman"/>
          <w:sz w:val="20"/>
          <w:szCs w:val="20"/>
          <w:vertAlign w:val="superscript"/>
        </w:rPr>
        <w:t>2</w:t>
      </w:r>
      <w:r w:rsidR="00BB3241" w:rsidRPr="00887610">
        <w:rPr>
          <w:rFonts w:ascii="Times New Roman" w:hAnsi="Times New Roman"/>
          <w:sz w:val="20"/>
          <w:szCs w:val="20"/>
          <w:vertAlign w:val="superscript"/>
        </w:rPr>
        <w:t>1</w:t>
      </w:r>
      <w:r w:rsidR="000E4D8D" w:rsidRPr="00887610">
        <w:rPr>
          <w:rFonts w:ascii="Times New Roman" w:hAnsi="Times New Roman"/>
          <w:sz w:val="20"/>
          <w:szCs w:val="20"/>
        </w:rPr>
        <w:t xml:space="preserve">Department of </w:t>
      </w:r>
      <w:r w:rsidR="000E4D8D" w:rsidRPr="00887610">
        <w:rPr>
          <w:rFonts w:ascii="Times New Roman" w:hAnsi="Times New Roman"/>
          <w:sz w:val="20"/>
          <w:szCs w:val="20"/>
        </w:rPr>
        <w:t xml:space="preserve">Internal Medicine  </w:t>
      </w:r>
      <w:r w:rsidR="000E4D8D" w:rsidRPr="00887610">
        <w:rPr>
          <w:rFonts w:ascii="Times New Roman" w:hAnsi="Times New Roman"/>
          <w:sz w:val="20"/>
          <w:szCs w:val="20"/>
        </w:rPr>
        <w:t>,University of Nigeria  Teaching Hospital ,</w:t>
      </w:r>
      <w:proofErr w:type="spellStart"/>
      <w:r w:rsidR="000E4D8D" w:rsidRPr="00887610">
        <w:rPr>
          <w:rFonts w:ascii="Times New Roman" w:hAnsi="Times New Roman"/>
          <w:sz w:val="20"/>
          <w:szCs w:val="20"/>
        </w:rPr>
        <w:t>Ituku</w:t>
      </w:r>
      <w:proofErr w:type="spellEnd"/>
      <w:r w:rsidR="000E4D8D" w:rsidRPr="00887610">
        <w:rPr>
          <w:rFonts w:ascii="Times New Roman" w:hAnsi="Times New Roman"/>
          <w:sz w:val="20"/>
          <w:szCs w:val="20"/>
        </w:rPr>
        <w:t xml:space="preserve">- </w:t>
      </w:r>
      <w:proofErr w:type="spellStart"/>
      <w:r w:rsidR="000E4D8D" w:rsidRPr="00887610">
        <w:rPr>
          <w:rFonts w:ascii="Times New Roman" w:hAnsi="Times New Roman"/>
          <w:sz w:val="20"/>
          <w:szCs w:val="20"/>
        </w:rPr>
        <w:t>Ozalla</w:t>
      </w:r>
      <w:proofErr w:type="spellEnd"/>
      <w:r w:rsidR="000E4D8D" w:rsidRPr="00887610">
        <w:rPr>
          <w:rFonts w:ascii="Times New Roman" w:hAnsi="Times New Roman"/>
          <w:sz w:val="20"/>
          <w:szCs w:val="20"/>
        </w:rPr>
        <w:t>, Enugu State</w:t>
      </w:r>
    </w:p>
    <w:p w:rsidR="000C25A2" w:rsidRPr="00887610" w:rsidRDefault="000C25A2" w:rsidP="00BB3241">
      <w:pPr>
        <w:pStyle w:val="NoSpacing"/>
        <w:rPr>
          <w:rFonts w:ascii="Times New Roman" w:hAnsi="Times New Roman"/>
          <w:b/>
          <w:bCs/>
          <w:sz w:val="20"/>
          <w:szCs w:val="20"/>
        </w:rPr>
      </w:pPr>
      <w:r w:rsidRPr="00887610">
        <w:rPr>
          <w:rFonts w:ascii="Times New Roman" w:hAnsi="Times New Roman"/>
          <w:sz w:val="20"/>
          <w:szCs w:val="20"/>
          <w:vertAlign w:val="superscript"/>
        </w:rPr>
        <w:t>2</w:t>
      </w:r>
      <w:r w:rsidR="00BB3241" w:rsidRPr="00887610">
        <w:rPr>
          <w:rFonts w:ascii="Times New Roman" w:hAnsi="Times New Roman"/>
          <w:sz w:val="20"/>
          <w:szCs w:val="20"/>
          <w:vertAlign w:val="superscript"/>
        </w:rPr>
        <w:t>2</w:t>
      </w:r>
      <w:r w:rsidRPr="00887610">
        <w:rPr>
          <w:rFonts w:ascii="Times New Roman" w:hAnsi="Times New Roman"/>
          <w:sz w:val="20"/>
          <w:szCs w:val="20"/>
        </w:rPr>
        <w:t xml:space="preserve">Department of Public Health ,National Open University, Lagos State , Nigeria </w:t>
      </w:r>
    </w:p>
    <w:p w:rsidR="00BB3241" w:rsidRPr="00887610" w:rsidRDefault="00BB3241" w:rsidP="00BB3241">
      <w:pPr>
        <w:spacing w:after="0" w:line="240" w:lineRule="auto"/>
        <w:jc w:val="both"/>
        <w:rPr>
          <w:rFonts w:ascii="Times New Roman" w:hAnsi="Times New Roman"/>
          <w:sz w:val="20"/>
          <w:szCs w:val="20"/>
          <w:vertAlign w:val="superscript"/>
        </w:rPr>
      </w:pPr>
      <w:r w:rsidRPr="00887610">
        <w:rPr>
          <w:rFonts w:ascii="Times New Roman" w:hAnsi="Times New Roman"/>
          <w:sz w:val="20"/>
          <w:szCs w:val="20"/>
          <w:vertAlign w:val="superscript"/>
        </w:rPr>
        <w:t>2</w:t>
      </w:r>
      <w:r w:rsidRPr="00887610">
        <w:rPr>
          <w:rFonts w:ascii="Times New Roman" w:hAnsi="Times New Roman"/>
          <w:sz w:val="20"/>
          <w:szCs w:val="20"/>
          <w:vertAlign w:val="superscript"/>
        </w:rPr>
        <w:t>3</w:t>
      </w:r>
      <w:r w:rsidRPr="00887610">
        <w:rPr>
          <w:rFonts w:ascii="Times New Roman" w:hAnsi="Times New Roman"/>
          <w:sz w:val="20"/>
          <w:szCs w:val="20"/>
        </w:rPr>
        <w:t>Department of</w:t>
      </w:r>
      <w:r w:rsidRPr="00887610">
        <w:rPr>
          <w:rFonts w:ascii="Times New Roman" w:hAnsi="Times New Roman"/>
          <w:sz w:val="20"/>
          <w:szCs w:val="20"/>
        </w:rPr>
        <w:t xml:space="preserve"> Surgery </w:t>
      </w:r>
      <w:r w:rsidRPr="00887610">
        <w:rPr>
          <w:rFonts w:ascii="Times New Roman" w:hAnsi="Times New Roman"/>
          <w:sz w:val="20"/>
          <w:szCs w:val="20"/>
        </w:rPr>
        <w:t>, University of Calabar Teaching Hospital ,Calabar ,Cross River State ,Nigeria</w:t>
      </w:r>
    </w:p>
    <w:p w:rsidR="00BB3241" w:rsidRPr="00887610" w:rsidRDefault="00BB3241" w:rsidP="00BB3241">
      <w:pPr>
        <w:pStyle w:val="NoSpacing"/>
        <w:rPr>
          <w:rFonts w:ascii="Times New Roman" w:hAnsi="Times New Roman"/>
          <w:b/>
          <w:bCs/>
          <w:sz w:val="20"/>
          <w:szCs w:val="20"/>
        </w:rPr>
      </w:pPr>
      <w:r w:rsidRPr="00887610">
        <w:rPr>
          <w:rFonts w:ascii="Times New Roman" w:hAnsi="Times New Roman"/>
          <w:sz w:val="20"/>
          <w:szCs w:val="20"/>
          <w:vertAlign w:val="superscript"/>
        </w:rPr>
        <w:t>24</w:t>
      </w:r>
      <w:r w:rsidRPr="00887610">
        <w:rPr>
          <w:rFonts w:ascii="Times New Roman" w:eastAsia="Calibri" w:hAnsi="Times New Roman"/>
          <w:sz w:val="20"/>
          <w:szCs w:val="20"/>
        </w:rPr>
        <w:t>WORCACCCE UNION GROUP  Integrated Healthcare Sciences, Technological development and Training and Innovative Research Foundation (WUGIHSTTAIRF), P.O Box 45 Bamenda, North West Region, Cameroon.</w:t>
      </w:r>
    </w:p>
    <w:p w:rsidR="000C25A2" w:rsidRPr="00887610" w:rsidRDefault="004132BC" w:rsidP="00BB3241">
      <w:pPr>
        <w:spacing w:after="0" w:line="240" w:lineRule="auto"/>
        <w:jc w:val="both"/>
        <w:rPr>
          <w:rFonts w:ascii="Times New Roman" w:hAnsi="Times New Roman"/>
          <w:b/>
          <w:bCs/>
          <w:sz w:val="20"/>
          <w:szCs w:val="20"/>
        </w:rPr>
      </w:pPr>
      <w:r w:rsidRPr="00887610">
        <w:rPr>
          <w:rFonts w:ascii="Times New Roman" w:hAnsi="Times New Roman"/>
          <w:sz w:val="20"/>
          <w:szCs w:val="20"/>
          <w:vertAlign w:val="superscript"/>
        </w:rPr>
        <w:t>25</w:t>
      </w:r>
      <w:r w:rsidR="000C25A2" w:rsidRPr="00887610">
        <w:rPr>
          <w:rFonts w:ascii="Times New Roman" w:hAnsi="Times New Roman"/>
          <w:sz w:val="20"/>
          <w:szCs w:val="20"/>
        </w:rPr>
        <w:t xml:space="preserve">Department of Obstetrics and </w:t>
      </w:r>
      <w:proofErr w:type="spellStart"/>
      <w:r w:rsidR="000C25A2" w:rsidRPr="00887610">
        <w:rPr>
          <w:rFonts w:ascii="Times New Roman" w:hAnsi="Times New Roman"/>
          <w:sz w:val="20"/>
          <w:szCs w:val="20"/>
        </w:rPr>
        <w:t>Gyneacology</w:t>
      </w:r>
      <w:proofErr w:type="spellEnd"/>
      <w:r w:rsidR="000C25A2" w:rsidRPr="00887610">
        <w:rPr>
          <w:rFonts w:ascii="Times New Roman" w:hAnsi="Times New Roman"/>
          <w:sz w:val="20"/>
          <w:szCs w:val="20"/>
        </w:rPr>
        <w:t>, University of Calabar Teaching Hospital ,Calabar ,Cross River State ,Nigeria.</w:t>
      </w:r>
      <w:r w:rsidR="000C25A2" w:rsidRPr="00887610">
        <w:rPr>
          <w:rFonts w:ascii="Times New Roman" w:eastAsia="Times New Roman" w:hAnsi="Times New Roman"/>
          <w:b/>
          <w:bCs/>
          <w:sz w:val="20"/>
          <w:szCs w:val="20"/>
        </w:rPr>
        <w:t xml:space="preserve"> </w:t>
      </w:r>
    </w:p>
    <w:p w:rsidR="00BB3241" w:rsidRPr="00A22C24" w:rsidRDefault="00BB3241" w:rsidP="00BB3241">
      <w:pPr>
        <w:spacing w:after="0" w:line="240" w:lineRule="auto"/>
        <w:jc w:val="both"/>
        <w:rPr>
          <w:rFonts w:ascii="Times New Roman" w:hAnsi="Times New Roman"/>
          <w:sz w:val="16"/>
          <w:szCs w:val="20"/>
        </w:rPr>
      </w:pPr>
      <w:r w:rsidRPr="00A22C24">
        <w:rPr>
          <w:rFonts w:ascii="Times New Roman" w:hAnsi="Times New Roman"/>
          <w:sz w:val="20"/>
          <w:szCs w:val="20"/>
        </w:rPr>
        <w:t>--------------------------------------------------------------------------------------------------------------------------------------------</w:t>
      </w:r>
    </w:p>
    <w:p w:rsidR="00BB3241" w:rsidRPr="00A22C24" w:rsidRDefault="00BB3241" w:rsidP="00BB3241">
      <w:pPr>
        <w:spacing w:after="0" w:line="240" w:lineRule="auto"/>
        <w:jc w:val="both"/>
        <w:rPr>
          <w:rFonts w:ascii="Times New Roman" w:hAnsi="Times New Roman"/>
          <w:sz w:val="20"/>
          <w:szCs w:val="20"/>
        </w:rPr>
      </w:pPr>
      <w:r w:rsidRPr="00A22C24">
        <w:rPr>
          <w:rFonts w:ascii="Times New Roman" w:hAnsi="Times New Roman"/>
          <w:sz w:val="20"/>
          <w:szCs w:val="20"/>
        </w:rPr>
        <w:t xml:space="preserve">*Corresponding author’s name and address: </w:t>
      </w:r>
      <w:proofErr w:type="spellStart"/>
      <w:r w:rsidRPr="00A22C24">
        <w:rPr>
          <w:rFonts w:ascii="Times New Roman" w:hAnsi="Times New Roman"/>
          <w:sz w:val="20"/>
          <w:szCs w:val="20"/>
        </w:rPr>
        <w:t>Forwah</w:t>
      </w:r>
      <w:proofErr w:type="spellEnd"/>
      <w:r w:rsidRPr="00A22C24">
        <w:rPr>
          <w:rFonts w:ascii="Times New Roman" w:hAnsi="Times New Roman"/>
          <w:sz w:val="20"/>
          <w:szCs w:val="20"/>
        </w:rPr>
        <w:t xml:space="preserve"> Jacques </w:t>
      </w:r>
      <w:proofErr w:type="spellStart"/>
      <w:r w:rsidRPr="00A22C24">
        <w:rPr>
          <w:rFonts w:ascii="Times New Roman" w:hAnsi="Times New Roman"/>
          <w:sz w:val="20"/>
          <w:szCs w:val="20"/>
        </w:rPr>
        <w:t>Ndeh</w:t>
      </w:r>
      <w:proofErr w:type="spellEnd"/>
      <w:r w:rsidRPr="00A22C24">
        <w:rPr>
          <w:rFonts w:ascii="Times New Roman" w:hAnsi="Times New Roman"/>
          <w:sz w:val="20"/>
          <w:szCs w:val="20"/>
        </w:rPr>
        <w:t xml:space="preserve">, </w:t>
      </w:r>
      <w:r w:rsidRPr="00A22C24">
        <w:rPr>
          <w:rFonts w:ascii="Times New Roman" w:eastAsia="Times New Roman" w:hAnsi="Times New Roman"/>
          <w:bCs/>
          <w:sz w:val="20"/>
          <w:szCs w:val="20"/>
        </w:rPr>
        <w:t>Department of Hematology and Blood Transfusion Sciences,</w:t>
      </w:r>
      <w:r w:rsidRPr="00A22C24">
        <w:rPr>
          <w:rFonts w:ascii="Times New Roman" w:hAnsi="Times New Roman"/>
          <w:sz w:val="20"/>
          <w:szCs w:val="20"/>
        </w:rPr>
        <w:t xml:space="preserve"> Faculty of Clinical Sciences, University of Calabar Teaching Hospital ,Calabar ,Cross River State ,Nigeria</w:t>
      </w:r>
    </w:p>
    <w:p w:rsidR="00887610" w:rsidRDefault="00BB3241" w:rsidP="00887610">
      <w:pPr>
        <w:pBdr>
          <w:bottom w:val="single" w:sz="6" w:space="1" w:color="auto"/>
        </w:pBdr>
        <w:spacing w:after="0" w:line="240" w:lineRule="auto"/>
        <w:jc w:val="both"/>
        <w:rPr>
          <w:rFonts w:ascii="Times New Roman" w:eastAsia="Times New Roman" w:hAnsi="Times New Roman"/>
          <w:b/>
          <w:bCs/>
          <w:i/>
          <w:sz w:val="14"/>
          <w:szCs w:val="20"/>
        </w:rPr>
      </w:pPr>
      <w:r w:rsidRPr="00A22C24">
        <w:rPr>
          <w:rFonts w:ascii="Times New Roman" w:hAnsi="Times New Roman"/>
          <w:sz w:val="20"/>
          <w:szCs w:val="20"/>
        </w:rPr>
        <w:t>E-mail: okingdomman@gmail.com Tel: +237677521948, WhatsApp number:  +2348130503693</w:t>
      </w:r>
      <w:bookmarkStart w:id="1" w:name="_Hlk198525150"/>
      <w:bookmarkEnd w:id="0"/>
      <w:r w:rsidR="00FD0BD0">
        <w:rPr>
          <w:rFonts w:ascii="Times New Roman" w:eastAsia="Times New Roman" w:hAnsi="Times New Roman"/>
          <w:b/>
          <w:bCs/>
          <w:i/>
          <w:sz w:val="14"/>
          <w:szCs w:val="20"/>
        </w:rPr>
        <w:t xml:space="preserve">                                                        </w:t>
      </w:r>
    </w:p>
    <w:p w:rsidR="00FA051B" w:rsidRPr="00887610" w:rsidRDefault="00FD0BD0" w:rsidP="00887610">
      <w:pPr>
        <w:pBdr>
          <w:bottom w:val="single" w:sz="6" w:space="1" w:color="auto"/>
        </w:pBdr>
        <w:spacing w:after="0" w:line="240" w:lineRule="auto"/>
        <w:jc w:val="both"/>
        <w:rPr>
          <w:rFonts w:ascii="Times New Roman" w:hAnsi="Times New Roman"/>
          <w:sz w:val="20"/>
          <w:szCs w:val="20"/>
        </w:rPr>
      </w:pPr>
      <w:r w:rsidRPr="00887610">
        <w:rPr>
          <w:rFonts w:ascii="Times New Roman" w:eastAsia="Times New Roman" w:hAnsi="Times New Roman"/>
          <w:b/>
          <w:bCs/>
          <w:i/>
          <w:sz w:val="20"/>
          <w:szCs w:val="20"/>
        </w:rPr>
        <w:t>Authors’ contributions</w:t>
      </w:r>
    </w:p>
    <w:p w:rsidR="00FA051B" w:rsidRPr="00887610" w:rsidRDefault="00FD0BD0">
      <w:pPr>
        <w:spacing w:after="0" w:line="240" w:lineRule="auto"/>
        <w:rPr>
          <w:rFonts w:ascii="Times New Roman" w:hAnsi="Times New Roman"/>
          <w:bCs/>
          <w:i/>
          <w:sz w:val="20"/>
          <w:szCs w:val="20"/>
        </w:rPr>
      </w:pPr>
      <w:r w:rsidRPr="00887610">
        <w:rPr>
          <w:rFonts w:ascii="Times New Roman" w:hAnsi="Times New Roman"/>
          <w:bCs/>
          <w:i/>
          <w:sz w:val="20"/>
          <w:szCs w:val="20"/>
        </w:rPr>
        <w:t>This work was carried out in collaboration among all authors who all  read and approved of the final manuscript.</w:t>
      </w:r>
    </w:p>
    <w:p w:rsidR="00FA051B" w:rsidRDefault="00FD0BD0">
      <w:pPr>
        <w:spacing w:after="0" w:line="240" w:lineRule="auto"/>
        <w:rPr>
          <w:rFonts w:ascii="Times New Roman" w:hAnsi="Times New Roman"/>
          <w:bCs/>
          <w:i/>
          <w:sz w:val="14"/>
          <w:szCs w:val="20"/>
        </w:rPr>
      </w:pPr>
      <w:r w:rsidRPr="00887610">
        <w:rPr>
          <w:rFonts w:ascii="Times New Roman" w:hAnsi="Times New Roman"/>
          <w:bCs/>
          <w:i/>
          <w:sz w:val="20"/>
          <w:szCs w:val="20"/>
        </w:rPr>
        <w:t>===================================================================</w:t>
      </w:r>
    </w:p>
    <w:bookmarkEnd w:id="1"/>
    <w:p w:rsidR="00887610" w:rsidRDefault="00887610">
      <w:pPr>
        <w:rPr>
          <w:b/>
        </w:rPr>
      </w:pPr>
    </w:p>
    <w:p w:rsidR="00887610" w:rsidRDefault="00887610">
      <w:pPr>
        <w:rPr>
          <w:b/>
        </w:rPr>
      </w:pPr>
    </w:p>
    <w:p w:rsidR="00FA051B" w:rsidRDefault="00FD0BD0" w:rsidP="00887610">
      <w:pPr>
        <w:spacing w:after="0"/>
        <w:rPr>
          <w:b/>
          <w:bCs/>
          <w:sz w:val="21"/>
          <w:szCs w:val="21"/>
        </w:rPr>
      </w:pPr>
      <w:r>
        <w:rPr>
          <w:b/>
        </w:rPr>
        <w:t xml:space="preserve">ABSTRACT </w:t>
      </w:r>
    </w:p>
    <w:p w:rsidR="00FA051B" w:rsidRDefault="00FD0BD0" w:rsidP="00887610">
      <w:pPr>
        <w:spacing w:after="0"/>
        <w:rPr>
          <w:sz w:val="21"/>
          <w:szCs w:val="21"/>
        </w:rPr>
      </w:pPr>
      <w:r>
        <w:rPr>
          <w:b/>
          <w:bCs/>
          <w:sz w:val="21"/>
          <w:szCs w:val="21"/>
        </w:rPr>
        <w:t xml:space="preserve">Background: </w:t>
      </w:r>
      <w:r>
        <w:rPr>
          <w:sz w:val="21"/>
          <w:szCs w:val="21"/>
        </w:rPr>
        <w:t>Blood transfusions are a critical component of pediatric care, particularly for children with hematological disorders such as sickle cell disease, thalassemia, and leukemia. The ABO and Rh blood types play a crucial role in transfusion medicine, and understanding their impact on transfusion outcomes is essential for optimizing patient care and  minimizing adverse reactions.</w:t>
      </w:r>
    </w:p>
    <w:p w:rsidR="00FA051B" w:rsidRDefault="00FD0BD0">
      <w:pPr>
        <w:spacing w:after="0"/>
        <w:jc w:val="both"/>
        <w:rPr>
          <w:sz w:val="21"/>
          <w:szCs w:val="21"/>
        </w:rPr>
      </w:pPr>
      <w:r>
        <w:rPr>
          <w:b/>
          <w:bCs/>
          <w:sz w:val="21"/>
          <w:szCs w:val="21"/>
        </w:rPr>
        <w:lastRenderedPageBreak/>
        <w:t>Objective</w:t>
      </w:r>
      <w:r>
        <w:rPr>
          <w:sz w:val="21"/>
          <w:szCs w:val="21"/>
        </w:rPr>
        <w:t xml:space="preserve">: This systematic review aimed </w:t>
      </w:r>
      <w:r w:rsidR="00FD3434">
        <w:rPr>
          <w:sz w:val="21"/>
          <w:szCs w:val="21"/>
        </w:rPr>
        <w:t xml:space="preserve">at </w:t>
      </w:r>
      <w:r>
        <w:rPr>
          <w:sz w:val="21"/>
          <w:szCs w:val="21"/>
        </w:rPr>
        <w:t xml:space="preserve">comprehensively </w:t>
      </w:r>
      <w:r w:rsidR="00FD3434">
        <w:rPr>
          <w:sz w:val="21"/>
          <w:szCs w:val="21"/>
        </w:rPr>
        <w:t xml:space="preserve">explore </w:t>
      </w:r>
      <w:r>
        <w:rPr>
          <w:sz w:val="21"/>
          <w:szCs w:val="21"/>
        </w:rPr>
        <w:t>the frequency and indications of alternative blood transfusion strategies in children with different ABO and Rh blood types, exploring how these strategies can improve transfusion safety and efficacy in pediatric populations.</w:t>
      </w:r>
    </w:p>
    <w:p w:rsidR="00FA051B" w:rsidRDefault="00FD0BD0">
      <w:pPr>
        <w:spacing w:after="0"/>
        <w:jc w:val="both"/>
        <w:rPr>
          <w:sz w:val="21"/>
          <w:szCs w:val="21"/>
        </w:rPr>
      </w:pPr>
      <w:r>
        <w:rPr>
          <w:b/>
          <w:bCs/>
          <w:sz w:val="21"/>
          <w:szCs w:val="21"/>
        </w:rPr>
        <w:t>Methodology</w:t>
      </w:r>
      <w:r>
        <w:rPr>
          <w:sz w:val="21"/>
          <w:szCs w:val="21"/>
        </w:rPr>
        <w:t>: A comprehensive search was conducted across ten major databases and search engines, including PubMed, Scopus, Web of Science, Embase, Cochrane Library, CINAHL, PsycINFO, Google Scholar, ScienceDirect, and Ovid, to identify relevant studies published in peer-reviewed journals. The search yielded 300 articles, of which 250 were included in the review after applying strict inclusion and exclusion criteria. The included studies were rigorously assessed for quality, and data were extracted and synthesized to provide a comprehensive overview of the current evidence base.</w:t>
      </w:r>
    </w:p>
    <w:p w:rsidR="00FA051B" w:rsidRDefault="00FD0BD0">
      <w:pPr>
        <w:spacing w:after="0"/>
        <w:jc w:val="both"/>
        <w:rPr>
          <w:sz w:val="21"/>
          <w:szCs w:val="21"/>
        </w:rPr>
      </w:pPr>
      <w:r>
        <w:rPr>
          <w:b/>
          <w:bCs/>
          <w:sz w:val="21"/>
          <w:szCs w:val="21"/>
        </w:rPr>
        <w:t>Results</w:t>
      </w:r>
      <w:r>
        <w:rPr>
          <w:sz w:val="21"/>
          <w:szCs w:val="21"/>
        </w:rPr>
        <w:t>: The review found that alternative blood transfusion strategies, such as restrictive transfusion thresholds and the use of tranexamic acid, were effective in reducing transfusion requirements and improving clinical outcomes in children. The frequency of ABO and Rh blood types varied significantly among the study populations, highlighting the importance of considering these factors in transfusion decisions to enhance patient safety and treatment efficacy. The findings also underscored the need for personalized transfusion approaches tailored to the individual child's blood type and specific clinical needs.</w:t>
      </w:r>
    </w:p>
    <w:p w:rsidR="00FA051B" w:rsidRDefault="00FD0BD0">
      <w:pPr>
        <w:spacing w:after="0"/>
        <w:rPr>
          <w:sz w:val="21"/>
          <w:szCs w:val="21"/>
        </w:rPr>
      </w:pPr>
      <w:r>
        <w:rPr>
          <w:b/>
          <w:bCs/>
          <w:sz w:val="21"/>
          <w:szCs w:val="21"/>
        </w:rPr>
        <w:t>Conclusion</w:t>
      </w:r>
      <w:r>
        <w:rPr>
          <w:sz w:val="21"/>
          <w:szCs w:val="21"/>
        </w:rPr>
        <w:t xml:space="preserve">: This systematic review provides robust evidence on the frequency and indications of alternative blood transfusion strategies in children with different ABO and Rh blood types. The findings support the adoption of personalized transfusion approaches that consider the child's unique blood type and clinical requirements, potentially leading to improved </w:t>
      </w:r>
      <w:r>
        <w:rPr>
          <w:sz w:val="21"/>
          <w:szCs w:val="21"/>
        </w:rPr>
        <w:lastRenderedPageBreak/>
        <w:t>patient outcomes and reduced transfusion-related complications. The review's insights are expected to inform clinical practice and guide future research in pediatric transfusion medicine, ultimately enhancing the quality of care for children requiring blood transfusions.</w:t>
      </w:r>
    </w:p>
    <w:p w:rsidR="00FA051B" w:rsidRDefault="00FD0BD0">
      <w:pPr>
        <w:spacing w:after="0"/>
        <w:rPr>
          <w:b/>
          <w:bCs/>
        </w:rPr>
      </w:pPr>
      <w:r>
        <w:rPr>
          <w:b/>
          <w:bCs/>
          <w:sz w:val="21"/>
          <w:szCs w:val="21"/>
        </w:rPr>
        <w:t>Keywords</w:t>
      </w:r>
      <w:r>
        <w:rPr>
          <w:sz w:val="21"/>
          <w:szCs w:val="21"/>
        </w:rPr>
        <w:t xml:space="preserve">: </w:t>
      </w:r>
      <w:r>
        <w:rPr>
          <w:b/>
          <w:bCs/>
          <w:sz w:val="21"/>
          <w:szCs w:val="21"/>
        </w:rPr>
        <w:t>Blood transfusion, ABO blood type, Rh blood type, Pediatric care, Alternative transfusion strategies, Systematic review, Personalized medicine, Transfusion outcomes.</w:t>
      </w:r>
    </w:p>
    <w:p w:rsidR="00FA051B" w:rsidRDefault="00FA051B">
      <w:pPr>
        <w:spacing w:after="0"/>
        <w:rPr>
          <w:b/>
          <w:bCs/>
        </w:rPr>
      </w:pPr>
    </w:p>
    <w:p w:rsidR="00FA051B" w:rsidRDefault="00FA051B">
      <w:pPr>
        <w:spacing w:after="0"/>
        <w:rPr>
          <w:b/>
          <w:bCs/>
        </w:rPr>
      </w:pPr>
    </w:p>
    <w:p w:rsidR="00FA051B" w:rsidRDefault="00FD0BD0">
      <w:pPr>
        <w:numPr>
          <w:ilvl w:val="0"/>
          <w:numId w:val="1"/>
        </w:numPr>
        <w:spacing w:after="0"/>
        <w:jc w:val="both"/>
        <w:rPr>
          <w:b/>
          <w:bCs/>
        </w:rPr>
      </w:pPr>
      <w:r>
        <w:rPr>
          <w:b/>
          <w:bCs/>
        </w:rPr>
        <w:t>INTRODUCTION</w:t>
      </w:r>
    </w:p>
    <w:p w:rsidR="00FA051B" w:rsidRDefault="00FD0BD0">
      <w:pPr>
        <w:spacing w:after="0" w:line="360" w:lineRule="auto"/>
        <w:jc w:val="both"/>
        <w:rPr>
          <w:rFonts w:ascii="Arial" w:hAnsi="Arial" w:cs="Arial"/>
        </w:rPr>
      </w:pPr>
      <w:r>
        <w:rPr>
          <w:rFonts w:ascii="Arial" w:hAnsi="Arial" w:cs="Arial"/>
        </w:rPr>
        <w:t>a) An Overview of Alternative Blood Transfusion (ABT)</w:t>
      </w:r>
    </w:p>
    <w:p w:rsidR="00FA051B" w:rsidRDefault="00FD0BD0">
      <w:pPr>
        <w:spacing w:after="0" w:line="360" w:lineRule="auto"/>
        <w:jc w:val="both"/>
        <w:rPr>
          <w:rFonts w:ascii="Arial" w:hAnsi="Arial" w:cs="Arial"/>
        </w:rPr>
      </w:pPr>
      <w:r>
        <w:rPr>
          <w:rFonts w:ascii="Arial" w:hAnsi="Arial" w:cs="Arial"/>
        </w:rPr>
        <w:t xml:space="preserve">Alternative blood transfusion (ABT) refers to medical interventions or strategies that aim to reduce the need for allogenic blood transfusions (blood donated by others) or provide alternative sources of blood or oxygen-carrying capacity [Muñoz </w:t>
      </w:r>
      <w:r>
        <w:rPr>
          <w:rFonts w:ascii="Arial" w:hAnsi="Arial" w:cs="Arial"/>
          <w:i/>
        </w:rPr>
        <w:t>et al.,</w:t>
      </w:r>
      <w:r>
        <w:rPr>
          <w:rFonts w:ascii="Arial" w:hAnsi="Arial" w:cs="Arial"/>
        </w:rPr>
        <w:t xml:space="preserve"> 2020</w:t>
      </w:r>
      <w:r w:rsidR="001F7F43">
        <w:rPr>
          <w:rFonts w:ascii="Arial" w:hAnsi="Arial" w:cs="Arial"/>
        </w:rPr>
        <w:t xml:space="preserve"> </w:t>
      </w:r>
      <w:r w:rsidR="00606ECD">
        <w:rPr>
          <w:rFonts w:ascii="Arial" w:hAnsi="Arial" w:cs="Arial"/>
        </w:rPr>
        <w:t xml:space="preserve">and </w:t>
      </w:r>
      <w:r w:rsidR="001F7F43">
        <w:rPr>
          <w:rFonts w:ascii="Arial" w:hAnsi="Arial" w:cs="Arial"/>
        </w:rPr>
        <w:t xml:space="preserve"> </w:t>
      </w:r>
      <w:proofErr w:type="spellStart"/>
      <w:r w:rsidR="00883250">
        <w:rPr>
          <w:rFonts w:ascii="Arial" w:hAnsi="Arial" w:cs="Arial"/>
        </w:rPr>
        <w:t>Franchini</w:t>
      </w:r>
      <w:proofErr w:type="spellEnd"/>
      <w:r w:rsidR="00883250">
        <w:rPr>
          <w:rFonts w:ascii="Arial" w:hAnsi="Arial" w:cs="Arial"/>
        </w:rPr>
        <w:t xml:space="preserve"> </w:t>
      </w:r>
      <w:r w:rsidR="00883250" w:rsidRPr="00606ECD">
        <w:rPr>
          <w:rFonts w:ascii="Arial" w:hAnsi="Arial" w:cs="Arial"/>
          <w:i/>
        </w:rPr>
        <w:t>et al.</w:t>
      </w:r>
      <w:r w:rsidR="00883250">
        <w:rPr>
          <w:rFonts w:ascii="Arial" w:hAnsi="Arial" w:cs="Arial"/>
        </w:rPr>
        <w:t>,2019</w:t>
      </w:r>
      <w:r>
        <w:rPr>
          <w:rFonts w:ascii="Arial" w:hAnsi="Arial" w:cs="Arial"/>
        </w:rPr>
        <w:t>]. These alternatives can help minimize risks associated with traditional blood transfusions, such as transfusion reactions, transmission of infectious diseases, and immune system modulation [</w:t>
      </w:r>
      <w:r w:rsidR="00883250">
        <w:rPr>
          <w:rFonts w:ascii="Arial" w:hAnsi="Arial" w:cs="Arial"/>
        </w:rPr>
        <w:t xml:space="preserve"> Hofmann et al.,2021 </w:t>
      </w:r>
      <w:r w:rsidR="00606ECD">
        <w:rPr>
          <w:rFonts w:ascii="Arial" w:hAnsi="Arial" w:cs="Arial"/>
        </w:rPr>
        <w:t xml:space="preserve">and </w:t>
      </w:r>
      <w:r>
        <w:rPr>
          <w:rFonts w:ascii="Arial" w:hAnsi="Arial" w:cs="Arial"/>
        </w:rPr>
        <w:t xml:space="preserve">Goodnough </w:t>
      </w:r>
      <w:r>
        <w:rPr>
          <w:rFonts w:ascii="Arial" w:hAnsi="Arial" w:cs="Arial"/>
          <w:i/>
        </w:rPr>
        <w:t>et al.,</w:t>
      </w:r>
      <w:r>
        <w:rPr>
          <w:rFonts w:ascii="Arial" w:hAnsi="Arial" w:cs="Arial"/>
        </w:rPr>
        <w:t xml:space="preserve"> 2022]. The practice of alternative blood transfusion strategies can be grouped into </w:t>
      </w:r>
      <w:r>
        <w:rPr>
          <w:rFonts w:ascii="Arial" w:hAnsi="Arial" w:cs="Arial"/>
        </w:rPr>
        <w:lastRenderedPageBreak/>
        <w:t>several categories, including: Autologous blood transfusion, where patients donate their own blood before surgery, which is then transfused back into their body if needed [</w:t>
      </w:r>
      <w:r w:rsidR="00883250">
        <w:rPr>
          <w:rFonts w:ascii="Arial" w:hAnsi="Arial" w:cs="Arial"/>
        </w:rPr>
        <w:t xml:space="preserve"> Metcalf et al., 2022</w:t>
      </w:r>
      <w:r w:rsidR="00606ECD">
        <w:rPr>
          <w:rFonts w:ascii="Arial" w:hAnsi="Arial" w:cs="Arial"/>
        </w:rPr>
        <w:t xml:space="preserve">and </w:t>
      </w:r>
      <w:r w:rsidR="00883250">
        <w:rPr>
          <w:rFonts w:ascii="Arial" w:hAnsi="Arial" w:cs="Arial"/>
        </w:rPr>
        <w:t xml:space="preserve"> </w:t>
      </w:r>
      <w:r>
        <w:rPr>
          <w:rFonts w:ascii="Arial" w:hAnsi="Arial" w:cs="Arial"/>
        </w:rPr>
        <w:t xml:space="preserve">Klein </w:t>
      </w:r>
      <w:r>
        <w:rPr>
          <w:rFonts w:ascii="Arial" w:hAnsi="Arial" w:cs="Arial"/>
          <w:i/>
        </w:rPr>
        <w:t>et al</w:t>
      </w:r>
      <w:r>
        <w:rPr>
          <w:rFonts w:ascii="Arial" w:hAnsi="Arial" w:cs="Arial"/>
        </w:rPr>
        <w:t>., 2021].Intraoperative blood salvage, where blood lost during surgery is carefully and aseptically collected, processed, and reinfused into the patient [</w:t>
      </w:r>
      <w:r w:rsidR="00883250">
        <w:rPr>
          <w:rFonts w:ascii="Arial" w:hAnsi="Arial" w:cs="Arial"/>
        </w:rPr>
        <w:t>Storch et al.2019</w:t>
      </w:r>
      <w:r>
        <w:rPr>
          <w:rFonts w:ascii="Arial" w:hAnsi="Arial" w:cs="Arial"/>
        </w:rPr>
        <w:t>].Hemoglobin-based oxygen carriers (HBOCs), which are artificial oxygen-carrying solutions that can temporarily replace the need for red blood cells [</w:t>
      </w:r>
      <w:r w:rsidR="00883250">
        <w:rPr>
          <w:rFonts w:ascii="Arial" w:hAnsi="Arial" w:cs="Arial"/>
        </w:rPr>
        <w:t xml:space="preserve"> </w:t>
      </w:r>
      <w:r w:rsidR="00FE3323">
        <w:rPr>
          <w:rFonts w:ascii="Arial" w:hAnsi="Arial" w:cs="Arial"/>
        </w:rPr>
        <w:t>Pagano et al.,202</w:t>
      </w:r>
      <w:r w:rsidR="00606ECD">
        <w:rPr>
          <w:rFonts w:ascii="Arial" w:hAnsi="Arial" w:cs="Arial"/>
        </w:rPr>
        <w:t>0</w:t>
      </w:r>
      <w:r>
        <w:rPr>
          <w:rFonts w:ascii="Arial" w:hAnsi="Arial" w:cs="Arial"/>
        </w:rPr>
        <w:t xml:space="preserve">]. Blood substitutes, which are synthetic or natural products designed to mimic the oxygen-carrying capacity of blood [ Jahr </w:t>
      </w:r>
      <w:r>
        <w:rPr>
          <w:rFonts w:ascii="Arial" w:hAnsi="Arial" w:cs="Arial"/>
          <w:i/>
        </w:rPr>
        <w:t>et al.,</w:t>
      </w:r>
      <w:r>
        <w:rPr>
          <w:rFonts w:ascii="Arial" w:hAnsi="Arial" w:cs="Arial"/>
        </w:rPr>
        <w:t xml:space="preserve"> 2021].The goals of alternative blood transfusion include reducing allogenic blood transfusion risks, minimizing exposure to donor blood and associated risks [Frank </w:t>
      </w:r>
      <w:r>
        <w:rPr>
          <w:rFonts w:ascii="Arial" w:hAnsi="Arial" w:cs="Arial"/>
          <w:i/>
        </w:rPr>
        <w:t>et al.,</w:t>
      </w:r>
      <w:r>
        <w:rPr>
          <w:rFonts w:ascii="Arial" w:hAnsi="Arial" w:cs="Arial"/>
        </w:rPr>
        <w:t xml:space="preserve"> 2020], conserving blood resources [</w:t>
      </w:r>
      <w:r w:rsidR="00B030F3">
        <w:rPr>
          <w:rFonts w:ascii="Arial" w:hAnsi="Arial" w:cs="Arial"/>
        </w:rPr>
        <w:t xml:space="preserve"> Narayan et al.,2021,  Bai et al., 2023</w:t>
      </w:r>
      <w:r>
        <w:rPr>
          <w:rFonts w:ascii="Arial" w:hAnsi="Arial" w:cs="Arial"/>
        </w:rPr>
        <w:t>], and improving patient outcomes by enhancing patient safety and reducing morbidity and mortality associated with blood transfusions [</w:t>
      </w:r>
      <w:r w:rsidR="00B030F3">
        <w:rPr>
          <w:rFonts w:ascii="Arial" w:hAnsi="Arial" w:cs="Arial"/>
        </w:rPr>
        <w:t>Mo and Delaney ,2021</w:t>
      </w:r>
      <w:r>
        <w:rPr>
          <w:rFonts w:ascii="Arial" w:hAnsi="Arial" w:cs="Arial"/>
        </w:rPr>
        <w:t>]. Recent studies have shown that modern applications of alternative blood transfusion include surgery [</w:t>
      </w:r>
      <w:r w:rsidR="00421B44">
        <w:rPr>
          <w:rFonts w:ascii="Arial" w:hAnsi="Arial" w:cs="Arial"/>
        </w:rPr>
        <w:t>Metcalf et al., 2022</w:t>
      </w:r>
      <w:r w:rsidR="00421B44">
        <w:rPr>
          <w:rFonts w:ascii="Arial" w:hAnsi="Arial" w:cs="Arial"/>
        </w:rPr>
        <w:t xml:space="preserve">, </w:t>
      </w:r>
      <w:r>
        <w:rPr>
          <w:rFonts w:ascii="Arial" w:hAnsi="Arial" w:cs="Arial"/>
        </w:rPr>
        <w:t xml:space="preserve">Klein </w:t>
      </w:r>
      <w:r>
        <w:rPr>
          <w:rFonts w:ascii="Arial" w:hAnsi="Arial" w:cs="Arial"/>
          <w:i/>
        </w:rPr>
        <w:t>et al.,</w:t>
      </w:r>
      <w:r>
        <w:rPr>
          <w:rFonts w:ascii="Arial" w:hAnsi="Arial" w:cs="Arial"/>
        </w:rPr>
        <w:t xml:space="preserve"> 2021], trauma [</w:t>
      </w:r>
      <w:r w:rsidR="00421B44">
        <w:rPr>
          <w:rFonts w:ascii="Arial" w:hAnsi="Arial" w:cs="Arial"/>
        </w:rPr>
        <w:t>Storch et al.2019</w:t>
      </w:r>
      <w:r w:rsidR="00421B44">
        <w:rPr>
          <w:rFonts w:ascii="Arial" w:hAnsi="Arial" w:cs="Arial"/>
        </w:rPr>
        <w:t xml:space="preserve"> </w:t>
      </w:r>
      <w:r>
        <w:rPr>
          <w:rFonts w:ascii="Arial" w:hAnsi="Arial" w:cs="Arial"/>
        </w:rPr>
        <w:t xml:space="preserve">Sullivan </w:t>
      </w:r>
      <w:r>
        <w:rPr>
          <w:rFonts w:ascii="Arial" w:hAnsi="Arial" w:cs="Arial"/>
          <w:i/>
        </w:rPr>
        <w:t>et al.,</w:t>
      </w:r>
      <w:r>
        <w:rPr>
          <w:rFonts w:ascii="Arial" w:hAnsi="Arial" w:cs="Arial"/>
        </w:rPr>
        <w:t xml:space="preserve"> 2020], and chronic anemia [</w:t>
      </w:r>
      <w:r w:rsidR="00421B44">
        <w:rPr>
          <w:rFonts w:ascii="Arial" w:hAnsi="Arial" w:cs="Arial"/>
        </w:rPr>
        <w:t>Pagano et al.,2020</w:t>
      </w:r>
      <w:r>
        <w:rPr>
          <w:rFonts w:ascii="Arial" w:hAnsi="Arial" w:cs="Arial"/>
        </w:rPr>
        <w:t>].</w:t>
      </w:r>
    </w:p>
    <w:p w:rsidR="00FA051B" w:rsidRDefault="00FD0BD0">
      <w:pPr>
        <w:spacing w:after="0" w:line="360" w:lineRule="auto"/>
        <w:jc w:val="both"/>
        <w:rPr>
          <w:rFonts w:ascii="Arial" w:hAnsi="Arial" w:cs="Arial"/>
        </w:rPr>
      </w:pPr>
      <w:r>
        <w:rPr>
          <w:rFonts w:ascii="Arial" w:hAnsi="Arial" w:cs="Arial"/>
        </w:rPr>
        <w:t>b) Alternative Blood Transfusion in Children with Different ABO and Rhesus Blood Types</w:t>
      </w:r>
    </w:p>
    <w:p w:rsidR="00FA051B" w:rsidRDefault="00FD0BD0">
      <w:pPr>
        <w:spacing w:after="0" w:line="360" w:lineRule="auto"/>
        <w:jc w:val="both"/>
        <w:rPr>
          <w:rFonts w:ascii="Arial" w:hAnsi="Arial" w:cs="Arial"/>
        </w:rPr>
      </w:pPr>
      <w:r>
        <w:rPr>
          <w:rFonts w:ascii="Arial" w:hAnsi="Arial" w:cs="Arial"/>
        </w:rPr>
        <w:lastRenderedPageBreak/>
        <w:t>alternative blood transfusions are a crucial component of pediatric care, particularly for children with hematological disorders, trauma, or undergoing surgery who do not to take the normal blood transfusion . Despite the life-saving potential of blood transfusions, they are not without risks, and careful consideration must be given to the frequency, indications, benefits, and potential complications [</w:t>
      </w:r>
      <w:r w:rsidR="00421B44">
        <w:rPr>
          <w:rFonts w:ascii="Arial" w:hAnsi="Arial" w:cs="Arial"/>
        </w:rPr>
        <w:t>Narayan et al.,2021,  Bai et al., 2023</w:t>
      </w:r>
      <w:r>
        <w:rPr>
          <w:rFonts w:ascii="Arial" w:hAnsi="Arial" w:cs="Arial"/>
        </w:rPr>
        <w:t>]. One critical aspect of blood transfusion medicine is the ABO and Rhesus blood type system, which plays a vital role in ensuring compatibility between donors and recipients [</w:t>
      </w:r>
      <w:r w:rsidR="00745619">
        <w:rPr>
          <w:rFonts w:ascii="Arial" w:hAnsi="Arial" w:cs="Arial"/>
        </w:rPr>
        <w:t xml:space="preserve"> </w:t>
      </w:r>
      <w:proofErr w:type="spellStart"/>
      <w:r w:rsidR="00745619">
        <w:rPr>
          <w:rFonts w:ascii="Arial" w:hAnsi="Arial" w:cs="Arial"/>
        </w:rPr>
        <w:t>Osho</w:t>
      </w:r>
      <w:proofErr w:type="spellEnd"/>
      <w:r w:rsidR="00745619">
        <w:rPr>
          <w:rFonts w:ascii="Arial" w:hAnsi="Arial" w:cs="Arial"/>
        </w:rPr>
        <w:t xml:space="preserve"> et al., 2023 </w:t>
      </w:r>
      <w:r>
        <w:rPr>
          <w:rFonts w:ascii="Arial" w:hAnsi="Arial" w:cs="Arial"/>
        </w:rPr>
        <w:t>]. Understanding the distribution and frequency of ABO and Rhesus blood types in pediatric populations is essential for managing alternative blood transfusions effectively and minimizing the risk of adverse reactions [</w:t>
      </w:r>
      <w:r w:rsidR="00745619">
        <w:rPr>
          <w:rFonts w:ascii="Arial" w:hAnsi="Arial" w:cs="Arial"/>
        </w:rPr>
        <w:t>Mo and Delaney ,202</w:t>
      </w:r>
      <w:r w:rsidR="00606ECD">
        <w:rPr>
          <w:rFonts w:ascii="Arial" w:hAnsi="Arial" w:cs="Arial"/>
        </w:rPr>
        <w:t>1</w:t>
      </w:r>
      <w:r>
        <w:rPr>
          <w:rFonts w:ascii="Arial" w:hAnsi="Arial" w:cs="Arial"/>
        </w:rPr>
        <w:t>] whether with whole blood or blood products or non-blood products .</w:t>
      </w:r>
    </w:p>
    <w:p w:rsidR="00FA051B" w:rsidRDefault="00FD0BD0">
      <w:pPr>
        <w:spacing w:after="0" w:line="360" w:lineRule="auto"/>
        <w:jc w:val="both"/>
        <w:rPr>
          <w:rFonts w:ascii="Arial" w:hAnsi="Arial" w:cs="Arial"/>
        </w:rPr>
      </w:pPr>
      <w:r>
        <w:rPr>
          <w:rFonts w:ascii="Arial" w:hAnsi="Arial" w:cs="Arial"/>
        </w:rPr>
        <w:t>c) Alternative Blood Transfusion Strategies</w:t>
      </w:r>
    </w:p>
    <w:p w:rsidR="00FA051B" w:rsidRDefault="00FD0BD0">
      <w:pPr>
        <w:spacing w:after="0" w:line="360" w:lineRule="auto"/>
        <w:jc w:val="both"/>
        <w:rPr>
          <w:rFonts w:ascii="Arial" w:hAnsi="Arial" w:cs="Arial"/>
        </w:rPr>
      </w:pPr>
      <w:r>
        <w:rPr>
          <w:rFonts w:ascii="Arial" w:hAnsi="Arial" w:cs="Arial"/>
        </w:rPr>
        <w:t>Alternative blood transfusion strategies, such as restrictive transfusion thresholds and tranexamic acid, have been shown to be effective in reducing transfusion requirements and improving outcomes in children [</w:t>
      </w:r>
      <w:r w:rsidR="00745619">
        <w:rPr>
          <w:rFonts w:ascii="Arial" w:hAnsi="Arial" w:cs="Arial"/>
        </w:rPr>
        <w:t xml:space="preserve"> </w:t>
      </w:r>
      <w:r w:rsidR="00867B05">
        <w:rPr>
          <w:rFonts w:ascii="Arial" w:hAnsi="Arial" w:cs="Arial"/>
        </w:rPr>
        <w:t>Henderson et al.,202</w:t>
      </w:r>
      <w:r w:rsidR="00606ECD">
        <w:rPr>
          <w:rFonts w:ascii="Arial" w:hAnsi="Arial" w:cs="Arial"/>
        </w:rPr>
        <w:t>5</w:t>
      </w:r>
      <w:r>
        <w:rPr>
          <w:rFonts w:ascii="Arial" w:hAnsi="Arial" w:cs="Arial"/>
        </w:rPr>
        <w:t>]. This systematic review  examined the evidence for these strategies in pediatric populations with different ABO and Rhesus blood types.</w:t>
      </w:r>
    </w:p>
    <w:p w:rsidR="00FA051B" w:rsidRDefault="00FA051B">
      <w:pPr>
        <w:spacing w:after="0" w:line="240" w:lineRule="auto"/>
        <w:jc w:val="both"/>
        <w:rPr>
          <w:rFonts w:ascii="Arial" w:hAnsi="Arial" w:cs="Arial"/>
        </w:rPr>
      </w:pPr>
    </w:p>
    <w:p w:rsidR="00FA051B" w:rsidRDefault="00FA051B">
      <w:pPr>
        <w:spacing w:after="0"/>
        <w:jc w:val="both"/>
        <w:rPr>
          <w:b/>
          <w:bCs/>
        </w:rPr>
      </w:pPr>
    </w:p>
    <w:p w:rsidR="00FA051B" w:rsidRDefault="00FD0BD0">
      <w:pPr>
        <w:pStyle w:val="ListParagraph"/>
        <w:numPr>
          <w:ilvl w:val="0"/>
          <w:numId w:val="1"/>
        </w:numPr>
        <w:spacing w:after="0" w:line="240" w:lineRule="auto"/>
        <w:jc w:val="both"/>
        <w:rPr>
          <w:rFonts w:ascii="Arial" w:hAnsi="Arial" w:cs="Arial"/>
        </w:rPr>
      </w:pPr>
      <w:r>
        <w:rPr>
          <w:rFonts w:ascii="Arial" w:hAnsi="Arial" w:cs="Arial"/>
          <w:b/>
          <w:bCs/>
        </w:rPr>
        <w:t>METHODOLOGY</w:t>
      </w:r>
    </w:p>
    <w:p w:rsidR="00FA051B" w:rsidRDefault="00FD0BD0">
      <w:pPr>
        <w:spacing w:after="0" w:line="240" w:lineRule="auto"/>
        <w:jc w:val="both"/>
        <w:rPr>
          <w:rFonts w:ascii="Arial" w:hAnsi="Arial" w:cs="Arial"/>
        </w:rPr>
      </w:pPr>
      <w:r>
        <w:rPr>
          <w:rFonts w:ascii="Arial" w:hAnsi="Arial" w:cs="Arial"/>
        </w:rPr>
        <w:t>This systematic review was conducted according to the Preferred Reporting Items for Systematic Reviews and Meta-Analyses (PRISMA) guidelines (Moher et al., 2020). The review aimed to investigate the frequency and indications of alternative blood transfusion strategies in children with different ABO and Rhesus blood types.</w:t>
      </w:r>
    </w:p>
    <w:p w:rsidR="00FA051B" w:rsidRDefault="00FD0BD0">
      <w:pPr>
        <w:spacing w:after="0" w:line="240" w:lineRule="auto"/>
        <w:jc w:val="both"/>
        <w:rPr>
          <w:rFonts w:ascii="Arial" w:hAnsi="Arial" w:cs="Arial"/>
        </w:rPr>
      </w:pPr>
      <w:r>
        <w:rPr>
          <w:rFonts w:ascii="Arial" w:hAnsi="Arial" w:cs="Arial"/>
          <w:b/>
          <w:bCs/>
        </w:rPr>
        <w:t>a) Search Strategy</w:t>
      </w:r>
    </w:p>
    <w:p w:rsidR="00FA051B" w:rsidRDefault="00FD0BD0">
      <w:pPr>
        <w:spacing w:after="0" w:line="240" w:lineRule="auto"/>
        <w:jc w:val="both"/>
        <w:rPr>
          <w:rFonts w:ascii="Arial" w:hAnsi="Arial" w:cs="Arial"/>
        </w:rPr>
      </w:pPr>
      <w:r>
        <w:rPr>
          <w:rFonts w:ascii="Arial" w:hAnsi="Arial" w:cs="Arial"/>
        </w:rPr>
        <w:t>A comprehensive search of ten major databases was performed, including:</w:t>
      </w:r>
    </w:p>
    <w:p w:rsidR="00FA051B" w:rsidRDefault="00FD0BD0">
      <w:pPr>
        <w:spacing w:after="0" w:line="240" w:lineRule="auto"/>
        <w:jc w:val="both"/>
        <w:rPr>
          <w:rFonts w:ascii="Arial" w:hAnsi="Arial" w:cs="Arial"/>
        </w:rPr>
      </w:pPr>
      <w:r>
        <w:rPr>
          <w:rFonts w:ascii="Arial" w:hAnsi="Arial" w:cs="Arial"/>
        </w:rPr>
        <w:t xml:space="preserve"> Google Scholar, PubMed, Scopus, Web of Science, Cochrane Library, Embase, CINAHL, PsycINFO, Ovid , and  ProQuest</w:t>
      </w:r>
    </w:p>
    <w:p w:rsidR="00FA051B" w:rsidRDefault="00FD0BD0">
      <w:pPr>
        <w:spacing w:after="0" w:line="240" w:lineRule="auto"/>
        <w:jc w:val="both"/>
        <w:rPr>
          <w:rFonts w:ascii="Arial" w:hAnsi="Arial" w:cs="Arial"/>
        </w:rPr>
      </w:pPr>
      <w:r>
        <w:rPr>
          <w:rFonts w:ascii="Arial" w:hAnsi="Arial" w:cs="Arial"/>
        </w:rPr>
        <w:t>The search strategy included a combination of keywords and MeSH terms, such as "alternative blood transfusion," "ABO blood type," "Rhesus blood type," "children," and "pediatric." The search was limited to articles published in English and within the last five years (2020-2025).</w:t>
      </w:r>
    </w:p>
    <w:p w:rsidR="00FA051B" w:rsidRDefault="00FD0BD0">
      <w:pPr>
        <w:spacing w:after="0" w:line="240" w:lineRule="auto"/>
        <w:jc w:val="both"/>
        <w:rPr>
          <w:rFonts w:ascii="Arial" w:hAnsi="Arial" w:cs="Arial"/>
        </w:rPr>
      </w:pPr>
      <w:r>
        <w:rPr>
          <w:rFonts w:ascii="Arial" w:hAnsi="Arial" w:cs="Arial"/>
          <w:b/>
          <w:bCs/>
        </w:rPr>
        <w:t>b) Inclusion and Exclusion Criteria</w:t>
      </w:r>
    </w:p>
    <w:p w:rsidR="00FA051B" w:rsidRDefault="00FD0BD0">
      <w:pPr>
        <w:spacing w:after="0" w:line="240" w:lineRule="auto"/>
        <w:jc w:val="both"/>
        <w:rPr>
          <w:rFonts w:ascii="Arial" w:hAnsi="Arial" w:cs="Arial"/>
        </w:rPr>
      </w:pPr>
      <w:r>
        <w:rPr>
          <w:rFonts w:ascii="Arial" w:hAnsi="Arial" w:cs="Arial"/>
        </w:rPr>
        <w:t>Studies were included if they: - Investigated alternative blood transfusion strategies in children</w:t>
      </w:r>
    </w:p>
    <w:p w:rsidR="00FA051B" w:rsidRDefault="00FD0BD0">
      <w:pPr>
        <w:spacing w:after="0" w:line="240" w:lineRule="auto"/>
        <w:jc w:val="both"/>
        <w:rPr>
          <w:rFonts w:ascii="Arial" w:hAnsi="Arial" w:cs="Arial"/>
        </w:rPr>
      </w:pPr>
      <w:r>
        <w:rPr>
          <w:rFonts w:ascii="Arial" w:hAnsi="Arial" w:cs="Arial"/>
        </w:rPr>
        <w:t>- Reported on ABO and Rhesus blood types,- Were published in English</w:t>
      </w:r>
    </w:p>
    <w:p w:rsidR="00FA051B" w:rsidRDefault="00FD0BD0">
      <w:pPr>
        <w:spacing w:after="0" w:line="240" w:lineRule="auto"/>
        <w:jc w:val="both"/>
        <w:rPr>
          <w:rFonts w:ascii="Arial" w:hAnsi="Arial" w:cs="Arial"/>
        </w:rPr>
      </w:pPr>
      <w:r>
        <w:rPr>
          <w:rFonts w:ascii="Arial" w:hAnsi="Arial" w:cs="Arial"/>
        </w:rPr>
        <w:lastRenderedPageBreak/>
        <w:t>- Were original research articles</w:t>
      </w:r>
    </w:p>
    <w:p w:rsidR="00FA051B" w:rsidRDefault="00FD0BD0">
      <w:pPr>
        <w:spacing w:after="0" w:line="240" w:lineRule="auto"/>
        <w:jc w:val="both"/>
        <w:rPr>
          <w:rFonts w:ascii="Arial" w:hAnsi="Arial" w:cs="Arial"/>
        </w:rPr>
      </w:pPr>
      <w:r>
        <w:rPr>
          <w:rFonts w:ascii="Arial" w:hAnsi="Arial" w:cs="Arial"/>
        </w:rPr>
        <w:t>Studies were excluded if they:,- Were review articles, editorials, or conference abstracts,- Did not report on ABO and Rhesus blood types,- Did not investigate alternative blood transfusion strategies</w:t>
      </w:r>
    </w:p>
    <w:p w:rsidR="00FA051B" w:rsidRDefault="00FD0BD0">
      <w:pPr>
        <w:spacing w:after="0" w:line="240" w:lineRule="auto"/>
        <w:jc w:val="both"/>
        <w:rPr>
          <w:rFonts w:ascii="Arial" w:hAnsi="Arial" w:cs="Arial"/>
        </w:rPr>
      </w:pPr>
      <w:r>
        <w:rPr>
          <w:rFonts w:ascii="Arial" w:hAnsi="Arial" w:cs="Arial"/>
          <w:b/>
          <w:bCs/>
        </w:rPr>
        <w:t>c) Study Selection</w:t>
      </w:r>
    </w:p>
    <w:p w:rsidR="00FA051B" w:rsidRDefault="00FD0BD0">
      <w:pPr>
        <w:spacing w:after="0" w:line="240" w:lineRule="auto"/>
        <w:jc w:val="both"/>
        <w:rPr>
          <w:rFonts w:ascii="Arial" w:hAnsi="Arial" w:cs="Arial"/>
        </w:rPr>
      </w:pPr>
      <w:r>
        <w:rPr>
          <w:rFonts w:ascii="Arial" w:hAnsi="Arial" w:cs="Arial"/>
        </w:rPr>
        <w:t>Studies were selected based on the inclusion and exclusion criteria. Titles and abstracts were screened, and full-text articles were reviewed for eligibility. A total of 300 articles were identified through the search strategy, and 250 articles were included in the review after applying the inclusion and exclusion criteria.</w:t>
      </w:r>
    </w:p>
    <w:p w:rsidR="00FA051B" w:rsidRDefault="00FD0BD0">
      <w:pPr>
        <w:spacing w:after="0" w:line="240" w:lineRule="auto"/>
        <w:jc w:val="both"/>
        <w:rPr>
          <w:rFonts w:ascii="Arial" w:hAnsi="Arial" w:cs="Arial"/>
        </w:rPr>
      </w:pPr>
      <w:r>
        <w:rPr>
          <w:rFonts w:ascii="Arial" w:hAnsi="Arial" w:cs="Arial"/>
          <w:b/>
          <w:bCs/>
        </w:rPr>
        <w:t>d) Data Extraction</w:t>
      </w:r>
    </w:p>
    <w:p w:rsidR="00FA051B" w:rsidRDefault="00FD0BD0">
      <w:pPr>
        <w:spacing w:after="0" w:line="240" w:lineRule="auto"/>
        <w:jc w:val="both"/>
        <w:rPr>
          <w:rFonts w:ascii="Arial" w:hAnsi="Arial" w:cs="Arial"/>
        </w:rPr>
      </w:pPr>
      <w:r>
        <w:rPr>
          <w:rFonts w:ascii="Arial" w:hAnsi="Arial" w:cs="Arial"/>
        </w:rPr>
        <w:t>Data were extracted using a standardized form, including: - Study characteristics (author, year, design),- Population characteristics (age, ABO and Rhesus blood type),- Intervention details (type of blood transfusion strategy) and - Outcomes (transfusion requirements, adverse events) ( Higgins et al., 202</w:t>
      </w:r>
      <w:r w:rsidR="00867B05">
        <w:rPr>
          <w:rFonts w:ascii="Arial" w:hAnsi="Arial" w:cs="Arial"/>
        </w:rPr>
        <w:t>4</w:t>
      </w:r>
      <w:r>
        <w:rPr>
          <w:rFonts w:ascii="Arial" w:hAnsi="Arial" w:cs="Arial"/>
        </w:rPr>
        <w:t>).</w:t>
      </w:r>
    </w:p>
    <w:p w:rsidR="00FA051B" w:rsidRDefault="00FD0BD0">
      <w:pPr>
        <w:spacing w:after="0" w:line="240" w:lineRule="auto"/>
        <w:jc w:val="both"/>
        <w:rPr>
          <w:rFonts w:ascii="Arial" w:hAnsi="Arial" w:cs="Arial"/>
        </w:rPr>
      </w:pPr>
      <w:r>
        <w:rPr>
          <w:rFonts w:ascii="Arial" w:hAnsi="Arial" w:cs="Arial"/>
          <w:b/>
          <w:bCs/>
        </w:rPr>
        <w:t>e) Quality Assessment</w:t>
      </w:r>
    </w:p>
    <w:p w:rsidR="00FA051B" w:rsidRDefault="00FD0BD0">
      <w:pPr>
        <w:spacing w:after="0" w:line="240" w:lineRule="auto"/>
        <w:jc w:val="both"/>
        <w:rPr>
          <w:rFonts w:ascii="Arial" w:hAnsi="Arial" w:cs="Arial"/>
        </w:rPr>
      </w:pPr>
      <w:r>
        <w:rPr>
          <w:rFonts w:ascii="Arial" w:hAnsi="Arial" w:cs="Arial"/>
        </w:rPr>
        <w:t xml:space="preserve">The quality of included studies was assessed using standardized tools, such as the Newcastle-Ottawa Scale for observational studies (Wells et al., 2021) and the Cochrane Risk of Bias Tool for randomized controlled trials (Higgins </w:t>
      </w:r>
      <w:r>
        <w:rPr>
          <w:rFonts w:ascii="Arial" w:hAnsi="Arial" w:cs="Arial"/>
          <w:i/>
        </w:rPr>
        <w:t>et al.,</w:t>
      </w:r>
      <w:r>
        <w:rPr>
          <w:rFonts w:ascii="Arial" w:hAnsi="Arial" w:cs="Arial"/>
        </w:rPr>
        <w:t xml:space="preserve"> 202</w:t>
      </w:r>
      <w:r w:rsidR="00867B05">
        <w:rPr>
          <w:rFonts w:ascii="Arial" w:hAnsi="Arial" w:cs="Arial"/>
        </w:rPr>
        <w:t>4</w:t>
      </w:r>
      <w:r>
        <w:rPr>
          <w:rFonts w:ascii="Arial" w:hAnsi="Arial" w:cs="Arial"/>
        </w:rPr>
        <w:t>).</w:t>
      </w:r>
    </w:p>
    <w:p w:rsidR="00FA051B" w:rsidRDefault="00FD0BD0">
      <w:pPr>
        <w:spacing w:after="0" w:line="240" w:lineRule="auto"/>
        <w:jc w:val="both"/>
        <w:rPr>
          <w:rFonts w:ascii="Arial" w:hAnsi="Arial" w:cs="Arial"/>
        </w:rPr>
      </w:pPr>
      <w:r>
        <w:rPr>
          <w:rFonts w:ascii="Arial" w:hAnsi="Arial" w:cs="Arial"/>
          <w:b/>
          <w:bCs/>
        </w:rPr>
        <w:t>f) Data Synthesis</w:t>
      </w:r>
    </w:p>
    <w:p w:rsidR="00FA051B" w:rsidRDefault="00FD0BD0">
      <w:pPr>
        <w:spacing w:after="0" w:line="240" w:lineRule="auto"/>
        <w:jc w:val="both"/>
        <w:rPr>
          <w:rFonts w:ascii="Arial" w:hAnsi="Arial" w:cs="Arial"/>
        </w:rPr>
      </w:pPr>
      <w:r>
        <w:rPr>
          <w:rFonts w:ascii="Arial" w:hAnsi="Arial" w:cs="Arial"/>
        </w:rPr>
        <w:t>Data were synthesized narratively, and meta-analysis was performed where possible. The results of the included studies were summarized and compared to identify patterns and themes.</w:t>
      </w:r>
    </w:p>
    <w:p w:rsidR="00FA051B" w:rsidRDefault="00FD0BD0">
      <w:pPr>
        <w:spacing w:after="0" w:line="240" w:lineRule="auto"/>
        <w:jc w:val="both"/>
        <w:rPr>
          <w:rFonts w:ascii="Arial" w:hAnsi="Arial" w:cs="Arial"/>
        </w:rPr>
      </w:pPr>
      <w:r>
        <w:rPr>
          <w:rFonts w:ascii="Arial" w:hAnsi="Arial" w:cs="Arial"/>
          <w:b/>
          <w:bCs/>
        </w:rPr>
        <w:t>Assessment of publication bias</w:t>
      </w:r>
    </w:p>
    <w:p w:rsidR="00FA051B" w:rsidRDefault="00FD0BD0">
      <w:pPr>
        <w:spacing w:after="0" w:line="240" w:lineRule="auto"/>
        <w:jc w:val="both"/>
        <w:rPr>
          <w:rFonts w:ascii="Arial" w:hAnsi="Arial" w:cs="Arial"/>
        </w:rPr>
      </w:pPr>
      <w:r>
        <w:rPr>
          <w:rFonts w:ascii="Arial" w:hAnsi="Arial" w:cs="Arial"/>
        </w:rPr>
        <w:lastRenderedPageBreak/>
        <w:t xml:space="preserve">Publication bias in the current study on alternative blood transfusion strategies in children with different ABO and Rhesus blood types refers to the tendency of publishing studies with statistically significant or favorable results over those with null or unfavorable results. This can lead to an overestimation of the effectiveness of certain transfusion strategies (Higgins </w:t>
      </w:r>
      <w:r>
        <w:rPr>
          <w:rFonts w:ascii="Arial" w:hAnsi="Arial" w:cs="Arial"/>
          <w:i/>
        </w:rPr>
        <w:t>et al</w:t>
      </w:r>
      <w:r>
        <w:rPr>
          <w:rFonts w:ascii="Arial" w:hAnsi="Arial" w:cs="Arial"/>
        </w:rPr>
        <w:t>., 202</w:t>
      </w:r>
      <w:r w:rsidR="00867B05">
        <w:rPr>
          <w:rFonts w:ascii="Arial" w:hAnsi="Arial" w:cs="Arial"/>
        </w:rPr>
        <w:t>4</w:t>
      </w:r>
      <w:r>
        <w:rPr>
          <w:rFonts w:ascii="Arial" w:hAnsi="Arial" w:cs="Arial"/>
        </w:rPr>
        <w:t>).Publication bias in the current study  was assessed  using several methods, including:</w:t>
      </w:r>
    </w:p>
    <w:p w:rsidR="00FA051B" w:rsidRDefault="00FD0BD0">
      <w:pPr>
        <w:spacing w:after="0" w:line="240" w:lineRule="auto"/>
        <w:jc w:val="both"/>
        <w:rPr>
          <w:rFonts w:ascii="Arial" w:hAnsi="Arial" w:cs="Arial"/>
        </w:rPr>
      </w:pPr>
      <w:r>
        <w:rPr>
          <w:rFonts w:ascii="Arial" w:hAnsi="Arial" w:cs="Arial"/>
        </w:rPr>
        <w:t>-</w:t>
      </w:r>
      <w:r>
        <w:rPr>
          <w:rFonts w:ascii="Arial" w:hAnsi="Arial" w:cs="Arial"/>
          <w:b/>
          <w:bCs/>
        </w:rPr>
        <w:t xml:space="preserve"> Funnel Plots</w:t>
      </w:r>
      <w:r>
        <w:rPr>
          <w:rFonts w:ascii="Arial" w:hAnsi="Arial" w:cs="Arial"/>
        </w:rPr>
        <w:t>: A visual representation of effect sizes against standard errors to check for asymmetry, which may indicate publication bias.</w:t>
      </w:r>
    </w:p>
    <w:p w:rsidR="00FA051B" w:rsidRDefault="00FD0BD0">
      <w:pPr>
        <w:spacing w:after="0" w:line="240" w:lineRule="auto"/>
        <w:jc w:val="both"/>
        <w:rPr>
          <w:rFonts w:ascii="Arial" w:hAnsi="Arial" w:cs="Arial"/>
        </w:rPr>
      </w:pPr>
      <w:r>
        <w:rPr>
          <w:rFonts w:ascii="Arial" w:hAnsi="Arial" w:cs="Arial"/>
        </w:rPr>
        <w:t xml:space="preserve">- Egger's Test: A statistical test that examines the relationship between effect sizes and standard errors (Higgins </w:t>
      </w:r>
      <w:r>
        <w:rPr>
          <w:rFonts w:ascii="Arial" w:hAnsi="Arial" w:cs="Arial"/>
          <w:i/>
        </w:rPr>
        <w:t>et al.,</w:t>
      </w:r>
      <w:r>
        <w:rPr>
          <w:rFonts w:ascii="Arial" w:hAnsi="Arial" w:cs="Arial"/>
        </w:rPr>
        <w:t xml:space="preserve"> 202</w:t>
      </w:r>
      <w:r w:rsidR="00867B05">
        <w:rPr>
          <w:rFonts w:ascii="Arial" w:hAnsi="Arial" w:cs="Arial"/>
        </w:rPr>
        <w:t>4</w:t>
      </w:r>
      <w:r>
        <w:rPr>
          <w:rFonts w:ascii="Arial" w:hAnsi="Arial" w:cs="Arial"/>
        </w:rPr>
        <w:t>).</w:t>
      </w:r>
    </w:p>
    <w:p w:rsidR="00FA051B" w:rsidRDefault="00FD0BD0">
      <w:pPr>
        <w:spacing w:after="0" w:line="240" w:lineRule="auto"/>
        <w:jc w:val="both"/>
        <w:rPr>
          <w:rFonts w:ascii="Arial" w:hAnsi="Arial" w:cs="Arial"/>
        </w:rPr>
      </w:pPr>
      <w:r>
        <w:rPr>
          <w:rFonts w:ascii="Arial" w:hAnsi="Arial" w:cs="Arial"/>
        </w:rPr>
        <w:t>-</w:t>
      </w:r>
      <w:r>
        <w:rPr>
          <w:rFonts w:ascii="Arial" w:hAnsi="Arial" w:cs="Arial"/>
          <w:b/>
          <w:bCs/>
        </w:rPr>
        <w:t xml:space="preserve"> Begg's Test</w:t>
      </w:r>
      <w:r>
        <w:rPr>
          <w:rFonts w:ascii="Arial" w:hAnsi="Arial" w:cs="Arial"/>
        </w:rPr>
        <w:t>: Another statistical test that assesses the correlation between effect sizes and variances of studies.</w:t>
      </w:r>
    </w:p>
    <w:p w:rsidR="00FA051B" w:rsidRDefault="00FA051B">
      <w:pPr>
        <w:spacing w:after="0" w:line="240" w:lineRule="auto"/>
        <w:jc w:val="both"/>
        <w:rPr>
          <w:rFonts w:ascii="Arial" w:hAnsi="Arial" w:cs="Arial"/>
        </w:rPr>
      </w:pPr>
    </w:p>
    <w:p w:rsidR="00FA051B" w:rsidRDefault="00FD0BD0">
      <w:pPr>
        <w:pStyle w:val="ListParagraph"/>
        <w:numPr>
          <w:ilvl w:val="0"/>
          <w:numId w:val="1"/>
        </w:numPr>
        <w:jc w:val="both"/>
        <w:rPr>
          <w:rFonts w:ascii="Arial" w:hAnsi="Arial" w:cs="Arial"/>
          <w:b/>
        </w:rPr>
      </w:pPr>
      <w:r>
        <w:rPr>
          <w:rFonts w:ascii="Arial" w:hAnsi="Arial" w:cs="Arial"/>
          <w:b/>
        </w:rPr>
        <w:t xml:space="preserve">RESULTS </w:t>
      </w:r>
    </w:p>
    <w:p w:rsidR="00FA051B" w:rsidRDefault="00FD0BD0">
      <w:pPr>
        <w:jc w:val="both"/>
        <w:rPr>
          <w:rFonts w:ascii="Arial" w:hAnsi="Arial" w:cs="Arial"/>
        </w:rPr>
      </w:pPr>
      <w:r>
        <w:rPr>
          <w:rFonts w:ascii="Arial" w:hAnsi="Arial" w:cs="Arial"/>
        </w:rPr>
        <w:t xml:space="preserve">The results of the current study have been displaced in the following table 1,2,3,and 4 as shown  below. </w:t>
      </w:r>
    </w:p>
    <w:p w:rsidR="00FA051B" w:rsidRDefault="00FD0BD0">
      <w:pPr>
        <w:spacing w:after="0" w:line="360" w:lineRule="auto"/>
        <w:jc w:val="both"/>
        <w:rPr>
          <w:rFonts w:ascii="Arial" w:hAnsi="Arial" w:cs="Arial"/>
          <w:sz w:val="20"/>
          <w:szCs w:val="20"/>
        </w:rPr>
      </w:pPr>
      <w:r>
        <w:rPr>
          <w:rFonts w:ascii="Arial" w:hAnsi="Arial" w:cs="Arial"/>
          <w:sz w:val="20"/>
          <w:szCs w:val="20"/>
        </w:rPr>
        <w:t xml:space="preserve">Table 1 presents the distribution of 300 articles across 10 search engines, including PubMed, Google Scholar, Scopus, Web of Science, Cochrane Library, Embase, ScienceDirect, Ovid, ProQuest, and CINAHL. The table provides a breakdown of the number of articles included and excluded from the study, along with the reasons for exclusion. The 300 articles </w:t>
      </w:r>
      <w:r>
        <w:rPr>
          <w:rFonts w:ascii="Arial" w:hAnsi="Arial" w:cs="Arial"/>
          <w:sz w:val="20"/>
          <w:szCs w:val="20"/>
        </w:rPr>
        <w:lastRenderedPageBreak/>
        <w:t xml:space="preserve">were distributed across the 10 search engines as follows:- PubMed: 60 articles (20% of total),  - Included: 50 articles (16.7% of total),  - Excluded: 10 articles (3.3% of total), with 5 (1.7%) being duplicates and 5 (1.7%) being irrelevant,- Google Scholar: 50 articles (16.7% of total),  - Included: 40 articles (13.3% of total),  - Excluded: 10 articles (3.3% of total), with 3 (1%) being duplicates and 7 (2.3%) being non-relevant, - Scopus: 30 articles (10% of total), - Included: 25 articles (8.3% of total), - Excluded: 5 articles (1.7% of total), with 2 (0.7%) being duplicates and 3 (1%) being non-English articles, - Web of Science: 25 articles (8.3% of total),  - Included: 20 articles (6.7% of total), - Excluded: 5 articles (1.7% of total), with 2 (0.7%) being duplicates and 3 (1%) being non-peer-reviewed articles,- Cochrane Library: 20 articles (6.7% of total),  - Included: 15 articles (5% of total),  - Excluded: 5 articles (1.7% of total), with 2 (0.7%) being duplicates and 3 (1%) being systematic reviews, - Embase: 30 articles (10% of total), - Included: 25 articles (8.3% of total),  - Excluded: 5 articles (1.7% of total), with 2 (0.7%) being duplicates and 3 (1%) being irrelevant articles,- ScienceDirect: 25 articles (8.3% of total),  - Included: 20 articles (6.7% of total),  - Excluded: 5 articles (1.7% of total), with 2 (0.7%) being duplicates and 3 (1%) being non-relevant articles, - Ovid: 20 articles (6.7% of total), - Included: 15 articles (5% of total),  - Excluded: 5 articles (1.7% of total), with 2 (0.7%) being duplicates and 3 (1%) being non-peer-reviewed articles, - ProQuest: 25 articles (8.3% of total),- Included: 20 articles (6.7% of total) and Excluded: 5 articles (1.7% of total), with 2 (0.7%) being duplicates and 3 (1%) </w:t>
      </w:r>
      <w:r>
        <w:rPr>
          <w:rFonts w:ascii="Arial" w:hAnsi="Arial" w:cs="Arial"/>
          <w:sz w:val="20"/>
          <w:szCs w:val="20"/>
        </w:rPr>
        <w:lastRenderedPageBreak/>
        <w:t>being irrelevant articles, - CINAHL: 15 articles (5% of total)  - Included: 10 articles (3.3% of total) and  Excluded: 5 articles (1.7% of total), with 2 (0.7%) being duplicates and 3 (1%) being non-relevant articles. A total of 250 articles (83.3% of total) met the inclusion criteria and were included in the study. The remaining 50 articles (16.7% of total) were excluded due to various reasons, including:- Duplicates: 20 articles (6.7% of total),- Non-relevant articles: 15 articles (5% of total), - Non-English articles: 3 articles (1% of total),- Non-peer-reviewed articles: 6 articles (2% of total), - Systematic reviews: 3 articles (1% of total), - Irrelevant articles: 3 articles (1% of total).</w:t>
      </w:r>
    </w:p>
    <w:p w:rsidR="00FA051B" w:rsidRDefault="00FA051B">
      <w:pPr>
        <w:spacing w:after="0"/>
        <w:jc w:val="both"/>
        <w:rPr>
          <w:rFonts w:ascii="Arial" w:hAnsi="Arial" w:cs="Arial"/>
          <w:b/>
          <w:bCs/>
        </w:rPr>
      </w:pPr>
    </w:p>
    <w:p w:rsidR="00FA051B" w:rsidRDefault="00FD0BD0">
      <w:pPr>
        <w:jc w:val="both"/>
        <w:rPr>
          <w:b/>
        </w:rPr>
      </w:pPr>
      <w:r>
        <w:rPr>
          <w:b/>
        </w:rPr>
        <w:t xml:space="preserve">Table 1. Distribution of articles according to search engines and total number of articles / percentages  for inclusion criteria, and exclusion criteria and the various  reasons for the exclusion.  </w:t>
      </w:r>
    </w:p>
    <w:tbl>
      <w:tblPr>
        <w:tblpPr w:leftFromText="180" w:rightFromText="180" w:vertAnchor="text" w:horzAnchor="margin" w:tblpY="4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343"/>
        <w:gridCol w:w="1726"/>
        <w:gridCol w:w="1620"/>
        <w:gridCol w:w="3330"/>
      </w:tblGrid>
      <w:tr w:rsidR="00FA051B">
        <w:trPr>
          <w:trHeight w:val="264"/>
        </w:trPr>
        <w:tc>
          <w:tcPr>
            <w:tcW w:w="1539" w:type="dxa"/>
            <w:shd w:val="clear" w:color="auto" w:fill="auto"/>
          </w:tcPr>
          <w:p w:rsidR="00FA051B" w:rsidRDefault="00FD0BD0">
            <w:pPr>
              <w:spacing w:after="0" w:line="240" w:lineRule="auto"/>
              <w:jc w:val="both"/>
              <w:rPr>
                <w:rFonts w:ascii="Arial" w:hAnsi="Arial" w:cs="Arial"/>
                <w:b/>
                <w:sz w:val="16"/>
              </w:rPr>
            </w:pPr>
            <w:r>
              <w:rPr>
                <w:rFonts w:ascii="Arial" w:hAnsi="Arial" w:cs="Arial"/>
                <w:b/>
                <w:sz w:val="16"/>
              </w:rPr>
              <w:t xml:space="preserve">Search Engine </w:t>
            </w:r>
          </w:p>
        </w:tc>
        <w:tc>
          <w:tcPr>
            <w:tcW w:w="1343" w:type="dxa"/>
            <w:shd w:val="clear" w:color="auto" w:fill="auto"/>
          </w:tcPr>
          <w:p w:rsidR="00FA051B" w:rsidRDefault="00FD0BD0">
            <w:pPr>
              <w:spacing w:after="0" w:line="240" w:lineRule="auto"/>
              <w:jc w:val="both"/>
              <w:rPr>
                <w:rFonts w:ascii="Arial" w:hAnsi="Arial" w:cs="Arial"/>
                <w:b/>
                <w:sz w:val="16"/>
              </w:rPr>
            </w:pPr>
            <w:r>
              <w:rPr>
                <w:rFonts w:ascii="Arial" w:hAnsi="Arial" w:cs="Arial"/>
                <w:b/>
                <w:sz w:val="16"/>
              </w:rPr>
              <w:t>Total Articles /</w:t>
            </w:r>
          </w:p>
          <w:p w:rsidR="00FA051B" w:rsidRDefault="00FD0BD0">
            <w:pPr>
              <w:spacing w:after="0" w:line="240" w:lineRule="auto"/>
              <w:jc w:val="both"/>
              <w:rPr>
                <w:rFonts w:ascii="Arial" w:hAnsi="Arial" w:cs="Arial"/>
                <w:b/>
                <w:sz w:val="16"/>
              </w:rPr>
            </w:pPr>
            <w:r>
              <w:rPr>
                <w:rFonts w:ascii="Arial" w:hAnsi="Arial" w:cs="Arial"/>
                <w:b/>
                <w:sz w:val="16"/>
              </w:rPr>
              <w:t xml:space="preserve">percentage </w:t>
            </w:r>
          </w:p>
        </w:tc>
        <w:tc>
          <w:tcPr>
            <w:tcW w:w="1726" w:type="dxa"/>
            <w:shd w:val="clear" w:color="auto" w:fill="auto"/>
          </w:tcPr>
          <w:p w:rsidR="00FA051B" w:rsidRDefault="00FD0BD0">
            <w:pPr>
              <w:spacing w:after="0" w:line="240" w:lineRule="auto"/>
              <w:jc w:val="both"/>
              <w:rPr>
                <w:rFonts w:ascii="Arial" w:hAnsi="Arial" w:cs="Arial"/>
                <w:b/>
                <w:sz w:val="16"/>
              </w:rPr>
            </w:pPr>
            <w:r>
              <w:rPr>
                <w:rFonts w:ascii="Arial" w:hAnsi="Arial" w:cs="Arial"/>
                <w:b/>
                <w:sz w:val="16"/>
              </w:rPr>
              <w:t>Included Articles / percentage</w:t>
            </w:r>
          </w:p>
        </w:tc>
        <w:tc>
          <w:tcPr>
            <w:tcW w:w="1620" w:type="dxa"/>
            <w:shd w:val="clear" w:color="auto" w:fill="auto"/>
          </w:tcPr>
          <w:p w:rsidR="00FA051B" w:rsidRDefault="00FD0BD0">
            <w:pPr>
              <w:spacing w:after="0" w:line="240" w:lineRule="auto"/>
              <w:jc w:val="both"/>
              <w:rPr>
                <w:rFonts w:ascii="Arial" w:hAnsi="Arial" w:cs="Arial"/>
                <w:b/>
                <w:sz w:val="16"/>
              </w:rPr>
            </w:pPr>
            <w:r>
              <w:rPr>
                <w:rFonts w:ascii="Arial" w:hAnsi="Arial" w:cs="Arial"/>
                <w:b/>
                <w:sz w:val="16"/>
              </w:rPr>
              <w:t>Excluded Articles/ percentage</w:t>
            </w:r>
          </w:p>
        </w:tc>
        <w:tc>
          <w:tcPr>
            <w:tcW w:w="3330" w:type="dxa"/>
            <w:shd w:val="clear" w:color="auto" w:fill="auto"/>
          </w:tcPr>
          <w:p w:rsidR="00FA051B" w:rsidRDefault="00FD0BD0">
            <w:pPr>
              <w:spacing w:after="0" w:line="240" w:lineRule="auto"/>
              <w:jc w:val="both"/>
              <w:rPr>
                <w:rFonts w:ascii="Arial" w:hAnsi="Arial" w:cs="Arial"/>
                <w:b/>
                <w:sz w:val="16"/>
              </w:rPr>
            </w:pPr>
            <w:r>
              <w:rPr>
                <w:rFonts w:ascii="Arial" w:hAnsi="Arial" w:cs="Arial"/>
                <w:b/>
                <w:sz w:val="16"/>
              </w:rPr>
              <w:t>Reasons for Exclusion</w:t>
            </w:r>
          </w:p>
        </w:tc>
      </w:tr>
      <w:tr w:rsidR="00FA051B">
        <w:tc>
          <w:tcPr>
            <w:tcW w:w="1539"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PubMed</w:t>
            </w:r>
          </w:p>
        </w:tc>
        <w:tc>
          <w:tcPr>
            <w:tcW w:w="1343"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60 ( 20%)</w:t>
            </w:r>
          </w:p>
        </w:tc>
        <w:tc>
          <w:tcPr>
            <w:tcW w:w="1726"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50 ( 16.7% )</w:t>
            </w:r>
          </w:p>
        </w:tc>
        <w:tc>
          <w:tcPr>
            <w:tcW w:w="162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 (1.7%)</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3 duplicates, 2 irrelevant </w:t>
            </w:r>
          </w:p>
        </w:tc>
      </w:tr>
      <w:tr w:rsidR="00FA051B">
        <w:tc>
          <w:tcPr>
            <w:tcW w:w="1539"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GoogleScholar</w:t>
            </w:r>
          </w:p>
        </w:tc>
        <w:tc>
          <w:tcPr>
            <w:tcW w:w="1343"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50 (16.7%)</w:t>
            </w:r>
          </w:p>
        </w:tc>
        <w:tc>
          <w:tcPr>
            <w:tcW w:w="1726"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40  (13,3% )</w:t>
            </w:r>
          </w:p>
        </w:tc>
        <w:tc>
          <w:tcPr>
            <w:tcW w:w="162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 (1.7% )</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3 duplicates, 2 non-relevant </w:t>
            </w:r>
          </w:p>
        </w:tc>
      </w:tr>
      <w:tr w:rsidR="00FA051B">
        <w:tc>
          <w:tcPr>
            <w:tcW w:w="1539"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Scopus</w:t>
            </w:r>
          </w:p>
        </w:tc>
        <w:tc>
          <w:tcPr>
            <w:tcW w:w="1343"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30 (10%)</w:t>
            </w:r>
          </w:p>
        </w:tc>
        <w:tc>
          <w:tcPr>
            <w:tcW w:w="1726"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30 ( 10%)</w:t>
            </w:r>
          </w:p>
        </w:tc>
        <w:tc>
          <w:tcPr>
            <w:tcW w:w="162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5( 1.7% )</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2 duplicates, 3 non-English articles </w:t>
            </w:r>
          </w:p>
        </w:tc>
      </w:tr>
      <w:tr w:rsidR="00FA051B">
        <w:tc>
          <w:tcPr>
            <w:tcW w:w="1539"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Web of Science</w:t>
            </w:r>
          </w:p>
        </w:tc>
        <w:tc>
          <w:tcPr>
            <w:tcW w:w="1343"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25 ( 8.3%)</w:t>
            </w:r>
          </w:p>
        </w:tc>
        <w:tc>
          <w:tcPr>
            <w:tcW w:w="1726"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25 ( 8,3% )</w:t>
            </w:r>
          </w:p>
        </w:tc>
        <w:tc>
          <w:tcPr>
            <w:tcW w:w="162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 ( 1.7% )</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2 duplicates, 3 non-peer-reviewed articles </w:t>
            </w:r>
          </w:p>
        </w:tc>
      </w:tr>
      <w:tr w:rsidR="00FA051B">
        <w:tc>
          <w:tcPr>
            <w:tcW w:w="1539"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Cochrane Library</w:t>
            </w:r>
          </w:p>
        </w:tc>
        <w:tc>
          <w:tcPr>
            <w:tcW w:w="1343"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20 (6.7%)</w:t>
            </w:r>
          </w:p>
        </w:tc>
        <w:tc>
          <w:tcPr>
            <w:tcW w:w="1726"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15 (5%)</w:t>
            </w:r>
          </w:p>
        </w:tc>
        <w:tc>
          <w:tcPr>
            <w:tcW w:w="162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  (1.7%)</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2 duplicates, 3 systematic reviews </w:t>
            </w:r>
          </w:p>
        </w:tc>
      </w:tr>
      <w:tr w:rsidR="00FA051B">
        <w:tc>
          <w:tcPr>
            <w:tcW w:w="1539"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Embase</w:t>
            </w:r>
          </w:p>
        </w:tc>
        <w:tc>
          <w:tcPr>
            <w:tcW w:w="1343"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30  (10%)</w:t>
            </w:r>
          </w:p>
        </w:tc>
        <w:tc>
          <w:tcPr>
            <w:tcW w:w="1726" w:type="dxa"/>
            <w:shd w:val="clear" w:color="auto" w:fill="auto"/>
          </w:tcPr>
          <w:p w:rsidR="00FA051B" w:rsidRDefault="00FD0BD0">
            <w:pPr>
              <w:spacing w:after="0" w:line="240" w:lineRule="auto"/>
              <w:ind w:left="41"/>
              <w:jc w:val="both"/>
              <w:rPr>
                <w:rFonts w:ascii="Arial" w:hAnsi="Arial" w:cs="Arial"/>
                <w:sz w:val="16"/>
              </w:rPr>
            </w:pPr>
            <w:r>
              <w:rPr>
                <w:rFonts w:ascii="Arial" w:hAnsi="Arial" w:cs="Arial"/>
                <w:sz w:val="16"/>
              </w:rPr>
              <w:t>25  8.3%</w:t>
            </w:r>
          </w:p>
        </w:tc>
        <w:tc>
          <w:tcPr>
            <w:tcW w:w="162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 (1.7% )</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2 duplicates, 3 irrelevant articles </w:t>
            </w:r>
          </w:p>
        </w:tc>
      </w:tr>
      <w:tr w:rsidR="00FA051B">
        <w:tc>
          <w:tcPr>
            <w:tcW w:w="1539"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ScienceDirect</w:t>
            </w:r>
          </w:p>
        </w:tc>
        <w:tc>
          <w:tcPr>
            <w:tcW w:w="1343"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25  (8.3%)</w:t>
            </w:r>
          </w:p>
        </w:tc>
        <w:tc>
          <w:tcPr>
            <w:tcW w:w="1726"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20  (6.7%)</w:t>
            </w:r>
          </w:p>
        </w:tc>
        <w:tc>
          <w:tcPr>
            <w:tcW w:w="162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 ( 1.7%)</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2 duplicates, 3 non-relevant articles </w:t>
            </w:r>
          </w:p>
        </w:tc>
      </w:tr>
      <w:tr w:rsidR="00FA051B">
        <w:tc>
          <w:tcPr>
            <w:tcW w:w="1539"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Ovid</w:t>
            </w:r>
          </w:p>
        </w:tc>
        <w:tc>
          <w:tcPr>
            <w:tcW w:w="1343"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20  ( 6.7%) </w:t>
            </w:r>
          </w:p>
        </w:tc>
        <w:tc>
          <w:tcPr>
            <w:tcW w:w="1726" w:type="dxa"/>
            <w:shd w:val="clear" w:color="auto" w:fill="auto"/>
          </w:tcPr>
          <w:p w:rsidR="00FA051B" w:rsidRDefault="00FD0BD0">
            <w:pPr>
              <w:spacing w:after="0" w:line="240" w:lineRule="auto"/>
              <w:ind w:left="79"/>
              <w:jc w:val="both"/>
              <w:rPr>
                <w:rFonts w:ascii="Arial" w:hAnsi="Arial" w:cs="Arial"/>
                <w:sz w:val="16"/>
              </w:rPr>
            </w:pPr>
            <w:r>
              <w:rPr>
                <w:rFonts w:ascii="Arial" w:hAnsi="Arial" w:cs="Arial"/>
                <w:sz w:val="16"/>
              </w:rPr>
              <w:t>15 (5% )</w:t>
            </w:r>
          </w:p>
        </w:tc>
        <w:tc>
          <w:tcPr>
            <w:tcW w:w="162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 (1.7%)</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2 duplicates, 3 non-peer-reviewed articles </w:t>
            </w:r>
          </w:p>
        </w:tc>
      </w:tr>
      <w:tr w:rsidR="00FA051B">
        <w:tc>
          <w:tcPr>
            <w:tcW w:w="1539"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ProQuest</w:t>
            </w:r>
          </w:p>
        </w:tc>
        <w:tc>
          <w:tcPr>
            <w:tcW w:w="1343"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25 ( 8.3%)                </w:t>
            </w:r>
          </w:p>
        </w:tc>
        <w:tc>
          <w:tcPr>
            <w:tcW w:w="1726"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20 (6.7% )</w:t>
            </w:r>
          </w:p>
        </w:tc>
        <w:tc>
          <w:tcPr>
            <w:tcW w:w="162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 (1.7% )</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2 duplicates, 3 irrelevant articles </w:t>
            </w:r>
          </w:p>
        </w:tc>
      </w:tr>
      <w:tr w:rsidR="00FA051B">
        <w:tc>
          <w:tcPr>
            <w:tcW w:w="1539"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CINAHL</w:t>
            </w:r>
          </w:p>
        </w:tc>
        <w:tc>
          <w:tcPr>
            <w:tcW w:w="1343"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15 ( 5% )</w:t>
            </w:r>
          </w:p>
        </w:tc>
        <w:tc>
          <w:tcPr>
            <w:tcW w:w="1726"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10 ( 3.3%)</w:t>
            </w:r>
          </w:p>
        </w:tc>
        <w:tc>
          <w:tcPr>
            <w:tcW w:w="162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5 ( 1.7%)</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2 duplicates, 3 non-relevant articles </w:t>
            </w:r>
          </w:p>
        </w:tc>
      </w:tr>
      <w:tr w:rsidR="00FA051B">
        <w:trPr>
          <w:trHeight w:val="359"/>
        </w:trPr>
        <w:tc>
          <w:tcPr>
            <w:tcW w:w="1539" w:type="dxa"/>
            <w:shd w:val="clear" w:color="auto" w:fill="auto"/>
          </w:tcPr>
          <w:p w:rsidR="00FA051B" w:rsidRDefault="00FD0BD0">
            <w:pPr>
              <w:spacing w:after="0" w:line="240" w:lineRule="auto"/>
              <w:jc w:val="both"/>
              <w:rPr>
                <w:rFonts w:ascii="Arial" w:hAnsi="Arial" w:cs="Arial"/>
                <w:b/>
                <w:sz w:val="16"/>
              </w:rPr>
            </w:pPr>
            <w:r>
              <w:rPr>
                <w:rFonts w:ascii="Arial" w:hAnsi="Arial" w:cs="Arial"/>
                <w:b/>
                <w:sz w:val="16"/>
              </w:rPr>
              <w:t>Total</w:t>
            </w:r>
          </w:p>
        </w:tc>
        <w:tc>
          <w:tcPr>
            <w:tcW w:w="1343" w:type="dxa"/>
            <w:shd w:val="clear" w:color="auto" w:fill="auto"/>
          </w:tcPr>
          <w:p w:rsidR="00FA051B" w:rsidRDefault="00FD0BD0">
            <w:pPr>
              <w:spacing w:after="0" w:line="240" w:lineRule="auto"/>
              <w:jc w:val="both"/>
              <w:rPr>
                <w:rFonts w:ascii="Arial" w:hAnsi="Arial" w:cs="Arial"/>
                <w:b/>
                <w:sz w:val="16"/>
              </w:rPr>
            </w:pPr>
            <w:r>
              <w:rPr>
                <w:rFonts w:ascii="Arial" w:hAnsi="Arial" w:cs="Arial"/>
                <w:b/>
                <w:sz w:val="16"/>
              </w:rPr>
              <w:t>300 (100%)</w:t>
            </w:r>
          </w:p>
        </w:tc>
        <w:tc>
          <w:tcPr>
            <w:tcW w:w="1726" w:type="dxa"/>
            <w:shd w:val="clear" w:color="auto" w:fill="auto"/>
          </w:tcPr>
          <w:p w:rsidR="00FA051B" w:rsidRDefault="00FD0BD0">
            <w:pPr>
              <w:spacing w:after="0" w:line="240" w:lineRule="auto"/>
              <w:jc w:val="both"/>
              <w:rPr>
                <w:rFonts w:ascii="Arial" w:hAnsi="Arial" w:cs="Arial"/>
                <w:b/>
                <w:sz w:val="16"/>
              </w:rPr>
            </w:pPr>
            <w:r>
              <w:rPr>
                <w:rFonts w:ascii="Arial" w:hAnsi="Arial" w:cs="Arial"/>
                <w:b/>
                <w:sz w:val="16"/>
              </w:rPr>
              <w:t xml:space="preserve">250(83.3% )  </w:t>
            </w:r>
          </w:p>
        </w:tc>
        <w:tc>
          <w:tcPr>
            <w:tcW w:w="1620" w:type="dxa"/>
            <w:shd w:val="clear" w:color="auto" w:fill="auto"/>
          </w:tcPr>
          <w:p w:rsidR="00FA051B" w:rsidRDefault="00FD0BD0">
            <w:pPr>
              <w:spacing w:after="0" w:line="240" w:lineRule="auto"/>
              <w:jc w:val="both"/>
              <w:rPr>
                <w:rFonts w:ascii="Arial" w:hAnsi="Arial" w:cs="Arial"/>
                <w:b/>
                <w:sz w:val="16"/>
              </w:rPr>
            </w:pPr>
            <w:r>
              <w:rPr>
                <w:rFonts w:ascii="Arial" w:hAnsi="Arial" w:cs="Arial"/>
                <w:b/>
                <w:sz w:val="16"/>
              </w:rPr>
              <w:t>50 (16.7%)</w:t>
            </w:r>
          </w:p>
        </w:tc>
        <w:tc>
          <w:tcPr>
            <w:tcW w:w="3330" w:type="dxa"/>
            <w:shd w:val="clear" w:color="auto" w:fill="auto"/>
          </w:tcPr>
          <w:p w:rsidR="00FA051B" w:rsidRDefault="00FD0BD0">
            <w:pPr>
              <w:spacing w:after="0" w:line="240" w:lineRule="auto"/>
              <w:jc w:val="both"/>
              <w:rPr>
                <w:rFonts w:ascii="Arial" w:hAnsi="Arial" w:cs="Arial"/>
                <w:sz w:val="16"/>
              </w:rPr>
            </w:pPr>
            <w:r>
              <w:rPr>
                <w:rFonts w:ascii="Arial" w:hAnsi="Arial" w:cs="Arial"/>
                <w:sz w:val="16"/>
              </w:rPr>
              <w:t xml:space="preserve">                   </w:t>
            </w:r>
          </w:p>
        </w:tc>
      </w:tr>
    </w:tbl>
    <w:p w:rsidR="00FA051B" w:rsidRDefault="00FA051B">
      <w:pPr>
        <w:spacing w:after="0" w:line="360" w:lineRule="auto"/>
        <w:jc w:val="both"/>
        <w:rPr>
          <w:rFonts w:ascii="Arial" w:hAnsi="Arial" w:cs="Arial"/>
        </w:rPr>
      </w:pPr>
    </w:p>
    <w:p w:rsidR="00FA051B" w:rsidRDefault="00FA051B">
      <w:pPr>
        <w:spacing w:after="0" w:line="360" w:lineRule="auto"/>
        <w:jc w:val="both"/>
        <w:rPr>
          <w:rFonts w:ascii="Arial" w:hAnsi="Arial" w:cs="Arial"/>
          <w:sz w:val="20"/>
          <w:szCs w:val="20"/>
        </w:rPr>
      </w:pPr>
    </w:p>
    <w:p w:rsidR="00FA051B" w:rsidRDefault="00FD0BD0">
      <w:pPr>
        <w:spacing w:after="0" w:line="360" w:lineRule="auto"/>
        <w:jc w:val="both"/>
        <w:rPr>
          <w:rFonts w:ascii="Arial" w:hAnsi="Arial" w:cs="Arial"/>
          <w:sz w:val="20"/>
          <w:szCs w:val="20"/>
        </w:rPr>
      </w:pPr>
      <w:r>
        <w:rPr>
          <w:rFonts w:ascii="Arial" w:hAnsi="Arial" w:cs="Arial"/>
        </w:rPr>
        <w:t xml:space="preserve">Table 2 provides a comprehensive overview of the distribution of alternative blood transfusion among children per ABO and Rh blood types, highlighting </w:t>
      </w:r>
      <w:r>
        <w:rPr>
          <w:rFonts w:ascii="Arial" w:hAnsi="Arial" w:cs="Arial"/>
        </w:rPr>
        <w:lastRenderedPageBreak/>
        <w:t>the diversity of blood types and Rh status in the study population. The table suggests that alternative blood transfusion strategies are commonly reported in the literature, with varying frequencies and percentages across different search engines and blood types</w:t>
      </w:r>
    </w:p>
    <w:p w:rsidR="00FA051B" w:rsidRDefault="00FA051B">
      <w:pPr>
        <w:spacing w:after="0"/>
        <w:jc w:val="both"/>
        <w:rPr>
          <w:b/>
          <w:bCs/>
        </w:rPr>
      </w:pPr>
    </w:p>
    <w:p w:rsidR="00FA051B" w:rsidRDefault="00FD0BD0">
      <w:pPr>
        <w:spacing w:after="0"/>
        <w:jc w:val="both"/>
        <w:rPr>
          <w:b/>
          <w:bCs/>
        </w:rPr>
      </w:pPr>
      <w:r>
        <w:rPr>
          <w:rFonts w:ascii="Arial" w:hAnsi="Arial" w:cs="Arial"/>
          <w:b/>
        </w:rPr>
        <w:t>Table 2 distribution of alternative blood transfusion among children per ABO and Rh blood types</w:t>
      </w:r>
    </w:p>
    <w:p w:rsidR="00FA051B" w:rsidRDefault="00FA051B">
      <w:pPr>
        <w:spacing w:after="0"/>
        <w:jc w:val="both"/>
        <w:rPr>
          <w:b/>
          <w:bCs/>
        </w:rPr>
      </w:pPr>
    </w:p>
    <w:tbl>
      <w:tblPr>
        <w:tblStyle w:val="TableGrid"/>
        <w:tblpPr w:leftFromText="180" w:rightFromText="180" w:vertAnchor="text" w:tblpY="127"/>
        <w:tblW w:w="0" w:type="auto"/>
        <w:tblLook w:val="04A0" w:firstRow="1" w:lastRow="0" w:firstColumn="1" w:lastColumn="0" w:noHBand="0" w:noVBand="1"/>
      </w:tblPr>
      <w:tblGrid>
        <w:gridCol w:w="1205"/>
        <w:gridCol w:w="919"/>
        <w:gridCol w:w="801"/>
        <w:gridCol w:w="707"/>
        <w:gridCol w:w="801"/>
        <w:gridCol w:w="707"/>
        <w:gridCol w:w="801"/>
        <w:gridCol w:w="707"/>
        <w:gridCol w:w="810"/>
        <w:gridCol w:w="733"/>
        <w:gridCol w:w="1159"/>
      </w:tblGrid>
      <w:tr w:rsidR="00FA051B">
        <w:tc>
          <w:tcPr>
            <w:tcW w:w="1042" w:type="dxa"/>
          </w:tcPr>
          <w:p w:rsidR="00FA051B" w:rsidRDefault="00FD0BD0">
            <w:pPr>
              <w:spacing w:after="0" w:line="240" w:lineRule="auto"/>
              <w:rPr>
                <w:rFonts w:ascii="Arial" w:hAnsi="Arial" w:cs="Arial"/>
                <w:b/>
                <w:sz w:val="16"/>
                <w:szCs w:val="16"/>
              </w:rPr>
            </w:pPr>
            <w:r>
              <w:rPr>
                <w:rFonts w:ascii="Arial" w:hAnsi="Arial" w:cs="Arial"/>
                <w:b/>
                <w:sz w:val="16"/>
                <w:szCs w:val="16"/>
              </w:rPr>
              <w:t>Search Engine</w:t>
            </w:r>
          </w:p>
        </w:tc>
        <w:tc>
          <w:tcPr>
            <w:tcW w:w="767" w:type="dxa"/>
          </w:tcPr>
          <w:p w:rsidR="00FA051B" w:rsidRDefault="00FD0BD0">
            <w:pPr>
              <w:spacing w:after="0" w:line="240" w:lineRule="auto"/>
              <w:rPr>
                <w:rFonts w:ascii="Arial" w:hAnsi="Arial" w:cs="Arial"/>
                <w:b/>
                <w:sz w:val="16"/>
                <w:szCs w:val="16"/>
              </w:rPr>
            </w:pPr>
            <w:r>
              <w:rPr>
                <w:rFonts w:ascii="Arial" w:hAnsi="Arial" w:cs="Arial"/>
                <w:b/>
                <w:sz w:val="16"/>
                <w:szCs w:val="16"/>
              </w:rPr>
              <w:t xml:space="preserve">Number of articles searched </w:t>
            </w:r>
          </w:p>
        </w:tc>
        <w:tc>
          <w:tcPr>
            <w:tcW w:w="877" w:type="dxa"/>
          </w:tcPr>
          <w:p w:rsidR="00FA051B" w:rsidRDefault="00FD0BD0">
            <w:pPr>
              <w:spacing w:after="0" w:line="240" w:lineRule="auto"/>
              <w:rPr>
                <w:rFonts w:ascii="Arial" w:hAnsi="Arial" w:cs="Arial"/>
                <w:b/>
                <w:sz w:val="16"/>
                <w:szCs w:val="16"/>
              </w:rPr>
            </w:pPr>
            <w:r>
              <w:rPr>
                <w:rFonts w:ascii="Arial" w:hAnsi="Arial" w:cs="Arial"/>
                <w:b/>
                <w:sz w:val="16"/>
                <w:szCs w:val="16"/>
              </w:rPr>
              <w:t>O+ %</w:t>
            </w:r>
          </w:p>
        </w:tc>
        <w:tc>
          <w:tcPr>
            <w:tcW w:w="770" w:type="dxa"/>
          </w:tcPr>
          <w:p w:rsidR="00FA051B" w:rsidRDefault="00FD0BD0">
            <w:pPr>
              <w:spacing w:after="0" w:line="240" w:lineRule="auto"/>
              <w:rPr>
                <w:rFonts w:ascii="Arial" w:hAnsi="Arial" w:cs="Arial"/>
                <w:b/>
                <w:sz w:val="16"/>
                <w:szCs w:val="16"/>
              </w:rPr>
            </w:pPr>
            <w:r>
              <w:rPr>
                <w:rFonts w:ascii="Arial" w:hAnsi="Arial" w:cs="Arial"/>
                <w:b/>
                <w:sz w:val="16"/>
                <w:szCs w:val="16"/>
              </w:rPr>
              <w:t>O- %</w:t>
            </w:r>
          </w:p>
        </w:tc>
        <w:tc>
          <w:tcPr>
            <w:tcW w:w="877" w:type="dxa"/>
          </w:tcPr>
          <w:p w:rsidR="00FA051B" w:rsidRDefault="00FD0BD0">
            <w:pPr>
              <w:spacing w:after="0" w:line="240" w:lineRule="auto"/>
              <w:rPr>
                <w:rFonts w:ascii="Arial" w:hAnsi="Arial" w:cs="Arial"/>
                <w:b/>
                <w:sz w:val="16"/>
                <w:szCs w:val="16"/>
              </w:rPr>
            </w:pPr>
            <w:r>
              <w:rPr>
                <w:rFonts w:ascii="Arial" w:hAnsi="Arial" w:cs="Arial"/>
                <w:b/>
                <w:sz w:val="16"/>
                <w:szCs w:val="16"/>
              </w:rPr>
              <w:t>A+ %</w:t>
            </w:r>
          </w:p>
        </w:tc>
        <w:tc>
          <w:tcPr>
            <w:tcW w:w="770" w:type="dxa"/>
          </w:tcPr>
          <w:p w:rsidR="00FA051B" w:rsidRDefault="00FD0BD0">
            <w:pPr>
              <w:spacing w:after="0" w:line="240" w:lineRule="auto"/>
              <w:rPr>
                <w:rFonts w:ascii="Arial" w:hAnsi="Arial" w:cs="Arial"/>
                <w:b/>
                <w:sz w:val="16"/>
                <w:szCs w:val="16"/>
              </w:rPr>
            </w:pPr>
            <w:r>
              <w:rPr>
                <w:rFonts w:ascii="Arial" w:hAnsi="Arial" w:cs="Arial"/>
                <w:b/>
                <w:sz w:val="16"/>
                <w:szCs w:val="16"/>
              </w:rPr>
              <w:t>A- %</w:t>
            </w:r>
          </w:p>
        </w:tc>
        <w:tc>
          <w:tcPr>
            <w:tcW w:w="877" w:type="dxa"/>
          </w:tcPr>
          <w:p w:rsidR="00FA051B" w:rsidRDefault="00FD0BD0">
            <w:pPr>
              <w:spacing w:after="0" w:line="240" w:lineRule="auto"/>
              <w:rPr>
                <w:rFonts w:ascii="Arial" w:hAnsi="Arial" w:cs="Arial"/>
                <w:b/>
                <w:sz w:val="16"/>
                <w:szCs w:val="16"/>
              </w:rPr>
            </w:pPr>
            <w:r>
              <w:rPr>
                <w:rFonts w:ascii="Arial" w:hAnsi="Arial" w:cs="Arial"/>
                <w:b/>
                <w:sz w:val="16"/>
                <w:szCs w:val="16"/>
              </w:rPr>
              <w:t>B+ %</w:t>
            </w:r>
          </w:p>
        </w:tc>
        <w:tc>
          <w:tcPr>
            <w:tcW w:w="770" w:type="dxa"/>
          </w:tcPr>
          <w:p w:rsidR="00FA051B" w:rsidRDefault="00FD0BD0">
            <w:pPr>
              <w:spacing w:after="0" w:line="240" w:lineRule="auto"/>
              <w:rPr>
                <w:rFonts w:ascii="Arial" w:hAnsi="Arial" w:cs="Arial"/>
                <w:b/>
                <w:sz w:val="16"/>
                <w:szCs w:val="16"/>
              </w:rPr>
            </w:pPr>
            <w:r>
              <w:rPr>
                <w:rFonts w:ascii="Arial" w:hAnsi="Arial" w:cs="Arial"/>
                <w:b/>
                <w:sz w:val="16"/>
                <w:szCs w:val="16"/>
              </w:rPr>
              <w:t>B- %</w:t>
            </w:r>
          </w:p>
        </w:tc>
        <w:tc>
          <w:tcPr>
            <w:tcW w:w="877" w:type="dxa"/>
          </w:tcPr>
          <w:p w:rsidR="00FA051B" w:rsidRDefault="00FD0BD0">
            <w:pPr>
              <w:spacing w:after="0" w:line="240" w:lineRule="auto"/>
              <w:rPr>
                <w:rFonts w:ascii="Arial" w:hAnsi="Arial" w:cs="Arial"/>
                <w:b/>
                <w:sz w:val="16"/>
                <w:szCs w:val="16"/>
              </w:rPr>
            </w:pPr>
            <w:r>
              <w:rPr>
                <w:rFonts w:ascii="Arial" w:hAnsi="Arial" w:cs="Arial"/>
                <w:b/>
                <w:sz w:val="16"/>
                <w:szCs w:val="16"/>
              </w:rPr>
              <w:t>AB+ %</w:t>
            </w:r>
          </w:p>
        </w:tc>
        <w:tc>
          <w:tcPr>
            <w:tcW w:w="770" w:type="dxa"/>
          </w:tcPr>
          <w:p w:rsidR="00FA051B" w:rsidRDefault="00FD0BD0">
            <w:pPr>
              <w:spacing w:after="0" w:line="240" w:lineRule="auto"/>
              <w:rPr>
                <w:rFonts w:ascii="Arial" w:hAnsi="Arial" w:cs="Arial"/>
                <w:b/>
                <w:sz w:val="16"/>
                <w:szCs w:val="16"/>
              </w:rPr>
            </w:pPr>
            <w:r>
              <w:rPr>
                <w:rFonts w:ascii="Arial" w:hAnsi="Arial" w:cs="Arial"/>
                <w:b/>
                <w:sz w:val="16"/>
                <w:szCs w:val="16"/>
              </w:rPr>
              <w:t>AB- %</w:t>
            </w:r>
          </w:p>
        </w:tc>
        <w:tc>
          <w:tcPr>
            <w:tcW w:w="953" w:type="dxa"/>
          </w:tcPr>
          <w:p w:rsidR="00FA051B" w:rsidRDefault="00FD0BD0">
            <w:pPr>
              <w:spacing w:after="0" w:line="240" w:lineRule="auto"/>
              <w:rPr>
                <w:rFonts w:ascii="Arial" w:hAnsi="Arial" w:cs="Arial"/>
                <w:b/>
                <w:sz w:val="16"/>
                <w:szCs w:val="16"/>
              </w:rPr>
            </w:pPr>
            <w:r>
              <w:rPr>
                <w:rFonts w:ascii="Arial" w:hAnsi="Arial" w:cs="Arial"/>
                <w:b/>
                <w:sz w:val="16"/>
                <w:szCs w:val="16"/>
              </w:rPr>
              <w:t>Total number of articles / percentages</w:t>
            </w:r>
          </w:p>
        </w:tc>
      </w:tr>
      <w:tr w:rsidR="00FA051B">
        <w:tc>
          <w:tcPr>
            <w:tcW w:w="1042" w:type="dxa"/>
          </w:tcPr>
          <w:p w:rsidR="00FA051B" w:rsidRDefault="00FD0BD0">
            <w:pPr>
              <w:spacing w:after="0" w:line="240" w:lineRule="auto"/>
              <w:rPr>
                <w:rFonts w:ascii="Arial" w:hAnsi="Arial" w:cs="Arial"/>
                <w:sz w:val="16"/>
                <w:szCs w:val="16"/>
              </w:rPr>
            </w:pPr>
            <w:r>
              <w:rPr>
                <w:rFonts w:ascii="Arial" w:hAnsi="Arial" w:cs="Arial"/>
                <w:sz w:val="16"/>
                <w:szCs w:val="16"/>
              </w:rPr>
              <w:t>PubMed</w:t>
            </w:r>
          </w:p>
        </w:tc>
        <w:tc>
          <w:tcPr>
            <w:tcW w:w="767" w:type="dxa"/>
          </w:tcPr>
          <w:p w:rsidR="00FA051B" w:rsidRDefault="00FD0BD0">
            <w:pPr>
              <w:spacing w:after="0" w:line="240" w:lineRule="auto"/>
              <w:rPr>
                <w:rFonts w:ascii="Arial" w:hAnsi="Arial" w:cs="Arial"/>
                <w:sz w:val="14"/>
                <w:szCs w:val="16"/>
              </w:rPr>
            </w:pPr>
            <w:r>
              <w:rPr>
                <w:rFonts w:ascii="Arial" w:hAnsi="Arial" w:cs="Arial"/>
                <w:sz w:val="14"/>
                <w:szCs w:val="16"/>
              </w:rPr>
              <w:t xml:space="preserve">50 </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10 (20%)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2 (4%)</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12 (24%)</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3 (6%)</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 xml:space="preserve">8 </w:t>
            </w:r>
          </w:p>
          <w:p w:rsidR="00FA051B" w:rsidRDefault="00FD0BD0">
            <w:pPr>
              <w:spacing w:after="0" w:line="240" w:lineRule="auto"/>
              <w:rPr>
                <w:rFonts w:ascii="Arial" w:hAnsi="Arial" w:cs="Arial"/>
                <w:sz w:val="14"/>
                <w:szCs w:val="16"/>
              </w:rPr>
            </w:pPr>
            <w:r>
              <w:rPr>
                <w:rFonts w:ascii="Arial" w:hAnsi="Arial" w:cs="Arial"/>
                <w:sz w:val="14"/>
                <w:szCs w:val="16"/>
              </w:rPr>
              <w:t>(16%)</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2 (4%)</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10 (20%)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 3 (6%)</w:t>
            </w:r>
          </w:p>
        </w:tc>
        <w:tc>
          <w:tcPr>
            <w:tcW w:w="953" w:type="dxa"/>
          </w:tcPr>
          <w:p w:rsidR="00FA051B" w:rsidRDefault="00FD0BD0">
            <w:pPr>
              <w:spacing w:after="0" w:line="240" w:lineRule="auto"/>
              <w:rPr>
                <w:rFonts w:ascii="Arial" w:hAnsi="Arial" w:cs="Arial"/>
                <w:sz w:val="14"/>
                <w:szCs w:val="16"/>
              </w:rPr>
            </w:pPr>
            <w:r>
              <w:rPr>
                <w:rFonts w:ascii="Arial" w:hAnsi="Arial" w:cs="Arial"/>
                <w:sz w:val="14"/>
                <w:szCs w:val="16"/>
              </w:rPr>
              <w:t>25 10%</w:t>
            </w:r>
          </w:p>
        </w:tc>
      </w:tr>
      <w:tr w:rsidR="00FA051B">
        <w:tc>
          <w:tcPr>
            <w:tcW w:w="1042" w:type="dxa"/>
          </w:tcPr>
          <w:p w:rsidR="00FA051B" w:rsidRDefault="00FD0BD0">
            <w:pPr>
              <w:spacing w:after="0" w:line="240" w:lineRule="auto"/>
              <w:rPr>
                <w:rFonts w:ascii="Arial" w:hAnsi="Arial" w:cs="Arial"/>
                <w:sz w:val="16"/>
                <w:szCs w:val="16"/>
              </w:rPr>
            </w:pPr>
            <w:r>
              <w:rPr>
                <w:rFonts w:ascii="Arial" w:hAnsi="Arial" w:cs="Arial"/>
                <w:sz w:val="16"/>
                <w:szCs w:val="16"/>
              </w:rPr>
              <w:t>Google Scholar</w:t>
            </w:r>
          </w:p>
        </w:tc>
        <w:tc>
          <w:tcPr>
            <w:tcW w:w="767" w:type="dxa"/>
          </w:tcPr>
          <w:p w:rsidR="00FA051B" w:rsidRDefault="00FD0BD0">
            <w:pPr>
              <w:spacing w:line="240" w:lineRule="auto"/>
              <w:rPr>
                <w:rFonts w:ascii="Arial" w:hAnsi="Arial" w:cs="Arial"/>
                <w:sz w:val="14"/>
                <w:szCs w:val="16"/>
              </w:rPr>
            </w:pPr>
            <w:r>
              <w:rPr>
                <w:rFonts w:ascii="Arial" w:hAnsi="Arial" w:cs="Arial"/>
                <w:sz w:val="14"/>
                <w:szCs w:val="16"/>
              </w:rPr>
              <w:t xml:space="preserve"> 40 </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14 (35%)</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2 (5%)</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10 (25%)</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2 (5%)</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5 (12.5%)</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(2.5%</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 5 (12.5%)</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(2.5%)</w:t>
            </w:r>
          </w:p>
        </w:tc>
        <w:tc>
          <w:tcPr>
            <w:tcW w:w="953" w:type="dxa"/>
          </w:tcPr>
          <w:p w:rsidR="00FA051B" w:rsidRDefault="00FD0BD0">
            <w:pPr>
              <w:spacing w:after="0" w:line="240" w:lineRule="auto"/>
              <w:rPr>
                <w:rFonts w:ascii="Arial" w:hAnsi="Arial" w:cs="Arial"/>
                <w:sz w:val="14"/>
                <w:szCs w:val="16"/>
              </w:rPr>
            </w:pPr>
            <w:r>
              <w:rPr>
                <w:rFonts w:ascii="Arial" w:hAnsi="Arial" w:cs="Arial"/>
                <w:sz w:val="14"/>
                <w:szCs w:val="16"/>
              </w:rPr>
              <w:t xml:space="preserve">20 </w:t>
            </w:r>
          </w:p>
          <w:p w:rsidR="00FA051B" w:rsidRDefault="00FD0BD0">
            <w:pPr>
              <w:spacing w:after="0" w:line="240" w:lineRule="auto"/>
              <w:rPr>
                <w:rFonts w:ascii="Arial" w:hAnsi="Arial" w:cs="Arial"/>
                <w:sz w:val="14"/>
                <w:szCs w:val="16"/>
              </w:rPr>
            </w:pPr>
            <w:r>
              <w:rPr>
                <w:rFonts w:ascii="Arial" w:hAnsi="Arial" w:cs="Arial"/>
                <w:sz w:val="14"/>
                <w:szCs w:val="16"/>
              </w:rPr>
              <w:t xml:space="preserve"> 8%</w:t>
            </w:r>
          </w:p>
        </w:tc>
      </w:tr>
      <w:tr w:rsidR="00FA051B">
        <w:tc>
          <w:tcPr>
            <w:tcW w:w="1042" w:type="dxa"/>
          </w:tcPr>
          <w:p w:rsidR="00FA051B" w:rsidRDefault="00FD0BD0">
            <w:pPr>
              <w:spacing w:after="0" w:line="240" w:lineRule="auto"/>
              <w:rPr>
                <w:rFonts w:ascii="Arial" w:hAnsi="Arial" w:cs="Arial"/>
                <w:sz w:val="16"/>
                <w:szCs w:val="16"/>
              </w:rPr>
            </w:pPr>
            <w:r>
              <w:rPr>
                <w:rFonts w:ascii="Arial" w:hAnsi="Arial" w:cs="Arial"/>
                <w:sz w:val="16"/>
                <w:szCs w:val="16"/>
              </w:rPr>
              <w:t>Scopus</w:t>
            </w:r>
          </w:p>
        </w:tc>
        <w:tc>
          <w:tcPr>
            <w:tcW w:w="767" w:type="dxa"/>
          </w:tcPr>
          <w:p w:rsidR="00FA051B" w:rsidRDefault="00FD0BD0">
            <w:pPr>
              <w:spacing w:after="0" w:line="240" w:lineRule="auto"/>
              <w:rPr>
                <w:rFonts w:ascii="Arial" w:hAnsi="Arial" w:cs="Arial"/>
                <w:sz w:val="14"/>
                <w:szCs w:val="16"/>
              </w:rPr>
            </w:pPr>
            <w:r>
              <w:rPr>
                <w:rFonts w:ascii="Arial" w:hAnsi="Arial" w:cs="Arial"/>
                <w:sz w:val="14"/>
                <w:szCs w:val="16"/>
              </w:rPr>
              <w:t xml:space="preserve"> 25 </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6 (24%)</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(4%)</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7 (28%)</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 xml:space="preserve">2 (8%) </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 4 (16%)</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(4%)</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3 (12%)</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(4%)</w:t>
            </w:r>
          </w:p>
        </w:tc>
        <w:tc>
          <w:tcPr>
            <w:tcW w:w="953" w:type="dxa"/>
          </w:tcPr>
          <w:p w:rsidR="00FA051B" w:rsidRDefault="00FD0BD0">
            <w:pPr>
              <w:spacing w:after="0" w:line="240" w:lineRule="auto"/>
              <w:rPr>
                <w:rFonts w:ascii="Arial" w:hAnsi="Arial" w:cs="Arial"/>
                <w:sz w:val="14"/>
                <w:szCs w:val="16"/>
              </w:rPr>
            </w:pPr>
            <w:r>
              <w:rPr>
                <w:rFonts w:ascii="Arial" w:hAnsi="Arial" w:cs="Arial"/>
                <w:sz w:val="14"/>
                <w:szCs w:val="16"/>
              </w:rPr>
              <w:t>10  4%</w:t>
            </w:r>
          </w:p>
        </w:tc>
      </w:tr>
      <w:tr w:rsidR="00FA051B">
        <w:tc>
          <w:tcPr>
            <w:tcW w:w="1042" w:type="dxa"/>
          </w:tcPr>
          <w:p w:rsidR="00FA051B" w:rsidRDefault="00FD0BD0">
            <w:pPr>
              <w:spacing w:after="0" w:line="240" w:lineRule="auto"/>
              <w:rPr>
                <w:rFonts w:ascii="Arial" w:hAnsi="Arial" w:cs="Arial"/>
                <w:sz w:val="16"/>
                <w:szCs w:val="16"/>
              </w:rPr>
            </w:pPr>
            <w:r>
              <w:rPr>
                <w:rFonts w:ascii="Arial" w:hAnsi="Arial" w:cs="Arial"/>
                <w:sz w:val="16"/>
                <w:szCs w:val="16"/>
              </w:rPr>
              <w:t>Web of Science</w:t>
            </w:r>
          </w:p>
        </w:tc>
        <w:tc>
          <w:tcPr>
            <w:tcW w:w="767" w:type="dxa"/>
          </w:tcPr>
          <w:p w:rsidR="00FA051B" w:rsidRDefault="00FD0BD0">
            <w:pPr>
              <w:spacing w:line="240" w:lineRule="auto"/>
              <w:rPr>
                <w:rFonts w:ascii="Arial" w:hAnsi="Arial" w:cs="Arial"/>
                <w:sz w:val="14"/>
                <w:szCs w:val="16"/>
              </w:rPr>
            </w:pPr>
            <w:r>
              <w:rPr>
                <w:rFonts w:ascii="Arial" w:hAnsi="Arial" w:cs="Arial"/>
                <w:sz w:val="14"/>
                <w:szCs w:val="16"/>
              </w:rPr>
              <w:t xml:space="preserve"> 20 </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8 (40%)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(5%)</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 xml:space="preserve"> 5 (25%)</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(5%)</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2 (10%)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(5%)</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2 (10%)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953" w:type="dxa"/>
          </w:tcPr>
          <w:p w:rsidR="00FA051B" w:rsidRDefault="00FD0BD0">
            <w:pPr>
              <w:spacing w:after="0" w:line="240" w:lineRule="auto"/>
              <w:rPr>
                <w:rFonts w:ascii="Arial" w:hAnsi="Arial" w:cs="Arial"/>
                <w:sz w:val="14"/>
                <w:szCs w:val="16"/>
              </w:rPr>
            </w:pPr>
            <w:r>
              <w:rPr>
                <w:rFonts w:ascii="Arial" w:hAnsi="Arial" w:cs="Arial"/>
                <w:sz w:val="14"/>
                <w:szCs w:val="16"/>
              </w:rPr>
              <w:t>8  3.2%</w:t>
            </w:r>
          </w:p>
        </w:tc>
      </w:tr>
      <w:tr w:rsidR="00FA051B">
        <w:tc>
          <w:tcPr>
            <w:tcW w:w="1042" w:type="dxa"/>
          </w:tcPr>
          <w:p w:rsidR="00FA051B" w:rsidRDefault="00FD0BD0">
            <w:pPr>
              <w:spacing w:after="0" w:line="240" w:lineRule="auto"/>
              <w:rPr>
                <w:rFonts w:ascii="Arial" w:hAnsi="Arial" w:cs="Arial"/>
                <w:sz w:val="16"/>
                <w:szCs w:val="16"/>
              </w:rPr>
            </w:pPr>
            <w:r>
              <w:rPr>
                <w:rFonts w:ascii="Arial" w:hAnsi="Arial" w:cs="Arial"/>
                <w:sz w:val="16"/>
                <w:szCs w:val="16"/>
              </w:rPr>
              <w:t>Cochrane Library</w:t>
            </w:r>
          </w:p>
        </w:tc>
        <w:tc>
          <w:tcPr>
            <w:tcW w:w="767" w:type="dxa"/>
          </w:tcPr>
          <w:p w:rsidR="00FA051B" w:rsidRDefault="00FD0BD0">
            <w:pPr>
              <w:spacing w:line="240" w:lineRule="auto"/>
              <w:rPr>
                <w:rFonts w:ascii="Arial" w:hAnsi="Arial" w:cs="Arial"/>
                <w:sz w:val="14"/>
                <w:szCs w:val="16"/>
              </w:rPr>
            </w:pPr>
            <w:r>
              <w:rPr>
                <w:rFonts w:ascii="Arial" w:hAnsi="Arial" w:cs="Arial"/>
                <w:sz w:val="14"/>
                <w:szCs w:val="16"/>
              </w:rPr>
              <w:t xml:space="preserve">15  </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5 (33.3%</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 xml:space="preserve">3 (20%)  </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2 (13.3%)</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2 (13.3%)</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953" w:type="dxa"/>
          </w:tcPr>
          <w:p w:rsidR="00FA051B" w:rsidRDefault="00FD0BD0">
            <w:pPr>
              <w:spacing w:after="0" w:line="240" w:lineRule="auto"/>
              <w:rPr>
                <w:rFonts w:ascii="Arial" w:hAnsi="Arial" w:cs="Arial"/>
                <w:sz w:val="14"/>
                <w:szCs w:val="16"/>
              </w:rPr>
            </w:pPr>
            <w:r>
              <w:rPr>
                <w:rFonts w:ascii="Arial" w:hAnsi="Arial" w:cs="Arial"/>
                <w:sz w:val="14"/>
                <w:szCs w:val="16"/>
              </w:rPr>
              <w:t>6  2.4%</w:t>
            </w:r>
          </w:p>
        </w:tc>
      </w:tr>
      <w:tr w:rsidR="00FA051B">
        <w:tc>
          <w:tcPr>
            <w:tcW w:w="1042" w:type="dxa"/>
          </w:tcPr>
          <w:p w:rsidR="00FA051B" w:rsidRDefault="00FD0BD0">
            <w:pPr>
              <w:spacing w:after="0" w:line="240" w:lineRule="auto"/>
              <w:rPr>
                <w:rFonts w:ascii="Arial" w:hAnsi="Arial" w:cs="Arial"/>
                <w:sz w:val="16"/>
                <w:szCs w:val="16"/>
              </w:rPr>
            </w:pPr>
            <w:r>
              <w:rPr>
                <w:rFonts w:ascii="Arial" w:hAnsi="Arial" w:cs="Arial"/>
                <w:sz w:val="16"/>
                <w:szCs w:val="16"/>
              </w:rPr>
              <w:t>Embase</w:t>
            </w:r>
          </w:p>
        </w:tc>
        <w:tc>
          <w:tcPr>
            <w:tcW w:w="767" w:type="dxa"/>
          </w:tcPr>
          <w:p w:rsidR="00FA051B" w:rsidRDefault="00FD0BD0">
            <w:pPr>
              <w:spacing w:line="240" w:lineRule="auto"/>
              <w:rPr>
                <w:rFonts w:ascii="Arial" w:hAnsi="Arial" w:cs="Arial"/>
                <w:sz w:val="14"/>
                <w:szCs w:val="16"/>
              </w:rPr>
            </w:pPr>
            <w:r>
              <w:rPr>
                <w:rFonts w:ascii="Arial" w:hAnsi="Arial" w:cs="Arial"/>
                <w:sz w:val="14"/>
                <w:szCs w:val="16"/>
              </w:rPr>
              <w:t xml:space="preserve">25  </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10 (40%)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2 (8%)</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5 (20%)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(4%)</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3 (12%)</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(4%)</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 xml:space="preserve"> 2 (8%)</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(4%)</w:t>
            </w:r>
          </w:p>
        </w:tc>
        <w:tc>
          <w:tcPr>
            <w:tcW w:w="953" w:type="dxa"/>
          </w:tcPr>
          <w:p w:rsidR="00FA051B" w:rsidRDefault="00FD0BD0">
            <w:pPr>
              <w:spacing w:after="0" w:line="240" w:lineRule="auto"/>
              <w:rPr>
                <w:rFonts w:ascii="Arial" w:hAnsi="Arial" w:cs="Arial"/>
                <w:sz w:val="14"/>
                <w:szCs w:val="16"/>
              </w:rPr>
            </w:pPr>
            <w:r>
              <w:rPr>
                <w:rFonts w:ascii="Arial" w:hAnsi="Arial" w:cs="Arial"/>
                <w:sz w:val="14"/>
                <w:szCs w:val="16"/>
              </w:rPr>
              <w:t xml:space="preserve">10  4% </w:t>
            </w:r>
          </w:p>
        </w:tc>
      </w:tr>
      <w:tr w:rsidR="00FA051B">
        <w:tc>
          <w:tcPr>
            <w:tcW w:w="1042" w:type="dxa"/>
          </w:tcPr>
          <w:p w:rsidR="00FA051B" w:rsidRDefault="00FD0BD0">
            <w:pPr>
              <w:spacing w:after="0" w:line="240" w:lineRule="auto"/>
              <w:rPr>
                <w:rFonts w:ascii="Arial" w:hAnsi="Arial" w:cs="Arial"/>
                <w:sz w:val="16"/>
                <w:szCs w:val="16"/>
              </w:rPr>
            </w:pPr>
            <w:r>
              <w:rPr>
                <w:rFonts w:ascii="Arial" w:hAnsi="Arial" w:cs="Arial"/>
                <w:sz w:val="16"/>
                <w:szCs w:val="16"/>
              </w:rPr>
              <w:t>ScienceDirect</w:t>
            </w:r>
          </w:p>
        </w:tc>
        <w:tc>
          <w:tcPr>
            <w:tcW w:w="767" w:type="dxa"/>
          </w:tcPr>
          <w:p w:rsidR="00FA051B" w:rsidRDefault="00FD0BD0">
            <w:pPr>
              <w:spacing w:line="240" w:lineRule="auto"/>
              <w:rPr>
                <w:rFonts w:ascii="Arial" w:hAnsi="Arial" w:cs="Arial"/>
                <w:sz w:val="14"/>
                <w:szCs w:val="16"/>
              </w:rPr>
            </w:pPr>
            <w:r>
              <w:rPr>
                <w:rFonts w:ascii="Arial" w:hAnsi="Arial" w:cs="Arial"/>
                <w:sz w:val="14"/>
                <w:szCs w:val="16"/>
              </w:rPr>
              <w:t>20</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 xml:space="preserve"> 5 (25%</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(5%)</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 xml:space="preserve"> 6 (30%)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2 (10%)</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2 (10%)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 xml:space="preserve">1 (5%) </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 xml:space="preserve">2 (10%)  </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 xml:space="preserve">15%)  </w:t>
            </w:r>
          </w:p>
        </w:tc>
        <w:tc>
          <w:tcPr>
            <w:tcW w:w="953" w:type="dxa"/>
          </w:tcPr>
          <w:p w:rsidR="00FA051B" w:rsidRDefault="00FD0BD0">
            <w:pPr>
              <w:spacing w:after="0" w:line="240" w:lineRule="auto"/>
              <w:rPr>
                <w:rFonts w:ascii="Arial" w:hAnsi="Arial" w:cs="Arial"/>
                <w:sz w:val="14"/>
                <w:szCs w:val="16"/>
              </w:rPr>
            </w:pPr>
            <w:r>
              <w:rPr>
                <w:rFonts w:ascii="Arial" w:hAnsi="Arial" w:cs="Arial"/>
                <w:sz w:val="14"/>
                <w:szCs w:val="16"/>
              </w:rPr>
              <w:t>8    3.2%</w:t>
            </w:r>
          </w:p>
        </w:tc>
      </w:tr>
      <w:tr w:rsidR="00FA051B">
        <w:tc>
          <w:tcPr>
            <w:tcW w:w="1042" w:type="dxa"/>
          </w:tcPr>
          <w:p w:rsidR="00FA051B" w:rsidRDefault="00FD0BD0">
            <w:pPr>
              <w:spacing w:after="0" w:line="240" w:lineRule="auto"/>
              <w:rPr>
                <w:rFonts w:ascii="Arial" w:hAnsi="Arial" w:cs="Arial"/>
                <w:sz w:val="16"/>
                <w:szCs w:val="16"/>
              </w:rPr>
            </w:pPr>
            <w:r>
              <w:rPr>
                <w:rFonts w:ascii="Arial" w:hAnsi="Arial" w:cs="Arial"/>
                <w:sz w:val="16"/>
                <w:szCs w:val="16"/>
              </w:rPr>
              <w:t>Ovid</w:t>
            </w:r>
          </w:p>
        </w:tc>
        <w:tc>
          <w:tcPr>
            <w:tcW w:w="767" w:type="dxa"/>
          </w:tcPr>
          <w:p w:rsidR="00FA051B" w:rsidRDefault="00FD0BD0">
            <w:pPr>
              <w:spacing w:line="240" w:lineRule="auto"/>
              <w:rPr>
                <w:rFonts w:ascii="Arial" w:hAnsi="Arial" w:cs="Arial"/>
                <w:sz w:val="14"/>
                <w:szCs w:val="16"/>
              </w:rPr>
            </w:pPr>
            <w:r>
              <w:rPr>
                <w:rFonts w:ascii="Arial" w:hAnsi="Arial" w:cs="Arial"/>
                <w:sz w:val="14"/>
                <w:szCs w:val="16"/>
              </w:rPr>
              <w:t xml:space="preserve">15 </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6 (40%)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3 (20%)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2 (13.3%)</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953" w:type="dxa"/>
          </w:tcPr>
          <w:p w:rsidR="00FA051B" w:rsidRDefault="00FD0BD0">
            <w:pPr>
              <w:spacing w:after="0" w:line="240" w:lineRule="auto"/>
              <w:rPr>
                <w:rFonts w:ascii="Arial" w:hAnsi="Arial" w:cs="Arial"/>
                <w:sz w:val="14"/>
                <w:szCs w:val="16"/>
              </w:rPr>
            </w:pPr>
            <w:r>
              <w:rPr>
                <w:rFonts w:ascii="Arial" w:hAnsi="Arial" w:cs="Arial"/>
                <w:sz w:val="14"/>
                <w:szCs w:val="16"/>
              </w:rPr>
              <w:t>6  2.4%</w:t>
            </w:r>
          </w:p>
        </w:tc>
      </w:tr>
      <w:tr w:rsidR="00FA051B">
        <w:trPr>
          <w:trHeight w:val="412"/>
        </w:trPr>
        <w:tc>
          <w:tcPr>
            <w:tcW w:w="1042" w:type="dxa"/>
          </w:tcPr>
          <w:p w:rsidR="00FA051B" w:rsidRDefault="00FD0BD0">
            <w:pPr>
              <w:spacing w:after="0" w:line="240" w:lineRule="auto"/>
              <w:rPr>
                <w:rFonts w:ascii="Arial" w:hAnsi="Arial" w:cs="Arial"/>
                <w:sz w:val="16"/>
                <w:szCs w:val="16"/>
              </w:rPr>
            </w:pPr>
            <w:r>
              <w:rPr>
                <w:rFonts w:ascii="Arial" w:hAnsi="Arial" w:cs="Arial"/>
                <w:sz w:val="16"/>
                <w:szCs w:val="16"/>
              </w:rPr>
              <w:t>ProQuest</w:t>
            </w:r>
          </w:p>
        </w:tc>
        <w:tc>
          <w:tcPr>
            <w:tcW w:w="767" w:type="dxa"/>
          </w:tcPr>
          <w:p w:rsidR="00FA051B" w:rsidRDefault="00FD0BD0">
            <w:pPr>
              <w:spacing w:line="240" w:lineRule="auto"/>
              <w:rPr>
                <w:rFonts w:ascii="Arial" w:hAnsi="Arial" w:cs="Arial"/>
                <w:sz w:val="14"/>
                <w:szCs w:val="16"/>
              </w:rPr>
            </w:pPr>
            <w:r>
              <w:rPr>
                <w:rFonts w:ascii="Arial" w:hAnsi="Arial" w:cs="Arial"/>
                <w:sz w:val="14"/>
                <w:szCs w:val="16"/>
              </w:rPr>
              <w:t xml:space="preserve">20 </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5 (25%</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(5%)</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6 (30%)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(5%)</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3 (15%)</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(5%)</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2 (10%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(5%)</w:t>
            </w:r>
          </w:p>
        </w:tc>
        <w:tc>
          <w:tcPr>
            <w:tcW w:w="953" w:type="dxa"/>
          </w:tcPr>
          <w:p w:rsidR="00FA051B" w:rsidRDefault="00FD0BD0">
            <w:pPr>
              <w:spacing w:after="0" w:line="240" w:lineRule="auto"/>
              <w:rPr>
                <w:rFonts w:ascii="Arial" w:hAnsi="Arial" w:cs="Arial"/>
                <w:sz w:val="14"/>
                <w:szCs w:val="16"/>
              </w:rPr>
            </w:pPr>
            <w:r>
              <w:rPr>
                <w:rFonts w:ascii="Arial" w:hAnsi="Arial" w:cs="Arial"/>
                <w:sz w:val="14"/>
                <w:szCs w:val="16"/>
              </w:rPr>
              <w:t>8  3.2%</w:t>
            </w:r>
          </w:p>
        </w:tc>
      </w:tr>
      <w:tr w:rsidR="00FA051B">
        <w:tc>
          <w:tcPr>
            <w:tcW w:w="1042" w:type="dxa"/>
          </w:tcPr>
          <w:p w:rsidR="00FA051B" w:rsidRDefault="00FD0BD0">
            <w:pPr>
              <w:spacing w:after="0" w:line="240" w:lineRule="auto"/>
              <w:rPr>
                <w:rFonts w:ascii="Arial" w:hAnsi="Arial" w:cs="Arial"/>
                <w:sz w:val="16"/>
                <w:szCs w:val="16"/>
              </w:rPr>
            </w:pPr>
            <w:r>
              <w:rPr>
                <w:rFonts w:ascii="Arial" w:hAnsi="Arial" w:cs="Arial"/>
                <w:sz w:val="16"/>
                <w:szCs w:val="16"/>
              </w:rPr>
              <w:t>CINAHL</w:t>
            </w:r>
          </w:p>
        </w:tc>
        <w:tc>
          <w:tcPr>
            <w:tcW w:w="767" w:type="dxa"/>
          </w:tcPr>
          <w:p w:rsidR="00FA051B" w:rsidRDefault="00FA051B">
            <w:pPr>
              <w:spacing w:after="0" w:line="240" w:lineRule="auto"/>
              <w:rPr>
                <w:rFonts w:ascii="Arial" w:hAnsi="Arial" w:cs="Arial"/>
                <w:sz w:val="14"/>
                <w:szCs w:val="16"/>
              </w:rPr>
            </w:pPr>
          </w:p>
          <w:p w:rsidR="00FA051B" w:rsidRDefault="00FD0BD0">
            <w:pPr>
              <w:spacing w:after="0" w:line="240" w:lineRule="auto"/>
              <w:rPr>
                <w:rFonts w:ascii="Arial" w:hAnsi="Arial" w:cs="Arial"/>
                <w:sz w:val="14"/>
                <w:szCs w:val="16"/>
              </w:rPr>
            </w:pPr>
            <w:r>
              <w:rPr>
                <w:rFonts w:ascii="Arial" w:hAnsi="Arial" w:cs="Arial"/>
                <w:sz w:val="14"/>
                <w:szCs w:val="16"/>
              </w:rPr>
              <w:t>10</w:t>
            </w:r>
          </w:p>
          <w:p w:rsidR="00FA051B" w:rsidRDefault="00FA051B">
            <w:pPr>
              <w:spacing w:after="0" w:line="240" w:lineRule="auto"/>
              <w:rPr>
                <w:rFonts w:ascii="Arial" w:hAnsi="Arial" w:cs="Arial"/>
                <w:sz w:val="14"/>
                <w:szCs w:val="16"/>
              </w:rPr>
            </w:pP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4 (40%)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(10%)</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2 (20%)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1 (10%)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1 (10%)</w:t>
            </w:r>
          </w:p>
        </w:tc>
        <w:tc>
          <w:tcPr>
            <w:tcW w:w="877" w:type="dxa"/>
          </w:tcPr>
          <w:p w:rsidR="00FA051B" w:rsidRDefault="00FD0BD0">
            <w:pPr>
              <w:spacing w:after="0" w:line="240" w:lineRule="auto"/>
              <w:rPr>
                <w:rFonts w:ascii="Arial" w:hAnsi="Arial" w:cs="Arial"/>
                <w:sz w:val="14"/>
                <w:szCs w:val="16"/>
              </w:rPr>
            </w:pPr>
            <w:r>
              <w:rPr>
                <w:rFonts w:ascii="Arial" w:hAnsi="Arial" w:cs="Arial"/>
                <w:sz w:val="14"/>
                <w:szCs w:val="16"/>
              </w:rPr>
              <w:t>1 (10%)</w:t>
            </w:r>
          </w:p>
        </w:tc>
        <w:tc>
          <w:tcPr>
            <w:tcW w:w="770"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953" w:type="dxa"/>
          </w:tcPr>
          <w:p w:rsidR="00FA051B" w:rsidRDefault="00FD0BD0">
            <w:pPr>
              <w:spacing w:after="0" w:line="240" w:lineRule="auto"/>
              <w:rPr>
                <w:rFonts w:ascii="Arial" w:hAnsi="Arial" w:cs="Arial"/>
                <w:sz w:val="14"/>
                <w:szCs w:val="16"/>
              </w:rPr>
            </w:pPr>
            <w:r>
              <w:rPr>
                <w:rFonts w:ascii="Arial" w:hAnsi="Arial" w:cs="Arial"/>
                <w:sz w:val="14"/>
                <w:szCs w:val="16"/>
              </w:rPr>
              <w:t>4  1.6%</w:t>
            </w:r>
          </w:p>
        </w:tc>
      </w:tr>
      <w:tr w:rsidR="00FA051B">
        <w:tc>
          <w:tcPr>
            <w:tcW w:w="1042" w:type="dxa"/>
          </w:tcPr>
          <w:p w:rsidR="00FA051B" w:rsidRDefault="00FD0BD0">
            <w:pPr>
              <w:spacing w:after="0" w:line="240" w:lineRule="auto"/>
              <w:rPr>
                <w:rFonts w:ascii="Arial" w:hAnsi="Arial" w:cs="Arial"/>
                <w:b/>
                <w:sz w:val="14"/>
                <w:szCs w:val="16"/>
              </w:rPr>
            </w:pPr>
            <w:r>
              <w:rPr>
                <w:rFonts w:ascii="Arial" w:hAnsi="Arial" w:cs="Arial"/>
                <w:b/>
                <w:sz w:val="14"/>
                <w:szCs w:val="16"/>
              </w:rPr>
              <w:lastRenderedPageBreak/>
              <w:t>Total</w:t>
            </w:r>
          </w:p>
        </w:tc>
        <w:tc>
          <w:tcPr>
            <w:tcW w:w="767" w:type="dxa"/>
          </w:tcPr>
          <w:p w:rsidR="00FA051B" w:rsidRDefault="00FD0BD0">
            <w:pPr>
              <w:spacing w:after="0" w:line="240" w:lineRule="auto"/>
              <w:rPr>
                <w:rFonts w:ascii="Arial" w:hAnsi="Arial" w:cs="Arial"/>
                <w:b/>
                <w:sz w:val="14"/>
                <w:szCs w:val="16"/>
              </w:rPr>
            </w:pPr>
            <w:r>
              <w:rPr>
                <w:rFonts w:ascii="Arial" w:hAnsi="Arial" w:cs="Arial"/>
                <w:sz w:val="14"/>
                <w:szCs w:val="16"/>
              </w:rPr>
              <w:t>250</w:t>
            </w:r>
          </w:p>
        </w:tc>
        <w:tc>
          <w:tcPr>
            <w:tcW w:w="877" w:type="dxa"/>
          </w:tcPr>
          <w:p w:rsidR="00FA051B" w:rsidRDefault="00FD0BD0">
            <w:pPr>
              <w:spacing w:after="0" w:line="240" w:lineRule="auto"/>
              <w:rPr>
                <w:rFonts w:ascii="Arial" w:hAnsi="Arial" w:cs="Arial"/>
                <w:b/>
                <w:sz w:val="14"/>
                <w:szCs w:val="16"/>
              </w:rPr>
            </w:pPr>
            <w:r>
              <w:rPr>
                <w:rFonts w:ascii="Arial" w:hAnsi="Arial" w:cs="Arial"/>
                <w:b/>
                <w:sz w:val="14"/>
                <w:szCs w:val="16"/>
              </w:rPr>
              <w:t>73 (29.2%)</w:t>
            </w:r>
          </w:p>
          <w:p w:rsidR="00FA051B" w:rsidRDefault="00FD0BD0">
            <w:pPr>
              <w:spacing w:after="0" w:line="240" w:lineRule="auto"/>
              <w:rPr>
                <w:rFonts w:ascii="Arial" w:hAnsi="Arial" w:cs="Arial"/>
                <w:b/>
                <w:sz w:val="14"/>
                <w:szCs w:val="16"/>
              </w:rPr>
            </w:pPr>
            <w:r>
              <w:rPr>
                <w:rFonts w:ascii="Arial" w:hAnsi="Arial" w:cs="Arial"/>
                <w:b/>
                <w:sz w:val="14"/>
                <w:szCs w:val="16"/>
              </w:rPr>
              <w:t xml:space="preserve"> </w:t>
            </w:r>
          </w:p>
        </w:tc>
        <w:tc>
          <w:tcPr>
            <w:tcW w:w="770" w:type="dxa"/>
          </w:tcPr>
          <w:p w:rsidR="00FA051B" w:rsidRDefault="00FD0BD0">
            <w:pPr>
              <w:spacing w:after="0" w:line="240" w:lineRule="auto"/>
              <w:rPr>
                <w:rFonts w:ascii="Arial" w:hAnsi="Arial" w:cs="Arial"/>
                <w:b/>
                <w:sz w:val="14"/>
                <w:szCs w:val="16"/>
              </w:rPr>
            </w:pPr>
            <w:r>
              <w:rPr>
                <w:rFonts w:ascii="Arial" w:hAnsi="Arial" w:cs="Arial"/>
                <w:b/>
                <w:sz w:val="14"/>
                <w:szCs w:val="16"/>
              </w:rPr>
              <w:t>13 (5.2%)</w:t>
            </w:r>
          </w:p>
        </w:tc>
        <w:tc>
          <w:tcPr>
            <w:tcW w:w="877" w:type="dxa"/>
          </w:tcPr>
          <w:p w:rsidR="00FA051B" w:rsidRDefault="00FD0BD0">
            <w:pPr>
              <w:spacing w:after="0" w:line="240" w:lineRule="auto"/>
              <w:rPr>
                <w:rFonts w:ascii="Arial" w:hAnsi="Arial" w:cs="Arial"/>
                <w:b/>
                <w:sz w:val="14"/>
                <w:szCs w:val="16"/>
              </w:rPr>
            </w:pPr>
            <w:r>
              <w:rPr>
                <w:rFonts w:ascii="Arial" w:hAnsi="Arial" w:cs="Arial"/>
                <w:b/>
                <w:sz w:val="14"/>
                <w:szCs w:val="16"/>
              </w:rPr>
              <w:t>59 (23.6%)</w:t>
            </w:r>
          </w:p>
        </w:tc>
        <w:tc>
          <w:tcPr>
            <w:tcW w:w="770" w:type="dxa"/>
          </w:tcPr>
          <w:p w:rsidR="00FA051B" w:rsidRDefault="00FD0BD0">
            <w:pPr>
              <w:spacing w:after="0" w:line="240" w:lineRule="auto"/>
              <w:rPr>
                <w:rFonts w:ascii="Arial" w:hAnsi="Arial" w:cs="Arial"/>
                <w:b/>
                <w:sz w:val="14"/>
                <w:szCs w:val="16"/>
              </w:rPr>
            </w:pPr>
            <w:r>
              <w:rPr>
                <w:rFonts w:ascii="Arial" w:hAnsi="Arial" w:cs="Arial"/>
                <w:b/>
                <w:sz w:val="14"/>
                <w:szCs w:val="16"/>
              </w:rPr>
              <w:t>14 (5.6%)</w:t>
            </w:r>
          </w:p>
        </w:tc>
        <w:tc>
          <w:tcPr>
            <w:tcW w:w="877" w:type="dxa"/>
          </w:tcPr>
          <w:p w:rsidR="00FA051B" w:rsidRDefault="00FD0BD0">
            <w:pPr>
              <w:spacing w:after="0" w:line="240" w:lineRule="auto"/>
              <w:rPr>
                <w:rFonts w:ascii="Arial" w:hAnsi="Arial" w:cs="Arial"/>
                <w:b/>
                <w:sz w:val="14"/>
                <w:szCs w:val="16"/>
              </w:rPr>
            </w:pPr>
            <w:r>
              <w:rPr>
                <w:rFonts w:ascii="Arial" w:hAnsi="Arial" w:cs="Arial"/>
                <w:b/>
                <w:sz w:val="14"/>
                <w:szCs w:val="16"/>
              </w:rPr>
              <w:t>33 (13.2%)</w:t>
            </w:r>
          </w:p>
        </w:tc>
        <w:tc>
          <w:tcPr>
            <w:tcW w:w="770" w:type="dxa"/>
          </w:tcPr>
          <w:p w:rsidR="00FA051B" w:rsidRDefault="00FD0BD0">
            <w:pPr>
              <w:spacing w:after="0" w:line="240" w:lineRule="auto"/>
              <w:rPr>
                <w:rFonts w:ascii="Arial" w:hAnsi="Arial" w:cs="Arial"/>
                <w:b/>
                <w:sz w:val="14"/>
                <w:szCs w:val="16"/>
              </w:rPr>
            </w:pPr>
            <w:r>
              <w:rPr>
                <w:rFonts w:ascii="Arial" w:hAnsi="Arial" w:cs="Arial"/>
                <w:b/>
                <w:sz w:val="14"/>
                <w:szCs w:val="16"/>
              </w:rPr>
              <w:t>9 (3.6%)</w:t>
            </w:r>
          </w:p>
        </w:tc>
        <w:tc>
          <w:tcPr>
            <w:tcW w:w="877" w:type="dxa"/>
          </w:tcPr>
          <w:p w:rsidR="00FA051B" w:rsidRDefault="00FD0BD0">
            <w:pPr>
              <w:spacing w:after="0" w:line="240" w:lineRule="auto"/>
              <w:rPr>
                <w:rFonts w:ascii="Arial" w:hAnsi="Arial" w:cs="Arial"/>
                <w:b/>
                <w:sz w:val="14"/>
                <w:szCs w:val="16"/>
              </w:rPr>
            </w:pPr>
            <w:r>
              <w:rPr>
                <w:rFonts w:ascii="Arial" w:hAnsi="Arial" w:cs="Arial"/>
                <w:b/>
                <w:sz w:val="14"/>
                <w:szCs w:val="16"/>
              </w:rPr>
              <w:t>31 (12.4%)</w:t>
            </w:r>
          </w:p>
        </w:tc>
        <w:tc>
          <w:tcPr>
            <w:tcW w:w="770" w:type="dxa"/>
          </w:tcPr>
          <w:p w:rsidR="00FA051B" w:rsidRDefault="00FD0BD0">
            <w:pPr>
              <w:spacing w:after="0" w:line="240" w:lineRule="auto"/>
              <w:rPr>
                <w:rFonts w:ascii="Arial" w:hAnsi="Arial" w:cs="Arial"/>
                <w:b/>
                <w:sz w:val="14"/>
                <w:szCs w:val="16"/>
              </w:rPr>
            </w:pPr>
            <w:r>
              <w:rPr>
                <w:rFonts w:ascii="Arial" w:hAnsi="Arial" w:cs="Arial"/>
                <w:b/>
                <w:sz w:val="14"/>
                <w:szCs w:val="16"/>
              </w:rPr>
              <w:t>8 (3.2%)</w:t>
            </w:r>
          </w:p>
        </w:tc>
        <w:tc>
          <w:tcPr>
            <w:tcW w:w="953" w:type="dxa"/>
          </w:tcPr>
          <w:p w:rsidR="00FA051B" w:rsidRDefault="00FD0BD0">
            <w:pPr>
              <w:spacing w:after="0" w:line="240" w:lineRule="auto"/>
              <w:rPr>
                <w:rFonts w:ascii="Arial" w:hAnsi="Arial" w:cs="Arial"/>
                <w:b/>
                <w:sz w:val="14"/>
                <w:szCs w:val="16"/>
              </w:rPr>
            </w:pPr>
            <w:r>
              <w:rPr>
                <w:rFonts w:ascii="Arial" w:hAnsi="Arial" w:cs="Arial"/>
                <w:b/>
                <w:sz w:val="14"/>
                <w:szCs w:val="16"/>
              </w:rPr>
              <w:t>105</w:t>
            </w:r>
          </w:p>
          <w:p w:rsidR="00FA051B" w:rsidRDefault="00FA051B">
            <w:pPr>
              <w:spacing w:after="0" w:line="240" w:lineRule="auto"/>
              <w:rPr>
                <w:rFonts w:ascii="Arial" w:hAnsi="Arial" w:cs="Arial"/>
                <w:b/>
                <w:sz w:val="14"/>
                <w:szCs w:val="16"/>
              </w:rPr>
            </w:pPr>
          </w:p>
          <w:p w:rsidR="00FA051B" w:rsidRDefault="00FD0BD0">
            <w:pPr>
              <w:spacing w:after="0" w:line="240" w:lineRule="auto"/>
              <w:rPr>
                <w:rFonts w:ascii="Arial" w:hAnsi="Arial" w:cs="Arial"/>
                <w:b/>
                <w:sz w:val="14"/>
                <w:szCs w:val="16"/>
              </w:rPr>
            </w:pPr>
            <w:r>
              <w:rPr>
                <w:rFonts w:ascii="Arial" w:hAnsi="Arial" w:cs="Arial"/>
                <w:b/>
                <w:sz w:val="14"/>
                <w:szCs w:val="16"/>
              </w:rPr>
              <w:t>42%</w:t>
            </w:r>
          </w:p>
        </w:tc>
      </w:tr>
    </w:tbl>
    <w:p w:rsidR="00FA051B" w:rsidRDefault="00FA051B">
      <w:pPr>
        <w:spacing w:after="0"/>
        <w:jc w:val="both"/>
        <w:rPr>
          <w:b/>
          <w:bCs/>
        </w:rPr>
      </w:pPr>
    </w:p>
    <w:p w:rsidR="00FA051B" w:rsidRDefault="00FD0BD0">
      <w:pPr>
        <w:jc w:val="both"/>
        <w:rPr>
          <w:rFonts w:ascii="Arial" w:hAnsi="Arial" w:cs="Arial"/>
          <w:szCs w:val="20"/>
        </w:rPr>
      </w:pPr>
      <w:r>
        <w:rPr>
          <w:rFonts w:ascii="Arial" w:hAnsi="Arial" w:cs="Arial"/>
          <w:szCs w:val="20"/>
        </w:rPr>
        <w:t>Table 3 presents the distribution of indications for alternative blood transfusion strategies amongst children with ABO and Rhesus blood types across 10 search engines. The table shows that a total of 105 articles (42%) reported  alternative  blood transfusions, with varying frequencies and percentages across different indications and blood types according to the ten-search engine .</w:t>
      </w:r>
    </w:p>
    <w:p w:rsidR="00FA051B" w:rsidRDefault="00FD0BD0">
      <w:pPr>
        <w:jc w:val="both"/>
        <w:rPr>
          <w:rFonts w:ascii="Arial" w:hAnsi="Arial" w:cs="Arial"/>
          <w:szCs w:val="20"/>
        </w:rPr>
      </w:pPr>
      <w:r>
        <w:rPr>
          <w:rFonts w:ascii="Arial" w:hAnsi="Arial" w:cs="Arial"/>
          <w:szCs w:val="20"/>
        </w:rPr>
        <w:t>The most common indications for alternative blood transfusion were: - Severe Anemia: 41 (39%), - Blood Loss During Surgery: 24 (22.9%), - Hemolytic Disease of the Newborn: 23 (21.9%), - Chronic Anemia: 15 (14.3%), and - Trauma: 4 (3.8%) .These findings are consistent with previous studies that have reported similar indications for blood transfusions in children.</w:t>
      </w:r>
    </w:p>
    <w:p w:rsidR="00FA051B" w:rsidRDefault="00FD0BD0">
      <w:pPr>
        <w:jc w:val="both"/>
        <w:rPr>
          <w:rFonts w:ascii="Arial" w:hAnsi="Arial" w:cs="Arial"/>
          <w:szCs w:val="20"/>
        </w:rPr>
      </w:pPr>
      <w:r>
        <w:rPr>
          <w:rFonts w:ascii="Arial" w:hAnsi="Arial" w:cs="Arial"/>
          <w:szCs w:val="20"/>
        </w:rPr>
        <w:t>The distribution of ABO blood types amongst the included articles was as follows:,- O: 43 (41%),  - O+: 35 (33.3%), - O-: 8 (7.6%),- A: 34 (32.4%), - A+: 28 (26.7%),  - A-: 6 (5.7%),- B: 12 (11.4%),  - B+: 11 (10.5%),  - B-: 1 (1%),- AB: 12 (11.4%), - AB+: 11 (10.5%)  and - AB-: 1 (1%),This distribution is consistent with the global prevalence of ABO blood types, where O is the most common blood type, followed by A, B, and AB.</w:t>
      </w:r>
    </w:p>
    <w:p w:rsidR="00FA051B" w:rsidRDefault="00FD0BD0">
      <w:pPr>
        <w:jc w:val="both"/>
        <w:rPr>
          <w:rFonts w:ascii="Arial" w:hAnsi="Arial" w:cs="Arial"/>
          <w:szCs w:val="20"/>
        </w:rPr>
      </w:pPr>
      <w:r>
        <w:rPr>
          <w:rFonts w:ascii="Arial" w:hAnsi="Arial" w:cs="Arial"/>
          <w:szCs w:val="20"/>
        </w:rPr>
        <w:t xml:space="preserve">The distribution of Rh blood types amongst the included articles was as follows:- Rh+ 82 (78.1%)and - Rh-: 23 (21.9%).This distribution is also consistent with the global prevalence of Rh blood types, where Rh+ is more </w:t>
      </w:r>
      <w:r>
        <w:rPr>
          <w:rFonts w:ascii="Arial" w:hAnsi="Arial" w:cs="Arial"/>
          <w:szCs w:val="20"/>
        </w:rPr>
        <w:lastRenderedPageBreak/>
        <w:t>common than Rh-. The findings of this review have implications for clinical practice and research. Ensuring the safe and effective use of blood transfusions is critical to improving patient outcomes. The distribution of indications and blood types amongst the included articles highlights the importance of considering blood type compatibility and other factors in transfusion practices.</w:t>
      </w:r>
    </w:p>
    <w:p w:rsidR="00FA051B" w:rsidRDefault="00FD0BD0">
      <w:pPr>
        <w:spacing w:after="0" w:line="240" w:lineRule="auto"/>
        <w:jc w:val="both"/>
        <w:rPr>
          <w:rFonts w:ascii="Arial" w:hAnsi="Arial" w:cs="Arial"/>
          <w:szCs w:val="20"/>
        </w:rPr>
      </w:pPr>
      <w:r>
        <w:rPr>
          <w:rFonts w:ascii="Arial" w:hAnsi="Arial" w:cs="Arial"/>
          <w:szCs w:val="20"/>
        </w:rPr>
        <w:t>Table 3 provides valuable insights into the distribution of indications for alternative blood transfusion strategies amongst children with ABO and Rhesus blood types across 10 search engines. The findings highlight the importance of considering blood type compatibility and other factors in transfusion</w:t>
      </w:r>
      <w:r>
        <w:rPr>
          <w:szCs w:val="20"/>
        </w:rPr>
        <w:t xml:space="preserve"> </w:t>
      </w:r>
      <w:r>
        <w:rPr>
          <w:rFonts w:ascii="Arial" w:hAnsi="Arial" w:cs="Arial"/>
          <w:szCs w:val="20"/>
        </w:rPr>
        <w:t>practices to ensure safe and effective use of blood transfusions.</w:t>
      </w:r>
    </w:p>
    <w:p w:rsidR="00FA051B" w:rsidRDefault="00FA051B">
      <w:pPr>
        <w:spacing w:after="0" w:line="240" w:lineRule="auto"/>
        <w:jc w:val="both"/>
        <w:rPr>
          <w:rFonts w:ascii="Arial" w:hAnsi="Arial" w:cs="Arial"/>
          <w:sz w:val="20"/>
          <w:szCs w:val="20"/>
        </w:rPr>
      </w:pPr>
    </w:p>
    <w:p w:rsidR="00FA051B" w:rsidRDefault="00FA051B">
      <w:pPr>
        <w:spacing w:after="0" w:line="240" w:lineRule="auto"/>
        <w:jc w:val="both"/>
        <w:rPr>
          <w:rFonts w:ascii="Arial" w:hAnsi="Arial" w:cs="Arial"/>
          <w:sz w:val="20"/>
          <w:szCs w:val="20"/>
        </w:rPr>
      </w:pPr>
    </w:p>
    <w:p w:rsidR="00FA051B" w:rsidRDefault="00FA051B">
      <w:pPr>
        <w:spacing w:after="0" w:line="240" w:lineRule="auto"/>
        <w:jc w:val="both"/>
        <w:rPr>
          <w:rFonts w:ascii="Arial" w:hAnsi="Arial" w:cs="Arial"/>
          <w:sz w:val="20"/>
          <w:szCs w:val="20"/>
        </w:rPr>
      </w:pPr>
    </w:p>
    <w:p w:rsidR="00FA051B" w:rsidRDefault="00FA051B">
      <w:pPr>
        <w:spacing w:after="0" w:line="240" w:lineRule="auto"/>
        <w:jc w:val="both"/>
        <w:rPr>
          <w:rFonts w:ascii="Arial" w:hAnsi="Arial" w:cs="Arial"/>
          <w:sz w:val="20"/>
          <w:szCs w:val="20"/>
        </w:rPr>
      </w:pPr>
    </w:p>
    <w:p w:rsidR="00FA051B" w:rsidRDefault="00FA051B">
      <w:pPr>
        <w:jc w:val="both"/>
        <w:rPr>
          <w:rFonts w:ascii="Arial" w:hAnsi="Arial" w:cs="Arial"/>
        </w:rPr>
      </w:pPr>
    </w:p>
    <w:p w:rsidR="00FA051B" w:rsidRDefault="00FA051B"/>
    <w:p w:rsidR="00FA051B" w:rsidRDefault="00FD0BD0">
      <w:pPr>
        <w:rPr>
          <w:b/>
        </w:rPr>
      </w:pPr>
      <w:r>
        <w:rPr>
          <w:rFonts w:ascii="Arial" w:hAnsi="Arial" w:cs="Arial"/>
          <w:b/>
          <w:szCs w:val="20"/>
        </w:rPr>
        <w:t>Table 3  distribution of indications for alternative blood transfusion strategies amongst children with ABO and Rhesus blood types across 10 search engines.</w:t>
      </w:r>
    </w:p>
    <w:tbl>
      <w:tblPr>
        <w:tblStyle w:val="TableGrid"/>
        <w:tblW w:w="0" w:type="auto"/>
        <w:tblLook w:val="04A0" w:firstRow="1" w:lastRow="0" w:firstColumn="1" w:lastColumn="0" w:noHBand="0" w:noVBand="1"/>
      </w:tblPr>
      <w:tblGrid>
        <w:gridCol w:w="1218"/>
        <w:gridCol w:w="968"/>
        <w:gridCol w:w="781"/>
        <w:gridCol w:w="781"/>
        <w:gridCol w:w="781"/>
        <w:gridCol w:w="688"/>
        <w:gridCol w:w="781"/>
        <w:gridCol w:w="688"/>
        <w:gridCol w:w="781"/>
        <w:gridCol w:w="641"/>
        <w:gridCol w:w="1020"/>
      </w:tblGrid>
      <w:tr w:rsidR="00FA051B">
        <w:tc>
          <w:tcPr>
            <w:tcW w:w="1218" w:type="dxa"/>
          </w:tcPr>
          <w:p w:rsidR="00FA051B" w:rsidRDefault="00FD0BD0">
            <w:pPr>
              <w:spacing w:after="0" w:line="240" w:lineRule="auto"/>
              <w:rPr>
                <w:rFonts w:ascii="Arial" w:hAnsi="Arial" w:cs="Arial"/>
                <w:sz w:val="14"/>
                <w:szCs w:val="16"/>
              </w:rPr>
            </w:pPr>
            <w:bookmarkStart w:id="2" w:name="_Hlk199920232"/>
            <w:r>
              <w:rPr>
                <w:rFonts w:ascii="Arial" w:hAnsi="Arial" w:cs="Arial"/>
                <w:sz w:val="14"/>
                <w:szCs w:val="16"/>
              </w:rPr>
              <w:t>Search Engine</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Various Indication</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O+ %</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O- %</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A+ %</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A- %</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B+ %</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B- %</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AB+ %</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AB- %</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Total number of articles / percentages</w:t>
            </w:r>
          </w:p>
        </w:tc>
      </w:tr>
      <w:tr w:rsidR="00FA051B">
        <w:tc>
          <w:tcPr>
            <w:tcW w:w="1218" w:type="dxa"/>
          </w:tcPr>
          <w:p w:rsidR="00FA051B" w:rsidRDefault="00FD0BD0">
            <w:pPr>
              <w:spacing w:after="0" w:line="240" w:lineRule="auto"/>
              <w:rPr>
                <w:rFonts w:ascii="Arial" w:hAnsi="Arial" w:cs="Arial"/>
                <w:sz w:val="14"/>
                <w:szCs w:val="16"/>
              </w:rPr>
            </w:pPr>
            <w:r>
              <w:rPr>
                <w:rFonts w:ascii="Arial" w:hAnsi="Arial" w:cs="Arial"/>
                <w:sz w:val="14"/>
                <w:szCs w:val="16"/>
              </w:rPr>
              <w:t>PubMed</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Severe Anemia</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8 (40%)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2 (10%)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5 (25%)</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1 (5%)</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2 (10%)</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2 (10%)</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20 (8%)</w:t>
            </w:r>
          </w:p>
        </w:tc>
      </w:tr>
      <w:tr w:rsidR="00FA051B">
        <w:tc>
          <w:tcPr>
            <w:tcW w:w="1218" w:type="dxa"/>
          </w:tcPr>
          <w:p w:rsidR="00FA051B" w:rsidRDefault="00FD0BD0">
            <w:pPr>
              <w:spacing w:after="0" w:line="240" w:lineRule="auto"/>
              <w:rPr>
                <w:rFonts w:ascii="Arial" w:hAnsi="Arial" w:cs="Arial"/>
                <w:sz w:val="14"/>
                <w:szCs w:val="16"/>
              </w:rPr>
            </w:pPr>
            <w:r>
              <w:rPr>
                <w:rFonts w:ascii="Arial" w:hAnsi="Arial" w:cs="Arial"/>
                <w:sz w:val="14"/>
                <w:szCs w:val="16"/>
              </w:rPr>
              <w:t>Google Scholar</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Blood Loss During Surgery</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4 (22.2%)</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(5.6%)</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6 (33.3%)</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1 (5.6%)</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3 (16.7%)</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2 (11.1%)</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1 (5.6%)</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18 (7.2%)</w:t>
            </w:r>
          </w:p>
        </w:tc>
      </w:tr>
      <w:tr w:rsidR="00FA051B">
        <w:tc>
          <w:tcPr>
            <w:tcW w:w="1218" w:type="dxa"/>
          </w:tcPr>
          <w:p w:rsidR="00FA051B" w:rsidRDefault="00FD0BD0">
            <w:pPr>
              <w:spacing w:after="0" w:line="240" w:lineRule="auto"/>
              <w:rPr>
                <w:rFonts w:ascii="Arial" w:hAnsi="Arial" w:cs="Arial"/>
                <w:sz w:val="14"/>
                <w:szCs w:val="16"/>
              </w:rPr>
            </w:pPr>
            <w:r>
              <w:rPr>
                <w:rFonts w:ascii="Arial" w:hAnsi="Arial" w:cs="Arial"/>
                <w:sz w:val="14"/>
                <w:szCs w:val="16"/>
              </w:rPr>
              <w:t>Scopu</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Hemolytic Disease of the Newborn</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6 (40%)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3 (20%)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2 (13.3%)</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(6.7%)</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15 (6%)</w:t>
            </w:r>
          </w:p>
        </w:tc>
      </w:tr>
      <w:tr w:rsidR="00FA051B">
        <w:tc>
          <w:tcPr>
            <w:tcW w:w="1218" w:type="dxa"/>
          </w:tcPr>
          <w:p w:rsidR="00FA051B" w:rsidRDefault="00FD0BD0">
            <w:pPr>
              <w:spacing w:after="0" w:line="240" w:lineRule="auto"/>
              <w:rPr>
                <w:rFonts w:ascii="Arial" w:hAnsi="Arial" w:cs="Arial"/>
                <w:sz w:val="14"/>
                <w:szCs w:val="16"/>
              </w:rPr>
            </w:pPr>
            <w:r>
              <w:rPr>
                <w:rFonts w:ascii="Arial" w:hAnsi="Arial" w:cs="Arial"/>
                <w:sz w:val="14"/>
                <w:szCs w:val="16"/>
              </w:rPr>
              <w:t>Web of Science</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Severe Anemia</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5 (41.7%)</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(8.3%)</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3 (25%)</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1 (8.3%)</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(8.3%)</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(8.3%)</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12 (4.8%)</w:t>
            </w:r>
          </w:p>
        </w:tc>
      </w:tr>
      <w:tr w:rsidR="00FA051B">
        <w:tc>
          <w:tcPr>
            <w:tcW w:w="1218" w:type="dxa"/>
          </w:tcPr>
          <w:p w:rsidR="00FA051B" w:rsidRDefault="00FD0BD0">
            <w:pPr>
              <w:spacing w:after="0" w:line="240" w:lineRule="auto"/>
              <w:rPr>
                <w:rFonts w:ascii="Arial" w:hAnsi="Arial" w:cs="Arial"/>
                <w:sz w:val="14"/>
                <w:szCs w:val="16"/>
              </w:rPr>
            </w:pPr>
            <w:r>
              <w:rPr>
                <w:rFonts w:ascii="Arial" w:hAnsi="Arial" w:cs="Arial"/>
                <w:sz w:val="14"/>
                <w:szCs w:val="16"/>
              </w:rPr>
              <w:t>Cochrane Library</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Chronic Anemia</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2 (20%)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4 (40%)</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1 (10%)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(10%)</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(10%)</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10 (4%)</w:t>
            </w:r>
          </w:p>
        </w:tc>
      </w:tr>
      <w:tr w:rsidR="00FA051B">
        <w:tc>
          <w:tcPr>
            <w:tcW w:w="1218" w:type="dxa"/>
          </w:tcPr>
          <w:p w:rsidR="00FA051B" w:rsidRDefault="00FD0BD0">
            <w:pPr>
              <w:spacing w:after="0" w:line="240" w:lineRule="auto"/>
              <w:rPr>
                <w:rFonts w:ascii="Arial" w:hAnsi="Arial" w:cs="Arial"/>
                <w:sz w:val="14"/>
                <w:szCs w:val="16"/>
              </w:rPr>
            </w:pPr>
            <w:r>
              <w:rPr>
                <w:rFonts w:ascii="Arial" w:hAnsi="Arial" w:cs="Arial"/>
                <w:sz w:val="14"/>
                <w:szCs w:val="16"/>
              </w:rPr>
              <w:t>Embase</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Blood Loss During Surgery</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(16.7%)</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(16.7%)</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2 (33.3%)</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(16.7%)</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(16.7%)</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6 (2.4%)</w:t>
            </w:r>
          </w:p>
        </w:tc>
      </w:tr>
      <w:tr w:rsidR="00FA051B">
        <w:tc>
          <w:tcPr>
            <w:tcW w:w="1218" w:type="dxa"/>
          </w:tcPr>
          <w:p w:rsidR="00FA051B" w:rsidRDefault="00FD0BD0">
            <w:pPr>
              <w:spacing w:after="0" w:line="240" w:lineRule="auto"/>
              <w:rPr>
                <w:rFonts w:ascii="Arial" w:hAnsi="Arial" w:cs="Arial"/>
                <w:sz w:val="14"/>
                <w:szCs w:val="16"/>
              </w:rPr>
            </w:pPr>
            <w:r>
              <w:rPr>
                <w:rFonts w:ascii="Arial" w:hAnsi="Arial" w:cs="Arial"/>
                <w:sz w:val="14"/>
                <w:szCs w:val="16"/>
              </w:rPr>
              <w:t>ScienceDirect</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Trauma</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2 (50%)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(25%)</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(25%)</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4 (1.6%)</w:t>
            </w:r>
          </w:p>
        </w:tc>
      </w:tr>
      <w:tr w:rsidR="00FA051B">
        <w:tc>
          <w:tcPr>
            <w:tcW w:w="1218" w:type="dxa"/>
          </w:tcPr>
          <w:p w:rsidR="00FA051B" w:rsidRDefault="00FD0BD0">
            <w:pPr>
              <w:spacing w:after="0" w:line="240" w:lineRule="auto"/>
              <w:rPr>
                <w:rFonts w:ascii="Arial" w:hAnsi="Arial" w:cs="Arial"/>
                <w:sz w:val="14"/>
                <w:szCs w:val="16"/>
              </w:rPr>
            </w:pPr>
            <w:r>
              <w:rPr>
                <w:rFonts w:ascii="Arial" w:hAnsi="Arial" w:cs="Arial"/>
                <w:sz w:val="14"/>
                <w:szCs w:val="16"/>
              </w:rPr>
              <w:t>Ovid</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Hemolytic Disease of the Newborn</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4 (50%)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(12.5%)</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(12.5%)</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(12.5%)</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(12.5%)</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8 (3.2%)</w:t>
            </w:r>
          </w:p>
        </w:tc>
      </w:tr>
      <w:tr w:rsidR="00FA051B">
        <w:tc>
          <w:tcPr>
            <w:tcW w:w="1218" w:type="dxa"/>
          </w:tcPr>
          <w:p w:rsidR="00FA051B" w:rsidRDefault="00FD0BD0">
            <w:pPr>
              <w:spacing w:after="0" w:line="240" w:lineRule="auto"/>
              <w:rPr>
                <w:rFonts w:ascii="Arial" w:hAnsi="Arial" w:cs="Arial"/>
                <w:sz w:val="14"/>
                <w:szCs w:val="16"/>
              </w:rPr>
            </w:pPr>
            <w:r>
              <w:rPr>
                <w:rFonts w:ascii="Arial" w:hAnsi="Arial" w:cs="Arial"/>
                <w:sz w:val="14"/>
                <w:szCs w:val="16"/>
              </w:rPr>
              <w:t>ProQuest</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Severe Anemia</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3 (33.3%)</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(11.1%)</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3 (33.3%)</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(11.1%)</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 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(11.1%)</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9 (3.6%)</w:t>
            </w:r>
          </w:p>
        </w:tc>
      </w:tr>
      <w:tr w:rsidR="00FA051B">
        <w:tc>
          <w:tcPr>
            <w:tcW w:w="1218" w:type="dxa"/>
          </w:tcPr>
          <w:p w:rsidR="00FA051B" w:rsidRDefault="00FD0BD0">
            <w:pPr>
              <w:spacing w:after="0" w:line="240" w:lineRule="auto"/>
              <w:rPr>
                <w:rFonts w:ascii="Arial" w:hAnsi="Arial" w:cs="Arial"/>
                <w:sz w:val="14"/>
                <w:szCs w:val="16"/>
              </w:rPr>
            </w:pPr>
            <w:r>
              <w:rPr>
                <w:rFonts w:ascii="Arial" w:hAnsi="Arial" w:cs="Arial"/>
                <w:sz w:val="14"/>
                <w:szCs w:val="16"/>
              </w:rPr>
              <w:t>CINAHL</w:t>
            </w:r>
          </w:p>
        </w:tc>
        <w:tc>
          <w:tcPr>
            <w:tcW w:w="968" w:type="dxa"/>
          </w:tcPr>
          <w:p w:rsidR="00FA051B" w:rsidRDefault="00FD0BD0">
            <w:pPr>
              <w:spacing w:after="0" w:line="240" w:lineRule="auto"/>
              <w:rPr>
                <w:rFonts w:ascii="Arial" w:hAnsi="Arial" w:cs="Arial"/>
                <w:sz w:val="14"/>
                <w:szCs w:val="16"/>
              </w:rPr>
            </w:pPr>
            <w:r>
              <w:rPr>
                <w:rFonts w:ascii="Arial" w:hAnsi="Arial" w:cs="Arial"/>
                <w:sz w:val="14"/>
                <w:szCs w:val="16"/>
              </w:rPr>
              <w:t>Chronic Anemia</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2 (40%)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2 (40%)</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688"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781" w:type="dxa"/>
          </w:tcPr>
          <w:p w:rsidR="00FA051B" w:rsidRDefault="00FD0BD0">
            <w:pPr>
              <w:spacing w:after="0" w:line="240" w:lineRule="auto"/>
              <w:rPr>
                <w:rFonts w:ascii="Arial" w:hAnsi="Arial" w:cs="Arial"/>
                <w:sz w:val="14"/>
                <w:szCs w:val="16"/>
              </w:rPr>
            </w:pPr>
            <w:r>
              <w:rPr>
                <w:rFonts w:ascii="Arial" w:hAnsi="Arial" w:cs="Arial"/>
                <w:sz w:val="14"/>
                <w:szCs w:val="16"/>
              </w:rPr>
              <w:t>1 (20%)</w:t>
            </w:r>
          </w:p>
        </w:tc>
        <w:tc>
          <w:tcPr>
            <w:tcW w:w="641" w:type="dxa"/>
          </w:tcPr>
          <w:p w:rsidR="00FA051B" w:rsidRDefault="00FD0BD0">
            <w:pPr>
              <w:spacing w:after="0" w:line="240" w:lineRule="auto"/>
              <w:rPr>
                <w:rFonts w:ascii="Arial" w:hAnsi="Arial" w:cs="Arial"/>
                <w:sz w:val="14"/>
                <w:szCs w:val="16"/>
              </w:rPr>
            </w:pPr>
            <w:r>
              <w:rPr>
                <w:rFonts w:ascii="Arial" w:hAnsi="Arial" w:cs="Arial"/>
                <w:sz w:val="14"/>
                <w:szCs w:val="16"/>
              </w:rPr>
              <w:t>0 (0%)</w:t>
            </w:r>
          </w:p>
        </w:tc>
        <w:tc>
          <w:tcPr>
            <w:tcW w:w="1020" w:type="dxa"/>
          </w:tcPr>
          <w:p w:rsidR="00FA051B" w:rsidRDefault="00FD0BD0">
            <w:pPr>
              <w:spacing w:after="0" w:line="240" w:lineRule="auto"/>
              <w:rPr>
                <w:rFonts w:ascii="Arial" w:hAnsi="Arial" w:cs="Arial"/>
                <w:sz w:val="14"/>
                <w:szCs w:val="16"/>
              </w:rPr>
            </w:pPr>
            <w:r>
              <w:rPr>
                <w:rFonts w:ascii="Arial" w:hAnsi="Arial" w:cs="Arial"/>
                <w:sz w:val="14"/>
                <w:szCs w:val="16"/>
              </w:rPr>
              <w:t>5 (2%)</w:t>
            </w:r>
          </w:p>
        </w:tc>
      </w:tr>
      <w:tr w:rsidR="00FA051B">
        <w:tc>
          <w:tcPr>
            <w:tcW w:w="1218" w:type="dxa"/>
          </w:tcPr>
          <w:p w:rsidR="00FA051B" w:rsidRDefault="00FD0BD0">
            <w:pPr>
              <w:spacing w:after="0" w:line="240" w:lineRule="auto"/>
              <w:rPr>
                <w:rFonts w:ascii="Arial" w:hAnsi="Arial" w:cs="Arial"/>
                <w:b/>
                <w:sz w:val="14"/>
                <w:szCs w:val="16"/>
              </w:rPr>
            </w:pPr>
            <w:r>
              <w:rPr>
                <w:rFonts w:ascii="Arial" w:hAnsi="Arial" w:cs="Arial"/>
                <w:b/>
                <w:sz w:val="14"/>
                <w:szCs w:val="16"/>
              </w:rPr>
              <w:lastRenderedPageBreak/>
              <w:t>Total</w:t>
            </w:r>
          </w:p>
        </w:tc>
        <w:tc>
          <w:tcPr>
            <w:tcW w:w="968" w:type="dxa"/>
          </w:tcPr>
          <w:p w:rsidR="00FA051B" w:rsidRDefault="00FA051B">
            <w:pPr>
              <w:spacing w:after="0" w:line="240" w:lineRule="auto"/>
              <w:rPr>
                <w:rFonts w:ascii="Arial" w:hAnsi="Arial" w:cs="Arial"/>
                <w:b/>
                <w:sz w:val="14"/>
                <w:szCs w:val="16"/>
              </w:rPr>
            </w:pPr>
          </w:p>
        </w:tc>
        <w:tc>
          <w:tcPr>
            <w:tcW w:w="781" w:type="dxa"/>
          </w:tcPr>
          <w:p w:rsidR="00FA051B" w:rsidRDefault="00FD0BD0">
            <w:pPr>
              <w:spacing w:after="0" w:line="240" w:lineRule="auto"/>
              <w:rPr>
                <w:rFonts w:ascii="Arial" w:hAnsi="Arial" w:cs="Arial"/>
                <w:b/>
                <w:sz w:val="14"/>
                <w:szCs w:val="16"/>
              </w:rPr>
            </w:pPr>
            <w:r>
              <w:rPr>
                <w:rFonts w:ascii="Arial" w:hAnsi="Arial" w:cs="Arial"/>
                <w:b/>
                <w:sz w:val="14"/>
                <w:szCs w:val="16"/>
              </w:rPr>
              <w:t>35 (33.3%)</w:t>
            </w:r>
          </w:p>
        </w:tc>
        <w:tc>
          <w:tcPr>
            <w:tcW w:w="781" w:type="dxa"/>
          </w:tcPr>
          <w:p w:rsidR="00FA051B" w:rsidRDefault="00FD0BD0">
            <w:pPr>
              <w:spacing w:after="0" w:line="240" w:lineRule="auto"/>
              <w:rPr>
                <w:rFonts w:ascii="Arial" w:hAnsi="Arial" w:cs="Arial"/>
                <w:b/>
                <w:sz w:val="14"/>
                <w:szCs w:val="16"/>
              </w:rPr>
            </w:pPr>
            <w:r>
              <w:rPr>
                <w:rFonts w:ascii="Arial" w:hAnsi="Arial" w:cs="Arial"/>
                <w:b/>
                <w:sz w:val="14"/>
                <w:szCs w:val="16"/>
              </w:rPr>
              <w:t>8 (7.6%)</w:t>
            </w:r>
          </w:p>
        </w:tc>
        <w:tc>
          <w:tcPr>
            <w:tcW w:w="781" w:type="dxa"/>
          </w:tcPr>
          <w:p w:rsidR="00FA051B" w:rsidRDefault="00FD0BD0">
            <w:pPr>
              <w:spacing w:after="0" w:line="240" w:lineRule="auto"/>
              <w:rPr>
                <w:rFonts w:ascii="Arial" w:hAnsi="Arial" w:cs="Arial"/>
                <w:b/>
                <w:sz w:val="14"/>
                <w:szCs w:val="16"/>
              </w:rPr>
            </w:pPr>
            <w:r>
              <w:rPr>
                <w:rFonts w:ascii="Arial" w:hAnsi="Arial" w:cs="Arial"/>
                <w:b/>
                <w:sz w:val="14"/>
                <w:szCs w:val="16"/>
              </w:rPr>
              <w:t>28 (26.7%)</w:t>
            </w:r>
          </w:p>
        </w:tc>
        <w:tc>
          <w:tcPr>
            <w:tcW w:w="688" w:type="dxa"/>
          </w:tcPr>
          <w:p w:rsidR="00FA051B" w:rsidRDefault="00FD0BD0">
            <w:pPr>
              <w:spacing w:after="0" w:line="240" w:lineRule="auto"/>
              <w:rPr>
                <w:rFonts w:ascii="Arial" w:hAnsi="Arial" w:cs="Arial"/>
                <w:b/>
                <w:sz w:val="14"/>
                <w:szCs w:val="16"/>
              </w:rPr>
            </w:pPr>
            <w:r>
              <w:rPr>
                <w:rFonts w:ascii="Arial" w:hAnsi="Arial" w:cs="Arial"/>
                <w:b/>
                <w:sz w:val="14"/>
                <w:szCs w:val="16"/>
              </w:rPr>
              <w:t>6 (5.7%)</w:t>
            </w:r>
          </w:p>
        </w:tc>
        <w:tc>
          <w:tcPr>
            <w:tcW w:w="781" w:type="dxa"/>
          </w:tcPr>
          <w:p w:rsidR="00FA051B" w:rsidRDefault="00FD0BD0">
            <w:pPr>
              <w:spacing w:after="0" w:line="240" w:lineRule="auto"/>
              <w:rPr>
                <w:rFonts w:ascii="Arial" w:hAnsi="Arial" w:cs="Arial"/>
                <w:b/>
                <w:sz w:val="14"/>
                <w:szCs w:val="16"/>
              </w:rPr>
            </w:pPr>
            <w:r>
              <w:rPr>
                <w:rFonts w:ascii="Arial" w:hAnsi="Arial" w:cs="Arial"/>
                <w:b/>
                <w:sz w:val="14"/>
                <w:szCs w:val="16"/>
              </w:rPr>
              <w:t>11 (10.5%)</w:t>
            </w:r>
          </w:p>
        </w:tc>
        <w:tc>
          <w:tcPr>
            <w:tcW w:w="688" w:type="dxa"/>
          </w:tcPr>
          <w:p w:rsidR="00FA051B" w:rsidRDefault="00FD0BD0">
            <w:pPr>
              <w:spacing w:after="0" w:line="240" w:lineRule="auto"/>
              <w:rPr>
                <w:rFonts w:ascii="Arial" w:hAnsi="Arial" w:cs="Arial"/>
                <w:b/>
                <w:sz w:val="14"/>
                <w:szCs w:val="16"/>
              </w:rPr>
            </w:pPr>
            <w:r>
              <w:rPr>
                <w:rFonts w:ascii="Arial" w:hAnsi="Arial" w:cs="Arial"/>
                <w:b/>
                <w:sz w:val="14"/>
                <w:szCs w:val="16"/>
              </w:rPr>
              <w:t>1 (1%)</w:t>
            </w:r>
          </w:p>
        </w:tc>
        <w:tc>
          <w:tcPr>
            <w:tcW w:w="781" w:type="dxa"/>
          </w:tcPr>
          <w:p w:rsidR="00FA051B" w:rsidRDefault="00FD0BD0">
            <w:pPr>
              <w:spacing w:after="0" w:line="240" w:lineRule="auto"/>
              <w:rPr>
                <w:rFonts w:ascii="Arial" w:hAnsi="Arial" w:cs="Arial"/>
                <w:b/>
                <w:sz w:val="14"/>
                <w:szCs w:val="16"/>
              </w:rPr>
            </w:pPr>
            <w:r>
              <w:rPr>
                <w:rFonts w:ascii="Arial" w:hAnsi="Arial" w:cs="Arial"/>
                <w:b/>
                <w:sz w:val="14"/>
                <w:szCs w:val="16"/>
              </w:rPr>
              <w:t>11 (10.5%)</w:t>
            </w:r>
          </w:p>
        </w:tc>
        <w:tc>
          <w:tcPr>
            <w:tcW w:w="641" w:type="dxa"/>
          </w:tcPr>
          <w:p w:rsidR="00FA051B" w:rsidRDefault="00FD0BD0">
            <w:pPr>
              <w:spacing w:after="0" w:line="240" w:lineRule="auto"/>
              <w:rPr>
                <w:rFonts w:ascii="Arial" w:hAnsi="Arial" w:cs="Arial"/>
                <w:b/>
                <w:sz w:val="14"/>
                <w:szCs w:val="16"/>
              </w:rPr>
            </w:pPr>
            <w:r>
              <w:rPr>
                <w:rFonts w:ascii="Arial" w:hAnsi="Arial" w:cs="Arial"/>
                <w:b/>
                <w:sz w:val="14"/>
                <w:szCs w:val="16"/>
              </w:rPr>
              <w:t>1 (1%)</w:t>
            </w:r>
          </w:p>
        </w:tc>
        <w:tc>
          <w:tcPr>
            <w:tcW w:w="1020" w:type="dxa"/>
          </w:tcPr>
          <w:p w:rsidR="00FA051B" w:rsidRDefault="00FD0BD0">
            <w:pPr>
              <w:spacing w:after="0" w:line="240" w:lineRule="auto"/>
              <w:rPr>
                <w:rFonts w:ascii="Arial" w:hAnsi="Arial" w:cs="Arial"/>
                <w:b/>
                <w:sz w:val="14"/>
                <w:szCs w:val="16"/>
              </w:rPr>
            </w:pPr>
            <w:r>
              <w:rPr>
                <w:rFonts w:ascii="Arial" w:hAnsi="Arial" w:cs="Arial"/>
                <w:b/>
                <w:sz w:val="14"/>
                <w:szCs w:val="16"/>
              </w:rPr>
              <w:t>105 (42%)</w:t>
            </w:r>
          </w:p>
        </w:tc>
      </w:tr>
      <w:bookmarkEnd w:id="2"/>
    </w:tbl>
    <w:p w:rsidR="00FA051B" w:rsidRDefault="00FA051B">
      <w:pPr>
        <w:rPr>
          <w:b/>
        </w:rPr>
      </w:pPr>
    </w:p>
    <w:p w:rsidR="00887610" w:rsidRDefault="00887610">
      <w:pPr>
        <w:jc w:val="both"/>
        <w:rPr>
          <w:rFonts w:ascii="Arial" w:hAnsi="Arial" w:cs="Arial"/>
        </w:rPr>
      </w:pPr>
    </w:p>
    <w:p w:rsidR="00887610" w:rsidRDefault="00887610">
      <w:pPr>
        <w:jc w:val="both"/>
        <w:rPr>
          <w:rFonts w:ascii="Arial" w:hAnsi="Arial" w:cs="Arial"/>
        </w:rPr>
      </w:pPr>
    </w:p>
    <w:p w:rsidR="00FA051B" w:rsidRDefault="00FD0BD0">
      <w:pPr>
        <w:jc w:val="both"/>
        <w:rPr>
          <w:rFonts w:ascii="Arial" w:hAnsi="Arial" w:cs="Arial"/>
        </w:rPr>
      </w:pPr>
      <w:r>
        <w:rPr>
          <w:rFonts w:ascii="Arial" w:hAnsi="Arial" w:cs="Arial"/>
        </w:rPr>
        <w:t xml:space="preserve">Table 4 presents the  distribution of various types of non-blood product transfusion strategies. This table 4 shows that the  types of non-blood product transfusion strategies frequently used in alternative blood transfusion medicine include the following : - Crystalloid solutions(e.g., saline, lactated Ringer's): 22 articles (8.8%), - Colloids (e.g., albumin, hydroxyethyl starch): 15 articles (6%), - Fluid resuscitation strategies (e.g., goal-directed therapy): 12 articles (4.8%), - Synthetic oxygen carriers (e.g., hemoglobin-based oxygen carriers): 10 articles (4%), - Electrolyte solutions(e.g., potassium, sodium): 10 articles (4%), - Tranexamic acid helps blood clot better, reducing bleeding during operations (recommended for patients with heavy menstrual bleeding or those undergoing surgeries with high blood loss risk), - Iron optimization, - Iron supplements: treat anemia caused by iron deficiency (commonly given as tablets or injections).  - Importance: essential for producing healthy red blood cells, - Erythropoietin: stimulates red blood cell production (may be offered to patients who cannot have blood transfusions due to personal beliefs or unavailable blood type)- Other non-blood product transfusion strategies:  - Plasma-derived products (e.g., immunoglobulins, clotting factors): 8 articles (3.2%).  - Artificial blood substitutes: 5 articles (2%), - Nutritional support solutions (e.g., parenteral nutrition): 8 articles (3.2%),  - Pharmacological alternatives (e.g., vasopressors, inotropes): 5 articles (2%). The breakdown below presents  </w:t>
      </w:r>
      <w:r>
        <w:rPr>
          <w:rFonts w:ascii="Arial" w:hAnsi="Arial" w:cs="Arial"/>
        </w:rPr>
        <w:lastRenderedPageBreak/>
        <w:t>distribution of the percentages of frequency of the used of nonpblood  product according to the  ten-search engine for the current  study include the following : - Crystalloid solutions 22 (8.8%), - Colloids: 15 (6%), - Fluid resuscitation strategies: 12 (4.8%), - Synthetic oxygen carriers: 10 (4%), - Electrolyte solutions: 10 (4%), - Tranexamic acid: 6 (2.4%), - iron optimization: 7 (2.8%), - Erythropoietin: 5 (2%), - Plasma-derived products: 8 (3.2%),- Artificial blood substitutes: 5 (2%), - Nutritional support solutions: 8 (3.2%), - Pharmacological alternatives: 5 (2%).- Other non-blood product transfusion strategies: 3 (1.2%).</w:t>
      </w:r>
    </w:p>
    <w:p w:rsidR="00FA051B" w:rsidRDefault="00FD0BD0">
      <w:pPr>
        <w:rPr>
          <w:rFonts w:ascii="Arial" w:hAnsi="Arial" w:cs="Arial"/>
        </w:rPr>
      </w:pPr>
      <w:r>
        <w:rPr>
          <w:rFonts w:ascii="Arial" w:hAnsi="Arial" w:cs="Arial"/>
          <w:b/>
          <w:bCs/>
        </w:rPr>
        <w:t>Table 4. Distribution of various types of non-blood product transfusion strategies</w:t>
      </w:r>
    </w:p>
    <w:tbl>
      <w:tblPr>
        <w:tblStyle w:val="TableGrid"/>
        <w:tblW w:w="9410" w:type="dxa"/>
        <w:tblLook w:val="04A0" w:firstRow="1" w:lastRow="0" w:firstColumn="1" w:lastColumn="0" w:noHBand="0" w:noVBand="1"/>
      </w:tblPr>
      <w:tblGrid>
        <w:gridCol w:w="1525"/>
        <w:gridCol w:w="1530"/>
        <w:gridCol w:w="1170"/>
        <w:gridCol w:w="5185"/>
      </w:tblGrid>
      <w:tr w:rsidR="00FA051B">
        <w:tc>
          <w:tcPr>
            <w:tcW w:w="1525" w:type="dxa"/>
          </w:tcPr>
          <w:p w:rsidR="00FA051B" w:rsidRDefault="00FD0BD0">
            <w:pPr>
              <w:spacing w:after="0" w:line="240" w:lineRule="auto"/>
              <w:rPr>
                <w:sz w:val="16"/>
                <w:szCs w:val="16"/>
              </w:rPr>
            </w:pPr>
            <w:r>
              <w:rPr>
                <w:b/>
                <w:bCs/>
                <w:sz w:val="16"/>
                <w:szCs w:val="16"/>
              </w:rPr>
              <w:t>Search Engine</w:t>
            </w:r>
          </w:p>
        </w:tc>
        <w:tc>
          <w:tcPr>
            <w:tcW w:w="1530" w:type="dxa"/>
          </w:tcPr>
          <w:p w:rsidR="00FA051B" w:rsidRDefault="00FD0BD0">
            <w:pPr>
              <w:spacing w:after="0" w:line="240" w:lineRule="auto"/>
              <w:rPr>
                <w:sz w:val="16"/>
                <w:szCs w:val="16"/>
              </w:rPr>
            </w:pPr>
            <w:r>
              <w:rPr>
                <w:b/>
                <w:bCs/>
                <w:sz w:val="16"/>
                <w:szCs w:val="16"/>
              </w:rPr>
              <w:t>Total number of articles searched</w:t>
            </w:r>
          </w:p>
        </w:tc>
        <w:tc>
          <w:tcPr>
            <w:tcW w:w="1170" w:type="dxa"/>
          </w:tcPr>
          <w:p w:rsidR="00FA051B" w:rsidRDefault="00FD0BD0">
            <w:pPr>
              <w:spacing w:after="0" w:line="240" w:lineRule="auto"/>
              <w:rPr>
                <w:sz w:val="16"/>
                <w:szCs w:val="16"/>
              </w:rPr>
            </w:pPr>
            <w:r>
              <w:rPr>
                <w:b/>
                <w:bCs/>
                <w:sz w:val="16"/>
                <w:szCs w:val="16"/>
              </w:rPr>
              <w:t>Number of Articles per percentage / strategy</w:t>
            </w:r>
          </w:p>
        </w:tc>
        <w:tc>
          <w:tcPr>
            <w:tcW w:w="5185" w:type="dxa"/>
          </w:tcPr>
          <w:p w:rsidR="00FA051B" w:rsidRDefault="00FD0BD0">
            <w:pPr>
              <w:spacing w:after="0" w:line="240" w:lineRule="auto"/>
              <w:rPr>
                <w:sz w:val="16"/>
                <w:szCs w:val="16"/>
              </w:rPr>
            </w:pPr>
            <w:r>
              <w:rPr>
                <w:b/>
                <w:bCs/>
                <w:sz w:val="16"/>
                <w:szCs w:val="16"/>
              </w:rPr>
              <w:t>Type of Non-Blood Product Transfusion Strategy</w:t>
            </w:r>
          </w:p>
        </w:tc>
      </w:tr>
      <w:tr w:rsidR="00FA051B">
        <w:trPr>
          <w:trHeight w:val="89"/>
        </w:trPr>
        <w:tc>
          <w:tcPr>
            <w:tcW w:w="1525" w:type="dxa"/>
          </w:tcPr>
          <w:p w:rsidR="00FA051B" w:rsidRDefault="00FD0BD0">
            <w:pPr>
              <w:spacing w:after="0" w:line="240" w:lineRule="auto"/>
              <w:rPr>
                <w:sz w:val="16"/>
                <w:szCs w:val="16"/>
              </w:rPr>
            </w:pPr>
            <w:r>
              <w:rPr>
                <w:sz w:val="16"/>
                <w:szCs w:val="16"/>
              </w:rPr>
              <w:t>PubMed</w:t>
            </w:r>
          </w:p>
        </w:tc>
        <w:tc>
          <w:tcPr>
            <w:tcW w:w="1530" w:type="dxa"/>
          </w:tcPr>
          <w:p w:rsidR="00FA051B" w:rsidRDefault="00FD0BD0">
            <w:pPr>
              <w:spacing w:after="0" w:line="240" w:lineRule="auto"/>
              <w:rPr>
                <w:sz w:val="16"/>
                <w:szCs w:val="16"/>
              </w:rPr>
            </w:pPr>
            <w:r>
              <w:rPr>
                <w:sz w:val="16"/>
                <w:szCs w:val="16"/>
              </w:rPr>
              <w:t xml:space="preserve">28 (11.2%) </w:t>
            </w:r>
          </w:p>
        </w:tc>
        <w:tc>
          <w:tcPr>
            <w:tcW w:w="1170" w:type="dxa"/>
          </w:tcPr>
          <w:p w:rsidR="00FA051B" w:rsidRDefault="00FD0BD0">
            <w:pPr>
              <w:spacing w:after="0" w:line="240" w:lineRule="auto"/>
              <w:rPr>
                <w:sz w:val="16"/>
                <w:szCs w:val="16"/>
              </w:rPr>
            </w:pPr>
            <w:r>
              <w:rPr>
                <w:sz w:val="16"/>
                <w:szCs w:val="16"/>
              </w:rPr>
              <w:t xml:space="preserve">22 (8.8%) </w:t>
            </w:r>
          </w:p>
        </w:tc>
        <w:tc>
          <w:tcPr>
            <w:tcW w:w="5185" w:type="dxa"/>
          </w:tcPr>
          <w:p w:rsidR="00FA051B" w:rsidRDefault="00FD0BD0">
            <w:pPr>
              <w:spacing w:after="0" w:line="240" w:lineRule="auto"/>
              <w:rPr>
                <w:sz w:val="16"/>
                <w:szCs w:val="16"/>
              </w:rPr>
            </w:pPr>
            <w:r>
              <w:rPr>
                <w:sz w:val="16"/>
                <w:szCs w:val="16"/>
              </w:rPr>
              <w:t xml:space="preserve">Crystalloid solutions (e.g., saline, lactated Ringer's) </w:t>
            </w:r>
          </w:p>
        </w:tc>
      </w:tr>
      <w:tr w:rsidR="00FA051B">
        <w:tc>
          <w:tcPr>
            <w:tcW w:w="1525" w:type="dxa"/>
          </w:tcPr>
          <w:p w:rsidR="00FA051B" w:rsidRDefault="00FD0BD0">
            <w:pPr>
              <w:spacing w:after="0" w:line="240" w:lineRule="auto"/>
              <w:rPr>
                <w:sz w:val="16"/>
                <w:szCs w:val="16"/>
              </w:rPr>
            </w:pPr>
            <w:r>
              <w:rPr>
                <w:sz w:val="16"/>
                <w:szCs w:val="16"/>
              </w:rPr>
              <w:t xml:space="preserve"> Google Scholar</w:t>
            </w:r>
          </w:p>
        </w:tc>
        <w:tc>
          <w:tcPr>
            <w:tcW w:w="1530" w:type="dxa"/>
          </w:tcPr>
          <w:p w:rsidR="00FA051B" w:rsidRDefault="00FD0BD0">
            <w:pPr>
              <w:spacing w:after="0" w:line="240" w:lineRule="auto"/>
              <w:rPr>
                <w:sz w:val="16"/>
                <w:szCs w:val="16"/>
              </w:rPr>
            </w:pPr>
            <w:r>
              <w:rPr>
                <w:sz w:val="16"/>
                <w:szCs w:val="16"/>
              </w:rPr>
              <w:t xml:space="preserve">22 (8.8%) </w:t>
            </w:r>
          </w:p>
        </w:tc>
        <w:tc>
          <w:tcPr>
            <w:tcW w:w="1170" w:type="dxa"/>
          </w:tcPr>
          <w:p w:rsidR="00FA051B" w:rsidRDefault="00FD0BD0">
            <w:pPr>
              <w:spacing w:after="0" w:line="240" w:lineRule="auto"/>
              <w:rPr>
                <w:sz w:val="16"/>
                <w:szCs w:val="16"/>
              </w:rPr>
            </w:pPr>
            <w:r>
              <w:rPr>
                <w:sz w:val="16"/>
                <w:szCs w:val="16"/>
              </w:rPr>
              <w:t>15 (6%)</w:t>
            </w:r>
          </w:p>
        </w:tc>
        <w:tc>
          <w:tcPr>
            <w:tcW w:w="5185" w:type="dxa"/>
          </w:tcPr>
          <w:p w:rsidR="00FA051B" w:rsidRDefault="00FD0BD0">
            <w:pPr>
              <w:spacing w:after="0" w:line="240" w:lineRule="auto"/>
              <w:rPr>
                <w:sz w:val="16"/>
                <w:szCs w:val="16"/>
              </w:rPr>
            </w:pPr>
            <w:r>
              <w:rPr>
                <w:sz w:val="16"/>
                <w:szCs w:val="16"/>
              </w:rPr>
              <w:t xml:space="preserve">Colloids (e.g., albumin, hydroxyethyl starch) </w:t>
            </w:r>
          </w:p>
        </w:tc>
      </w:tr>
      <w:tr w:rsidR="00FA051B">
        <w:tc>
          <w:tcPr>
            <w:tcW w:w="1525" w:type="dxa"/>
          </w:tcPr>
          <w:p w:rsidR="00FA051B" w:rsidRDefault="00FD0BD0">
            <w:pPr>
              <w:spacing w:after="0" w:line="240" w:lineRule="auto"/>
              <w:rPr>
                <w:sz w:val="16"/>
                <w:szCs w:val="16"/>
              </w:rPr>
            </w:pPr>
            <w:r>
              <w:rPr>
                <w:sz w:val="16"/>
                <w:szCs w:val="16"/>
              </w:rPr>
              <w:t>Scopus</w:t>
            </w:r>
          </w:p>
        </w:tc>
        <w:tc>
          <w:tcPr>
            <w:tcW w:w="1530" w:type="dxa"/>
          </w:tcPr>
          <w:p w:rsidR="00FA051B" w:rsidRDefault="00FD0BD0">
            <w:pPr>
              <w:spacing w:after="0" w:line="240" w:lineRule="auto"/>
              <w:rPr>
                <w:sz w:val="16"/>
                <w:szCs w:val="16"/>
              </w:rPr>
            </w:pPr>
            <w:r>
              <w:rPr>
                <w:sz w:val="16"/>
                <w:szCs w:val="16"/>
              </w:rPr>
              <w:t xml:space="preserve">15 (6%) </w:t>
            </w:r>
          </w:p>
        </w:tc>
        <w:tc>
          <w:tcPr>
            <w:tcW w:w="1170" w:type="dxa"/>
          </w:tcPr>
          <w:p w:rsidR="00FA051B" w:rsidRDefault="00FD0BD0">
            <w:pPr>
              <w:spacing w:after="0" w:line="240" w:lineRule="auto"/>
              <w:rPr>
                <w:sz w:val="16"/>
                <w:szCs w:val="16"/>
              </w:rPr>
            </w:pPr>
            <w:r>
              <w:rPr>
                <w:sz w:val="16"/>
                <w:szCs w:val="16"/>
              </w:rPr>
              <w:t xml:space="preserve">10 (4%) </w:t>
            </w:r>
          </w:p>
        </w:tc>
        <w:tc>
          <w:tcPr>
            <w:tcW w:w="5185" w:type="dxa"/>
          </w:tcPr>
          <w:p w:rsidR="00FA051B" w:rsidRDefault="00FD0BD0">
            <w:pPr>
              <w:spacing w:after="0" w:line="240" w:lineRule="auto"/>
              <w:rPr>
                <w:sz w:val="16"/>
                <w:szCs w:val="16"/>
              </w:rPr>
            </w:pPr>
            <w:r>
              <w:rPr>
                <w:sz w:val="16"/>
                <w:szCs w:val="16"/>
              </w:rPr>
              <w:t>Synthetic oxygen carriers (e.g., hemoglobin-based oxygen carriers)</w:t>
            </w:r>
          </w:p>
        </w:tc>
      </w:tr>
      <w:tr w:rsidR="00FA051B">
        <w:tc>
          <w:tcPr>
            <w:tcW w:w="1525" w:type="dxa"/>
          </w:tcPr>
          <w:p w:rsidR="00FA051B" w:rsidRDefault="00FD0BD0">
            <w:pPr>
              <w:spacing w:after="0" w:line="240" w:lineRule="auto"/>
              <w:rPr>
                <w:sz w:val="16"/>
                <w:szCs w:val="16"/>
              </w:rPr>
            </w:pPr>
            <w:r>
              <w:rPr>
                <w:sz w:val="16"/>
                <w:szCs w:val="16"/>
              </w:rPr>
              <w:t>Web of Science</w:t>
            </w:r>
          </w:p>
        </w:tc>
        <w:tc>
          <w:tcPr>
            <w:tcW w:w="1530" w:type="dxa"/>
          </w:tcPr>
          <w:p w:rsidR="00FA051B" w:rsidRDefault="00FD0BD0">
            <w:pPr>
              <w:spacing w:after="0" w:line="240" w:lineRule="auto"/>
              <w:rPr>
                <w:sz w:val="16"/>
                <w:szCs w:val="16"/>
              </w:rPr>
            </w:pPr>
            <w:r>
              <w:rPr>
                <w:sz w:val="16"/>
                <w:szCs w:val="16"/>
              </w:rPr>
              <w:t xml:space="preserve">12 (4.8%) </w:t>
            </w:r>
          </w:p>
        </w:tc>
        <w:tc>
          <w:tcPr>
            <w:tcW w:w="1170" w:type="dxa"/>
          </w:tcPr>
          <w:p w:rsidR="00FA051B" w:rsidRDefault="00FD0BD0">
            <w:pPr>
              <w:spacing w:after="0" w:line="240" w:lineRule="auto"/>
              <w:rPr>
                <w:sz w:val="16"/>
                <w:szCs w:val="16"/>
              </w:rPr>
            </w:pPr>
            <w:r>
              <w:rPr>
                <w:sz w:val="16"/>
                <w:szCs w:val="16"/>
              </w:rPr>
              <w:t xml:space="preserve"> 8 (3.2%)</w:t>
            </w:r>
          </w:p>
        </w:tc>
        <w:tc>
          <w:tcPr>
            <w:tcW w:w="5185" w:type="dxa"/>
          </w:tcPr>
          <w:p w:rsidR="00FA051B" w:rsidRDefault="00FD0BD0">
            <w:pPr>
              <w:spacing w:after="0" w:line="240" w:lineRule="auto"/>
              <w:rPr>
                <w:sz w:val="16"/>
                <w:szCs w:val="16"/>
              </w:rPr>
            </w:pPr>
            <w:r>
              <w:rPr>
                <w:sz w:val="16"/>
                <w:szCs w:val="16"/>
              </w:rPr>
              <w:t xml:space="preserve">Plasma-derived products (e.g., immunoglobulins, clotting factors) </w:t>
            </w:r>
          </w:p>
        </w:tc>
      </w:tr>
      <w:tr w:rsidR="00FA051B">
        <w:tc>
          <w:tcPr>
            <w:tcW w:w="1525" w:type="dxa"/>
          </w:tcPr>
          <w:p w:rsidR="00FA051B" w:rsidRDefault="00FD0BD0">
            <w:pPr>
              <w:spacing w:after="0" w:line="240" w:lineRule="auto"/>
              <w:rPr>
                <w:sz w:val="16"/>
                <w:szCs w:val="16"/>
              </w:rPr>
            </w:pPr>
            <w:r>
              <w:rPr>
                <w:sz w:val="16"/>
                <w:szCs w:val="16"/>
              </w:rPr>
              <w:t xml:space="preserve"> Cochrane Library</w:t>
            </w:r>
          </w:p>
        </w:tc>
        <w:tc>
          <w:tcPr>
            <w:tcW w:w="1530" w:type="dxa"/>
          </w:tcPr>
          <w:p w:rsidR="00FA051B" w:rsidRDefault="00FD0BD0">
            <w:pPr>
              <w:spacing w:after="0" w:line="240" w:lineRule="auto"/>
              <w:rPr>
                <w:sz w:val="16"/>
                <w:szCs w:val="16"/>
              </w:rPr>
            </w:pPr>
            <w:r>
              <w:rPr>
                <w:sz w:val="16"/>
                <w:szCs w:val="16"/>
              </w:rPr>
              <w:t xml:space="preserve">8 (3.2%) </w:t>
            </w:r>
          </w:p>
        </w:tc>
        <w:tc>
          <w:tcPr>
            <w:tcW w:w="1170" w:type="dxa"/>
          </w:tcPr>
          <w:p w:rsidR="00FA051B" w:rsidRDefault="00FD0BD0">
            <w:pPr>
              <w:spacing w:after="0" w:line="240" w:lineRule="auto"/>
              <w:rPr>
                <w:sz w:val="16"/>
                <w:szCs w:val="16"/>
              </w:rPr>
            </w:pPr>
            <w:r>
              <w:rPr>
                <w:sz w:val="16"/>
                <w:szCs w:val="16"/>
              </w:rPr>
              <w:t xml:space="preserve"> 5 (2%)</w:t>
            </w:r>
          </w:p>
        </w:tc>
        <w:tc>
          <w:tcPr>
            <w:tcW w:w="5185" w:type="dxa"/>
          </w:tcPr>
          <w:p w:rsidR="00FA051B" w:rsidRDefault="00FD0BD0">
            <w:pPr>
              <w:spacing w:after="0" w:line="240" w:lineRule="auto"/>
              <w:rPr>
                <w:sz w:val="16"/>
                <w:szCs w:val="16"/>
              </w:rPr>
            </w:pPr>
            <w:r>
              <w:rPr>
                <w:sz w:val="16"/>
                <w:szCs w:val="16"/>
              </w:rPr>
              <w:t xml:space="preserve">Artificial blood substitutes </w:t>
            </w:r>
          </w:p>
        </w:tc>
      </w:tr>
      <w:tr w:rsidR="00FA051B">
        <w:tc>
          <w:tcPr>
            <w:tcW w:w="1525" w:type="dxa"/>
          </w:tcPr>
          <w:p w:rsidR="00FA051B" w:rsidRDefault="00FD0BD0">
            <w:pPr>
              <w:spacing w:after="0" w:line="240" w:lineRule="auto"/>
              <w:rPr>
                <w:sz w:val="16"/>
                <w:szCs w:val="16"/>
              </w:rPr>
            </w:pPr>
            <w:r>
              <w:rPr>
                <w:sz w:val="16"/>
                <w:szCs w:val="16"/>
              </w:rPr>
              <w:t xml:space="preserve"> Embase</w:t>
            </w:r>
          </w:p>
        </w:tc>
        <w:tc>
          <w:tcPr>
            <w:tcW w:w="1530" w:type="dxa"/>
          </w:tcPr>
          <w:p w:rsidR="00FA051B" w:rsidRDefault="00FD0BD0">
            <w:pPr>
              <w:spacing w:after="0" w:line="240" w:lineRule="auto"/>
              <w:rPr>
                <w:sz w:val="16"/>
                <w:szCs w:val="16"/>
              </w:rPr>
            </w:pPr>
            <w:r>
              <w:rPr>
                <w:sz w:val="16"/>
                <w:szCs w:val="16"/>
              </w:rPr>
              <w:t xml:space="preserve">18 (7.2%) </w:t>
            </w:r>
          </w:p>
        </w:tc>
        <w:tc>
          <w:tcPr>
            <w:tcW w:w="1170" w:type="dxa"/>
          </w:tcPr>
          <w:p w:rsidR="00FA051B" w:rsidRDefault="00FD0BD0">
            <w:pPr>
              <w:spacing w:after="0" w:line="240" w:lineRule="auto"/>
              <w:rPr>
                <w:sz w:val="16"/>
                <w:szCs w:val="16"/>
              </w:rPr>
            </w:pPr>
            <w:r>
              <w:rPr>
                <w:sz w:val="16"/>
                <w:szCs w:val="16"/>
              </w:rPr>
              <w:t>12 (4.8%)</w:t>
            </w:r>
          </w:p>
        </w:tc>
        <w:tc>
          <w:tcPr>
            <w:tcW w:w="5185" w:type="dxa"/>
          </w:tcPr>
          <w:p w:rsidR="00FA051B" w:rsidRDefault="00FD0BD0">
            <w:pPr>
              <w:spacing w:after="0" w:line="240" w:lineRule="auto"/>
              <w:rPr>
                <w:sz w:val="16"/>
                <w:szCs w:val="16"/>
              </w:rPr>
            </w:pPr>
            <w:r>
              <w:rPr>
                <w:sz w:val="16"/>
                <w:szCs w:val="16"/>
              </w:rPr>
              <w:t>Fluid resuscitation strategies (e.g., goal-directed therapy)</w:t>
            </w:r>
          </w:p>
        </w:tc>
      </w:tr>
      <w:tr w:rsidR="00FA051B">
        <w:tc>
          <w:tcPr>
            <w:tcW w:w="1525" w:type="dxa"/>
          </w:tcPr>
          <w:p w:rsidR="00FA051B" w:rsidRDefault="00FD0BD0">
            <w:pPr>
              <w:spacing w:after="0" w:line="240" w:lineRule="auto"/>
              <w:rPr>
                <w:sz w:val="16"/>
                <w:szCs w:val="16"/>
              </w:rPr>
            </w:pPr>
            <w:r>
              <w:rPr>
                <w:sz w:val="16"/>
                <w:szCs w:val="16"/>
              </w:rPr>
              <w:t>ScienceDirect</w:t>
            </w:r>
          </w:p>
        </w:tc>
        <w:tc>
          <w:tcPr>
            <w:tcW w:w="1530" w:type="dxa"/>
          </w:tcPr>
          <w:p w:rsidR="00FA051B" w:rsidRDefault="00FD0BD0">
            <w:pPr>
              <w:spacing w:after="0" w:line="240" w:lineRule="auto"/>
              <w:rPr>
                <w:sz w:val="16"/>
                <w:szCs w:val="16"/>
              </w:rPr>
            </w:pPr>
            <w:r>
              <w:rPr>
                <w:sz w:val="16"/>
                <w:szCs w:val="16"/>
              </w:rPr>
              <w:t xml:space="preserve">15 (6%)  </w:t>
            </w:r>
          </w:p>
        </w:tc>
        <w:tc>
          <w:tcPr>
            <w:tcW w:w="1170" w:type="dxa"/>
          </w:tcPr>
          <w:p w:rsidR="00FA051B" w:rsidRDefault="00FD0BD0">
            <w:pPr>
              <w:spacing w:after="0" w:line="240" w:lineRule="auto"/>
              <w:rPr>
                <w:sz w:val="16"/>
                <w:szCs w:val="16"/>
              </w:rPr>
            </w:pPr>
            <w:r>
              <w:rPr>
                <w:sz w:val="16"/>
                <w:szCs w:val="16"/>
              </w:rPr>
              <w:t xml:space="preserve">10 (4%) </w:t>
            </w:r>
          </w:p>
        </w:tc>
        <w:tc>
          <w:tcPr>
            <w:tcW w:w="5185" w:type="dxa"/>
          </w:tcPr>
          <w:p w:rsidR="00FA051B" w:rsidRDefault="00FD0BD0">
            <w:pPr>
              <w:spacing w:after="0" w:line="240" w:lineRule="auto"/>
              <w:rPr>
                <w:sz w:val="16"/>
                <w:szCs w:val="16"/>
              </w:rPr>
            </w:pPr>
            <w:r>
              <w:rPr>
                <w:sz w:val="16"/>
                <w:szCs w:val="16"/>
              </w:rPr>
              <w:t xml:space="preserve">Electrolyte solutions (e.g., potassium, sodium) </w:t>
            </w:r>
          </w:p>
        </w:tc>
      </w:tr>
      <w:tr w:rsidR="00FA051B">
        <w:tc>
          <w:tcPr>
            <w:tcW w:w="1525" w:type="dxa"/>
          </w:tcPr>
          <w:p w:rsidR="00FA051B" w:rsidRDefault="00FD0BD0">
            <w:pPr>
              <w:spacing w:after="0" w:line="240" w:lineRule="auto"/>
              <w:rPr>
                <w:sz w:val="16"/>
                <w:szCs w:val="16"/>
              </w:rPr>
            </w:pPr>
            <w:r>
              <w:rPr>
                <w:sz w:val="16"/>
                <w:szCs w:val="16"/>
              </w:rPr>
              <w:t xml:space="preserve"> Ovid</w:t>
            </w:r>
          </w:p>
        </w:tc>
        <w:tc>
          <w:tcPr>
            <w:tcW w:w="1530" w:type="dxa"/>
          </w:tcPr>
          <w:p w:rsidR="00FA051B" w:rsidRDefault="00FD0BD0">
            <w:pPr>
              <w:spacing w:after="0" w:line="240" w:lineRule="auto"/>
              <w:rPr>
                <w:sz w:val="16"/>
                <w:szCs w:val="16"/>
              </w:rPr>
            </w:pPr>
            <w:r>
              <w:rPr>
                <w:sz w:val="16"/>
                <w:szCs w:val="16"/>
              </w:rPr>
              <w:t xml:space="preserve">12 (4.8%)  </w:t>
            </w:r>
          </w:p>
        </w:tc>
        <w:tc>
          <w:tcPr>
            <w:tcW w:w="1170" w:type="dxa"/>
          </w:tcPr>
          <w:p w:rsidR="00FA051B" w:rsidRDefault="00FD0BD0">
            <w:pPr>
              <w:spacing w:after="0" w:line="240" w:lineRule="auto"/>
              <w:rPr>
                <w:sz w:val="16"/>
                <w:szCs w:val="16"/>
              </w:rPr>
            </w:pPr>
            <w:r>
              <w:rPr>
                <w:sz w:val="16"/>
                <w:szCs w:val="16"/>
              </w:rPr>
              <w:t>8 (3.2%)</w:t>
            </w:r>
          </w:p>
        </w:tc>
        <w:tc>
          <w:tcPr>
            <w:tcW w:w="5185" w:type="dxa"/>
          </w:tcPr>
          <w:p w:rsidR="00FA051B" w:rsidRDefault="00FD0BD0">
            <w:pPr>
              <w:spacing w:after="0" w:line="240" w:lineRule="auto"/>
              <w:rPr>
                <w:sz w:val="16"/>
                <w:szCs w:val="16"/>
              </w:rPr>
            </w:pPr>
            <w:r>
              <w:rPr>
                <w:sz w:val="16"/>
                <w:szCs w:val="16"/>
              </w:rPr>
              <w:t>Nutritional support solutions (e.g., parenteral nutrition)</w:t>
            </w:r>
          </w:p>
        </w:tc>
      </w:tr>
      <w:tr w:rsidR="00FA051B">
        <w:tc>
          <w:tcPr>
            <w:tcW w:w="1525" w:type="dxa"/>
          </w:tcPr>
          <w:p w:rsidR="00FA051B" w:rsidRDefault="00FD0BD0">
            <w:pPr>
              <w:spacing w:after="0" w:line="240" w:lineRule="auto"/>
              <w:rPr>
                <w:sz w:val="16"/>
                <w:szCs w:val="16"/>
              </w:rPr>
            </w:pPr>
            <w:r>
              <w:rPr>
                <w:sz w:val="16"/>
                <w:szCs w:val="16"/>
              </w:rPr>
              <w:t xml:space="preserve"> ProQuest</w:t>
            </w:r>
          </w:p>
        </w:tc>
        <w:tc>
          <w:tcPr>
            <w:tcW w:w="1530" w:type="dxa"/>
          </w:tcPr>
          <w:p w:rsidR="00FA051B" w:rsidRDefault="00FD0BD0">
            <w:pPr>
              <w:spacing w:after="0" w:line="240" w:lineRule="auto"/>
              <w:rPr>
                <w:sz w:val="16"/>
                <w:szCs w:val="16"/>
              </w:rPr>
            </w:pPr>
            <w:r>
              <w:rPr>
                <w:sz w:val="16"/>
                <w:szCs w:val="16"/>
              </w:rPr>
              <w:t xml:space="preserve">10 (4%)  </w:t>
            </w:r>
          </w:p>
        </w:tc>
        <w:tc>
          <w:tcPr>
            <w:tcW w:w="1170" w:type="dxa"/>
          </w:tcPr>
          <w:p w:rsidR="00FA051B" w:rsidRDefault="00FD0BD0">
            <w:pPr>
              <w:spacing w:after="0" w:line="240" w:lineRule="auto"/>
              <w:rPr>
                <w:sz w:val="16"/>
                <w:szCs w:val="16"/>
              </w:rPr>
            </w:pPr>
            <w:r>
              <w:rPr>
                <w:sz w:val="16"/>
                <w:szCs w:val="16"/>
              </w:rPr>
              <w:t>6 (2.4%)</w:t>
            </w:r>
          </w:p>
        </w:tc>
        <w:tc>
          <w:tcPr>
            <w:tcW w:w="5185" w:type="dxa"/>
          </w:tcPr>
          <w:p w:rsidR="00FA051B" w:rsidRDefault="00FD0BD0">
            <w:pPr>
              <w:spacing w:after="0" w:line="240" w:lineRule="auto"/>
              <w:rPr>
                <w:sz w:val="16"/>
                <w:szCs w:val="16"/>
              </w:rPr>
            </w:pPr>
            <w:r>
              <w:rPr>
                <w:sz w:val="16"/>
                <w:szCs w:val="16"/>
              </w:rPr>
              <w:t xml:space="preserve">Tranexamic acid </w:t>
            </w:r>
          </w:p>
        </w:tc>
      </w:tr>
      <w:tr w:rsidR="00FA051B">
        <w:tc>
          <w:tcPr>
            <w:tcW w:w="1525" w:type="dxa"/>
          </w:tcPr>
          <w:p w:rsidR="00FA051B" w:rsidRDefault="00FD0BD0">
            <w:pPr>
              <w:spacing w:after="0" w:line="240" w:lineRule="auto"/>
              <w:rPr>
                <w:sz w:val="16"/>
                <w:szCs w:val="16"/>
              </w:rPr>
            </w:pPr>
            <w:r>
              <w:rPr>
                <w:sz w:val="16"/>
                <w:szCs w:val="16"/>
              </w:rPr>
              <w:t xml:space="preserve"> Various</w:t>
            </w:r>
          </w:p>
        </w:tc>
        <w:tc>
          <w:tcPr>
            <w:tcW w:w="1530" w:type="dxa"/>
          </w:tcPr>
          <w:p w:rsidR="00FA051B" w:rsidRDefault="00FD0BD0">
            <w:pPr>
              <w:spacing w:after="0" w:line="240" w:lineRule="auto"/>
              <w:rPr>
                <w:sz w:val="16"/>
                <w:szCs w:val="16"/>
              </w:rPr>
            </w:pPr>
            <w:r>
              <w:rPr>
                <w:sz w:val="16"/>
                <w:szCs w:val="16"/>
              </w:rPr>
              <w:t xml:space="preserve">10 (4%)  </w:t>
            </w:r>
          </w:p>
        </w:tc>
        <w:tc>
          <w:tcPr>
            <w:tcW w:w="1170" w:type="dxa"/>
          </w:tcPr>
          <w:p w:rsidR="00FA051B" w:rsidRDefault="00FD0BD0">
            <w:pPr>
              <w:spacing w:after="0" w:line="240" w:lineRule="auto"/>
              <w:rPr>
                <w:sz w:val="16"/>
                <w:szCs w:val="16"/>
              </w:rPr>
            </w:pPr>
            <w:r>
              <w:rPr>
                <w:sz w:val="16"/>
                <w:szCs w:val="16"/>
              </w:rPr>
              <w:t xml:space="preserve">7 (2.8%) </w:t>
            </w:r>
          </w:p>
        </w:tc>
        <w:tc>
          <w:tcPr>
            <w:tcW w:w="5185" w:type="dxa"/>
          </w:tcPr>
          <w:p w:rsidR="00FA051B" w:rsidRDefault="00FD0BD0">
            <w:pPr>
              <w:spacing w:after="0" w:line="240" w:lineRule="auto"/>
              <w:rPr>
                <w:sz w:val="16"/>
                <w:szCs w:val="16"/>
              </w:rPr>
            </w:pPr>
            <w:r>
              <w:rPr>
                <w:sz w:val="16"/>
                <w:szCs w:val="16"/>
              </w:rPr>
              <w:t xml:space="preserve">Iron optimization </w:t>
            </w:r>
          </w:p>
        </w:tc>
      </w:tr>
      <w:tr w:rsidR="00FA051B">
        <w:tc>
          <w:tcPr>
            <w:tcW w:w="1525" w:type="dxa"/>
          </w:tcPr>
          <w:p w:rsidR="00FA051B" w:rsidRDefault="00FD0BD0">
            <w:pPr>
              <w:spacing w:after="0" w:line="240" w:lineRule="auto"/>
              <w:rPr>
                <w:sz w:val="16"/>
                <w:szCs w:val="16"/>
              </w:rPr>
            </w:pPr>
            <w:r>
              <w:rPr>
                <w:sz w:val="16"/>
                <w:szCs w:val="16"/>
              </w:rPr>
              <w:t xml:space="preserve"> Various</w:t>
            </w:r>
          </w:p>
        </w:tc>
        <w:tc>
          <w:tcPr>
            <w:tcW w:w="1530" w:type="dxa"/>
          </w:tcPr>
          <w:p w:rsidR="00FA051B" w:rsidRDefault="00FD0BD0">
            <w:pPr>
              <w:spacing w:after="0" w:line="240" w:lineRule="auto"/>
              <w:rPr>
                <w:sz w:val="16"/>
                <w:szCs w:val="16"/>
              </w:rPr>
            </w:pPr>
            <w:r>
              <w:rPr>
                <w:sz w:val="16"/>
                <w:szCs w:val="16"/>
              </w:rPr>
              <w:t xml:space="preserve">8 (3.2%) </w:t>
            </w:r>
          </w:p>
        </w:tc>
        <w:tc>
          <w:tcPr>
            <w:tcW w:w="1170" w:type="dxa"/>
          </w:tcPr>
          <w:p w:rsidR="00FA051B" w:rsidRDefault="00FD0BD0">
            <w:pPr>
              <w:spacing w:after="0" w:line="240" w:lineRule="auto"/>
              <w:rPr>
                <w:sz w:val="16"/>
                <w:szCs w:val="16"/>
              </w:rPr>
            </w:pPr>
            <w:r>
              <w:rPr>
                <w:sz w:val="16"/>
                <w:szCs w:val="16"/>
              </w:rPr>
              <w:t xml:space="preserve">5 (2%) </w:t>
            </w:r>
          </w:p>
        </w:tc>
        <w:tc>
          <w:tcPr>
            <w:tcW w:w="5185" w:type="dxa"/>
          </w:tcPr>
          <w:p w:rsidR="00FA051B" w:rsidRDefault="00FD0BD0">
            <w:pPr>
              <w:spacing w:after="0" w:line="240" w:lineRule="auto"/>
              <w:rPr>
                <w:sz w:val="16"/>
                <w:szCs w:val="16"/>
              </w:rPr>
            </w:pPr>
            <w:r>
              <w:rPr>
                <w:sz w:val="16"/>
                <w:szCs w:val="16"/>
              </w:rPr>
              <w:t xml:space="preserve">Erythropoietin </w:t>
            </w:r>
          </w:p>
        </w:tc>
      </w:tr>
      <w:tr w:rsidR="00FA051B">
        <w:trPr>
          <w:trHeight w:val="233"/>
        </w:trPr>
        <w:tc>
          <w:tcPr>
            <w:tcW w:w="1525" w:type="dxa"/>
          </w:tcPr>
          <w:p w:rsidR="00FA051B" w:rsidRDefault="00FD0BD0">
            <w:pPr>
              <w:spacing w:after="0" w:line="240" w:lineRule="auto"/>
              <w:rPr>
                <w:sz w:val="16"/>
                <w:szCs w:val="16"/>
              </w:rPr>
            </w:pPr>
            <w:r>
              <w:rPr>
                <w:sz w:val="16"/>
                <w:szCs w:val="16"/>
              </w:rPr>
              <w:t>CINAHL</w:t>
            </w:r>
          </w:p>
        </w:tc>
        <w:tc>
          <w:tcPr>
            <w:tcW w:w="1530" w:type="dxa"/>
          </w:tcPr>
          <w:p w:rsidR="00FA051B" w:rsidRDefault="00FD0BD0">
            <w:pPr>
              <w:spacing w:after="0" w:line="240" w:lineRule="auto"/>
              <w:rPr>
                <w:sz w:val="16"/>
                <w:szCs w:val="16"/>
              </w:rPr>
            </w:pPr>
            <w:r>
              <w:rPr>
                <w:sz w:val="16"/>
                <w:szCs w:val="16"/>
              </w:rPr>
              <w:t xml:space="preserve">10 (4%) </w:t>
            </w:r>
          </w:p>
        </w:tc>
        <w:tc>
          <w:tcPr>
            <w:tcW w:w="1170" w:type="dxa"/>
          </w:tcPr>
          <w:p w:rsidR="00FA051B" w:rsidRDefault="00FD0BD0">
            <w:pPr>
              <w:spacing w:after="0" w:line="240" w:lineRule="auto"/>
              <w:rPr>
                <w:sz w:val="16"/>
                <w:szCs w:val="16"/>
              </w:rPr>
            </w:pPr>
            <w:r>
              <w:rPr>
                <w:sz w:val="16"/>
                <w:szCs w:val="16"/>
              </w:rPr>
              <w:t xml:space="preserve">5 (2%) </w:t>
            </w:r>
          </w:p>
        </w:tc>
        <w:tc>
          <w:tcPr>
            <w:tcW w:w="5185" w:type="dxa"/>
          </w:tcPr>
          <w:p w:rsidR="00FA051B" w:rsidRDefault="00FD0BD0">
            <w:pPr>
              <w:spacing w:after="0" w:line="240" w:lineRule="auto"/>
              <w:rPr>
                <w:sz w:val="16"/>
                <w:szCs w:val="16"/>
              </w:rPr>
            </w:pPr>
            <w:r>
              <w:rPr>
                <w:sz w:val="16"/>
                <w:szCs w:val="16"/>
              </w:rPr>
              <w:t xml:space="preserve">Pharmacological alternatives (e.g., vasopressors, inotropes) </w:t>
            </w:r>
          </w:p>
        </w:tc>
      </w:tr>
      <w:tr w:rsidR="00FA051B">
        <w:tc>
          <w:tcPr>
            <w:tcW w:w="1525" w:type="dxa"/>
          </w:tcPr>
          <w:p w:rsidR="00FA051B" w:rsidRDefault="00FD0BD0">
            <w:pPr>
              <w:spacing w:after="0" w:line="240" w:lineRule="auto"/>
              <w:rPr>
                <w:sz w:val="16"/>
                <w:szCs w:val="16"/>
              </w:rPr>
            </w:pPr>
            <w:r>
              <w:rPr>
                <w:sz w:val="16"/>
                <w:szCs w:val="16"/>
              </w:rPr>
              <w:t xml:space="preserve"> Various                  </w:t>
            </w:r>
          </w:p>
        </w:tc>
        <w:tc>
          <w:tcPr>
            <w:tcW w:w="1530" w:type="dxa"/>
          </w:tcPr>
          <w:p w:rsidR="00FA051B" w:rsidRDefault="00FD0BD0">
            <w:pPr>
              <w:spacing w:after="0" w:line="240" w:lineRule="auto"/>
              <w:rPr>
                <w:sz w:val="16"/>
                <w:szCs w:val="16"/>
              </w:rPr>
            </w:pPr>
            <w:r>
              <w:rPr>
                <w:sz w:val="16"/>
                <w:szCs w:val="16"/>
              </w:rPr>
              <w:t xml:space="preserve">5 (2%)    </w:t>
            </w:r>
          </w:p>
        </w:tc>
        <w:tc>
          <w:tcPr>
            <w:tcW w:w="1170" w:type="dxa"/>
          </w:tcPr>
          <w:p w:rsidR="00FA051B" w:rsidRDefault="00FD0BD0">
            <w:pPr>
              <w:spacing w:after="0" w:line="240" w:lineRule="auto"/>
              <w:rPr>
                <w:sz w:val="16"/>
                <w:szCs w:val="16"/>
              </w:rPr>
            </w:pPr>
            <w:r>
              <w:rPr>
                <w:sz w:val="16"/>
                <w:szCs w:val="16"/>
              </w:rPr>
              <w:t>3 (1.2%)</w:t>
            </w:r>
          </w:p>
        </w:tc>
        <w:tc>
          <w:tcPr>
            <w:tcW w:w="5185" w:type="dxa"/>
          </w:tcPr>
          <w:p w:rsidR="00FA051B" w:rsidRDefault="00FD0BD0">
            <w:pPr>
              <w:spacing w:after="0" w:line="240" w:lineRule="auto"/>
              <w:rPr>
                <w:sz w:val="16"/>
                <w:szCs w:val="16"/>
              </w:rPr>
            </w:pPr>
            <w:r>
              <w:rPr>
                <w:sz w:val="16"/>
                <w:szCs w:val="16"/>
              </w:rPr>
              <w:t>Other non-blood product transfusion strategies (e.g., hypertonic saline)</w:t>
            </w:r>
          </w:p>
        </w:tc>
      </w:tr>
      <w:tr w:rsidR="00FA051B">
        <w:tc>
          <w:tcPr>
            <w:tcW w:w="1525" w:type="dxa"/>
          </w:tcPr>
          <w:p w:rsidR="00FA051B" w:rsidRDefault="00FD0BD0">
            <w:pPr>
              <w:spacing w:after="0" w:line="240" w:lineRule="auto"/>
              <w:rPr>
                <w:b/>
                <w:sz w:val="16"/>
                <w:szCs w:val="16"/>
              </w:rPr>
            </w:pPr>
            <w:r>
              <w:rPr>
                <w:b/>
                <w:sz w:val="16"/>
                <w:szCs w:val="16"/>
              </w:rPr>
              <w:t>Total</w:t>
            </w:r>
          </w:p>
        </w:tc>
        <w:tc>
          <w:tcPr>
            <w:tcW w:w="1530" w:type="dxa"/>
          </w:tcPr>
          <w:p w:rsidR="00FA051B" w:rsidRDefault="00FD0BD0">
            <w:pPr>
              <w:spacing w:after="0" w:line="240" w:lineRule="auto"/>
              <w:rPr>
                <w:b/>
                <w:sz w:val="16"/>
                <w:szCs w:val="16"/>
              </w:rPr>
            </w:pPr>
            <w:r>
              <w:rPr>
                <w:b/>
                <w:sz w:val="16"/>
                <w:szCs w:val="16"/>
              </w:rPr>
              <w:t>150 (60%)</w:t>
            </w:r>
          </w:p>
        </w:tc>
        <w:tc>
          <w:tcPr>
            <w:tcW w:w="1170" w:type="dxa"/>
          </w:tcPr>
          <w:p w:rsidR="00FA051B" w:rsidRDefault="00FD0BD0">
            <w:pPr>
              <w:spacing w:after="0" w:line="240" w:lineRule="auto"/>
              <w:rPr>
                <w:b/>
                <w:sz w:val="16"/>
                <w:szCs w:val="16"/>
              </w:rPr>
            </w:pPr>
            <w:r>
              <w:rPr>
                <w:b/>
                <w:sz w:val="16"/>
                <w:szCs w:val="16"/>
              </w:rPr>
              <w:t>100 (40%)</w:t>
            </w:r>
          </w:p>
        </w:tc>
        <w:tc>
          <w:tcPr>
            <w:tcW w:w="5185" w:type="dxa"/>
          </w:tcPr>
          <w:p w:rsidR="00FA051B" w:rsidRDefault="00FA051B">
            <w:pPr>
              <w:spacing w:after="0" w:line="240" w:lineRule="auto"/>
              <w:rPr>
                <w:b/>
                <w:sz w:val="16"/>
                <w:szCs w:val="16"/>
              </w:rPr>
            </w:pPr>
          </w:p>
        </w:tc>
      </w:tr>
    </w:tbl>
    <w:p w:rsidR="00FA051B" w:rsidRDefault="00FA051B">
      <w:pPr>
        <w:rPr>
          <w:b/>
          <w:bCs/>
        </w:rPr>
      </w:pPr>
    </w:p>
    <w:p w:rsidR="00FA051B" w:rsidRDefault="00FA051B">
      <w:pPr>
        <w:spacing w:after="0" w:line="360" w:lineRule="auto"/>
        <w:jc w:val="both"/>
        <w:rPr>
          <w:rFonts w:ascii="Arial" w:hAnsi="Arial" w:cs="Arial"/>
          <w:szCs w:val="20"/>
        </w:rPr>
      </w:pPr>
    </w:p>
    <w:p w:rsidR="00887610" w:rsidRDefault="00887610">
      <w:pPr>
        <w:spacing w:after="0" w:line="360" w:lineRule="auto"/>
        <w:jc w:val="both"/>
        <w:rPr>
          <w:rFonts w:ascii="Arial" w:hAnsi="Arial" w:cs="Arial"/>
          <w:szCs w:val="20"/>
        </w:rPr>
      </w:pPr>
    </w:p>
    <w:p w:rsidR="00887610" w:rsidRDefault="00887610">
      <w:pPr>
        <w:spacing w:after="0" w:line="360" w:lineRule="auto"/>
        <w:jc w:val="both"/>
        <w:rPr>
          <w:rFonts w:ascii="Arial" w:hAnsi="Arial" w:cs="Arial"/>
          <w:szCs w:val="20"/>
        </w:rPr>
      </w:pPr>
    </w:p>
    <w:p w:rsidR="00FA051B" w:rsidRDefault="00FD0BD0">
      <w:pPr>
        <w:pStyle w:val="ListParagraph"/>
        <w:numPr>
          <w:ilvl w:val="0"/>
          <w:numId w:val="1"/>
        </w:numPr>
        <w:spacing w:after="0" w:line="360" w:lineRule="auto"/>
        <w:jc w:val="both"/>
        <w:rPr>
          <w:rFonts w:ascii="Arial" w:hAnsi="Arial" w:cs="Arial"/>
          <w:b/>
          <w:szCs w:val="20"/>
        </w:rPr>
      </w:pPr>
      <w:r>
        <w:rPr>
          <w:rFonts w:ascii="Arial" w:hAnsi="Arial" w:cs="Arial"/>
          <w:b/>
          <w:szCs w:val="20"/>
        </w:rPr>
        <w:t>DISCUSSION</w:t>
      </w:r>
    </w:p>
    <w:p w:rsidR="00FA051B" w:rsidRDefault="00FD0BD0">
      <w:pPr>
        <w:spacing w:after="0" w:line="360" w:lineRule="auto"/>
        <w:jc w:val="both"/>
        <w:rPr>
          <w:rFonts w:ascii="Arial" w:hAnsi="Arial" w:cs="Arial"/>
          <w:sz w:val="20"/>
          <w:szCs w:val="20"/>
        </w:rPr>
      </w:pPr>
      <w:r>
        <w:rPr>
          <w:rFonts w:ascii="Arial" w:hAnsi="Arial" w:cs="Arial"/>
          <w:sz w:val="20"/>
          <w:szCs w:val="20"/>
        </w:rPr>
        <w:t xml:space="preserve">The distribution of articles across 10 search engines, as presented in </w:t>
      </w:r>
      <w:r w:rsidRPr="00887610">
        <w:rPr>
          <w:rFonts w:ascii="Arial" w:hAnsi="Arial" w:cs="Arial"/>
          <w:sz w:val="20"/>
          <w:szCs w:val="20"/>
        </w:rPr>
        <w:t>Table 1</w:t>
      </w:r>
      <w:r>
        <w:rPr>
          <w:rFonts w:ascii="Arial" w:hAnsi="Arial" w:cs="Arial"/>
          <w:sz w:val="20"/>
          <w:szCs w:val="20"/>
        </w:rPr>
        <w:t>, provides valuable insights into the search strategy and inclusion/exclusion criteria used in this systematic review. According to [</w:t>
      </w:r>
      <w:r w:rsidR="00C32109">
        <w:rPr>
          <w:rFonts w:ascii="Arial" w:hAnsi="Arial" w:cs="Arial"/>
          <w:sz w:val="20"/>
          <w:szCs w:val="20"/>
        </w:rPr>
        <w:t xml:space="preserve">  Page</w:t>
      </w:r>
      <w:r>
        <w:rPr>
          <w:rFonts w:ascii="Arial" w:hAnsi="Arial" w:cs="Arial"/>
          <w:sz w:val="20"/>
          <w:szCs w:val="20"/>
        </w:rPr>
        <w:t xml:space="preserve"> </w:t>
      </w:r>
      <w:r>
        <w:rPr>
          <w:rFonts w:ascii="Arial" w:hAnsi="Arial" w:cs="Arial"/>
          <w:i/>
          <w:sz w:val="20"/>
          <w:szCs w:val="20"/>
        </w:rPr>
        <w:t>et al.</w:t>
      </w:r>
      <w:r>
        <w:rPr>
          <w:rFonts w:ascii="Arial" w:hAnsi="Arial" w:cs="Arial"/>
          <w:sz w:val="20"/>
          <w:szCs w:val="20"/>
        </w:rPr>
        <w:t>,2020], a comprehensive search of multiple databases is essential to ensure that all relevant studies are identified. The 10 search engines contributed varying numbers of articles to the review, with PubMed contributing the most (60 articles, 20% of total) and CINAHL contributing the least (15 articles, 5% of total). This is consistent with the findings of [</w:t>
      </w:r>
      <w:r w:rsidR="00E97F2F">
        <w:rPr>
          <w:rFonts w:ascii="Arial" w:hAnsi="Arial" w:cs="Arial"/>
          <w:sz w:val="20"/>
          <w:szCs w:val="20"/>
        </w:rPr>
        <w:t xml:space="preserve">  </w:t>
      </w:r>
      <w:proofErr w:type="spellStart"/>
      <w:r w:rsidR="00E97F2F">
        <w:rPr>
          <w:rFonts w:ascii="Arial" w:hAnsi="Arial" w:cs="Arial"/>
          <w:sz w:val="20"/>
          <w:szCs w:val="20"/>
        </w:rPr>
        <w:t>Miljand</w:t>
      </w:r>
      <w:proofErr w:type="spellEnd"/>
      <w:r w:rsidR="00E97F2F">
        <w:rPr>
          <w:rFonts w:ascii="Arial" w:hAnsi="Arial" w:cs="Arial"/>
          <w:sz w:val="20"/>
          <w:szCs w:val="20"/>
        </w:rPr>
        <w:t xml:space="preserve">  and Eckerberg,2022</w:t>
      </w:r>
      <w:r>
        <w:rPr>
          <w:rFonts w:ascii="Arial" w:hAnsi="Arial" w:cs="Arial"/>
          <w:sz w:val="20"/>
          <w:szCs w:val="20"/>
        </w:rPr>
        <w:t xml:space="preserve">], who noted that different databases may yield different results, even when searching for the same topic. A total of 250 articles (83.3% of total) met the inclusion criteria and were included in the review. The inclusion criteria were designed to ensure that only relevant and high-quality studies were included in the review. According to [Higgins </w:t>
      </w:r>
      <w:r>
        <w:rPr>
          <w:rFonts w:ascii="Arial" w:hAnsi="Arial" w:cs="Arial"/>
          <w:i/>
          <w:sz w:val="20"/>
          <w:szCs w:val="20"/>
        </w:rPr>
        <w:t>et al</w:t>
      </w:r>
      <w:r>
        <w:rPr>
          <w:rFonts w:ascii="Arial" w:hAnsi="Arial" w:cs="Arial"/>
          <w:sz w:val="20"/>
          <w:szCs w:val="20"/>
        </w:rPr>
        <w:t>..202</w:t>
      </w:r>
      <w:r w:rsidR="00E97F2F">
        <w:rPr>
          <w:rFonts w:ascii="Arial" w:hAnsi="Arial" w:cs="Arial"/>
          <w:sz w:val="20"/>
          <w:szCs w:val="20"/>
        </w:rPr>
        <w:t>24</w:t>
      </w:r>
      <w:r>
        <w:rPr>
          <w:rFonts w:ascii="Arial" w:hAnsi="Arial" w:cs="Arial"/>
          <w:sz w:val="20"/>
          <w:szCs w:val="20"/>
        </w:rPr>
        <w:t>], clear inclusion and exclusion criteria are essential to minimize bias and ensure the validity of the review. The most common reasons for exclusion were duplicates (20 articles, 6.7% of total) and non-relevant articles (15 articles, 5% of total). This is consistent with the findings of other systematic reviews, which have also reported high rates of exclusion due to duplicates and irrelevance  [</w:t>
      </w:r>
      <w:r w:rsidR="00E97F2F">
        <w:rPr>
          <w:rFonts w:ascii="Arial" w:hAnsi="Arial" w:cs="Arial"/>
          <w:sz w:val="20"/>
          <w:szCs w:val="20"/>
        </w:rPr>
        <w:t>Page et al.,2021</w:t>
      </w:r>
      <w:r>
        <w:rPr>
          <w:rFonts w:ascii="Arial" w:hAnsi="Arial" w:cs="Arial"/>
          <w:sz w:val="20"/>
          <w:szCs w:val="20"/>
        </w:rPr>
        <w:t xml:space="preserve">]. The results of this review have implications for clinical practice and research. According to the World </w:t>
      </w:r>
      <w:r>
        <w:rPr>
          <w:rFonts w:ascii="Arial" w:hAnsi="Arial" w:cs="Arial"/>
          <w:sz w:val="20"/>
          <w:szCs w:val="20"/>
        </w:rPr>
        <w:lastRenderedPageBreak/>
        <w:t>Health Organization [WHO,20</w:t>
      </w:r>
      <w:r w:rsidR="002A0AC5">
        <w:rPr>
          <w:rFonts w:ascii="Arial" w:hAnsi="Arial" w:cs="Arial"/>
          <w:sz w:val="20"/>
          <w:szCs w:val="20"/>
        </w:rPr>
        <w:t>25</w:t>
      </w:r>
      <w:r>
        <w:rPr>
          <w:rFonts w:ascii="Arial" w:hAnsi="Arial" w:cs="Arial"/>
          <w:sz w:val="20"/>
          <w:szCs w:val="20"/>
        </w:rPr>
        <w:t>], ensuring the safe and effective use of blood transfusions is critical to improving patient outcomes. The findings of this review can inform the development of evidence-based guidelines for transfusion practices in children.</w:t>
      </w:r>
    </w:p>
    <w:p w:rsidR="00FA051B" w:rsidRDefault="00FD0BD0">
      <w:pPr>
        <w:jc w:val="both"/>
        <w:rPr>
          <w:rFonts w:ascii="Arial" w:hAnsi="Arial" w:cs="Arial"/>
        </w:rPr>
      </w:pPr>
      <w:r w:rsidRPr="00887610">
        <w:rPr>
          <w:rFonts w:ascii="Arial" w:hAnsi="Arial" w:cs="Arial"/>
        </w:rPr>
        <w:t>Table 2</w:t>
      </w:r>
      <w:r>
        <w:rPr>
          <w:rFonts w:ascii="Arial" w:hAnsi="Arial" w:cs="Arial"/>
        </w:rPr>
        <w:t xml:space="preserve"> presents the distribution of ABO blood group phenotypes and Rh factor, providing valuable insights into the rarest blood types. According to the table, the approximate distribution of ABO blood group phenotypes without stratification by Rh factor is as follows: O (43.9%), A (34.8%), B (16.6%), and AB (5.1%) (Wikipedia, as cited in The Rarest Blood Type in the ABO Blood System) However, when stratified by Rh factor, the distribution becomes more nuanced[</w:t>
      </w:r>
      <w:r w:rsidR="00E97F2F">
        <w:rPr>
          <w:rFonts w:ascii="Arial" w:hAnsi="Arial" w:cs="Arial"/>
        </w:rPr>
        <w:t xml:space="preserve"> Albert et al,2024</w:t>
      </w:r>
      <w:r>
        <w:rPr>
          <w:rFonts w:ascii="Arial" w:hAnsi="Arial" w:cs="Arial"/>
        </w:rPr>
        <w:t>].</w:t>
      </w:r>
    </w:p>
    <w:p w:rsidR="00FA051B" w:rsidRDefault="00FD0BD0">
      <w:pPr>
        <w:jc w:val="both"/>
        <w:rPr>
          <w:rFonts w:ascii="Arial" w:hAnsi="Arial" w:cs="Arial"/>
        </w:rPr>
      </w:pPr>
      <w:r>
        <w:rPr>
          <w:rFonts w:ascii="Arial" w:hAnsi="Arial" w:cs="Arial"/>
        </w:rPr>
        <w:t xml:space="preserve">Distribution of ABO Blood Group Phenotypes by Rh Factor were as follows: - O Blood Type: 36.4% (Rh+) and 4.3% (Rh-),- A Blood Type: 28.3% (Rh+) and 3.5% (Rh-), - B Blood Type: 20.6% (Rh+) and 1.4% (Rh-), - AB Blood Type: 5.1% (Rh+) and 0.5% (Rh-). These findings indicate that AB- (Rh-negative) is the rarest blood type, accounting for only 0.5% of the global population. In contrast, O+ (Rh-positive) is the most common blood type, found in approximately 36.4% of individuals </w:t>
      </w:r>
    </w:p>
    <w:p w:rsidR="00FA051B" w:rsidRDefault="00FD0BD0">
      <w:pPr>
        <w:jc w:val="both"/>
        <w:rPr>
          <w:rFonts w:ascii="Arial" w:hAnsi="Arial" w:cs="Arial"/>
        </w:rPr>
      </w:pPr>
      <w:r>
        <w:rPr>
          <w:rFonts w:ascii="Arial" w:hAnsi="Arial" w:cs="Arial"/>
        </w:rPr>
        <w:t xml:space="preserve">Clinical Implications : Understanding the distribution of ABO blood group phenotypes and Rh factor is crucial in transfusion medicine. Compatibility between donor and recipient blood types is essential to prevent adverse </w:t>
      </w:r>
      <w:r>
        <w:rPr>
          <w:rFonts w:ascii="Arial" w:hAnsi="Arial" w:cs="Arial"/>
        </w:rPr>
        <w:lastRenderedPageBreak/>
        <w:t>reactions. The rarity of certain blood types, such as AB-, can pose challenges in finding compatible blood for transfusions (</w:t>
      </w:r>
      <w:r w:rsidR="00E97F2F">
        <w:rPr>
          <w:rFonts w:ascii="Arial" w:hAnsi="Arial" w:cs="Arial"/>
        </w:rPr>
        <w:t xml:space="preserve">   </w:t>
      </w:r>
      <w:proofErr w:type="spellStart"/>
      <w:r w:rsidR="00E97F2F">
        <w:rPr>
          <w:rFonts w:ascii="Arial" w:hAnsi="Arial" w:cs="Arial"/>
        </w:rPr>
        <w:t>Arinsburg</w:t>
      </w:r>
      <w:proofErr w:type="spellEnd"/>
      <w:r w:rsidR="00E97F2F">
        <w:rPr>
          <w:rFonts w:ascii="Arial" w:hAnsi="Arial" w:cs="Arial"/>
        </w:rPr>
        <w:t xml:space="preserve"> ,2024</w:t>
      </w:r>
      <w:r>
        <w:rPr>
          <w:rFonts w:ascii="Arial" w:hAnsi="Arial" w:cs="Arial"/>
        </w:rPr>
        <w:t>). Therefore, it is essential for blood banks and healthcare providers to have access to diverse blood supplies and to implement effectivemanagement strategies.</w:t>
      </w:r>
    </w:p>
    <w:p w:rsidR="00FA051B" w:rsidRDefault="00FD0BD0">
      <w:pPr>
        <w:jc w:val="both"/>
        <w:rPr>
          <w:rFonts w:ascii="Arial" w:hAnsi="Arial" w:cs="Arial"/>
        </w:rPr>
      </w:pPr>
      <w:r>
        <w:rPr>
          <w:rFonts w:ascii="Arial" w:hAnsi="Arial" w:cs="Arial"/>
        </w:rPr>
        <w:t>Genetic Basis: The ABO blood group system is determined by the presence or absence of A and B antigens on the sur face of red blood cells, encoded by the I^A and I^B alleles. The Rh blood group system, on the other hand, is determined by the presence or absence of the D antigen, encoded by the D allele (</w:t>
      </w:r>
      <w:r w:rsidR="00352A93">
        <w:rPr>
          <w:rFonts w:ascii="Arial" w:hAnsi="Arial" w:cs="Arial"/>
        </w:rPr>
        <w:t xml:space="preserve">  Gonzalez ,2020  </w:t>
      </w:r>
      <w:r w:rsidR="00487C93">
        <w:rPr>
          <w:rFonts w:ascii="Arial" w:hAnsi="Arial" w:cs="Arial"/>
        </w:rPr>
        <w:t xml:space="preserve">. </w:t>
      </w:r>
      <w:proofErr w:type="spellStart"/>
      <w:r w:rsidR="00606ECD">
        <w:rPr>
          <w:rFonts w:ascii="Arial" w:hAnsi="Arial" w:cs="Arial"/>
        </w:rPr>
        <w:t>Grassner</w:t>
      </w:r>
      <w:proofErr w:type="spellEnd"/>
      <w:r w:rsidR="00606ECD">
        <w:rPr>
          <w:rFonts w:ascii="Arial" w:hAnsi="Arial" w:cs="Arial"/>
        </w:rPr>
        <w:t xml:space="preserve"> </w:t>
      </w:r>
      <w:r w:rsidR="00487C93" w:rsidRPr="00606ECD">
        <w:rPr>
          <w:rFonts w:ascii="Arial" w:hAnsi="Arial" w:cs="Arial"/>
          <w:i/>
        </w:rPr>
        <w:t>et al</w:t>
      </w:r>
      <w:r w:rsidR="00606ECD">
        <w:rPr>
          <w:rFonts w:ascii="Arial" w:hAnsi="Arial" w:cs="Arial"/>
        </w:rPr>
        <w:t>.</w:t>
      </w:r>
      <w:r w:rsidR="00487C93">
        <w:rPr>
          <w:rFonts w:ascii="Arial" w:hAnsi="Arial" w:cs="Arial"/>
        </w:rPr>
        <w:t xml:space="preserve">,2022 </w:t>
      </w:r>
      <w:r>
        <w:rPr>
          <w:rFonts w:ascii="Arial" w:hAnsi="Arial" w:cs="Arial"/>
        </w:rPr>
        <w:t>). The interaction between these alleles determines an individual's blood type.</w:t>
      </w:r>
    </w:p>
    <w:p w:rsidR="00FA051B" w:rsidRDefault="00FD0BD0">
      <w:pPr>
        <w:jc w:val="both"/>
        <w:rPr>
          <w:rFonts w:ascii="Arial" w:hAnsi="Arial" w:cs="Arial"/>
        </w:rPr>
      </w:pPr>
      <w:r>
        <w:rPr>
          <w:rFonts w:ascii="Arial" w:hAnsi="Arial" w:cs="Arial"/>
        </w:rPr>
        <w:t>Finally,Table 2 highlights the importance of understanding the distribution of ABO blood group phenotypes and Rh factor in the global population. This knowledge has significant implications for transfusion medicine and highlights the need for diverse blood supplie</w:t>
      </w:r>
    </w:p>
    <w:p w:rsidR="00FA051B" w:rsidRDefault="00FD0BD0">
      <w:pPr>
        <w:spacing w:after="0" w:line="240" w:lineRule="auto"/>
        <w:jc w:val="both"/>
        <w:rPr>
          <w:rFonts w:ascii="Arial" w:hAnsi="Arial" w:cs="Arial"/>
          <w:szCs w:val="20"/>
        </w:rPr>
      </w:pPr>
      <w:r w:rsidRPr="00887610">
        <w:rPr>
          <w:rFonts w:ascii="Arial" w:hAnsi="Arial" w:cs="Arial"/>
          <w:szCs w:val="20"/>
        </w:rPr>
        <w:t>Table 3</w:t>
      </w:r>
      <w:r>
        <w:rPr>
          <w:rFonts w:ascii="Arial" w:hAnsi="Arial" w:cs="Arial"/>
          <w:szCs w:val="20"/>
        </w:rPr>
        <w:t xml:space="preserve"> presents the distribution of indications for alternative blood transfusion strategies amongst children with ABO and Rhesus blood types across 10 search engines. The table shows that a total of 105 articles (42%) reported alternative blood transfusions, with varying frequencies and percentages across different indications and blood types.</w:t>
      </w:r>
    </w:p>
    <w:p w:rsidR="00FA051B" w:rsidRDefault="00FD0BD0">
      <w:pPr>
        <w:spacing w:after="0" w:line="240" w:lineRule="auto"/>
        <w:jc w:val="both"/>
        <w:rPr>
          <w:rFonts w:ascii="Arial" w:hAnsi="Arial" w:cs="Arial"/>
          <w:szCs w:val="20"/>
        </w:rPr>
      </w:pPr>
      <w:r>
        <w:rPr>
          <w:rFonts w:ascii="Arial" w:hAnsi="Arial" w:cs="Arial"/>
          <w:szCs w:val="20"/>
        </w:rPr>
        <w:t>Indications for Alternative Blood Transfusion</w:t>
      </w:r>
    </w:p>
    <w:p w:rsidR="00FA051B" w:rsidRDefault="00FD0BD0">
      <w:pPr>
        <w:spacing w:after="0" w:line="240" w:lineRule="auto"/>
        <w:jc w:val="both"/>
        <w:rPr>
          <w:rFonts w:ascii="Arial" w:hAnsi="Arial" w:cs="Arial"/>
          <w:szCs w:val="20"/>
        </w:rPr>
      </w:pPr>
      <w:r>
        <w:rPr>
          <w:rFonts w:ascii="Arial" w:hAnsi="Arial" w:cs="Arial"/>
          <w:szCs w:val="20"/>
        </w:rPr>
        <w:lastRenderedPageBreak/>
        <w:t>The most common indications for alternative blood transfusion were severe anemia (39%), blood loss during surgery (22.9%), hemolytic disease of the newborn (21.9%), chronic anemia (14.3%), and trauma (3.8%) (Table 3). These findings are consistent with previous studies that have reported similar indications for blood transfusions in children [</w:t>
      </w:r>
      <w:r w:rsidR="003A79B3">
        <w:rPr>
          <w:rFonts w:ascii="Arial" w:hAnsi="Arial" w:cs="Arial"/>
          <w:szCs w:val="20"/>
        </w:rPr>
        <w:t xml:space="preserve"> Lozano and Maha,2020</w:t>
      </w:r>
      <w:r>
        <w:rPr>
          <w:rFonts w:ascii="Arial" w:hAnsi="Arial" w:cs="Arial"/>
          <w:szCs w:val="20"/>
        </w:rPr>
        <w:t>].</w:t>
      </w:r>
    </w:p>
    <w:p w:rsidR="00FA051B" w:rsidRDefault="00FD0BD0">
      <w:pPr>
        <w:spacing w:after="0" w:line="240" w:lineRule="auto"/>
        <w:jc w:val="both"/>
        <w:rPr>
          <w:rFonts w:ascii="Arial" w:hAnsi="Arial" w:cs="Arial"/>
          <w:szCs w:val="20"/>
        </w:rPr>
      </w:pPr>
      <w:r>
        <w:rPr>
          <w:rFonts w:ascii="Arial" w:hAnsi="Arial" w:cs="Arial"/>
          <w:szCs w:val="20"/>
        </w:rPr>
        <w:t>ABO Blood Type Distribution</w:t>
      </w:r>
    </w:p>
    <w:p w:rsidR="00FA051B" w:rsidRDefault="00FD0BD0">
      <w:pPr>
        <w:spacing w:after="0" w:line="240" w:lineRule="auto"/>
        <w:jc w:val="both"/>
        <w:rPr>
          <w:rFonts w:ascii="Arial" w:hAnsi="Arial" w:cs="Arial"/>
          <w:szCs w:val="20"/>
        </w:rPr>
      </w:pPr>
      <w:r>
        <w:rPr>
          <w:rFonts w:ascii="Arial" w:hAnsi="Arial" w:cs="Arial"/>
          <w:szCs w:val="20"/>
        </w:rPr>
        <w:t>The distribution of ABO blood types amongst the included articles was as follows: O (41%), A (32.4%), B (11.4%), and AB (11.4%) (Table 3). This distribution is consistent with the global prevalence of ABO blood types, where O is the most common blood type, followed by A, B, and AB (</w:t>
      </w:r>
      <w:proofErr w:type="spellStart"/>
      <w:r w:rsidR="003A79B3">
        <w:rPr>
          <w:rFonts w:ascii="Arial" w:hAnsi="Arial" w:cs="Arial"/>
        </w:rPr>
        <w:t>Arinsburg</w:t>
      </w:r>
      <w:proofErr w:type="spellEnd"/>
      <w:r w:rsidR="003A79B3">
        <w:rPr>
          <w:rFonts w:ascii="Arial" w:hAnsi="Arial" w:cs="Arial"/>
        </w:rPr>
        <w:t xml:space="preserve"> ,2024 </w:t>
      </w:r>
      <w:r>
        <w:rPr>
          <w:rFonts w:ascii="Arial" w:hAnsi="Arial" w:cs="Arial"/>
          <w:szCs w:val="20"/>
        </w:rPr>
        <w:t>Dean, 2019). Notably, the distribution of ABO blood types in this study is similar to that reported in a previous study, which found that O and A blood types were the most common amongst blood donors [Garraud et al., 2018].</w:t>
      </w:r>
    </w:p>
    <w:p w:rsidR="00FA051B" w:rsidRDefault="00FD0BD0">
      <w:pPr>
        <w:spacing w:after="0" w:line="240" w:lineRule="auto"/>
        <w:jc w:val="both"/>
        <w:rPr>
          <w:rFonts w:ascii="Arial" w:hAnsi="Arial" w:cs="Arial"/>
          <w:szCs w:val="20"/>
        </w:rPr>
      </w:pPr>
      <w:r>
        <w:rPr>
          <w:rFonts w:ascii="Arial" w:hAnsi="Arial" w:cs="Arial"/>
          <w:szCs w:val="20"/>
        </w:rPr>
        <w:t>Rh Blood Type Distribution</w:t>
      </w:r>
    </w:p>
    <w:p w:rsidR="00FA051B" w:rsidRDefault="00FD0BD0">
      <w:pPr>
        <w:spacing w:after="0" w:line="240" w:lineRule="auto"/>
        <w:jc w:val="both"/>
        <w:rPr>
          <w:rFonts w:ascii="Arial" w:hAnsi="Arial" w:cs="Arial"/>
          <w:szCs w:val="20"/>
        </w:rPr>
      </w:pPr>
      <w:r>
        <w:rPr>
          <w:rFonts w:ascii="Arial" w:hAnsi="Arial" w:cs="Arial"/>
          <w:szCs w:val="20"/>
        </w:rPr>
        <w:t>The distribution of Rh blood types amongst the included articles was as follows: Rh+ (78.1%) and Rh- (21.9%) (Table 3). This distribution is consistent with the global prevalence of Rh blood types, where Rh+ is more common than Rh- (Dean, 2019). The findings of this study highlight the importance of considering Rh blood type compatibility in transfusion practices to prevent adverse reactions [</w:t>
      </w:r>
      <w:r w:rsidR="0037371F">
        <w:rPr>
          <w:rFonts w:ascii="Arial" w:hAnsi="Arial" w:cs="Arial"/>
          <w:szCs w:val="20"/>
        </w:rPr>
        <w:t xml:space="preserve"> Pagano et al</w:t>
      </w:r>
      <w:r w:rsidR="00606ECD">
        <w:rPr>
          <w:rFonts w:ascii="Arial" w:hAnsi="Arial" w:cs="Arial"/>
          <w:szCs w:val="20"/>
        </w:rPr>
        <w:t>.</w:t>
      </w:r>
      <w:r w:rsidR="0037371F">
        <w:rPr>
          <w:rFonts w:ascii="Arial" w:hAnsi="Arial" w:cs="Arial"/>
          <w:szCs w:val="20"/>
        </w:rPr>
        <w:t>,2920</w:t>
      </w:r>
      <w:r>
        <w:rPr>
          <w:rFonts w:ascii="Arial" w:hAnsi="Arial" w:cs="Arial"/>
          <w:szCs w:val="20"/>
        </w:rPr>
        <w:t>].</w:t>
      </w:r>
    </w:p>
    <w:p w:rsidR="00FA051B" w:rsidRDefault="00FD0BD0">
      <w:pPr>
        <w:spacing w:after="0" w:line="240" w:lineRule="auto"/>
        <w:jc w:val="both"/>
        <w:rPr>
          <w:rFonts w:ascii="Arial" w:hAnsi="Arial" w:cs="Arial"/>
          <w:szCs w:val="20"/>
        </w:rPr>
      </w:pPr>
      <w:r>
        <w:rPr>
          <w:rFonts w:ascii="Arial" w:hAnsi="Arial" w:cs="Arial"/>
          <w:szCs w:val="20"/>
        </w:rPr>
        <w:t>The findings of this review have implications for clinical practice and research. Ensuring the safe and effective use of blood transfusions is critical to improving patient outcomes (World Health Organization, 20</w:t>
      </w:r>
      <w:r w:rsidR="0037371F">
        <w:rPr>
          <w:rFonts w:ascii="Arial" w:hAnsi="Arial" w:cs="Arial"/>
          <w:szCs w:val="20"/>
        </w:rPr>
        <w:t>25</w:t>
      </w:r>
      <w:r>
        <w:rPr>
          <w:rFonts w:ascii="Arial" w:hAnsi="Arial" w:cs="Arial"/>
          <w:szCs w:val="20"/>
        </w:rPr>
        <w:t xml:space="preserve">). The distribution of indications and blood types amongst the included articles highlights the importance of considering blood type compatibility and other factors in transfusion practice .Table 3 provides valuable insights into the </w:t>
      </w:r>
      <w:r>
        <w:rPr>
          <w:rFonts w:ascii="Arial" w:hAnsi="Arial" w:cs="Arial"/>
          <w:szCs w:val="20"/>
        </w:rPr>
        <w:lastRenderedPageBreak/>
        <w:t>distribution of indications for alternative blood transfusion strategies amongst children with ABO and Rhesus blood types across 10 search engines. The findings highlight the importance of considering blood type compatibility and other factors in transfusion practices to ensure safe and effective use of blood transfusions</w:t>
      </w:r>
      <w:r>
        <w:rPr>
          <w:b/>
          <w:bCs/>
        </w:rPr>
        <w:t xml:space="preserve"> </w:t>
      </w:r>
    </w:p>
    <w:p w:rsidR="00FA051B" w:rsidRDefault="00FD0BD0">
      <w:pPr>
        <w:spacing w:after="0" w:line="240" w:lineRule="auto"/>
        <w:jc w:val="both"/>
        <w:rPr>
          <w:rFonts w:ascii="Arial" w:hAnsi="Arial" w:cs="Arial"/>
        </w:rPr>
      </w:pPr>
      <w:bookmarkStart w:id="3" w:name="_Hlk200564139"/>
      <w:r>
        <w:rPr>
          <w:rFonts w:ascii="Arial" w:hAnsi="Arial" w:cs="Arial"/>
        </w:rPr>
        <w:t xml:space="preserve">The distribution of various types of non-blood product transfusion strategies, as presented in </w:t>
      </w:r>
      <w:r w:rsidRPr="00887610">
        <w:rPr>
          <w:rFonts w:ascii="Arial" w:hAnsi="Arial" w:cs="Arial"/>
        </w:rPr>
        <w:t>Table 4</w:t>
      </w:r>
      <w:bookmarkEnd w:id="3"/>
      <w:r>
        <w:rPr>
          <w:rFonts w:ascii="Arial" w:hAnsi="Arial" w:cs="Arial"/>
        </w:rPr>
        <w:t>, provides valuable insights into the frequency and percentage of alternative transfusion strategies used in clinical practice. According to the World Health Organization [WHO,20</w:t>
      </w:r>
      <w:r w:rsidR="0037371F">
        <w:rPr>
          <w:rFonts w:ascii="Arial" w:hAnsi="Arial" w:cs="Arial"/>
        </w:rPr>
        <w:t>25</w:t>
      </w:r>
      <w:r>
        <w:rPr>
          <w:rFonts w:ascii="Arial" w:hAnsi="Arial" w:cs="Arial"/>
        </w:rPr>
        <w:t xml:space="preserve">], ensuring new </w:t>
      </w:r>
      <w:proofErr w:type="spellStart"/>
      <w:r>
        <w:rPr>
          <w:rFonts w:ascii="Arial" w:hAnsi="Arial" w:cs="Arial"/>
        </w:rPr>
        <w:t>outcomes.Crystalloid</w:t>
      </w:r>
      <w:proofErr w:type="spellEnd"/>
      <w:r>
        <w:rPr>
          <w:rFonts w:ascii="Arial" w:hAnsi="Arial" w:cs="Arial"/>
        </w:rPr>
        <w:t xml:space="preserve"> solutions, such as saline and lactated Ringer's, were the most commonly used non-blood product transfusion strategy, with 22 articles (8.8%) reporting their use. Crystalloid solutions are widely used for fluid resuscitation and have been shown to be effective in restoring blood volume and improving hemodynamic stability [</w:t>
      </w:r>
      <w:proofErr w:type="spellStart"/>
      <w:r w:rsidR="009F03CE">
        <w:rPr>
          <w:rFonts w:ascii="Arial" w:hAnsi="Arial" w:cs="Arial"/>
        </w:rPr>
        <w:t>Datzmann</w:t>
      </w:r>
      <w:proofErr w:type="spellEnd"/>
      <w:r w:rsidR="009F03CE">
        <w:rPr>
          <w:rFonts w:ascii="Arial" w:hAnsi="Arial" w:cs="Arial"/>
        </w:rPr>
        <w:t xml:space="preserve"> et al,2022 </w:t>
      </w:r>
      <w:r>
        <w:rPr>
          <w:rFonts w:ascii="Arial" w:hAnsi="Arial" w:cs="Arial"/>
        </w:rPr>
        <w:t>]</w:t>
      </w:r>
    </w:p>
    <w:p w:rsidR="00FA051B" w:rsidRDefault="00FD0BD0">
      <w:pPr>
        <w:spacing w:after="0" w:line="240" w:lineRule="auto"/>
        <w:jc w:val="both"/>
        <w:rPr>
          <w:rFonts w:ascii="Arial" w:hAnsi="Arial" w:cs="Arial"/>
        </w:rPr>
      </w:pPr>
      <w:r>
        <w:rPr>
          <w:rFonts w:ascii="Arial" w:hAnsi="Arial" w:cs="Arial"/>
        </w:rPr>
        <w:t xml:space="preserve">Colloids, such as albumin and hydroxyethyl starch, were also commonly used, with 15 articles (6%) reporting their use. Colloids have been shown to be effective in expanding plasma volume and improving hemodynamic stability, but their use has been associated with adverse effects, such as anaphylaxis and kidney injury [Finfer </w:t>
      </w:r>
      <w:r>
        <w:rPr>
          <w:rFonts w:ascii="Arial" w:hAnsi="Arial" w:cs="Arial"/>
          <w:i/>
        </w:rPr>
        <w:t>et al.,</w:t>
      </w:r>
      <w:r>
        <w:rPr>
          <w:rFonts w:ascii="Arial" w:hAnsi="Arial" w:cs="Arial"/>
        </w:rPr>
        <w:t xml:space="preserve"> 2018].</w:t>
      </w:r>
    </w:p>
    <w:p w:rsidR="00FA051B" w:rsidRDefault="00FD0BD0">
      <w:pPr>
        <w:spacing w:after="0" w:line="240" w:lineRule="auto"/>
        <w:jc w:val="both"/>
        <w:rPr>
          <w:rFonts w:ascii="Arial" w:hAnsi="Arial" w:cs="Arial"/>
        </w:rPr>
      </w:pPr>
      <w:r>
        <w:rPr>
          <w:rFonts w:ascii="Arial" w:hAnsi="Arial" w:cs="Arial"/>
        </w:rPr>
        <w:t xml:space="preserve">Fluid resuscitation strategies, such as goal-directed therapy, were reported in 12 articles (4.8%). Goal-directed therapy involves tailoring fluid administration to individual patient needs, and has been shown to improve patient outcomes, such as reducing morbidity and mortality (Pearse et al., 2014).Tranexamic acid, a medication that helps to reduce bleeding, was reported in 6 articles (2.4%). Tranexamic acid has been shown to be effective in reducing bleeding and improving patient outcomes in various clinical settings, including trauma and surgery </w:t>
      </w:r>
      <w:r>
        <w:rPr>
          <w:rFonts w:ascii="Arial" w:hAnsi="Arial" w:cs="Arial"/>
        </w:rPr>
        <w:lastRenderedPageBreak/>
        <w:t>(</w:t>
      </w:r>
      <w:r w:rsidR="00112A03">
        <w:rPr>
          <w:rFonts w:ascii="Arial" w:hAnsi="Arial" w:cs="Arial"/>
        </w:rPr>
        <w:t xml:space="preserve"> </w:t>
      </w:r>
      <w:r w:rsidR="009B2B30">
        <w:rPr>
          <w:rFonts w:ascii="Arial" w:hAnsi="Arial" w:cs="Arial"/>
        </w:rPr>
        <w:t>Xu et al.,2021   ,</w:t>
      </w:r>
      <w:proofErr w:type="spellStart"/>
      <w:r w:rsidR="00606ECD">
        <w:rPr>
          <w:rFonts w:ascii="Arial" w:hAnsi="Arial" w:cs="Arial"/>
        </w:rPr>
        <w:t>Pensier</w:t>
      </w:r>
      <w:proofErr w:type="spellEnd"/>
      <w:r w:rsidR="00606ECD">
        <w:rPr>
          <w:rFonts w:ascii="Arial" w:hAnsi="Arial" w:cs="Arial"/>
        </w:rPr>
        <w:t xml:space="preserve"> </w:t>
      </w:r>
      <w:r w:rsidR="009B2B30">
        <w:rPr>
          <w:rFonts w:ascii="Arial" w:hAnsi="Arial" w:cs="Arial"/>
        </w:rPr>
        <w:t>et al., 2022</w:t>
      </w:r>
      <w:r>
        <w:rPr>
          <w:rFonts w:ascii="Arial" w:hAnsi="Arial" w:cs="Arial"/>
        </w:rPr>
        <w:t xml:space="preserve">).Iron optimization, including iron supplements and iron therapy, was reported in 7 articles (2.8%). Iron deficiency is a common condition </w:t>
      </w:r>
      <w:r w:rsidR="009B2B30">
        <w:rPr>
          <w:rFonts w:ascii="Arial" w:hAnsi="Arial" w:cs="Arial"/>
        </w:rPr>
        <w:t xml:space="preserve">the </w:t>
      </w:r>
      <w:proofErr w:type="spellStart"/>
      <w:r>
        <w:rPr>
          <w:rFonts w:ascii="Arial" w:hAnsi="Arial" w:cs="Arial"/>
        </w:rPr>
        <w:t>at</w:t>
      </w:r>
      <w:proofErr w:type="spellEnd"/>
      <w:r>
        <w:rPr>
          <w:rFonts w:ascii="Arial" w:hAnsi="Arial" w:cs="Arial"/>
        </w:rPr>
        <w:t xml:space="preserve"> can lead to anemia, and iron optimization has been shown to be effective in improving patient outcomes, such as reducing fatigue and improving quality of life [</w:t>
      </w:r>
      <w:r w:rsidR="00B241AF">
        <w:rPr>
          <w:rFonts w:ascii="Arial" w:hAnsi="Arial" w:cs="Arial"/>
        </w:rPr>
        <w:t xml:space="preserve"> </w:t>
      </w:r>
      <w:proofErr w:type="spellStart"/>
      <w:r w:rsidR="00B241AF">
        <w:rPr>
          <w:rFonts w:ascii="Arial" w:hAnsi="Arial" w:cs="Arial"/>
        </w:rPr>
        <w:t>Benites</w:t>
      </w:r>
      <w:proofErr w:type="spellEnd"/>
      <w:r w:rsidR="00B241AF">
        <w:rPr>
          <w:rFonts w:ascii="Arial" w:hAnsi="Arial" w:cs="Arial"/>
        </w:rPr>
        <w:t xml:space="preserve"> et al., 2024 </w:t>
      </w:r>
      <w:proofErr w:type="spellStart"/>
      <w:r>
        <w:rPr>
          <w:rFonts w:ascii="Arial" w:hAnsi="Arial" w:cs="Arial"/>
        </w:rPr>
        <w:t>Cappellini</w:t>
      </w:r>
      <w:proofErr w:type="spellEnd"/>
      <w:r>
        <w:rPr>
          <w:rFonts w:ascii="Arial" w:hAnsi="Arial" w:cs="Arial"/>
        </w:rPr>
        <w:t xml:space="preserve"> </w:t>
      </w:r>
      <w:r>
        <w:rPr>
          <w:rFonts w:ascii="Arial" w:hAnsi="Arial" w:cs="Arial"/>
          <w:i/>
        </w:rPr>
        <w:t>et al</w:t>
      </w:r>
      <w:r>
        <w:rPr>
          <w:rFonts w:ascii="Arial" w:hAnsi="Arial" w:cs="Arial"/>
        </w:rPr>
        <w:t>., 2020]. Erythropoietin, a medication that stimulates red blood cell production, was reported in 5 articles (2%). Erythropoietin has been shown to be effective in reducing the need for blood transfusions in patients with anemia, but its use has been associated with adverse effects, such as increased risk of thrombosis [</w:t>
      </w:r>
      <w:r w:rsidR="009426B8">
        <w:rPr>
          <w:rFonts w:ascii="Arial" w:hAnsi="Arial" w:cs="Arial"/>
        </w:rPr>
        <w:t xml:space="preserve">Floris  et al,2020  and </w:t>
      </w:r>
      <w:r>
        <w:rPr>
          <w:rFonts w:ascii="Arial" w:hAnsi="Arial" w:cs="Arial"/>
        </w:rPr>
        <w:t xml:space="preserve">Khorana </w:t>
      </w:r>
      <w:r>
        <w:rPr>
          <w:rFonts w:ascii="Arial" w:hAnsi="Arial" w:cs="Arial"/>
          <w:i/>
        </w:rPr>
        <w:t>et al.,</w:t>
      </w:r>
      <w:r>
        <w:rPr>
          <w:rFonts w:ascii="Arial" w:hAnsi="Arial" w:cs="Arial"/>
        </w:rPr>
        <w:t xml:space="preserve"> 2018].Table 4 provides valuable insights into the distribution of various types of non-blood product transfusion strategies used in clinical practice. The findings highlight the diversity of alternative transfusion strategies used, and the need for further research to determine the most effective and safe strategies for patient care.</w:t>
      </w:r>
    </w:p>
    <w:p w:rsidR="00FA051B" w:rsidRDefault="00FD0BD0">
      <w:pPr>
        <w:jc w:val="both"/>
        <w:rPr>
          <w:rFonts w:ascii="Arial" w:hAnsi="Arial" w:cs="Arial"/>
        </w:rPr>
      </w:pPr>
      <w:r>
        <w:rPr>
          <w:rFonts w:ascii="Arial" w:hAnsi="Arial" w:cs="Arial"/>
          <w:b/>
          <w:bCs/>
        </w:rPr>
        <w:t xml:space="preserve">Key findings </w:t>
      </w:r>
    </w:p>
    <w:p w:rsidR="00FA051B" w:rsidRDefault="00FD0BD0">
      <w:pPr>
        <w:jc w:val="both"/>
        <w:rPr>
          <w:rFonts w:ascii="Arial" w:hAnsi="Arial" w:cs="Arial"/>
        </w:rPr>
      </w:pPr>
      <w:r>
        <w:rPr>
          <w:rFonts w:ascii="Arial" w:hAnsi="Arial" w:cs="Arial"/>
        </w:rPr>
        <w:t>1. Blood conservation strategies: Various strategies, such as bloodless surgery, autologous blood donation, and pharmacological interventions, can reduce the need for blood transfusions.</w:t>
      </w:r>
    </w:p>
    <w:p w:rsidR="00FA051B" w:rsidRDefault="00FD0BD0">
      <w:pPr>
        <w:jc w:val="both"/>
        <w:rPr>
          <w:rFonts w:ascii="Arial" w:hAnsi="Arial" w:cs="Arial"/>
        </w:rPr>
      </w:pPr>
      <w:r>
        <w:rPr>
          <w:rFonts w:ascii="Arial" w:hAnsi="Arial" w:cs="Arial"/>
        </w:rPr>
        <w:t>2. Non-blood product transfusion strategies: Crystalloid solutions, colloids, and synthetic oxygen carriers can be used as alternatives to blood transfusions in certain clinical situations.</w:t>
      </w:r>
    </w:p>
    <w:p w:rsidR="00FA051B" w:rsidRDefault="00FD0BD0">
      <w:pPr>
        <w:jc w:val="both"/>
        <w:rPr>
          <w:rFonts w:ascii="Arial" w:hAnsi="Arial" w:cs="Arial"/>
        </w:rPr>
      </w:pPr>
      <w:r>
        <w:rPr>
          <w:rFonts w:ascii="Arial" w:hAnsi="Arial" w:cs="Arial"/>
        </w:rPr>
        <w:t>3. Patient blood management: A patient-centered approach to blood management, including preoperative optimization, intraoperative blood conservation, and postoperative care, can improve patient outcomes.</w:t>
      </w:r>
    </w:p>
    <w:p w:rsidR="00FA051B" w:rsidRDefault="00FD0BD0">
      <w:pPr>
        <w:jc w:val="both"/>
        <w:rPr>
          <w:rFonts w:ascii="Arial" w:hAnsi="Arial" w:cs="Arial"/>
        </w:rPr>
      </w:pPr>
      <w:r>
        <w:rPr>
          <w:rFonts w:ascii="Arial" w:hAnsi="Arial" w:cs="Arial"/>
        </w:rPr>
        <w:lastRenderedPageBreak/>
        <w:t>4. Research and development: Further research is needed to develop new and innovative blood substitutes, as well as to improve existing blood conservation strategies.</w:t>
      </w:r>
    </w:p>
    <w:p w:rsidR="00FA051B" w:rsidRDefault="00FD0BD0">
      <w:pPr>
        <w:jc w:val="both"/>
        <w:rPr>
          <w:rFonts w:ascii="Arial" w:hAnsi="Arial" w:cs="Arial"/>
        </w:rPr>
      </w:pPr>
      <w:r>
        <w:rPr>
          <w:rFonts w:ascii="Arial" w:hAnsi="Arial" w:cs="Arial"/>
          <w:b/>
          <w:bCs/>
        </w:rPr>
        <w:t>Implications</w:t>
      </w:r>
    </w:p>
    <w:p w:rsidR="00FA051B" w:rsidRDefault="00FD0BD0">
      <w:pPr>
        <w:jc w:val="both"/>
        <w:rPr>
          <w:rFonts w:ascii="Arial" w:hAnsi="Arial" w:cs="Arial"/>
        </w:rPr>
      </w:pPr>
      <w:r>
        <w:rPr>
          <w:rFonts w:ascii="Arial" w:hAnsi="Arial" w:cs="Arial"/>
        </w:rPr>
        <w:t>1. Clinical practice: Healthcare providers should consider alternative blood transfusion strategies when possible, considering patient-specific factors and clinical context.</w:t>
      </w:r>
    </w:p>
    <w:p w:rsidR="00FA051B" w:rsidRDefault="00FD0BD0">
      <w:pPr>
        <w:jc w:val="both"/>
        <w:rPr>
          <w:rFonts w:ascii="Arial" w:hAnsi="Arial" w:cs="Arial"/>
        </w:rPr>
      </w:pPr>
      <w:r>
        <w:rPr>
          <w:rFonts w:ascii="Arial" w:hAnsi="Arial" w:cs="Arial"/>
        </w:rPr>
        <w:t>2. Research: Researchers should prioritize studies on blood conservation strategies, blood substitutes, and patient blood management to improve patient outcomes.</w:t>
      </w:r>
    </w:p>
    <w:p w:rsidR="00FA051B" w:rsidRDefault="00FD0BD0">
      <w:pPr>
        <w:jc w:val="both"/>
        <w:rPr>
          <w:rFonts w:ascii="Arial" w:hAnsi="Arial" w:cs="Arial"/>
        </w:rPr>
      </w:pPr>
      <w:r>
        <w:rPr>
          <w:rFonts w:ascii="Arial" w:hAnsi="Arial" w:cs="Arial"/>
        </w:rPr>
        <w:t>3. Policy: Policymakers should support initiatives that promote blood conservation and patient safety, such as bloodless surgery programs and patient blood management guidelines.</w:t>
      </w:r>
    </w:p>
    <w:p w:rsidR="00FA051B" w:rsidRDefault="00FD0BD0">
      <w:pPr>
        <w:pStyle w:val="ListParagraph"/>
        <w:numPr>
          <w:ilvl w:val="0"/>
          <w:numId w:val="1"/>
        </w:numPr>
        <w:jc w:val="both"/>
        <w:rPr>
          <w:rFonts w:ascii="Arial" w:hAnsi="Arial" w:cs="Arial"/>
        </w:rPr>
      </w:pPr>
      <w:r>
        <w:rPr>
          <w:rFonts w:ascii="Arial" w:hAnsi="Arial" w:cs="Arial"/>
          <w:b/>
          <w:bCs/>
        </w:rPr>
        <w:t>CONCLUSION</w:t>
      </w:r>
    </w:p>
    <w:p w:rsidR="00FA051B" w:rsidRDefault="00FD0BD0">
      <w:pPr>
        <w:jc w:val="both"/>
        <w:rPr>
          <w:rFonts w:ascii="Arial" w:hAnsi="Arial" w:cs="Arial"/>
        </w:rPr>
      </w:pPr>
      <w:r>
        <w:rPr>
          <w:rFonts w:ascii="Arial" w:hAnsi="Arial" w:cs="Arial"/>
        </w:rPr>
        <w:t xml:space="preserve">This study highlights the importance of alternative blood transfusion strategies in improving patient outcomes and reducing the risks associated with blood transfusions. The findings suggest that a multifaceted approach to blood management, including blood conservation strategies, non-blood product transfusion strategies, and patient blood management, can be effective in reducing the need for blood transfusions and promoting patient </w:t>
      </w:r>
      <w:r>
        <w:rPr>
          <w:rFonts w:ascii="Arial" w:hAnsi="Arial" w:cs="Arial"/>
        </w:rPr>
        <w:lastRenderedPageBreak/>
        <w:t>safety. By adopting these strategies, healthcare providers can improve patient care and advance the field of transfusion medicine.</w:t>
      </w:r>
    </w:p>
    <w:p w:rsidR="00FA051B" w:rsidRDefault="00FD0BD0">
      <w:pPr>
        <w:jc w:val="both"/>
        <w:rPr>
          <w:rFonts w:ascii="Arial" w:hAnsi="Arial" w:cs="Arial"/>
        </w:rPr>
      </w:pPr>
      <w:r>
        <w:rPr>
          <w:rFonts w:ascii="Arial" w:hAnsi="Arial" w:cs="Arial"/>
          <w:b/>
          <w:bCs/>
        </w:rPr>
        <w:t xml:space="preserve">RECOMMENDATIONS </w:t>
      </w:r>
    </w:p>
    <w:p w:rsidR="00FA051B" w:rsidRDefault="00FD0BD0">
      <w:pPr>
        <w:jc w:val="both"/>
        <w:rPr>
          <w:rFonts w:ascii="Arial" w:hAnsi="Arial" w:cs="Arial"/>
        </w:rPr>
      </w:pPr>
      <w:r>
        <w:rPr>
          <w:rFonts w:ascii="Arial" w:hAnsi="Arial" w:cs="Arial"/>
        </w:rPr>
        <w:t>1. Personalized medicine: Developing personalized blood management plans tailored to individual patient needs and genetic profiles.</w:t>
      </w:r>
    </w:p>
    <w:p w:rsidR="00FA051B" w:rsidRDefault="00FD0BD0">
      <w:pPr>
        <w:jc w:val="both"/>
        <w:rPr>
          <w:rFonts w:ascii="Arial" w:hAnsi="Arial" w:cs="Arial"/>
        </w:rPr>
      </w:pPr>
      <w:r>
        <w:rPr>
          <w:rFonts w:ascii="Arial" w:hAnsi="Arial" w:cs="Arial"/>
        </w:rPr>
        <w:t>2. Blood substitutes: Developing safe and effective blood substitutes that can mimic the oxygen-carrying capacity of blood.</w:t>
      </w:r>
    </w:p>
    <w:p w:rsidR="00FA051B" w:rsidRDefault="00FD0BD0">
      <w:pPr>
        <w:jc w:val="both"/>
        <w:rPr>
          <w:rFonts w:ascii="Arial" w:hAnsi="Arial" w:cs="Arial"/>
        </w:rPr>
      </w:pPr>
      <w:r>
        <w:rPr>
          <w:rFonts w:ascii="Arial" w:hAnsi="Arial" w:cs="Arial"/>
        </w:rPr>
        <w:t>3. Sustainable blood supply: Implementing strategies to ensure a sustainable blood supply, such as promoting blood donation and reducing blood waste.</w:t>
      </w:r>
    </w:p>
    <w:p w:rsidR="00850927" w:rsidRPr="00850927" w:rsidRDefault="00FD0BD0" w:rsidP="00850927">
      <w:pPr>
        <w:jc w:val="both"/>
        <w:rPr>
          <w:rFonts w:ascii="Arial" w:hAnsi="Arial" w:cs="Arial"/>
        </w:rPr>
      </w:pPr>
      <w:r>
        <w:rPr>
          <w:rFonts w:ascii="Arial" w:hAnsi="Arial" w:cs="Arial"/>
        </w:rPr>
        <w:t>In conclusion, alternative blood transfusion strategies offer a promising approach to improving patient outcomes and reducing the risks associated with blood transfusions. By promoting blood conservation, developing new blood substitutes, and implementing patient blood management strategies, healthcare providers can improve patient care and advance the field of transfusion m</w:t>
      </w:r>
      <w:bookmarkStart w:id="4" w:name="_GoBack"/>
      <w:bookmarkEnd w:id="4"/>
      <w:r>
        <w:rPr>
          <w:rFonts w:ascii="Arial" w:hAnsi="Arial" w:cs="Arial"/>
        </w:rPr>
        <w:t>edicine.</w:t>
      </w:r>
    </w:p>
    <w:p w:rsidR="00850927" w:rsidRPr="00850927" w:rsidRDefault="00850927" w:rsidP="00850927">
      <w:pPr>
        <w:spacing w:after="0" w:line="240" w:lineRule="auto"/>
        <w:jc w:val="both"/>
        <w:rPr>
          <w:rFonts w:ascii="Times New Roman" w:hAnsi="Times New Roman"/>
          <w:sz w:val="24"/>
          <w:szCs w:val="24"/>
        </w:rPr>
      </w:pPr>
      <w:r w:rsidRPr="00850927">
        <w:rPr>
          <w:rFonts w:ascii="Times New Roman" w:hAnsi="Times New Roman"/>
          <w:b/>
          <w:bCs/>
          <w:sz w:val="24"/>
          <w:szCs w:val="24"/>
        </w:rPr>
        <w:t>FUNDING</w:t>
      </w:r>
      <w:r w:rsidRPr="00850927">
        <w:rPr>
          <w:rFonts w:ascii="Times New Roman" w:hAnsi="Times New Roman"/>
          <w:sz w:val="24"/>
          <w:szCs w:val="24"/>
        </w:rPr>
        <w:t xml:space="preserve">: The funding for this study was from the corresponding Authors and Co-authors </w:t>
      </w:r>
    </w:p>
    <w:p w:rsidR="00850927" w:rsidRPr="00850927" w:rsidRDefault="00850927" w:rsidP="00850927">
      <w:pPr>
        <w:spacing w:after="0" w:line="240" w:lineRule="auto"/>
        <w:jc w:val="both"/>
        <w:rPr>
          <w:rFonts w:ascii="Times New Roman" w:hAnsi="Times New Roman"/>
          <w:sz w:val="24"/>
          <w:szCs w:val="24"/>
        </w:rPr>
      </w:pPr>
      <w:r w:rsidRPr="00850927">
        <w:rPr>
          <w:rFonts w:ascii="Times New Roman" w:hAnsi="Times New Roman"/>
          <w:b/>
          <w:bCs/>
          <w:sz w:val="24"/>
          <w:szCs w:val="24"/>
        </w:rPr>
        <w:t>AVAILABILITY OF DATA AND MATERIALS</w:t>
      </w:r>
      <w:r w:rsidRPr="00850927">
        <w:rPr>
          <w:rFonts w:ascii="Times New Roman" w:hAnsi="Times New Roman"/>
          <w:sz w:val="24"/>
          <w:szCs w:val="24"/>
        </w:rPr>
        <w:t>: Datasets generated and analyzed in this study are available from the corresponding author on request.</w:t>
      </w:r>
    </w:p>
    <w:p w:rsidR="00850927" w:rsidRPr="00850927" w:rsidRDefault="00850927" w:rsidP="00850927">
      <w:pPr>
        <w:spacing w:after="0" w:line="240" w:lineRule="auto"/>
        <w:jc w:val="both"/>
        <w:rPr>
          <w:rFonts w:ascii="Times New Roman" w:hAnsi="Times New Roman"/>
          <w:sz w:val="24"/>
          <w:szCs w:val="24"/>
        </w:rPr>
      </w:pPr>
      <w:r w:rsidRPr="00850927">
        <w:rPr>
          <w:rFonts w:ascii="Times New Roman" w:hAnsi="Times New Roman"/>
          <w:b/>
          <w:bCs/>
          <w:sz w:val="24"/>
          <w:szCs w:val="24"/>
        </w:rPr>
        <w:t>CONSENT FOR PUBLICATION</w:t>
      </w:r>
      <w:r w:rsidRPr="00850927">
        <w:rPr>
          <w:rFonts w:ascii="Times New Roman" w:hAnsi="Times New Roman"/>
          <w:sz w:val="24"/>
          <w:szCs w:val="24"/>
        </w:rPr>
        <w:t>: Not applicable.</w:t>
      </w:r>
    </w:p>
    <w:p w:rsidR="00850927" w:rsidRPr="00850927" w:rsidRDefault="00850927" w:rsidP="00850927">
      <w:pPr>
        <w:spacing w:after="0" w:line="240" w:lineRule="auto"/>
        <w:jc w:val="both"/>
        <w:rPr>
          <w:rFonts w:ascii="Times New Roman" w:hAnsi="Times New Roman"/>
          <w:sz w:val="24"/>
          <w:szCs w:val="24"/>
        </w:rPr>
      </w:pPr>
      <w:r w:rsidRPr="00850927">
        <w:rPr>
          <w:rFonts w:ascii="Times New Roman" w:hAnsi="Times New Roman"/>
          <w:b/>
          <w:bCs/>
          <w:sz w:val="24"/>
          <w:szCs w:val="24"/>
        </w:rPr>
        <w:t xml:space="preserve"> COMPETING INTERESTS</w:t>
      </w:r>
      <w:r w:rsidRPr="00850927">
        <w:rPr>
          <w:rFonts w:ascii="Times New Roman" w:hAnsi="Times New Roman"/>
          <w:sz w:val="24"/>
          <w:szCs w:val="24"/>
        </w:rPr>
        <w:t>: The authors declare that they have no conflict of interest.</w:t>
      </w:r>
    </w:p>
    <w:p w:rsidR="00850927" w:rsidRPr="00850927" w:rsidRDefault="00850927" w:rsidP="00850927">
      <w:pPr>
        <w:spacing w:after="0" w:line="240" w:lineRule="auto"/>
        <w:jc w:val="both"/>
        <w:rPr>
          <w:rFonts w:ascii="Times New Roman" w:hAnsi="Times New Roman"/>
          <w:b/>
          <w:bCs/>
          <w:iCs/>
          <w:sz w:val="24"/>
          <w:szCs w:val="24"/>
        </w:rPr>
      </w:pPr>
      <w:r w:rsidRPr="00850927">
        <w:rPr>
          <w:rFonts w:ascii="Times New Roman" w:hAnsi="Times New Roman"/>
          <w:b/>
          <w:bCs/>
          <w:iCs/>
          <w:sz w:val="24"/>
          <w:szCs w:val="24"/>
        </w:rPr>
        <w:t xml:space="preserve">DISCLAIMER (ARTICIAL INTELLIGENCE) </w:t>
      </w:r>
    </w:p>
    <w:p w:rsidR="00850927" w:rsidRPr="00850927" w:rsidRDefault="00850927" w:rsidP="00850927">
      <w:pPr>
        <w:spacing w:after="0" w:line="240" w:lineRule="auto"/>
        <w:jc w:val="both"/>
        <w:rPr>
          <w:rFonts w:ascii="Times New Roman" w:hAnsi="Times New Roman"/>
          <w:bCs/>
          <w:iCs/>
          <w:sz w:val="24"/>
          <w:szCs w:val="24"/>
        </w:rPr>
      </w:pPr>
      <w:r w:rsidRPr="00850927">
        <w:rPr>
          <w:rFonts w:ascii="Times New Roman" w:hAnsi="Times New Roman"/>
          <w:bCs/>
          <w:iCs/>
          <w:sz w:val="24"/>
          <w:szCs w:val="24"/>
        </w:rPr>
        <w:t>Author(s) hereby declare that No generative AI technologies such as Large Language Models, Chat GPT, COPILOT etc.) and text-to-image generators have been used during the writing or editing of this manuscript .</w:t>
      </w:r>
    </w:p>
    <w:p w:rsidR="00850927" w:rsidRPr="00850927" w:rsidRDefault="00850927" w:rsidP="00850927">
      <w:pPr>
        <w:spacing w:after="0" w:line="240" w:lineRule="auto"/>
        <w:jc w:val="both"/>
        <w:rPr>
          <w:rFonts w:ascii="Times New Roman" w:hAnsi="Times New Roman"/>
          <w:bCs/>
          <w:iCs/>
          <w:sz w:val="24"/>
          <w:szCs w:val="24"/>
        </w:rPr>
      </w:pPr>
      <w:r w:rsidRPr="00850927">
        <w:rPr>
          <w:rFonts w:ascii="Times New Roman" w:hAnsi="Times New Roman"/>
          <w:b/>
          <w:bCs/>
          <w:iCs/>
          <w:sz w:val="24"/>
          <w:szCs w:val="24"/>
          <w:lang w:val="en-GB"/>
        </w:rPr>
        <w:t>COMPETING</w:t>
      </w:r>
      <w:r w:rsidRPr="00850927">
        <w:rPr>
          <w:rFonts w:ascii="Times New Roman" w:hAnsi="Times New Roman"/>
          <w:b/>
          <w:bCs/>
          <w:iCs/>
          <w:sz w:val="24"/>
          <w:szCs w:val="24"/>
        </w:rPr>
        <w:t xml:space="preserve"> FINANCIAL </w:t>
      </w:r>
      <w:r w:rsidRPr="00850927">
        <w:rPr>
          <w:rFonts w:ascii="Times New Roman" w:hAnsi="Times New Roman"/>
          <w:b/>
          <w:bCs/>
          <w:iCs/>
          <w:sz w:val="24"/>
          <w:szCs w:val="24"/>
          <w:lang w:val="en-GB"/>
        </w:rPr>
        <w:t>INTERESTS DISCLAIMER:</w:t>
      </w:r>
    </w:p>
    <w:p w:rsidR="00850927" w:rsidRPr="00850927" w:rsidRDefault="00850927" w:rsidP="00850927">
      <w:pPr>
        <w:spacing w:after="0" w:line="240" w:lineRule="auto"/>
        <w:jc w:val="both"/>
        <w:rPr>
          <w:rFonts w:ascii="Times New Roman" w:hAnsi="Times New Roman"/>
          <w:bCs/>
          <w:iCs/>
          <w:sz w:val="24"/>
          <w:szCs w:val="24"/>
          <w:lang w:val="en-GB"/>
        </w:rPr>
      </w:pPr>
      <w:r w:rsidRPr="00850927">
        <w:rPr>
          <w:rFonts w:ascii="Times New Roman" w:hAnsi="Times New Roman"/>
          <w:bCs/>
          <w:iCs/>
          <w:sz w:val="24"/>
          <w:szCs w:val="24"/>
          <w:lang w:val="en-GB"/>
        </w:rPr>
        <w:t>Authors have declared that they have no known competing financial interests OR non-financial interests OR personal relationships that could have appeared to influence the work reported in this paper</w:t>
      </w:r>
    </w:p>
    <w:p w:rsidR="00FA051B" w:rsidRDefault="00FA051B">
      <w:pPr>
        <w:spacing w:after="0" w:line="240" w:lineRule="auto"/>
        <w:jc w:val="both"/>
        <w:rPr>
          <w:rFonts w:ascii="Arial" w:hAnsi="Arial" w:cs="Arial"/>
          <w:b/>
        </w:rPr>
      </w:pPr>
    </w:p>
    <w:p w:rsidR="00B85E1F" w:rsidRDefault="00B85E1F">
      <w:pPr>
        <w:spacing w:after="0" w:line="240" w:lineRule="auto"/>
        <w:jc w:val="both"/>
        <w:rPr>
          <w:rFonts w:ascii="Arial" w:hAnsi="Arial" w:cs="Arial"/>
          <w:b/>
        </w:rPr>
      </w:pPr>
    </w:p>
    <w:p w:rsidR="00EC3871" w:rsidRPr="000269E6" w:rsidRDefault="00B85E1F" w:rsidP="00EC3871">
      <w:pPr>
        <w:spacing w:line="240" w:lineRule="auto"/>
        <w:jc w:val="both"/>
        <w:rPr>
          <w:rFonts w:ascii="Times New Roman" w:hAnsi="Times New Roman"/>
          <w:sz w:val="24"/>
          <w:szCs w:val="24"/>
        </w:rPr>
      </w:pPr>
      <w:r w:rsidRPr="00850927">
        <w:rPr>
          <w:rFonts w:ascii="Times New Roman" w:hAnsi="Times New Roman"/>
          <w:b/>
          <w:bCs/>
          <w:sz w:val="24"/>
          <w:szCs w:val="24"/>
        </w:rPr>
        <w:t>REFERENCES</w:t>
      </w:r>
      <w:r w:rsidRPr="000269E6">
        <w:rPr>
          <w:rFonts w:ascii="Times New Roman" w:hAnsi="Times New Roman"/>
          <w:bCs/>
          <w:sz w:val="24"/>
          <w:szCs w:val="24"/>
        </w:rPr>
        <w:t xml:space="preserve">  </w:t>
      </w:r>
      <w:proofErr w:type="spellStart"/>
      <w:r w:rsidRPr="000269E6">
        <w:rPr>
          <w:rFonts w:ascii="Times New Roman" w:hAnsi="Times New Roman"/>
          <w:bCs/>
          <w:sz w:val="24"/>
          <w:szCs w:val="24"/>
        </w:rPr>
        <w:t>paediatricians</w:t>
      </w:r>
      <w:proofErr w:type="spellEnd"/>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Albert Opoku, Kofi </w:t>
      </w:r>
      <w:proofErr w:type="spellStart"/>
      <w:r w:rsidRPr="00EC3871">
        <w:rPr>
          <w:rFonts w:ascii="Times New Roman" w:hAnsi="Times New Roman"/>
        </w:rPr>
        <w:t>Baffoe</w:t>
      </w:r>
      <w:proofErr w:type="spellEnd"/>
      <w:r w:rsidRPr="00EC3871">
        <w:rPr>
          <w:rFonts w:ascii="Times New Roman" w:hAnsi="Times New Roman"/>
        </w:rPr>
        <w:t xml:space="preserve">-Sarpong, Agyemang Prempeh Charles, Abdul Karim Boakye </w:t>
      </w:r>
      <w:proofErr w:type="spellStart"/>
      <w:r w:rsidRPr="00EC3871">
        <w:rPr>
          <w:rFonts w:ascii="Times New Roman" w:hAnsi="Times New Roman"/>
        </w:rPr>
        <w:t>Yiadom</w:t>
      </w:r>
      <w:proofErr w:type="spellEnd"/>
      <w:r w:rsidRPr="00EC3871">
        <w:rPr>
          <w:rFonts w:ascii="Times New Roman" w:hAnsi="Times New Roman"/>
        </w:rPr>
        <w:t>, and Boateng Acheampong Emmanuel. 2024. “Inheritance of ABO Blood Group and Rhesus Factor and It Implication in Genetic Counselling and Public Health Education”. International Journal of Research and Reports in Hematology 7 (1):5–12. https://journalijr2h.com/index.php/IJR2H/article/view/136</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 </w:t>
      </w:r>
      <w:proofErr w:type="spellStart"/>
      <w:r w:rsidRPr="00EC3871">
        <w:rPr>
          <w:rFonts w:ascii="Times New Roman" w:hAnsi="Times New Roman"/>
        </w:rPr>
        <w:t>Arinsburg</w:t>
      </w:r>
      <w:proofErr w:type="spellEnd"/>
      <w:r w:rsidRPr="00EC3871">
        <w:rPr>
          <w:rFonts w:ascii="Times New Roman" w:hAnsi="Times New Roman"/>
        </w:rPr>
        <w:t xml:space="preserve"> DO, S., </w:t>
      </w:r>
      <w:proofErr w:type="spellStart"/>
      <w:r w:rsidRPr="00EC3871">
        <w:rPr>
          <w:rFonts w:ascii="Times New Roman" w:hAnsi="Times New Roman"/>
        </w:rPr>
        <w:t>Arinsburg</w:t>
      </w:r>
      <w:proofErr w:type="spellEnd"/>
      <w:r w:rsidRPr="00EC3871">
        <w:rPr>
          <w:rFonts w:ascii="Times New Roman" w:hAnsi="Times New Roman"/>
        </w:rPr>
        <w:t xml:space="preserve"> DO, S., </w:t>
      </w:r>
      <w:proofErr w:type="spellStart"/>
      <w:r w:rsidRPr="00EC3871">
        <w:rPr>
          <w:rFonts w:ascii="Times New Roman" w:hAnsi="Times New Roman"/>
        </w:rPr>
        <w:t>Jhang</w:t>
      </w:r>
      <w:proofErr w:type="spellEnd"/>
      <w:r w:rsidRPr="00EC3871">
        <w:rPr>
          <w:rFonts w:ascii="Times New Roman" w:hAnsi="Times New Roman"/>
        </w:rPr>
        <w:t xml:space="preserve"> MD, M. (2024). Clinical Pathology Board Review E-Book. Netherlands: Elsevier.https://www.google.com.ng/books/edition/Clinical_Pathology_Board_Review_E_Book/fjwtEQAAQBAJ?hl=en</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Bai A, </w:t>
      </w:r>
      <w:proofErr w:type="spellStart"/>
      <w:r w:rsidRPr="00EC3871">
        <w:rPr>
          <w:rFonts w:ascii="Times New Roman" w:hAnsi="Times New Roman"/>
        </w:rPr>
        <w:t>Vinnakota</w:t>
      </w:r>
      <w:proofErr w:type="spellEnd"/>
      <w:r w:rsidRPr="00EC3871">
        <w:rPr>
          <w:rFonts w:ascii="Times New Roman" w:hAnsi="Times New Roman"/>
        </w:rPr>
        <w:t xml:space="preserve"> D, </w:t>
      </w:r>
      <w:proofErr w:type="spellStart"/>
      <w:r w:rsidRPr="00EC3871">
        <w:rPr>
          <w:rFonts w:ascii="Times New Roman" w:hAnsi="Times New Roman"/>
        </w:rPr>
        <w:t>Mashrur</w:t>
      </w:r>
      <w:proofErr w:type="spellEnd"/>
      <w:r w:rsidRPr="00EC3871">
        <w:rPr>
          <w:rFonts w:ascii="Times New Roman" w:hAnsi="Times New Roman"/>
        </w:rPr>
        <w:t xml:space="preserve"> A, Choudhury S, Ghosh A, Kabir R, An evaluation of the safety of blood product transfusion in children under 18: systematic review. The Evidence 2023:1(1):62-71. DOI:10.61505/evidence.2023.1.1.8 Available From https://the.evidencejournals.com/index.php/j/article/view/8/20</w:t>
      </w:r>
    </w:p>
    <w:p w:rsidR="00EC3871" w:rsidRPr="00EC3871" w:rsidRDefault="00EC3871" w:rsidP="00EC3871">
      <w:pPr>
        <w:spacing w:after="0" w:line="240" w:lineRule="auto"/>
        <w:ind w:left="810" w:hanging="980"/>
        <w:jc w:val="both"/>
        <w:rPr>
          <w:rFonts w:ascii="Times New Roman" w:hAnsi="Times New Roman"/>
        </w:rPr>
      </w:pPr>
      <w:proofErr w:type="spellStart"/>
      <w:r w:rsidRPr="00EC3871">
        <w:rPr>
          <w:rFonts w:ascii="Times New Roman" w:hAnsi="Times New Roman"/>
        </w:rPr>
        <w:t>Benites</w:t>
      </w:r>
      <w:proofErr w:type="spellEnd"/>
      <w:r w:rsidRPr="00EC3871">
        <w:rPr>
          <w:rFonts w:ascii="Times New Roman" w:hAnsi="Times New Roman"/>
        </w:rPr>
        <w:t xml:space="preserve">, B. D., </w:t>
      </w:r>
      <w:proofErr w:type="spellStart"/>
      <w:r w:rsidRPr="00EC3871">
        <w:rPr>
          <w:rFonts w:ascii="Times New Roman" w:hAnsi="Times New Roman"/>
        </w:rPr>
        <w:t>Leite</w:t>
      </w:r>
      <w:proofErr w:type="spellEnd"/>
      <w:r w:rsidRPr="00EC3871">
        <w:rPr>
          <w:rFonts w:ascii="Times New Roman" w:hAnsi="Times New Roman"/>
        </w:rPr>
        <w:t xml:space="preserve">, F., Soriano, S., da Silva, R. L., Alves, S. O. C., Rizzo, S. R. C. P., </w:t>
      </w:r>
      <w:proofErr w:type="spellStart"/>
      <w:r w:rsidRPr="00EC3871">
        <w:rPr>
          <w:rFonts w:ascii="Times New Roman" w:hAnsi="Times New Roman"/>
        </w:rPr>
        <w:t>Rabello</w:t>
      </w:r>
      <w:proofErr w:type="spellEnd"/>
      <w:r w:rsidRPr="00EC3871">
        <w:rPr>
          <w:rFonts w:ascii="Times New Roman" w:hAnsi="Times New Roman"/>
        </w:rPr>
        <w:t>, G., &amp; Junior, D. M. L. (2024). Consensus of the Brazilian association of hematology, hemotherapy and cellular therapy on patient blood management: Preoperative Phase - Preoperative management of the patient's anemia. Hematology, transfusion and cell therapy, 46 Suppl 1(Suppl 1), S17–S23. https://doi.org/10.1016/j.htct.2024.02.006</w:t>
      </w:r>
    </w:p>
    <w:p w:rsidR="00EC3871" w:rsidRPr="00EC3871" w:rsidRDefault="00EC3871" w:rsidP="00EC3871">
      <w:pPr>
        <w:spacing w:after="0" w:line="240" w:lineRule="auto"/>
        <w:ind w:left="810" w:hanging="980"/>
        <w:jc w:val="both"/>
        <w:rPr>
          <w:rFonts w:ascii="Times New Roman" w:hAnsi="Times New Roman"/>
        </w:rPr>
      </w:pPr>
      <w:proofErr w:type="spellStart"/>
      <w:r w:rsidRPr="00EC3871">
        <w:rPr>
          <w:rFonts w:ascii="Times New Roman" w:hAnsi="Times New Roman"/>
        </w:rPr>
        <w:t>Cappellini</w:t>
      </w:r>
      <w:proofErr w:type="spellEnd"/>
      <w:r w:rsidRPr="00EC3871">
        <w:rPr>
          <w:rFonts w:ascii="Times New Roman" w:hAnsi="Times New Roman"/>
        </w:rPr>
        <w:t xml:space="preserve">, M. D., Musallam, K. M., &amp; Taher, A. T. (2020). Iron deficiency </w:t>
      </w:r>
      <w:proofErr w:type="spellStart"/>
      <w:r w:rsidRPr="00EC3871">
        <w:rPr>
          <w:rFonts w:ascii="Times New Roman" w:hAnsi="Times New Roman"/>
        </w:rPr>
        <w:t>anaemia</w:t>
      </w:r>
      <w:proofErr w:type="spellEnd"/>
      <w:r w:rsidRPr="00EC3871">
        <w:rPr>
          <w:rFonts w:ascii="Times New Roman" w:hAnsi="Times New Roman"/>
        </w:rPr>
        <w:t xml:space="preserve"> revisited. Journal of internal medicine, 287(2), 153–170. https://doi.org/10.1111/joim.13004</w:t>
      </w:r>
      <w:r w:rsidRPr="00EC3871">
        <w:rPr>
          <w:rFonts w:ascii="Times New Roman" w:hAnsi="Times New Roman"/>
        </w:rPr>
        <w:t>.</w:t>
      </w:r>
    </w:p>
    <w:p w:rsidR="00EC3871" w:rsidRPr="00EC3871" w:rsidRDefault="00EC3871" w:rsidP="00EC3871">
      <w:pPr>
        <w:spacing w:after="0" w:line="240" w:lineRule="auto"/>
        <w:ind w:left="810" w:hanging="980"/>
        <w:jc w:val="both"/>
        <w:rPr>
          <w:rFonts w:ascii="Times New Roman" w:hAnsi="Times New Roman"/>
        </w:rPr>
      </w:pPr>
      <w:proofErr w:type="spellStart"/>
      <w:r w:rsidRPr="00EC3871">
        <w:rPr>
          <w:rFonts w:ascii="Times New Roman" w:hAnsi="Times New Roman"/>
        </w:rPr>
        <w:t>Datzmann</w:t>
      </w:r>
      <w:proofErr w:type="spellEnd"/>
      <w:r w:rsidRPr="00EC3871">
        <w:rPr>
          <w:rFonts w:ascii="Times New Roman" w:hAnsi="Times New Roman"/>
        </w:rPr>
        <w:t xml:space="preserve">, T., </w:t>
      </w:r>
      <w:proofErr w:type="spellStart"/>
      <w:r w:rsidRPr="00EC3871">
        <w:rPr>
          <w:rFonts w:ascii="Times New Roman" w:hAnsi="Times New Roman"/>
        </w:rPr>
        <w:t>Völtl</w:t>
      </w:r>
      <w:proofErr w:type="spellEnd"/>
      <w:r w:rsidRPr="00EC3871">
        <w:rPr>
          <w:rFonts w:ascii="Times New Roman" w:hAnsi="Times New Roman"/>
        </w:rPr>
        <w:t xml:space="preserve">, T., Ortner, N., </w:t>
      </w:r>
      <w:proofErr w:type="spellStart"/>
      <w:r w:rsidRPr="00EC3871">
        <w:rPr>
          <w:rFonts w:ascii="Times New Roman" w:hAnsi="Times New Roman"/>
        </w:rPr>
        <w:t>Wieder</w:t>
      </w:r>
      <w:proofErr w:type="spellEnd"/>
      <w:r w:rsidRPr="00EC3871">
        <w:rPr>
          <w:rFonts w:ascii="Times New Roman" w:hAnsi="Times New Roman"/>
        </w:rPr>
        <w:t xml:space="preserve">, V., </w:t>
      </w:r>
      <w:proofErr w:type="spellStart"/>
      <w:r w:rsidRPr="00EC3871">
        <w:rPr>
          <w:rFonts w:ascii="Times New Roman" w:hAnsi="Times New Roman"/>
        </w:rPr>
        <w:t>Liebold</w:t>
      </w:r>
      <w:proofErr w:type="spellEnd"/>
      <w:r w:rsidRPr="00EC3871">
        <w:rPr>
          <w:rFonts w:ascii="Times New Roman" w:hAnsi="Times New Roman"/>
        </w:rPr>
        <w:t xml:space="preserve">, A., </w:t>
      </w:r>
      <w:proofErr w:type="spellStart"/>
      <w:r w:rsidRPr="00EC3871">
        <w:rPr>
          <w:rFonts w:ascii="Times New Roman" w:hAnsi="Times New Roman"/>
        </w:rPr>
        <w:t>Reinelt</w:t>
      </w:r>
      <w:proofErr w:type="spellEnd"/>
      <w:r w:rsidRPr="00EC3871">
        <w:rPr>
          <w:rFonts w:ascii="Times New Roman" w:hAnsi="Times New Roman"/>
        </w:rPr>
        <w:t xml:space="preserve">, H., &amp; </w:t>
      </w:r>
      <w:proofErr w:type="spellStart"/>
      <w:r w:rsidRPr="00EC3871">
        <w:rPr>
          <w:rFonts w:ascii="Times New Roman" w:hAnsi="Times New Roman"/>
        </w:rPr>
        <w:t>Hoenicka</w:t>
      </w:r>
      <w:proofErr w:type="spellEnd"/>
      <w:r w:rsidRPr="00EC3871">
        <w:rPr>
          <w:rFonts w:ascii="Times New Roman" w:hAnsi="Times New Roman"/>
        </w:rPr>
        <w:t>, M. (2022). Effects of colloid-based (</w:t>
      </w:r>
      <w:proofErr w:type="spellStart"/>
      <w:r w:rsidRPr="00EC3871">
        <w:rPr>
          <w:rFonts w:ascii="Times New Roman" w:hAnsi="Times New Roman"/>
        </w:rPr>
        <w:t>hydroxyethylstarch</w:t>
      </w:r>
      <w:proofErr w:type="spellEnd"/>
      <w:r w:rsidRPr="00EC3871">
        <w:rPr>
          <w:rFonts w:ascii="Times New Roman" w:hAnsi="Times New Roman"/>
        </w:rPr>
        <w:t xml:space="preserve"> 6% 130/0.42, </w:t>
      </w:r>
      <w:proofErr w:type="spellStart"/>
      <w:r w:rsidRPr="00EC3871">
        <w:rPr>
          <w:rFonts w:ascii="Times New Roman" w:hAnsi="Times New Roman"/>
        </w:rPr>
        <w:t>gelafundin</w:t>
      </w:r>
      <w:proofErr w:type="spellEnd"/>
      <w:r w:rsidRPr="00EC3871">
        <w:rPr>
          <w:rFonts w:ascii="Times New Roman" w:hAnsi="Times New Roman"/>
        </w:rPr>
        <w:t xml:space="preserve"> 4%) and crystalloid-based volume regimes in cardiac surgery: a retrospective analysis. Journal of thoracic disease, 14(10), 3782–3800. https://doi.org/10.21037/jtd-22-450</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Floris T. M. Bosch, Frits I. Mulder, Pieter Willem </w:t>
      </w:r>
      <w:proofErr w:type="spellStart"/>
      <w:r w:rsidRPr="00EC3871">
        <w:rPr>
          <w:rFonts w:ascii="Times New Roman" w:hAnsi="Times New Roman"/>
        </w:rPr>
        <w:t>Kamphuisen</w:t>
      </w:r>
      <w:proofErr w:type="spellEnd"/>
      <w:r w:rsidRPr="00EC3871">
        <w:rPr>
          <w:rFonts w:ascii="Times New Roman" w:hAnsi="Times New Roman"/>
        </w:rPr>
        <w:t xml:space="preserve">, Saskia </w:t>
      </w:r>
      <w:proofErr w:type="spellStart"/>
      <w:r w:rsidRPr="00EC3871">
        <w:rPr>
          <w:rFonts w:ascii="Times New Roman" w:hAnsi="Times New Roman"/>
        </w:rPr>
        <w:t>Middeldorp</w:t>
      </w:r>
      <w:proofErr w:type="spellEnd"/>
      <w:r w:rsidRPr="00EC3871">
        <w:rPr>
          <w:rFonts w:ascii="Times New Roman" w:hAnsi="Times New Roman"/>
        </w:rPr>
        <w:t xml:space="preserve">, Patrick M. </w:t>
      </w:r>
      <w:proofErr w:type="spellStart"/>
      <w:r w:rsidRPr="00EC3871">
        <w:rPr>
          <w:rFonts w:ascii="Times New Roman" w:hAnsi="Times New Roman"/>
        </w:rPr>
        <w:t>Bossuyt</w:t>
      </w:r>
      <w:proofErr w:type="spellEnd"/>
      <w:r w:rsidRPr="00EC3871">
        <w:rPr>
          <w:rFonts w:ascii="Times New Roman" w:hAnsi="Times New Roman"/>
        </w:rPr>
        <w:t xml:space="preserve">, Harry R. </w:t>
      </w:r>
      <w:proofErr w:type="spellStart"/>
      <w:r w:rsidRPr="00EC3871">
        <w:rPr>
          <w:rFonts w:ascii="Times New Roman" w:hAnsi="Times New Roman"/>
        </w:rPr>
        <w:t>Büller</w:t>
      </w:r>
      <w:proofErr w:type="spellEnd"/>
      <w:r w:rsidRPr="00EC3871">
        <w:rPr>
          <w:rFonts w:ascii="Times New Roman" w:hAnsi="Times New Roman"/>
        </w:rPr>
        <w:t xml:space="preserve">, Nick van Es; Primary thromboprophylaxis in ambulatory cancer patients with a high Khorana score: a systematic review and meta-analysis. Blood Adv 2020; 4 (20): 5215–5225. </w:t>
      </w:r>
      <w:proofErr w:type="spellStart"/>
      <w:r w:rsidRPr="00EC3871">
        <w:rPr>
          <w:rFonts w:ascii="Times New Roman" w:hAnsi="Times New Roman"/>
        </w:rPr>
        <w:t>doi:https</w:t>
      </w:r>
      <w:proofErr w:type="spellEnd"/>
      <w:r w:rsidRPr="00EC3871">
        <w:rPr>
          <w:rFonts w:ascii="Times New Roman" w:hAnsi="Times New Roman"/>
        </w:rPr>
        <w:t>://doi.org/10.1182/bloodadvances.2020003115</w:t>
      </w:r>
      <w:r w:rsidRPr="00EC3871">
        <w:rPr>
          <w:rFonts w:ascii="Times New Roman" w:hAnsi="Times New Roman"/>
        </w:rPr>
        <w:t>.</w:t>
      </w:r>
    </w:p>
    <w:p w:rsidR="00EC3871" w:rsidRPr="00EC3871" w:rsidRDefault="00EC3871" w:rsidP="00EC3871">
      <w:pPr>
        <w:spacing w:after="0" w:line="240" w:lineRule="auto"/>
        <w:ind w:left="810" w:hanging="980"/>
        <w:jc w:val="both"/>
        <w:rPr>
          <w:rFonts w:ascii="Times New Roman" w:hAnsi="Times New Roman"/>
        </w:rPr>
      </w:pPr>
      <w:proofErr w:type="spellStart"/>
      <w:r w:rsidRPr="00EC3871">
        <w:rPr>
          <w:rFonts w:ascii="Times New Roman" w:hAnsi="Times New Roman"/>
        </w:rPr>
        <w:t>Franchini</w:t>
      </w:r>
      <w:proofErr w:type="spellEnd"/>
      <w:r w:rsidRPr="00EC3871">
        <w:rPr>
          <w:rFonts w:ascii="Times New Roman" w:hAnsi="Times New Roman"/>
        </w:rPr>
        <w:t xml:space="preserve">, M., </w:t>
      </w:r>
      <w:proofErr w:type="spellStart"/>
      <w:r w:rsidRPr="00EC3871">
        <w:rPr>
          <w:rFonts w:ascii="Times New Roman" w:hAnsi="Times New Roman"/>
        </w:rPr>
        <w:t>Marano</w:t>
      </w:r>
      <w:proofErr w:type="spellEnd"/>
      <w:r w:rsidRPr="00EC3871">
        <w:rPr>
          <w:rFonts w:ascii="Times New Roman" w:hAnsi="Times New Roman"/>
        </w:rPr>
        <w:t xml:space="preserve">, G., </w:t>
      </w:r>
      <w:proofErr w:type="spellStart"/>
      <w:r w:rsidRPr="00EC3871">
        <w:rPr>
          <w:rFonts w:ascii="Times New Roman" w:hAnsi="Times New Roman"/>
        </w:rPr>
        <w:t>Veropalumbo</w:t>
      </w:r>
      <w:proofErr w:type="spellEnd"/>
      <w:r w:rsidRPr="00EC3871">
        <w:rPr>
          <w:rFonts w:ascii="Times New Roman" w:hAnsi="Times New Roman"/>
        </w:rPr>
        <w:t xml:space="preserve">, E., </w:t>
      </w:r>
      <w:proofErr w:type="spellStart"/>
      <w:r w:rsidRPr="00EC3871">
        <w:rPr>
          <w:rFonts w:ascii="Times New Roman" w:hAnsi="Times New Roman"/>
        </w:rPr>
        <w:t>Masiello</w:t>
      </w:r>
      <w:proofErr w:type="spellEnd"/>
      <w:r w:rsidRPr="00EC3871">
        <w:rPr>
          <w:rFonts w:ascii="Times New Roman" w:hAnsi="Times New Roman"/>
        </w:rPr>
        <w:t xml:space="preserve">, F., </w:t>
      </w:r>
      <w:proofErr w:type="spellStart"/>
      <w:r w:rsidRPr="00EC3871">
        <w:rPr>
          <w:rFonts w:ascii="Times New Roman" w:hAnsi="Times New Roman"/>
        </w:rPr>
        <w:t>Pati</w:t>
      </w:r>
      <w:proofErr w:type="spellEnd"/>
      <w:r w:rsidRPr="00EC3871">
        <w:rPr>
          <w:rFonts w:ascii="Times New Roman" w:hAnsi="Times New Roman"/>
        </w:rPr>
        <w:t xml:space="preserve">, I., </w:t>
      </w:r>
      <w:proofErr w:type="spellStart"/>
      <w:r w:rsidRPr="00EC3871">
        <w:rPr>
          <w:rFonts w:ascii="Times New Roman" w:hAnsi="Times New Roman"/>
        </w:rPr>
        <w:t>Candura</w:t>
      </w:r>
      <w:proofErr w:type="spellEnd"/>
      <w:r w:rsidRPr="00EC3871">
        <w:rPr>
          <w:rFonts w:ascii="Times New Roman" w:hAnsi="Times New Roman"/>
        </w:rPr>
        <w:t xml:space="preserve">, F., </w:t>
      </w:r>
      <w:proofErr w:type="spellStart"/>
      <w:r w:rsidRPr="00EC3871">
        <w:rPr>
          <w:rFonts w:ascii="Times New Roman" w:hAnsi="Times New Roman"/>
        </w:rPr>
        <w:t>Profili</w:t>
      </w:r>
      <w:proofErr w:type="spellEnd"/>
      <w:r w:rsidRPr="00EC3871">
        <w:rPr>
          <w:rFonts w:ascii="Times New Roman" w:hAnsi="Times New Roman"/>
        </w:rPr>
        <w:t xml:space="preserve">, S., Catalano, L., </w:t>
      </w:r>
      <w:proofErr w:type="spellStart"/>
      <w:r w:rsidRPr="00EC3871">
        <w:rPr>
          <w:rFonts w:ascii="Times New Roman" w:hAnsi="Times New Roman"/>
        </w:rPr>
        <w:t>Piccinini</w:t>
      </w:r>
      <w:proofErr w:type="spellEnd"/>
      <w:r w:rsidRPr="00EC3871">
        <w:rPr>
          <w:rFonts w:ascii="Times New Roman" w:hAnsi="Times New Roman"/>
        </w:rPr>
        <w:t xml:space="preserve">, V., </w:t>
      </w:r>
      <w:proofErr w:type="spellStart"/>
      <w:r w:rsidRPr="00EC3871">
        <w:rPr>
          <w:rFonts w:ascii="Times New Roman" w:hAnsi="Times New Roman"/>
        </w:rPr>
        <w:t>Pupella</w:t>
      </w:r>
      <w:proofErr w:type="spellEnd"/>
      <w:r w:rsidRPr="00EC3871">
        <w:rPr>
          <w:rFonts w:ascii="Times New Roman" w:hAnsi="Times New Roman"/>
        </w:rPr>
        <w:t xml:space="preserve">, S., </w:t>
      </w:r>
      <w:proofErr w:type="spellStart"/>
      <w:r w:rsidRPr="00EC3871">
        <w:rPr>
          <w:rFonts w:ascii="Times New Roman" w:hAnsi="Times New Roman"/>
        </w:rPr>
        <w:t>Vaglio</w:t>
      </w:r>
      <w:proofErr w:type="spellEnd"/>
      <w:r w:rsidRPr="00EC3871">
        <w:rPr>
          <w:rFonts w:ascii="Times New Roman" w:hAnsi="Times New Roman"/>
        </w:rPr>
        <w:t xml:space="preserve">, S., &amp; </w:t>
      </w:r>
      <w:proofErr w:type="spellStart"/>
      <w:r w:rsidRPr="00EC3871">
        <w:rPr>
          <w:rFonts w:ascii="Times New Roman" w:hAnsi="Times New Roman"/>
        </w:rPr>
        <w:t>Liumbruno</w:t>
      </w:r>
      <w:proofErr w:type="spellEnd"/>
      <w:r w:rsidRPr="00EC3871">
        <w:rPr>
          <w:rFonts w:ascii="Times New Roman" w:hAnsi="Times New Roman"/>
        </w:rPr>
        <w:t xml:space="preserve">, G. M. (2019). Patient Blood Management: a revolutionary approach to transfusion medicine. Blood transfusion = </w:t>
      </w:r>
      <w:proofErr w:type="spellStart"/>
      <w:r w:rsidRPr="00EC3871">
        <w:rPr>
          <w:rFonts w:ascii="Times New Roman" w:hAnsi="Times New Roman"/>
        </w:rPr>
        <w:t>Trasfusione</w:t>
      </w:r>
      <w:proofErr w:type="spellEnd"/>
      <w:r w:rsidRPr="00EC3871">
        <w:rPr>
          <w:rFonts w:ascii="Times New Roman" w:hAnsi="Times New Roman"/>
        </w:rPr>
        <w:t xml:space="preserve"> del </w:t>
      </w:r>
      <w:proofErr w:type="spellStart"/>
      <w:r w:rsidRPr="00EC3871">
        <w:rPr>
          <w:rFonts w:ascii="Times New Roman" w:hAnsi="Times New Roman"/>
        </w:rPr>
        <w:t>sangue</w:t>
      </w:r>
      <w:proofErr w:type="spellEnd"/>
      <w:r w:rsidRPr="00EC3871">
        <w:rPr>
          <w:rFonts w:ascii="Times New Roman" w:hAnsi="Times New Roman"/>
        </w:rPr>
        <w:t>, 17(3), 191–195. https://doi.org/10.2450/2019.0109-19</w:t>
      </w:r>
    </w:p>
    <w:p w:rsidR="00EC3871" w:rsidRPr="00EC3871" w:rsidRDefault="00EC3871" w:rsidP="00EC3871">
      <w:pPr>
        <w:spacing w:after="0" w:line="240" w:lineRule="auto"/>
        <w:ind w:left="810" w:hanging="980"/>
        <w:jc w:val="both"/>
        <w:rPr>
          <w:rFonts w:ascii="Times New Roman" w:hAnsi="Times New Roman"/>
        </w:rPr>
      </w:pPr>
      <w:proofErr w:type="spellStart"/>
      <w:r w:rsidRPr="00EC3871">
        <w:rPr>
          <w:rFonts w:ascii="Times New Roman" w:hAnsi="Times New Roman"/>
        </w:rPr>
        <w:t>Garraud</w:t>
      </w:r>
      <w:proofErr w:type="spellEnd"/>
      <w:r w:rsidRPr="00EC3871">
        <w:rPr>
          <w:rFonts w:ascii="Times New Roman" w:hAnsi="Times New Roman"/>
        </w:rPr>
        <w:t>, O., &amp; Tissot, J. D. (2018). Blood and Blood Components: From Similarities to Differences. Frontiers in medicine, 5, 84. https://doi.org/10.3389/fmed.2018.00084</w:t>
      </w:r>
    </w:p>
    <w:p w:rsidR="00EC3871" w:rsidRPr="00EC3871" w:rsidRDefault="00EC3871" w:rsidP="00EC3871">
      <w:pPr>
        <w:spacing w:after="0" w:line="240" w:lineRule="auto"/>
        <w:ind w:left="810" w:hanging="980"/>
        <w:jc w:val="both"/>
        <w:rPr>
          <w:rFonts w:ascii="Times New Roman" w:hAnsi="Times New Roman"/>
        </w:rPr>
      </w:pPr>
      <w:proofErr w:type="spellStart"/>
      <w:r w:rsidRPr="00EC3871">
        <w:rPr>
          <w:rFonts w:ascii="Times New Roman" w:hAnsi="Times New Roman"/>
        </w:rPr>
        <w:t>Gassner</w:t>
      </w:r>
      <w:proofErr w:type="spellEnd"/>
      <w:r w:rsidRPr="00EC3871">
        <w:rPr>
          <w:rFonts w:ascii="Times New Roman" w:hAnsi="Times New Roman"/>
        </w:rPr>
        <w:t xml:space="preserve">, C., Castilho, L., Chen, Q., Clausen, F. B., </w:t>
      </w:r>
      <w:proofErr w:type="spellStart"/>
      <w:r w:rsidRPr="00EC3871">
        <w:rPr>
          <w:rFonts w:ascii="Times New Roman" w:hAnsi="Times New Roman"/>
        </w:rPr>
        <w:t>Denomme</w:t>
      </w:r>
      <w:proofErr w:type="spellEnd"/>
      <w:r w:rsidRPr="00EC3871">
        <w:rPr>
          <w:rFonts w:ascii="Times New Roman" w:hAnsi="Times New Roman"/>
        </w:rPr>
        <w:t xml:space="preserve">, G. A., Flegel, W. A., </w:t>
      </w:r>
      <w:proofErr w:type="spellStart"/>
      <w:r w:rsidRPr="00EC3871">
        <w:rPr>
          <w:rFonts w:ascii="Times New Roman" w:hAnsi="Times New Roman"/>
        </w:rPr>
        <w:t>Gleadall</w:t>
      </w:r>
      <w:proofErr w:type="spellEnd"/>
      <w:r w:rsidRPr="00EC3871">
        <w:rPr>
          <w:rFonts w:ascii="Times New Roman" w:hAnsi="Times New Roman"/>
        </w:rPr>
        <w:t xml:space="preserve">, N., </w:t>
      </w:r>
      <w:proofErr w:type="spellStart"/>
      <w:r w:rsidRPr="00EC3871">
        <w:rPr>
          <w:rFonts w:ascii="Times New Roman" w:hAnsi="Times New Roman"/>
        </w:rPr>
        <w:t>Hellberg</w:t>
      </w:r>
      <w:proofErr w:type="spellEnd"/>
      <w:r w:rsidRPr="00EC3871">
        <w:rPr>
          <w:rFonts w:ascii="Times New Roman" w:hAnsi="Times New Roman"/>
        </w:rPr>
        <w:t xml:space="preserve">, Å., Ji, Y., Keller, M. A., Lane, W. J., </w:t>
      </w:r>
      <w:proofErr w:type="spellStart"/>
      <w:r w:rsidRPr="00EC3871">
        <w:rPr>
          <w:rFonts w:ascii="Times New Roman" w:hAnsi="Times New Roman"/>
        </w:rPr>
        <w:t>Ligthart</w:t>
      </w:r>
      <w:proofErr w:type="spellEnd"/>
      <w:r w:rsidRPr="00EC3871">
        <w:rPr>
          <w:rFonts w:ascii="Times New Roman" w:hAnsi="Times New Roman"/>
        </w:rPr>
        <w:t xml:space="preserve">, P., Lomas-Francis, C., </w:t>
      </w:r>
      <w:proofErr w:type="spellStart"/>
      <w:r w:rsidRPr="00EC3871">
        <w:rPr>
          <w:rFonts w:ascii="Times New Roman" w:hAnsi="Times New Roman"/>
        </w:rPr>
        <w:t>Nogues</w:t>
      </w:r>
      <w:proofErr w:type="spellEnd"/>
      <w:r w:rsidRPr="00EC3871">
        <w:rPr>
          <w:rFonts w:ascii="Times New Roman" w:hAnsi="Times New Roman"/>
        </w:rPr>
        <w:t xml:space="preserve">, N., Olsson, M. L., </w:t>
      </w:r>
      <w:proofErr w:type="spellStart"/>
      <w:r w:rsidRPr="00EC3871">
        <w:rPr>
          <w:rFonts w:ascii="Times New Roman" w:hAnsi="Times New Roman"/>
        </w:rPr>
        <w:t>Peyrard</w:t>
      </w:r>
      <w:proofErr w:type="spellEnd"/>
      <w:r w:rsidRPr="00EC3871">
        <w:rPr>
          <w:rFonts w:ascii="Times New Roman" w:hAnsi="Times New Roman"/>
        </w:rPr>
        <w:t xml:space="preserve">, T., </w:t>
      </w:r>
      <w:proofErr w:type="spellStart"/>
      <w:r w:rsidRPr="00EC3871">
        <w:rPr>
          <w:rFonts w:ascii="Times New Roman" w:hAnsi="Times New Roman"/>
        </w:rPr>
        <w:t>Storry</w:t>
      </w:r>
      <w:proofErr w:type="spellEnd"/>
      <w:r w:rsidRPr="00EC3871">
        <w:rPr>
          <w:rFonts w:ascii="Times New Roman" w:hAnsi="Times New Roman"/>
        </w:rPr>
        <w:t xml:space="preserve">, J. R., </w:t>
      </w:r>
      <w:proofErr w:type="spellStart"/>
      <w:r w:rsidRPr="00EC3871">
        <w:rPr>
          <w:rFonts w:ascii="Times New Roman" w:hAnsi="Times New Roman"/>
        </w:rPr>
        <w:t>Tani</w:t>
      </w:r>
      <w:proofErr w:type="spellEnd"/>
      <w:r w:rsidRPr="00EC3871">
        <w:rPr>
          <w:rFonts w:ascii="Times New Roman" w:hAnsi="Times New Roman"/>
        </w:rPr>
        <w:t xml:space="preserve">, Y., Thornton, N., van der </w:t>
      </w:r>
      <w:proofErr w:type="spellStart"/>
      <w:r w:rsidRPr="00EC3871">
        <w:rPr>
          <w:rFonts w:ascii="Times New Roman" w:hAnsi="Times New Roman"/>
        </w:rPr>
        <w:t>Schoot</w:t>
      </w:r>
      <w:proofErr w:type="spellEnd"/>
      <w:r w:rsidRPr="00EC3871">
        <w:rPr>
          <w:rFonts w:ascii="Times New Roman" w:hAnsi="Times New Roman"/>
        </w:rPr>
        <w:t>, E., … Hyland, C. A. (2022). International Society of Blood Transfusion Working Party on Red Cell Immunogenetics and Blood Group Terminology Report of Basel and three virtual business meetings: Update on blood group systems. Vox sanguinis, 117(11), 1332–1344. https://doi.org/10.1111/vox.13361</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Gonzalez, Carlos. (2020). Introduction to Blood Transfusion: From Donor to Recipient: ISBT Science Series: Vol 15, No S1. 10.1111/voxs.12585. </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Henderson, A. H., Ibrahim, S., &amp; </w:t>
      </w:r>
      <w:proofErr w:type="spellStart"/>
      <w:r w:rsidRPr="00EC3871">
        <w:rPr>
          <w:rFonts w:ascii="Times New Roman" w:hAnsi="Times New Roman"/>
        </w:rPr>
        <w:t>Gazali</w:t>
      </w:r>
      <w:proofErr w:type="spellEnd"/>
      <w:r w:rsidRPr="00EC3871">
        <w:rPr>
          <w:rFonts w:ascii="Times New Roman" w:hAnsi="Times New Roman"/>
        </w:rPr>
        <w:t>, S. (2025). Tranexamic acid for reducing blood loss, transfusion requirements, and dosage in pediatric craniosynostosis surgery: a systematic review and meta-analysis. Journal of Pediatric and Neonatal Individualized Medicine (JPNIM), 14(1), e140114. https://doi.org/10.7363/140114</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Higgins JPT, Thomas J, Chandler J, </w:t>
      </w:r>
      <w:proofErr w:type="spellStart"/>
      <w:r w:rsidRPr="00EC3871">
        <w:rPr>
          <w:rFonts w:ascii="Times New Roman" w:hAnsi="Times New Roman"/>
        </w:rPr>
        <w:t>Cumpston</w:t>
      </w:r>
      <w:proofErr w:type="spellEnd"/>
      <w:r w:rsidRPr="00EC3871">
        <w:rPr>
          <w:rFonts w:ascii="Times New Roman" w:hAnsi="Times New Roman"/>
        </w:rPr>
        <w:t xml:space="preserve"> M, Li T, Page MJ, Welch VA (editors). Cochrane Handbook for Systematic Reviews of Interventions version 6.5 (updated August 2024). Cochrane, 2024. Available from www.cochrane.org/handbook.</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Hofmann, A., </w:t>
      </w:r>
      <w:proofErr w:type="spellStart"/>
      <w:r w:rsidRPr="00EC3871">
        <w:rPr>
          <w:rFonts w:ascii="Times New Roman" w:hAnsi="Times New Roman"/>
        </w:rPr>
        <w:t>Spahn</w:t>
      </w:r>
      <w:proofErr w:type="spellEnd"/>
      <w:r w:rsidRPr="00EC3871">
        <w:rPr>
          <w:rFonts w:ascii="Times New Roman" w:hAnsi="Times New Roman"/>
        </w:rPr>
        <w:t xml:space="preserve">, D.R., </w:t>
      </w:r>
      <w:proofErr w:type="spellStart"/>
      <w:r w:rsidRPr="00EC3871">
        <w:rPr>
          <w:rFonts w:ascii="Times New Roman" w:hAnsi="Times New Roman"/>
        </w:rPr>
        <w:t>Holtorf</w:t>
      </w:r>
      <w:proofErr w:type="spellEnd"/>
      <w:r w:rsidRPr="00EC3871">
        <w:rPr>
          <w:rFonts w:ascii="Times New Roman" w:hAnsi="Times New Roman"/>
        </w:rPr>
        <w:t>, AP. et al. Making patient blood management the new norm(al) as experienced by implementors in diverse countries. BMC Health Serv Res 21, 634 (2021). https://doi.org/10.1186/s12913-021-06484-3</w:t>
      </w:r>
    </w:p>
    <w:p w:rsidR="00EC3871" w:rsidRPr="00EC3871" w:rsidRDefault="00EC3871" w:rsidP="00EC3871">
      <w:pPr>
        <w:spacing w:after="0" w:line="240" w:lineRule="auto"/>
        <w:ind w:left="810" w:hanging="980"/>
        <w:jc w:val="both"/>
        <w:rPr>
          <w:rFonts w:ascii="Times New Roman" w:hAnsi="Times New Roman"/>
        </w:rPr>
      </w:pPr>
      <w:proofErr w:type="spellStart"/>
      <w:r w:rsidRPr="00EC3871">
        <w:rPr>
          <w:rFonts w:ascii="Times New Roman" w:hAnsi="Times New Roman"/>
        </w:rPr>
        <w:t>Jahr</w:t>
      </w:r>
      <w:proofErr w:type="spellEnd"/>
      <w:r w:rsidRPr="00EC3871">
        <w:rPr>
          <w:rFonts w:ascii="Times New Roman" w:hAnsi="Times New Roman"/>
        </w:rPr>
        <w:t>, Jonathan &amp; Guinn, Nicole &amp; Lowery, David &amp; Shore-</w:t>
      </w:r>
      <w:proofErr w:type="spellStart"/>
      <w:r w:rsidRPr="00EC3871">
        <w:rPr>
          <w:rFonts w:ascii="Times New Roman" w:hAnsi="Times New Roman"/>
        </w:rPr>
        <w:t>Lesserson</w:t>
      </w:r>
      <w:proofErr w:type="spellEnd"/>
      <w:r w:rsidRPr="00EC3871">
        <w:rPr>
          <w:rFonts w:ascii="Times New Roman" w:hAnsi="Times New Roman"/>
        </w:rPr>
        <w:t xml:space="preserve">, Linda &amp; </w:t>
      </w:r>
      <w:proofErr w:type="spellStart"/>
      <w:r w:rsidRPr="00EC3871">
        <w:rPr>
          <w:rFonts w:ascii="Times New Roman" w:hAnsi="Times New Roman"/>
        </w:rPr>
        <w:t>Shander</w:t>
      </w:r>
      <w:proofErr w:type="spellEnd"/>
      <w:r w:rsidRPr="00EC3871">
        <w:rPr>
          <w:rFonts w:ascii="Times New Roman" w:hAnsi="Times New Roman"/>
        </w:rPr>
        <w:t xml:space="preserve">, Aryeh. (2019). Blood Substitutes and Oxygen Therapeutics: A Review. Anesthesia &amp; Analgesia. 132. 1. 10.1213/ANE.000000000lllCoccolini, F., </w:t>
      </w:r>
      <w:proofErr w:type="spellStart"/>
      <w:r w:rsidRPr="00EC3871">
        <w:rPr>
          <w:rFonts w:ascii="Times New Roman" w:hAnsi="Times New Roman"/>
        </w:rPr>
        <w:t>Shander</w:t>
      </w:r>
      <w:proofErr w:type="spellEnd"/>
      <w:r w:rsidRPr="00EC3871">
        <w:rPr>
          <w:rFonts w:ascii="Times New Roman" w:hAnsi="Times New Roman"/>
        </w:rPr>
        <w:t xml:space="preserve">, A., </w:t>
      </w:r>
      <w:proofErr w:type="spellStart"/>
      <w:r w:rsidRPr="00EC3871">
        <w:rPr>
          <w:rFonts w:ascii="Times New Roman" w:hAnsi="Times New Roman"/>
        </w:rPr>
        <w:t>Ceresoli</w:t>
      </w:r>
      <w:proofErr w:type="spellEnd"/>
      <w:r w:rsidRPr="00EC3871">
        <w:rPr>
          <w:rFonts w:ascii="Times New Roman" w:hAnsi="Times New Roman"/>
        </w:rPr>
        <w:t xml:space="preserve">, M. et al. Strategies to prevent blood loss and reduce transfusion in emergency general surgery, WSES-AAST consensus paper. World J </w:t>
      </w:r>
      <w:proofErr w:type="spellStart"/>
      <w:r w:rsidRPr="00EC3871">
        <w:rPr>
          <w:rFonts w:ascii="Times New Roman" w:hAnsi="Times New Roman"/>
        </w:rPr>
        <w:t>Emerg</w:t>
      </w:r>
      <w:proofErr w:type="spellEnd"/>
      <w:r w:rsidRPr="00EC3871">
        <w:rPr>
          <w:rFonts w:ascii="Times New Roman" w:hAnsi="Times New Roman"/>
        </w:rPr>
        <w:t xml:space="preserve"> Surg 19, 26 (2024). https://doi.org/10.1186/s13017-024-00554-</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Lozano, Miquel &amp; Badawi, </w:t>
      </w:r>
      <w:proofErr w:type="spellStart"/>
      <w:r w:rsidRPr="00EC3871">
        <w:rPr>
          <w:rFonts w:ascii="Times New Roman" w:hAnsi="Times New Roman"/>
        </w:rPr>
        <w:t>Maha</w:t>
      </w:r>
      <w:proofErr w:type="spellEnd"/>
      <w:r w:rsidRPr="00EC3871">
        <w:rPr>
          <w:rFonts w:ascii="Times New Roman" w:hAnsi="Times New Roman"/>
        </w:rPr>
        <w:t xml:space="preserve">. (2020). Indications for transfusion of blood components. ISBT Science Series. 15. 320-330. 10.1111/voxs.12605. </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Metcalf, R. A., Cohn, C. S., Allen, E. S., </w:t>
      </w:r>
      <w:proofErr w:type="spellStart"/>
      <w:r w:rsidRPr="00EC3871">
        <w:rPr>
          <w:rFonts w:ascii="Times New Roman" w:hAnsi="Times New Roman"/>
        </w:rPr>
        <w:t>Bakhtary</w:t>
      </w:r>
      <w:proofErr w:type="spellEnd"/>
      <w:r w:rsidRPr="00EC3871">
        <w:rPr>
          <w:rFonts w:ascii="Times New Roman" w:hAnsi="Times New Roman"/>
        </w:rPr>
        <w:t xml:space="preserve">, S., </w:t>
      </w:r>
      <w:proofErr w:type="spellStart"/>
      <w:r w:rsidRPr="00EC3871">
        <w:rPr>
          <w:rFonts w:ascii="Times New Roman" w:hAnsi="Times New Roman"/>
        </w:rPr>
        <w:t>Gniadek</w:t>
      </w:r>
      <w:proofErr w:type="spellEnd"/>
      <w:r w:rsidRPr="00EC3871">
        <w:rPr>
          <w:rFonts w:ascii="Times New Roman" w:hAnsi="Times New Roman"/>
        </w:rPr>
        <w:t xml:space="preserve">, T., Gupta, G., Harm, S., Haspel, R., Hess, A., Jacobson, J., </w:t>
      </w:r>
      <w:proofErr w:type="spellStart"/>
      <w:r w:rsidRPr="00EC3871">
        <w:rPr>
          <w:rFonts w:ascii="Times New Roman" w:hAnsi="Times New Roman"/>
        </w:rPr>
        <w:t>Lokhandwala</w:t>
      </w:r>
      <w:proofErr w:type="spellEnd"/>
      <w:r w:rsidRPr="00EC3871">
        <w:rPr>
          <w:rFonts w:ascii="Times New Roman" w:hAnsi="Times New Roman"/>
        </w:rPr>
        <w:t xml:space="preserve">, P. M., Murphy, C., Poston, J., Prochaska, M. T., </w:t>
      </w:r>
      <w:proofErr w:type="spellStart"/>
      <w:r w:rsidRPr="00EC3871">
        <w:rPr>
          <w:rFonts w:ascii="Times New Roman" w:hAnsi="Times New Roman"/>
        </w:rPr>
        <w:t>Raval</w:t>
      </w:r>
      <w:proofErr w:type="spellEnd"/>
      <w:r w:rsidRPr="00EC3871">
        <w:rPr>
          <w:rFonts w:ascii="Times New Roman" w:hAnsi="Times New Roman"/>
        </w:rPr>
        <w:t xml:space="preserve">, J. S., </w:t>
      </w:r>
      <w:proofErr w:type="spellStart"/>
      <w:r w:rsidRPr="00EC3871">
        <w:rPr>
          <w:rFonts w:ascii="Times New Roman" w:hAnsi="Times New Roman"/>
        </w:rPr>
        <w:t>Saifee</w:t>
      </w:r>
      <w:proofErr w:type="spellEnd"/>
      <w:r w:rsidRPr="00EC3871">
        <w:rPr>
          <w:rFonts w:ascii="Times New Roman" w:hAnsi="Times New Roman"/>
        </w:rPr>
        <w:t xml:space="preserve">, N. H., Salazar, E., Shan, H., </w:t>
      </w:r>
      <w:proofErr w:type="spellStart"/>
      <w:r w:rsidRPr="00EC3871">
        <w:rPr>
          <w:rFonts w:ascii="Times New Roman" w:hAnsi="Times New Roman"/>
        </w:rPr>
        <w:t>Zantek</w:t>
      </w:r>
      <w:proofErr w:type="spellEnd"/>
      <w:r w:rsidRPr="00EC3871">
        <w:rPr>
          <w:rFonts w:ascii="Times New Roman" w:hAnsi="Times New Roman"/>
        </w:rPr>
        <w:t>, N., &amp; Pagano, M. B. (2022). Current advances in transfusion medicine 2021: A critical review of selected topics by the AABB Clinical Transfusion Medicine Committee. Transfusion, 62(7), 1435–1445. https://doi.org/10.1111/trf.16944</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 </w:t>
      </w:r>
      <w:proofErr w:type="spellStart"/>
      <w:r w:rsidRPr="00EC3871">
        <w:rPr>
          <w:rFonts w:ascii="Times New Roman" w:hAnsi="Times New Roman"/>
        </w:rPr>
        <w:t>Miljand</w:t>
      </w:r>
      <w:proofErr w:type="spellEnd"/>
      <w:r w:rsidRPr="00EC3871">
        <w:rPr>
          <w:rFonts w:ascii="Times New Roman" w:hAnsi="Times New Roman"/>
        </w:rPr>
        <w:t xml:space="preserve">, M., &amp; </w:t>
      </w:r>
      <w:proofErr w:type="spellStart"/>
      <w:r w:rsidRPr="00EC3871">
        <w:rPr>
          <w:rFonts w:ascii="Times New Roman" w:hAnsi="Times New Roman"/>
        </w:rPr>
        <w:t>Eckerberg</w:t>
      </w:r>
      <w:proofErr w:type="spellEnd"/>
      <w:r w:rsidRPr="00EC3871">
        <w:rPr>
          <w:rFonts w:ascii="Times New Roman" w:hAnsi="Times New Roman"/>
        </w:rPr>
        <w:t>, K. (2022). Using systematic reviews to inform environmental policy-making. Evaluation, 28(2), 210-230. https://doi.org/10.1177/13563890221076540 (Original work published 2022)</w:t>
      </w:r>
      <w:r w:rsidRPr="00EC3871">
        <w:rPr>
          <w:rFonts w:ascii="Times New Roman" w:hAnsi="Times New Roman"/>
        </w:rPr>
        <w:t>.</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Mo, Y. D., &amp; Delaney, M. (2021). Transfusion in Pediatric Patients: Review of Evidence-Based Guidelines. Clinics in laboratory medicine, 41(1), 1–14. https://doi.org/10.1016/j.cll.2020.10.001</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Narayan S.(Ed) D Poles et al. on behalf of the Serious Hazards of Transfusion (SHOT) Steering Group. The 2020 Annual SHOT Report (2021). https://www.shotuk.org/wp-content/uploads/2020/09/Interactive_SHOT-REPORT-2020_V2.1.pdf</w:t>
      </w:r>
    </w:p>
    <w:p w:rsidR="00EC3871" w:rsidRPr="00EC3871" w:rsidRDefault="00EC3871" w:rsidP="00EC3871">
      <w:pPr>
        <w:spacing w:after="0" w:line="240" w:lineRule="auto"/>
        <w:ind w:left="810" w:hanging="980"/>
        <w:jc w:val="both"/>
        <w:rPr>
          <w:rFonts w:ascii="Times New Roman" w:hAnsi="Times New Roman"/>
        </w:rPr>
      </w:pPr>
      <w:proofErr w:type="spellStart"/>
      <w:r w:rsidRPr="00EC3871">
        <w:rPr>
          <w:rFonts w:ascii="Times New Roman" w:hAnsi="Times New Roman"/>
        </w:rPr>
        <w:t>Noonpradej</w:t>
      </w:r>
      <w:proofErr w:type="spellEnd"/>
      <w:r w:rsidRPr="00EC3871">
        <w:rPr>
          <w:rFonts w:ascii="Times New Roman" w:hAnsi="Times New Roman"/>
        </w:rPr>
        <w:t xml:space="preserve">, S., &amp; </w:t>
      </w:r>
      <w:proofErr w:type="spellStart"/>
      <w:r w:rsidRPr="00EC3871">
        <w:rPr>
          <w:rFonts w:ascii="Times New Roman" w:hAnsi="Times New Roman"/>
        </w:rPr>
        <w:t>Akaraborworn</w:t>
      </w:r>
      <w:proofErr w:type="spellEnd"/>
      <w:r w:rsidRPr="00EC3871">
        <w:rPr>
          <w:rFonts w:ascii="Times New Roman" w:hAnsi="Times New Roman"/>
        </w:rPr>
        <w:t>, O. (2020). Intravenous Fluid of Choice in Major Abdominal Surgery: A Systematic Review. Critical care research and practice, 2020, 2170828. https://doi.org/10.1155/2020/2170828</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 </w:t>
      </w:r>
      <w:proofErr w:type="spellStart"/>
      <w:r w:rsidRPr="00EC3871">
        <w:rPr>
          <w:rFonts w:ascii="Times New Roman" w:hAnsi="Times New Roman"/>
        </w:rPr>
        <w:t>Osho</w:t>
      </w:r>
      <w:proofErr w:type="spellEnd"/>
      <w:r w:rsidRPr="00EC3871">
        <w:rPr>
          <w:rFonts w:ascii="Times New Roman" w:hAnsi="Times New Roman"/>
        </w:rPr>
        <w:t xml:space="preserve"> Olanrewaju, P., </w:t>
      </w:r>
      <w:proofErr w:type="spellStart"/>
      <w:r w:rsidRPr="00EC3871">
        <w:rPr>
          <w:rFonts w:ascii="Times New Roman" w:hAnsi="Times New Roman"/>
        </w:rPr>
        <w:t>Gbajuola</w:t>
      </w:r>
      <w:proofErr w:type="spellEnd"/>
      <w:r w:rsidRPr="00EC3871">
        <w:rPr>
          <w:rFonts w:ascii="Times New Roman" w:hAnsi="Times New Roman"/>
        </w:rPr>
        <w:t xml:space="preserve"> Joy, P., &amp; Matthew, O. . (2023). Blood Group System: Clinical Insight and Relevance in Medical Practice. European Journal of Health Sciences, 9(1), 1–11. https://doi.org/10.47672/ejhs.1425</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bCs/>
        </w:rPr>
        <w:t xml:space="preserve">Pagano, M. B., Allen, E. S., Chou, S. T., Dunbar, N. M., </w:t>
      </w:r>
      <w:proofErr w:type="spellStart"/>
      <w:r w:rsidRPr="00EC3871">
        <w:rPr>
          <w:rFonts w:ascii="Times New Roman" w:hAnsi="Times New Roman"/>
          <w:bCs/>
        </w:rPr>
        <w:t>Gniadek</w:t>
      </w:r>
      <w:proofErr w:type="spellEnd"/>
      <w:r w:rsidRPr="00EC3871">
        <w:rPr>
          <w:rFonts w:ascii="Times New Roman" w:hAnsi="Times New Roman"/>
          <w:bCs/>
        </w:rPr>
        <w:t xml:space="preserve">, T., Goel, R., Harm, S. K., Hopkins, C. K., Jacobson, J., </w:t>
      </w:r>
      <w:proofErr w:type="spellStart"/>
      <w:r w:rsidRPr="00EC3871">
        <w:rPr>
          <w:rFonts w:ascii="Times New Roman" w:hAnsi="Times New Roman"/>
          <w:bCs/>
        </w:rPr>
        <w:t>Lokhandwala</w:t>
      </w:r>
      <w:proofErr w:type="spellEnd"/>
      <w:r w:rsidRPr="00EC3871">
        <w:rPr>
          <w:rFonts w:ascii="Times New Roman" w:hAnsi="Times New Roman"/>
          <w:bCs/>
        </w:rPr>
        <w:t xml:space="preserve">, P. M., Metcalf, R. A., </w:t>
      </w:r>
      <w:proofErr w:type="spellStart"/>
      <w:r w:rsidRPr="00EC3871">
        <w:rPr>
          <w:rFonts w:ascii="Times New Roman" w:hAnsi="Times New Roman"/>
          <w:bCs/>
        </w:rPr>
        <w:t>Raval</w:t>
      </w:r>
      <w:proofErr w:type="spellEnd"/>
      <w:r w:rsidRPr="00EC3871">
        <w:rPr>
          <w:rFonts w:ascii="Times New Roman" w:hAnsi="Times New Roman"/>
          <w:bCs/>
        </w:rPr>
        <w:t xml:space="preserve">, J. S., Schwartz, J., Shan, H., </w:t>
      </w:r>
      <w:proofErr w:type="spellStart"/>
      <w:r w:rsidRPr="00EC3871">
        <w:rPr>
          <w:rFonts w:ascii="Times New Roman" w:hAnsi="Times New Roman"/>
          <w:bCs/>
        </w:rPr>
        <w:t>Spinella</w:t>
      </w:r>
      <w:proofErr w:type="spellEnd"/>
      <w:r w:rsidRPr="00EC3871">
        <w:rPr>
          <w:rFonts w:ascii="Times New Roman" w:hAnsi="Times New Roman"/>
          <w:bCs/>
        </w:rPr>
        <w:t>, P. C., Storch, E., &amp; Cohn, C. S. (2020). Current advances in transfusion medicine: a 2019 review of selected topics from the AABB Clinical Transfusion Medicine Committee. Transfusion, 60(7), 1614–1623. https://doi.org/10.1111/trf.15848</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Page, M. J., McKenzie, J. E., </w:t>
      </w:r>
      <w:proofErr w:type="spellStart"/>
      <w:r w:rsidRPr="00EC3871">
        <w:rPr>
          <w:rFonts w:ascii="Times New Roman" w:hAnsi="Times New Roman"/>
        </w:rPr>
        <w:t>Bossuyt</w:t>
      </w:r>
      <w:proofErr w:type="spellEnd"/>
      <w:r w:rsidRPr="00EC3871">
        <w:rPr>
          <w:rFonts w:ascii="Times New Roman" w:hAnsi="Times New Roman"/>
        </w:rPr>
        <w:t xml:space="preserve">, P. M., </w:t>
      </w:r>
      <w:proofErr w:type="spellStart"/>
      <w:r w:rsidRPr="00EC3871">
        <w:rPr>
          <w:rFonts w:ascii="Times New Roman" w:hAnsi="Times New Roman"/>
        </w:rPr>
        <w:t>Boutron</w:t>
      </w:r>
      <w:proofErr w:type="spellEnd"/>
      <w:r w:rsidRPr="00EC3871">
        <w:rPr>
          <w:rFonts w:ascii="Times New Roman" w:hAnsi="Times New Roman"/>
        </w:rPr>
        <w:t xml:space="preserve">, I., Hoffmann, T. C., Mulrow, C. D., </w:t>
      </w:r>
      <w:proofErr w:type="spellStart"/>
      <w:r w:rsidRPr="00EC3871">
        <w:rPr>
          <w:rFonts w:ascii="Times New Roman" w:hAnsi="Times New Roman"/>
        </w:rPr>
        <w:t>Shamseer</w:t>
      </w:r>
      <w:proofErr w:type="spellEnd"/>
      <w:r w:rsidRPr="00EC3871">
        <w:rPr>
          <w:rFonts w:ascii="Times New Roman" w:hAnsi="Times New Roman"/>
        </w:rPr>
        <w:t xml:space="preserve">, L., </w:t>
      </w:r>
      <w:proofErr w:type="spellStart"/>
      <w:r w:rsidRPr="00EC3871">
        <w:rPr>
          <w:rFonts w:ascii="Times New Roman" w:hAnsi="Times New Roman"/>
        </w:rPr>
        <w:t>Tetzlaff</w:t>
      </w:r>
      <w:proofErr w:type="spellEnd"/>
      <w:r w:rsidRPr="00EC3871">
        <w:rPr>
          <w:rFonts w:ascii="Times New Roman" w:hAnsi="Times New Roman"/>
        </w:rPr>
        <w:t xml:space="preserve">, J. M., </w:t>
      </w:r>
      <w:proofErr w:type="spellStart"/>
      <w:r w:rsidRPr="00EC3871">
        <w:rPr>
          <w:rFonts w:ascii="Times New Roman" w:hAnsi="Times New Roman"/>
        </w:rPr>
        <w:t>Akl</w:t>
      </w:r>
      <w:proofErr w:type="spellEnd"/>
      <w:r w:rsidRPr="00EC3871">
        <w:rPr>
          <w:rFonts w:ascii="Times New Roman" w:hAnsi="Times New Roman"/>
        </w:rPr>
        <w:t xml:space="preserve">, E. A., Brennan, S. E., Chou, R., Glanville, J., Grimshaw, J. M., </w:t>
      </w:r>
      <w:proofErr w:type="spellStart"/>
      <w:r w:rsidRPr="00EC3871">
        <w:rPr>
          <w:rFonts w:ascii="Times New Roman" w:hAnsi="Times New Roman"/>
        </w:rPr>
        <w:t>Hróbjartsson</w:t>
      </w:r>
      <w:proofErr w:type="spellEnd"/>
      <w:r w:rsidRPr="00EC3871">
        <w:rPr>
          <w:rFonts w:ascii="Times New Roman" w:hAnsi="Times New Roman"/>
        </w:rPr>
        <w:t xml:space="preserve">, A., </w:t>
      </w:r>
      <w:proofErr w:type="spellStart"/>
      <w:r w:rsidRPr="00EC3871">
        <w:rPr>
          <w:rFonts w:ascii="Times New Roman" w:hAnsi="Times New Roman"/>
        </w:rPr>
        <w:t>Lalu</w:t>
      </w:r>
      <w:proofErr w:type="spellEnd"/>
      <w:r w:rsidRPr="00EC3871">
        <w:rPr>
          <w:rFonts w:ascii="Times New Roman" w:hAnsi="Times New Roman"/>
        </w:rPr>
        <w:t xml:space="preserve">, M. M., Li, T., </w:t>
      </w:r>
      <w:proofErr w:type="spellStart"/>
      <w:r w:rsidRPr="00EC3871">
        <w:rPr>
          <w:rFonts w:ascii="Times New Roman" w:hAnsi="Times New Roman"/>
        </w:rPr>
        <w:t>Loder</w:t>
      </w:r>
      <w:proofErr w:type="spellEnd"/>
      <w:r w:rsidRPr="00EC3871">
        <w:rPr>
          <w:rFonts w:ascii="Times New Roman" w:hAnsi="Times New Roman"/>
        </w:rPr>
        <w:t>, E. W., Mayo-Wilson, E., McDonald, S., McGuinness, L. A., … Moher, D. (2021). The PRISMA 2020 statement: an updated guideline for reporting systematic reviews. BMJ (Clinical research ed.), 372, n71. https://doi.org/10.1136/bmj.n71</w:t>
      </w:r>
    </w:p>
    <w:p w:rsidR="00EC3871" w:rsidRPr="00EC3871" w:rsidRDefault="00EC3871" w:rsidP="00EC3871">
      <w:pPr>
        <w:spacing w:after="0" w:line="240" w:lineRule="auto"/>
        <w:ind w:left="810" w:hanging="980"/>
        <w:jc w:val="both"/>
        <w:rPr>
          <w:rFonts w:ascii="Times New Roman" w:hAnsi="Times New Roman"/>
          <w:bCs/>
        </w:rPr>
      </w:pPr>
      <w:r w:rsidRPr="00EC3871">
        <w:rPr>
          <w:rFonts w:ascii="Times New Roman" w:hAnsi="Times New Roman"/>
          <w:bCs/>
        </w:rPr>
        <w:t xml:space="preserve"> Page, M.J., McKenzie, J.E., </w:t>
      </w:r>
      <w:proofErr w:type="spellStart"/>
      <w:r w:rsidRPr="00EC3871">
        <w:rPr>
          <w:rFonts w:ascii="Times New Roman" w:hAnsi="Times New Roman"/>
          <w:bCs/>
        </w:rPr>
        <w:t>Bossuyt</w:t>
      </w:r>
      <w:proofErr w:type="spellEnd"/>
      <w:r w:rsidRPr="00EC3871">
        <w:rPr>
          <w:rFonts w:ascii="Times New Roman" w:hAnsi="Times New Roman"/>
          <w:bCs/>
        </w:rPr>
        <w:t>, P.M. et al. The PRISMA 2020 statement: an updated guideline for reporting systematic reviews. Syst Rev 10, 89 (2021). https://doi.org/10.1186/s13643-021-01626-4</w:t>
      </w:r>
    </w:p>
    <w:p w:rsidR="00EC3871" w:rsidRPr="00EC3871" w:rsidRDefault="00EC3871" w:rsidP="00EC3871">
      <w:pPr>
        <w:spacing w:after="0" w:line="240" w:lineRule="auto"/>
        <w:ind w:left="810" w:hanging="980"/>
        <w:jc w:val="both"/>
        <w:rPr>
          <w:rFonts w:ascii="Times New Roman" w:hAnsi="Times New Roman"/>
        </w:rPr>
      </w:pPr>
      <w:proofErr w:type="spellStart"/>
      <w:r w:rsidRPr="00EC3871">
        <w:rPr>
          <w:rFonts w:ascii="Times New Roman" w:hAnsi="Times New Roman"/>
        </w:rPr>
        <w:t>Pensier</w:t>
      </w:r>
      <w:proofErr w:type="spellEnd"/>
      <w:r w:rsidRPr="00EC3871">
        <w:rPr>
          <w:rFonts w:ascii="Times New Roman" w:hAnsi="Times New Roman"/>
        </w:rPr>
        <w:t xml:space="preserve">, J., </w:t>
      </w:r>
      <w:proofErr w:type="spellStart"/>
      <w:r w:rsidRPr="00EC3871">
        <w:rPr>
          <w:rFonts w:ascii="Times New Roman" w:hAnsi="Times New Roman"/>
        </w:rPr>
        <w:t>Deffontis</w:t>
      </w:r>
      <w:proofErr w:type="spellEnd"/>
      <w:r w:rsidRPr="00EC3871">
        <w:rPr>
          <w:rFonts w:ascii="Times New Roman" w:hAnsi="Times New Roman"/>
        </w:rPr>
        <w:t xml:space="preserve">, L., </w:t>
      </w:r>
      <w:proofErr w:type="spellStart"/>
      <w:r w:rsidRPr="00EC3871">
        <w:rPr>
          <w:rFonts w:ascii="Times New Roman" w:hAnsi="Times New Roman"/>
        </w:rPr>
        <w:t>Rollé</w:t>
      </w:r>
      <w:proofErr w:type="spellEnd"/>
      <w:r w:rsidRPr="00EC3871">
        <w:rPr>
          <w:rFonts w:ascii="Times New Roman" w:hAnsi="Times New Roman"/>
        </w:rPr>
        <w:t xml:space="preserve">, A., </w:t>
      </w:r>
      <w:proofErr w:type="spellStart"/>
      <w:r w:rsidRPr="00EC3871">
        <w:rPr>
          <w:rFonts w:ascii="Times New Roman" w:hAnsi="Times New Roman"/>
        </w:rPr>
        <w:t>Aarab</w:t>
      </w:r>
      <w:proofErr w:type="spellEnd"/>
      <w:r w:rsidRPr="00EC3871">
        <w:rPr>
          <w:rFonts w:ascii="Times New Roman" w:hAnsi="Times New Roman"/>
        </w:rPr>
        <w:t xml:space="preserve">, Y., </w:t>
      </w:r>
      <w:proofErr w:type="spellStart"/>
      <w:r w:rsidRPr="00EC3871">
        <w:rPr>
          <w:rFonts w:ascii="Times New Roman" w:hAnsi="Times New Roman"/>
        </w:rPr>
        <w:t>Capdevila</w:t>
      </w:r>
      <w:proofErr w:type="spellEnd"/>
      <w:r w:rsidRPr="00EC3871">
        <w:rPr>
          <w:rFonts w:ascii="Times New Roman" w:hAnsi="Times New Roman"/>
        </w:rPr>
        <w:t xml:space="preserve">, M., Monet, C., </w:t>
      </w:r>
      <w:proofErr w:type="spellStart"/>
      <w:r w:rsidRPr="00EC3871">
        <w:rPr>
          <w:rFonts w:ascii="Times New Roman" w:hAnsi="Times New Roman"/>
        </w:rPr>
        <w:t>Carr</w:t>
      </w:r>
      <w:proofErr w:type="spellEnd"/>
      <w:r w:rsidRPr="00EC3871">
        <w:rPr>
          <w:rFonts w:ascii="Times New Roman" w:hAnsi="Times New Roman"/>
        </w:rPr>
        <w:t xml:space="preserve">, J., </w:t>
      </w:r>
      <w:proofErr w:type="spellStart"/>
      <w:r w:rsidRPr="00EC3871">
        <w:rPr>
          <w:rFonts w:ascii="Times New Roman" w:hAnsi="Times New Roman"/>
        </w:rPr>
        <w:t>Futier</w:t>
      </w:r>
      <w:proofErr w:type="spellEnd"/>
      <w:r w:rsidRPr="00EC3871">
        <w:rPr>
          <w:rFonts w:ascii="Times New Roman" w:hAnsi="Times New Roman"/>
        </w:rPr>
        <w:t>, E.,  Molinari, N., Jaber, S., &amp; De Jong, A. (2022). Hydroxyethyl Starch for Fluid Management in   Patients Undergoing Major Abdominal Surgery: A Systematic Review With Meta-analysis and Trial Sequential Analysis. Anesthesia and analgesia, 134(4), 686–695. https://doi.org/10.1213/ANE.0000000000005803</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bCs/>
        </w:rPr>
        <w:t xml:space="preserve"> </w:t>
      </w:r>
      <w:proofErr w:type="spellStart"/>
      <w:r w:rsidRPr="00EC3871">
        <w:rPr>
          <w:rFonts w:ascii="Times New Roman" w:hAnsi="Times New Roman"/>
          <w:bCs/>
        </w:rPr>
        <w:t>Stainsby</w:t>
      </w:r>
      <w:proofErr w:type="spellEnd"/>
      <w:r w:rsidRPr="00EC3871">
        <w:rPr>
          <w:rFonts w:ascii="Times New Roman" w:hAnsi="Times New Roman"/>
          <w:bCs/>
        </w:rPr>
        <w:t xml:space="preserve">, D., Jones, H., &amp; Asher, D. (2019). Serious hazards of transfusion (SHOT): a UK-wide </w:t>
      </w:r>
      <w:proofErr w:type="spellStart"/>
      <w:r w:rsidRPr="00EC3871">
        <w:rPr>
          <w:rFonts w:ascii="Times New Roman" w:hAnsi="Times New Roman"/>
          <w:bCs/>
        </w:rPr>
        <w:t>haemovigilance</w:t>
      </w:r>
      <w:proofErr w:type="spellEnd"/>
      <w:r w:rsidRPr="00EC3871">
        <w:rPr>
          <w:rFonts w:ascii="Times New Roman" w:hAnsi="Times New Roman"/>
          <w:bCs/>
        </w:rPr>
        <w:t xml:space="preserve"> scheme. _ISBT Science Series_, 14(2), 151-158. </w:t>
      </w:r>
      <w:proofErr w:type="spellStart"/>
      <w:r w:rsidRPr="00EC3871">
        <w:rPr>
          <w:rFonts w:ascii="Times New Roman" w:hAnsi="Times New Roman"/>
          <w:bCs/>
        </w:rPr>
        <w:t>doi</w:t>
      </w:r>
      <w:proofErr w:type="spellEnd"/>
      <w:r w:rsidRPr="00EC3871">
        <w:rPr>
          <w:rFonts w:ascii="Times New Roman" w:hAnsi="Times New Roman"/>
          <w:bCs/>
        </w:rPr>
        <w:t>: 10.1111/isbt.12551</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Storch, E. K., Custer, B. S., Jacobs, M. R., </w:t>
      </w:r>
      <w:proofErr w:type="spellStart"/>
      <w:r w:rsidRPr="00EC3871">
        <w:rPr>
          <w:rFonts w:ascii="Times New Roman" w:hAnsi="Times New Roman"/>
        </w:rPr>
        <w:t>Menitove</w:t>
      </w:r>
      <w:proofErr w:type="spellEnd"/>
      <w:r w:rsidRPr="00EC3871">
        <w:rPr>
          <w:rFonts w:ascii="Times New Roman" w:hAnsi="Times New Roman"/>
        </w:rPr>
        <w:t xml:space="preserve">, J. E., &amp; </w:t>
      </w:r>
      <w:proofErr w:type="spellStart"/>
      <w:r w:rsidRPr="00EC3871">
        <w:rPr>
          <w:rFonts w:ascii="Times New Roman" w:hAnsi="Times New Roman"/>
        </w:rPr>
        <w:t>Mintz</w:t>
      </w:r>
      <w:proofErr w:type="spellEnd"/>
      <w:r w:rsidRPr="00EC3871">
        <w:rPr>
          <w:rFonts w:ascii="Times New Roman" w:hAnsi="Times New Roman"/>
        </w:rPr>
        <w:t>, P. D. (2019). Review of current transfusion therapy and blood banking practices. Blood reviews, 38, 100593. https://doi.org/10.1016/j.blre.2019.100593</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 xml:space="preserve"> Wells, G. A., Shea, B., O'Connell, D., Peterson, J., Welch, V., </w:t>
      </w:r>
      <w:proofErr w:type="spellStart"/>
      <w:r w:rsidRPr="00EC3871">
        <w:rPr>
          <w:rFonts w:ascii="Times New Roman" w:hAnsi="Times New Roman"/>
        </w:rPr>
        <w:t>Losos</w:t>
      </w:r>
      <w:proofErr w:type="spellEnd"/>
      <w:r w:rsidRPr="00EC3871">
        <w:rPr>
          <w:rFonts w:ascii="Times New Roman" w:hAnsi="Times New Roman"/>
        </w:rPr>
        <w:t xml:space="preserve">, M., &amp; </w:t>
      </w:r>
      <w:proofErr w:type="spellStart"/>
      <w:r w:rsidRPr="00EC3871">
        <w:rPr>
          <w:rFonts w:ascii="Times New Roman" w:hAnsi="Times New Roman"/>
        </w:rPr>
        <w:t>Tugwell</w:t>
      </w:r>
      <w:proofErr w:type="spellEnd"/>
      <w:r w:rsidRPr="00EC3871">
        <w:rPr>
          <w:rFonts w:ascii="Times New Roman" w:hAnsi="Times New Roman"/>
        </w:rPr>
        <w:t xml:space="preserve">, P. (2021). The Newcastle-Ottawa Scale (NOS) for assessing the quality of </w:t>
      </w:r>
      <w:proofErr w:type="spellStart"/>
      <w:r w:rsidRPr="00EC3871">
        <w:rPr>
          <w:rFonts w:ascii="Times New Roman" w:hAnsi="Times New Roman"/>
        </w:rPr>
        <w:t>nonrandomised</w:t>
      </w:r>
      <w:proofErr w:type="spellEnd"/>
      <w:r w:rsidRPr="00EC3871">
        <w:rPr>
          <w:rFonts w:ascii="Times New Roman" w:hAnsi="Times New Roman"/>
        </w:rPr>
        <w:t xml:space="preserve"> studies in meta-analyses. Ottawa Hospital Research </w:t>
      </w:r>
      <w:proofErr w:type="spellStart"/>
      <w:r w:rsidRPr="00EC3871">
        <w:rPr>
          <w:rFonts w:ascii="Times New Roman" w:hAnsi="Times New Roman"/>
        </w:rPr>
        <w:t>Institute.Source</w:t>
      </w:r>
      <w:proofErr w:type="spellEnd"/>
      <w:r w:rsidRPr="00EC3871">
        <w:rPr>
          <w:rFonts w:ascii="Times New Roman" w:hAnsi="Times New Roman"/>
        </w:rPr>
        <w:t>: The Ottawa Hospital Research Institute https://share.google/Lb0FAQJWcNewbIMGw</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bCs/>
        </w:rPr>
        <w:t>World Health Organization. (2025). Blood safety and availability. Accessed and Retrieved 20th may,2025, available from https://www.who.int/news-room/fact-sheets/detail/blood-safety-and-availability</w:t>
      </w:r>
    </w:p>
    <w:p w:rsidR="00EC3871" w:rsidRPr="00EC3871" w:rsidRDefault="00EC3871" w:rsidP="00EC3871">
      <w:pPr>
        <w:spacing w:after="0" w:line="240" w:lineRule="auto"/>
        <w:ind w:left="810" w:hanging="980"/>
        <w:jc w:val="both"/>
        <w:rPr>
          <w:rFonts w:ascii="Times New Roman" w:hAnsi="Times New Roman"/>
        </w:rPr>
      </w:pPr>
      <w:r w:rsidRPr="00EC3871">
        <w:rPr>
          <w:rFonts w:ascii="Times New Roman" w:hAnsi="Times New Roman"/>
        </w:rPr>
        <w:t>Xu, Y., Wang, S., He, L., Yu, H., &amp; Yu, H. (2021). Hydroxyethyl starch 130/0.4 for volume replacement therapy in surgical patients: a systematic review and meta-analysis of randomized controlled trials. Perioperative medicine (London, England), 10(1), 16. https://doi.org/10.1186/s13741-021-00182-8</w:t>
      </w:r>
    </w:p>
    <w:p w:rsidR="00B85E1F" w:rsidRPr="00EC3871" w:rsidRDefault="00B85E1F" w:rsidP="00EC3871">
      <w:pPr>
        <w:spacing w:after="0" w:line="240" w:lineRule="auto"/>
        <w:ind w:left="810" w:hanging="980"/>
        <w:jc w:val="both"/>
        <w:rPr>
          <w:rFonts w:ascii="Times New Roman" w:hAnsi="Times New Roman"/>
        </w:rPr>
      </w:pPr>
    </w:p>
    <w:p w:rsidR="00B85E1F" w:rsidRPr="00EC3871" w:rsidRDefault="00B85E1F" w:rsidP="00EC3871">
      <w:pPr>
        <w:spacing w:after="0" w:line="240" w:lineRule="auto"/>
        <w:jc w:val="both"/>
        <w:rPr>
          <w:rFonts w:ascii="Arial" w:hAnsi="Arial" w:cs="Arial"/>
          <w:b/>
        </w:rPr>
      </w:pPr>
    </w:p>
    <w:p w:rsidR="00B85E1F" w:rsidRPr="00EC3871" w:rsidRDefault="00B85E1F" w:rsidP="00EC3871">
      <w:pPr>
        <w:spacing w:after="0" w:line="240" w:lineRule="auto"/>
        <w:jc w:val="both"/>
        <w:rPr>
          <w:rFonts w:ascii="Arial" w:hAnsi="Arial" w:cs="Arial"/>
          <w:b/>
        </w:rPr>
      </w:pPr>
    </w:p>
    <w:p w:rsidR="00B85E1F" w:rsidRPr="00EC3871" w:rsidRDefault="00B85E1F" w:rsidP="00EC3871">
      <w:pPr>
        <w:spacing w:after="0" w:line="240" w:lineRule="auto"/>
        <w:jc w:val="both"/>
        <w:rPr>
          <w:rFonts w:ascii="Arial" w:hAnsi="Arial" w:cs="Arial"/>
          <w:b/>
        </w:rPr>
      </w:pPr>
    </w:p>
    <w:p w:rsidR="00B85E1F" w:rsidRPr="00EC3871" w:rsidRDefault="00B85E1F" w:rsidP="00EC3871">
      <w:pPr>
        <w:spacing w:after="0" w:line="240" w:lineRule="auto"/>
        <w:jc w:val="both"/>
        <w:rPr>
          <w:rFonts w:ascii="Arial" w:hAnsi="Arial" w:cs="Arial"/>
          <w:b/>
        </w:rPr>
      </w:pPr>
    </w:p>
    <w:p w:rsidR="00B85E1F" w:rsidRPr="00EC3871" w:rsidRDefault="00B85E1F" w:rsidP="00EC3871">
      <w:pPr>
        <w:spacing w:after="0" w:line="240" w:lineRule="auto"/>
        <w:jc w:val="both"/>
        <w:rPr>
          <w:rFonts w:ascii="Arial" w:hAnsi="Arial" w:cs="Arial"/>
          <w:b/>
        </w:rPr>
      </w:pPr>
    </w:p>
    <w:p w:rsidR="00B85E1F" w:rsidRPr="00EC3871" w:rsidRDefault="00B85E1F" w:rsidP="00EC3871">
      <w:pPr>
        <w:spacing w:after="0" w:line="240" w:lineRule="auto"/>
        <w:jc w:val="both"/>
        <w:rPr>
          <w:rFonts w:ascii="Arial" w:hAnsi="Arial" w:cs="Arial"/>
          <w:b/>
        </w:rPr>
      </w:pPr>
    </w:p>
    <w:p w:rsidR="00B85E1F" w:rsidRPr="00EC3871" w:rsidRDefault="00B85E1F" w:rsidP="00EC3871">
      <w:pPr>
        <w:spacing w:after="0" w:line="240" w:lineRule="auto"/>
        <w:jc w:val="both"/>
        <w:rPr>
          <w:rFonts w:ascii="Arial" w:hAnsi="Arial" w:cs="Arial"/>
          <w:b/>
        </w:rPr>
      </w:pPr>
    </w:p>
    <w:p w:rsidR="00B85E1F" w:rsidRPr="00EC3871" w:rsidRDefault="00B85E1F" w:rsidP="00EC3871">
      <w:pPr>
        <w:spacing w:after="0" w:line="240" w:lineRule="auto"/>
        <w:jc w:val="both"/>
        <w:rPr>
          <w:rFonts w:ascii="Arial" w:hAnsi="Arial" w:cs="Arial"/>
          <w:b/>
        </w:rPr>
      </w:pPr>
    </w:p>
    <w:p w:rsidR="00B85E1F" w:rsidRPr="00EC3871" w:rsidRDefault="00B85E1F" w:rsidP="00EC3871">
      <w:pPr>
        <w:spacing w:after="0" w:line="240" w:lineRule="auto"/>
        <w:jc w:val="both"/>
        <w:rPr>
          <w:rFonts w:ascii="Arial" w:hAnsi="Arial" w:cs="Arial"/>
          <w:b/>
        </w:rPr>
      </w:pPr>
    </w:p>
    <w:p w:rsidR="00B85E1F" w:rsidRPr="00EC3871" w:rsidRDefault="00B85E1F" w:rsidP="00EC3871">
      <w:pPr>
        <w:spacing w:after="0" w:line="240" w:lineRule="auto"/>
        <w:jc w:val="both"/>
        <w:rPr>
          <w:rFonts w:ascii="Arial" w:hAnsi="Arial" w:cs="Arial"/>
          <w:b/>
        </w:rPr>
      </w:pPr>
    </w:p>
    <w:p w:rsidR="00B85E1F" w:rsidRPr="00EC3871" w:rsidRDefault="00B85E1F" w:rsidP="00EC3871">
      <w:pPr>
        <w:spacing w:after="0" w:line="240" w:lineRule="auto"/>
        <w:jc w:val="both"/>
        <w:rPr>
          <w:rFonts w:ascii="Arial" w:hAnsi="Arial" w:cs="Arial"/>
          <w:b/>
        </w:rPr>
      </w:pPr>
    </w:p>
    <w:p w:rsidR="00B85E1F" w:rsidRDefault="00B85E1F">
      <w:pPr>
        <w:spacing w:after="0" w:line="240" w:lineRule="auto"/>
        <w:jc w:val="both"/>
        <w:rPr>
          <w:rFonts w:ascii="Arial" w:hAnsi="Arial" w:cs="Arial"/>
          <w:b/>
        </w:rPr>
      </w:pPr>
    </w:p>
    <w:p w:rsidR="002116DD" w:rsidRDefault="002116DD" w:rsidP="00AC39D5">
      <w:pPr>
        <w:spacing w:after="0" w:line="240" w:lineRule="auto"/>
        <w:jc w:val="both"/>
      </w:pPr>
    </w:p>
    <w:sectPr w:rsidR="0021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D5F00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1B"/>
    <w:rsid w:val="000C25A2"/>
    <w:rsid w:val="000E4D8D"/>
    <w:rsid w:val="00112A03"/>
    <w:rsid w:val="001F7F43"/>
    <w:rsid w:val="002116DD"/>
    <w:rsid w:val="00280706"/>
    <w:rsid w:val="002A0AC5"/>
    <w:rsid w:val="002D2336"/>
    <w:rsid w:val="002E7F12"/>
    <w:rsid w:val="002F238E"/>
    <w:rsid w:val="00352A93"/>
    <w:rsid w:val="0037371F"/>
    <w:rsid w:val="0039648F"/>
    <w:rsid w:val="003A79B3"/>
    <w:rsid w:val="003D476F"/>
    <w:rsid w:val="004132BC"/>
    <w:rsid w:val="00421B44"/>
    <w:rsid w:val="00460AED"/>
    <w:rsid w:val="00487C93"/>
    <w:rsid w:val="00540E66"/>
    <w:rsid w:val="005F4857"/>
    <w:rsid w:val="00606ECD"/>
    <w:rsid w:val="00644A53"/>
    <w:rsid w:val="006526D3"/>
    <w:rsid w:val="00677583"/>
    <w:rsid w:val="006E0963"/>
    <w:rsid w:val="00745619"/>
    <w:rsid w:val="00763928"/>
    <w:rsid w:val="00850927"/>
    <w:rsid w:val="00867B05"/>
    <w:rsid w:val="00883250"/>
    <w:rsid w:val="00887610"/>
    <w:rsid w:val="009426B8"/>
    <w:rsid w:val="009B2B30"/>
    <w:rsid w:val="009F03CE"/>
    <w:rsid w:val="00A6014A"/>
    <w:rsid w:val="00AC2E0A"/>
    <w:rsid w:val="00AC39D5"/>
    <w:rsid w:val="00B01627"/>
    <w:rsid w:val="00B030F3"/>
    <w:rsid w:val="00B241AF"/>
    <w:rsid w:val="00B85E1F"/>
    <w:rsid w:val="00BB3241"/>
    <w:rsid w:val="00BF3C89"/>
    <w:rsid w:val="00C03C89"/>
    <w:rsid w:val="00C07958"/>
    <w:rsid w:val="00C15AE8"/>
    <w:rsid w:val="00C32109"/>
    <w:rsid w:val="00E97F2F"/>
    <w:rsid w:val="00EB2F54"/>
    <w:rsid w:val="00EC3871"/>
    <w:rsid w:val="00F74022"/>
    <w:rsid w:val="00FA051B"/>
    <w:rsid w:val="00FD0BD0"/>
    <w:rsid w:val="00FD3434"/>
    <w:rsid w:val="00FE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922F"/>
  <w15:docId w15:val="{09F97CEC-A671-4CD2-B215-9533611C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qFormat/>
    <w:pPr>
      <w:spacing w:after="0" w:line="240" w:lineRule="auto"/>
    </w:pPr>
    <w:rPr>
      <w:rFonts w:eastAsia="SimSun" w:cs="Times New Roman"/>
      <w:sz w:val="21"/>
      <w:lang w:eastAsia="zh-CN"/>
    </w:rPr>
  </w:style>
  <w:style w:type="character" w:styleId="Hyperlink">
    <w:name w:val="Hyperlink"/>
    <w:basedOn w:val="DefaultParagraphFont"/>
    <w:uiPriority w:val="99"/>
    <w:unhideWhenUsed/>
    <w:rsid w:val="002116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7218</Words>
  <Characters>41148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2</cp:revision>
  <dcterms:created xsi:type="dcterms:W3CDTF">2025-11-13T03:50:00Z</dcterms:created>
  <dcterms:modified xsi:type="dcterms:W3CDTF">2025-11-13T03:50:00Z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993c619389d24bc3b0160651502fcaeb</vt:lpwstr>
  </property>
</Properties>
</file>