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F0F7D" w14:textId="77777777" w:rsidR="0058281A" w:rsidRDefault="0005410B">
      <w:pPr>
        <w:pStyle w:val="Heading1"/>
        <w:numPr>
          <w:ilvl w:val="0"/>
          <w:numId w:val="0"/>
        </w:numPr>
        <w:ind w:left="-5"/>
      </w:pPr>
      <w:r>
        <w:t xml:space="preserve">Title: Protocol for Evaluating the Impact of Capacity Building on Seafarers’ Occupational Health and Safety in Three Gulf of Guinea Ports Using a COM-B Framework Approach </w:t>
      </w:r>
    </w:p>
    <w:p w14:paraId="2072204E" w14:textId="77777777" w:rsidR="0058281A" w:rsidRDefault="0005410B">
      <w:pPr>
        <w:spacing w:after="278" w:line="259" w:lineRule="auto"/>
        <w:ind w:left="0" w:firstLine="0"/>
      </w:pPr>
      <w:r>
        <w:rPr>
          <w:b/>
        </w:rPr>
        <w:t xml:space="preserve"> </w:t>
      </w:r>
    </w:p>
    <w:p w14:paraId="554E0768" w14:textId="77777777" w:rsidR="0058281A" w:rsidRDefault="0005410B">
      <w:pPr>
        <w:spacing w:after="29"/>
        <w:ind w:left="-5" w:right="4"/>
      </w:pPr>
      <w:r>
        <w:rPr>
          <w:b/>
        </w:rPr>
        <w:t>Authors:</w:t>
      </w:r>
      <w:r>
        <w:t xml:space="preserve"> Claudine Mulih Shei¹, </w:t>
      </w:r>
      <w:proofErr w:type="spellStart"/>
      <w:r>
        <w:t>Nsagha</w:t>
      </w:r>
      <w:proofErr w:type="spellEnd"/>
      <w:r>
        <w:t xml:space="preserve"> Dickson Shey</w:t>
      </w:r>
      <w:bookmarkStart w:id="0" w:name="_Hlk216787781"/>
      <w:r>
        <w:t>¹</w:t>
      </w:r>
      <w:bookmarkEnd w:id="0"/>
      <w:r>
        <w:t xml:space="preserve">, </w:t>
      </w:r>
      <w:proofErr w:type="spellStart"/>
      <w:r>
        <w:t>Tendongfor</w:t>
      </w:r>
      <w:proofErr w:type="spellEnd"/>
      <w:r>
        <w:t xml:space="preserve"> Nicholas¹, </w:t>
      </w:r>
      <w:proofErr w:type="spellStart"/>
      <w:r>
        <w:t>Lawrencia</w:t>
      </w:r>
      <w:proofErr w:type="spellEnd"/>
      <w:r>
        <w:t xml:space="preserve"> </w:t>
      </w:r>
    </w:p>
    <w:p w14:paraId="2D7F0E07" w14:textId="607A406C" w:rsidR="0058281A" w:rsidRDefault="0005410B">
      <w:pPr>
        <w:spacing w:after="267"/>
        <w:ind w:left="-5" w:right="4"/>
      </w:pPr>
      <w:r>
        <w:t xml:space="preserve">Osae-Nyarko², </w:t>
      </w:r>
      <w:proofErr w:type="spellStart"/>
      <w:r>
        <w:t>Chrisantus</w:t>
      </w:r>
      <w:proofErr w:type="spellEnd"/>
      <w:r>
        <w:t xml:space="preserve"> </w:t>
      </w:r>
      <w:proofErr w:type="spellStart"/>
      <w:r>
        <w:t>Eweh</w:t>
      </w:r>
      <w:proofErr w:type="spellEnd"/>
      <w:r>
        <w:t xml:space="preserve"> Ukah¹, </w:t>
      </w:r>
      <w:proofErr w:type="spellStart"/>
      <w:r>
        <w:t>Ismaila</w:t>
      </w:r>
      <w:proofErr w:type="spellEnd"/>
      <w:r>
        <w:t xml:space="preserve"> Karimu</w:t>
      </w:r>
      <w:r w:rsidR="00F23A1E">
        <w:t>¹</w:t>
      </w:r>
      <w:r>
        <w:t xml:space="preserve">, </w:t>
      </w:r>
      <w:proofErr w:type="spellStart"/>
      <w:r>
        <w:t>Bongkiynuy</w:t>
      </w:r>
      <w:proofErr w:type="spellEnd"/>
      <w:r>
        <w:t xml:space="preserve"> Nancy⁴, </w:t>
      </w:r>
      <w:proofErr w:type="spellStart"/>
      <w:r>
        <w:t>Randolf</w:t>
      </w:r>
      <w:proofErr w:type="spellEnd"/>
      <w:r>
        <w:t xml:space="preserve"> </w:t>
      </w:r>
      <w:proofErr w:type="spellStart"/>
      <w:r>
        <w:t>Fuanghene</w:t>
      </w:r>
      <w:proofErr w:type="spellEnd"/>
      <w:r>
        <w:t xml:space="preserve"> Wefuan¹ </w:t>
      </w:r>
    </w:p>
    <w:p w14:paraId="7E49F5EF" w14:textId="77777777" w:rsidR="0058281A" w:rsidRDefault="0005410B">
      <w:pPr>
        <w:spacing w:after="270"/>
        <w:ind w:left="-5" w:right="4"/>
      </w:pPr>
      <w:r>
        <w:rPr>
          <w:b/>
        </w:rPr>
        <w:t>Affiliations:</w:t>
      </w:r>
      <w:r>
        <w:t xml:space="preserve"> ¹ Department of Public Health, Faculty of Health Sciences, University of </w:t>
      </w:r>
      <w:proofErr w:type="spellStart"/>
      <w:r>
        <w:t>Buea</w:t>
      </w:r>
      <w:proofErr w:type="spellEnd"/>
      <w:r>
        <w:t xml:space="preserve">, </w:t>
      </w:r>
      <w:proofErr w:type="spellStart"/>
      <w:r>
        <w:t>Buea</w:t>
      </w:r>
      <w:proofErr w:type="spellEnd"/>
      <w:r>
        <w:t xml:space="preserve">, Cameroon ² Biomedical and Public Health Research Unit, CSIR – Water Research Institute, Accra, Ghana ³ Department of Public Health, University of </w:t>
      </w:r>
      <w:proofErr w:type="spellStart"/>
      <w:r>
        <w:t>Buea</w:t>
      </w:r>
      <w:proofErr w:type="spellEnd"/>
      <w:r>
        <w:t xml:space="preserve">, </w:t>
      </w:r>
      <w:proofErr w:type="spellStart"/>
      <w:r>
        <w:t>Buea</w:t>
      </w:r>
      <w:proofErr w:type="spellEnd"/>
      <w:r>
        <w:t xml:space="preserve">, Cameroon ⁴ University of Antwerp, Belgium </w:t>
      </w:r>
    </w:p>
    <w:p w14:paraId="766CD864" w14:textId="77777777" w:rsidR="0058281A" w:rsidRDefault="0005410B">
      <w:pPr>
        <w:spacing w:after="0"/>
        <w:ind w:left="-5" w:right="4"/>
      </w:pPr>
      <w:r>
        <w:rPr>
          <w:b/>
        </w:rPr>
        <w:t>Corresponding Author:</w:t>
      </w:r>
      <w:r>
        <w:t xml:space="preserve"> Claudine Mulih Shei Department of Public Health, Faculty of Health Sciences University of </w:t>
      </w:r>
      <w:proofErr w:type="spellStart"/>
      <w:r>
        <w:t>Buea</w:t>
      </w:r>
      <w:proofErr w:type="spellEnd"/>
      <w:r>
        <w:t xml:space="preserve"> P.O. Box 12, </w:t>
      </w:r>
      <w:proofErr w:type="spellStart"/>
      <w:r>
        <w:t>Buea</w:t>
      </w:r>
      <w:proofErr w:type="spellEnd"/>
      <w:r>
        <w:t xml:space="preserve">, Cameroon Email: </w:t>
      </w:r>
    </w:p>
    <w:p w14:paraId="48B67D39" w14:textId="77777777" w:rsidR="0058281A" w:rsidRDefault="0005410B">
      <w:pPr>
        <w:spacing w:after="256" w:line="259" w:lineRule="auto"/>
        <w:ind w:left="0" w:firstLine="0"/>
      </w:pPr>
      <w:r>
        <w:rPr>
          <w:color w:val="0563C1"/>
          <w:u w:val="single" w:color="0563C1"/>
        </w:rPr>
        <w:t>claudinemolly1@gmail.com</w:t>
      </w:r>
      <w:r>
        <w:t xml:space="preserve">  </w:t>
      </w:r>
    </w:p>
    <w:p w14:paraId="1BEEC827" w14:textId="77777777" w:rsidR="0058281A" w:rsidRDefault="0005410B">
      <w:pPr>
        <w:pStyle w:val="Heading1"/>
        <w:numPr>
          <w:ilvl w:val="0"/>
          <w:numId w:val="0"/>
        </w:numPr>
        <w:ind w:left="-5"/>
      </w:pPr>
      <w:r>
        <w:t xml:space="preserve">Abstract </w:t>
      </w:r>
    </w:p>
    <w:p w14:paraId="32814ED8" w14:textId="77777777" w:rsidR="0058281A" w:rsidRDefault="0005410B">
      <w:pPr>
        <w:spacing w:after="159" w:line="257" w:lineRule="auto"/>
        <w:ind w:left="-5" w:right="-10"/>
        <w:jc w:val="both"/>
      </w:pPr>
      <w:r>
        <w:rPr>
          <w:b/>
        </w:rPr>
        <w:t>Background:</w:t>
      </w:r>
      <w:r>
        <w:t xml:space="preserve"> Occupational risks remain preval</w:t>
      </w:r>
      <w:bookmarkStart w:id="1" w:name="_GoBack"/>
      <w:bookmarkEnd w:id="1"/>
      <w:r>
        <w:t xml:space="preserve">ent among seafarers along the Gulf of Guinea. However, structured evaluations of safety education and capacity-building initiatives targeting these risks remain scarce. </w:t>
      </w:r>
    </w:p>
    <w:p w14:paraId="25BA83AB" w14:textId="77777777" w:rsidR="0058281A" w:rsidRDefault="0005410B">
      <w:pPr>
        <w:spacing w:after="159" w:line="257" w:lineRule="auto"/>
        <w:ind w:left="-5" w:right="-10"/>
        <w:jc w:val="both"/>
      </w:pPr>
      <w:r>
        <w:rPr>
          <w:b/>
        </w:rPr>
        <w:t>Objective:</w:t>
      </w:r>
      <w:r>
        <w:t xml:space="preserve"> This protocol outlines a mixed-methods study to assess the impact of a tailored occupational health and safety (OHS) training program on the knowledge, attitudes, and </w:t>
      </w:r>
      <w:proofErr w:type="spellStart"/>
      <w:r>
        <w:t>behaviors</w:t>
      </w:r>
      <w:proofErr w:type="spellEnd"/>
      <w:r>
        <w:t xml:space="preserve"> of West -African seafarers using the COM-B </w:t>
      </w:r>
      <w:proofErr w:type="spellStart"/>
      <w:r>
        <w:t>behavioral</w:t>
      </w:r>
      <w:proofErr w:type="spellEnd"/>
      <w:r>
        <w:t xml:space="preserve"> model. </w:t>
      </w:r>
    </w:p>
    <w:p w14:paraId="7F5A10BB" w14:textId="77777777" w:rsidR="0058281A" w:rsidRDefault="0005410B">
      <w:pPr>
        <w:spacing w:after="159" w:line="257" w:lineRule="auto"/>
        <w:ind w:left="-5" w:right="-10"/>
        <w:jc w:val="both"/>
      </w:pPr>
      <w:r>
        <w:rPr>
          <w:b/>
        </w:rPr>
        <w:t>Methods:</w:t>
      </w:r>
      <w:r>
        <w:t xml:space="preserve"> A quasi-experimental design will be used to conduct the study in the ports of Douala (Cameroon), </w:t>
      </w:r>
      <w:r w:rsidR="00746AF3">
        <w:t>Warri (</w:t>
      </w:r>
      <w:r>
        <w:t xml:space="preserve">Nigeria), and Tema (Ghana). Following recruitment, participants will be non-randomly allocated to intervention and control groups. A pre-assessment will </w:t>
      </w:r>
      <w:r w:rsidR="00746AF3">
        <w:t>be conducted</w:t>
      </w:r>
      <w:r>
        <w:t xml:space="preserve"> with both intervention and control </w:t>
      </w:r>
      <w:r w:rsidR="00746AF3">
        <w:t>groups to</w:t>
      </w:r>
      <w:r>
        <w:t xml:space="preserve"> establish baseline information. A six-module OHS training will focus on safety practices, hazard identification, and </w:t>
      </w:r>
      <w:proofErr w:type="spellStart"/>
      <w:r>
        <w:t>behavioral</w:t>
      </w:r>
      <w:proofErr w:type="spellEnd"/>
      <w:r>
        <w:t xml:space="preserve"> reinforcement. Data will be collected through surveys, focus group discussions (</w:t>
      </w:r>
      <w:proofErr w:type="spellStart"/>
      <w:r>
        <w:t>FGDs</w:t>
      </w:r>
      <w:proofErr w:type="spellEnd"/>
      <w:r>
        <w:t>), in-depth interview (</w:t>
      </w:r>
      <w:proofErr w:type="spellStart"/>
      <w:r>
        <w:t>IDIs</w:t>
      </w:r>
      <w:proofErr w:type="spellEnd"/>
      <w:r>
        <w:t xml:space="preserve">), and structured observation at both pre- and post – intervention stages. Quantitative data will be </w:t>
      </w:r>
      <w:proofErr w:type="spellStart"/>
      <w:r>
        <w:t>analyzed</w:t>
      </w:r>
      <w:proofErr w:type="spellEnd"/>
      <w:r>
        <w:t xml:space="preserve"> using SPSS, while qualitative data will be coded and </w:t>
      </w:r>
      <w:proofErr w:type="spellStart"/>
      <w:r>
        <w:t>analyzed</w:t>
      </w:r>
      <w:proofErr w:type="spellEnd"/>
      <w:r>
        <w:t xml:space="preserve"> using </w:t>
      </w:r>
      <w:proofErr w:type="spellStart"/>
      <w:proofErr w:type="gramStart"/>
      <w:r>
        <w:t>ATLAS.ti</w:t>
      </w:r>
      <w:proofErr w:type="spellEnd"/>
      <w:r>
        <w:t>..</w:t>
      </w:r>
      <w:proofErr w:type="gramEnd"/>
      <w:r>
        <w:t xml:space="preserve"> The COM-B framework will guide the intervention logic and inform outcome assessment. </w:t>
      </w:r>
    </w:p>
    <w:p w14:paraId="3D40DF6D" w14:textId="77777777" w:rsidR="0058281A" w:rsidRDefault="0005410B">
      <w:pPr>
        <w:spacing w:after="159" w:line="257" w:lineRule="auto"/>
        <w:ind w:left="-5" w:right="-10"/>
        <w:jc w:val="both"/>
      </w:pPr>
      <w:r>
        <w:rPr>
          <w:b/>
        </w:rPr>
        <w:t>Expected Outcomes:</w:t>
      </w:r>
      <w:r>
        <w:t xml:space="preserve"> This protocol is designed to generate replicable, policy-relevant evidence on improving seafarers’ safety </w:t>
      </w:r>
      <w:proofErr w:type="spellStart"/>
      <w:r>
        <w:t>behavior</w:t>
      </w:r>
      <w:proofErr w:type="spellEnd"/>
      <w:r>
        <w:t xml:space="preserve"> through contextualized health education and capacity building intervention. </w:t>
      </w:r>
    </w:p>
    <w:p w14:paraId="7CC83E6C" w14:textId="77777777" w:rsidR="0058281A" w:rsidRDefault="0005410B">
      <w:pPr>
        <w:ind w:left="-5" w:right="4"/>
      </w:pPr>
      <w:r>
        <w:rPr>
          <w:b/>
        </w:rPr>
        <w:t>Keywords:</w:t>
      </w:r>
      <w:r>
        <w:t xml:space="preserve"> Seafarers, COM-B, Occupational Health and Safety, Capacity Building, Gulf of Guinea, Protocol </w:t>
      </w:r>
    </w:p>
    <w:p w14:paraId="290FAFAB" w14:textId="77777777" w:rsidR="0058281A" w:rsidRDefault="0005410B">
      <w:pPr>
        <w:spacing w:after="156" w:line="259" w:lineRule="auto"/>
        <w:ind w:left="0" w:firstLine="0"/>
      </w:pPr>
      <w:r>
        <w:t xml:space="preserve"> </w:t>
      </w:r>
    </w:p>
    <w:p w14:paraId="59D30577" w14:textId="77777777" w:rsidR="0058281A" w:rsidRDefault="0005410B">
      <w:pPr>
        <w:pStyle w:val="Heading2"/>
        <w:ind w:left="-5"/>
      </w:pPr>
      <w:r>
        <w:lastRenderedPageBreak/>
        <w:t xml:space="preserve">1.0 Introduction </w:t>
      </w:r>
    </w:p>
    <w:p w14:paraId="0F8597FA" w14:textId="77777777" w:rsidR="0058281A" w:rsidRDefault="0005410B">
      <w:pPr>
        <w:spacing w:after="269"/>
        <w:ind w:left="-5" w:right="4"/>
      </w:pPr>
      <w:r>
        <w:t xml:space="preserve">Maritime workers face disproportionate health and safety challenges compared to land-based </w:t>
      </w:r>
      <w:proofErr w:type="spellStart"/>
      <w:r>
        <w:t>labor</w:t>
      </w:r>
      <w:proofErr w:type="spellEnd"/>
      <w:r>
        <w:t xml:space="preserve"> forces. Life at sea is demanding, unpredictable, and often dangerous. For the millions of seafarers who keep global trade moving, each voyage brings not only the challenge of isolation and long hours, but also serious risks to their health and safety. While the Gulf of Guinea has its own unique challenges, seafarers across other international seaways face a similarly complex set of occupational hazards. </w:t>
      </w:r>
    </w:p>
    <w:p w14:paraId="1323FAF6" w14:textId="77777777" w:rsidR="0058281A" w:rsidRDefault="0005410B">
      <w:pPr>
        <w:spacing w:after="267"/>
        <w:ind w:left="-5" w:right="4"/>
      </w:pPr>
      <w:r>
        <w:t xml:space="preserve">Globally, injury and fatality rates among seafarers are alarmingly high. UK seafarers are over 20 times more likely to suffer fatal accidents than land-based workers [1], and Danish seafarers face an 11-fold increase in risk [2]. Despite these statistics, underreporting remains widespread—often driven by fear of blame or disciplinary action [3]. </w:t>
      </w:r>
    </w:p>
    <w:p w14:paraId="665F5820" w14:textId="77777777" w:rsidR="0058281A" w:rsidRDefault="0005410B">
      <w:pPr>
        <w:spacing w:after="269"/>
        <w:ind w:left="-5" w:right="4"/>
      </w:pPr>
      <w:r>
        <w:t xml:space="preserve">Mental health issues such as depression, anxiety, and suicidal ideation are prevalent, exacerbated by long voyages and limited access to support [4, 5]. Physical risks include exposure to toxic substances like benzene and asbestos, communicable diseases such as tuberculosis and norovirus, and non-communicable conditions like obesity and cardiovascular disease [6, 7]. </w:t>
      </w:r>
    </w:p>
    <w:p w14:paraId="72C4BCA2" w14:textId="77777777" w:rsidR="0058281A" w:rsidRDefault="0005410B">
      <w:pPr>
        <w:spacing w:after="267"/>
        <w:ind w:left="-5" w:right="4"/>
      </w:pPr>
      <w:r>
        <w:t xml:space="preserve">Fatigue from irregular shifts, inconsistent use of personal protective equipment (PPE), and language barriers among multinational crews further complicate safety enforcement [8, 9]. Access to medical care is often limited to telemedicine or understocked onboard kits [10]. </w:t>
      </w:r>
    </w:p>
    <w:p w14:paraId="00857A1B" w14:textId="77777777" w:rsidR="0058281A" w:rsidRDefault="0005410B">
      <w:pPr>
        <w:spacing w:after="159" w:line="257" w:lineRule="auto"/>
        <w:ind w:left="-5" w:right="-10"/>
        <w:jc w:val="both"/>
      </w:pPr>
      <w:r>
        <w:t xml:space="preserve"> In the Gulf of Guinea, seafarers are frequently exposed to occupational hazards in the absence of adequate systems for OHS training, documentation, or emergency response. Despite the existence of occupational safety frameworks for maritime work, such as the Maritime Labour Convention (MLC 2006) and the International Convention on Standards of Training, Certification and Watchkeeping (STCW), enforcement across African ports remains </w:t>
      </w:r>
      <w:proofErr w:type="gramStart"/>
      <w:r>
        <w:t>uneven[</w:t>
      </w:r>
      <w:proofErr w:type="gramEnd"/>
      <w:r>
        <w:t xml:space="preserve">8]. </w:t>
      </w:r>
    </w:p>
    <w:p w14:paraId="1BAA1CFA" w14:textId="77777777" w:rsidR="0058281A" w:rsidRDefault="0005410B">
      <w:pPr>
        <w:spacing w:after="159" w:line="257" w:lineRule="auto"/>
        <w:ind w:left="-5" w:right="-10"/>
        <w:jc w:val="both"/>
      </w:pPr>
      <w:r>
        <w:t xml:space="preserve">This research will seek to address these gaps by developing and testing a replicable training intervention rooted in </w:t>
      </w:r>
      <w:proofErr w:type="spellStart"/>
      <w:r>
        <w:t>behavior</w:t>
      </w:r>
      <w:proofErr w:type="spellEnd"/>
      <w:r>
        <w:t xml:space="preserve"> change science, designed to improve seafarer safety culture and practices. </w:t>
      </w:r>
    </w:p>
    <w:p w14:paraId="68265B04" w14:textId="77777777" w:rsidR="0058281A" w:rsidRDefault="0005410B">
      <w:pPr>
        <w:pStyle w:val="Heading2"/>
        <w:ind w:left="-5"/>
      </w:pPr>
      <w:r>
        <w:t xml:space="preserve">2.0 Conceptual Framework </w:t>
      </w:r>
    </w:p>
    <w:p w14:paraId="227E96A3" w14:textId="77777777" w:rsidR="0058281A" w:rsidRDefault="0005410B">
      <w:pPr>
        <w:ind w:left="-5" w:right="4"/>
      </w:pPr>
      <w:r>
        <w:t xml:space="preserve">This study will adopt the capability, opportunities and motivation behaviours (COM-B) model as its foundational </w:t>
      </w:r>
      <w:proofErr w:type="spellStart"/>
      <w:r>
        <w:t>behavioral</w:t>
      </w:r>
      <w:proofErr w:type="spellEnd"/>
      <w:r>
        <w:t xml:space="preserve"> framework. The COM-B postulates that for any </w:t>
      </w:r>
      <w:proofErr w:type="spellStart"/>
      <w:r>
        <w:t>behavior</w:t>
      </w:r>
      <w:proofErr w:type="spellEnd"/>
      <w:r>
        <w:t xml:space="preserve"> to occur (e.g., consistent PPE use), three essential conditions must be satisfied: </w:t>
      </w:r>
    </w:p>
    <w:p w14:paraId="6D65B5D7" w14:textId="77777777" w:rsidR="0058281A" w:rsidRDefault="0005410B">
      <w:pPr>
        <w:ind w:left="-5" w:right="4"/>
      </w:pPr>
      <w:r>
        <w:t xml:space="preserve">Capability (C): Physical and psychological ability to perform the </w:t>
      </w:r>
      <w:proofErr w:type="spellStart"/>
      <w:r>
        <w:t>behavior</w:t>
      </w:r>
      <w:proofErr w:type="spellEnd"/>
      <w:r>
        <w:t xml:space="preserve">. </w:t>
      </w:r>
    </w:p>
    <w:p w14:paraId="71FDF602" w14:textId="77777777" w:rsidR="0058281A" w:rsidRDefault="0005410B">
      <w:pPr>
        <w:ind w:left="-5" w:right="4"/>
      </w:pPr>
      <w:r>
        <w:t xml:space="preserve">Opportunity (O): Environmental and social support for the </w:t>
      </w:r>
      <w:proofErr w:type="spellStart"/>
      <w:r>
        <w:t>behavior</w:t>
      </w:r>
      <w:proofErr w:type="spellEnd"/>
      <w:r>
        <w:t xml:space="preserve">. </w:t>
      </w:r>
    </w:p>
    <w:p w14:paraId="36D3A323" w14:textId="77777777" w:rsidR="0058281A" w:rsidRDefault="0005410B">
      <w:pPr>
        <w:ind w:left="-5" w:right="4"/>
      </w:pPr>
      <w:r>
        <w:t xml:space="preserve">Motivation (M): Reflective and automatic drivers that stimulate </w:t>
      </w:r>
      <w:proofErr w:type="spellStart"/>
      <w:r>
        <w:t>behavior</w:t>
      </w:r>
      <w:proofErr w:type="spellEnd"/>
      <w:r>
        <w:t xml:space="preserve">. </w:t>
      </w:r>
    </w:p>
    <w:p w14:paraId="70264BA8" w14:textId="77777777" w:rsidR="0058281A" w:rsidRDefault="0005410B">
      <w:pPr>
        <w:ind w:left="-5" w:right="4"/>
      </w:pPr>
      <w:r>
        <w:t xml:space="preserve">The design of the intervention - including its content, delivery methods, and evaluation tools—will be aligned with these three components to maximize adherence and </w:t>
      </w:r>
      <w:proofErr w:type="gramStart"/>
      <w:r>
        <w:t>promote  sustained</w:t>
      </w:r>
      <w:proofErr w:type="gramEnd"/>
      <w:r>
        <w:t xml:space="preserve"> safety </w:t>
      </w:r>
      <w:proofErr w:type="spellStart"/>
      <w:r>
        <w:t>behaviors</w:t>
      </w:r>
      <w:proofErr w:type="spellEnd"/>
      <w:r>
        <w:t xml:space="preserve"> among seafarers. </w:t>
      </w:r>
    </w:p>
    <w:p w14:paraId="083152FD" w14:textId="77777777" w:rsidR="0058281A" w:rsidRDefault="0005410B">
      <w:pPr>
        <w:pStyle w:val="Heading2"/>
        <w:ind w:left="-5"/>
      </w:pPr>
      <w:r>
        <w:lastRenderedPageBreak/>
        <w:t xml:space="preserve">3.0 Materials and Methods </w:t>
      </w:r>
    </w:p>
    <w:p w14:paraId="67495733" w14:textId="77777777" w:rsidR="00CC384D" w:rsidRDefault="00CC384D" w:rsidP="00CC384D">
      <w:pPr>
        <w:pStyle w:val="NormalWeb"/>
      </w:pPr>
      <w:r>
        <w:t>The main aim of this study will be to determine the impact of capacity building on occupational health and safety among seafarers in three seaports in the Gulf of Guinea.</w:t>
      </w:r>
    </w:p>
    <w:p w14:paraId="03A32E93" w14:textId="77777777" w:rsidR="00CC384D" w:rsidRPr="00CC384D" w:rsidRDefault="00CC384D" w:rsidP="00CC384D">
      <w:pPr>
        <w:spacing w:before="100" w:beforeAutospacing="1" w:after="100" w:afterAutospacing="1" w:line="240" w:lineRule="auto"/>
        <w:ind w:left="0" w:firstLine="0"/>
        <w:rPr>
          <w:color w:val="auto"/>
          <w:szCs w:val="24"/>
        </w:rPr>
      </w:pPr>
      <w:r w:rsidRPr="00CC384D">
        <w:rPr>
          <w:color w:val="auto"/>
          <w:szCs w:val="24"/>
        </w:rPr>
        <w:t>The study will specifically aim to:</w:t>
      </w:r>
    </w:p>
    <w:p w14:paraId="263E7839" w14:textId="77777777" w:rsidR="00CC384D" w:rsidRPr="00CC384D" w:rsidRDefault="00CC384D" w:rsidP="00CC384D">
      <w:pPr>
        <w:numPr>
          <w:ilvl w:val="0"/>
          <w:numId w:val="4"/>
        </w:numPr>
        <w:spacing w:before="100" w:beforeAutospacing="1" w:after="100" w:afterAutospacing="1" w:line="240" w:lineRule="auto"/>
        <w:rPr>
          <w:color w:val="auto"/>
          <w:szCs w:val="24"/>
        </w:rPr>
      </w:pPr>
      <w:r w:rsidRPr="00CC384D">
        <w:rPr>
          <w:bCs/>
          <w:color w:val="auto"/>
          <w:szCs w:val="24"/>
        </w:rPr>
        <w:t>Identify the public health aspects</w:t>
      </w:r>
      <w:r w:rsidRPr="00CC384D">
        <w:rPr>
          <w:color w:val="auto"/>
          <w:szCs w:val="24"/>
        </w:rPr>
        <w:t xml:space="preserve"> of occupational health and safety among African seafarers in the Gulf of Guinea.</w:t>
      </w:r>
    </w:p>
    <w:p w14:paraId="4596ECBC" w14:textId="77777777" w:rsidR="00CC384D" w:rsidRPr="00CC384D" w:rsidRDefault="00CC384D" w:rsidP="00CC384D">
      <w:pPr>
        <w:numPr>
          <w:ilvl w:val="0"/>
          <w:numId w:val="4"/>
        </w:numPr>
        <w:spacing w:before="100" w:beforeAutospacing="1" w:after="100" w:afterAutospacing="1" w:line="240" w:lineRule="auto"/>
        <w:rPr>
          <w:color w:val="auto"/>
          <w:szCs w:val="24"/>
        </w:rPr>
      </w:pPr>
      <w:r w:rsidRPr="00CC384D">
        <w:rPr>
          <w:bCs/>
          <w:color w:val="auto"/>
          <w:szCs w:val="24"/>
        </w:rPr>
        <w:t>Assess the level of awareness</w:t>
      </w:r>
      <w:r w:rsidRPr="00CC384D">
        <w:rPr>
          <w:color w:val="auto"/>
          <w:szCs w:val="24"/>
        </w:rPr>
        <w:t xml:space="preserve"> of occupational health and safety among seafarers in the Gulf of Guinea.</w:t>
      </w:r>
    </w:p>
    <w:p w14:paraId="4A04D3D2" w14:textId="77777777" w:rsidR="00CC384D" w:rsidRPr="00CC384D" w:rsidRDefault="00CC384D" w:rsidP="00CC384D">
      <w:pPr>
        <w:numPr>
          <w:ilvl w:val="0"/>
          <w:numId w:val="4"/>
        </w:numPr>
        <w:spacing w:before="100" w:beforeAutospacing="1" w:after="100" w:afterAutospacing="1" w:line="240" w:lineRule="auto"/>
        <w:rPr>
          <w:color w:val="auto"/>
          <w:szCs w:val="24"/>
        </w:rPr>
      </w:pPr>
      <w:r w:rsidRPr="00CC384D">
        <w:rPr>
          <w:bCs/>
          <w:color w:val="auto"/>
          <w:szCs w:val="24"/>
        </w:rPr>
        <w:t>Determine the extent of adherence</w:t>
      </w:r>
      <w:r w:rsidRPr="00CC384D">
        <w:rPr>
          <w:color w:val="auto"/>
          <w:szCs w:val="24"/>
        </w:rPr>
        <w:t xml:space="preserve"> to occupational safety and health (OSH) protocols among African seafarers in the Gulf of Guinea.</w:t>
      </w:r>
    </w:p>
    <w:p w14:paraId="363EEBDE" w14:textId="77777777" w:rsidR="00CC384D" w:rsidRPr="00CC384D" w:rsidRDefault="00CC384D" w:rsidP="00CC384D">
      <w:pPr>
        <w:numPr>
          <w:ilvl w:val="0"/>
          <w:numId w:val="4"/>
        </w:numPr>
        <w:spacing w:before="100" w:beforeAutospacing="1" w:after="100" w:afterAutospacing="1" w:line="240" w:lineRule="auto"/>
        <w:rPr>
          <w:color w:val="auto"/>
          <w:szCs w:val="24"/>
        </w:rPr>
      </w:pPr>
      <w:r w:rsidRPr="00CC384D">
        <w:rPr>
          <w:bCs/>
          <w:color w:val="auto"/>
          <w:szCs w:val="24"/>
        </w:rPr>
        <w:t>Examine the association</w:t>
      </w:r>
      <w:r w:rsidRPr="00CC384D">
        <w:rPr>
          <w:color w:val="auto"/>
          <w:szCs w:val="24"/>
        </w:rPr>
        <w:t xml:space="preserve"> between port state control, ship management, and the occurrence of occupational health and safety hazards among seafarers in the Gulf of Guinea.</w:t>
      </w:r>
    </w:p>
    <w:p w14:paraId="26EB6F8D" w14:textId="77777777" w:rsidR="00CC384D" w:rsidRDefault="00CC384D" w:rsidP="00CC384D">
      <w:pPr>
        <w:numPr>
          <w:ilvl w:val="0"/>
          <w:numId w:val="4"/>
        </w:numPr>
        <w:spacing w:before="100" w:beforeAutospacing="1" w:after="100" w:afterAutospacing="1" w:line="240" w:lineRule="auto"/>
        <w:rPr>
          <w:color w:val="auto"/>
          <w:szCs w:val="24"/>
        </w:rPr>
      </w:pPr>
      <w:r w:rsidRPr="00CC384D">
        <w:rPr>
          <w:bCs/>
          <w:color w:val="auto"/>
          <w:szCs w:val="24"/>
        </w:rPr>
        <w:t>Evaluate the impact</w:t>
      </w:r>
      <w:r w:rsidRPr="00CC384D">
        <w:rPr>
          <w:color w:val="auto"/>
          <w:szCs w:val="24"/>
        </w:rPr>
        <w:t xml:space="preserve"> of a targeted health education intervention delivered through OSH training on occupational health and safety outcomes among seafarers in the Gulf of Guinea.</w:t>
      </w:r>
    </w:p>
    <w:p w14:paraId="31234E23" w14:textId="77777777" w:rsidR="0058281A" w:rsidRDefault="00CC384D" w:rsidP="00CC384D">
      <w:pPr>
        <w:spacing w:before="100" w:beforeAutospacing="1" w:after="100" w:afterAutospacing="1" w:line="240" w:lineRule="auto"/>
      </w:pPr>
      <w:r>
        <w:t xml:space="preserve"> </w:t>
      </w:r>
      <w:r w:rsidR="0005410B">
        <w:t>This study will explore how targeted occupational health and safety (OHS) training can improve the lives of seafarers working in the Gulf of Guinea. It will focus on two key locations: Douala Seaport in Cameroon and Tema Seaport in Ghana for intervention while Warri will be added for the cross</w:t>
      </w:r>
      <w:r>
        <w:rPr>
          <w:lang w:val="en-GB"/>
        </w:rPr>
        <w:t>-sectional</w:t>
      </w:r>
      <w:r w:rsidR="0005410B">
        <w:t xml:space="preserve"> study. Seafarers in Douala will form the intervention group and will receive structured training on hazard identification, proper use of personal protective equipment (PPE), mental health awareness, and emergency response. Those in Tema will serve as the control group, continuing their routine operations without added safety instruction. </w:t>
      </w:r>
    </w:p>
    <w:p w14:paraId="32796D5B" w14:textId="77777777" w:rsidR="00486D7B" w:rsidRPr="00486D7B" w:rsidRDefault="00486D7B" w:rsidP="00486D7B">
      <w:pPr>
        <w:spacing w:before="100" w:beforeAutospacing="1" w:after="100" w:afterAutospacing="1" w:line="240" w:lineRule="auto"/>
        <w:ind w:left="0" w:firstLine="0"/>
        <w:rPr>
          <w:color w:val="auto"/>
          <w:szCs w:val="24"/>
          <w:lang w:val="en-CM" w:eastAsia="en-CM"/>
        </w:rPr>
      </w:pPr>
      <w:r w:rsidRPr="00486D7B">
        <w:rPr>
          <w:color w:val="auto"/>
          <w:szCs w:val="24"/>
          <w:lang w:val="en-CM" w:eastAsia="en-CM"/>
        </w:rPr>
        <w:t>This study will employ a mixed</w:t>
      </w:r>
      <w:r w:rsidRPr="00486D7B">
        <w:rPr>
          <w:color w:val="auto"/>
          <w:szCs w:val="24"/>
          <w:lang w:val="en-CM" w:eastAsia="en-CM"/>
        </w:rPr>
        <w:noBreakHyphen/>
        <w:t>methods approach combining qualitative and quantitative techniques to evaluate the impact of capacity building on seafarers’ occupational health and safety in three Gulf of Guinea ports, guided by the COM</w:t>
      </w:r>
      <w:r w:rsidRPr="00486D7B">
        <w:rPr>
          <w:color w:val="auto"/>
          <w:szCs w:val="24"/>
          <w:lang w:val="en-CM" w:eastAsia="en-CM"/>
        </w:rPr>
        <w:noBreakHyphen/>
        <w:t>B framework.</w:t>
      </w:r>
    </w:p>
    <w:p w14:paraId="77651153" w14:textId="77777777" w:rsidR="00486D7B" w:rsidRPr="00486D7B" w:rsidRDefault="00486D7B" w:rsidP="00486D7B">
      <w:pPr>
        <w:spacing w:before="100" w:beforeAutospacing="1" w:after="100" w:afterAutospacing="1" w:line="240" w:lineRule="auto"/>
        <w:ind w:left="0" w:firstLine="0"/>
        <w:rPr>
          <w:color w:val="auto"/>
          <w:szCs w:val="24"/>
          <w:lang w:val="en-CM" w:eastAsia="en-CM"/>
        </w:rPr>
      </w:pPr>
      <w:r w:rsidRPr="00486D7B">
        <w:rPr>
          <w:color w:val="auto"/>
          <w:szCs w:val="24"/>
          <w:lang w:val="en-CM" w:eastAsia="en-CM"/>
        </w:rPr>
        <w:t xml:space="preserve">Seafarers will be purposefully recruited from ships to constitute focus group discussion (FGD) groups. These discussions will provide a platform for participants to share knowledge, practices, perceptions, experiences, and attitudes toward occupational health and safety. </w:t>
      </w:r>
      <w:proofErr w:type="spellStart"/>
      <w:r w:rsidRPr="00486D7B">
        <w:rPr>
          <w:color w:val="auto"/>
          <w:szCs w:val="24"/>
          <w:lang w:val="en-CM" w:eastAsia="en-CM"/>
        </w:rPr>
        <w:t>FGDs</w:t>
      </w:r>
      <w:proofErr w:type="spellEnd"/>
      <w:r w:rsidRPr="00486D7B">
        <w:rPr>
          <w:color w:val="auto"/>
          <w:szCs w:val="24"/>
          <w:lang w:val="en-CM" w:eastAsia="en-CM"/>
        </w:rPr>
        <w:t xml:space="preserve"> will be designed to assess levels of awareness of occupational hazards, and participants will be encouraged to express their views on safety practices, drills, AI technology, and training in seafaring. From these groups, resourceful individuals will be identified for in</w:t>
      </w:r>
      <w:r w:rsidRPr="00486D7B">
        <w:rPr>
          <w:color w:val="auto"/>
          <w:szCs w:val="24"/>
          <w:lang w:val="en-CM" w:eastAsia="en-CM"/>
        </w:rPr>
        <w:noBreakHyphen/>
        <w:t>depth interviews (IDI).</w:t>
      </w:r>
    </w:p>
    <w:p w14:paraId="7B56921D" w14:textId="77777777" w:rsidR="00486D7B" w:rsidRPr="00486D7B" w:rsidRDefault="00486D7B" w:rsidP="00486D7B">
      <w:pPr>
        <w:spacing w:before="100" w:beforeAutospacing="1" w:after="100" w:afterAutospacing="1" w:line="240" w:lineRule="auto"/>
        <w:ind w:left="0" w:firstLine="0"/>
        <w:rPr>
          <w:color w:val="auto"/>
          <w:szCs w:val="24"/>
          <w:lang w:val="en-CM" w:eastAsia="en-CM"/>
        </w:rPr>
      </w:pPr>
      <w:r w:rsidRPr="00486D7B">
        <w:rPr>
          <w:color w:val="auto"/>
          <w:szCs w:val="24"/>
          <w:lang w:val="en-CM" w:eastAsia="en-CM"/>
        </w:rPr>
        <w:t>In</w:t>
      </w:r>
      <w:r w:rsidRPr="00486D7B">
        <w:rPr>
          <w:color w:val="auto"/>
          <w:szCs w:val="24"/>
          <w:lang w:val="en-CM" w:eastAsia="en-CM"/>
        </w:rPr>
        <w:noBreakHyphen/>
        <w:t>depth interviews will be conducted with selected FGD participants, lower</w:t>
      </w:r>
      <w:r w:rsidRPr="00486D7B">
        <w:rPr>
          <w:color w:val="auto"/>
          <w:szCs w:val="24"/>
          <w:lang w:val="en-CM" w:eastAsia="en-CM"/>
        </w:rPr>
        <w:noBreakHyphen/>
        <w:t>ranking seafarers, managers, and port authorities. These interviews will explore factors associated with occupational health incidents, risky behaviours, and the use of training and technology, as well as management and control of accidents, injuries, and diseases. They will capture nuanced insights and expert opinions regarding occupational health and safety practices and interventions.</w:t>
      </w:r>
    </w:p>
    <w:p w14:paraId="43305134" w14:textId="77777777" w:rsidR="00486D7B" w:rsidRPr="00486D7B" w:rsidRDefault="00486D7B" w:rsidP="00486D7B">
      <w:pPr>
        <w:spacing w:before="100" w:beforeAutospacing="1" w:after="100" w:afterAutospacing="1" w:line="240" w:lineRule="auto"/>
        <w:ind w:left="0" w:firstLine="0"/>
        <w:rPr>
          <w:color w:val="auto"/>
          <w:szCs w:val="24"/>
          <w:lang w:val="en-CM" w:eastAsia="en-CM"/>
        </w:rPr>
      </w:pPr>
      <w:r w:rsidRPr="00486D7B">
        <w:rPr>
          <w:color w:val="auto"/>
          <w:szCs w:val="24"/>
          <w:lang w:val="en-CM" w:eastAsia="en-CM"/>
        </w:rPr>
        <w:lastRenderedPageBreak/>
        <w:t xml:space="preserve">An observational study will complement these discussions by systematically assessing actual safety and health practices among </w:t>
      </w:r>
      <w:proofErr w:type="gramStart"/>
      <w:r w:rsidRPr="00486D7B">
        <w:rPr>
          <w:color w:val="auto"/>
          <w:szCs w:val="24"/>
          <w:lang w:val="en-CM" w:eastAsia="en-CM"/>
        </w:rPr>
        <w:t>seafarers</w:t>
      </w:r>
      <w:proofErr w:type="gramEnd"/>
      <w:r w:rsidRPr="00486D7B">
        <w:rPr>
          <w:color w:val="auto"/>
          <w:szCs w:val="24"/>
          <w:lang w:val="en-CM" w:eastAsia="en-CM"/>
        </w:rPr>
        <w:t xml:space="preserve"> onboard ships in the three ports. Observations will be guided by a checklist adapted from the </w:t>
      </w:r>
      <w:r w:rsidRPr="00486D7B">
        <w:rPr>
          <w:i/>
          <w:iCs/>
          <w:color w:val="auto"/>
          <w:szCs w:val="24"/>
          <w:lang w:val="en-CM" w:eastAsia="en-CM"/>
        </w:rPr>
        <w:t>Guidelines for Implementing the Occupational Safety and Health Provisions of the Maritime Labour Convention, 2006</w:t>
      </w:r>
      <w:r w:rsidRPr="00486D7B">
        <w:rPr>
          <w:color w:val="auto"/>
          <w:szCs w:val="24"/>
          <w:lang w:val="en-CM" w:eastAsia="en-CM"/>
        </w:rPr>
        <w:t>.</w:t>
      </w:r>
    </w:p>
    <w:p w14:paraId="2FA81CAC" w14:textId="77777777" w:rsidR="000E604B" w:rsidRDefault="00486D7B" w:rsidP="000E604B">
      <w:pPr>
        <w:spacing w:before="100" w:beforeAutospacing="1" w:after="100" w:afterAutospacing="1" w:line="240" w:lineRule="auto"/>
        <w:ind w:left="0" w:firstLine="0"/>
        <w:rPr>
          <w:color w:val="auto"/>
          <w:szCs w:val="24"/>
          <w:lang w:val="en-CM" w:eastAsia="en-CM"/>
        </w:rPr>
      </w:pPr>
      <w:r w:rsidRPr="00486D7B">
        <w:rPr>
          <w:color w:val="auto"/>
          <w:szCs w:val="24"/>
          <w:lang w:val="en-CM" w:eastAsia="en-CM"/>
        </w:rPr>
        <w:t>Alongside these qualitative components, quantitative methods will be applied. A cross</w:t>
      </w:r>
      <w:r w:rsidRPr="00486D7B">
        <w:rPr>
          <w:color w:val="auto"/>
          <w:szCs w:val="24"/>
          <w:lang w:val="en-CM" w:eastAsia="en-CM"/>
        </w:rPr>
        <w:noBreakHyphen/>
        <w:t xml:space="preserve">sectional survey will identify risky health behaviours and adherence to OHS protocols, evaluate the impact of targeted health education interventions, and determine correlations between port state control and the occurrence of marine accidents. </w:t>
      </w:r>
    </w:p>
    <w:p w14:paraId="5F60B1B9" w14:textId="77777777" w:rsidR="00CC384D" w:rsidRPr="00CC384D" w:rsidRDefault="00CC384D">
      <w:pPr>
        <w:ind w:left="-5" w:right="4"/>
        <w:rPr>
          <w:b/>
        </w:rPr>
      </w:pPr>
      <w:r w:rsidRPr="00CC384D">
        <w:rPr>
          <w:b/>
        </w:rPr>
        <w:t xml:space="preserve">3.1 Study Design </w:t>
      </w:r>
    </w:p>
    <w:p w14:paraId="1B8EEBBD" w14:textId="77777777" w:rsidR="0058281A" w:rsidRDefault="0005410B">
      <w:pPr>
        <w:ind w:left="-5" w:right="4"/>
      </w:pPr>
      <w:r>
        <w:t xml:space="preserve">The research will unfold in three phases. Phase one will assess the baseline knowledge, attitudes, and practices of all participants. Phase two will deliver the intervention in Douala </w:t>
      </w:r>
      <w:r w:rsidR="003A2D46">
        <w:rPr>
          <w:lang w:val="en-GB"/>
        </w:rPr>
        <w:t xml:space="preserve">and control in </w:t>
      </w:r>
      <w:r w:rsidR="00486D7B">
        <w:rPr>
          <w:lang w:val="en-GB"/>
        </w:rPr>
        <w:t>Ghana</w:t>
      </w:r>
      <w:r w:rsidR="003A2D46">
        <w:rPr>
          <w:lang w:val="en-GB"/>
        </w:rPr>
        <w:t xml:space="preserve"> </w:t>
      </w:r>
      <w:r>
        <w:t xml:space="preserve">using interactive workshops, role-play, visual materials, and mobile messaging. Phase three will evaluate post-intervention outcomes, comparing both groups to identify changes in </w:t>
      </w:r>
      <w:proofErr w:type="spellStart"/>
      <w:r>
        <w:t>behavior</w:t>
      </w:r>
      <w:proofErr w:type="spellEnd"/>
      <w:r>
        <w:t xml:space="preserve">, safety compliance, and overall well-being. </w:t>
      </w:r>
    </w:p>
    <w:p w14:paraId="54F669DB" w14:textId="77777777" w:rsidR="0058281A" w:rsidRDefault="0005410B">
      <w:pPr>
        <w:spacing w:after="159" w:line="257" w:lineRule="auto"/>
        <w:ind w:left="-5" w:right="-10"/>
        <w:jc w:val="both"/>
      </w:pPr>
      <w:r>
        <w:t xml:space="preserve">Through surveys, interviews, and direct observation, the study will examine common challenges such as fatigue, injury, exposure to harmful substances, and limited access to medical care. Ultimately, the goal is to empower seafarers with the tools to protect themselves and to encourage port authorities and ship operators to prioritize crew safety across the region.  </w:t>
      </w:r>
    </w:p>
    <w:p w14:paraId="0C47D93E" w14:textId="77777777" w:rsidR="000E604B" w:rsidRPr="00D71366" w:rsidRDefault="000E604B" w:rsidP="00D71366">
      <w:pPr>
        <w:spacing w:before="100" w:beforeAutospacing="1" w:after="100" w:afterAutospacing="1" w:line="240" w:lineRule="auto"/>
        <w:ind w:left="0" w:firstLine="0"/>
        <w:rPr>
          <w:color w:val="auto"/>
          <w:szCs w:val="24"/>
          <w:lang w:val="en-CM" w:eastAsia="en-CM"/>
        </w:rPr>
      </w:pPr>
      <w:r w:rsidRPr="00486D7B">
        <w:rPr>
          <w:color w:val="auto"/>
          <w:szCs w:val="24"/>
          <w:lang w:val="en-CM" w:eastAsia="en-CM"/>
        </w:rPr>
        <w:t>A before</w:t>
      </w:r>
      <w:r w:rsidRPr="00486D7B">
        <w:rPr>
          <w:color w:val="auto"/>
          <w:szCs w:val="24"/>
          <w:lang w:val="en-CM" w:eastAsia="en-CM"/>
        </w:rPr>
        <w:noBreakHyphen/>
        <w:t>and</w:t>
      </w:r>
      <w:r w:rsidRPr="00486D7B">
        <w:rPr>
          <w:color w:val="auto"/>
          <w:szCs w:val="24"/>
          <w:lang w:val="en-CM" w:eastAsia="en-CM"/>
        </w:rPr>
        <w:noBreakHyphen/>
        <w:t>after intervention design will further assess effectiveness: seafarers will be divided into intervention and control groups. The intervention group will receive health education through occupational safety and health training, reminder messages, and OHS posters/flyers, while the control group will receive non</w:t>
      </w:r>
      <w:r w:rsidRPr="00486D7B">
        <w:rPr>
          <w:color w:val="auto"/>
          <w:szCs w:val="24"/>
          <w:lang w:val="en-CM" w:eastAsia="en-CM"/>
        </w:rPr>
        <w:noBreakHyphen/>
        <w:t>OHS health messages and materials.</w:t>
      </w:r>
    </w:p>
    <w:p w14:paraId="3B65DB77" w14:textId="77777777" w:rsidR="0058281A" w:rsidRDefault="0005410B">
      <w:pPr>
        <w:pStyle w:val="Heading1"/>
        <w:numPr>
          <w:ilvl w:val="0"/>
          <w:numId w:val="0"/>
        </w:numPr>
        <w:ind w:left="-5"/>
      </w:pPr>
      <w:r>
        <w:t>Study duration</w:t>
      </w:r>
      <w:r>
        <w:rPr>
          <w:b w:val="0"/>
        </w:rPr>
        <w:t xml:space="preserve">  </w:t>
      </w:r>
    </w:p>
    <w:p w14:paraId="4DA14A0F" w14:textId="77777777" w:rsidR="0058281A" w:rsidRDefault="0005410B">
      <w:pPr>
        <w:spacing w:after="250"/>
        <w:ind w:left="-5" w:right="4"/>
        <w:rPr>
          <w:sz w:val="28"/>
        </w:rPr>
      </w:pPr>
      <w:r>
        <w:t>The overall study duration will span from January 2025 to December 2025</w:t>
      </w:r>
      <w:r>
        <w:rPr>
          <w:b/>
        </w:rPr>
        <w:t>.</w:t>
      </w:r>
      <w:r>
        <w:t xml:space="preserve"> The months allocated for each phase of the study are outlined in Table 1 below:</w:t>
      </w:r>
      <w:r>
        <w:rPr>
          <w:sz w:val="28"/>
        </w:rPr>
        <w:t xml:space="preserve"> </w:t>
      </w:r>
    </w:p>
    <w:p w14:paraId="3FA2F585" w14:textId="77777777" w:rsidR="00746AF3" w:rsidRDefault="00746AF3">
      <w:pPr>
        <w:spacing w:after="250"/>
        <w:ind w:left="-5" w:right="4"/>
      </w:pPr>
    </w:p>
    <w:p w14:paraId="69B1C183" w14:textId="77777777" w:rsidR="0058281A" w:rsidRDefault="0005410B">
      <w:pPr>
        <w:pStyle w:val="Heading1"/>
        <w:numPr>
          <w:ilvl w:val="0"/>
          <w:numId w:val="0"/>
        </w:numPr>
        <w:spacing w:after="1"/>
        <w:ind w:left="-5"/>
      </w:pPr>
      <w:r>
        <w:t>Table 1: Study Phases and Timeline</w:t>
      </w:r>
      <w:r>
        <w:rPr>
          <w:b w:val="0"/>
        </w:rPr>
        <w:t xml:space="preserve"> </w:t>
      </w:r>
    </w:p>
    <w:tbl>
      <w:tblPr>
        <w:tblStyle w:val="TableGrid"/>
        <w:tblW w:w="6611" w:type="dxa"/>
        <w:tblInd w:w="-14" w:type="dxa"/>
        <w:tblCellMar>
          <w:top w:w="15" w:type="dxa"/>
          <w:right w:w="115" w:type="dxa"/>
        </w:tblCellMar>
        <w:tblLook w:val="04A0" w:firstRow="1" w:lastRow="0" w:firstColumn="1" w:lastColumn="0" w:noHBand="0" w:noVBand="1"/>
      </w:tblPr>
      <w:tblGrid>
        <w:gridCol w:w="3421"/>
        <w:gridCol w:w="3190"/>
      </w:tblGrid>
      <w:tr w:rsidR="0058281A" w14:paraId="275D74B3" w14:textId="77777777">
        <w:trPr>
          <w:trHeight w:val="305"/>
        </w:trPr>
        <w:tc>
          <w:tcPr>
            <w:tcW w:w="3421" w:type="dxa"/>
            <w:tcBorders>
              <w:top w:val="single" w:sz="4" w:space="0" w:color="000000"/>
              <w:left w:val="nil"/>
              <w:bottom w:val="single" w:sz="4" w:space="0" w:color="000000"/>
              <w:right w:val="nil"/>
            </w:tcBorders>
          </w:tcPr>
          <w:p w14:paraId="6359A264" w14:textId="77777777" w:rsidR="0058281A" w:rsidRDefault="0005410B">
            <w:pPr>
              <w:spacing w:after="0" w:line="259" w:lineRule="auto"/>
              <w:ind w:left="122" w:firstLine="0"/>
            </w:pPr>
            <w:r>
              <w:t xml:space="preserve">Phase </w:t>
            </w:r>
          </w:p>
        </w:tc>
        <w:tc>
          <w:tcPr>
            <w:tcW w:w="3191" w:type="dxa"/>
            <w:tcBorders>
              <w:top w:val="single" w:sz="4" w:space="0" w:color="000000"/>
              <w:left w:val="nil"/>
              <w:bottom w:val="single" w:sz="4" w:space="0" w:color="000000"/>
              <w:right w:val="nil"/>
            </w:tcBorders>
          </w:tcPr>
          <w:p w14:paraId="00B7D470" w14:textId="77777777" w:rsidR="0058281A" w:rsidRDefault="0005410B">
            <w:pPr>
              <w:spacing w:after="0" w:line="259" w:lineRule="auto"/>
              <w:ind w:left="0" w:firstLine="0"/>
            </w:pPr>
            <w:r>
              <w:t xml:space="preserve">Period </w:t>
            </w:r>
          </w:p>
        </w:tc>
      </w:tr>
      <w:tr w:rsidR="0058281A" w14:paraId="4ADCD982" w14:textId="77777777">
        <w:trPr>
          <w:trHeight w:val="304"/>
        </w:trPr>
        <w:tc>
          <w:tcPr>
            <w:tcW w:w="3421" w:type="dxa"/>
            <w:tcBorders>
              <w:top w:val="single" w:sz="4" w:space="0" w:color="000000"/>
              <w:left w:val="nil"/>
              <w:bottom w:val="nil"/>
              <w:right w:val="nil"/>
            </w:tcBorders>
          </w:tcPr>
          <w:p w14:paraId="4752D0B8" w14:textId="77777777" w:rsidR="0058281A" w:rsidRDefault="0005410B">
            <w:pPr>
              <w:spacing w:after="0" w:line="259" w:lineRule="auto"/>
              <w:ind w:left="122" w:firstLine="0"/>
            </w:pPr>
            <w:r>
              <w:t xml:space="preserve">Baseline  </w:t>
            </w:r>
          </w:p>
        </w:tc>
        <w:tc>
          <w:tcPr>
            <w:tcW w:w="3191" w:type="dxa"/>
            <w:tcBorders>
              <w:top w:val="single" w:sz="4" w:space="0" w:color="000000"/>
              <w:left w:val="nil"/>
              <w:bottom w:val="nil"/>
              <w:right w:val="nil"/>
            </w:tcBorders>
          </w:tcPr>
          <w:p w14:paraId="4F1DF214" w14:textId="77777777" w:rsidR="0058281A" w:rsidRDefault="0005410B">
            <w:pPr>
              <w:spacing w:after="0" w:line="259" w:lineRule="auto"/>
              <w:ind w:left="0" w:firstLine="0"/>
            </w:pPr>
            <w:r>
              <w:t xml:space="preserve">Months 1–2  </w:t>
            </w:r>
          </w:p>
        </w:tc>
      </w:tr>
      <w:tr w:rsidR="0058281A" w14:paraId="324CCFC1" w14:textId="77777777">
        <w:trPr>
          <w:trHeight w:val="295"/>
        </w:trPr>
        <w:tc>
          <w:tcPr>
            <w:tcW w:w="3421" w:type="dxa"/>
            <w:tcBorders>
              <w:top w:val="nil"/>
              <w:left w:val="nil"/>
              <w:bottom w:val="nil"/>
              <w:right w:val="nil"/>
            </w:tcBorders>
          </w:tcPr>
          <w:p w14:paraId="15912DD1" w14:textId="77777777" w:rsidR="0058281A" w:rsidRDefault="0005410B">
            <w:pPr>
              <w:spacing w:after="0" w:line="259" w:lineRule="auto"/>
              <w:ind w:left="122" w:firstLine="0"/>
            </w:pPr>
            <w:r>
              <w:t xml:space="preserve">Intervention implementation  </w:t>
            </w:r>
          </w:p>
        </w:tc>
        <w:tc>
          <w:tcPr>
            <w:tcW w:w="3191" w:type="dxa"/>
            <w:tcBorders>
              <w:top w:val="nil"/>
              <w:left w:val="nil"/>
              <w:bottom w:val="nil"/>
              <w:right w:val="nil"/>
            </w:tcBorders>
          </w:tcPr>
          <w:p w14:paraId="7D975961" w14:textId="77777777" w:rsidR="0058281A" w:rsidRDefault="0005410B">
            <w:pPr>
              <w:spacing w:after="0" w:line="259" w:lineRule="auto"/>
              <w:ind w:left="0" w:firstLine="0"/>
            </w:pPr>
            <w:r>
              <w:t xml:space="preserve">Months 3–6  </w:t>
            </w:r>
          </w:p>
        </w:tc>
      </w:tr>
      <w:tr w:rsidR="0058281A" w14:paraId="6A71DDF4" w14:textId="77777777">
        <w:trPr>
          <w:trHeight w:val="296"/>
        </w:trPr>
        <w:tc>
          <w:tcPr>
            <w:tcW w:w="3421" w:type="dxa"/>
            <w:tcBorders>
              <w:top w:val="nil"/>
              <w:left w:val="nil"/>
              <w:bottom w:val="single" w:sz="4" w:space="0" w:color="000000"/>
              <w:right w:val="nil"/>
            </w:tcBorders>
          </w:tcPr>
          <w:p w14:paraId="47CB0025" w14:textId="77777777" w:rsidR="0058281A" w:rsidRDefault="0005410B">
            <w:pPr>
              <w:spacing w:after="0" w:line="259" w:lineRule="auto"/>
              <w:ind w:left="122" w:firstLine="0"/>
            </w:pPr>
            <w:r>
              <w:t xml:space="preserve">Post intervention  </w:t>
            </w:r>
          </w:p>
        </w:tc>
        <w:tc>
          <w:tcPr>
            <w:tcW w:w="3191" w:type="dxa"/>
            <w:tcBorders>
              <w:top w:val="nil"/>
              <w:left w:val="nil"/>
              <w:bottom w:val="single" w:sz="4" w:space="0" w:color="000000"/>
              <w:right w:val="nil"/>
            </w:tcBorders>
          </w:tcPr>
          <w:p w14:paraId="51D16DE5" w14:textId="77777777" w:rsidR="0058281A" w:rsidRDefault="0005410B">
            <w:pPr>
              <w:spacing w:after="0" w:line="259" w:lineRule="auto"/>
              <w:ind w:left="0" w:firstLine="0"/>
            </w:pPr>
            <w:r>
              <w:t xml:space="preserve">Months 7–12 </w:t>
            </w:r>
          </w:p>
        </w:tc>
      </w:tr>
    </w:tbl>
    <w:p w14:paraId="2D5CCBD5" w14:textId="77777777" w:rsidR="0058281A" w:rsidRDefault="0005410B">
      <w:pPr>
        <w:spacing w:after="158" w:line="259" w:lineRule="auto"/>
        <w:ind w:left="0" w:firstLine="0"/>
      </w:pPr>
      <w:r>
        <w:t xml:space="preserve"> </w:t>
      </w:r>
    </w:p>
    <w:p w14:paraId="5C047D53" w14:textId="77777777" w:rsidR="0058281A" w:rsidRDefault="0005410B">
      <w:pPr>
        <w:pStyle w:val="Heading2"/>
        <w:ind w:left="-5"/>
      </w:pPr>
      <w:r>
        <w:t xml:space="preserve">3.2 Study Settings </w:t>
      </w:r>
    </w:p>
    <w:p w14:paraId="3348B5EA" w14:textId="77777777" w:rsidR="0058281A" w:rsidRDefault="0005410B">
      <w:pPr>
        <w:ind w:left="-5" w:right="4"/>
      </w:pPr>
      <w:r>
        <w:t xml:space="preserve">The study will be conducted across three major seaports in the Gulf of Guinea: Douala Seaport in Cameroon, Warri Seaport in Nigeria, and Tema Seaport in Ghana. These ports are vital hubs for trade and maritime operations, employing a diverse workforce that includes dockworkers, ship crew members, and port-based personnel. Douala Seaport, located on the </w:t>
      </w:r>
      <w:proofErr w:type="spellStart"/>
      <w:r>
        <w:t>Wouri</w:t>
      </w:r>
      <w:proofErr w:type="spellEnd"/>
      <w:r>
        <w:t xml:space="preserve"> River, is Cameroon’s largest and busiest port, handling millions of tonnes of cargo annually. It is operated by the Port </w:t>
      </w:r>
      <w:proofErr w:type="spellStart"/>
      <w:r>
        <w:t>Autonome</w:t>
      </w:r>
      <w:proofErr w:type="spellEnd"/>
      <w:r>
        <w:t xml:space="preserve"> de Douala and serves as a gateway for exports </w:t>
      </w:r>
      <w:r>
        <w:lastRenderedPageBreak/>
        <w:t xml:space="preserve">like cocoa and coffee. Warri Seaport, situated in Nigeria’s Delta State, plays a key role in the country’s oil and gas sector. Managed by the Nigerian Ports Authority, it supports general cargo, petroleum products, and inland waterway transport. Tema Seaport, Ghana’s largest and most modern port, is located near Accra and handles over 85% of the country’s trade. Operated by the Ghana Ports and Harbours Authority, it accommodates container ships, tankers, and Ro-Ro vessels. These ports provide a rich operational environment for the study, which will assess how capacity-building interventions can improve occupational health and safety among seafarers. The research will target real-world challenges and promote safer, more supportive working conditions across the region. </w:t>
      </w:r>
    </w:p>
    <w:p w14:paraId="0777A6E8" w14:textId="77777777" w:rsidR="0058281A" w:rsidRDefault="0005410B">
      <w:pPr>
        <w:pStyle w:val="Heading2"/>
        <w:ind w:left="-5"/>
      </w:pPr>
      <w:r>
        <w:t xml:space="preserve">3.3 Study Population and Eligibility Criteria </w:t>
      </w:r>
    </w:p>
    <w:p w14:paraId="144ABE0B" w14:textId="77777777" w:rsidR="0058281A" w:rsidRDefault="0005410B">
      <w:pPr>
        <w:ind w:left="-5" w:right="4"/>
      </w:pPr>
      <w:r>
        <w:t xml:space="preserve">The study will take place in three major seaports in the Gulf of Guinea: Douala Seaport in Cameroon, Warri Seaport in Nigeria, and Tema Seaport in Ghana. These ports are central to regional trade and maritime operations, employing a wide range of personnel, including dockworkers, ship crew members, and port-based staff. Douala, located on the </w:t>
      </w:r>
      <w:proofErr w:type="spellStart"/>
      <w:r>
        <w:t>Wouri</w:t>
      </w:r>
      <w:proofErr w:type="spellEnd"/>
      <w:r>
        <w:t xml:space="preserve"> River, is Cameroon’s busiest port and a key export hub for cocoa, timber, and coffee [8]. Warri Seaport plays a strategic role in Nigeria’s oil and gas logistics [9], while Tema Seaport near Accra handles over 85% of Ghana’s trade and is the country’s most modern port [11]. </w:t>
      </w:r>
    </w:p>
    <w:p w14:paraId="12696279" w14:textId="77777777" w:rsidR="0058281A" w:rsidRDefault="0005410B">
      <w:pPr>
        <w:ind w:left="-5" w:right="4"/>
      </w:pPr>
      <w:r>
        <w:t xml:space="preserve">Participants will include active seafarers aged 18 and above who have served on </w:t>
      </w:r>
      <w:r>
        <w:rPr>
          <w:lang w:val="en-GB"/>
        </w:rPr>
        <w:t>African-flagged</w:t>
      </w:r>
      <w:r>
        <w:t xml:space="preserve"> vessels for at least six months, as well as ship owners, managers, and Port State Control inspectors. Eligible individuals must be literate in English or French and available for the full six-month study period. </w:t>
      </w:r>
    </w:p>
    <w:p w14:paraId="6FF37174" w14:textId="77777777" w:rsidR="0058281A" w:rsidRDefault="0005410B">
      <w:pPr>
        <w:ind w:left="-5" w:right="4"/>
      </w:pPr>
      <w:r>
        <w:t xml:space="preserve">Exclusion criteria will apply to individuals under 18, those with less than six months of sea service, and maritime personnel not affiliated with the selected ports. Also excluded are those unable to communicate in English or French, administrative or non-operational staff with no direct involvement in OHS-related tasks, seafarers on temporary leave or reassigned elsewhere during the intervention period, and individuals with cognitive impairments or unwillingness to provide informed consent. </w:t>
      </w:r>
    </w:p>
    <w:p w14:paraId="69546381" w14:textId="77777777" w:rsidR="0058281A" w:rsidRDefault="0005410B">
      <w:pPr>
        <w:pStyle w:val="Heading2"/>
        <w:ind w:left="-5"/>
      </w:pPr>
      <w:r>
        <w:t xml:space="preserve">3.4 Sampling Strategy and Sample Size </w:t>
      </w:r>
    </w:p>
    <w:p w14:paraId="657A2926" w14:textId="77777777" w:rsidR="0058281A" w:rsidRDefault="0005410B">
      <w:pPr>
        <w:ind w:left="-5" w:right="4"/>
      </w:pPr>
      <w:r>
        <w:t xml:space="preserve">The study will adopt a multi-stage sampling strategy to ensure broad representation across key maritime roles. First, three seaports—Douala in Cameroon, Warri in Nigeria, and Tema in Ghana—will be purposively selected based on their strategic relevance, operational diversity, and volume of seafarer activity. Within each port, participants will be stratified into distinct groups: active seafarers, ship owners, vessel managers, and Port State Control (PSC) inspectors. This stratification will allow the study to capture a wide range of perspectives on occupational health and safety (OHS). </w:t>
      </w:r>
    </w:p>
    <w:p w14:paraId="1A89761E" w14:textId="77777777" w:rsidR="0058281A" w:rsidRDefault="0005410B">
      <w:pPr>
        <w:spacing w:after="207"/>
        <w:ind w:left="-5" w:right="4"/>
      </w:pPr>
      <w:r>
        <w:t xml:space="preserve">From each stratum, simple random sampling will be used to select individuals who meet the inclusion criteria. This approach will help minimize selection bias and ensure that the sample reflects the diversity of roles and experiences within the port environments. </w:t>
      </w:r>
    </w:p>
    <w:p w14:paraId="2685122D" w14:textId="77777777" w:rsidR="0058281A" w:rsidRDefault="0005410B" w:rsidP="00CC384D">
      <w:pPr>
        <w:ind w:left="-5" w:right="4"/>
      </w:pPr>
      <w:r>
        <w:t xml:space="preserve">The overall sample size will be estimated using Cochran’s formula for cross-sectional studies, adjusted for finite population and anticipated response rate. The researchers will assume a 95% confidence level, a 5% margin of error, and an estimated prevalence of OHS awareness based on prior studies in similar contexts. After accounting for potential nonresponse and attrition during the six-month study period, the final sample size will be set at 384 </w:t>
      </w:r>
      <w:r>
        <w:lastRenderedPageBreak/>
        <w:t xml:space="preserve">participants. This number will be proportionally distributed across the three ports and stakeholder categories to ensure balanced representation and meaningful analysis. The number of individuals involved in the different activities of the study is described in table 2 below. </w:t>
      </w:r>
    </w:p>
    <w:p w14:paraId="5A170171" w14:textId="77777777" w:rsidR="0058281A" w:rsidRDefault="0005410B">
      <w:pPr>
        <w:pStyle w:val="Heading1"/>
        <w:numPr>
          <w:ilvl w:val="0"/>
          <w:numId w:val="0"/>
        </w:numPr>
        <w:spacing w:after="1"/>
        <w:ind w:left="-5"/>
      </w:pPr>
      <w:r>
        <w:t xml:space="preserve">Table 2: Number of participants involved in the different activities  </w:t>
      </w:r>
    </w:p>
    <w:tbl>
      <w:tblPr>
        <w:tblStyle w:val="TableGrid"/>
        <w:tblW w:w="8296" w:type="dxa"/>
        <w:tblInd w:w="-14" w:type="dxa"/>
        <w:tblCellMar>
          <w:top w:w="5" w:type="dxa"/>
          <w:right w:w="110" w:type="dxa"/>
        </w:tblCellMar>
        <w:tblLook w:val="04A0" w:firstRow="1" w:lastRow="0" w:firstColumn="1" w:lastColumn="0" w:noHBand="0" w:noVBand="1"/>
      </w:tblPr>
      <w:tblGrid>
        <w:gridCol w:w="2533"/>
        <w:gridCol w:w="3545"/>
        <w:gridCol w:w="2218"/>
      </w:tblGrid>
      <w:tr w:rsidR="0058281A" w14:paraId="0968E3A3" w14:textId="77777777">
        <w:trPr>
          <w:trHeight w:val="300"/>
        </w:trPr>
        <w:tc>
          <w:tcPr>
            <w:tcW w:w="2533" w:type="dxa"/>
            <w:tcBorders>
              <w:top w:val="single" w:sz="4" w:space="0" w:color="000000"/>
              <w:left w:val="nil"/>
              <w:bottom w:val="single" w:sz="4" w:space="0" w:color="000000"/>
              <w:right w:val="nil"/>
            </w:tcBorders>
          </w:tcPr>
          <w:p w14:paraId="3F9F35A0" w14:textId="77777777" w:rsidR="0058281A" w:rsidRDefault="0005410B">
            <w:pPr>
              <w:spacing w:after="0" w:line="259" w:lineRule="auto"/>
              <w:ind w:left="122" w:firstLine="0"/>
            </w:pPr>
            <w:r>
              <w:t xml:space="preserve">Component </w:t>
            </w:r>
          </w:p>
        </w:tc>
        <w:tc>
          <w:tcPr>
            <w:tcW w:w="3545" w:type="dxa"/>
            <w:tcBorders>
              <w:top w:val="single" w:sz="4" w:space="0" w:color="000000"/>
              <w:left w:val="nil"/>
              <w:bottom w:val="single" w:sz="4" w:space="0" w:color="000000"/>
              <w:right w:val="nil"/>
            </w:tcBorders>
          </w:tcPr>
          <w:p w14:paraId="59D91257" w14:textId="77777777" w:rsidR="0058281A" w:rsidRDefault="0005410B">
            <w:pPr>
              <w:spacing w:after="0" w:line="259" w:lineRule="auto"/>
              <w:ind w:left="0" w:firstLine="0"/>
            </w:pPr>
            <w:r>
              <w:t xml:space="preserve">Method </w:t>
            </w:r>
          </w:p>
        </w:tc>
        <w:tc>
          <w:tcPr>
            <w:tcW w:w="2218" w:type="dxa"/>
            <w:tcBorders>
              <w:top w:val="single" w:sz="4" w:space="0" w:color="000000"/>
              <w:left w:val="nil"/>
              <w:bottom w:val="single" w:sz="4" w:space="0" w:color="000000"/>
              <w:right w:val="nil"/>
            </w:tcBorders>
          </w:tcPr>
          <w:p w14:paraId="77A17DED" w14:textId="77777777" w:rsidR="0058281A" w:rsidRDefault="0005410B">
            <w:pPr>
              <w:spacing w:after="0" w:line="259" w:lineRule="auto"/>
              <w:ind w:left="0" w:firstLine="0"/>
            </w:pPr>
            <w:r>
              <w:t xml:space="preserve">Sample Size  </w:t>
            </w:r>
          </w:p>
        </w:tc>
      </w:tr>
      <w:tr w:rsidR="0058281A" w14:paraId="3E241F5E" w14:textId="77777777">
        <w:trPr>
          <w:trHeight w:val="299"/>
        </w:trPr>
        <w:tc>
          <w:tcPr>
            <w:tcW w:w="2533" w:type="dxa"/>
            <w:tcBorders>
              <w:top w:val="single" w:sz="4" w:space="0" w:color="000000"/>
              <w:left w:val="nil"/>
              <w:bottom w:val="nil"/>
              <w:right w:val="nil"/>
            </w:tcBorders>
          </w:tcPr>
          <w:p w14:paraId="17F1A57B" w14:textId="77777777" w:rsidR="0058281A" w:rsidRDefault="0005410B">
            <w:pPr>
              <w:spacing w:after="0" w:line="259" w:lineRule="auto"/>
              <w:ind w:left="122" w:firstLine="0"/>
            </w:pPr>
            <w:r>
              <w:t xml:space="preserve">Cross-sectional survey  </w:t>
            </w:r>
          </w:p>
        </w:tc>
        <w:tc>
          <w:tcPr>
            <w:tcW w:w="3545" w:type="dxa"/>
            <w:tcBorders>
              <w:top w:val="single" w:sz="4" w:space="0" w:color="000000"/>
              <w:left w:val="nil"/>
              <w:bottom w:val="nil"/>
              <w:right w:val="nil"/>
            </w:tcBorders>
          </w:tcPr>
          <w:p w14:paraId="2C661B2E" w14:textId="77777777" w:rsidR="0058281A" w:rsidRDefault="0005410B">
            <w:pPr>
              <w:spacing w:after="0" w:line="259" w:lineRule="auto"/>
              <w:ind w:left="0" w:firstLine="0"/>
            </w:pPr>
            <w:r>
              <w:t xml:space="preserve">PPS, randomized ship selection  </w:t>
            </w:r>
          </w:p>
        </w:tc>
        <w:tc>
          <w:tcPr>
            <w:tcW w:w="2218" w:type="dxa"/>
            <w:tcBorders>
              <w:top w:val="single" w:sz="4" w:space="0" w:color="000000"/>
              <w:left w:val="nil"/>
              <w:bottom w:val="nil"/>
              <w:right w:val="nil"/>
            </w:tcBorders>
          </w:tcPr>
          <w:p w14:paraId="642D6FBA" w14:textId="77777777" w:rsidR="0058281A" w:rsidRDefault="0005410B">
            <w:pPr>
              <w:spacing w:after="0" w:line="259" w:lineRule="auto"/>
              <w:ind w:left="0" w:firstLine="0"/>
            </w:pPr>
            <w:r>
              <w:t xml:space="preserve">384 </w:t>
            </w:r>
          </w:p>
        </w:tc>
      </w:tr>
      <w:tr w:rsidR="0058281A" w14:paraId="035587C8" w14:textId="77777777">
        <w:trPr>
          <w:trHeight w:val="287"/>
        </w:trPr>
        <w:tc>
          <w:tcPr>
            <w:tcW w:w="2533" w:type="dxa"/>
            <w:tcBorders>
              <w:top w:val="nil"/>
              <w:left w:val="nil"/>
              <w:bottom w:val="nil"/>
              <w:right w:val="nil"/>
            </w:tcBorders>
          </w:tcPr>
          <w:p w14:paraId="0AD4291A" w14:textId="77777777" w:rsidR="0058281A" w:rsidRDefault="0005410B">
            <w:pPr>
              <w:spacing w:after="0" w:line="259" w:lineRule="auto"/>
              <w:ind w:left="122" w:firstLine="0"/>
            </w:pPr>
            <w:r>
              <w:t xml:space="preserve">Intervention/Control </w:t>
            </w:r>
          </w:p>
        </w:tc>
        <w:tc>
          <w:tcPr>
            <w:tcW w:w="3545" w:type="dxa"/>
            <w:tcBorders>
              <w:top w:val="nil"/>
              <w:left w:val="nil"/>
              <w:bottom w:val="nil"/>
              <w:right w:val="nil"/>
            </w:tcBorders>
          </w:tcPr>
          <w:p w14:paraId="083976A8" w14:textId="77777777" w:rsidR="0058281A" w:rsidRDefault="0005410B">
            <w:pPr>
              <w:spacing w:after="0" w:line="259" w:lineRule="auto"/>
              <w:ind w:left="0" w:firstLine="0"/>
            </w:pPr>
            <w:r>
              <w:t xml:space="preserve">Random allocation, cluster design  </w:t>
            </w:r>
          </w:p>
        </w:tc>
        <w:tc>
          <w:tcPr>
            <w:tcW w:w="2218" w:type="dxa"/>
            <w:tcBorders>
              <w:top w:val="nil"/>
              <w:left w:val="nil"/>
              <w:bottom w:val="nil"/>
              <w:right w:val="nil"/>
            </w:tcBorders>
          </w:tcPr>
          <w:p w14:paraId="1F89C4F4" w14:textId="77777777" w:rsidR="0058281A" w:rsidRDefault="0005410B">
            <w:pPr>
              <w:spacing w:after="0" w:line="259" w:lineRule="auto"/>
              <w:ind w:left="0" w:firstLine="0"/>
            </w:pPr>
            <w:r>
              <w:t xml:space="preserve">119 </w:t>
            </w:r>
          </w:p>
        </w:tc>
      </w:tr>
      <w:tr w:rsidR="0058281A" w14:paraId="087F5C51" w14:textId="77777777">
        <w:trPr>
          <w:trHeight w:val="556"/>
        </w:trPr>
        <w:tc>
          <w:tcPr>
            <w:tcW w:w="2533" w:type="dxa"/>
            <w:tcBorders>
              <w:top w:val="nil"/>
              <w:left w:val="nil"/>
              <w:bottom w:val="nil"/>
              <w:right w:val="nil"/>
            </w:tcBorders>
            <w:vAlign w:val="center"/>
          </w:tcPr>
          <w:p w14:paraId="0346AD8C" w14:textId="77777777" w:rsidR="0058281A" w:rsidRDefault="0005410B">
            <w:pPr>
              <w:spacing w:after="0" w:line="259" w:lineRule="auto"/>
              <w:ind w:left="122" w:firstLine="0"/>
            </w:pPr>
            <w:proofErr w:type="spellStart"/>
            <w:r>
              <w:t>FGDs</w:t>
            </w:r>
            <w:proofErr w:type="spellEnd"/>
            <w:r>
              <w:t xml:space="preserve"> </w:t>
            </w:r>
          </w:p>
        </w:tc>
        <w:tc>
          <w:tcPr>
            <w:tcW w:w="3545" w:type="dxa"/>
            <w:tcBorders>
              <w:top w:val="nil"/>
              <w:left w:val="nil"/>
              <w:bottom w:val="nil"/>
              <w:right w:val="nil"/>
            </w:tcBorders>
            <w:vAlign w:val="center"/>
          </w:tcPr>
          <w:p w14:paraId="497C7594" w14:textId="77777777" w:rsidR="0058281A" w:rsidRDefault="0005410B">
            <w:pPr>
              <w:spacing w:after="0" w:line="259" w:lineRule="auto"/>
              <w:ind w:left="0" w:firstLine="0"/>
            </w:pPr>
            <w:r>
              <w:t xml:space="preserve">Stratified by department/port </w:t>
            </w:r>
          </w:p>
        </w:tc>
        <w:tc>
          <w:tcPr>
            <w:tcW w:w="2218" w:type="dxa"/>
            <w:tcBorders>
              <w:top w:val="nil"/>
              <w:left w:val="nil"/>
              <w:bottom w:val="nil"/>
              <w:right w:val="nil"/>
            </w:tcBorders>
          </w:tcPr>
          <w:p w14:paraId="46B77E91" w14:textId="77777777" w:rsidR="0058281A" w:rsidRDefault="0005410B">
            <w:pPr>
              <w:spacing w:after="0" w:line="259" w:lineRule="auto"/>
              <w:ind w:left="0" w:firstLine="0"/>
            </w:pPr>
            <w:r>
              <w:t xml:space="preserve">9 groups (12 per group)  </w:t>
            </w:r>
          </w:p>
        </w:tc>
      </w:tr>
      <w:tr w:rsidR="0058281A" w14:paraId="5F4C8151" w14:textId="77777777">
        <w:trPr>
          <w:trHeight w:val="553"/>
        </w:trPr>
        <w:tc>
          <w:tcPr>
            <w:tcW w:w="2533" w:type="dxa"/>
            <w:tcBorders>
              <w:top w:val="nil"/>
              <w:left w:val="nil"/>
              <w:bottom w:val="single" w:sz="4" w:space="0" w:color="000000"/>
              <w:right w:val="nil"/>
            </w:tcBorders>
            <w:vAlign w:val="center"/>
          </w:tcPr>
          <w:p w14:paraId="19054886" w14:textId="77777777" w:rsidR="0058281A" w:rsidRDefault="0005410B">
            <w:pPr>
              <w:spacing w:after="0" w:line="259" w:lineRule="auto"/>
              <w:ind w:left="122" w:firstLine="0"/>
            </w:pPr>
            <w:proofErr w:type="spellStart"/>
            <w:r>
              <w:t>IDIs</w:t>
            </w:r>
            <w:proofErr w:type="spellEnd"/>
            <w:r>
              <w:t xml:space="preserve"> </w:t>
            </w:r>
          </w:p>
        </w:tc>
        <w:tc>
          <w:tcPr>
            <w:tcW w:w="3545" w:type="dxa"/>
            <w:tcBorders>
              <w:top w:val="nil"/>
              <w:left w:val="nil"/>
              <w:bottom w:val="single" w:sz="4" w:space="0" w:color="000000"/>
              <w:right w:val="nil"/>
            </w:tcBorders>
          </w:tcPr>
          <w:p w14:paraId="7ABBFFE3" w14:textId="77777777" w:rsidR="0058281A" w:rsidRDefault="0005410B">
            <w:pPr>
              <w:spacing w:after="0" w:line="259" w:lineRule="auto"/>
              <w:ind w:left="0" w:firstLine="0"/>
            </w:pPr>
            <w:r>
              <w:t xml:space="preserve">Ship owners, managers, PSC officials </w:t>
            </w:r>
          </w:p>
        </w:tc>
        <w:tc>
          <w:tcPr>
            <w:tcW w:w="2218" w:type="dxa"/>
            <w:tcBorders>
              <w:top w:val="nil"/>
              <w:left w:val="nil"/>
              <w:bottom w:val="single" w:sz="4" w:space="0" w:color="000000"/>
              <w:right w:val="nil"/>
            </w:tcBorders>
            <w:vAlign w:val="center"/>
          </w:tcPr>
          <w:p w14:paraId="1954A50C" w14:textId="77777777" w:rsidR="0058281A" w:rsidRDefault="0005410B">
            <w:pPr>
              <w:spacing w:after="0" w:line="259" w:lineRule="auto"/>
              <w:ind w:left="0" w:firstLine="0"/>
            </w:pPr>
            <w:r>
              <w:t xml:space="preserve">27 </w:t>
            </w:r>
          </w:p>
        </w:tc>
      </w:tr>
    </w:tbl>
    <w:p w14:paraId="1509F6F7" w14:textId="77777777" w:rsidR="0058281A" w:rsidRDefault="0005410B">
      <w:pPr>
        <w:spacing w:after="159" w:line="259" w:lineRule="auto"/>
        <w:ind w:left="0" w:firstLine="0"/>
      </w:pPr>
      <w:r>
        <w:rPr>
          <w:b/>
        </w:rPr>
        <w:t xml:space="preserve"> </w:t>
      </w:r>
    </w:p>
    <w:p w14:paraId="3A5422D8" w14:textId="77777777" w:rsidR="0058281A" w:rsidRDefault="0005410B">
      <w:pPr>
        <w:pStyle w:val="Heading2"/>
        <w:ind w:left="-5"/>
      </w:pPr>
      <w:r>
        <w:t xml:space="preserve">3.5 Intervention Structure </w:t>
      </w:r>
    </w:p>
    <w:p w14:paraId="48C98C63" w14:textId="77777777" w:rsidR="0058281A" w:rsidRDefault="0005410B">
      <w:pPr>
        <w:ind w:left="-5" w:right="4"/>
      </w:pPr>
      <w:r>
        <w:t xml:space="preserve">A 4-month intervention will be delivered via workshops, flyers, WhatsApp messages, and video materials.  </w:t>
      </w:r>
    </w:p>
    <w:p w14:paraId="771B9C96" w14:textId="77777777" w:rsidR="0058281A" w:rsidRDefault="0005410B">
      <w:pPr>
        <w:ind w:left="-5" w:right="4"/>
      </w:pPr>
      <w:r>
        <w:t xml:space="preserve">The intervention will be carried out over a four-month period at Douala Seaport, Cameroon, targeting active seafarers and maritime personnel. It will consist of a structured occupational health and safety (OHS) training program designed to improve awareness, attitudes, and practices. The training will be delivered through multiple mediums to ensure accessibility and engagement. </w:t>
      </w:r>
    </w:p>
    <w:p w14:paraId="79531289" w14:textId="77777777" w:rsidR="0058281A" w:rsidRDefault="0005410B">
      <w:pPr>
        <w:ind w:left="-5" w:right="4"/>
      </w:pPr>
      <w:r>
        <w:t>Workshops will serve as the core component, held twice monthly, each lasting about three hours—</w:t>
      </w:r>
      <w:proofErr w:type="spellStart"/>
      <w:r>
        <w:t>totaling</w:t>
      </w:r>
      <w:proofErr w:type="spellEnd"/>
      <w:r>
        <w:t xml:space="preserve"> 24 hours of in-person training. These sessions will include expert-led presentations, group discussions, and role-play exercises to simulate real-life safety scenarios. Video materials will be used during workshops to visually demonstrate safe and unsafe practices and will also be shared via WhatsApp for reinforcement between sessions. This mobile access allows participants to revisit content at their convenience. </w:t>
      </w:r>
    </w:p>
    <w:p w14:paraId="02FB0F47" w14:textId="77777777" w:rsidR="0058281A" w:rsidRDefault="0005410B">
      <w:pPr>
        <w:ind w:left="-5" w:right="4"/>
      </w:pPr>
      <w:r>
        <w:t xml:space="preserve">Posters and flyers will be displayed in high-traffic areas such as crew lounges, administrative offices, and docking zones, serving as daily visual reminders of key safety messages. These materials will be bilingual (English and French) to accommodate language diversity. For those unable to attend in person, digital sessions will be offered through mobile-friendly modules, ensuring continuity of learning. This multi-channel approach will help embed safety culture across the port environment. </w:t>
      </w:r>
    </w:p>
    <w:p w14:paraId="7485D3DB" w14:textId="77777777" w:rsidR="0058281A" w:rsidRDefault="0005410B">
      <w:pPr>
        <w:pStyle w:val="Heading1"/>
        <w:numPr>
          <w:ilvl w:val="0"/>
          <w:numId w:val="0"/>
        </w:numPr>
        <w:spacing w:after="1"/>
        <w:ind w:left="-5"/>
      </w:pPr>
      <w:r>
        <w:t xml:space="preserve">Table 4: Focus areas of the educational intervention  </w:t>
      </w:r>
    </w:p>
    <w:tbl>
      <w:tblPr>
        <w:tblStyle w:val="TableGrid"/>
        <w:tblW w:w="9782" w:type="dxa"/>
        <w:tblInd w:w="-14" w:type="dxa"/>
        <w:tblCellMar>
          <w:top w:w="5" w:type="dxa"/>
          <w:right w:w="115" w:type="dxa"/>
        </w:tblCellMar>
        <w:tblLook w:val="04A0" w:firstRow="1" w:lastRow="0" w:firstColumn="1" w:lastColumn="0" w:noHBand="0" w:noVBand="1"/>
      </w:tblPr>
      <w:tblGrid>
        <w:gridCol w:w="1553"/>
        <w:gridCol w:w="5017"/>
        <w:gridCol w:w="3212"/>
      </w:tblGrid>
      <w:tr w:rsidR="0058281A" w14:paraId="76334995" w14:textId="77777777">
        <w:trPr>
          <w:trHeight w:val="286"/>
        </w:trPr>
        <w:tc>
          <w:tcPr>
            <w:tcW w:w="1553" w:type="dxa"/>
            <w:tcBorders>
              <w:top w:val="single" w:sz="4" w:space="0" w:color="000000"/>
              <w:left w:val="nil"/>
              <w:bottom w:val="single" w:sz="4" w:space="0" w:color="000000"/>
              <w:right w:val="nil"/>
            </w:tcBorders>
          </w:tcPr>
          <w:p w14:paraId="4D1D7A30" w14:textId="77777777" w:rsidR="0058281A" w:rsidRDefault="0005410B">
            <w:pPr>
              <w:spacing w:after="0" w:line="259" w:lineRule="auto"/>
              <w:ind w:left="122" w:firstLine="0"/>
            </w:pPr>
            <w:r>
              <w:t xml:space="preserve">Workshop </w:t>
            </w:r>
          </w:p>
        </w:tc>
        <w:tc>
          <w:tcPr>
            <w:tcW w:w="5018" w:type="dxa"/>
            <w:tcBorders>
              <w:top w:val="single" w:sz="4" w:space="0" w:color="000000"/>
              <w:left w:val="nil"/>
              <w:bottom w:val="single" w:sz="4" w:space="0" w:color="000000"/>
              <w:right w:val="nil"/>
            </w:tcBorders>
          </w:tcPr>
          <w:p w14:paraId="7EE55721" w14:textId="77777777" w:rsidR="0058281A" w:rsidRDefault="0005410B">
            <w:pPr>
              <w:spacing w:after="0" w:line="259" w:lineRule="auto"/>
              <w:ind w:left="0" w:firstLine="0"/>
            </w:pPr>
            <w:r>
              <w:t xml:space="preserve">Focus Area </w:t>
            </w:r>
          </w:p>
        </w:tc>
        <w:tc>
          <w:tcPr>
            <w:tcW w:w="3212" w:type="dxa"/>
            <w:tcBorders>
              <w:top w:val="single" w:sz="4" w:space="0" w:color="000000"/>
              <w:left w:val="nil"/>
              <w:bottom w:val="single" w:sz="4" w:space="0" w:color="000000"/>
              <w:right w:val="nil"/>
            </w:tcBorders>
          </w:tcPr>
          <w:p w14:paraId="3F4C8912" w14:textId="77777777" w:rsidR="0058281A" w:rsidRDefault="0005410B">
            <w:pPr>
              <w:spacing w:after="0" w:line="259" w:lineRule="auto"/>
              <w:ind w:left="0" w:firstLine="0"/>
            </w:pPr>
            <w:r>
              <w:t xml:space="preserve">COM-B Domain </w:t>
            </w:r>
          </w:p>
        </w:tc>
      </w:tr>
      <w:tr w:rsidR="0058281A" w14:paraId="65CD1B4B" w14:textId="77777777">
        <w:trPr>
          <w:trHeight w:val="285"/>
        </w:trPr>
        <w:tc>
          <w:tcPr>
            <w:tcW w:w="1553" w:type="dxa"/>
            <w:tcBorders>
              <w:top w:val="single" w:sz="4" w:space="0" w:color="000000"/>
              <w:left w:val="nil"/>
              <w:bottom w:val="nil"/>
              <w:right w:val="nil"/>
            </w:tcBorders>
          </w:tcPr>
          <w:p w14:paraId="289AD55D" w14:textId="77777777" w:rsidR="0058281A" w:rsidRDefault="0005410B">
            <w:pPr>
              <w:spacing w:after="0" w:line="259" w:lineRule="auto"/>
              <w:ind w:left="122" w:firstLine="0"/>
            </w:pPr>
            <w:r>
              <w:t xml:space="preserve">W1 </w:t>
            </w:r>
          </w:p>
        </w:tc>
        <w:tc>
          <w:tcPr>
            <w:tcW w:w="5018" w:type="dxa"/>
            <w:tcBorders>
              <w:top w:val="single" w:sz="4" w:space="0" w:color="000000"/>
              <w:left w:val="nil"/>
              <w:bottom w:val="nil"/>
              <w:right w:val="nil"/>
            </w:tcBorders>
          </w:tcPr>
          <w:p w14:paraId="56F80A8E" w14:textId="77777777" w:rsidR="0058281A" w:rsidRDefault="0005410B">
            <w:pPr>
              <w:spacing w:after="0" w:line="259" w:lineRule="auto"/>
              <w:ind w:left="0" w:firstLine="0"/>
            </w:pPr>
            <w:r>
              <w:t xml:space="preserve">OHS Regulations &amp; Compliance (MLC, STCW)  </w:t>
            </w:r>
          </w:p>
        </w:tc>
        <w:tc>
          <w:tcPr>
            <w:tcW w:w="3212" w:type="dxa"/>
            <w:tcBorders>
              <w:top w:val="single" w:sz="4" w:space="0" w:color="000000"/>
              <w:left w:val="nil"/>
              <w:bottom w:val="nil"/>
              <w:right w:val="nil"/>
            </w:tcBorders>
          </w:tcPr>
          <w:p w14:paraId="04B9C527" w14:textId="77777777" w:rsidR="0058281A" w:rsidRDefault="0005410B">
            <w:pPr>
              <w:spacing w:after="0" w:line="259" w:lineRule="auto"/>
              <w:ind w:left="0" w:firstLine="0"/>
            </w:pPr>
            <w:r>
              <w:t xml:space="preserve">Capability </w:t>
            </w:r>
          </w:p>
        </w:tc>
      </w:tr>
      <w:tr w:rsidR="0058281A" w14:paraId="2B1FEFC4" w14:textId="77777777">
        <w:trPr>
          <w:trHeight w:val="276"/>
        </w:trPr>
        <w:tc>
          <w:tcPr>
            <w:tcW w:w="1553" w:type="dxa"/>
            <w:tcBorders>
              <w:top w:val="nil"/>
              <w:left w:val="nil"/>
              <w:bottom w:val="nil"/>
              <w:right w:val="nil"/>
            </w:tcBorders>
          </w:tcPr>
          <w:p w14:paraId="089CF9F2" w14:textId="77777777" w:rsidR="0058281A" w:rsidRDefault="0005410B">
            <w:pPr>
              <w:spacing w:after="0" w:line="259" w:lineRule="auto"/>
              <w:ind w:left="122" w:firstLine="0"/>
            </w:pPr>
            <w:r>
              <w:t xml:space="preserve">W2 </w:t>
            </w:r>
          </w:p>
        </w:tc>
        <w:tc>
          <w:tcPr>
            <w:tcW w:w="5018" w:type="dxa"/>
            <w:tcBorders>
              <w:top w:val="nil"/>
              <w:left w:val="nil"/>
              <w:bottom w:val="nil"/>
              <w:right w:val="nil"/>
            </w:tcBorders>
          </w:tcPr>
          <w:p w14:paraId="092D6965" w14:textId="77777777" w:rsidR="0058281A" w:rsidRDefault="0005410B">
            <w:pPr>
              <w:spacing w:after="0" w:line="259" w:lineRule="auto"/>
              <w:ind w:left="0" w:firstLine="0"/>
            </w:pPr>
            <w:r>
              <w:t xml:space="preserve">Identifying Hazards  </w:t>
            </w:r>
          </w:p>
        </w:tc>
        <w:tc>
          <w:tcPr>
            <w:tcW w:w="3212" w:type="dxa"/>
            <w:tcBorders>
              <w:top w:val="nil"/>
              <w:left w:val="nil"/>
              <w:bottom w:val="nil"/>
              <w:right w:val="nil"/>
            </w:tcBorders>
          </w:tcPr>
          <w:p w14:paraId="2E310F2D" w14:textId="77777777" w:rsidR="0058281A" w:rsidRDefault="0005410B">
            <w:pPr>
              <w:spacing w:after="0" w:line="259" w:lineRule="auto"/>
              <w:ind w:left="0" w:firstLine="0"/>
            </w:pPr>
            <w:r>
              <w:t xml:space="preserve">Capability/Opportunity </w:t>
            </w:r>
          </w:p>
        </w:tc>
      </w:tr>
      <w:tr w:rsidR="0058281A" w14:paraId="3E09EEE9" w14:textId="77777777">
        <w:trPr>
          <w:trHeight w:val="276"/>
        </w:trPr>
        <w:tc>
          <w:tcPr>
            <w:tcW w:w="1553" w:type="dxa"/>
            <w:tcBorders>
              <w:top w:val="nil"/>
              <w:left w:val="nil"/>
              <w:bottom w:val="nil"/>
              <w:right w:val="nil"/>
            </w:tcBorders>
          </w:tcPr>
          <w:p w14:paraId="033DF172" w14:textId="77777777" w:rsidR="0058281A" w:rsidRDefault="0005410B">
            <w:pPr>
              <w:spacing w:after="0" w:line="259" w:lineRule="auto"/>
              <w:ind w:left="122" w:firstLine="0"/>
            </w:pPr>
            <w:r>
              <w:t xml:space="preserve">W3 </w:t>
            </w:r>
          </w:p>
        </w:tc>
        <w:tc>
          <w:tcPr>
            <w:tcW w:w="5018" w:type="dxa"/>
            <w:tcBorders>
              <w:top w:val="nil"/>
              <w:left w:val="nil"/>
              <w:bottom w:val="nil"/>
              <w:right w:val="nil"/>
            </w:tcBorders>
          </w:tcPr>
          <w:p w14:paraId="7A646193" w14:textId="77777777" w:rsidR="0058281A" w:rsidRDefault="0005410B">
            <w:pPr>
              <w:spacing w:after="0" w:line="259" w:lineRule="auto"/>
              <w:ind w:left="0" w:firstLine="0"/>
            </w:pPr>
            <w:r>
              <w:t xml:space="preserve">Risk Management Methods  </w:t>
            </w:r>
          </w:p>
        </w:tc>
        <w:tc>
          <w:tcPr>
            <w:tcW w:w="3212" w:type="dxa"/>
            <w:tcBorders>
              <w:top w:val="nil"/>
              <w:left w:val="nil"/>
              <w:bottom w:val="nil"/>
              <w:right w:val="nil"/>
            </w:tcBorders>
          </w:tcPr>
          <w:p w14:paraId="78004953" w14:textId="77777777" w:rsidR="0058281A" w:rsidRDefault="0005410B">
            <w:pPr>
              <w:spacing w:after="0" w:line="259" w:lineRule="auto"/>
              <w:ind w:left="0" w:firstLine="0"/>
            </w:pPr>
            <w:r>
              <w:t xml:space="preserve">Motivation </w:t>
            </w:r>
          </w:p>
        </w:tc>
      </w:tr>
      <w:tr w:rsidR="0058281A" w14:paraId="72513175" w14:textId="77777777">
        <w:trPr>
          <w:trHeight w:val="276"/>
        </w:trPr>
        <w:tc>
          <w:tcPr>
            <w:tcW w:w="1553" w:type="dxa"/>
            <w:tcBorders>
              <w:top w:val="nil"/>
              <w:left w:val="nil"/>
              <w:bottom w:val="nil"/>
              <w:right w:val="nil"/>
            </w:tcBorders>
          </w:tcPr>
          <w:p w14:paraId="1E1F40EE" w14:textId="77777777" w:rsidR="0058281A" w:rsidRDefault="0005410B">
            <w:pPr>
              <w:spacing w:after="0" w:line="259" w:lineRule="auto"/>
              <w:ind w:left="122" w:firstLine="0"/>
            </w:pPr>
            <w:r>
              <w:t xml:space="preserve">W4 </w:t>
            </w:r>
          </w:p>
        </w:tc>
        <w:tc>
          <w:tcPr>
            <w:tcW w:w="5018" w:type="dxa"/>
            <w:tcBorders>
              <w:top w:val="nil"/>
              <w:left w:val="nil"/>
              <w:bottom w:val="nil"/>
              <w:right w:val="nil"/>
            </w:tcBorders>
          </w:tcPr>
          <w:p w14:paraId="300AAD99" w14:textId="77777777" w:rsidR="0058281A" w:rsidRDefault="0005410B">
            <w:pPr>
              <w:spacing w:after="0" w:line="259" w:lineRule="auto"/>
              <w:ind w:left="0" w:firstLine="0"/>
            </w:pPr>
            <w:r>
              <w:t xml:space="preserve">Accident Response Procedures  </w:t>
            </w:r>
          </w:p>
        </w:tc>
        <w:tc>
          <w:tcPr>
            <w:tcW w:w="3212" w:type="dxa"/>
            <w:tcBorders>
              <w:top w:val="nil"/>
              <w:left w:val="nil"/>
              <w:bottom w:val="nil"/>
              <w:right w:val="nil"/>
            </w:tcBorders>
          </w:tcPr>
          <w:p w14:paraId="24B296D5" w14:textId="77777777" w:rsidR="0058281A" w:rsidRDefault="0005410B">
            <w:pPr>
              <w:spacing w:after="0" w:line="259" w:lineRule="auto"/>
              <w:ind w:left="0" w:firstLine="0"/>
            </w:pPr>
            <w:r>
              <w:t xml:space="preserve">Opportunity </w:t>
            </w:r>
          </w:p>
        </w:tc>
      </w:tr>
      <w:tr w:rsidR="0058281A" w14:paraId="3516BEDB" w14:textId="77777777">
        <w:trPr>
          <w:trHeight w:val="276"/>
        </w:trPr>
        <w:tc>
          <w:tcPr>
            <w:tcW w:w="1553" w:type="dxa"/>
            <w:tcBorders>
              <w:top w:val="nil"/>
              <w:left w:val="nil"/>
              <w:bottom w:val="nil"/>
              <w:right w:val="nil"/>
            </w:tcBorders>
          </w:tcPr>
          <w:p w14:paraId="2FE34BAB" w14:textId="77777777" w:rsidR="0058281A" w:rsidRDefault="0005410B">
            <w:pPr>
              <w:spacing w:after="0" w:line="259" w:lineRule="auto"/>
              <w:ind w:left="122" w:firstLine="0"/>
            </w:pPr>
            <w:r>
              <w:t xml:space="preserve">W5 </w:t>
            </w:r>
          </w:p>
        </w:tc>
        <w:tc>
          <w:tcPr>
            <w:tcW w:w="5018" w:type="dxa"/>
            <w:tcBorders>
              <w:top w:val="nil"/>
              <w:left w:val="nil"/>
              <w:bottom w:val="nil"/>
              <w:right w:val="nil"/>
            </w:tcBorders>
          </w:tcPr>
          <w:p w14:paraId="3DDAA3D5" w14:textId="77777777" w:rsidR="0058281A" w:rsidRDefault="0005410B">
            <w:pPr>
              <w:spacing w:after="0" w:line="259" w:lineRule="auto"/>
              <w:ind w:left="0" w:firstLine="0"/>
            </w:pPr>
            <w:r>
              <w:t xml:space="preserve">COVID-19 &amp; Emerging Diseases  </w:t>
            </w:r>
          </w:p>
        </w:tc>
        <w:tc>
          <w:tcPr>
            <w:tcW w:w="3212" w:type="dxa"/>
            <w:tcBorders>
              <w:top w:val="nil"/>
              <w:left w:val="nil"/>
              <w:bottom w:val="nil"/>
              <w:right w:val="nil"/>
            </w:tcBorders>
          </w:tcPr>
          <w:p w14:paraId="07CBEB83" w14:textId="77777777" w:rsidR="0058281A" w:rsidRDefault="0005410B">
            <w:pPr>
              <w:spacing w:after="0" w:line="259" w:lineRule="auto"/>
              <w:ind w:left="0" w:firstLine="0"/>
            </w:pPr>
            <w:r>
              <w:t xml:space="preserve">Motivation </w:t>
            </w:r>
          </w:p>
        </w:tc>
      </w:tr>
      <w:tr w:rsidR="0058281A" w14:paraId="77694CB6" w14:textId="77777777">
        <w:trPr>
          <w:trHeight w:val="277"/>
        </w:trPr>
        <w:tc>
          <w:tcPr>
            <w:tcW w:w="1553" w:type="dxa"/>
            <w:tcBorders>
              <w:top w:val="nil"/>
              <w:left w:val="nil"/>
              <w:bottom w:val="single" w:sz="4" w:space="0" w:color="000000"/>
              <w:right w:val="nil"/>
            </w:tcBorders>
          </w:tcPr>
          <w:p w14:paraId="44A4AF3A" w14:textId="77777777" w:rsidR="0058281A" w:rsidRDefault="0005410B">
            <w:pPr>
              <w:spacing w:after="0" w:line="259" w:lineRule="auto"/>
              <w:ind w:left="122" w:firstLine="0"/>
            </w:pPr>
            <w:r>
              <w:t xml:space="preserve">W6 </w:t>
            </w:r>
          </w:p>
        </w:tc>
        <w:tc>
          <w:tcPr>
            <w:tcW w:w="5018" w:type="dxa"/>
            <w:tcBorders>
              <w:top w:val="nil"/>
              <w:left w:val="nil"/>
              <w:bottom w:val="single" w:sz="4" w:space="0" w:color="000000"/>
              <w:right w:val="nil"/>
            </w:tcBorders>
          </w:tcPr>
          <w:p w14:paraId="7CE30B79" w14:textId="77777777" w:rsidR="0058281A" w:rsidRDefault="0005410B">
            <w:pPr>
              <w:spacing w:after="0" w:line="259" w:lineRule="auto"/>
              <w:ind w:left="0" w:firstLine="0"/>
            </w:pPr>
            <w:r>
              <w:t xml:space="preserve">Review &amp; simulation  </w:t>
            </w:r>
          </w:p>
        </w:tc>
        <w:tc>
          <w:tcPr>
            <w:tcW w:w="3212" w:type="dxa"/>
            <w:tcBorders>
              <w:top w:val="nil"/>
              <w:left w:val="nil"/>
              <w:bottom w:val="single" w:sz="4" w:space="0" w:color="000000"/>
              <w:right w:val="nil"/>
            </w:tcBorders>
          </w:tcPr>
          <w:p w14:paraId="2D3C2522" w14:textId="77777777" w:rsidR="0058281A" w:rsidRDefault="0005410B">
            <w:pPr>
              <w:spacing w:after="0" w:line="259" w:lineRule="auto"/>
              <w:ind w:left="0" w:firstLine="0"/>
            </w:pPr>
            <w:r>
              <w:t xml:space="preserve">compatibility and motivation  </w:t>
            </w:r>
          </w:p>
        </w:tc>
      </w:tr>
    </w:tbl>
    <w:p w14:paraId="1DB0C746" w14:textId="77777777" w:rsidR="0058281A" w:rsidRDefault="0005410B">
      <w:pPr>
        <w:ind w:left="-5" w:right="4"/>
      </w:pPr>
      <w:r>
        <w:t>All sessions will incorporate participatory learning and skills practice.</w:t>
      </w:r>
      <w:r>
        <w:rPr>
          <w:b/>
        </w:rPr>
        <w:t xml:space="preserve"> </w:t>
      </w:r>
    </w:p>
    <w:p w14:paraId="21D9844D" w14:textId="77777777" w:rsidR="0058281A" w:rsidRDefault="0005410B">
      <w:pPr>
        <w:pStyle w:val="Heading2"/>
        <w:ind w:left="-5"/>
      </w:pPr>
      <w:r>
        <w:lastRenderedPageBreak/>
        <w:t xml:space="preserve">3.6 Data Collection Tools </w:t>
      </w:r>
    </w:p>
    <w:p w14:paraId="30B53678" w14:textId="77777777" w:rsidR="0058281A" w:rsidRDefault="0005410B">
      <w:pPr>
        <w:ind w:left="-5" w:right="4"/>
      </w:pPr>
      <w:r>
        <w:t xml:space="preserve">A combination of quantitative and qualitative data collection tools will be employed, aligned with the COM-B </w:t>
      </w:r>
      <w:proofErr w:type="spellStart"/>
      <w:r>
        <w:t>behavioral</w:t>
      </w:r>
      <w:proofErr w:type="spellEnd"/>
      <w:r>
        <w:t xml:space="preserve"> framework will be used to assess the impact of the OHS training intervention on seafarers’ knowledge, attitudes, and </w:t>
      </w:r>
      <w:proofErr w:type="spellStart"/>
      <w:r>
        <w:t>behaviors</w:t>
      </w:r>
      <w:proofErr w:type="spellEnd"/>
      <w:r>
        <w:t xml:space="preserve">. These tools include: </w:t>
      </w:r>
      <w:r>
        <w:rPr>
          <w:b/>
        </w:rPr>
        <w:t xml:space="preserve"> </w:t>
      </w:r>
    </w:p>
    <w:p w14:paraId="32F771C9" w14:textId="77777777" w:rsidR="0058281A" w:rsidRDefault="0005410B">
      <w:pPr>
        <w:numPr>
          <w:ilvl w:val="0"/>
          <w:numId w:val="1"/>
        </w:numPr>
        <w:spacing w:after="10"/>
        <w:ind w:right="4" w:hanging="360"/>
      </w:pPr>
      <w:r>
        <w:t xml:space="preserve">Pre/post training questionnaires </w:t>
      </w:r>
    </w:p>
    <w:p w14:paraId="59D4FDD7" w14:textId="77777777" w:rsidR="0058281A" w:rsidRDefault="0005410B">
      <w:pPr>
        <w:numPr>
          <w:ilvl w:val="0"/>
          <w:numId w:val="1"/>
        </w:numPr>
        <w:spacing w:after="10"/>
        <w:ind w:right="4" w:hanging="360"/>
      </w:pPr>
      <w:r>
        <w:t xml:space="preserve">Semi-structured IDI and FGD guides </w:t>
      </w:r>
    </w:p>
    <w:p w14:paraId="5B1B086E" w14:textId="77777777" w:rsidR="0058281A" w:rsidRDefault="0005410B">
      <w:pPr>
        <w:numPr>
          <w:ilvl w:val="0"/>
          <w:numId w:val="1"/>
        </w:numPr>
        <w:spacing w:after="10"/>
        <w:ind w:right="4" w:hanging="360"/>
      </w:pPr>
      <w:r>
        <w:t xml:space="preserve">OHS observation checklist </w:t>
      </w:r>
    </w:p>
    <w:p w14:paraId="371F504F" w14:textId="77777777" w:rsidR="0058281A" w:rsidRDefault="0005410B">
      <w:pPr>
        <w:numPr>
          <w:ilvl w:val="0"/>
          <w:numId w:val="1"/>
        </w:numPr>
        <w:ind w:right="4" w:hanging="360"/>
      </w:pPr>
      <w:r>
        <w:t xml:space="preserve">Training logs and WhatsApp engagement records </w:t>
      </w:r>
    </w:p>
    <w:p w14:paraId="4758B333" w14:textId="77777777" w:rsidR="0058281A" w:rsidRDefault="0005410B">
      <w:pPr>
        <w:pStyle w:val="Heading2"/>
        <w:ind w:left="-5"/>
      </w:pPr>
      <w:r>
        <w:t xml:space="preserve">3.7 Data Management and Analysis  </w:t>
      </w:r>
    </w:p>
    <w:p w14:paraId="30DF96D3" w14:textId="77777777" w:rsidR="0058281A" w:rsidRDefault="0005410B">
      <w:pPr>
        <w:ind w:left="-5" w:right="4"/>
      </w:pPr>
      <w:r>
        <w:t xml:space="preserve">Data analysis for the study will involve both quantitative and qualitative approaches. Quantitative data will be processed using SPSS version 26, applying descriptive statistics to summarize participant characteristics and key variables. Inferential tests such as t-tests and logistic regression will be used to examine relationships and measure changes in outcome variables—including knowledge, attitudes, practices, personal protective equipment (PPE) usage, and safety communication—between baseline and end line. Statistical significance will be determined at a threshold of p &lt; 0.05. For qualitative data, thematic coding will be conducted using </w:t>
      </w:r>
      <w:proofErr w:type="spellStart"/>
      <w:r>
        <w:t>ATLAS.ti</w:t>
      </w:r>
      <w:proofErr w:type="spellEnd"/>
      <w:r>
        <w:t xml:space="preserve">, guided by the COM-B model (Capability, Opportunity, Motivation–Behaviour) to explore underlying behavioural drivers and contextual factors influencing occupational health and safety practices. This mixed-methods approach will provide a comprehensive understanding of the intervention’s impact. </w:t>
      </w:r>
    </w:p>
    <w:p w14:paraId="0CA9FAB1" w14:textId="77777777" w:rsidR="0058281A" w:rsidRDefault="0005410B">
      <w:pPr>
        <w:pStyle w:val="Heading2"/>
        <w:ind w:left="-5"/>
      </w:pPr>
      <w:r>
        <w:t xml:space="preserve">3.8 Ethical Considerations </w:t>
      </w:r>
    </w:p>
    <w:p w14:paraId="70030A33" w14:textId="77777777" w:rsidR="0058281A" w:rsidRDefault="0005410B">
      <w:pPr>
        <w:spacing w:after="20"/>
        <w:ind w:left="-5" w:right="4"/>
      </w:pPr>
      <w:r>
        <w:t xml:space="preserve">Ethical clearance will be obtained from the University of </w:t>
      </w:r>
      <w:proofErr w:type="spellStart"/>
      <w:r>
        <w:t>Buea</w:t>
      </w:r>
      <w:proofErr w:type="spellEnd"/>
      <w:r>
        <w:t xml:space="preserve"> IRB, the CSIR (Council</w:t>
      </w:r>
      <w:r>
        <w:rPr>
          <w:rFonts w:ascii="Calibri" w:eastAsia="Calibri" w:hAnsi="Calibri" w:cs="Calibri"/>
          <w:b/>
          <w:sz w:val="22"/>
        </w:rPr>
        <w:t xml:space="preserve"> </w:t>
      </w:r>
      <w:r>
        <w:rPr>
          <w:sz w:val="22"/>
        </w:rPr>
        <w:t xml:space="preserve">for </w:t>
      </w:r>
    </w:p>
    <w:p w14:paraId="3FAB45AE" w14:textId="77777777" w:rsidR="0058281A" w:rsidRDefault="0005410B" w:rsidP="00746AF3">
      <w:pPr>
        <w:ind w:left="-5" w:right="4"/>
      </w:pPr>
      <w:r>
        <w:rPr>
          <w:sz w:val="22"/>
        </w:rPr>
        <w:t>Scientific and Industrial Research</w:t>
      </w:r>
      <w:r>
        <w:t xml:space="preserve">) Institutional Ethical Review Board, and the Nigerian </w:t>
      </w:r>
      <w:proofErr w:type="spellStart"/>
      <w:r>
        <w:t>Zankli</w:t>
      </w:r>
      <w:proofErr w:type="spellEnd"/>
      <w:r>
        <w:t xml:space="preserve"> Institute. All participants will provide written informed consent. To ensure confidentiality and anonymity, participants will be assigned unique codes, and no personal identifiers will be recorded. All data will be securely stored in password-protected files, accessible only to the research team. Responses will be presented in aggregate form, and direct quotes will be anonymized. Written informed consent will be obtained, and participants will be informed of their right to withdraw at any time. Additionally, formal permission will be sought from the leadership of Douala, Warri, and Tema ports before commencing data collection. This will include submitting the study protocol and securing administrative clearance to access port facilities and personnel. </w:t>
      </w:r>
    </w:p>
    <w:p w14:paraId="289D077E" w14:textId="7CAF82E1" w:rsidR="0058281A" w:rsidRDefault="0005410B">
      <w:pPr>
        <w:spacing w:after="156" w:line="259" w:lineRule="auto"/>
        <w:ind w:left="0" w:firstLine="0"/>
      </w:pPr>
      <w:r>
        <w:t xml:space="preserve"> </w:t>
      </w:r>
    </w:p>
    <w:p w14:paraId="743CE832" w14:textId="5FA4CD1C" w:rsidR="00D71366" w:rsidRDefault="00D71366">
      <w:pPr>
        <w:spacing w:after="156" w:line="259" w:lineRule="auto"/>
        <w:ind w:left="0" w:firstLine="0"/>
      </w:pPr>
    </w:p>
    <w:p w14:paraId="505D8A41" w14:textId="2F8DCCB6" w:rsidR="00D71366" w:rsidRDefault="00D71366">
      <w:pPr>
        <w:spacing w:after="156" w:line="259" w:lineRule="auto"/>
        <w:ind w:left="0" w:firstLine="0"/>
      </w:pPr>
    </w:p>
    <w:p w14:paraId="6DF32793" w14:textId="24421ADB" w:rsidR="00D71366" w:rsidRDefault="00D71366">
      <w:pPr>
        <w:spacing w:after="156" w:line="259" w:lineRule="auto"/>
        <w:ind w:left="0" w:firstLine="0"/>
      </w:pPr>
    </w:p>
    <w:p w14:paraId="170CFF21" w14:textId="68A457F9" w:rsidR="00D71366" w:rsidRDefault="00D71366">
      <w:pPr>
        <w:spacing w:after="156" w:line="259" w:lineRule="auto"/>
        <w:ind w:left="0" w:firstLine="0"/>
      </w:pPr>
    </w:p>
    <w:p w14:paraId="03CFD423" w14:textId="5709ECAC" w:rsidR="00D71366" w:rsidRDefault="00D71366">
      <w:pPr>
        <w:spacing w:after="156" w:line="259" w:lineRule="auto"/>
        <w:ind w:left="0" w:firstLine="0"/>
      </w:pPr>
    </w:p>
    <w:p w14:paraId="32C977E6" w14:textId="77777777" w:rsidR="00D71366" w:rsidRDefault="00D71366">
      <w:pPr>
        <w:spacing w:after="156" w:line="259" w:lineRule="auto"/>
        <w:ind w:left="0" w:firstLine="0"/>
      </w:pPr>
    </w:p>
    <w:p w14:paraId="2B353A1A" w14:textId="77777777" w:rsidR="0058281A" w:rsidRDefault="0005410B">
      <w:pPr>
        <w:ind w:left="-5" w:right="4"/>
      </w:pPr>
      <w:r>
        <w:lastRenderedPageBreak/>
        <w:t xml:space="preserve">                                        Eligibility Screening </w:t>
      </w:r>
    </w:p>
    <w:p w14:paraId="3402BC4E" w14:textId="77777777" w:rsidR="0058281A" w:rsidRPr="00D71366" w:rsidRDefault="0005410B">
      <w:pPr>
        <w:spacing w:after="160" w:line="258" w:lineRule="auto"/>
        <w:ind w:left="-5"/>
        <w:rPr>
          <w:b/>
        </w:rPr>
      </w:pPr>
      <w:r w:rsidRPr="00D71366">
        <w:rPr>
          <w:b/>
        </w:rPr>
        <w:t xml:space="preserve">                                                     ↓ </w:t>
      </w:r>
    </w:p>
    <w:p w14:paraId="67FED367" w14:textId="77777777" w:rsidR="0058281A" w:rsidRDefault="0005410B">
      <w:pPr>
        <w:spacing w:after="208"/>
        <w:ind w:left="-5" w:right="4"/>
      </w:pPr>
      <w:r>
        <w:t xml:space="preserve">                              Randomized Ship Allocation </w:t>
      </w:r>
    </w:p>
    <w:p w14:paraId="3600F2CE" w14:textId="77777777" w:rsidR="0058281A" w:rsidRDefault="0005410B">
      <w:pPr>
        <w:spacing w:after="131" w:line="259" w:lineRule="auto"/>
        <w:ind w:left="0" w:firstLine="0"/>
      </w:pPr>
      <w:r>
        <w:rPr>
          <w:b/>
        </w:rPr>
        <w:t xml:space="preserve">         </w:t>
      </w:r>
      <w:r>
        <w:rPr>
          <w:rFonts w:ascii="Segoe UI Emoji" w:eastAsia="Segoe UI Emoji" w:hAnsi="Segoe UI Emoji" w:cs="Segoe UI Emoji"/>
        </w:rPr>
        <w:t>↙</w:t>
      </w:r>
      <w:r>
        <w:rPr>
          <w:b/>
        </w:rPr>
        <w:t xml:space="preserve">                                                                            </w:t>
      </w:r>
      <w:r>
        <w:rPr>
          <w:rFonts w:ascii="Segoe UI Emoji" w:eastAsia="Segoe UI Emoji" w:hAnsi="Segoe UI Emoji" w:cs="Segoe UI Emoji"/>
        </w:rPr>
        <w:t>↘</w:t>
      </w:r>
      <w:r>
        <w:rPr>
          <w:b/>
        </w:rPr>
        <w:t xml:space="preserve"> </w:t>
      </w:r>
    </w:p>
    <w:p w14:paraId="5D6FA140" w14:textId="77777777" w:rsidR="0058281A" w:rsidRDefault="0005410B">
      <w:pPr>
        <w:spacing w:after="0" w:line="396" w:lineRule="auto"/>
        <w:ind w:left="-5" w:right="1624"/>
      </w:pPr>
      <w:r>
        <w:t xml:space="preserve">  Control Group                                                                Intervention Group </w:t>
      </w:r>
      <w:r>
        <w:rPr>
          <w:b/>
        </w:rPr>
        <w:t xml:space="preserve">    n = 59                                                                           n = 60 </w:t>
      </w:r>
    </w:p>
    <w:p w14:paraId="1E89FAFB" w14:textId="750D007A" w:rsidR="0058281A" w:rsidRDefault="0005410B">
      <w:pPr>
        <w:ind w:left="-5" w:right="4"/>
      </w:pPr>
      <w:r>
        <w:t xml:space="preserve"> (No </w:t>
      </w:r>
      <w:proofErr w:type="gramStart"/>
      <w:r w:rsidR="00D71366">
        <w:t xml:space="preserve">training)  </w:t>
      </w:r>
      <w:r>
        <w:t xml:space="preserve"> </w:t>
      </w:r>
      <w:proofErr w:type="gramEnd"/>
      <w:r>
        <w:t xml:space="preserve">                                                (6 COM-B-based OHS workshops) </w:t>
      </w:r>
    </w:p>
    <w:p w14:paraId="2E6E23C9" w14:textId="77777777" w:rsidR="0058281A" w:rsidRDefault="0005410B">
      <w:pPr>
        <w:spacing w:after="160" w:line="258" w:lineRule="auto"/>
        <w:ind w:left="-5"/>
      </w:pPr>
      <w:r>
        <w:rPr>
          <w:b/>
        </w:rPr>
        <w:t xml:space="preserve">         ↓                                                                                  ↓ </w:t>
      </w:r>
    </w:p>
    <w:p w14:paraId="525F9D20" w14:textId="77777777" w:rsidR="0058281A" w:rsidRDefault="0005410B">
      <w:pPr>
        <w:ind w:left="-5" w:right="4"/>
      </w:pPr>
      <w:r>
        <w:t xml:space="preserve">   Baseline Survey                                                        Baseline Survey </w:t>
      </w:r>
    </w:p>
    <w:p w14:paraId="391BBCED" w14:textId="77777777" w:rsidR="0058281A" w:rsidRDefault="0005410B">
      <w:pPr>
        <w:spacing w:after="160" w:line="258" w:lineRule="auto"/>
        <w:ind w:left="-5"/>
      </w:pPr>
      <w:r>
        <w:t xml:space="preserve">                   </w:t>
      </w:r>
      <w:r>
        <w:rPr>
          <w:b/>
        </w:rPr>
        <w:t xml:space="preserve">↓                                                                   ↓ </w:t>
      </w:r>
    </w:p>
    <w:p w14:paraId="782BA3F0" w14:textId="77777777" w:rsidR="0058281A" w:rsidRDefault="0005410B">
      <w:pPr>
        <w:ind w:left="-5" w:right="4"/>
      </w:pPr>
      <w:r>
        <w:t xml:space="preserve">                     Routine Work: Posters, Messaging, Drills </w:t>
      </w:r>
    </w:p>
    <w:p w14:paraId="3D3D3835" w14:textId="77777777" w:rsidR="0058281A" w:rsidRDefault="0005410B">
      <w:pPr>
        <w:spacing w:after="160" w:line="258" w:lineRule="auto"/>
        <w:ind w:left="-5"/>
      </w:pPr>
      <w:r>
        <w:rPr>
          <w:b/>
        </w:rPr>
        <w:t xml:space="preserve">                      ↓                                                              ↓ </w:t>
      </w:r>
    </w:p>
    <w:p w14:paraId="70A21335" w14:textId="77777777" w:rsidR="0058281A" w:rsidRDefault="0005410B">
      <w:pPr>
        <w:ind w:left="-5" w:right="4"/>
      </w:pPr>
      <w:r>
        <w:t xml:space="preserve">                     Post-Intervention Survey and Observation </w:t>
      </w:r>
    </w:p>
    <w:p w14:paraId="14C7BCD0" w14:textId="77777777" w:rsidR="0058281A" w:rsidRDefault="0005410B">
      <w:pPr>
        <w:tabs>
          <w:tab w:val="center" w:pos="2161"/>
          <w:tab w:val="center" w:pos="2881"/>
          <w:tab w:val="center" w:pos="4051"/>
        </w:tabs>
        <w:spacing w:after="160" w:line="258" w:lineRule="auto"/>
        <w:ind w:left="-15" w:firstLine="0"/>
      </w:pPr>
      <w:r>
        <w:rPr>
          <w:b/>
        </w:rPr>
        <w:t xml:space="preserve">                       ↓ </w:t>
      </w:r>
      <w:r>
        <w:rPr>
          <w:b/>
        </w:rPr>
        <w:tab/>
        <w:t xml:space="preserve"> </w:t>
      </w:r>
      <w:r>
        <w:rPr>
          <w:b/>
        </w:rPr>
        <w:tab/>
        <w:t xml:space="preserve"> </w:t>
      </w:r>
      <w:r>
        <w:rPr>
          <w:b/>
        </w:rPr>
        <w:tab/>
        <w:t xml:space="preserve">             ↓</w:t>
      </w:r>
      <w:r>
        <w:t xml:space="preserve">  </w:t>
      </w:r>
    </w:p>
    <w:p w14:paraId="4DA3220C" w14:textId="77777777" w:rsidR="0058281A" w:rsidRDefault="0005410B">
      <w:pPr>
        <w:ind w:left="-5" w:right="4"/>
      </w:pPr>
      <w:r>
        <w:t xml:space="preserve">                  COM-B-Guided Behavioural Analysis</w:t>
      </w:r>
      <w:r>
        <w:rPr>
          <w:rFonts w:ascii="Calibri" w:eastAsia="Calibri" w:hAnsi="Calibri" w:cs="Calibri"/>
          <w:sz w:val="22"/>
        </w:rPr>
        <w:t xml:space="preserve"> </w:t>
      </w:r>
    </w:p>
    <w:p w14:paraId="065DFFD4" w14:textId="77777777" w:rsidR="0058281A" w:rsidRDefault="0005410B">
      <w:pPr>
        <w:spacing w:after="175" w:line="259" w:lineRule="auto"/>
        <w:ind w:left="0" w:firstLine="0"/>
      </w:pPr>
      <w:r>
        <w:rPr>
          <w:rFonts w:ascii="Calibri" w:eastAsia="Calibri" w:hAnsi="Calibri" w:cs="Calibri"/>
          <w:sz w:val="22"/>
        </w:rPr>
        <w:t xml:space="preserve"> </w:t>
      </w:r>
    </w:p>
    <w:p w14:paraId="5F2C16D8" w14:textId="77777777" w:rsidR="0058281A" w:rsidRDefault="0005410B">
      <w:pPr>
        <w:pStyle w:val="Heading1"/>
        <w:numPr>
          <w:ilvl w:val="0"/>
          <w:numId w:val="0"/>
        </w:numPr>
        <w:ind w:left="-5"/>
      </w:pPr>
      <w:r>
        <w:t xml:space="preserve">Figure 1. Flowchart showing the study methodology  </w:t>
      </w:r>
    </w:p>
    <w:p w14:paraId="39754A77" w14:textId="77777777" w:rsidR="0058281A" w:rsidRDefault="0005410B">
      <w:pPr>
        <w:spacing w:after="279" w:line="258" w:lineRule="auto"/>
        <w:ind w:left="-5"/>
      </w:pPr>
      <w:r>
        <w:rPr>
          <w:b/>
        </w:rPr>
        <w:t xml:space="preserve">3.9 Expected Outcomes </w:t>
      </w:r>
    </w:p>
    <w:p w14:paraId="63B68395" w14:textId="77777777" w:rsidR="0058281A" w:rsidRDefault="0005410B">
      <w:pPr>
        <w:pStyle w:val="Heading1"/>
        <w:spacing w:after="258"/>
        <w:ind w:left="225" w:hanging="240"/>
      </w:pPr>
      <w:r>
        <w:t xml:space="preserve">Behavioural Intelligence in Maritime Safety </w:t>
      </w:r>
    </w:p>
    <w:p w14:paraId="6BE2C87D" w14:textId="77777777" w:rsidR="0058281A" w:rsidRDefault="0005410B">
      <w:pPr>
        <w:spacing w:after="267"/>
        <w:ind w:left="-5" w:right="4"/>
      </w:pPr>
      <w:r>
        <w:t xml:space="preserve">The intervention will apply the COM-B model (Capability, Opportunity, Motivation) to assess and influence safety behaviours among seafarers and port workers. By mapping behavioural determinants to specific roles, the study will enable targeted, evidence-based changes in safety practices. </w:t>
      </w:r>
    </w:p>
    <w:p w14:paraId="763249AF" w14:textId="77777777" w:rsidR="0058281A" w:rsidRDefault="0005410B">
      <w:pPr>
        <w:spacing w:after="269"/>
        <w:ind w:left="-5" w:right="4"/>
      </w:pPr>
      <w:r>
        <w:t xml:space="preserve">This will mark the first known application of COM-B in African maritime occupational health, offering a replicable model for other high-risk sectors. </w:t>
      </w:r>
    </w:p>
    <w:p w14:paraId="0241BC88" w14:textId="77777777" w:rsidR="0058281A" w:rsidRDefault="0005410B">
      <w:pPr>
        <w:pStyle w:val="Heading1"/>
        <w:spacing w:after="258"/>
        <w:ind w:left="225" w:hanging="240"/>
      </w:pPr>
      <w:r>
        <w:t xml:space="preserve">Bilingual, Role-Specific Assessment Tools </w:t>
      </w:r>
    </w:p>
    <w:p w14:paraId="2EEA6DEC" w14:textId="77777777" w:rsidR="0058281A" w:rsidRDefault="0005410B">
      <w:pPr>
        <w:spacing w:after="269"/>
        <w:ind w:left="-5" w:right="4"/>
      </w:pPr>
      <w:r>
        <w:t xml:space="preserve">The study will feature a bilingual (English/French) questionnaire and training manual tailored to the linguistic and operational diversity of seaport workers. This will ensure accessibility, comprehension, and engagement across roles—especially among populations often excluded from standardized safety programs. </w:t>
      </w:r>
    </w:p>
    <w:p w14:paraId="7287B945" w14:textId="77777777" w:rsidR="0058281A" w:rsidRDefault="0005410B">
      <w:pPr>
        <w:spacing w:after="267"/>
        <w:ind w:left="-5" w:right="4"/>
      </w:pPr>
      <w:r>
        <w:t xml:space="preserve">The bilingual design will enhance inclusivity and set a precedent for culturally sensitive occupational health research. </w:t>
      </w:r>
    </w:p>
    <w:p w14:paraId="5BDB884C" w14:textId="77777777" w:rsidR="0058281A" w:rsidRDefault="0005410B">
      <w:pPr>
        <w:pStyle w:val="Heading1"/>
        <w:spacing w:after="258"/>
        <w:ind w:left="225" w:hanging="240"/>
      </w:pPr>
      <w:r>
        <w:lastRenderedPageBreak/>
        <w:t xml:space="preserve">Structured </w:t>
      </w:r>
      <w:proofErr w:type="spellStart"/>
      <w:r>
        <w:t>Behavioral</w:t>
      </w:r>
      <w:proofErr w:type="spellEnd"/>
      <w:r>
        <w:t xml:space="preserve"> Profiling for Intervention Design </w:t>
      </w:r>
    </w:p>
    <w:p w14:paraId="1008ABBF" w14:textId="77777777" w:rsidR="0058281A" w:rsidRDefault="0005410B">
      <w:pPr>
        <w:spacing w:after="269"/>
        <w:ind w:left="-5" w:right="4"/>
      </w:pPr>
      <w:r>
        <w:t xml:space="preserve">Rather than applying generic safety training, the study will develop behavioural profiles for distinct maritime roles (e.g., crane operators, deck crew, safety officers). These profiles will guide the design of role-specific interventions, maximizing relevance and impact. </w:t>
      </w:r>
    </w:p>
    <w:p w14:paraId="37B17396" w14:textId="77777777" w:rsidR="0058281A" w:rsidRDefault="0005410B">
      <w:pPr>
        <w:spacing w:after="267"/>
        <w:ind w:left="-5" w:right="4"/>
      </w:pPr>
      <w:r>
        <w:t xml:space="preserve">This precision approach will allow for scalable, adaptive training programs that reflect </w:t>
      </w:r>
      <w:proofErr w:type="spellStart"/>
      <w:r>
        <w:t>realworld</w:t>
      </w:r>
      <w:proofErr w:type="spellEnd"/>
      <w:r>
        <w:t xml:space="preserve"> operational diversity. </w:t>
      </w:r>
    </w:p>
    <w:p w14:paraId="2DAC19FC" w14:textId="77777777" w:rsidR="0058281A" w:rsidRDefault="0005410B">
      <w:pPr>
        <w:pStyle w:val="Heading1"/>
        <w:spacing w:after="258"/>
        <w:ind w:left="225" w:hanging="240"/>
      </w:pPr>
      <w:r>
        <w:t xml:space="preserve">Integration of Public Health and Logistics Operations </w:t>
      </w:r>
    </w:p>
    <w:p w14:paraId="3E6D9FE1" w14:textId="77777777" w:rsidR="0058281A" w:rsidRDefault="0005410B">
      <w:pPr>
        <w:spacing w:after="382"/>
        <w:ind w:left="-5" w:right="4"/>
      </w:pPr>
      <w:r>
        <w:t xml:space="preserve">By embedding public health principles into maritime logistics, the study will bridge two traditionally siloed domains. It will position occupational safety not just as a technical concern but as a public health priority—linking injury prevention, </w:t>
      </w:r>
      <w:proofErr w:type="spellStart"/>
      <w:r>
        <w:t>behavioral</w:t>
      </w:r>
      <w:proofErr w:type="spellEnd"/>
      <w:r>
        <w:t xml:space="preserve"> change, and systemic resilience. </w:t>
      </w:r>
    </w:p>
    <w:p w14:paraId="0E9B5195" w14:textId="77777777" w:rsidR="0058281A" w:rsidRPr="00D71366" w:rsidRDefault="0005410B">
      <w:pPr>
        <w:pStyle w:val="Heading1"/>
        <w:numPr>
          <w:ilvl w:val="0"/>
          <w:numId w:val="0"/>
        </w:numPr>
        <w:spacing w:after="134" w:line="259" w:lineRule="auto"/>
        <w:rPr>
          <w:sz w:val="18"/>
        </w:rPr>
      </w:pPr>
      <w:r w:rsidRPr="00D71366">
        <w:t xml:space="preserve">References </w:t>
      </w:r>
    </w:p>
    <w:p w14:paraId="7795889C" w14:textId="77777777" w:rsidR="0058281A" w:rsidRDefault="0005410B">
      <w:pPr>
        <w:numPr>
          <w:ilvl w:val="0"/>
          <w:numId w:val="2"/>
        </w:numPr>
        <w:spacing w:after="0"/>
        <w:ind w:right="4" w:hanging="360"/>
      </w:pPr>
      <w:r>
        <w:t xml:space="preserve">Roberts SE, </w:t>
      </w:r>
      <w:proofErr w:type="spellStart"/>
      <w:r>
        <w:t>Jaremin</w:t>
      </w:r>
      <w:proofErr w:type="spellEnd"/>
      <w:r>
        <w:t xml:space="preserve"> B, Lloyd K. Fatal accident rates among UK merchant seafarers compared with other workers. </w:t>
      </w:r>
      <w:proofErr w:type="spellStart"/>
      <w:r>
        <w:rPr>
          <w:i/>
        </w:rPr>
        <w:t>Occup</w:t>
      </w:r>
      <w:proofErr w:type="spellEnd"/>
      <w:r>
        <w:rPr>
          <w:i/>
        </w:rPr>
        <w:t xml:space="preserve"> Med (</w:t>
      </w:r>
      <w:proofErr w:type="spellStart"/>
      <w:r>
        <w:rPr>
          <w:i/>
        </w:rPr>
        <w:t>Lond</w:t>
      </w:r>
      <w:proofErr w:type="spellEnd"/>
      <w:r>
        <w:rPr>
          <w:i/>
        </w:rPr>
        <w:t xml:space="preserve">). </w:t>
      </w:r>
      <w:r>
        <w:t xml:space="preserve">2014;64(4):259–65. </w:t>
      </w:r>
    </w:p>
    <w:p w14:paraId="3EA6AD73" w14:textId="77777777" w:rsidR="0058281A" w:rsidRDefault="0005410B">
      <w:pPr>
        <w:numPr>
          <w:ilvl w:val="0"/>
          <w:numId w:val="2"/>
        </w:numPr>
        <w:spacing w:after="0"/>
        <w:ind w:right="4" w:hanging="360"/>
      </w:pPr>
      <w:r>
        <w:t xml:space="preserve">Lefkowitz RY. Fatalities among Danish seafarers: A population-based study. </w:t>
      </w:r>
      <w:proofErr w:type="spellStart"/>
      <w:r>
        <w:rPr>
          <w:i/>
        </w:rPr>
        <w:t>Occup</w:t>
      </w:r>
      <w:proofErr w:type="spellEnd"/>
      <w:r>
        <w:rPr>
          <w:i/>
        </w:rPr>
        <w:t xml:space="preserve"> Med (</w:t>
      </w:r>
      <w:proofErr w:type="spellStart"/>
      <w:r>
        <w:rPr>
          <w:i/>
        </w:rPr>
        <w:t>Lond</w:t>
      </w:r>
      <w:proofErr w:type="spellEnd"/>
      <w:r>
        <w:rPr>
          <w:i/>
        </w:rPr>
        <w:t>).</w:t>
      </w:r>
      <w:r>
        <w:t xml:space="preserve"> 2013;63(3):193–7. </w:t>
      </w:r>
    </w:p>
    <w:p w14:paraId="1B58FA75" w14:textId="77777777" w:rsidR="0058281A" w:rsidRDefault="0005410B">
      <w:pPr>
        <w:numPr>
          <w:ilvl w:val="0"/>
          <w:numId w:val="2"/>
        </w:numPr>
        <w:spacing w:after="0"/>
        <w:ind w:right="4" w:hanging="360"/>
      </w:pPr>
      <w:r>
        <w:t xml:space="preserve">Bhattacharya S. The impact of the ISM Code on the management of occupational health and safety in the maritime industry. Health Policy Plan. 2009;24(3):221–8. </w:t>
      </w:r>
    </w:p>
    <w:p w14:paraId="3F8D20A3" w14:textId="77777777" w:rsidR="0058281A" w:rsidRDefault="0005410B">
      <w:pPr>
        <w:numPr>
          <w:ilvl w:val="0"/>
          <w:numId w:val="2"/>
        </w:numPr>
        <w:spacing w:after="9"/>
        <w:ind w:right="4" w:hanging="360"/>
      </w:pPr>
      <w:r>
        <w:t xml:space="preserve">Iversen RTB. The mental health of seafarers. </w:t>
      </w:r>
      <w:r>
        <w:rPr>
          <w:i/>
        </w:rPr>
        <w:t xml:space="preserve">Int </w:t>
      </w:r>
      <w:proofErr w:type="spellStart"/>
      <w:r>
        <w:rPr>
          <w:i/>
        </w:rPr>
        <w:t>Marit</w:t>
      </w:r>
      <w:proofErr w:type="spellEnd"/>
      <w:r>
        <w:rPr>
          <w:i/>
        </w:rPr>
        <w:t xml:space="preserve"> Health.</w:t>
      </w:r>
      <w:r>
        <w:t xml:space="preserve"> 2012;63(2):78–89. </w:t>
      </w:r>
    </w:p>
    <w:p w14:paraId="2429E7A8" w14:textId="77777777" w:rsidR="0058281A" w:rsidRDefault="0005410B">
      <w:pPr>
        <w:numPr>
          <w:ilvl w:val="0"/>
          <w:numId w:val="2"/>
        </w:numPr>
        <w:spacing w:after="0"/>
        <w:ind w:right="4" w:hanging="360"/>
      </w:pPr>
      <w:r>
        <w:t xml:space="preserve">Lefkowitz RY, Slade MD. Seafarer mental health: A review of recent literature. </w:t>
      </w:r>
      <w:r>
        <w:rPr>
          <w:i/>
        </w:rPr>
        <w:t xml:space="preserve">J </w:t>
      </w:r>
      <w:proofErr w:type="spellStart"/>
      <w:r>
        <w:rPr>
          <w:i/>
        </w:rPr>
        <w:t>Occup</w:t>
      </w:r>
      <w:proofErr w:type="spellEnd"/>
      <w:r>
        <w:rPr>
          <w:i/>
        </w:rPr>
        <w:t xml:space="preserve"> Health Psychol.</w:t>
      </w:r>
      <w:r>
        <w:t xml:space="preserve"> 2019;24(3):282–93. </w:t>
      </w:r>
    </w:p>
    <w:p w14:paraId="76A8D4B8" w14:textId="77777777" w:rsidR="0058281A" w:rsidRDefault="0005410B">
      <w:pPr>
        <w:numPr>
          <w:ilvl w:val="0"/>
          <w:numId w:val="2"/>
        </w:numPr>
        <w:spacing w:after="0"/>
        <w:ind w:right="4" w:hanging="360"/>
      </w:pPr>
      <w:proofErr w:type="spellStart"/>
      <w:r>
        <w:t>Boschetto</w:t>
      </w:r>
      <w:proofErr w:type="spellEnd"/>
      <w:r>
        <w:t xml:space="preserve"> P, et al. Occupational exposure to benzene and risk of hematologic malignancies. </w:t>
      </w:r>
      <w:r>
        <w:rPr>
          <w:i/>
        </w:rPr>
        <w:t>Am J Ind Med.</w:t>
      </w:r>
      <w:r>
        <w:t xml:space="preserve"> 2006;49(9):709–17. </w:t>
      </w:r>
    </w:p>
    <w:p w14:paraId="45F59BFE" w14:textId="77777777" w:rsidR="0058281A" w:rsidRDefault="0005410B">
      <w:pPr>
        <w:numPr>
          <w:ilvl w:val="0"/>
          <w:numId w:val="2"/>
        </w:numPr>
        <w:spacing w:after="0"/>
        <w:ind w:right="4" w:hanging="360"/>
      </w:pPr>
      <w:proofErr w:type="spellStart"/>
      <w:r>
        <w:t>Drylli</w:t>
      </w:r>
      <w:proofErr w:type="spellEnd"/>
      <w:r>
        <w:t xml:space="preserve"> E, et al. Health risks and safety challenges among seafarers: A review of occupational exposures. </w:t>
      </w:r>
      <w:r>
        <w:rPr>
          <w:i/>
        </w:rPr>
        <w:t xml:space="preserve">Int </w:t>
      </w:r>
      <w:proofErr w:type="spellStart"/>
      <w:r>
        <w:rPr>
          <w:i/>
        </w:rPr>
        <w:t>Marit</w:t>
      </w:r>
      <w:proofErr w:type="spellEnd"/>
      <w:r>
        <w:rPr>
          <w:i/>
        </w:rPr>
        <w:t xml:space="preserve"> Health</w:t>
      </w:r>
      <w:r>
        <w:t xml:space="preserve">. 2020;71(2):123–30. </w:t>
      </w:r>
    </w:p>
    <w:p w14:paraId="7A6E3091" w14:textId="77777777" w:rsidR="0058281A" w:rsidRDefault="0005410B">
      <w:pPr>
        <w:numPr>
          <w:ilvl w:val="0"/>
          <w:numId w:val="2"/>
        </w:numPr>
        <w:spacing w:after="0"/>
        <w:ind w:right="4" w:hanging="360"/>
      </w:pPr>
      <w:r>
        <w:t xml:space="preserve">International Maritime Organization (IMO). Maritime Labour Convention and STCW enforcement. </w:t>
      </w:r>
      <w:r>
        <w:rPr>
          <w:i/>
        </w:rPr>
        <w:t>IMO Report</w:t>
      </w:r>
      <w:r>
        <w:t xml:space="preserve">. 2019. </w:t>
      </w:r>
    </w:p>
    <w:p w14:paraId="704A2DF3" w14:textId="77777777" w:rsidR="0058281A" w:rsidRDefault="0005410B">
      <w:pPr>
        <w:numPr>
          <w:ilvl w:val="0"/>
          <w:numId w:val="2"/>
        </w:numPr>
        <w:spacing w:after="0"/>
        <w:ind w:right="4" w:hanging="360"/>
      </w:pPr>
      <w:r>
        <w:t xml:space="preserve">Runyan CW, et al. International perspectives on seafarer safety: Challenges and solutions. </w:t>
      </w:r>
      <w:r>
        <w:rPr>
          <w:i/>
        </w:rPr>
        <w:t xml:space="preserve">Safety Sci. </w:t>
      </w:r>
      <w:r>
        <w:t xml:space="preserve">2008;46(6):933–8. </w:t>
      </w:r>
    </w:p>
    <w:p w14:paraId="68D1A61B" w14:textId="77777777" w:rsidR="0058281A" w:rsidRDefault="0005410B">
      <w:pPr>
        <w:numPr>
          <w:ilvl w:val="0"/>
          <w:numId w:val="2"/>
        </w:numPr>
        <w:spacing w:after="0"/>
        <w:ind w:right="4" w:hanging="360"/>
      </w:pPr>
      <w:proofErr w:type="spellStart"/>
      <w:r>
        <w:t>Sagaro</w:t>
      </w:r>
      <w:proofErr w:type="spellEnd"/>
      <w:r>
        <w:t xml:space="preserve"> GG, et al. Access to medical care among seafarers: A global review. </w:t>
      </w:r>
      <w:r>
        <w:rPr>
          <w:i/>
        </w:rPr>
        <w:t xml:space="preserve">Glob Health Action. </w:t>
      </w:r>
      <w:r>
        <w:t xml:space="preserve">2021;14(1):1927321. </w:t>
      </w:r>
    </w:p>
    <w:p w14:paraId="4DDE4A20" w14:textId="77777777" w:rsidR="0058281A" w:rsidRDefault="0005410B">
      <w:pPr>
        <w:numPr>
          <w:ilvl w:val="0"/>
          <w:numId w:val="2"/>
        </w:numPr>
        <w:spacing w:after="0"/>
        <w:ind w:right="4" w:hanging="360"/>
      </w:pPr>
      <w:r>
        <w:t>Campbell SJ, Osei-</w:t>
      </w:r>
      <w:proofErr w:type="spellStart"/>
      <w:r>
        <w:t>Atweneboana</w:t>
      </w:r>
      <w:proofErr w:type="spellEnd"/>
      <w:r>
        <w:t xml:space="preserve"> MY, </w:t>
      </w:r>
      <w:proofErr w:type="spellStart"/>
      <w:r>
        <w:t>Stothard</w:t>
      </w:r>
      <w:proofErr w:type="spellEnd"/>
      <w:r>
        <w:t xml:space="preserve"> R, et al. The COUNTDOWN study protocol for expansion of mass drug administration strategies against schistosomiasis and soil-transmitted helminthiasis in Ghana. </w:t>
      </w:r>
      <w:r>
        <w:rPr>
          <w:i/>
        </w:rPr>
        <w:t>Trop Med Infect Dis.</w:t>
      </w:r>
      <w:r>
        <w:t xml:space="preserve"> 2018;3(1):10. </w:t>
      </w:r>
    </w:p>
    <w:p w14:paraId="63CE922D" w14:textId="77777777" w:rsidR="0058281A" w:rsidRDefault="0005410B">
      <w:pPr>
        <w:numPr>
          <w:ilvl w:val="0"/>
          <w:numId w:val="2"/>
        </w:numPr>
        <w:ind w:right="4" w:hanging="360"/>
      </w:pPr>
      <w:r>
        <w:t xml:space="preserve">World Health Organization. Helminth control in school-age children: A guide for managers of control programs. 2nd ed. Geneva: </w:t>
      </w:r>
      <w:r>
        <w:rPr>
          <w:i/>
        </w:rPr>
        <w:t>WHO Press</w:t>
      </w:r>
      <w:r>
        <w:t xml:space="preserve">; 2011. </w:t>
      </w:r>
    </w:p>
    <w:p w14:paraId="06CABF6A" w14:textId="77777777" w:rsidR="0058281A" w:rsidRDefault="0005410B">
      <w:pPr>
        <w:numPr>
          <w:ilvl w:val="0"/>
          <w:numId w:val="2"/>
        </w:numPr>
        <w:spacing w:after="0"/>
        <w:ind w:right="4" w:hanging="360"/>
      </w:pPr>
      <w:r>
        <w:t xml:space="preserve">World Health Organization. Preventive chemotherapy to control soil-transmitted helminth infections in at-risk population groups. Geneva: WHO Press; 2019. </w:t>
      </w:r>
    </w:p>
    <w:p w14:paraId="2B1DEAAD" w14:textId="77777777" w:rsidR="0058281A" w:rsidRDefault="0005410B">
      <w:pPr>
        <w:numPr>
          <w:ilvl w:val="0"/>
          <w:numId w:val="2"/>
        </w:numPr>
        <w:spacing w:after="0"/>
        <w:ind w:right="4" w:hanging="360"/>
      </w:pPr>
      <w:r>
        <w:t xml:space="preserve">MacPherson E, Theobald S, </w:t>
      </w:r>
      <w:proofErr w:type="spellStart"/>
      <w:r>
        <w:t>Gyapong</w:t>
      </w:r>
      <w:proofErr w:type="spellEnd"/>
      <w:r>
        <w:t xml:space="preserve"> M, et al. COUNTDOWN: Building evidence for equitable access to neglected tropical disease interventions. </w:t>
      </w:r>
      <w:r>
        <w:rPr>
          <w:i/>
        </w:rPr>
        <w:t>Int Health.</w:t>
      </w:r>
      <w:r>
        <w:t xml:space="preserve"> </w:t>
      </w:r>
    </w:p>
    <w:p w14:paraId="3AAA159E" w14:textId="653C88CE" w:rsidR="0058281A" w:rsidRDefault="0005410B" w:rsidP="00D71366">
      <w:pPr>
        <w:spacing w:after="252"/>
        <w:ind w:left="653" w:right="4"/>
      </w:pPr>
      <w:r>
        <w:t xml:space="preserve">2018;10(5):317–24. </w:t>
      </w:r>
    </w:p>
    <w:sectPr w:rsidR="0058281A">
      <w:pgSz w:w="11906" w:h="16838"/>
      <w:pgMar w:top="1449" w:right="1435" w:bottom="16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67773"/>
    <w:multiLevelType w:val="hybridMultilevel"/>
    <w:tmpl w:val="81261598"/>
    <w:lvl w:ilvl="0" w:tplc="E63ABB68">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64B93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214CE">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A5CC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6ECCC">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384FD2">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4436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E04E8">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DCF990">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4A01F0"/>
    <w:multiLevelType w:val="hybridMultilevel"/>
    <w:tmpl w:val="22160EA6"/>
    <w:lvl w:ilvl="0" w:tplc="3CAE3F32">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14BB0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86180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2868B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3548E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9CBE2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EA07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08F53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6E58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6005AB"/>
    <w:multiLevelType w:val="hybridMultilevel"/>
    <w:tmpl w:val="38989F68"/>
    <w:lvl w:ilvl="0" w:tplc="E8104346">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2C52E">
      <w:start w:val="1"/>
      <w:numFmt w:val="lowerLetter"/>
      <w:lvlText w:val="%2"/>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20412">
      <w:start w:val="1"/>
      <w:numFmt w:val="lowerRoman"/>
      <w:lvlText w:val="%3"/>
      <w:lvlJc w:val="left"/>
      <w:pPr>
        <w:ind w:left="2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8AC86">
      <w:start w:val="1"/>
      <w:numFmt w:val="decimal"/>
      <w:lvlText w:val="%4"/>
      <w:lvlJc w:val="left"/>
      <w:pPr>
        <w:ind w:left="2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DE3AC2">
      <w:start w:val="1"/>
      <w:numFmt w:val="lowerLetter"/>
      <w:lvlText w:val="%5"/>
      <w:lvlJc w:val="left"/>
      <w:pPr>
        <w:ind w:left="3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C906E">
      <w:start w:val="1"/>
      <w:numFmt w:val="lowerRoman"/>
      <w:lvlText w:val="%6"/>
      <w:lvlJc w:val="left"/>
      <w:pPr>
        <w:ind w:left="4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49602">
      <w:start w:val="1"/>
      <w:numFmt w:val="decimal"/>
      <w:lvlText w:val="%7"/>
      <w:lvlJc w:val="left"/>
      <w:pPr>
        <w:ind w:left="4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F68BB6">
      <w:start w:val="1"/>
      <w:numFmt w:val="lowerLetter"/>
      <w:lvlText w:val="%8"/>
      <w:lvlJc w:val="left"/>
      <w:pPr>
        <w:ind w:left="5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0C04C8">
      <w:start w:val="1"/>
      <w:numFmt w:val="lowerRoman"/>
      <w:lvlText w:val="%9"/>
      <w:lvlJc w:val="left"/>
      <w:pPr>
        <w:ind w:left="6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D567C7"/>
    <w:multiLevelType w:val="multilevel"/>
    <w:tmpl w:val="3B14D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1A"/>
    <w:rsid w:val="0005410B"/>
    <w:rsid w:val="000E604B"/>
    <w:rsid w:val="003A2D46"/>
    <w:rsid w:val="00486D7B"/>
    <w:rsid w:val="0058281A"/>
    <w:rsid w:val="00746AF3"/>
    <w:rsid w:val="00A62B33"/>
    <w:rsid w:val="00CC384D"/>
    <w:rsid w:val="00D71366"/>
    <w:rsid w:val="00EE22B7"/>
    <w:rsid w:val="00F23A1E"/>
  </w:rsids>
  <m:mathPr>
    <m:mathFont m:val="Cambria Math"/>
    <m:brkBin m:val="before"/>
    <m:brkBinSub m:val="--"/>
    <m:smallFrac m:val="0"/>
    <m:dispDef/>
    <m:lMargin m:val="0"/>
    <m:rMargin m:val="0"/>
    <m:defJc m:val="centerGroup"/>
    <m:wrapIndent m:val="1440"/>
    <m:intLim m:val="subSup"/>
    <m:naryLim m:val="undOvr"/>
  </m:mathPr>
  <w:themeFontLang w:val="en-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A91FD"/>
  <w15:docId w15:val="{B29AFFC4-2513-494D-949D-31BE8149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M" w:eastAsia="en-CM"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5"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3"/>
      </w:numPr>
      <w:spacing w:line="258"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line="258" w:lineRule="auto"/>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C384D"/>
    <w:pPr>
      <w:spacing w:before="100" w:beforeAutospacing="1" w:after="100" w:afterAutospacing="1" w:line="240" w:lineRule="auto"/>
      <w:ind w:left="0" w:firstLine="0"/>
    </w:pPr>
    <w:rPr>
      <w:color w:val="auto"/>
      <w:szCs w:val="24"/>
    </w:rPr>
  </w:style>
  <w:style w:type="character" w:styleId="Strong">
    <w:name w:val="Strong"/>
    <w:basedOn w:val="DefaultParagraphFont"/>
    <w:uiPriority w:val="22"/>
    <w:qFormat/>
    <w:rsid w:val="00CC38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4944">
      <w:bodyDiv w:val="1"/>
      <w:marLeft w:val="0"/>
      <w:marRight w:val="0"/>
      <w:marTop w:val="0"/>
      <w:marBottom w:val="0"/>
      <w:divBdr>
        <w:top w:val="none" w:sz="0" w:space="0" w:color="auto"/>
        <w:left w:val="none" w:sz="0" w:space="0" w:color="auto"/>
        <w:bottom w:val="none" w:sz="0" w:space="0" w:color="auto"/>
        <w:right w:val="none" w:sz="0" w:space="0" w:color="auto"/>
      </w:divBdr>
    </w:div>
    <w:div w:id="288360712">
      <w:bodyDiv w:val="1"/>
      <w:marLeft w:val="0"/>
      <w:marRight w:val="0"/>
      <w:marTop w:val="0"/>
      <w:marBottom w:val="0"/>
      <w:divBdr>
        <w:top w:val="none" w:sz="0" w:space="0" w:color="auto"/>
        <w:left w:val="none" w:sz="0" w:space="0" w:color="auto"/>
        <w:bottom w:val="none" w:sz="0" w:space="0" w:color="auto"/>
        <w:right w:val="none" w:sz="0" w:space="0" w:color="auto"/>
      </w:divBdr>
    </w:div>
    <w:div w:id="555314254">
      <w:bodyDiv w:val="1"/>
      <w:marLeft w:val="0"/>
      <w:marRight w:val="0"/>
      <w:marTop w:val="0"/>
      <w:marBottom w:val="0"/>
      <w:divBdr>
        <w:top w:val="none" w:sz="0" w:space="0" w:color="auto"/>
        <w:left w:val="none" w:sz="0" w:space="0" w:color="auto"/>
        <w:bottom w:val="none" w:sz="0" w:space="0" w:color="auto"/>
        <w:right w:val="none" w:sz="0" w:space="0" w:color="auto"/>
      </w:divBdr>
    </w:div>
    <w:div w:id="1500460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3670</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mulih</dc:creator>
  <cp:keywords/>
  <cp:lastModifiedBy>claudine mulih</cp:lastModifiedBy>
  <cp:revision>2</cp:revision>
  <cp:lastPrinted>2025-12-16T15:06:00Z</cp:lastPrinted>
  <dcterms:created xsi:type="dcterms:W3CDTF">2025-12-16T15:07:00Z</dcterms:created>
  <dcterms:modified xsi:type="dcterms:W3CDTF">2025-12-16T15:07:00Z</dcterms:modified>
</cp:coreProperties>
</file>