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15BC9" w14:textId="7ABBE533" w:rsidR="000A48CA" w:rsidRDefault="009A731D" w:rsidP="00E30053">
      <w:pPr>
        <w:spacing w:line="276" w:lineRule="auto"/>
        <w:jc w:val="center"/>
        <w:rPr>
          <w:rFonts w:ascii="Times New Roman" w:hAnsi="Times New Roman" w:cs="Times New Roman"/>
          <w:b/>
          <w:sz w:val="24"/>
          <w:szCs w:val="24"/>
          <w:u w:val="single"/>
        </w:rPr>
      </w:pPr>
      <w:r w:rsidRPr="007201BD">
        <w:rPr>
          <w:rFonts w:ascii="Times New Roman" w:hAnsi="Times New Roman" w:cs="Times New Roman"/>
          <w:b/>
          <w:sz w:val="24"/>
          <w:szCs w:val="24"/>
          <w:u w:val="single"/>
        </w:rPr>
        <w:t xml:space="preserve">THE IMPACT OF </w:t>
      </w:r>
      <w:r w:rsidR="000F699D" w:rsidRPr="007201BD">
        <w:rPr>
          <w:rFonts w:ascii="Times New Roman" w:hAnsi="Times New Roman" w:cs="Times New Roman"/>
          <w:b/>
          <w:sz w:val="24"/>
          <w:szCs w:val="24"/>
          <w:u w:val="single"/>
        </w:rPr>
        <w:t>SECOND YEAR OF LIFE IMMUNIZATION</w:t>
      </w:r>
      <w:r w:rsidR="005E5D3D" w:rsidRPr="007201BD">
        <w:rPr>
          <w:rFonts w:ascii="Times New Roman" w:hAnsi="Times New Roman" w:cs="Times New Roman"/>
          <w:b/>
          <w:sz w:val="24"/>
          <w:szCs w:val="24"/>
          <w:u w:val="single"/>
        </w:rPr>
        <w:t xml:space="preserve"> ON CHILDHOOD ROUTINE IMMUNIZATION OUTCOMES IN YENAGOA, BAYELSA STATE, NIGERIA.</w:t>
      </w:r>
    </w:p>
    <w:p w14:paraId="1BC8F2B6" w14:textId="0E0D2A44" w:rsidR="000A48CA" w:rsidRPr="007201BD" w:rsidRDefault="007201BD" w:rsidP="007201BD">
      <w:pPr>
        <w:spacing w:after="200" w:line="276"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Egberipou</w:t>
      </w:r>
      <w:proofErr w:type="spellEnd"/>
      <w:r>
        <w:rPr>
          <w:rFonts w:ascii="Times New Roman" w:eastAsia="Calibri" w:hAnsi="Times New Roman" w:cs="Times New Roman"/>
          <w:b/>
          <w:sz w:val="24"/>
          <w:szCs w:val="24"/>
        </w:rPr>
        <w:t xml:space="preserve"> </w:t>
      </w:r>
      <w:r w:rsidRPr="00E25497">
        <w:rPr>
          <w:rFonts w:ascii="Times New Roman" w:eastAsia="Calibri" w:hAnsi="Times New Roman" w:cs="Times New Roman"/>
          <w:b/>
          <w:sz w:val="24"/>
          <w:szCs w:val="24"/>
        </w:rPr>
        <w:t>Tarimobowei</w:t>
      </w:r>
      <w:r w:rsidRPr="007201BD">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vertAlign w:val="superscript"/>
        </w:rPr>
        <w:t xml:space="preserve"> </w:t>
      </w:r>
      <w:r>
        <w:rPr>
          <w:rFonts w:ascii="Times New Roman" w:eastAsia="Calibri" w:hAnsi="Times New Roman" w:cs="Times New Roman"/>
          <w:b/>
          <w:sz w:val="24"/>
          <w:szCs w:val="24"/>
        </w:rPr>
        <w:t xml:space="preserve">and </w:t>
      </w:r>
      <w:proofErr w:type="spellStart"/>
      <w:r>
        <w:rPr>
          <w:rFonts w:ascii="Times New Roman" w:eastAsia="Calibri" w:hAnsi="Times New Roman" w:cs="Times New Roman"/>
          <w:b/>
          <w:sz w:val="24"/>
          <w:szCs w:val="24"/>
        </w:rPr>
        <w:t>Gbeinbo</w:t>
      </w:r>
      <w:proofErr w:type="spellEnd"/>
      <w:r>
        <w:rPr>
          <w:rFonts w:ascii="Times New Roman" w:eastAsia="Calibri" w:hAnsi="Times New Roman" w:cs="Times New Roman"/>
          <w:b/>
          <w:sz w:val="24"/>
          <w:szCs w:val="24"/>
        </w:rPr>
        <w:t>, Darius Fortunatus</w:t>
      </w:r>
      <w:r w:rsidRPr="007201BD">
        <w:rPr>
          <w:rFonts w:ascii="Times New Roman" w:eastAsia="Calibri" w:hAnsi="Times New Roman" w:cs="Times New Roman"/>
          <w:b/>
          <w:sz w:val="24"/>
          <w:szCs w:val="24"/>
          <w:vertAlign w:val="superscript"/>
        </w:rPr>
        <w:t>2</w:t>
      </w:r>
    </w:p>
    <w:p w14:paraId="2A1B1EC3" w14:textId="656D584D" w:rsidR="007201BD" w:rsidRDefault="00E30053" w:rsidP="007201BD">
      <w:pPr>
        <w:pStyle w:val="ListParagraph"/>
        <w:numPr>
          <w:ilvl w:val="0"/>
          <w:numId w:val="2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Department of Medical and Dental Services, </w:t>
      </w:r>
      <w:r w:rsidR="007201BD">
        <w:rPr>
          <w:rFonts w:ascii="Times New Roman" w:eastAsia="Calibri" w:hAnsi="Times New Roman" w:cs="Times New Roman"/>
          <w:sz w:val="24"/>
          <w:szCs w:val="24"/>
        </w:rPr>
        <w:t xml:space="preserve">Hospitals Management Board, </w:t>
      </w:r>
      <w:proofErr w:type="spellStart"/>
      <w:r w:rsidR="007201BD">
        <w:rPr>
          <w:rFonts w:ascii="Times New Roman" w:eastAsia="Calibri" w:hAnsi="Times New Roman" w:cs="Times New Roman"/>
          <w:sz w:val="24"/>
          <w:szCs w:val="24"/>
        </w:rPr>
        <w:t>B</w:t>
      </w:r>
      <w:r>
        <w:rPr>
          <w:rFonts w:ascii="Times New Roman" w:eastAsia="Calibri" w:hAnsi="Times New Roman" w:cs="Times New Roman"/>
          <w:sz w:val="24"/>
          <w:szCs w:val="24"/>
        </w:rPr>
        <w:t>ayelsa</w:t>
      </w:r>
      <w:proofErr w:type="spellEnd"/>
      <w:r>
        <w:rPr>
          <w:rFonts w:ascii="Times New Roman" w:eastAsia="Calibri" w:hAnsi="Times New Roman" w:cs="Times New Roman"/>
          <w:sz w:val="24"/>
          <w:szCs w:val="24"/>
        </w:rPr>
        <w:t xml:space="preserve"> State, Nigeria.</w:t>
      </w:r>
    </w:p>
    <w:p w14:paraId="7D202BBB" w14:textId="7C058493" w:rsidR="000A48CA" w:rsidRPr="00E30053" w:rsidRDefault="000A48CA" w:rsidP="00E30053">
      <w:pPr>
        <w:pStyle w:val="ListParagraph"/>
        <w:numPr>
          <w:ilvl w:val="0"/>
          <w:numId w:val="22"/>
        </w:numPr>
        <w:spacing w:after="200" w:line="276" w:lineRule="auto"/>
        <w:rPr>
          <w:rFonts w:ascii="Times New Roman" w:eastAsia="Calibri" w:hAnsi="Times New Roman" w:cs="Times New Roman"/>
          <w:sz w:val="24"/>
          <w:szCs w:val="24"/>
        </w:rPr>
      </w:pPr>
      <w:r w:rsidRPr="00E30053">
        <w:rPr>
          <w:rFonts w:ascii="Times New Roman" w:eastAsia="Calibri" w:hAnsi="Times New Roman" w:cs="Times New Roman"/>
          <w:sz w:val="24"/>
          <w:szCs w:val="24"/>
        </w:rPr>
        <w:t xml:space="preserve">Department of Public Health, Bayelsa Medical University, Yenagoa, </w:t>
      </w:r>
      <w:proofErr w:type="spellStart"/>
      <w:r w:rsidRPr="00E30053">
        <w:rPr>
          <w:rFonts w:ascii="Times New Roman" w:eastAsia="Calibri" w:hAnsi="Times New Roman" w:cs="Times New Roman"/>
          <w:sz w:val="24"/>
          <w:szCs w:val="24"/>
        </w:rPr>
        <w:t>Bayelsa</w:t>
      </w:r>
      <w:proofErr w:type="spellEnd"/>
      <w:r w:rsidRPr="00E30053">
        <w:rPr>
          <w:rFonts w:ascii="Times New Roman" w:eastAsia="Calibri" w:hAnsi="Times New Roman" w:cs="Times New Roman"/>
          <w:sz w:val="24"/>
          <w:szCs w:val="24"/>
        </w:rPr>
        <w:t xml:space="preserve"> State.</w:t>
      </w:r>
      <w:r w:rsidRPr="00E30053">
        <w:rPr>
          <w:rFonts w:ascii="Times New Roman" w:eastAsia="Calibri" w:hAnsi="Times New Roman" w:cs="Times New Roman"/>
          <w:b/>
          <w:sz w:val="24"/>
          <w:szCs w:val="24"/>
        </w:rPr>
        <w:tab/>
      </w:r>
      <w:r w:rsidRPr="00E30053">
        <w:rPr>
          <w:rFonts w:ascii="Times New Roman" w:eastAsia="Calibri" w:hAnsi="Times New Roman" w:cs="Times New Roman"/>
          <w:sz w:val="24"/>
          <w:szCs w:val="24"/>
        </w:rPr>
        <w:t xml:space="preserve"> </w:t>
      </w:r>
    </w:p>
    <w:p w14:paraId="7DD916BF" w14:textId="2797A411" w:rsidR="004234D4" w:rsidRDefault="004234D4" w:rsidP="007201BD">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Abstract</w:t>
      </w:r>
    </w:p>
    <w:p w14:paraId="0C4AAB3B" w14:textId="2691B70C" w:rsidR="004234D4" w:rsidRDefault="004234D4" w:rsidP="007201BD">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Immunization is known to be one of the most cost-effective strategies for the prevention, control, elimination and eradication of </w:t>
      </w:r>
      <w:r w:rsidRPr="009346BC">
        <w:rPr>
          <w:rFonts w:ascii="Times New Roman" w:hAnsi="Times New Roman" w:cs="Times New Roman"/>
          <w:sz w:val="24"/>
          <w:szCs w:val="24"/>
        </w:rPr>
        <w:t>di</w:t>
      </w:r>
      <w:r>
        <w:rPr>
          <w:rFonts w:ascii="Times New Roman" w:hAnsi="Times New Roman" w:cs="Times New Roman"/>
          <w:sz w:val="24"/>
          <w:szCs w:val="24"/>
        </w:rPr>
        <w:t>seases globally</w:t>
      </w:r>
      <w:r>
        <w:rPr>
          <w:rFonts w:ascii="Times New Roman" w:hAnsi="Times New Roman" w:cs="Times New Roman"/>
          <w:sz w:val="24"/>
          <w:szCs w:val="24"/>
        </w:rPr>
        <w:t xml:space="preserve">. </w:t>
      </w:r>
      <w:r>
        <w:rPr>
          <w:rFonts w:ascii="Times New Roman" w:hAnsi="Times New Roman" w:cs="Times New Roman"/>
          <w:sz w:val="24"/>
          <w:szCs w:val="24"/>
        </w:rPr>
        <w:t>Immunization is further noted to have significantly reduced child mortality, worldwide, by a margin of forty-five percent over a period of twenty-eight years, spanning the years 1990 to 2018.</w:t>
      </w:r>
      <w:r>
        <w:rPr>
          <w:rFonts w:ascii="Times New Roman" w:hAnsi="Times New Roman" w:cs="Times New Roman"/>
          <w:sz w:val="24"/>
          <w:szCs w:val="24"/>
        </w:rPr>
        <w:t xml:space="preserve"> </w:t>
      </w:r>
      <w:r>
        <w:rPr>
          <w:rFonts w:ascii="Times New Roman" w:hAnsi="Times New Roman" w:cs="Times New Roman"/>
          <w:sz w:val="24"/>
          <w:szCs w:val="24"/>
        </w:rPr>
        <w:t>Whereas, immunization is but one of a</w:t>
      </w:r>
      <w:r w:rsidRPr="009346BC">
        <w:rPr>
          <w:rFonts w:ascii="Times New Roman" w:hAnsi="Times New Roman" w:cs="Times New Roman"/>
          <w:sz w:val="24"/>
          <w:szCs w:val="24"/>
        </w:rPr>
        <w:t xml:space="preserve"> diverse </w:t>
      </w:r>
      <w:r>
        <w:rPr>
          <w:rFonts w:ascii="Times New Roman" w:hAnsi="Times New Roman" w:cs="Times New Roman"/>
          <w:sz w:val="24"/>
          <w:szCs w:val="24"/>
        </w:rPr>
        <w:t xml:space="preserve">compendium of </w:t>
      </w:r>
      <w:r w:rsidRPr="009346BC">
        <w:rPr>
          <w:rFonts w:ascii="Times New Roman" w:hAnsi="Times New Roman" w:cs="Times New Roman"/>
          <w:sz w:val="24"/>
          <w:szCs w:val="24"/>
        </w:rPr>
        <w:t xml:space="preserve">health interventions </w:t>
      </w:r>
      <w:r>
        <w:rPr>
          <w:rFonts w:ascii="Times New Roman" w:hAnsi="Times New Roman" w:cs="Times New Roman"/>
          <w:sz w:val="24"/>
          <w:szCs w:val="24"/>
        </w:rPr>
        <w:t>available to ensure a</w:t>
      </w:r>
      <w:r w:rsidRPr="009346BC">
        <w:rPr>
          <w:rFonts w:ascii="Times New Roman" w:hAnsi="Times New Roman" w:cs="Times New Roman"/>
          <w:sz w:val="24"/>
          <w:szCs w:val="24"/>
        </w:rPr>
        <w:t xml:space="preserve"> healthy life</w:t>
      </w:r>
      <w:r>
        <w:rPr>
          <w:rFonts w:ascii="Times New Roman" w:hAnsi="Times New Roman" w:cs="Times New Roman"/>
          <w:sz w:val="24"/>
          <w:szCs w:val="24"/>
        </w:rPr>
        <w:t xml:space="preserve"> for infants and children</w:t>
      </w:r>
      <w:r w:rsidRPr="009346BC">
        <w:rPr>
          <w:rFonts w:ascii="Times New Roman" w:hAnsi="Times New Roman" w:cs="Times New Roman"/>
          <w:sz w:val="24"/>
          <w:szCs w:val="24"/>
        </w:rPr>
        <w:t xml:space="preserve">, it </w:t>
      </w:r>
      <w:r>
        <w:rPr>
          <w:rFonts w:ascii="Times New Roman" w:hAnsi="Times New Roman" w:cs="Times New Roman"/>
          <w:sz w:val="24"/>
          <w:szCs w:val="24"/>
        </w:rPr>
        <w:t>provides an opportunity for the on-boarding of other essential health care services such as micronutrient supplementation, deworming, growth monitoring, health promotion and treatme</w:t>
      </w:r>
      <w:r w:rsidR="007201BD">
        <w:rPr>
          <w:rFonts w:ascii="Times New Roman" w:hAnsi="Times New Roman" w:cs="Times New Roman"/>
          <w:sz w:val="24"/>
          <w:szCs w:val="24"/>
        </w:rPr>
        <w:t>nt of common ailments</w:t>
      </w:r>
      <w:r>
        <w:rPr>
          <w:rFonts w:ascii="Times New Roman" w:hAnsi="Times New Roman" w:cs="Times New Roman"/>
          <w:sz w:val="24"/>
          <w:szCs w:val="24"/>
        </w:rPr>
        <w:t>.</w:t>
      </w:r>
      <w:r>
        <w:rPr>
          <w:rFonts w:ascii="Times New Roman" w:hAnsi="Times New Roman" w:cs="Times New Roman"/>
          <w:sz w:val="24"/>
          <w:szCs w:val="24"/>
        </w:rPr>
        <w:t xml:space="preserve"> </w:t>
      </w:r>
      <w:r w:rsidR="007201BD">
        <w:rPr>
          <w:rFonts w:ascii="Times New Roman" w:hAnsi="Times New Roman" w:cs="Times New Roman"/>
          <w:sz w:val="24"/>
          <w:szCs w:val="24"/>
        </w:rPr>
        <w:t xml:space="preserve">Thus, </w:t>
      </w:r>
      <w:r>
        <w:rPr>
          <w:rFonts w:ascii="Times New Roman" w:hAnsi="Times New Roman" w:cs="Times New Roman"/>
          <w:sz w:val="24"/>
          <w:szCs w:val="24"/>
        </w:rPr>
        <w:t>the concept of second year of life (2YL) immunization advocates for the vaccination of children from twelve to twenty-four months and beyond, with the recommended vaccines antigens. The essential premise being to increase herd immunity as well as attain global vaccination coverage and disease control and elim</w:t>
      </w:r>
      <w:r w:rsidR="007201BD">
        <w:rPr>
          <w:rFonts w:ascii="Times New Roman" w:hAnsi="Times New Roman" w:cs="Times New Roman"/>
          <w:sz w:val="24"/>
          <w:szCs w:val="24"/>
        </w:rPr>
        <w:t>ination goals</w:t>
      </w:r>
      <w:r>
        <w:rPr>
          <w:rFonts w:ascii="Times New Roman" w:hAnsi="Times New Roman" w:cs="Times New Roman"/>
          <w:sz w:val="24"/>
          <w:szCs w:val="24"/>
        </w:rPr>
        <w:t>. 2YL immunization further serves as an opportunity to improve the uptake of new vaccines, when introduced, and strengthen health systems through integration of services with other intervention programs</w:t>
      </w:r>
      <w:r w:rsidR="007201BD">
        <w:rPr>
          <w:rFonts w:ascii="Times New Roman" w:hAnsi="Times New Roman" w:cs="Times New Roman"/>
          <w:sz w:val="24"/>
          <w:szCs w:val="24"/>
        </w:rPr>
        <w:t xml:space="preserve">. </w:t>
      </w:r>
      <w:r w:rsidR="007201BD">
        <w:rPr>
          <w:rFonts w:ascii="Times New Roman" w:hAnsi="Times New Roman" w:cs="Times New Roman"/>
          <w:sz w:val="24"/>
          <w:szCs w:val="24"/>
        </w:rPr>
        <w:t>Also, 2YL provides opportunities for administration of missed doses of vaccines occurring, during the infant years, for diverse reasons such as vaccine hesitancy, non-compliance, religious beliefs, sociocultural differences, economic barriers and lack of awareness or</w:t>
      </w:r>
      <w:r w:rsidR="007201BD">
        <w:rPr>
          <w:rFonts w:ascii="Times New Roman" w:hAnsi="Times New Roman" w:cs="Times New Roman"/>
          <w:sz w:val="24"/>
          <w:szCs w:val="24"/>
        </w:rPr>
        <w:t xml:space="preserve"> sensitization</w:t>
      </w:r>
      <w:r w:rsidR="007201BD">
        <w:rPr>
          <w:rFonts w:ascii="Times New Roman" w:hAnsi="Times New Roman" w:cs="Times New Roman"/>
          <w:sz w:val="24"/>
          <w:szCs w:val="24"/>
        </w:rPr>
        <w:t xml:space="preserve">. These factors significantly impact childhood vaccination initiation and completion rates </w:t>
      </w:r>
      <w:r w:rsidR="007201BD">
        <w:rPr>
          <w:rFonts w:ascii="Times New Roman" w:eastAsia="Calibri" w:hAnsi="Times New Roman" w:cs="Times New Roman"/>
          <w:sz w:val="24"/>
          <w:szCs w:val="24"/>
        </w:rPr>
        <w:t>as gleaned from the presence of</w:t>
      </w:r>
      <w:r w:rsidR="007201BD" w:rsidRPr="00802A9F">
        <w:rPr>
          <w:rFonts w:ascii="Times New Roman" w:eastAsia="Calibri" w:hAnsi="Times New Roman" w:cs="Times New Roman"/>
          <w:sz w:val="24"/>
          <w:szCs w:val="24"/>
        </w:rPr>
        <w:t xml:space="preserve"> over 2.2 million estimated zero-dose children in th</w:t>
      </w:r>
      <w:r w:rsidR="007201BD">
        <w:rPr>
          <w:rFonts w:ascii="Times New Roman" w:eastAsia="Calibri" w:hAnsi="Times New Roman" w:cs="Times New Roman"/>
          <w:sz w:val="24"/>
          <w:szCs w:val="24"/>
        </w:rPr>
        <w:t>e year 2021, particularly sprea</w:t>
      </w:r>
      <w:r w:rsidR="007201BD">
        <w:rPr>
          <w:rFonts w:ascii="Times New Roman" w:eastAsia="Calibri" w:hAnsi="Times New Roman" w:cs="Times New Roman"/>
          <w:sz w:val="24"/>
          <w:szCs w:val="24"/>
        </w:rPr>
        <w:t xml:space="preserve">d across many Low and Middle Income Countries such as Nigeria, of which </w:t>
      </w:r>
      <w:proofErr w:type="spellStart"/>
      <w:r w:rsidR="007201BD">
        <w:rPr>
          <w:rFonts w:ascii="Times New Roman" w:eastAsia="Calibri" w:hAnsi="Times New Roman" w:cs="Times New Roman"/>
          <w:sz w:val="24"/>
          <w:szCs w:val="24"/>
        </w:rPr>
        <w:t>Bayelsa</w:t>
      </w:r>
      <w:proofErr w:type="spellEnd"/>
      <w:r w:rsidR="007201BD">
        <w:rPr>
          <w:rFonts w:ascii="Times New Roman" w:eastAsia="Calibri" w:hAnsi="Times New Roman" w:cs="Times New Roman"/>
          <w:sz w:val="24"/>
          <w:szCs w:val="24"/>
        </w:rPr>
        <w:t xml:space="preserve"> State is a part</w:t>
      </w:r>
      <w:r w:rsidR="007201BD" w:rsidRPr="00802A9F">
        <w:rPr>
          <w:rFonts w:ascii="Times New Roman" w:eastAsia="Calibri" w:hAnsi="Times New Roman" w:cs="Times New Roman"/>
          <w:sz w:val="24"/>
          <w:szCs w:val="24"/>
        </w:rPr>
        <w:t>.</w:t>
      </w:r>
    </w:p>
    <w:p w14:paraId="6AE1EA85" w14:textId="390AC355" w:rsidR="007201BD" w:rsidRPr="00E30053" w:rsidRDefault="007201BD" w:rsidP="00E30053">
      <w:pPr>
        <w:spacing w:line="360" w:lineRule="auto"/>
        <w:jc w:val="both"/>
        <w:rPr>
          <w:rFonts w:ascii="Times New Roman" w:eastAsia="Calibri" w:hAnsi="Times New Roman" w:cs="Times New Roman"/>
          <w:i/>
          <w:sz w:val="24"/>
          <w:szCs w:val="24"/>
        </w:rPr>
      </w:pPr>
      <w:r w:rsidRPr="00E30053">
        <w:rPr>
          <w:rFonts w:ascii="Times New Roman" w:eastAsia="Calibri" w:hAnsi="Times New Roman" w:cs="Times New Roman"/>
          <w:b/>
          <w:sz w:val="24"/>
          <w:szCs w:val="24"/>
        </w:rPr>
        <w:t>Key word:</w:t>
      </w:r>
      <w:r>
        <w:rPr>
          <w:rFonts w:ascii="Times New Roman" w:eastAsia="Calibri" w:hAnsi="Times New Roman" w:cs="Times New Roman"/>
          <w:sz w:val="24"/>
          <w:szCs w:val="24"/>
        </w:rPr>
        <w:t xml:space="preserve"> </w:t>
      </w:r>
      <w:r w:rsidRPr="00E30053">
        <w:rPr>
          <w:rFonts w:ascii="Times New Roman" w:eastAsia="Calibri" w:hAnsi="Times New Roman" w:cs="Times New Roman"/>
          <w:i/>
          <w:sz w:val="24"/>
          <w:szCs w:val="24"/>
        </w:rPr>
        <w:t>Second Year of Life Immunization, Herd Immunity, vaccination initiation, immunization completion.</w:t>
      </w:r>
    </w:p>
    <w:p w14:paraId="47C4FC59" w14:textId="77777777" w:rsidR="00E30053" w:rsidRDefault="00E30053" w:rsidP="00E30053">
      <w:pPr>
        <w:spacing w:line="240" w:lineRule="auto"/>
        <w:jc w:val="both"/>
        <w:rPr>
          <w:rFonts w:ascii="Times New Roman" w:eastAsia="Calibri" w:hAnsi="Times New Roman" w:cs="Times New Roman"/>
          <w:b/>
          <w:sz w:val="24"/>
          <w:szCs w:val="24"/>
        </w:rPr>
      </w:pPr>
      <w:r w:rsidRPr="00E30053">
        <w:rPr>
          <w:rFonts w:ascii="Times New Roman" w:eastAsia="Calibri" w:hAnsi="Times New Roman" w:cs="Times New Roman"/>
          <w:b/>
          <w:sz w:val="24"/>
          <w:szCs w:val="24"/>
        </w:rPr>
        <w:t>Corresponding Author:</w:t>
      </w:r>
      <w:r>
        <w:rPr>
          <w:rFonts w:ascii="Times New Roman" w:eastAsia="Calibri" w:hAnsi="Times New Roman" w:cs="Times New Roman"/>
          <w:b/>
          <w:sz w:val="24"/>
          <w:szCs w:val="24"/>
        </w:rPr>
        <w:t xml:space="preserve">   </w:t>
      </w:r>
    </w:p>
    <w:p w14:paraId="1F409B1A" w14:textId="6B11ACCF" w:rsidR="00E30053" w:rsidRDefault="00E30053" w:rsidP="00E30053">
      <w:pPr>
        <w:spacing w:line="240" w:lineRule="auto"/>
        <w:jc w:val="both"/>
        <w:rPr>
          <w:rFonts w:ascii="Times New Roman" w:eastAsia="Calibri" w:hAnsi="Times New Roman" w:cs="Times New Roman"/>
          <w:b/>
          <w:sz w:val="24"/>
          <w:szCs w:val="24"/>
        </w:rPr>
      </w:pPr>
      <w:proofErr w:type="spellStart"/>
      <w:r w:rsidRPr="00E30053">
        <w:rPr>
          <w:rFonts w:ascii="Times New Roman" w:eastAsia="Calibri" w:hAnsi="Times New Roman" w:cs="Times New Roman"/>
          <w:sz w:val="24"/>
          <w:szCs w:val="24"/>
        </w:rPr>
        <w:lastRenderedPageBreak/>
        <w:t>Egberipou</w:t>
      </w:r>
      <w:proofErr w:type="spellEnd"/>
      <w:r w:rsidRPr="00E30053">
        <w:rPr>
          <w:rFonts w:ascii="Times New Roman" w:eastAsia="Calibri" w:hAnsi="Times New Roman" w:cs="Times New Roman"/>
          <w:sz w:val="24"/>
          <w:szCs w:val="24"/>
        </w:rPr>
        <w:t xml:space="preserve"> </w:t>
      </w:r>
      <w:proofErr w:type="spellStart"/>
      <w:r w:rsidRPr="00E30053">
        <w:rPr>
          <w:rFonts w:ascii="Times New Roman" w:eastAsia="Calibri" w:hAnsi="Times New Roman" w:cs="Times New Roman"/>
          <w:sz w:val="24"/>
          <w:szCs w:val="24"/>
        </w:rPr>
        <w:t>Tarimobowei</w:t>
      </w:r>
    </w:p>
    <w:p w14:paraId="515F3A58" w14:textId="0C8AE6CD" w:rsidR="00E30053" w:rsidRPr="00E30053" w:rsidRDefault="00E30053" w:rsidP="00E30053">
      <w:pPr>
        <w:spacing w:line="240" w:lineRule="auto"/>
        <w:jc w:val="both"/>
        <w:rPr>
          <w:rFonts w:ascii="Times New Roman" w:eastAsia="Calibri" w:hAnsi="Times New Roman" w:cs="Times New Roman"/>
          <w:b/>
          <w:sz w:val="24"/>
          <w:szCs w:val="24"/>
        </w:rPr>
      </w:pPr>
      <w:proofErr w:type="spellEnd"/>
      <w:r w:rsidRPr="00E30053">
        <w:rPr>
          <w:rFonts w:ascii="Times New Roman" w:eastAsia="Calibri" w:hAnsi="Times New Roman" w:cs="Times New Roman"/>
          <w:sz w:val="24"/>
          <w:szCs w:val="24"/>
        </w:rPr>
        <w:t xml:space="preserve">Department of Medical and Dental Services, Hospitals Management Board, </w:t>
      </w:r>
      <w:proofErr w:type="spellStart"/>
      <w:r w:rsidRPr="00E30053">
        <w:rPr>
          <w:rFonts w:ascii="Times New Roman" w:eastAsia="Calibri" w:hAnsi="Times New Roman" w:cs="Times New Roman"/>
          <w:sz w:val="24"/>
          <w:szCs w:val="24"/>
        </w:rPr>
        <w:t>Yenagoa</w:t>
      </w:r>
      <w:proofErr w:type="spellEnd"/>
      <w:r w:rsidRPr="00E30053">
        <w:rPr>
          <w:rFonts w:ascii="Times New Roman" w:eastAsia="Calibri" w:hAnsi="Times New Roman" w:cs="Times New Roman"/>
          <w:sz w:val="24"/>
          <w:szCs w:val="24"/>
        </w:rPr>
        <w:t xml:space="preserve">, </w:t>
      </w:r>
      <w:proofErr w:type="spellStart"/>
      <w:r w:rsidRPr="00E30053">
        <w:rPr>
          <w:rFonts w:ascii="Times New Roman" w:eastAsia="Calibri" w:hAnsi="Times New Roman" w:cs="Times New Roman"/>
          <w:sz w:val="24"/>
          <w:szCs w:val="24"/>
        </w:rPr>
        <w:t>Bayelsa</w:t>
      </w:r>
      <w:proofErr w:type="spellEnd"/>
      <w:r w:rsidRPr="00E30053">
        <w:rPr>
          <w:rFonts w:ascii="Times New Roman" w:eastAsia="Calibri" w:hAnsi="Times New Roman" w:cs="Times New Roman"/>
          <w:sz w:val="24"/>
          <w:szCs w:val="24"/>
        </w:rPr>
        <w:t xml:space="preserve"> State, Nigeria.</w:t>
      </w:r>
    </w:p>
    <w:p w14:paraId="1FCF1C32" w14:textId="201F702C" w:rsidR="00E30053" w:rsidRPr="00E30053" w:rsidRDefault="00E30053" w:rsidP="00E30053">
      <w:pPr>
        <w:spacing w:after="200" w:line="240" w:lineRule="auto"/>
        <w:rPr>
          <w:rFonts w:ascii="Times New Roman" w:eastAsia="Calibri" w:hAnsi="Times New Roman" w:cs="Times New Roman"/>
          <w:sz w:val="24"/>
          <w:szCs w:val="24"/>
        </w:rPr>
      </w:pPr>
      <w:hyperlink r:id="rId7" w:history="1">
        <w:r w:rsidRPr="00E25497">
          <w:rPr>
            <w:rFonts w:ascii="Times New Roman" w:eastAsia="Calibri" w:hAnsi="Times New Roman" w:cs="Times New Roman"/>
            <w:color w:val="0000FF"/>
            <w:sz w:val="24"/>
            <w:szCs w:val="24"/>
            <w:u w:val="single"/>
          </w:rPr>
          <w:t>tarimobowei_egberipou@yahoo.com</w:t>
        </w:r>
      </w:hyperlink>
      <w:bookmarkStart w:id="0" w:name="_GoBack"/>
      <w:bookmarkEnd w:id="0"/>
    </w:p>
    <w:p w14:paraId="4BB6029C" w14:textId="208EF650" w:rsidR="00CD1305" w:rsidRPr="009346BC" w:rsidRDefault="00CD1305" w:rsidP="00CD1305">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14:paraId="19315806" w14:textId="73E56E16" w:rsidR="000F699D" w:rsidRPr="009346BC" w:rsidRDefault="009346BC" w:rsidP="001E7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Immunization is known to be one of the most cost-effective strategies for the prevention, control, elimination and eradication of </w:t>
      </w:r>
      <w:r w:rsidRPr="009346BC">
        <w:rPr>
          <w:rFonts w:ascii="Times New Roman" w:hAnsi="Times New Roman" w:cs="Times New Roman"/>
          <w:sz w:val="24"/>
          <w:szCs w:val="24"/>
        </w:rPr>
        <w:t>di</w:t>
      </w:r>
      <w:r>
        <w:rPr>
          <w:rFonts w:ascii="Times New Roman" w:hAnsi="Times New Roman" w:cs="Times New Roman"/>
          <w:sz w:val="24"/>
          <w:szCs w:val="24"/>
        </w:rPr>
        <w:t>seases globally</w:t>
      </w:r>
      <w:r w:rsidR="008139B5">
        <w:rPr>
          <w:rFonts w:ascii="Times New Roman" w:hAnsi="Times New Roman" w:cs="Times New Roman"/>
          <w:sz w:val="24"/>
          <w:szCs w:val="24"/>
        </w:rPr>
        <w:t xml:space="preserve"> (</w:t>
      </w:r>
      <w:proofErr w:type="spellStart"/>
      <w:r w:rsidR="008139B5">
        <w:rPr>
          <w:rFonts w:ascii="Times New Roman" w:hAnsi="Times New Roman" w:cs="Times New Roman"/>
          <w:sz w:val="24"/>
          <w:szCs w:val="24"/>
        </w:rPr>
        <w:t>Umoke</w:t>
      </w:r>
      <w:proofErr w:type="spellEnd"/>
      <w:r w:rsidR="008139B5">
        <w:rPr>
          <w:rFonts w:ascii="Times New Roman" w:hAnsi="Times New Roman" w:cs="Times New Roman"/>
          <w:sz w:val="24"/>
          <w:szCs w:val="24"/>
        </w:rPr>
        <w:t xml:space="preserve"> et al, 2021)</w:t>
      </w:r>
      <w:r w:rsidR="00541C77">
        <w:rPr>
          <w:rFonts w:ascii="Times New Roman" w:hAnsi="Times New Roman" w:cs="Times New Roman"/>
          <w:sz w:val="24"/>
          <w:szCs w:val="24"/>
        </w:rPr>
        <w:t xml:space="preserve">. Immunization is </w:t>
      </w:r>
      <w:r w:rsidR="001E725D">
        <w:rPr>
          <w:rFonts w:ascii="Times New Roman" w:hAnsi="Times New Roman" w:cs="Times New Roman"/>
          <w:sz w:val="24"/>
          <w:szCs w:val="24"/>
        </w:rPr>
        <w:t xml:space="preserve">further </w:t>
      </w:r>
      <w:r w:rsidR="00541C77">
        <w:rPr>
          <w:rFonts w:ascii="Times New Roman" w:hAnsi="Times New Roman" w:cs="Times New Roman"/>
          <w:sz w:val="24"/>
          <w:szCs w:val="24"/>
        </w:rPr>
        <w:t>noted to have significantly reduced child mortality, worldwide, by a margin of forty-five percent over a period of twenty-</w:t>
      </w:r>
      <w:r w:rsidR="001E725D">
        <w:rPr>
          <w:rFonts w:ascii="Times New Roman" w:hAnsi="Times New Roman" w:cs="Times New Roman"/>
          <w:sz w:val="24"/>
          <w:szCs w:val="24"/>
        </w:rPr>
        <w:t>eight years, spanning the years 1990 to 2018</w:t>
      </w:r>
      <w:r w:rsidR="00541C77">
        <w:rPr>
          <w:rFonts w:ascii="Times New Roman" w:hAnsi="Times New Roman" w:cs="Times New Roman"/>
          <w:sz w:val="24"/>
          <w:szCs w:val="24"/>
        </w:rPr>
        <w:t xml:space="preserve">. </w:t>
      </w:r>
      <w:r w:rsidR="001E725D">
        <w:rPr>
          <w:rFonts w:ascii="Times New Roman" w:hAnsi="Times New Roman" w:cs="Times New Roman"/>
          <w:sz w:val="24"/>
          <w:szCs w:val="24"/>
        </w:rPr>
        <w:t>Consistent with the foregoing</w:t>
      </w:r>
      <w:r w:rsidR="00541C77">
        <w:rPr>
          <w:rFonts w:ascii="Times New Roman" w:hAnsi="Times New Roman" w:cs="Times New Roman"/>
          <w:sz w:val="24"/>
          <w:szCs w:val="24"/>
        </w:rPr>
        <w:t>, immunization continues to</w:t>
      </w:r>
      <w:r w:rsidRPr="009346BC">
        <w:rPr>
          <w:rFonts w:ascii="Times New Roman" w:hAnsi="Times New Roman" w:cs="Times New Roman"/>
          <w:sz w:val="24"/>
          <w:szCs w:val="24"/>
        </w:rPr>
        <w:t xml:space="preserve"> save</w:t>
      </w:r>
      <w:r w:rsidR="00541C77">
        <w:rPr>
          <w:rFonts w:ascii="Times New Roman" w:hAnsi="Times New Roman" w:cs="Times New Roman"/>
          <w:sz w:val="24"/>
          <w:szCs w:val="24"/>
        </w:rPr>
        <w:t xml:space="preserve"> about two to three million lives </w:t>
      </w:r>
      <w:r w:rsidR="001E725D">
        <w:rPr>
          <w:rFonts w:ascii="Times New Roman" w:hAnsi="Times New Roman" w:cs="Times New Roman"/>
          <w:sz w:val="24"/>
          <w:szCs w:val="24"/>
        </w:rPr>
        <w:t xml:space="preserve">every year, </w:t>
      </w:r>
      <w:r w:rsidR="00541C77">
        <w:rPr>
          <w:rFonts w:ascii="Times New Roman" w:hAnsi="Times New Roman" w:cs="Times New Roman"/>
          <w:sz w:val="24"/>
          <w:szCs w:val="24"/>
        </w:rPr>
        <w:t>glob</w:t>
      </w:r>
      <w:r w:rsidR="001E725D">
        <w:rPr>
          <w:rFonts w:ascii="Times New Roman" w:hAnsi="Times New Roman" w:cs="Times New Roman"/>
          <w:sz w:val="24"/>
          <w:szCs w:val="24"/>
        </w:rPr>
        <w:t>ally</w:t>
      </w:r>
      <w:r w:rsidR="007A183A">
        <w:rPr>
          <w:rFonts w:ascii="Times New Roman" w:hAnsi="Times New Roman" w:cs="Times New Roman"/>
          <w:sz w:val="24"/>
          <w:szCs w:val="24"/>
        </w:rPr>
        <w:t xml:space="preserve"> (Nandi &amp; </w:t>
      </w:r>
      <w:proofErr w:type="spellStart"/>
      <w:r w:rsidR="007A183A">
        <w:rPr>
          <w:rFonts w:ascii="Times New Roman" w:hAnsi="Times New Roman" w:cs="Times New Roman"/>
          <w:sz w:val="24"/>
          <w:szCs w:val="24"/>
        </w:rPr>
        <w:t>Shet</w:t>
      </w:r>
      <w:proofErr w:type="spellEnd"/>
      <w:r w:rsidR="007A183A">
        <w:rPr>
          <w:rFonts w:ascii="Times New Roman" w:hAnsi="Times New Roman" w:cs="Times New Roman"/>
          <w:sz w:val="24"/>
          <w:szCs w:val="24"/>
        </w:rPr>
        <w:t>, 2020</w:t>
      </w:r>
      <w:r w:rsidR="008139B5">
        <w:rPr>
          <w:rFonts w:ascii="Times New Roman" w:hAnsi="Times New Roman" w:cs="Times New Roman"/>
          <w:sz w:val="24"/>
          <w:szCs w:val="24"/>
        </w:rPr>
        <w:t xml:space="preserve">; </w:t>
      </w:r>
      <w:proofErr w:type="spellStart"/>
      <w:r w:rsidR="008139B5">
        <w:rPr>
          <w:rFonts w:ascii="Times New Roman" w:hAnsi="Times New Roman" w:cs="Times New Roman"/>
          <w:sz w:val="24"/>
          <w:szCs w:val="24"/>
        </w:rPr>
        <w:t>Tesema</w:t>
      </w:r>
      <w:proofErr w:type="spellEnd"/>
      <w:r w:rsidR="008139B5">
        <w:rPr>
          <w:rFonts w:ascii="Times New Roman" w:hAnsi="Times New Roman" w:cs="Times New Roman"/>
          <w:sz w:val="24"/>
          <w:szCs w:val="24"/>
        </w:rPr>
        <w:t xml:space="preserve"> et al, 2021</w:t>
      </w:r>
      <w:r w:rsidR="007A183A">
        <w:rPr>
          <w:rFonts w:ascii="Times New Roman" w:hAnsi="Times New Roman" w:cs="Times New Roman"/>
          <w:sz w:val="24"/>
          <w:szCs w:val="24"/>
        </w:rPr>
        <w:t>)</w:t>
      </w:r>
      <w:r w:rsidRPr="009346BC">
        <w:rPr>
          <w:rFonts w:ascii="Times New Roman" w:hAnsi="Times New Roman" w:cs="Times New Roman"/>
          <w:sz w:val="24"/>
          <w:szCs w:val="24"/>
        </w:rPr>
        <w:t xml:space="preserve">. </w:t>
      </w:r>
      <w:r w:rsidR="009268D5">
        <w:rPr>
          <w:rFonts w:ascii="Times New Roman" w:hAnsi="Times New Roman" w:cs="Times New Roman"/>
          <w:sz w:val="24"/>
          <w:szCs w:val="24"/>
        </w:rPr>
        <w:t xml:space="preserve">These positive outcomes have been from the implementation of established guidelines and policies in diverse health intervention programs, amid support from global stakeholders, for vaccine research, procurement and utilization in an integrated context (Nandi &amp; </w:t>
      </w:r>
      <w:proofErr w:type="spellStart"/>
      <w:r w:rsidR="009268D5">
        <w:rPr>
          <w:rFonts w:ascii="Times New Roman" w:hAnsi="Times New Roman" w:cs="Times New Roman"/>
          <w:sz w:val="24"/>
          <w:szCs w:val="24"/>
        </w:rPr>
        <w:t>Shet</w:t>
      </w:r>
      <w:proofErr w:type="spellEnd"/>
      <w:r w:rsidR="009268D5">
        <w:rPr>
          <w:rFonts w:ascii="Times New Roman" w:hAnsi="Times New Roman" w:cs="Times New Roman"/>
          <w:sz w:val="24"/>
          <w:szCs w:val="24"/>
        </w:rPr>
        <w:t>, 2020;</w:t>
      </w:r>
      <w:r w:rsidR="009268D5" w:rsidRPr="007A183A">
        <w:rPr>
          <w:rFonts w:ascii="Times New Roman" w:hAnsi="Times New Roman" w:cs="Times New Roman"/>
          <w:sz w:val="24"/>
          <w:szCs w:val="24"/>
        </w:rPr>
        <w:t xml:space="preserve"> </w:t>
      </w:r>
      <w:r w:rsidR="009268D5">
        <w:rPr>
          <w:rFonts w:ascii="Times New Roman" w:hAnsi="Times New Roman" w:cs="Times New Roman"/>
          <w:sz w:val="24"/>
          <w:szCs w:val="24"/>
        </w:rPr>
        <w:t xml:space="preserve">Rodrigues &amp; </w:t>
      </w:r>
      <w:proofErr w:type="spellStart"/>
      <w:r w:rsidR="009268D5" w:rsidRPr="009346BC">
        <w:rPr>
          <w:rFonts w:ascii="Times New Roman" w:hAnsi="Times New Roman" w:cs="Times New Roman"/>
          <w:sz w:val="24"/>
          <w:szCs w:val="24"/>
        </w:rPr>
        <w:t>Plotkin</w:t>
      </w:r>
      <w:proofErr w:type="spellEnd"/>
      <w:r w:rsidR="009268D5" w:rsidRPr="009346BC">
        <w:rPr>
          <w:rFonts w:ascii="Times New Roman" w:hAnsi="Times New Roman" w:cs="Times New Roman"/>
          <w:sz w:val="24"/>
          <w:szCs w:val="24"/>
        </w:rPr>
        <w:t>, 2020</w:t>
      </w:r>
      <w:r w:rsidR="009268D5">
        <w:rPr>
          <w:rFonts w:ascii="Times New Roman" w:hAnsi="Times New Roman" w:cs="Times New Roman"/>
          <w:sz w:val="24"/>
          <w:szCs w:val="24"/>
        </w:rPr>
        <w:t xml:space="preserve">). </w:t>
      </w:r>
      <w:r w:rsidR="002F20A0">
        <w:rPr>
          <w:rFonts w:ascii="Times New Roman" w:hAnsi="Times New Roman" w:cs="Times New Roman"/>
          <w:sz w:val="24"/>
          <w:szCs w:val="24"/>
        </w:rPr>
        <w:t xml:space="preserve">However, </w:t>
      </w:r>
      <w:r w:rsidR="009268D5">
        <w:rPr>
          <w:rFonts w:ascii="Times New Roman" w:hAnsi="Times New Roman" w:cs="Times New Roman"/>
          <w:sz w:val="24"/>
          <w:szCs w:val="24"/>
        </w:rPr>
        <w:t xml:space="preserve">the foregoing positive outcomes </w:t>
      </w:r>
      <w:r w:rsidR="002F20A0">
        <w:rPr>
          <w:rFonts w:ascii="Times New Roman" w:hAnsi="Times New Roman" w:cs="Times New Roman"/>
          <w:sz w:val="24"/>
          <w:szCs w:val="24"/>
        </w:rPr>
        <w:t xml:space="preserve">have </w:t>
      </w:r>
      <w:r w:rsidR="009268D5">
        <w:rPr>
          <w:rFonts w:ascii="Times New Roman" w:hAnsi="Times New Roman" w:cs="Times New Roman"/>
          <w:sz w:val="24"/>
          <w:szCs w:val="24"/>
        </w:rPr>
        <w:t>not been without surmounting</w:t>
      </w:r>
      <w:r w:rsidR="002F20A0">
        <w:rPr>
          <w:rFonts w:ascii="Times New Roman" w:hAnsi="Times New Roman" w:cs="Times New Roman"/>
          <w:sz w:val="24"/>
          <w:szCs w:val="24"/>
        </w:rPr>
        <w:t xml:space="preserve"> myriad inequities in the delivery of health care that are all at once common, genera</w:t>
      </w:r>
      <w:r w:rsidR="00263B80">
        <w:rPr>
          <w:rFonts w:ascii="Times New Roman" w:hAnsi="Times New Roman" w:cs="Times New Roman"/>
          <w:sz w:val="24"/>
          <w:szCs w:val="24"/>
        </w:rPr>
        <w:t>l and locale specific (Rodrigues</w:t>
      </w:r>
      <w:r w:rsidR="002F20A0">
        <w:rPr>
          <w:rFonts w:ascii="Times New Roman" w:hAnsi="Times New Roman" w:cs="Times New Roman"/>
          <w:sz w:val="24"/>
          <w:szCs w:val="24"/>
        </w:rPr>
        <w:t xml:space="preserve"> &amp; </w:t>
      </w:r>
      <w:proofErr w:type="spellStart"/>
      <w:r w:rsidR="002F20A0">
        <w:rPr>
          <w:rFonts w:ascii="Times New Roman" w:hAnsi="Times New Roman" w:cs="Times New Roman"/>
          <w:sz w:val="24"/>
          <w:szCs w:val="24"/>
        </w:rPr>
        <w:t>Plotkin</w:t>
      </w:r>
      <w:proofErr w:type="spellEnd"/>
      <w:r w:rsidR="002F20A0">
        <w:rPr>
          <w:rFonts w:ascii="Times New Roman" w:hAnsi="Times New Roman" w:cs="Times New Roman"/>
          <w:sz w:val="24"/>
          <w:szCs w:val="24"/>
        </w:rPr>
        <w:t>, 2020).</w:t>
      </w:r>
    </w:p>
    <w:p w14:paraId="150AA391" w14:textId="2EEA4F38" w:rsidR="000F699D" w:rsidRPr="009346BC" w:rsidRDefault="00F05201" w:rsidP="00D55BB7">
      <w:pPr>
        <w:spacing w:line="360" w:lineRule="auto"/>
        <w:jc w:val="both"/>
        <w:rPr>
          <w:rFonts w:ascii="Times New Roman" w:hAnsi="Times New Roman" w:cs="Times New Roman"/>
          <w:sz w:val="24"/>
          <w:szCs w:val="24"/>
        </w:rPr>
      </w:pPr>
      <w:r>
        <w:rPr>
          <w:rFonts w:ascii="Times New Roman" w:hAnsi="Times New Roman" w:cs="Times New Roman"/>
          <w:sz w:val="24"/>
          <w:szCs w:val="24"/>
        </w:rPr>
        <w:t>Whereas, immunization is but one of a</w:t>
      </w:r>
      <w:r w:rsidRPr="009346BC">
        <w:rPr>
          <w:rFonts w:ascii="Times New Roman" w:hAnsi="Times New Roman" w:cs="Times New Roman"/>
          <w:sz w:val="24"/>
          <w:szCs w:val="24"/>
        </w:rPr>
        <w:t xml:space="preserve"> diverse </w:t>
      </w:r>
      <w:r>
        <w:rPr>
          <w:rFonts w:ascii="Times New Roman" w:hAnsi="Times New Roman" w:cs="Times New Roman"/>
          <w:sz w:val="24"/>
          <w:szCs w:val="24"/>
        </w:rPr>
        <w:t xml:space="preserve">compendium of </w:t>
      </w:r>
      <w:r w:rsidRPr="009346BC">
        <w:rPr>
          <w:rFonts w:ascii="Times New Roman" w:hAnsi="Times New Roman" w:cs="Times New Roman"/>
          <w:sz w:val="24"/>
          <w:szCs w:val="24"/>
        </w:rPr>
        <w:t xml:space="preserve">health interventions </w:t>
      </w:r>
      <w:r>
        <w:rPr>
          <w:rFonts w:ascii="Times New Roman" w:hAnsi="Times New Roman" w:cs="Times New Roman"/>
          <w:sz w:val="24"/>
          <w:szCs w:val="24"/>
        </w:rPr>
        <w:t>available to ensure a</w:t>
      </w:r>
      <w:r w:rsidRPr="009346BC">
        <w:rPr>
          <w:rFonts w:ascii="Times New Roman" w:hAnsi="Times New Roman" w:cs="Times New Roman"/>
          <w:sz w:val="24"/>
          <w:szCs w:val="24"/>
        </w:rPr>
        <w:t xml:space="preserve"> healthy life</w:t>
      </w:r>
      <w:r>
        <w:rPr>
          <w:rFonts w:ascii="Times New Roman" w:hAnsi="Times New Roman" w:cs="Times New Roman"/>
          <w:sz w:val="24"/>
          <w:szCs w:val="24"/>
        </w:rPr>
        <w:t xml:space="preserve"> for infants and children</w:t>
      </w:r>
      <w:r w:rsidRPr="009346BC">
        <w:rPr>
          <w:rFonts w:ascii="Times New Roman" w:hAnsi="Times New Roman" w:cs="Times New Roman"/>
          <w:sz w:val="24"/>
          <w:szCs w:val="24"/>
        </w:rPr>
        <w:t xml:space="preserve">, it </w:t>
      </w:r>
      <w:r>
        <w:rPr>
          <w:rFonts w:ascii="Times New Roman" w:hAnsi="Times New Roman" w:cs="Times New Roman"/>
          <w:sz w:val="24"/>
          <w:szCs w:val="24"/>
        </w:rPr>
        <w:t>provides an opportunity for the on-boarding of other essential health care services such as micronutrient supplementation</w:t>
      </w:r>
      <w:r w:rsidR="00AE2D83">
        <w:rPr>
          <w:rFonts w:ascii="Times New Roman" w:hAnsi="Times New Roman" w:cs="Times New Roman"/>
          <w:sz w:val="24"/>
          <w:szCs w:val="24"/>
        </w:rPr>
        <w:t>, deworming, growth monitoring, health promotion and treatment of common ailments (WHO, 2018</w:t>
      </w:r>
      <w:r w:rsidR="008139B5">
        <w:rPr>
          <w:rFonts w:ascii="Times New Roman" w:hAnsi="Times New Roman" w:cs="Times New Roman"/>
          <w:sz w:val="24"/>
          <w:szCs w:val="24"/>
        </w:rPr>
        <w:t xml:space="preserve">; </w:t>
      </w:r>
      <w:proofErr w:type="spellStart"/>
      <w:r w:rsidR="008139B5">
        <w:rPr>
          <w:rFonts w:ascii="Times New Roman" w:hAnsi="Times New Roman" w:cs="Times New Roman"/>
          <w:sz w:val="24"/>
          <w:szCs w:val="24"/>
        </w:rPr>
        <w:t>Umoke</w:t>
      </w:r>
      <w:proofErr w:type="spellEnd"/>
      <w:r w:rsidR="008139B5">
        <w:rPr>
          <w:rFonts w:ascii="Times New Roman" w:hAnsi="Times New Roman" w:cs="Times New Roman"/>
          <w:sz w:val="24"/>
          <w:szCs w:val="24"/>
        </w:rPr>
        <w:t xml:space="preserve"> et al, 2021; WHO, 2023</w:t>
      </w:r>
      <w:r w:rsidR="00AE2D83">
        <w:rPr>
          <w:rFonts w:ascii="Times New Roman" w:hAnsi="Times New Roman" w:cs="Times New Roman"/>
          <w:sz w:val="24"/>
          <w:szCs w:val="24"/>
        </w:rPr>
        <w:t>). Consistent with the foregoing, health facility access for other services can serve as opportunities for immunization of eligible children with missed doses of earlier scheduled vaccines (WHO, 2018</w:t>
      </w:r>
      <w:r w:rsidR="008139B5">
        <w:rPr>
          <w:rFonts w:ascii="Times New Roman" w:hAnsi="Times New Roman" w:cs="Times New Roman"/>
          <w:sz w:val="24"/>
          <w:szCs w:val="24"/>
        </w:rPr>
        <w:t xml:space="preserve">; </w:t>
      </w:r>
      <w:proofErr w:type="spellStart"/>
      <w:r w:rsidR="008139B5">
        <w:rPr>
          <w:rFonts w:ascii="Times New Roman" w:hAnsi="Times New Roman" w:cs="Times New Roman"/>
          <w:sz w:val="24"/>
          <w:szCs w:val="24"/>
        </w:rPr>
        <w:t>Umoke</w:t>
      </w:r>
      <w:proofErr w:type="spellEnd"/>
      <w:r w:rsidR="008139B5">
        <w:rPr>
          <w:rFonts w:ascii="Times New Roman" w:hAnsi="Times New Roman" w:cs="Times New Roman"/>
          <w:sz w:val="24"/>
          <w:szCs w:val="24"/>
        </w:rPr>
        <w:t xml:space="preserve"> et al, 2021; WHO, 2023</w:t>
      </w:r>
      <w:r w:rsidR="00AE2D83">
        <w:rPr>
          <w:rFonts w:ascii="Times New Roman" w:hAnsi="Times New Roman" w:cs="Times New Roman"/>
          <w:sz w:val="24"/>
          <w:szCs w:val="24"/>
        </w:rPr>
        <w:t>). This context of programmatic integration belies the concept of immunization beyond infancy, which is one of the transformative actions fro</w:t>
      </w:r>
      <w:r w:rsidR="00380709">
        <w:rPr>
          <w:rFonts w:ascii="Times New Roman" w:hAnsi="Times New Roman" w:cs="Times New Roman"/>
          <w:sz w:val="24"/>
          <w:szCs w:val="24"/>
        </w:rPr>
        <w:t xml:space="preserve">m the World Health Organization’s Global Routine Immunization Strategies and Practices (GRISP) (WHO, 2018). </w:t>
      </w:r>
      <w:r w:rsidR="009268D5">
        <w:rPr>
          <w:rFonts w:ascii="Times New Roman" w:hAnsi="Times New Roman" w:cs="Times New Roman"/>
          <w:sz w:val="24"/>
          <w:szCs w:val="24"/>
        </w:rPr>
        <w:t>Consequently, a</w:t>
      </w:r>
      <w:r w:rsidR="001E725D">
        <w:rPr>
          <w:rFonts w:ascii="Times New Roman" w:hAnsi="Times New Roman" w:cs="Times New Roman"/>
          <w:sz w:val="24"/>
          <w:szCs w:val="24"/>
        </w:rPr>
        <w:t xml:space="preserve">doption of GRISP is noted to be very critical for </w:t>
      </w:r>
      <w:r w:rsidR="00D55BB7">
        <w:rPr>
          <w:rFonts w:ascii="Times New Roman" w:hAnsi="Times New Roman" w:cs="Times New Roman"/>
          <w:sz w:val="24"/>
          <w:szCs w:val="24"/>
        </w:rPr>
        <w:t>the strengthening of routine immunization as it encourages expanded scheduled immunization even after infancy (WHO, 2018</w:t>
      </w:r>
      <w:r w:rsidR="008139B5">
        <w:rPr>
          <w:rFonts w:ascii="Times New Roman" w:hAnsi="Times New Roman" w:cs="Times New Roman"/>
          <w:sz w:val="24"/>
          <w:szCs w:val="24"/>
        </w:rPr>
        <w:t>; WHO, 2023</w:t>
      </w:r>
      <w:r w:rsidR="00D55BB7">
        <w:rPr>
          <w:rFonts w:ascii="Times New Roman" w:hAnsi="Times New Roman" w:cs="Times New Roman"/>
          <w:sz w:val="24"/>
          <w:szCs w:val="24"/>
        </w:rPr>
        <w:t>).</w:t>
      </w:r>
    </w:p>
    <w:p w14:paraId="5431ACCB" w14:textId="6DEDEE1C" w:rsidR="000F699D" w:rsidRDefault="00D55BB7" w:rsidP="008509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this end, </w:t>
      </w:r>
      <w:r w:rsidR="009268D5">
        <w:rPr>
          <w:rFonts w:ascii="Times New Roman" w:hAnsi="Times New Roman" w:cs="Times New Roman"/>
          <w:sz w:val="24"/>
          <w:szCs w:val="24"/>
        </w:rPr>
        <w:t xml:space="preserve">therefore, </w:t>
      </w:r>
      <w:r>
        <w:rPr>
          <w:rFonts w:ascii="Times New Roman" w:hAnsi="Times New Roman" w:cs="Times New Roman"/>
          <w:sz w:val="24"/>
          <w:szCs w:val="24"/>
        </w:rPr>
        <w:t xml:space="preserve">the concept of second year of life (2YL) immunization advocates for the vaccination of children from twelve to twenty-four months and beyond, with the recommended </w:t>
      </w:r>
      <w:r>
        <w:rPr>
          <w:rFonts w:ascii="Times New Roman" w:hAnsi="Times New Roman" w:cs="Times New Roman"/>
          <w:sz w:val="24"/>
          <w:szCs w:val="24"/>
        </w:rPr>
        <w:lastRenderedPageBreak/>
        <w:t>vaccines antigens. The essential premise being to increase herd immunity as well as attain global vaccination coverage and disease control and elimination goals (</w:t>
      </w:r>
      <w:r w:rsidR="0085090B">
        <w:rPr>
          <w:rFonts w:ascii="Times New Roman" w:hAnsi="Times New Roman" w:cs="Times New Roman"/>
          <w:sz w:val="24"/>
          <w:szCs w:val="24"/>
        </w:rPr>
        <w:t xml:space="preserve">Hanson et al, 2018; </w:t>
      </w:r>
      <w:proofErr w:type="spellStart"/>
      <w:r w:rsidR="0085090B">
        <w:rPr>
          <w:rFonts w:ascii="Times New Roman" w:hAnsi="Times New Roman" w:cs="Times New Roman"/>
          <w:sz w:val="24"/>
          <w:szCs w:val="24"/>
        </w:rPr>
        <w:t>Tchouale</w:t>
      </w:r>
      <w:r w:rsidR="00263B80">
        <w:rPr>
          <w:rFonts w:ascii="Times New Roman" w:hAnsi="Times New Roman" w:cs="Times New Roman"/>
          <w:sz w:val="24"/>
          <w:szCs w:val="24"/>
        </w:rPr>
        <w:t>u</w:t>
      </w:r>
      <w:proofErr w:type="spellEnd"/>
      <w:r w:rsidR="0085090B">
        <w:rPr>
          <w:rFonts w:ascii="Times New Roman" w:hAnsi="Times New Roman" w:cs="Times New Roman"/>
          <w:sz w:val="24"/>
          <w:szCs w:val="24"/>
        </w:rPr>
        <w:t xml:space="preserve"> et al, 2021). 2YL </w:t>
      </w:r>
      <w:r w:rsidR="000766A8">
        <w:rPr>
          <w:rFonts w:ascii="Times New Roman" w:hAnsi="Times New Roman" w:cs="Times New Roman"/>
          <w:sz w:val="24"/>
          <w:szCs w:val="24"/>
        </w:rPr>
        <w:t xml:space="preserve">immunization </w:t>
      </w:r>
      <w:r w:rsidR="0085090B">
        <w:rPr>
          <w:rFonts w:ascii="Times New Roman" w:hAnsi="Times New Roman" w:cs="Times New Roman"/>
          <w:sz w:val="24"/>
          <w:szCs w:val="24"/>
        </w:rPr>
        <w:t>further serves as an opportunity to improve the uptake of new vaccines</w:t>
      </w:r>
      <w:r w:rsidR="008139B5">
        <w:rPr>
          <w:rFonts w:ascii="Times New Roman" w:hAnsi="Times New Roman" w:cs="Times New Roman"/>
          <w:sz w:val="24"/>
          <w:szCs w:val="24"/>
        </w:rPr>
        <w:t>,</w:t>
      </w:r>
      <w:r w:rsidR="0085090B">
        <w:rPr>
          <w:rFonts w:ascii="Times New Roman" w:hAnsi="Times New Roman" w:cs="Times New Roman"/>
          <w:sz w:val="24"/>
          <w:szCs w:val="24"/>
        </w:rPr>
        <w:t xml:space="preserve"> when introduced</w:t>
      </w:r>
      <w:r w:rsidR="008139B5">
        <w:rPr>
          <w:rFonts w:ascii="Times New Roman" w:hAnsi="Times New Roman" w:cs="Times New Roman"/>
          <w:sz w:val="24"/>
          <w:szCs w:val="24"/>
        </w:rPr>
        <w:t>,</w:t>
      </w:r>
      <w:r w:rsidR="000766A8">
        <w:rPr>
          <w:rFonts w:ascii="Times New Roman" w:hAnsi="Times New Roman" w:cs="Times New Roman"/>
          <w:sz w:val="24"/>
          <w:szCs w:val="24"/>
        </w:rPr>
        <w:t xml:space="preserve"> and strengthen </w:t>
      </w:r>
      <w:r w:rsidR="0085090B">
        <w:rPr>
          <w:rFonts w:ascii="Times New Roman" w:hAnsi="Times New Roman" w:cs="Times New Roman"/>
          <w:sz w:val="24"/>
          <w:szCs w:val="24"/>
        </w:rPr>
        <w:t>health</w:t>
      </w:r>
      <w:r w:rsidR="000766A8">
        <w:rPr>
          <w:rFonts w:ascii="Times New Roman" w:hAnsi="Times New Roman" w:cs="Times New Roman"/>
          <w:sz w:val="24"/>
          <w:szCs w:val="24"/>
        </w:rPr>
        <w:t xml:space="preserve"> systems</w:t>
      </w:r>
      <w:r w:rsidR="0085090B">
        <w:rPr>
          <w:rFonts w:ascii="Times New Roman" w:hAnsi="Times New Roman" w:cs="Times New Roman"/>
          <w:sz w:val="24"/>
          <w:szCs w:val="24"/>
        </w:rPr>
        <w:t xml:space="preserve"> through integration of services with other intervention programs (WHO, 2018; Hanson et al, 2018; </w:t>
      </w:r>
      <w:proofErr w:type="spellStart"/>
      <w:r w:rsidR="0085090B">
        <w:rPr>
          <w:rFonts w:ascii="Times New Roman" w:hAnsi="Times New Roman" w:cs="Times New Roman"/>
          <w:sz w:val="24"/>
          <w:szCs w:val="24"/>
        </w:rPr>
        <w:t>Tchouale</w:t>
      </w:r>
      <w:r w:rsidR="00263B80">
        <w:rPr>
          <w:rFonts w:ascii="Times New Roman" w:hAnsi="Times New Roman" w:cs="Times New Roman"/>
          <w:sz w:val="24"/>
          <w:szCs w:val="24"/>
        </w:rPr>
        <w:t>u</w:t>
      </w:r>
      <w:proofErr w:type="spellEnd"/>
      <w:r w:rsidR="0085090B">
        <w:rPr>
          <w:rFonts w:ascii="Times New Roman" w:hAnsi="Times New Roman" w:cs="Times New Roman"/>
          <w:sz w:val="24"/>
          <w:szCs w:val="24"/>
        </w:rPr>
        <w:t xml:space="preserve"> et al, 2021). </w:t>
      </w:r>
      <w:r w:rsidR="002B154F">
        <w:rPr>
          <w:rFonts w:ascii="Times New Roman" w:hAnsi="Times New Roman" w:cs="Times New Roman"/>
          <w:sz w:val="24"/>
          <w:szCs w:val="24"/>
        </w:rPr>
        <w:t>Consequently</w:t>
      </w:r>
      <w:r w:rsidR="0085090B">
        <w:rPr>
          <w:rFonts w:ascii="Times New Roman" w:hAnsi="Times New Roman" w:cs="Times New Roman"/>
          <w:sz w:val="24"/>
          <w:szCs w:val="24"/>
        </w:rPr>
        <w:t xml:space="preserve">, the vaccination of eligible children, in the 2YL, with </w:t>
      </w:r>
      <w:r w:rsidR="002B154F">
        <w:rPr>
          <w:rFonts w:ascii="Times New Roman" w:hAnsi="Times New Roman" w:cs="Times New Roman"/>
          <w:sz w:val="24"/>
          <w:szCs w:val="24"/>
        </w:rPr>
        <w:t xml:space="preserve">one of the recommended three </w:t>
      </w:r>
      <w:r w:rsidR="0085090B">
        <w:rPr>
          <w:rFonts w:ascii="Times New Roman" w:hAnsi="Times New Roman" w:cs="Times New Roman"/>
          <w:sz w:val="24"/>
          <w:szCs w:val="24"/>
        </w:rPr>
        <w:t xml:space="preserve">booster doses of tetanus toxoid vaccine, </w:t>
      </w:r>
      <w:r w:rsidR="002B154F">
        <w:rPr>
          <w:rFonts w:ascii="Times New Roman" w:hAnsi="Times New Roman" w:cs="Times New Roman"/>
          <w:sz w:val="24"/>
          <w:szCs w:val="24"/>
        </w:rPr>
        <w:t xml:space="preserve">as well as the </w:t>
      </w:r>
      <w:r w:rsidR="0085090B">
        <w:rPr>
          <w:rFonts w:ascii="Times New Roman" w:hAnsi="Times New Roman" w:cs="Times New Roman"/>
          <w:sz w:val="24"/>
          <w:szCs w:val="24"/>
        </w:rPr>
        <w:t xml:space="preserve">second dose of the measles vaccine, is </w:t>
      </w:r>
      <w:r w:rsidR="002B154F">
        <w:rPr>
          <w:rFonts w:ascii="Times New Roman" w:hAnsi="Times New Roman" w:cs="Times New Roman"/>
          <w:sz w:val="24"/>
          <w:szCs w:val="24"/>
        </w:rPr>
        <w:t>noted to increase protection against the</w:t>
      </w:r>
      <w:r w:rsidR="000766A8">
        <w:rPr>
          <w:rFonts w:ascii="Times New Roman" w:hAnsi="Times New Roman" w:cs="Times New Roman"/>
          <w:sz w:val="24"/>
          <w:szCs w:val="24"/>
        </w:rPr>
        <w:t>se</w:t>
      </w:r>
      <w:r w:rsidR="002B154F">
        <w:rPr>
          <w:rFonts w:ascii="Times New Roman" w:hAnsi="Times New Roman" w:cs="Times New Roman"/>
          <w:sz w:val="24"/>
          <w:szCs w:val="24"/>
        </w:rPr>
        <w:t xml:space="preserve"> target diseases and is a testament to the increasing significance of 2YL immunization</w:t>
      </w:r>
      <w:r w:rsidR="00263B80">
        <w:rPr>
          <w:rFonts w:ascii="Times New Roman" w:hAnsi="Times New Roman" w:cs="Times New Roman"/>
          <w:sz w:val="24"/>
          <w:szCs w:val="24"/>
        </w:rPr>
        <w:t>, globally (WHO, 2018; Rodrigues</w:t>
      </w:r>
      <w:r w:rsidR="002B154F">
        <w:rPr>
          <w:rFonts w:ascii="Times New Roman" w:hAnsi="Times New Roman" w:cs="Times New Roman"/>
          <w:sz w:val="24"/>
          <w:szCs w:val="24"/>
        </w:rPr>
        <w:t xml:space="preserve"> &amp; </w:t>
      </w:r>
      <w:proofErr w:type="spellStart"/>
      <w:r w:rsidR="002B154F">
        <w:rPr>
          <w:rFonts w:ascii="Times New Roman" w:hAnsi="Times New Roman" w:cs="Times New Roman"/>
          <w:sz w:val="24"/>
          <w:szCs w:val="24"/>
        </w:rPr>
        <w:t>Plotkin</w:t>
      </w:r>
      <w:proofErr w:type="spellEnd"/>
      <w:r w:rsidR="002B154F">
        <w:rPr>
          <w:rFonts w:ascii="Times New Roman" w:hAnsi="Times New Roman" w:cs="Times New Roman"/>
          <w:sz w:val="24"/>
          <w:szCs w:val="24"/>
        </w:rPr>
        <w:t>, 2020).</w:t>
      </w:r>
    </w:p>
    <w:p w14:paraId="251F4806" w14:textId="27A05A8F" w:rsidR="004E4C07" w:rsidRDefault="00256B06" w:rsidP="00256B06">
      <w:pPr>
        <w:spacing w:after="200" w:line="360" w:lineRule="auto"/>
        <w:jc w:val="both"/>
        <w:rPr>
          <w:rFonts w:ascii="Times New Roman" w:hAnsi="Times New Roman" w:cs="Times New Roman"/>
          <w:sz w:val="24"/>
          <w:szCs w:val="24"/>
        </w:rPr>
      </w:pPr>
      <w:r w:rsidRPr="001F20F5">
        <w:rPr>
          <w:rFonts w:ascii="Times New Roman" w:eastAsia="Calibri" w:hAnsi="Times New Roman" w:cs="Times New Roman"/>
          <w:sz w:val="24"/>
          <w:szCs w:val="24"/>
        </w:rPr>
        <w:t>In Low-and-Middle-Income-Countries</w:t>
      </w:r>
      <w:r>
        <w:rPr>
          <w:rFonts w:ascii="Times New Roman" w:eastAsia="Calibri" w:hAnsi="Times New Roman" w:cs="Times New Roman"/>
          <w:sz w:val="24"/>
          <w:szCs w:val="24"/>
        </w:rPr>
        <w:t xml:space="preserve"> (LMIC’s)</w:t>
      </w:r>
      <w:r w:rsidRPr="001F20F5">
        <w:rPr>
          <w:rFonts w:ascii="Times New Roman" w:eastAsia="Calibri" w:hAnsi="Times New Roman" w:cs="Times New Roman"/>
          <w:sz w:val="24"/>
          <w:szCs w:val="24"/>
        </w:rPr>
        <w:t>, such as Nigeria, vaccine preventable diseases are noted to be the major contributors to high child morbidity and mortality, accounting for over seven hundred thousand deaths, in the year 2018 (</w:t>
      </w:r>
      <w:proofErr w:type="spellStart"/>
      <w:r w:rsidRPr="001F20F5">
        <w:rPr>
          <w:rFonts w:ascii="Times New Roman" w:eastAsia="Calibri" w:hAnsi="Times New Roman" w:cs="Times New Roman"/>
          <w:sz w:val="24"/>
          <w:szCs w:val="24"/>
        </w:rPr>
        <w:t>Frenkel</w:t>
      </w:r>
      <w:proofErr w:type="spellEnd"/>
      <w:r w:rsidRPr="001F20F5">
        <w:rPr>
          <w:rFonts w:ascii="Times New Roman" w:eastAsia="Calibri" w:hAnsi="Times New Roman" w:cs="Times New Roman"/>
          <w:sz w:val="24"/>
          <w:szCs w:val="24"/>
        </w:rPr>
        <w:t xml:space="preserve">, L.D., 2018; </w:t>
      </w:r>
      <w:proofErr w:type="spellStart"/>
      <w:r w:rsidRPr="001F20F5">
        <w:rPr>
          <w:rFonts w:ascii="Times New Roman" w:eastAsia="Calibri" w:hAnsi="Times New Roman" w:cs="Times New Roman"/>
          <w:sz w:val="24"/>
          <w:szCs w:val="24"/>
        </w:rPr>
        <w:t>Tesema</w:t>
      </w:r>
      <w:proofErr w:type="spellEnd"/>
      <w:r w:rsidRPr="001F20F5">
        <w:rPr>
          <w:rFonts w:ascii="Times New Roman" w:eastAsia="Calibri" w:hAnsi="Times New Roman" w:cs="Times New Roman"/>
          <w:sz w:val="24"/>
          <w:szCs w:val="24"/>
        </w:rPr>
        <w:t>, et al, 2021) and two hundred thousand deaths per annum in Nigeria, particularly (</w:t>
      </w:r>
      <w:proofErr w:type="spellStart"/>
      <w:r w:rsidRPr="001F20F5">
        <w:rPr>
          <w:rFonts w:ascii="Times New Roman" w:eastAsia="Calibri" w:hAnsi="Times New Roman" w:cs="Times New Roman"/>
          <w:sz w:val="24"/>
          <w:szCs w:val="24"/>
        </w:rPr>
        <w:t>Umoke</w:t>
      </w:r>
      <w:proofErr w:type="spellEnd"/>
      <w:r w:rsidRPr="001F20F5">
        <w:rPr>
          <w:rFonts w:ascii="Times New Roman" w:eastAsia="Calibri" w:hAnsi="Times New Roman" w:cs="Times New Roman"/>
          <w:sz w:val="24"/>
          <w:szCs w:val="24"/>
        </w:rPr>
        <w:t xml:space="preserve"> et al, 2021). Therefore, administration of vaccines at appropriate ages and specified time periods, as well as, completeness of same</w:t>
      </w:r>
      <w:r w:rsidR="00C61F83">
        <w:rPr>
          <w:rFonts w:ascii="Times New Roman" w:eastAsia="Calibri" w:hAnsi="Times New Roman" w:cs="Times New Roman"/>
          <w:sz w:val="24"/>
          <w:szCs w:val="24"/>
        </w:rPr>
        <w:t>,</w:t>
      </w:r>
      <w:r w:rsidRPr="001F20F5">
        <w:rPr>
          <w:rFonts w:ascii="Times New Roman" w:eastAsia="Calibri" w:hAnsi="Times New Roman" w:cs="Times New Roman"/>
          <w:sz w:val="24"/>
          <w:szCs w:val="24"/>
        </w:rPr>
        <w:t xml:space="preserve"> are crucial to the reversal of poor health outcomes for childre</w:t>
      </w:r>
      <w:r>
        <w:rPr>
          <w:rFonts w:ascii="Times New Roman" w:eastAsia="Calibri" w:hAnsi="Times New Roman" w:cs="Times New Roman"/>
          <w:sz w:val="24"/>
          <w:szCs w:val="24"/>
        </w:rPr>
        <w:t xml:space="preserve">n, especially, and adults as well </w:t>
      </w:r>
      <w:r w:rsidRPr="001F20F5">
        <w:rPr>
          <w:rFonts w:ascii="Times New Roman" w:eastAsia="Calibri" w:hAnsi="Times New Roman" w:cs="Times New Roman"/>
          <w:sz w:val="24"/>
          <w:szCs w:val="24"/>
        </w:rPr>
        <w:t>(WHO &amp; UNICEF</w:t>
      </w:r>
      <w:r>
        <w:rPr>
          <w:rFonts w:ascii="Times New Roman" w:eastAsia="Calibri" w:hAnsi="Times New Roman" w:cs="Times New Roman"/>
          <w:sz w:val="24"/>
          <w:szCs w:val="24"/>
        </w:rPr>
        <w:t xml:space="preserve">, 2019). Thus, </w:t>
      </w:r>
      <w:r>
        <w:rPr>
          <w:rFonts w:ascii="Times New Roman" w:hAnsi="Times New Roman" w:cs="Times New Roman"/>
          <w:sz w:val="24"/>
          <w:szCs w:val="24"/>
        </w:rPr>
        <w:t>2YL immunization significantly impacts dis</w:t>
      </w:r>
      <w:r w:rsidR="004E4C07">
        <w:rPr>
          <w:rFonts w:ascii="Times New Roman" w:hAnsi="Times New Roman" w:cs="Times New Roman"/>
          <w:sz w:val="24"/>
          <w:szCs w:val="24"/>
        </w:rPr>
        <w:t>ease morbidity and mortality th</w:t>
      </w:r>
      <w:r>
        <w:rPr>
          <w:rFonts w:ascii="Times New Roman" w:hAnsi="Times New Roman" w:cs="Times New Roman"/>
          <w:sz w:val="24"/>
          <w:szCs w:val="24"/>
        </w:rPr>
        <w:t>r</w:t>
      </w:r>
      <w:r w:rsidR="004E4C07">
        <w:rPr>
          <w:rFonts w:ascii="Times New Roman" w:hAnsi="Times New Roman" w:cs="Times New Roman"/>
          <w:sz w:val="24"/>
          <w:szCs w:val="24"/>
        </w:rPr>
        <w:t>o</w:t>
      </w:r>
      <w:r>
        <w:rPr>
          <w:rFonts w:ascii="Times New Roman" w:hAnsi="Times New Roman" w:cs="Times New Roman"/>
          <w:sz w:val="24"/>
          <w:szCs w:val="24"/>
        </w:rPr>
        <w:t xml:space="preserve">ugh the provision of a window of opportunity for appropriate protection of vulnerable target groups </w:t>
      </w:r>
      <w:r w:rsidR="004E4C07">
        <w:rPr>
          <w:rFonts w:ascii="Times New Roman" w:hAnsi="Times New Roman" w:cs="Times New Roman"/>
          <w:sz w:val="24"/>
          <w:szCs w:val="24"/>
        </w:rPr>
        <w:t>using the vehicle of immunization (</w:t>
      </w:r>
      <w:proofErr w:type="spellStart"/>
      <w:r w:rsidR="004E4C07">
        <w:rPr>
          <w:rFonts w:ascii="Times New Roman" w:hAnsi="Times New Roman" w:cs="Times New Roman"/>
          <w:sz w:val="24"/>
          <w:szCs w:val="24"/>
        </w:rPr>
        <w:t>Wagstaff</w:t>
      </w:r>
      <w:proofErr w:type="spellEnd"/>
      <w:r w:rsidR="004E4C07">
        <w:rPr>
          <w:rFonts w:ascii="Times New Roman" w:hAnsi="Times New Roman" w:cs="Times New Roman"/>
          <w:sz w:val="24"/>
          <w:szCs w:val="24"/>
        </w:rPr>
        <w:t xml:space="preserve"> et al, 2018; WHO &amp; UNICEF, 2019; Nandi &amp; </w:t>
      </w:r>
      <w:proofErr w:type="spellStart"/>
      <w:r w:rsidR="004E4C07">
        <w:rPr>
          <w:rFonts w:ascii="Times New Roman" w:hAnsi="Times New Roman" w:cs="Times New Roman"/>
          <w:sz w:val="24"/>
          <w:szCs w:val="24"/>
        </w:rPr>
        <w:t>Shet</w:t>
      </w:r>
      <w:proofErr w:type="spellEnd"/>
      <w:r w:rsidR="004E4C07">
        <w:rPr>
          <w:rFonts w:ascii="Times New Roman" w:hAnsi="Times New Roman" w:cs="Times New Roman"/>
          <w:sz w:val="24"/>
          <w:szCs w:val="24"/>
        </w:rPr>
        <w:t>, 2020).</w:t>
      </w:r>
    </w:p>
    <w:p w14:paraId="17EF55D9" w14:textId="4A3EE856" w:rsidR="000F699D" w:rsidRPr="00BF51C0" w:rsidRDefault="004E4C07" w:rsidP="00BF51C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008C7418">
        <w:rPr>
          <w:rFonts w:ascii="Times New Roman" w:hAnsi="Times New Roman" w:cs="Times New Roman"/>
          <w:sz w:val="24"/>
          <w:szCs w:val="24"/>
        </w:rPr>
        <w:t xml:space="preserve"> in </w:t>
      </w:r>
      <w:r w:rsidR="00C61F83">
        <w:rPr>
          <w:rFonts w:ascii="Times New Roman" w:hAnsi="Times New Roman" w:cs="Times New Roman"/>
          <w:sz w:val="24"/>
          <w:szCs w:val="24"/>
        </w:rPr>
        <w:t xml:space="preserve">Nigeria and </w:t>
      </w:r>
      <w:r>
        <w:rPr>
          <w:rFonts w:ascii="Times New Roman" w:hAnsi="Times New Roman" w:cs="Times New Roman"/>
          <w:sz w:val="24"/>
          <w:szCs w:val="24"/>
        </w:rPr>
        <w:t>many LMIC’</w:t>
      </w:r>
      <w:r w:rsidR="008C7418">
        <w:rPr>
          <w:rFonts w:ascii="Times New Roman" w:hAnsi="Times New Roman" w:cs="Times New Roman"/>
          <w:sz w:val="24"/>
          <w:szCs w:val="24"/>
        </w:rPr>
        <w:t>s</w:t>
      </w:r>
      <w:r w:rsidR="00BF51C0">
        <w:rPr>
          <w:rFonts w:ascii="Times New Roman" w:hAnsi="Times New Roman" w:cs="Times New Roman"/>
          <w:sz w:val="24"/>
          <w:szCs w:val="24"/>
        </w:rPr>
        <w:t>,</w:t>
      </w:r>
      <w:r w:rsidR="008C7418">
        <w:rPr>
          <w:rFonts w:ascii="Times New Roman" w:hAnsi="Times New Roman" w:cs="Times New Roman"/>
          <w:sz w:val="24"/>
          <w:szCs w:val="24"/>
        </w:rPr>
        <w:t xml:space="preserve"> where out of pocket expenditure is still the predominant form of payment for health care, </w:t>
      </w:r>
      <w:r>
        <w:rPr>
          <w:rFonts w:ascii="Times New Roman" w:hAnsi="Times New Roman" w:cs="Times New Roman"/>
          <w:sz w:val="24"/>
          <w:szCs w:val="24"/>
        </w:rPr>
        <w:t xml:space="preserve">2YL has the advantage of </w:t>
      </w:r>
      <w:r w:rsidR="00FB3DDF">
        <w:rPr>
          <w:rFonts w:ascii="Times New Roman" w:hAnsi="Times New Roman" w:cs="Times New Roman"/>
          <w:sz w:val="24"/>
          <w:szCs w:val="24"/>
        </w:rPr>
        <w:t>preventi</w:t>
      </w:r>
      <w:r>
        <w:rPr>
          <w:rFonts w:ascii="Times New Roman" w:hAnsi="Times New Roman" w:cs="Times New Roman"/>
          <w:sz w:val="24"/>
          <w:szCs w:val="24"/>
        </w:rPr>
        <w:t xml:space="preserve">ng </w:t>
      </w:r>
      <w:r w:rsidR="00FB3DDF">
        <w:rPr>
          <w:rFonts w:ascii="Times New Roman" w:hAnsi="Times New Roman" w:cs="Times New Roman"/>
          <w:sz w:val="24"/>
          <w:szCs w:val="24"/>
        </w:rPr>
        <w:t>catastrophic expenditure</w:t>
      </w:r>
      <w:r>
        <w:rPr>
          <w:rFonts w:ascii="Times New Roman" w:hAnsi="Times New Roman" w:cs="Times New Roman"/>
          <w:sz w:val="24"/>
          <w:szCs w:val="24"/>
        </w:rPr>
        <w:t xml:space="preserve">, through </w:t>
      </w:r>
      <w:r w:rsidR="00C61F83">
        <w:rPr>
          <w:rFonts w:ascii="Times New Roman" w:hAnsi="Times New Roman" w:cs="Times New Roman"/>
          <w:sz w:val="24"/>
          <w:szCs w:val="24"/>
        </w:rPr>
        <w:t xml:space="preserve">post vaccination reduction in disease prevalence and </w:t>
      </w:r>
      <w:r w:rsidR="00C61F83" w:rsidRPr="009346BC">
        <w:rPr>
          <w:rFonts w:ascii="Times New Roman" w:hAnsi="Times New Roman" w:cs="Times New Roman"/>
          <w:sz w:val="24"/>
          <w:szCs w:val="24"/>
        </w:rPr>
        <w:t>incidence</w:t>
      </w:r>
      <w:r w:rsidR="00C61F83">
        <w:rPr>
          <w:rFonts w:ascii="Times New Roman" w:hAnsi="Times New Roman" w:cs="Times New Roman"/>
          <w:sz w:val="24"/>
          <w:szCs w:val="24"/>
        </w:rPr>
        <w:t xml:space="preserve">, mainly by </w:t>
      </w:r>
      <w:r w:rsidR="00FB3DDF">
        <w:rPr>
          <w:rFonts w:ascii="Times New Roman" w:hAnsi="Times New Roman" w:cs="Times New Roman"/>
          <w:sz w:val="24"/>
          <w:szCs w:val="24"/>
        </w:rPr>
        <w:t>aversion of cost of illness such as cost of medical consultation</w:t>
      </w:r>
      <w:r w:rsidR="008C7418">
        <w:rPr>
          <w:rFonts w:ascii="Times New Roman" w:hAnsi="Times New Roman" w:cs="Times New Roman"/>
          <w:sz w:val="24"/>
          <w:szCs w:val="24"/>
        </w:rPr>
        <w:t xml:space="preserve">, hospitalization, drugs and procedures as well as productivity losses for </w:t>
      </w:r>
      <w:r w:rsidR="00C61F83">
        <w:rPr>
          <w:rFonts w:ascii="Times New Roman" w:hAnsi="Times New Roman" w:cs="Times New Roman"/>
          <w:sz w:val="24"/>
          <w:szCs w:val="24"/>
        </w:rPr>
        <w:t>caregivers</w:t>
      </w:r>
      <w:r>
        <w:rPr>
          <w:rFonts w:ascii="Times New Roman" w:hAnsi="Times New Roman" w:cs="Times New Roman"/>
          <w:sz w:val="24"/>
          <w:szCs w:val="24"/>
        </w:rPr>
        <w:t xml:space="preserve"> </w:t>
      </w:r>
      <w:r w:rsidR="008C7418">
        <w:rPr>
          <w:rFonts w:ascii="Times New Roman" w:hAnsi="Times New Roman" w:cs="Times New Roman"/>
          <w:sz w:val="24"/>
          <w:szCs w:val="24"/>
        </w:rPr>
        <w:t>(</w:t>
      </w:r>
      <w:proofErr w:type="spellStart"/>
      <w:r w:rsidR="008C7418">
        <w:rPr>
          <w:rFonts w:ascii="Times New Roman" w:hAnsi="Times New Roman" w:cs="Times New Roman"/>
          <w:sz w:val="24"/>
          <w:szCs w:val="24"/>
        </w:rPr>
        <w:t>Wagstaff</w:t>
      </w:r>
      <w:proofErr w:type="spellEnd"/>
      <w:r w:rsidR="008C7418">
        <w:rPr>
          <w:rFonts w:ascii="Times New Roman" w:hAnsi="Times New Roman" w:cs="Times New Roman"/>
          <w:sz w:val="24"/>
          <w:szCs w:val="24"/>
        </w:rPr>
        <w:t xml:space="preserve"> et al, 2018; Nandi &amp; </w:t>
      </w:r>
      <w:proofErr w:type="spellStart"/>
      <w:r w:rsidR="008C7418">
        <w:rPr>
          <w:rFonts w:ascii="Times New Roman" w:hAnsi="Times New Roman" w:cs="Times New Roman"/>
          <w:sz w:val="24"/>
          <w:szCs w:val="24"/>
        </w:rPr>
        <w:t>Shet</w:t>
      </w:r>
      <w:proofErr w:type="spellEnd"/>
      <w:r w:rsidR="008C7418">
        <w:rPr>
          <w:rFonts w:ascii="Times New Roman" w:hAnsi="Times New Roman" w:cs="Times New Roman"/>
          <w:sz w:val="24"/>
          <w:szCs w:val="24"/>
        </w:rPr>
        <w:t>, 2020).</w:t>
      </w:r>
      <w:r w:rsidR="00674F34">
        <w:rPr>
          <w:rFonts w:ascii="Times New Roman" w:hAnsi="Times New Roman" w:cs="Times New Roman"/>
          <w:sz w:val="24"/>
          <w:szCs w:val="24"/>
        </w:rPr>
        <w:t xml:space="preserve"> Consequently, about forty-one GAVI eligibl</w:t>
      </w:r>
      <w:r w:rsidR="00C61F83">
        <w:rPr>
          <w:rFonts w:ascii="Times New Roman" w:hAnsi="Times New Roman" w:cs="Times New Roman"/>
          <w:sz w:val="24"/>
          <w:szCs w:val="24"/>
        </w:rPr>
        <w:t>e LMIC’</w:t>
      </w:r>
      <w:r w:rsidR="00674F34">
        <w:rPr>
          <w:rFonts w:ascii="Times New Roman" w:hAnsi="Times New Roman" w:cs="Times New Roman"/>
          <w:sz w:val="24"/>
          <w:szCs w:val="24"/>
        </w:rPr>
        <w:t>s are projected to prevent expenditure of $4.6 billion in self provided funding through t</w:t>
      </w:r>
      <w:r w:rsidR="00C61F83">
        <w:rPr>
          <w:rFonts w:ascii="Times New Roman" w:hAnsi="Times New Roman" w:cs="Times New Roman"/>
          <w:sz w:val="24"/>
          <w:szCs w:val="24"/>
        </w:rPr>
        <w:t>he implementation of 2YL for</w:t>
      </w:r>
      <w:r w:rsidR="00674F34">
        <w:rPr>
          <w:rFonts w:ascii="Times New Roman" w:hAnsi="Times New Roman" w:cs="Times New Roman"/>
          <w:sz w:val="24"/>
          <w:szCs w:val="24"/>
        </w:rPr>
        <w:t xml:space="preserve"> measles, rotavirus and pneumococcal vaccines (</w:t>
      </w:r>
      <w:proofErr w:type="spellStart"/>
      <w:r w:rsidR="00674F34">
        <w:rPr>
          <w:rFonts w:ascii="Times New Roman" w:hAnsi="Times New Roman" w:cs="Times New Roman"/>
          <w:sz w:val="24"/>
          <w:szCs w:val="24"/>
        </w:rPr>
        <w:t>Wagstaff</w:t>
      </w:r>
      <w:proofErr w:type="spellEnd"/>
      <w:r w:rsidR="00674F34">
        <w:rPr>
          <w:rFonts w:ascii="Times New Roman" w:hAnsi="Times New Roman" w:cs="Times New Roman"/>
          <w:sz w:val="24"/>
          <w:szCs w:val="24"/>
        </w:rPr>
        <w:t xml:space="preserve"> et al, 2018; Nandi &amp; Seth, 2020). This has the ripple effect of reducing poverty</w:t>
      </w:r>
      <w:r w:rsidR="000B5903">
        <w:rPr>
          <w:rFonts w:ascii="Times New Roman" w:hAnsi="Times New Roman" w:cs="Times New Roman"/>
          <w:sz w:val="24"/>
          <w:szCs w:val="24"/>
        </w:rPr>
        <w:t xml:space="preserve"> through expenditure savings, from emergency medical expenses, which are estimated to amount to about ten to twenty-five (10 – 25%) percent of household income (</w:t>
      </w:r>
      <w:proofErr w:type="spellStart"/>
      <w:r w:rsidR="000B5903">
        <w:rPr>
          <w:rFonts w:ascii="Times New Roman" w:hAnsi="Times New Roman" w:cs="Times New Roman"/>
          <w:sz w:val="24"/>
          <w:szCs w:val="24"/>
        </w:rPr>
        <w:t>Wa</w:t>
      </w:r>
      <w:r w:rsidR="00263B80">
        <w:rPr>
          <w:rFonts w:ascii="Times New Roman" w:hAnsi="Times New Roman" w:cs="Times New Roman"/>
          <w:sz w:val="24"/>
          <w:szCs w:val="24"/>
        </w:rPr>
        <w:t>gstaff</w:t>
      </w:r>
      <w:proofErr w:type="spellEnd"/>
      <w:r w:rsidR="00263B80">
        <w:rPr>
          <w:rFonts w:ascii="Times New Roman" w:hAnsi="Times New Roman" w:cs="Times New Roman"/>
          <w:sz w:val="24"/>
          <w:szCs w:val="24"/>
        </w:rPr>
        <w:t xml:space="preserve"> et al, 2018; Nandi &amp; </w:t>
      </w:r>
      <w:proofErr w:type="spellStart"/>
      <w:r w:rsidR="00263B80">
        <w:rPr>
          <w:rFonts w:ascii="Times New Roman" w:hAnsi="Times New Roman" w:cs="Times New Roman"/>
          <w:sz w:val="24"/>
          <w:szCs w:val="24"/>
        </w:rPr>
        <w:t>Shet</w:t>
      </w:r>
      <w:proofErr w:type="spellEnd"/>
      <w:r w:rsidR="000B5903">
        <w:rPr>
          <w:rFonts w:ascii="Times New Roman" w:hAnsi="Times New Roman" w:cs="Times New Roman"/>
          <w:sz w:val="24"/>
          <w:szCs w:val="24"/>
        </w:rPr>
        <w:t>, 2020).</w:t>
      </w:r>
    </w:p>
    <w:p w14:paraId="3A77453A" w14:textId="50D16521" w:rsidR="000D29BF" w:rsidRDefault="00BF51C0" w:rsidP="000D29BF">
      <w:pPr>
        <w:spacing w:after="100"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Also, 2YL provides opportunities for administration of missed doses of vaccines occurring, during the infant years, for diverse reasons such as vaccine hesitancy, non-compliance, religious beliefs, sociocultural differences, economic barriers and lack of </w:t>
      </w:r>
      <w:r w:rsidR="007938B4">
        <w:rPr>
          <w:rFonts w:ascii="Times New Roman" w:hAnsi="Times New Roman" w:cs="Times New Roman"/>
          <w:sz w:val="24"/>
          <w:szCs w:val="24"/>
        </w:rPr>
        <w:t>awareness or sensitization (</w:t>
      </w:r>
      <w:proofErr w:type="spellStart"/>
      <w:r w:rsidR="007938B4">
        <w:rPr>
          <w:rFonts w:ascii="Times New Roman" w:hAnsi="Times New Roman" w:cs="Times New Roman"/>
          <w:sz w:val="24"/>
          <w:szCs w:val="24"/>
        </w:rPr>
        <w:t>Wagstaff</w:t>
      </w:r>
      <w:proofErr w:type="spellEnd"/>
      <w:r w:rsidR="007938B4">
        <w:rPr>
          <w:rFonts w:ascii="Times New Roman" w:hAnsi="Times New Roman" w:cs="Times New Roman"/>
          <w:sz w:val="24"/>
          <w:szCs w:val="24"/>
        </w:rPr>
        <w:t xml:space="preserve"> et al, 2018; Nandi &amp; </w:t>
      </w:r>
      <w:proofErr w:type="spellStart"/>
      <w:r w:rsidR="007938B4">
        <w:rPr>
          <w:rFonts w:ascii="Times New Roman" w:hAnsi="Times New Roman" w:cs="Times New Roman"/>
          <w:sz w:val="24"/>
          <w:szCs w:val="24"/>
        </w:rPr>
        <w:t>Shet</w:t>
      </w:r>
      <w:proofErr w:type="spellEnd"/>
      <w:r w:rsidR="007938B4">
        <w:rPr>
          <w:rFonts w:ascii="Times New Roman" w:hAnsi="Times New Roman" w:cs="Times New Roman"/>
          <w:sz w:val="24"/>
          <w:szCs w:val="24"/>
        </w:rPr>
        <w:t>, 2020). T</w:t>
      </w:r>
      <w:r w:rsidR="003B2800">
        <w:rPr>
          <w:rFonts w:ascii="Times New Roman" w:hAnsi="Times New Roman" w:cs="Times New Roman"/>
          <w:sz w:val="24"/>
          <w:szCs w:val="24"/>
        </w:rPr>
        <w:t>hese</w:t>
      </w:r>
      <w:r w:rsidR="007938B4">
        <w:rPr>
          <w:rFonts w:ascii="Times New Roman" w:hAnsi="Times New Roman" w:cs="Times New Roman"/>
          <w:sz w:val="24"/>
          <w:szCs w:val="24"/>
        </w:rPr>
        <w:t xml:space="preserve"> </w:t>
      </w:r>
      <w:r w:rsidR="003B2800">
        <w:rPr>
          <w:rFonts w:ascii="Times New Roman" w:hAnsi="Times New Roman" w:cs="Times New Roman"/>
          <w:sz w:val="24"/>
          <w:szCs w:val="24"/>
        </w:rPr>
        <w:t xml:space="preserve">factors </w:t>
      </w:r>
      <w:r w:rsidR="007938B4">
        <w:rPr>
          <w:rFonts w:ascii="Times New Roman" w:hAnsi="Times New Roman" w:cs="Times New Roman"/>
          <w:sz w:val="24"/>
          <w:szCs w:val="24"/>
        </w:rPr>
        <w:t xml:space="preserve">significantly </w:t>
      </w:r>
      <w:r w:rsidR="003B2800">
        <w:rPr>
          <w:rFonts w:ascii="Times New Roman" w:hAnsi="Times New Roman" w:cs="Times New Roman"/>
          <w:sz w:val="24"/>
          <w:szCs w:val="24"/>
        </w:rPr>
        <w:t xml:space="preserve">impact </w:t>
      </w:r>
      <w:r w:rsidR="00F751B7">
        <w:rPr>
          <w:rFonts w:ascii="Times New Roman" w:hAnsi="Times New Roman" w:cs="Times New Roman"/>
          <w:sz w:val="24"/>
          <w:szCs w:val="24"/>
        </w:rPr>
        <w:t xml:space="preserve">childhood </w:t>
      </w:r>
      <w:r w:rsidR="007938B4">
        <w:rPr>
          <w:rFonts w:ascii="Times New Roman" w:hAnsi="Times New Roman" w:cs="Times New Roman"/>
          <w:sz w:val="24"/>
          <w:szCs w:val="24"/>
        </w:rPr>
        <w:t xml:space="preserve">vaccination </w:t>
      </w:r>
      <w:r w:rsidR="000D29BF">
        <w:rPr>
          <w:rFonts w:ascii="Times New Roman" w:hAnsi="Times New Roman" w:cs="Times New Roman"/>
          <w:sz w:val="24"/>
          <w:szCs w:val="24"/>
        </w:rPr>
        <w:t xml:space="preserve">initiation and </w:t>
      </w:r>
      <w:r w:rsidR="007938B4">
        <w:rPr>
          <w:rFonts w:ascii="Times New Roman" w:hAnsi="Times New Roman" w:cs="Times New Roman"/>
          <w:sz w:val="24"/>
          <w:szCs w:val="24"/>
        </w:rPr>
        <w:t xml:space="preserve">completion rates </w:t>
      </w:r>
      <w:r w:rsidR="000D29BF">
        <w:rPr>
          <w:rFonts w:ascii="Times New Roman" w:eastAsia="Calibri" w:hAnsi="Times New Roman" w:cs="Times New Roman"/>
          <w:sz w:val="24"/>
          <w:szCs w:val="24"/>
        </w:rPr>
        <w:t>as gleaned from the presence of</w:t>
      </w:r>
      <w:r w:rsidR="000D29BF" w:rsidRPr="00802A9F">
        <w:rPr>
          <w:rFonts w:ascii="Times New Roman" w:eastAsia="Calibri" w:hAnsi="Times New Roman" w:cs="Times New Roman"/>
          <w:sz w:val="24"/>
          <w:szCs w:val="24"/>
        </w:rPr>
        <w:t xml:space="preserve"> over 2.2 million estimated zero-dose children in th</w:t>
      </w:r>
      <w:r w:rsidR="000D29BF">
        <w:rPr>
          <w:rFonts w:ascii="Times New Roman" w:eastAsia="Calibri" w:hAnsi="Times New Roman" w:cs="Times New Roman"/>
          <w:sz w:val="24"/>
          <w:szCs w:val="24"/>
        </w:rPr>
        <w:t>e year 2021, particularly spread across many LMIC’s (WHO, 2021)</w:t>
      </w:r>
      <w:r w:rsidR="000D29BF" w:rsidRPr="00802A9F">
        <w:rPr>
          <w:rFonts w:ascii="Times New Roman" w:eastAsia="Calibri" w:hAnsi="Times New Roman" w:cs="Times New Roman"/>
          <w:sz w:val="24"/>
          <w:szCs w:val="24"/>
        </w:rPr>
        <w:t>. The contextual significance of th</w:t>
      </w:r>
      <w:r w:rsidR="000D29BF">
        <w:rPr>
          <w:rFonts w:ascii="Times New Roman" w:eastAsia="Calibri" w:hAnsi="Times New Roman" w:cs="Times New Roman"/>
          <w:sz w:val="24"/>
          <w:szCs w:val="24"/>
        </w:rPr>
        <w:t>e foregoing is all the more critical</w:t>
      </w:r>
      <w:r w:rsidR="000D29BF" w:rsidRPr="00802A9F">
        <w:rPr>
          <w:rFonts w:ascii="Times New Roman" w:eastAsia="Calibri" w:hAnsi="Times New Roman" w:cs="Times New Roman"/>
          <w:sz w:val="24"/>
          <w:szCs w:val="24"/>
        </w:rPr>
        <w:t xml:space="preserve"> when the contribution of the abysmally poor </w:t>
      </w:r>
      <w:r w:rsidR="000D29BF">
        <w:rPr>
          <w:rFonts w:ascii="Times New Roman" w:eastAsia="Calibri" w:hAnsi="Times New Roman" w:cs="Times New Roman"/>
          <w:sz w:val="24"/>
          <w:szCs w:val="24"/>
        </w:rPr>
        <w:t xml:space="preserve">traditional </w:t>
      </w:r>
      <w:r w:rsidR="003E1488">
        <w:rPr>
          <w:rFonts w:ascii="Times New Roman" w:eastAsia="Calibri" w:hAnsi="Times New Roman" w:cs="Times New Roman"/>
          <w:sz w:val="24"/>
          <w:szCs w:val="24"/>
        </w:rPr>
        <w:t xml:space="preserve">childhood </w:t>
      </w:r>
      <w:r w:rsidR="000D29BF" w:rsidRPr="00802A9F">
        <w:rPr>
          <w:rFonts w:ascii="Times New Roman" w:eastAsia="Calibri" w:hAnsi="Times New Roman" w:cs="Times New Roman"/>
          <w:sz w:val="24"/>
          <w:szCs w:val="24"/>
        </w:rPr>
        <w:t xml:space="preserve">routine immunization coverage rates of </w:t>
      </w:r>
      <w:proofErr w:type="spellStart"/>
      <w:r w:rsidR="000D29BF" w:rsidRPr="00802A9F">
        <w:rPr>
          <w:rFonts w:ascii="Times New Roman" w:eastAsia="Calibri" w:hAnsi="Times New Roman" w:cs="Times New Roman"/>
          <w:sz w:val="24"/>
          <w:szCs w:val="24"/>
        </w:rPr>
        <w:t>Bayelsa</w:t>
      </w:r>
      <w:proofErr w:type="spellEnd"/>
      <w:r w:rsidR="000D29BF" w:rsidRPr="00802A9F">
        <w:rPr>
          <w:rFonts w:ascii="Times New Roman" w:eastAsia="Calibri" w:hAnsi="Times New Roman" w:cs="Times New Roman"/>
          <w:sz w:val="24"/>
          <w:szCs w:val="24"/>
        </w:rPr>
        <w:t xml:space="preserve"> State, </w:t>
      </w:r>
      <w:r w:rsidR="000D29BF">
        <w:rPr>
          <w:rFonts w:ascii="Times New Roman" w:eastAsia="Calibri" w:hAnsi="Times New Roman" w:cs="Times New Roman"/>
          <w:sz w:val="24"/>
          <w:szCs w:val="24"/>
        </w:rPr>
        <w:t xml:space="preserve">Nigeria, </w:t>
      </w:r>
      <w:r w:rsidR="000D29BF" w:rsidRPr="00802A9F">
        <w:rPr>
          <w:rFonts w:ascii="Times New Roman" w:eastAsia="Calibri" w:hAnsi="Times New Roman" w:cs="Times New Roman"/>
          <w:sz w:val="24"/>
          <w:szCs w:val="24"/>
        </w:rPr>
        <w:t xml:space="preserve">put at </w:t>
      </w:r>
      <w:r w:rsidR="000D29BF">
        <w:rPr>
          <w:rFonts w:ascii="Times New Roman" w:eastAsia="Calibri" w:hAnsi="Times New Roman" w:cs="Times New Roman"/>
          <w:sz w:val="24"/>
          <w:szCs w:val="24"/>
        </w:rPr>
        <w:t>29% in 2019, 23.2</w:t>
      </w:r>
      <w:r w:rsidR="000D29BF" w:rsidRPr="00802A9F">
        <w:rPr>
          <w:rFonts w:ascii="Times New Roman" w:eastAsia="Calibri" w:hAnsi="Times New Roman" w:cs="Times New Roman"/>
          <w:sz w:val="24"/>
          <w:szCs w:val="24"/>
        </w:rPr>
        <w:t>% in 2020</w:t>
      </w:r>
      <w:r w:rsidR="000D29BF">
        <w:rPr>
          <w:rFonts w:ascii="Times New Roman" w:eastAsia="Calibri" w:hAnsi="Times New Roman" w:cs="Times New Roman"/>
          <w:sz w:val="24"/>
          <w:szCs w:val="24"/>
        </w:rPr>
        <w:t>, 27.3</w:t>
      </w:r>
      <w:r w:rsidR="000D29BF" w:rsidRPr="00802A9F">
        <w:rPr>
          <w:rFonts w:ascii="Times New Roman" w:eastAsia="Calibri" w:hAnsi="Times New Roman" w:cs="Times New Roman"/>
          <w:sz w:val="24"/>
          <w:szCs w:val="24"/>
        </w:rPr>
        <w:t>% in 2021,</w:t>
      </w:r>
      <w:r w:rsidR="000D29BF">
        <w:rPr>
          <w:rFonts w:ascii="Times New Roman" w:eastAsia="Calibri" w:hAnsi="Times New Roman" w:cs="Times New Roman"/>
          <w:sz w:val="24"/>
          <w:szCs w:val="24"/>
        </w:rPr>
        <w:t xml:space="preserve"> 37% in 2022 and 55.1% in 2023, in this regard, is considered</w:t>
      </w:r>
      <w:r w:rsidR="000D29BF" w:rsidRPr="00802A9F">
        <w:rPr>
          <w:rFonts w:ascii="Times New Roman" w:eastAsia="Calibri" w:hAnsi="Times New Roman" w:cs="Times New Roman"/>
          <w:sz w:val="24"/>
          <w:szCs w:val="24"/>
        </w:rPr>
        <w:t xml:space="preserve"> (</w:t>
      </w:r>
      <w:r w:rsidR="000D29BF">
        <w:rPr>
          <w:rFonts w:ascii="Times New Roman" w:eastAsia="Calibri" w:hAnsi="Times New Roman" w:cs="Times New Roman"/>
          <w:sz w:val="24"/>
          <w:szCs w:val="24"/>
        </w:rPr>
        <w:t>DHIS, 2024</w:t>
      </w:r>
      <w:r w:rsidR="000D29BF" w:rsidRPr="00802A9F">
        <w:rPr>
          <w:rFonts w:ascii="Times New Roman" w:eastAsia="Calibri" w:hAnsi="Times New Roman" w:cs="Times New Roman"/>
          <w:sz w:val="24"/>
          <w:szCs w:val="24"/>
        </w:rPr>
        <w:t xml:space="preserve">). </w:t>
      </w:r>
    </w:p>
    <w:p w14:paraId="67D5A4E2" w14:textId="1CBCB659" w:rsidR="000D29BF" w:rsidRDefault="004234D4" w:rsidP="000D29BF">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Lastly</w:t>
      </w:r>
      <w:r w:rsidR="003E1488">
        <w:rPr>
          <w:rFonts w:ascii="Times New Roman" w:eastAsia="Calibri" w:hAnsi="Times New Roman" w:cs="Times New Roman"/>
          <w:sz w:val="24"/>
          <w:szCs w:val="24"/>
        </w:rPr>
        <w:t xml:space="preserve">, whereas, there are quite a number of studies on childhood routine immunization in Nigeria and </w:t>
      </w:r>
      <w:proofErr w:type="spellStart"/>
      <w:r w:rsidR="003E1488">
        <w:rPr>
          <w:rFonts w:ascii="Times New Roman" w:eastAsia="Calibri" w:hAnsi="Times New Roman" w:cs="Times New Roman"/>
          <w:sz w:val="24"/>
          <w:szCs w:val="24"/>
        </w:rPr>
        <w:t>Bayelsa</w:t>
      </w:r>
      <w:proofErr w:type="spellEnd"/>
      <w:r w:rsidR="003E1488">
        <w:rPr>
          <w:rFonts w:ascii="Times New Roman" w:eastAsia="Calibri" w:hAnsi="Times New Roman" w:cs="Times New Roman"/>
          <w:sz w:val="24"/>
          <w:szCs w:val="24"/>
        </w:rPr>
        <w:t xml:space="preserve"> State, in particular, there is little documentation on 2YL immunization in this clime. Consequently, investigation of the </w:t>
      </w:r>
      <w:r w:rsidR="003E1488" w:rsidRPr="00263B80">
        <w:rPr>
          <w:rFonts w:ascii="Times New Roman" w:eastAsia="Calibri" w:hAnsi="Times New Roman" w:cs="Times New Roman"/>
          <w:sz w:val="24"/>
          <w:szCs w:val="24"/>
        </w:rPr>
        <w:t>impact of 2YL immunization on childhood rou</w:t>
      </w:r>
      <w:r w:rsidR="002C6A4B" w:rsidRPr="00263B80">
        <w:rPr>
          <w:rFonts w:ascii="Times New Roman" w:eastAsia="Calibri" w:hAnsi="Times New Roman" w:cs="Times New Roman"/>
          <w:sz w:val="24"/>
          <w:szCs w:val="24"/>
        </w:rPr>
        <w:t>tine immunization outcom</w:t>
      </w:r>
      <w:r w:rsidR="003E1488" w:rsidRPr="00263B80">
        <w:rPr>
          <w:rFonts w:ascii="Times New Roman" w:eastAsia="Calibri" w:hAnsi="Times New Roman" w:cs="Times New Roman"/>
          <w:sz w:val="24"/>
          <w:szCs w:val="24"/>
        </w:rPr>
        <w:t xml:space="preserve">es is </w:t>
      </w:r>
      <w:r w:rsidR="008A6F01">
        <w:rPr>
          <w:rFonts w:ascii="Times New Roman" w:eastAsia="Calibri" w:hAnsi="Times New Roman" w:cs="Times New Roman"/>
          <w:sz w:val="24"/>
          <w:szCs w:val="24"/>
        </w:rPr>
        <w:t xml:space="preserve">considered </w:t>
      </w:r>
      <w:r w:rsidR="003E1488" w:rsidRPr="00263B80">
        <w:rPr>
          <w:rFonts w:ascii="Times New Roman" w:eastAsia="Calibri" w:hAnsi="Times New Roman" w:cs="Times New Roman"/>
          <w:sz w:val="24"/>
          <w:szCs w:val="24"/>
        </w:rPr>
        <w:t>warranted and tacit.</w:t>
      </w:r>
    </w:p>
    <w:p w14:paraId="71D8AB57" w14:textId="77777777" w:rsidR="00263B80" w:rsidRPr="00E25145" w:rsidRDefault="00263B80" w:rsidP="00E87610">
      <w:pPr>
        <w:spacing w:line="360" w:lineRule="auto"/>
        <w:jc w:val="both"/>
        <w:rPr>
          <w:rFonts w:ascii="Times New Roman" w:eastAsia="DengXian" w:hAnsi="Times New Roman" w:cs="Times New Roman"/>
          <w:b/>
          <w:sz w:val="24"/>
          <w:szCs w:val="24"/>
          <w:u w:val="single"/>
          <w:lang w:val="en-GB"/>
        </w:rPr>
      </w:pPr>
      <w:r w:rsidRPr="00E25145">
        <w:rPr>
          <w:rFonts w:ascii="Times New Roman" w:eastAsia="DengXian" w:hAnsi="Times New Roman" w:cs="Times New Roman"/>
          <w:b/>
          <w:sz w:val="24"/>
          <w:szCs w:val="24"/>
          <w:u w:val="single"/>
          <w:lang w:val="en-GB"/>
        </w:rPr>
        <w:t xml:space="preserve">Aim </w:t>
      </w:r>
    </w:p>
    <w:p w14:paraId="20321A6C" w14:textId="3D46297C" w:rsidR="00263B80" w:rsidRPr="00E25145" w:rsidRDefault="00263B80" w:rsidP="00E87610">
      <w:pPr>
        <w:spacing w:line="360" w:lineRule="auto"/>
        <w:jc w:val="both"/>
        <w:rPr>
          <w:rFonts w:ascii="Times New Roman" w:eastAsia="Calibri" w:hAnsi="Times New Roman" w:cs="Times New Roman"/>
          <w:sz w:val="24"/>
          <w:szCs w:val="24"/>
          <w:lang w:val="en-GB"/>
        </w:rPr>
      </w:pPr>
      <w:r w:rsidRPr="00E25145">
        <w:rPr>
          <w:rFonts w:ascii="Times New Roman" w:eastAsia="Calibri" w:hAnsi="Times New Roman" w:cs="Times New Roman"/>
          <w:sz w:val="24"/>
          <w:szCs w:val="24"/>
          <w:lang w:val="en-GB"/>
        </w:rPr>
        <w:t>The aim of the stud</w:t>
      </w:r>
      <w:r w:rsidR="00B31649">
        <w:rPr>
          <w:rFonts w:ascii="Times New Roman" w:eastAsia="Calibri" w:hAnsi="Times New Roman" w:cs="Times New Roman"/>
          <w:sz w:val="24"/>
          <w:szCs w:val="24"/>
          <w:lang w:val="en-GB"/>
        </w:rPr>
        <w:t>y wa</w:t>
      </w:r>
      <w:r>
        <w:rPr>
          <w:rFonts w:ascii="Times New Roman" w:eastAsia="Calibri" w:hAnsi="Times New Roman" w:cs="Times New Roman"/>
          <w:sz w:val="24"/>
          <w:szCs w:val="24"/>
          <w:lang w:val="en-GB"/>
        </w:rPr>
        <w:t>s to assess the impact of second year of life immunization on childhood routine immunization outcomes in</w:t>
      </w:r>
      <w:r w:rsidRPr="00E25145">
        <w:rPr>
          <w:rFonts w:ascii="Times New Roman" w:eastAsia="Calibri" w:hAnsi="Times New Roman" w:cs="Times New Roman"/>
          <w:sz w:val="24"/>
          <w:szCs w:val="24"/>
          <w:lang w:val="en-GB"/>
        </w:rPr>
        <w:t xml:space="preserve">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 xml:space="preserve">, </w:t>
      </w:r>
      <w:proofErr w:type="spellStart"/>
      <w:r w:rsidRPr="00E25145">
        <w:rPr>
          <w:rFonts w:ascii="Times New Roman" w:eastAsia="Calibri" w:hAnsi="Times New Roman" w:cs="Times New Roman"/>
          <w:sz w:val="24"/>
          <w:szCs w:val="24"/>
          <w:lang w:val="en-GB"/>
        </w:rPr>
        <w:t>Bay</w:t>
      </w:r>
      <w:r>
        <w:rPr>
          <w:rFonts w:ascii="Times New Roman" w:eastAsia="Calibri" w:hAnsi="Times New Roman" w:cs="Times New Roman"/>
          <w:sz w:val="24"/>
          <w:szCs w:val="24"/>
          <w:lang w:val="en-GB"/>
        </w:rPr>
        <w:t>elsa</w:t>
      </w:r>
      <w:proofErr w:type="spellEnd"/>
      <w:r>
        <w:rPr>
          <w:rFonts w:ascii="Times New Roman" w:eastAsia="Calibri" w:hAnsi="Times New Roman" w:cs="Times New Roman"/>
          <w:sz w:val="24"/>
          <w:szCs w:val="24"/>
          <w:lang w:val="en-GB"/>
        </w:rPr>
        <w:t xml:space="preserve"> State, Nigeria</w:t>
      </w:r>
      <w:r w:rsidRPr="00E25145">
        <w:rPr>
          <w:rFonts w:ascii="Times New Roman" w:eastAsia="Calibri" w:hAnsi="Times New Roman" w:cs="Times New Roman"/>
          <w:sz w:val="24"/>
          <w:szCs w:val="24"/>
          <w:lang w:val="en-GB"/>
        </w:rPr>
        <w:t xml:space="preserve">. </w:t>
      </w:r>
    </w:p>
    <w:p w14:paraId="3D2C77C7" w14:textId="77777777" w:rsidR="00263B80" w:rsidRPr="00E25145" w:rsidRDefault="00263B80" w:rsidP="00E87610">
      <w:pPr>
        <w:spacing w:line="360" w:lineRule="auto"/>
        <w:jc w:val="both"/>
        <w:rPr>
          <w:rFonts w:ascii="Times New Roman" w:eastAsia="DengXian" w:hAnsi="Times New Roman" w:cs="Times New Roman"/>
          <w:b/>
          <w:sz w:val="24"/>
          <w:szCs w:val="24"/>
          <w:u w:val="single"/>
          <w:lang w:val="en-GB"/>
        </w:rPr>
      </w:pPr>
      <w:r w:rsidRPr="00E25145">
        <w:rPr>
          <w:rFonts w:ascii="Times New Roman" w:eastAsia="DengXian" w:hAnsi="Times New Roman" w:cs="Times New Roman"/>
          <w:b/>
          <w:sz w:val="24"/>
          <w:szCs w:val="24"/>
          <w:u w:val="single"/>
          <w:lang w:val="en-GB"/>
        </w:rPr>
        <w:t>Objectives</w:t>
      </w:r>
    </w:p>
    <w:p w14:paraId="6DFBDF43" w14:textId="5FBFF69A" w:rsidR="00263B80" w:rsidRPr="00E25145" w:rsidRDefault="00B31649" w:rsidP="00E87610">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objectives of this study we</w:t>
      </w:r>
      <w:r w:rsidR="00263B80" w:rsidRPr="00E25145">
        <w:rPr>
          <w:rFonts w:ascii="Times New Roman" w:eastAsia="Calibri" w:hAnsi="Times New Roman" w:cs="Times New Roman"/>
          <w:sz w:val="24"/>
          <w:szCs w:val="24"/>
          <w:lang w:val="en-GB"/>
        </w:rPr>
        <w:t>re as follows:</w:t>
      </w:r>
    </w:p>
    <w:p w14:paraId="0BBDB221" w14:textId="136565B4" w:rsidR="00263B80" w:rsidRPr="00CE0848" w:rsidRDefault="00263B80" w:rsidP="00E87610">
      <w:pPr>
        <w:numPr>
          <w:ilvl w:val="0"/>
          <w:numId w:val="2"/>
        </w:numPr>
        <w:spacing w:after="200" w:line="360" w:lineRule="auto"/>
        <w:jc w:val="both"/>
        <w:rPr>
          <w:rFonts w:ascii="Times New Roman" w:eastAsia="Calibri" w:hAnsi="Times New Roman" w:cs="Times New Roman"/>
          <w:sz w:val="24"/>
          <w:szCs w:val="24"/>
          <w:lang w:val="en-GB"/>
        </w:rPr>
      </w:pPr>
      <w:r w:rsidRPr="00E25145">
        <w:rPr>
          <w:rFonts w:ascii="Times New Roman" w:eastAsia="Calibri" w:hAnsi="Times New Roman" w:cs="Times New Roman"/>
          <w:sz w:val="24"/>
          <w:szCs w:val="24"/>
          <w:lang w:val="en-GB"/>
        </w:rPr>
        <w:t>To determine the</w:t>
      </w:r>
      <w:r>
        <w:rPr>
          <w:rFonts w:ascii="Times New Roman" w:eastAsia="Calibri" w:hAnsi="Times New Roman" w:cs="Times New Roman"/>
          <w:sz w:val="24"/>
          <w:szCs w:val="24"/>
          <w:lang w:val="en-GB"/>
        </w:rPr>
        <w:t xml:space="preserve"> level of awareness of second year of life immunization in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 xml:space="preserve">, </w:t>
      </w:r>
      <w:proofErr w:type="spellStart"/>
      <w:r w:rsidRPr="00E25145">
        <w:rPr>
          <w:rFonts w:ascii="Times New Roman" w:eastAsia="Calibri" w:hAnsi="Times New Roman" w:cs="Times New Roman"/>
          <w:sz w:val="24"/>
          <w:szCs w:val="24"/>
          <w:lang w:val="en-GB"/>
        </w:rPr>
        <w:t>Bayelsa</w:t>
      </w:r>
      <w:proofErr w:type="spellEnd"/>
      <w:r w:rsidRPr="00E25145">
        <w:rPr>
          <w:rFonts w:ascii="Times New Roman" w:eastAsia="Calibri" w:hAnsi="Times New Roman" w:cs="Times New Roman"/>
          <w:sz w:val="24"/>
          <w:szCs w:val="24"/>
          <w:lang w:val="en-GB"/>
        </w:rPr>
        <w:t xml:space="preserve"> State, Nigeria.</w:t>
      </w:r>
    </w:p>
    <w:p w14:paraId="076749EC" w14:textId="5952FEFB" w:rsidR="00263B80" w:rsidRPr="00E25145" w:rsidRDefault="00CE0848" w:rsidP="00E87610">
      <w:pPr>
        <w:numPr>
          <w:ilvl w:val="0"/>
          <w:numId w:val="2"/>
        </w:numPr>
        <w:spacing w:after="20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To determine</w:t>
      </w:r>
      <w:r w:rsidR="00263B80">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the level of access and utiliz</w:t>
      </w:r>
      <w:r w:rsidR="00263B80" w:rsidRPr="00E25145">
        <w:rPr>
          <w:rFonts w:ascii="Times New Roman" w:eastAsia="Calibri" w:hAnsi="Times New Roman" w:cs="Times New Roman"/>
          <w:sz w:val="24"/>
          <w:szCs w:val="24"/>
          <w:lang w:val="en-GB"/>
        </w:rPr>
        <w:t xml:space="preserve">ation of </w:t>
      </w:r>
      <w:r w:rsidR="00263B80">
        <w:rPr>
          <w:rFonts w:ascii="Times New Roman" w:eastAsia="Calibri" w:hAnsi="Times New Roman" w:cs="Times New Roman"/>
          <w:sz w:val="24"/>
          <w:szCs w:val="24"/>
          <w:lang w:val="en-GB"/>
        </w:rPr>
        <w:t>second year of life immunization in</w:t>
      </w:r>
      <w:r w:rsidR="00263B80" w:rsidRPr="00E25145">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Yenagoa</w:t>
      </w:r>
      <w:proofErr w:type="spellEnd"/>
      <w:r>
        <w:rPr>
          <w:rFonts w:ascii="Times New Roman" w:eastAsia="Calibri" w:hAnsi="Times New Roman" w:cs="Times New Roman"/>
          <w:sz w:val="24"/>
          <w:szCs w:val="24"/>
          <w:lang w:val="en-GB"/>
        </w:rPr>
        <w:t xml:space="preserve">, </w:t>
      </w:r>
      <w:proofErr w:type="spellStart"/>
      <w:r w:rsidR="00263B80" w:rsidRPr="00E25145">
        <w:rPr>
          <w:rFonts w:ascii="Times New Roman" w:eastAsia="Calibri" w:hAnsi="Times New Roman" w:cs="Times New Roman"/>
          <w:sz w:val="24"/>
          <w:szCs w:val="24"/>
          <w:lang w:val="en-GB"/>
        </w:rPr>
        <w:t>Bayelsa</w:t>
      </w:r>
      <w:proofErr w:type="spellEnd"/>
      <w:r w:rsidR="00263B80" w:rsidRPr="00E25145">
        <w:rPr>
          <w:rFonts w:ascii="Times New Roman" w:eastAsia="Calibri" w:hAnsi="Times New Roman" w:cs="Times New Roman"/>
          <w:sz w:val="24"/>
          <w:szCs w:val="24"/>
          <w:lang w:val="en-GB"/>
        </w:rPr>
        <w:t xml:space="preserve"> State, Nigeria.</w:t>
      </w:r>
    </w:p>
    <w:p w14:paraId="208BA37A" w14:textId="7CD8F7DF" w:rsidR="00263B80" w:rsidRPr="00C82C77" w:rsidRDefault="00263B80" w:rsidP="00E87610">
      <w:pPr>
        <w:numPr>
          <w:ilvl w:val="0"/>
          <w:numId w:val="2"/>
        </w:numPr>
        <w:spacing w:after="200" w:line="360" w:lineRule="auto"/>
        <w:jc w:val="both"/>
        <w:rPr>
          <w:rFonts w:ascii="Times New Roman" w:eastAsia="Calibri" w:hAnsi="Times New Roman" w:cs="Times New Roman"/>
          <w:sz w:val="24"/>
          <w:szCs w:val="24"/>
          <w:lang w:val="en-GB"/>
        </w:rPr>
      </w:pPr>
      <w:r w:rsidRPr="00E25145">
        <w:rPr>
          <w:rFonts w:ascii="Times New Roman" w:eastAsia="Calibri" w:hAnsi="Times New Roman" w:cs="Times New Roman"/>
          <w:sz w:val="24"/>
          <w:szCs w:val="24"/>
          <w:lang w:val="en-GB"/>
        </w:rPr>
        <w:t>To determi</w:t>
      </w:r>
      <w:r w:rsidR="00CE0848">
        <w:rPr>
          <w:rFonts w:ascii="Times New Roman" w:eastAsia="Calibri" w:hAnsi="Times New Roman" w:cs="Times New Roman"/>
          <w:sz w:val="24"/>
          <w:szCs w:val="24"/>
          <w:lang w:val="en-GB"/>
        </w:rPr>
        <w:t>ne</w:t>
      </w:r>
      <w:r>
        <w:rPr>
          <w:rFonts w:ascii="Times New Roman" w:eastAsia="Calibri" w:hAnsi="Times New Roman" w:cs="Times New Roman"/>
          <w:sz w:val="24"/>
          <w:szCs w:val="24"/>
          <w:lang w:val="en-GB"/>
        </w:rPr>
        <w:t xml:space="preserve"> </w:t>
      </w:r>
      <w:r w:rsidR="00CE0848">
        <w:rPr>
          <w:rFonts w:ascii="Times New Roman" w:eastAsia="Calibri" w:hAnsi="Times New Roman" w:cs="Times New Roman"/>
          <w:sz w:val="24"/>
          <w:szCs w:val="24"/>
          <w:lang w:val="en-GB"/>
        </w:rPr>
        <w:t xml:space="preserve">childhood routine immunization outcomes following </w:t>
      </w:r>
      <w:r>
        <w:rPr>
          <w:rFonts w:ascii="Times New Roman" w:eastAsia="Calibri" w:hAnsi="Times New Roman" w:cs="Times New Roman"/>
          <w:sz w:val="24"/>
          <w:szCs w:val="24"/>
          <w:lang w:val="en-GB"/>
        </w:rPr>
        <w:t xml:space="preserve">second year of life immunization in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Bayelsa</w:t>
      </w:r>
      <w:proofErr w:type="spellEnd"/>
      <w:r>
        <w:rPr>
          <w:rFonts w:ascii="Times New Roman" w:eastAsia="Calibri" w:hAnsi="Times New Roman" w:cs="Times New Roman"/>
          <w:sz w:val="24"/>
          <w:szCs w:val="24"/>
          <w:lang w:val="en-GB"/>
        </w:rPr>
        <w:t xml:space="preserve"> State, Nigeria.</w:t>
      </w:r>
    </w:p>
    <w:p w14:paraId="34F75159" w14:textId="77777777" w:rsidR="00F74FB0" w:rsidRDefault="00263B80" w:rsidP="00E87610">
      <w:pPr>
        <w:numPr>
          <w:ilvl w:val="0"/>
          <w:numId w:val="2"/>
        </w:numPr>
        <w:spacing w:after="20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To determine the effect size of second year of life immunization on </w:t>
      </w:r>
      <w:r w:rsidR="00CE0848">
        <w:rPr>
          <w:rFonts w:ascii="Times New Roman" w:eastAsia="Calibri" w:hAnsi="Times New Roman" w:cs="Times New Roman"/>
          <w:sz w:val="24"/>
          <w:szCs w:val="24"/>
          <w:lang w:val="en-GB"/>
        </w:rPr>
        <w:t>childhood routine immunization outcomes</w:t>
      </w:r>
      <w:r>
        <w:rPr>
          <w:rFonts w:ascii="Times New Roman" w:eastAsia="Calibri" w:hAnsi="Times New Roman" w:cs="Times New Roman"/>
          <w:sz w:val="24"/>
          <w:szCs w:val="24"/>
          <w:lang w:val="en-GB"/>
        </w:rPr>
        <w:t xml:space="preserve"> in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Bayelsa</w:t>
      </w:r>
      <w:proofErr w:type="spellEnd"/>
      <w:r>
        <w:rPr>
          <w:rFonts w:ascii="Times New Roman" w:eastAsia="Calibri" w:hAnsi="Times New Roman" w:cs="Times New Roman"/>
          <w:sz w:val="24"/>
          <w:szCs w:val="24"/>
          <w:lang w:val="en-GB"/>
        </w:rPr>
        <w:t xml:space="preserve"> State, Nigeria.</w:t>
      </w:r>
    </w:p>
    <w:p w14:paraId="2486CE8C" w14:textId="0EF88187" w:rsidR="00263B80" w:rsidRPr="00F74FB0" w:rsidRDefault="00263B80" w:rsidP="00E87610">
      <w:pPr>
        <w:spacing w:after="200" w:line="360" w:lineRule="auto"/>
        <w:jc w:val="both"/>
        <w:rPr>
          <w:rFonts w:ascii="Times New Roman" w:eastAsia="Calibri" w:hAnsi="Times New Roman" w:cs="Times New Roman"/>
          <w:sz w:val="24"/>
          <w:szCs w:val="24"/>
          <w:lang w:val="en-GB"/>
        </w:rPr>
      </w:pPr>
      <w:r w:rsidRPr="00F74FB0">
        <w:rPr>
          <w:rFonts w:ascii="Times New Roman" w:eastAsia="DengXian" w:hAnsi="Times New Roman" w:cs="Times New Roman"/>
          <w:b/>
          <w:sz w:val="24"/>
          <w:szCs w:val="24"/>
          <w:u w:val="single"/>
          <w:lang w:val="en-GB"/>
        </w:rPr>
        <w:lastRenderedPageBreak/>
        <w:t>Research questions</w:t>
      </w:r>
    </w:p>
    <w:p w14:paraId="5E4DEF6F" w14:textId="5E682F54" w:rsidR="00263B80" w:rsidRPr="00CE0848" w:rsidRDefault="00263B80" w:rsidP="00E87610">
      <w:pPr>
        <w:numPr>
          <w:ilvl w:val="0"/>
          <w:numId w:val="3"/>
        </w:numPr>
        <w:spacing w:after="200" w:line="360" w:lineRule="auto"/>
        <w:contextualSpacing/>
        <w:jc w:val="both"/>
        <w:rPr>
          <w:rFonts w:ascii="Times New Roman" w:eastAsia="Calibri" w:hAnsi="Times New Roman" w:cs="Times New Roman"/>
          <w:sz w:val="24"/>
          <w:szCs w:val="24"/>
          <w:lang w:val="en-GB"/>
        </w:rPr>
      </w:pPr>
      <w:r w:rsidRPr="00E25145">
        <w:rPr>
          <w:rFonts w:ascii="Times New Roman" w:eastAsia="Calibri" w:hAnsi="Times New Roman" w:cs="Times New Roman"/>
          <w:sz w:val="24"/>
          <w:szCs w:val="24"/>
          <w:lang w:val="en-GB"/>
        </w:rPr>
        <w:t xml:space="preserve">What is the </w:t>
      </w:r>
      <w:r>
        <w:rPr>
          <w:rFonts w:ascii="Times New Roman" w:eastAsia="Calibri" w:hAnsi="Times New Roman" w:cs="Times New Roman"/>
          <w:sz w:val="24"/>
          <w:szCs w:val="24"/>
          <w:lang w:val="en-GB"/>
        </w:rPr>
        <w:t xml:space="preserve">level of awareness of second year of life immunization in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w:t>
      </w:r>
      <w:r w:rsidRPr="00E25145">
        <w:rPr>
          <w:rFonts w:ascii="Times New Roman" w:eastAsia="Calibri" w:hAnsi="Times New Roman" w:cs="Times New Roman"/>
          <w:sz w:val="24"/>
          <w:szCs w:val="24"/>
          <w:lang w:val="en-GB"/>
        </w:rPr>
        <w:t>yelsa</w:t>
      </w:r>
      <w:proofErr w:type="spellEnd"/>
      <w:r w:rsidRPr="00E25145">
        <w:rPr>
          <w:rFonts w:ascii="Times New Roman" w:eastAsia="Calibri" w:hAnsi="Times New Roman" w:cs="Times New Roman"/>
          <w:sz w:val="24"/>
          <w:szCs w:val="24"/>
          <w:lang w:val="en-GB"/>
        </w:rPr>
        <w:t xml:space="preserve"> State, Nigeria?</w:t>
      </w:r>
    </w:p>
    <w:p w14:paraId="6EE76EDB" w14:textId="5715F91B" w:rsidR="00263B80" w:rsidRPr="00E25145" w:rsidRDefault="00263B80" w:rsidP="00E87610">
      <w:pPr>
        <w:numPr>
          <w:ilvl w:val="0"/>
          <w:numId w:val="3"/>
        </w:num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What is the level of access and utilization of second year of life immunization in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Bayelsa</w:t>
      </w:r>
      <w:proofErr w:type="spellEnd"/>
      <w:r>
        <w:rPr>
          <w:rFonts w:ascii="Times New Roman" w:eastAsia="Calibri" w:hAnsi="Times New Roman" w:cs="Times New Roman"/>
          <w:sz w:val="24"/>
          <w:szCs w:val="24"/>
          <w:lang w:val="en-GB"/>
        </w:rPr>
        <w:t xml:space="preserve"> State, Nigeria</w:t>
      </w:r>
      <w:r w:rsidRPr="00E25145">
        <w:rPr>
          <w:rFonts w:ascii="Times New Roman" w:eastAsia="Calibri" w:hAnsi="Times New Roman" w:cs="Times New Roman"/>
          <w:sz w:val="24"/>
          <w:szCs w:val="24"/>
          <w:lang w:val="en-GB"/>
        </w:rPr>
        <w:t xml:space="preserve">? </w:t>
      </w:r>
    </w:p>
    <w:p w14:paraId="3F94B93A" w14:textId="0250AE97" w:rsidR="00263B80" w:rsidRDefault="00263B80" w:rsidP="00E87610">
      <w:pPr>
        <w:numPr>
          <w:ilvl w:val="0"/>
          <w:numId w:val="3"/>
        </w:num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What is the impact of second year of life immunization on </w:t>
      </w:r>
      <w:r w:rsidR="00CE0848">
        <w:rPr>
          <w:rFonts w:ascii="Times New Roman" w:eastAsia="Calibri" w:hAnsi="Times New Roman" w:cs="Times New Roman"/>
          <w:sz w:val="24"/>
          <w:szCs w:val="24"/>
          <w:lang w:val="en-GB"/>
        </w:rPr>
        <w:t>childhood routine immunization outcom</w:t>
      </w:r>
      <w:r>
        <w:rPr>
          <w:rFonts w:ascii="Times New Roman" w:eastAsia="Calibri" w:hAnsi="Times New Roman" w:cs="Times New Roman"/>
          <w:sz w:val="24"/>
          <w:szCs w:val="24"/>
          <w:lang w:val="en-GB"/>
        </w:rPr>
        <w:t xml:space="preserve">es in </w:t>
      </w:r>
      <w:proofErr w:type="spellStart"/>
      <w:r w:rsidR="00CE0848">
        <w:rPr>
          <w:rFonts w:ascii="Times New Roman" w:eastAsia="Calibri" w:hAnsi="Times New Roman" w:cs="Times New Roman"/>
          <w:sz w:val="24"/>
          <w:szCs w:val="24"/>
          <w:lang w:val="en-GB"/>
        </w:rPr>
        <w:t>Yenagoa</w:t>
      </w:r>
      <w:proofErr w:type="spellEnd"/>
      <w:r w:rsidR="00CE0848">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Bayelsa</w:t>
      </w:r>
      <w:proofErr w:type="spellEnd"/>
      <w:r>
        <w:rPr>
          <w:rFonts w:ascii="Times New Roman" w:eastAsia="Calibri" w:hAnsi="Times New Roman" w:cs="Times New Roman"/>
          <w:sz w:val="24"/>
          <w:szCs w:val="24"/>
          <w:lang w:val="en-GB"/>
        </w:rPr>
        <w:t xml:space="preserve"> State, Nigeria?</w:t>
      </w:r>
    </w:p>
    <w:p w14:paraId="6143FD0F" w14:textId="02C4CDA6" w:rsidR="00263B80" w:rsidRDefault="00263B80" w:rsidP="00E87610">
      <w:pPr>
        <w:numPr>
          <w:ilvl w:val="0"/>
          <w:numId w:val="3"/>
        </w:numPr>
        <w:spacing w:after="0" w:line="360" w:lineRule="auto"/>
        <w:contextualSpacing/>
        <w:rPr>
          <w:rFonts w:ascii="Times New Roman" w:eastAsia="Calibri" w:hAnsi="Times New Roman" w:cs="Times New Roman"/>
          <w:sz w:val="24"/>
          <w:szCs w:val="24"/>
          <w:lang w:val="en-GB"/>
        </w:rPr>
      </w:pPr>
      <w:r w:rsidRPr="00E25145">
        <w:rPr>
          <w:rFonts w:ascii="Times New Roman" w:eastAsia="Calibri" w:hAnsi="Times New Roman" w:cs="Times New Roman"/>
          <w:sz w:val="24"/>
          <w:szCs w:val="24"/>
          <w:lang w:val="en-GB"/>
        </w:rPr>
        <w:t xml:space="preserve">What </w:t>
      </w:r>
      <w:r w:rsidR="0043051A">
        <w:rPr>
          <w:rFonts w:ascii="Times New Roman" w:eastAsia="Calibri" w:hAnsi="Times New Roman" w:cs="Times New Roman"/>
          <w:sz w:val="24"/>
          <w:szCs w:val="24"/>
          <w:lang w:val="en-GB"/>
        </w:rPr>
        <w:t xml:space="preserve">is the magnitude </w:t>
      </w:r>
      <w:r w:rsidR="000A2C8D">
        <w:rPr>
          <w:rFonts w:ascii="Times New Roman" w:eastAsia="Calibri" w:hAnsi="Times New Roman" w:cs="Times New Roman"/>
          <w:sz w:val="24"/>
          <w:szCs w:val="24"/>
          <w:lang w:val="en-GB"/>
        </w:rPr>
        <w:t>of the effect</w:t>
      </w:r>
      <w:r>
        <w:rPr>
          <w:rFonts w:ascii="Times New Roman" w:eastAsia="Calibri" w:hAnsi="Times New Roman" w:cs="Times New Roman"/>
          <w:sz w:val="24"/>
          <w:szCs w:val="24"/>
          <w:lang w:val="en-GB"/>
        </w:rPr>
        <w:t xml:space="preserve"> of second year of life immunization on </w:t>
      </w:r>
      <w:r w:rsidR="005E5D3D">
        <w:rPr>
          <w:rFonts w:ascii="Times New Roman" w:eastAsia="Calibri" w:hAnsi="Times New Roman" w:cs="Times New Roman"/>
          <w:sz w:val="24"/>
          <w:szCs w:val="24"/>
          <w:lang w:val="en-GB"/>
        </w:rPr>
        <w:t>childhood routine immunization outcom</w:t>
      </w:r>
      <w:r>
        <w:rPr>
          <w:rFonts w:ascii="Times New Roman" w:eastAsia="Calibri" w:hAnsi="Times New Roman" w:cs="Times New Roman"/>
          <w:sz w:val="24"/>
          <w:szCs w:val="24"/>
          <w:lang w:val="en-GB"/>
        </w:rPr>
        <w:t>e</w:t>
      </w:r>
      <w:r w:rsidR="005E5D3D">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in </w:t>
      </w:r>
      <w:proofErr w:type="spellStart"/>
      <w:r w:rsidR="005E5D3D">
        <w:rPr>
          <w:rFonts w:ascii="Times New Roman" w:eastAsia="Calibri" w:hAnsi="Times New Roman" w:cs="Times New Roman"/>
          <w:sz w:val="24"/>
          <w:szCs w:val="24"/>
          <w:lang w:val="en-GB"/>
        </w:rPr>
        <w:t>Yenagoa</w:t>
      </w:r>
      <w:proofErr w:type="spellEnd"/>
      <w:r w:rsidR="005E5D3D">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Bayelsa</w:t>
      </w:r>
      <w:proofErr w:type="spellEnd"/>
      <w:r>
        <w:rPr>
          <w:rFonts w:ascii="Times New Roman" w:eastAsia="Calibri" w:hAnsi="Times New Roman" w:cs="Times New Roman"/>
          <w:sz w:val="24"/>
          <w:szCs w:val="24"/>
          <w:lang w:val="en-GB"/>
        </w:rPr>
        <w:t xml:space="preserve"> State, Nigeria</w:t>
      </w:r>
      <w:r w:rsidRPr="00E25145">
        <w:rPr>
          <w:rFonts w:ascii="Times New Roman" w:eastAsia="Calibri" w:hAnsi="Times New Roman" w:cs="Times New Roman"/>
          <w:sz w:val="24"/>
          <w:szCs w:val="24"/>
          <w:lang w:val="en-GB"/>
        </w:rPr>
        <w:t>?</w:t>
      </w:r>
    </w:p>
    <w:p w14:paraId="11DD4CFA" w14:textId="77777777" w:rsidR="001B221E" w:rsidRPr="00CE0848" w:rsidRDefault="001B221E" w:rsidP="001B221E">
      <w:pPr>
        <w:spacing w:after="0" w:line="360" w:lineRule="auto"/>
        <w:ind w:left="720"/>
        <w:contextualSpacing/>
        <w:rPr>
          <w:rFonts w:ascii="Times New Roman" w:eastAsia="Calibri" w:hAnsi="Times New Roman" w:cs="Times New Roman"/>
          <w:sz w:val="24"/>
          <w:szCs w:val="24"/>
          <w:lang w:val="en-GB"/>
        </w:rPr>
      </w:pPr>
    </w:p>
    <w:p w14:paraId="5C05B66A" w14:textId="4A6EA5D9" w:rsidR="00263B80" w:rsidRDefault="001B221E" w:rsidP="00E87610">
      <w:pPr>
        <w:spacing w:after="100" w:line="360" w:lineRule="auto"/>
        <w:jc w:val="both"/>
        <w:rPr>
          <w:rFonts w:ascii="Times New Roman" w:eastAsia="Calibri" w:hAnsi="Times New Roman" w:cs="Times New Roman"/>
          <w:b/>
          <w:sz w:val="24"/>
          <w:szCs w:val="24"/>
          <w:u w:val="single"/>
        </w:rPr>
      </w:pPr>
      <w:r w:rsidRPr="001B221E">
        <w:rPr>
          <w:rFonts w:ascii="Times New Roman" w:eastAsia="Calibri" w:hAnsi="Times New Roman" w:cs="Times New Roman"/>
          <w:b/>
          <w:sz w:val="24"/>
          <w:szCs w:val="24"/>
          <w:u w:val="single"/>
        </w:rPr>
        <w:t>Methodology</w:t>
      </w:r>
    </w:p>
    <w:p w14:paraId="71DECFCF" w14:textId="7CF79967" w:rsidR="001B221E" w:rsidRPr="0043051A" w:rsidRDefault="0043051A" w:rsidP="00E87610">
      <w:pPr>
        <w:spacing w:after="100" w:line="360" w:lineRule="auto"/>
        <w:jc w:val="both"/>
        <w:rPr>
          <w:rFonts w:ascii="Times New Roman" w:eastAsia="Calibri" w:hAnsi="Times New Roman" w:cs="Times New Roman"/>
          <w:b/>
          <w:sz w:val="24"/>
          <w:szCs w:val="24"/>
        </w:rPr>
      </w:pPr>
      <w:r w:rsidRPr="0043051A">
        <w:rPr>
          <w:rFonts w:ascii="Times New Roman" w:eastAsia="Calibri" w:hAnsi="Times New Roman" w:cs="Times New Roman"/>
          <w:b/>
          <w:sz w:val="24"/>
          <w:szCs w:val="24"/>
        </w:rPr>
        <w:t>Study design</w:t>
      </w:r>
    </w:p>
    <w:p w14:paraId="1F4A359D" w14:textId="4DE1F672" w:rsidR="0043051A" w:rsidRDefault="0043051A" w:rsidP="00E87610">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87610">
        <w:rPr>
          <w:rFonts w:ascii="Times New Roman" w:eastAsia="Calibri" w:hAnsi="Times New Roman" w:cs="Times New Roman"/>
          <w:sz w:val="24"/>
          <w:szCs w:val="24"/>
        </w:rPr>
        <w:t>n</w:t>
      </w:r>
      <w:r>
        <w:rPr>
          <w:rFonts w:ascii="Times New Roman" w:eastAsia="Calibri" w:hAnsi="Times New Roman" w:cs="Times New Roman"/>
          <w:sz w:val="24"/>
          <w:szCs w:val="24"/>
        </w:rPr>
        <w:t xml:space="preserve"> </w:t>
      </w:r>
      <w:r w:rsidR="00032EA0">
        <w:rPr>
          <w:rFonts w:ascii="Times New Roman" w:eastAsia="Calibri" w:hAnsi="Times New Roman" w:cs="Times New Roman"/>
          <w:sz w:val="24"/>
          <w:szCs w:val="24"/>
        </w:rPr>
        <w:t xml:space="preserve">analytical </w:t>
      </w:r>
      <w:r w:rsidR="00E87610">
        <w:rPr>
          <w:rFonts w:ascii="Times New Roman" w:eastAsia="Calibri" w:hAnsi="Times New Roman" w:cs="Times New Roman"/>
          <w:sz w:val="24"/>
          <w:szCs w:val="24"/>
        </w:rPr>
        <w:t xml:space="preserve">cross sectional </w:t>
      </w:r>
      <w:r w:rsidR="00032EA0">
        <w:rPr>
          <w:rFonts w:ascii="Times New Roman" w:eastAsia="Calibri" w:hAnsi="Times New Roman" w:cs="Times New Roman"/>
          <w:sz w:val="24"/>
          <w:szCs w:val="24"/>
        </w:rPr>
        <w:t>study design was</w:t>
      </w:r>
      <w:r>
        <w:rPr>
          <w:rFonts w:ascii="Times New Roman" w:eastAsia="Calibri" w:hAnsi="Times New Roman" w:cs="Times New Roman"/>
          <w:sz w:val="24"/>
          <w:szCs w:val="24"/>
        </w:rPr>
        <w:t xml:space="preserve"> adopted for this study</w:t>
      </w:r>
      <w:r w:rsidR="007A4A5C">
        <w:rPr>
          <w:rFonts w:ascii="Times New Roman" w:eastAsia="Calibri" w:hAnsi="Times New Roman" w:cs="Times New Roman"/>
          <w:sz w:val="24"/>
          <w:szCs w:val="24"/>
        </w:rPr>
        <w:t>.</w:t>
      </w:r>
    </w:p>
    <w:p w14:paraId="75E7EFC4" w14:textId="7BB5431D" w:rsidR="0043051A" w:rsidRDefault="0043051A" w:rsidP="00E87610">
      <w:pPr>
        <w:spacing w:after="100" w:line="360" w:lineRule="auto"/>
        <w:jc w:val="both"/>
        <w:rPr>
          <w:rFonts w:ascii="Times New Roman" w:eastAsia="Calibri" w:hAnsi="Times New Roman" w:cs="Times New Roman"/>
          <w:b/>
          <w:sz w:val="24"/>
          <w:szCs w:val="24"/>
        </w:rPr>
      </w:pPr>
      <w:r w:rsidRPr="0043051A">
        <w:rPr>
          <w:rFonts w:ascii="Times New Roman" w:eastAsia="Calibri" w:hAnsi="Times New Roman" w:cs="Times New Roman"/>
          <w:b/>
          <w:sz w:val="24"/>
          <w:szCs w:val="24"/>
        </w:rPr>
        <w:t>Study population</w:t>
      </w:r>
    </w:p>
    <w:p w14:paraId="46263694" w14:textId="5285D0A6" w:rsidR="006E156C" w:rsidRDefault="005C76C7"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008A6F01">
        <w:rPr>
          <w:rFonts w:ascii="Times New Roman" w:hAnsi="Times New Roman" w:cs="Times New Roman"/>
          <w:sz w:val="24"/>
          <w:szCs w:val="24"/>
        </w:rPr>
        <w:t>was conducted in</w:t>
      </w:r>
      <w:r w:rsidR="006E156C">
        <w:rPr>
          <w:rFonts w:ascii="Times New Roman" w:hAnsi="Times New Roman" w:cs="Times New Roman"/>
          <w:sz w:val="24"/>
          <w:szCs w:val="24"/>
        </w:rPr>
        <w:t xml:space="preserve"> </w:t>
      </w:r>
      <w:proofErr w:type="spellStart"/>
      <w:r w:rsidR="006E156C">
        <w:rPr>
          <w:rFonts w:ascii="Times New Roman" w:hAnsi="Times New Roman" w:cs="Times New Roman"/>
          <w:sz w:val="24"/>
          <w:szCs w:val="24"/>
        </w:rPr>
        <w:t>Yenagoa</w:t>
      </w:r>
      <w:proofErr w:type="spellEnd"/>
      <w:r w:rsidR="006E156C">
        <w:rPr>
          <w:rFonts w:ascii="Times New Roman" w:hAnsi="Times New Roman" w:cs="Times New Roman"/>
          <w:sz w:val="24"/>
          <w:szCs w:val="24"/>
        </w:rPr>
        <w:t xml:space="preserve"> Local Government Area of </w:t>
      </w:r>
      <w:proofErr w:type="spellStart"/>
      <w:r w:rsidR="006E156C">
        <w:rPr>
          <w:rFonts w:ascii="Times New Roman" w:hAnsi="Times New Roman" w:cs="Times New Roman"/>
          <w:sz w:val="24"/>
          <w:szCs w:val="24"/>
        </w:rPr>
        <w:t>Bayelsa</w:t>
      </w:r>
      <w:proofErr w:type="spellEnd"/>
      <w:r w:rsidR="008A6F01">
        <w:rPr>
          <w:rFonts w:ascii="Times New Roman" w:hAnsi="Times New Roman" w:cs="Times New Roman"/>
          <w:sz w:val="24"/>
          <w:szCs w:val="24"/>
        </w:rPr>
        <w:t xml:space="preserve"> State, Nigeria.</w:t>
      </w:r>
      <w:r w:rsidR="006E156C">
        <w:rPr>
          <w:rFonts w:ascii="Times New Roman" w:hAnsi="Times New Roman" w:cs="Times New Roman"/>
          <w:sz w:val="24"/>
          <w:szCs w:val="24"/>
        </w:rPr>
        <w:t xml:space="preserve"> </w:t>
      </w:r>
      <w:proofErr w:type="spellStart"/>
      <w:r w:rsidR="006E156C">
        <w:rPr>
          <w:rFonts w:ascii="Times New Roman" w:hAnsi="Times New Roman" w:cs="Times New Roman"/>
          <w:sz w:val="24"/>
          <w:szCs w:val="24"/>
        </w:rPr>
        <w:t>Yenagoa</w:t>
      </w:r>
      <w:proofErr w:type="spellEnd"/>
      <w:r w:rsidR="006E156C">
        <w:rPr>
          <w:rFonts w:ascii="Times New Roman" w:hAnsi="Times New Roman" w:cs="Times New Roman"/>
          <w:sz w:val="24"/>
          <w:szCs w:val="24"/>
        </w:rPr>
        <w:t xml:space="preserve"> Local Government Area is one of the three local government areas that make up the central senatorial district of </w:t>
      </w:r>
      <w:proofErr w:type="spellStart"/>
      <w:r w:rsidR="006E156C">
        <w:rPr>
          <w:rFonts w:ascii="Times New Roman" w:hAnsi="Times New Roman" w:cs="Times New Roman"/>
          <w:sz w:val="24"/>
          <w:szCs w:val="24"/>
        </w:rPr>
        <w:t>Bayelsa</w:t>
      </w:r>
      <w:proofErr w:type="spellEnd"/>
      <w:r w:rsidR="006E156C">
        <w:rPr>
          <w:rFonts w:ascii="Times New Roman" w:hAnsi="Times New Roman" w:cs="Times New Roman"/>
          <w:sz w:val="24"/>
          <w:szCs w:val="24"/>
        </w:rPr>
        <w:t xml:space="preserve"> State</w:t>
      </w:r>
      <w:r w:rsidR="008A6F01">
        <w:rPr>
          <w:rFonts w:ascii="Times New Roman" w:hAnsi="Times New Roman" w:cs="Times New Roman"/>
          <w:sz w:val="24"/>
          <w:szCs w:val="24"/>
        </w:rPr>
        <w:t>, Nigeria</w:t>
      </w:r>
      <w:r w:rsidR="006E156C">
        <w:rPr>
          <w:rFonts w:ascii="Times New Roman" w:hAnsi="Times New Roman" w:cs="Times New Roman"/>
          <w:sz w:val="24"/>
          <w:szCs w:val="24"/>
        </w:rPr>
        <w:t xml:space="preserve">. </w:t>
      </w:r>
      <w:proofErr w:type="spellStart"/>
      <w:r w:rsidR="006E156C">
        <w:rPr>
          <w:rFonts w:ascii="Times New Roman" w:hAnsi="Times New Roman" w:cs="Times New Roman"/>
          <w:sz w:val="24"/>
          <w:szCs w:val="24"/>
        </w:rPr>
        <w:t>Yenagoa</w:t>
      </w:r>
      <w:proofErr w:type="spellEnd"/>
      <w:r w:rsidR="006E156C">
        <w:rPr>
          <w:rFonts w:ascii="Times New Roman" w:hAnsi="Times New Roman" w:cs="Times New Roman"/>
          <w:sz w:val="24"/>
          <w:szCs w:val="24"/>
        </w:rPr>
        <w:t xml:space="preserve"> Local Go</w:t>
      </w:r>
      <w:r w:rsidR="008A6F01">
        <w:rPr>
          <w:rFonts w:ascii="Times New Roman" w:hAnsi="Times New Roman" w:cs="Times New Roman"/>
          <w:sz w:val="24"/>
          <w:szCs w:val="24"/>
        </w:rPr>
        <w:t>vernment Area is made up of fif</w:t>
      </w:r>
      <w:r w:rsidR="006E156C">
        <w:rPr>
          <w:rFonts w:ascii="Times New Roman" w:hAnsi="Times New Roman" w:cs="Times New Roman"/>
          <w:sz w:val="24"/>
          <w:szCs w:val="24"/>
        </w:rPr>
        <w:t>tee</w:t>
      </w:r>
      <w:r w:rsidR="008A6F01">
        <w:rPr>
          <w:rFonts w:ascii="Times New Roman" w:hAnsi="Times New Roman" w:cs="Times New Roman"/>
          <w:sz w:val="24"/>
          <w:szCs w:val="24"/>
        </w:rPr>
        <w:t xml:space="preserve">n political wards and </w:t>
      </w:r>
      <w:r w:rsidR="006D7013">
        <w:rPr>
          <w:rFonts w:ascii="Times New Roman" w:hAnsi="Times New Roman" w:cs="Times New Roman"/>
          <w:sz w:val="24"/>
          <w:szCs w:val="24"/>
        </w:rPr>
        <w:t>seventy-two</w:t>
      </w:r>
      <w:r w:rsidR="006E156C">
        <w:rPr>
          <w:rFonts w:ascii="Times New Roman" w:hAnsi="Times New Roman" w:cs="Times New Roman"/>
          <w:sz w:val="24"/>
          <w:szCs w:val="24"/>
        </w:rPr>
        <w:t xml:space="preserve"> indigenous communities. It has a total of thirty-six primary health care centers, thirty-four private health facilities, two public secondary health facilities and two tertiary public health facilities. The total projected population of the Local Government Area </w:t>
      </w:r>
      <w:r w:rsidR="000A48CA">
        <w:rPr>
          <w:rFonts w:ascii="Times New Roman" w:hAnsi="Times New Roman" w:cs="Times New Roman"/>
          <w:sz w:val="24"/>
          <w:szCs w:val="24"/>
        </w:rPr>
        <w:t xml:space="preserve">(using the 2006 population census figures as baseline) </w:t>
      </w:r>
      <w:r w:rsidR="006E156C">
        <w:rPr>
          <w:rFonts w:ascii="Times New Roman" w:hAnsi="Times New Roman" w:cs="Times New Roman"/>
          <w:sz w:val="24"/>
          <w:szCs w:val="24"/>
        </w:rPr>
        <w:t>is five hundred and ninety-one thousand, one hundred and eighteen (591,118).</w:t>
      </w:r>
    </w:p>
    <w:p w14:paraId="4308AB4D" w14:textId="4F38EA45" w:rsidR="006E156C" w:rsidRPr="00A42EB0" w:rsidRDefault="006E156C" w:rsidP="00E87610">
      <w:pPr>
        <w:spacing w:line="360" w:lineRule="auto"/>
        <w:rPr>
          <w:rFonts w:ascii="Times New Roman" w:hAnsi="Times New Roman" w:cs="Times New Roman"/>
          <w:b/>
          <w:sz w:val="24"/>
          <w:szCs w:val="24"/>
        </w:rPr>
      </w:pPr>
      <w:r w:rsidRPr="00A42EB0">
        <w:rPr>
          <w:rFonts w:ascii="Times New Roman" w:hAnsi="Times New Roman" w:cs="Times New Roman"/>
          <w:b/>
          <w:sz w:val="24"/>
          <w:szCs w:val="24"/>
        </w:rPr>
        <w:t>Sampling frame</w:t>
      </w:r>
    </w:p>
    <w:p w14:paraId="3EA07327" w14:textId="5F919DAB" w:rsidR="006E156C" w:rsidRDefault="006E156C"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sampling frame </w:t>
      </w:r>
      <w:r w:rsidR="005C76C7">
        <w:rPr>
          <w:rFonts w:ascii="Times New Roman" w:hAnsi="Times New Roman" w:cs="Times New Roman"/>
          <w:sz w:val="24"/>
          <w:szCs w:val="24"/>
        </w:rPr>
        <w:t>consisted</w:t>
      </w:r>
      <w:r w:rsidR="00A42EB0">
        <w:rPr>
          <w:rFonts w:ascii="Times New Roman" w:hAnsi="Times New Roman" w:cs="Times New Roman"/>
          <w:sz w:val="24"/>
          <w:szCs w:val="24"/>
        </w:rPr>
        <w:t xml:space="preserve"> of </w:t>
      </w:r>
      <w:r w:rsidR="003840F2">
        <w:rPr>
          <w:rFonts w:ascii="Times New Roman" w:hAnsi="Times New Roman" w:cs="Times New Roman"/>
          <w:sz w:val="24"/>
          <w:szCs w:val="24"/>
        </w:rPr>
        <w:t xml:space="preserve">caregivers of </w:t>
      </w:r>
      <w:r w:rsidR="00A42EB0">
        <w:rPr>
          <w:rFonts w:ascii="Times New Roman" w:hAnsi="Times New Roman" w:cs="Times New Roman"/>
          <w:sz w:val="24"/>
          <w:szCs w:val="24"/>
        </w:rPr>
        <w:t>children aged 0 - 24</w:t>
      </w:r>
      <w:r w:rsidR="00B31649">
        <w:rPr>
          <w:rFonts w:ascii="Times New Roman" w:hAnsi="Times New Roman" w:cs="Times New Roman"/>
          <w:sz w:val="24"/>
          <w:szCs w:val="24"/>
        </w:rPr>
        <w:t xml:space="preserve"> months residing</w:t>
      </w:r>
      <w:r>
        <w:rPr>
          <w:rFonts w:ascii="Times New Roman" w:hAnsi="Times New Roman" w:cs="Times New Roman"/>
          <w:sz w:val="24"/>
          <w:szCs w:val="24"/>
        </w:rPr>
        <w:t xml:space="preserve"> in the various communities of </w:t>
      </w:r>
      <w:proofErr w:type="spellStart"/>
      <w:r>
        <w:rPr>
          <w:rFonts w:ascii="Times New Roman" w:hAnsi="Times New Roman" w:cs="Times New Roman"/>
          <w:sz w:val="24"/>
          <w:szCs w:val="24"/>
        </w:rPr>
        <w:t>Yenagoa</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State, Nigeria.</w:t>
      </w:r>
    </w:p>
    <w:p w14:paraId="5415A057" w14:textId="55803F31" w:rsidR="00A42EB0" w:rsidRPr="00A42EB0" w:rsidRDefault="00A42EB0" w:rsidP="00E87610">
      <w:pPr>
        <w:spacing w:line="360" w:lineRule="auto"/>
        <w:rPr>
          <w:rFonts w:ascii="Times New Roman" w:hAnsi="Times New Roman" w:cs="Times New Roman"/>
          <w:b/>
          <w:sz w:val="24"/>
          <w:szCs w:val="24"/>
        </w:rPr>
      </w:pPr>
      <w:r w:rsidRPr="00A42EB0">
        <w:rPr>
          <w:rFonts w:ascii="Times New Roman" w:hAnsi="Times New Roman" w:cs="Times New Roman"/>
          <w:b/>
          <w:sz w:val="24"/>
          <w:szCs w:val="24"/>
        </w:rPr>
        <w:t>Sample size</w:t>
      </w:r>
    </w:p>
    <w:p w14:paraId="5CB4FB6D" w14:textId="61804A3A" w:rsidR="00A42EB0" w:rsidRPr="008A115A"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The sample size wa</w:t>
      </w:r>
      <w:r w:rsidR="006D7013" w:rsidRPr="008A115A">
        <w:rPr>
          <w:rFonts w:ascii="Times New Roman" w:hAnsi="Times New Roman" w:cs="Times New Roman"/>
          <w:sz w:val="24"/>
          <w:szCs w:val="24"/>
        </w:rPr>
        <w:t>s determined using the Cochran</w:t>
      </w:r>
      <w:r w:rsidRPr="008A115A">
        <w:rPr>
          <w:rFonts w:ascii="Times New Roman" w:hAnsi="Times New Roman" w:cs="Times New Roman"/>
          <w:sz w:val="24"/>
          <w:szCs w:val="24"/>
        </w:rPr>
        <w:t xml:space="preserve"> formula:</w:t>
      </w:r>
    </w:p>
    <w:p w14:paraId="261E6BED" w14:textId="77777777" w:rsidR="00A42EB0" w:rsidRPr="008A115A"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Sample size (n) = z</w:t>
      </w:r>
      <w:r w:rsidRPr="008A115A">
        <w:rPr>
          <w:rFonts w:ascii="Times New Roman" w:hAnsi="Times New Roman" w:cs="Times New Roman"/>
          <w:sz w:val="24"/>
          <w:szCs w:val="24"/>
          <w:vertAlign w:val="superscript"/>
        </w:rPr>
        <w:t>2</w:t>
      </w:r>
      <w:r w:rsidRPr="008A115A">
        <w:rPr>
          <w:rFonts w:ascii="Times New Roman" w:hAnsi="Times New Roman" w:cs="Times New Roman"/>
          <w:sz w:val="24"/>
          <w:szCs w:val="24"/>
        </w:rPr>
        <w:t>pq/d</w:t>
      </w:r>
      <w:r w:rsidRPr="008A115A">
        <w:rPr>
          <w:rFonts w:ascii="Times New Roman" w:hAnsi="Times New Roman" w:cs="Times New Roman"/>
          <w:sz w:val="24"/>
          <w:szCs w:val="24"/>
          <w:vertAlign w:val="superscript"/>
        </w:rPr>
        <w:t xml:space="preserve">2 </w:t>
      </w:r>
    </w:p>
    <w:p w14:paraId="781F2914" w14:textId="20424827" w:rsidR="00A42EB0" w:rsidRPr="008A115A" w:rsidRDefault="006D7013"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lastRenderedPageBreak/>
        <w:t>Where, z = 1.96 (</w:t>
      </w:r>
      <w:r w:rsidR="00A42EB0" w:rsidRPr="008A115A">
        <w:rPr>
          <w:rFonts w:ascii="Times New Roman" w:hAnsi="Times New Roman" w:cs="Times New Roman"/>
          <w:sz w:val="24"/>
          <w:szCs w:val="24"/>
        </w:rPr>
        <w:t>95% confidence interval)</w:t>
      </w:r>
    </w:p>
    <w:p w14:paraId="5E77D721" w14:textId="12ED009B" w:rsidR="00A42EB0" w:rsidRPr="00C13CAB"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ab/>
        <w:t xml:space="preserve">p = </w:t>
      </w:r>
      <w:r w:rsidR="00C13CAB" w:rsidRPr="00C13CAB">
        <w:rPr>
          <w:rFonts w:ascii="Times New Roman" w:hAnsi="Times New Roman" w:cs="Times New Roman"/>
          <w:sz w:val="24"/>
          <w:szCs w:val="24"/>
        </w:rPr>
        <w:t>57</w:t>
      </w:r>
      <w:r w:rsidR="007C71B6" w:rsidRPr="00C13CAB">
        <w:rPr>
          <w:rFonts w:ascii="Times New Roman" w:hAnsi="Times New Roman" w:cs="Times New Roman"/>
          <w:sz w:val="24"/>
          <w:szCs w:val="24"/>
        </w:rPr>
        <w:t>% (</w:t>
      </w:r>
      <w:r w:rsidR="00C13CAB" w:rsidRPr="00C13CAB">
        <w:rPr>
          <w:rFonts w:ascii="Times New Roman" w:hAnsi="Times New Roman" w:cs="Times New Roman"/>
          <w:sz w:val="24"/>
          <w:szCs w:val="24"/>
        </w:rPr>
        <w:t>MICS/</w:t>
      </w:r>
      <w:r w:rsidR="007C71B6" w:rsidRPr="00C13CAB">
        <w:rPr>
          <w:rFonts w:ascii="Times New Roman" w:hAnsi="Times New Roman" w:cs="Times New Roman"/>
          <w:sz w:val="24"/>
          <w:szCs w:val="24"/>
        </w:rPr>
        <w:t>NICS, 2021</w:t>
      </w:r>
      <w:r w:rsidRPr="00C13CAB">
        <w:rPr>
          <w:rFonts w:ascii="Times New Roman" w:hAnsi="Times New Roman" w:cs="Times New Roman"/>
          <w:sz w:val="24"/>
          <w:szCs w:val="24"/>
        </w:rPr>
        <w:t>)</w:t>
      </w:r>
    </w:p>
    <w:p w14:paraId="3684F85D" w14:textId="08286D78" w:rsidR="00A42EB0" w:rsidRPr="008A115A" w:rsidRDefault="00C13CAB" w:rsidP="00E87610">
      <w:pPr>
        <w:spacing w:line="360" w:lineRule="auto"/>
        <w:rPr>
          <w:rFonts w:ascii="Times New Roman" w:hAnsi="Times New Roman" w:cs="Times New Roman"/>
          <w:sz w:val="24"/>
          <w:szCs w:val="24"/>
        </w:rPr>
      </w:pPr>
      <w:r>
        <w:rPr>
          <w:rFonts w:ascii="Times New Roman" w:hAnsi="Times New Roman" w:cs="Times New Roman"/>
          <w:sz w:val="24"/>
          <w:szCs w:val="24"/>
        </w:rPr>
        <w:tab/>
        <w:t>q = 1 – p = 1 – 0.57 = 0.43</w:t>
      </w:r>
    </w:p>
    <w:p w14:paraId="2638C66D" w14:textId="77777777" w:rsidR="00A42EB0" w:rsidRPr="008A115A"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ab/>
        <w:t>d = 0.05 (Margin of error)</w:t>
      </w:r>
    </w:p>
    <w:p w14:paraId="6B2117BD" w14:textId="6E198C58" w:rsidR="00A42EB0" w:rsidRPr="008A115A"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Therefore, n = (1.96)</w:t>
      </w:r>
      <w:r w:rsidRPr="008A115A">
        <w:rPr>
          <w:rFonts w:ascii="Times New Roman" w:hAnsi="Times New Roman" w:cs="Times New Roman"/>
          <w:sz w:val="24"/>
          <w:szCs w:val="24"/>
          <w:vertAlign w:val="superscript"/>
        </w:rPr>
        <w:t xml:space="preserve">2 </w:t>
      </w:r>
      <w:r w:rsidR="00C13CAB">
        <w:rPr>
          <w:rFonts w:ascii="Times New Roman" w:hAnsi="Times New Roman" w:cs="Times New Roman"/>
          <w:sz w:val="24"/>
          <w:szCs w:val="24"/>
        </w:rPr>
        <w:t>x 0.57 x 0.43</w:t>
      </w:r>
      <w:r w:rsidRPr="008A115A">
        <w:rPr>
          <w:rFonts w:ascii="Times New Roman" w:hAnsi="Times New Roman" w:cs="Times New Roman"/>
          <w:sz w:val="24"/>
          <w:szCs w:val="24"/>
        </w:rPr>
        <w:t>/</w:t>
      </w:r>
      <w:r w:rsidR="006D7013" w:rsidRPr="008A115A">
        <w:rPr>
          <w:rFonts w:ascii="Times New Roman" w:hAnsi="Times New Roman" w:cs="Times New Roman"/>
          <w:sz w:val="24"/>
          <w:szCs w:val="24"/>
        </w:rPr>
        <w:t xml:space="preserve"> </w:t>
      </w:r>
      <w:r w:rsidRPr="008A115A">
        <w:rPr>
          <w:rFonts w:ascii="Times New Roman" w:hAnsi="Times New Roman" w:cs="Times New Roman"/>
          <w:sz w:val="24"/>
          <w:szCs w:val="24"/>
        </w:rPr>
        <w:t>(0.05)</w:t>
      </w:r>
      <w:r w:rsidRPr="008A115A">
        <w:rPr>
          <w:rFonts w:ascii="Times New Roman" w:hAnsi="Times New Roman" w:cs="Times New Roman"/>
          <w:sz w:val="24"/>
          <w:szCs w:val="24"/>
          <w:vertAlign w:val="superscript"/>
        </w:rPr>
        <w:t xml:space="preserve">2 </w:t>
      </w:r>
    </w:p>
    <w:p w14:paraId="6F98AD2F" w14:textId="4ABE8309" w:rsidR="00A42EB0" w:rsidRDefault="00C13CAB" w:rsidP="00E87610">
      <w:pPr>
        <w:spacing w:line="360" w:lineRule="auto"/>
        <w:rPr>
          <w:rFonts w:ascii="Times New Roman" w:hAnsi="Times New Roman" w:cs="Times New Roman"/>
          <w:sz w:val="24"/>
          <w:szCs w:val="24"/>
        </w:rPr>
      </w:pPr>
      <w:r>
        <w:rPr>
          <w:rFonts w:ascii="Times New Roman" w:hAnsi="Times New Roman" w:cs="Times New Roman"/>
          <w:sz w:val="24"/>
          <w:szCs w:val="24"/>
        </w:rPr>
        <w:tab/>
        <w:t>n = 0.6592/0.0025 = 377</w:t>
      </w:r>
    </w:p>
    <w:p w14:paraId="0AD7610F" w14:textId="5A9B27AA" w:rsidR="00C13CAB" w:rsidRDefault="00FE00B1" w:rsidP="00E8761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Adjustment for n</w:t>
      </w:r>
      <w:r w:rsidR="00C13CAB" w:rsidRPr="00C13CAB">
        <w:rPr>
          <w:rFonts w:ascii="Times New Roman" w:hAnsi="Times New Roman" w:cs="Times New Roman"/>
          <w:b/>
          <w:sz w:val="24"/>
          <w:szCs w:val="24"/>
          <w:u w:val="single"/>
        </w:rPr>
        <w:t>on-response</w:t>
      </w:r>
    </w:p>
    <w:p w14:paraId="11DBFE33" w14:textId="59932725" w:rsidR="00C13CAB" w:rsidRDefault="00FE00B1" w:rsidP="00E87610">
      <w:pPr>
        <w:spacing w:line="360" w:lineRule="auto"/>
        <w:rPr>
          <w:rFonts w:ascii="Times New Roman" w:hAnsi="Times New Roman" w:cs="Times New Roman"/>
          <w:sz w:val="24"/>
          <w:szCs w:val="24"/>
        </w:rPr>
      </w:pPr>
      <w:r>
        <w:rPr>
          <w:rFonts w:ascii="Times New Roman" w:hAnsi="Times New Roman" w:cs="Times New Roman"/>
          <w:sz w:val="24"/>
          <w:szCs w:val="24"/>
        </w:rPr>
        <w:t>The adjustment factor for non-response adopted for the study was 10%.</w:t>
      </w:r>
    </w:p>
    <w:p w14:paraId="7D518F61" w14:textId="3A8456A9" w:rsidR="00FE00B1" w:rsidRDefault="00FE00B1" w:rsidP="00E87610">
      <w:pPr>
        <w:spacing w:line="360" w:lineRule="auto"/>
        <w:rPr>
          <w:rFonts w:ascii="Times New Roman" w:hAnsi="Times New Roman" w:cs="Times New Roman"/>
          <w:sz w:val="24"/>
          <w:szCs w:val="24"/>
        </w:rPr>
      </w:pPr>
      <w:r>
        <w:rPr>
          <w:rFonts w:ascii="Times New Roman" w:hAnsi="Times New Roman" w:cs="Times New Roman"/>
          <w:sz w:val="24"/>
          <w:szCs w:val="24"/>
        </w:rPr>
        <w:t xml:space="preserve">Thus, </w:t>
      </w:r>
      <w:proofErr w:type="spellStart"/>
      <w:r>
        <w:rPr>
          <w:rFonts w:ascii="Times New Roman" w:hAnsi="Times New Roman" w:cs="Times New Roman"/>
          <w:sz w:val="24"/>
          <w:szCs w:val="24"/>
        </w:rPr>
        <w:t>n</w:t>
      </w:r>
      <w:r w:rsidRPr="00FE00B1">
        <w:rPr>
          <w:rFonts w:ascii="Times New Roman" w:hAnsi="Times New Roman" w:cs="Times New Roman"/>
          <w:sz w:val="24"/>
          <w:szCs w:val="24"/>
          <w:vertAlign w:val="subscript"/>
        </w:rPr>
        <w:t>adjusted</w:t>
      </w:r>
      <w:proofErr w:type="spellEnd"/>
      <w:r>
        <w:rPr>
          <w:rFonts w:ascii="Times New Roman" w:hAnsi="Times New Roman" w:cs="Times New Roman"/>
          <w:sz w:val="24"/>
          <w:szCs w:val="24"/>
        </w:rPr>
        <w:t xml:space="preserve"> = n/1 – r,</w:t>
      </w:r>
    </w:p>
    <w:p w14:paraId="42E9FC71" w14:textId="28E33BEE" w:rsidR="00FE00B1" w:rsidRDefault="00FE00B1" w:rsidP="00E87610">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r = 10% </w:t>
      </w:r>
    </w:p>
    <w:p w14:paraId="77E7EDC5" w14:textId="77777777" w:rsidR="00F74FB0" w:rsidRDefault="00FE00B1" w:rsidP="00E87610">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Therefore, </w:t>
      </w:r>
      <w:proofErr w:type="spellStart"/>
      <w:r>
        <w:rPr>
          <w:rFonts w:ascii="Times New Roman" w:hAnsi="Times New Roman" w:cs="Times New Roman"/>
          <w:sz w:val="24"/>
          <w:szCs w:val="24"/>
        </w:rPr>
        <w:t>n</w:t>
      </w:r>
      <w:r w:rsidRPr="00FE00B1">
        <w:rPr>
          <w:rFonts w:ascii="Times New Roman" w:hAnsi="Times New Roman" w:cs="Times New Roman"/>
          <w:sz w:val="24"/>
          <w:szCs w:val="24"/>
          <w:vertAlign w:val="subscript"/>
        </w:rPr>
        <w:t>adjusted</w:t>
      </w:r>
      <w:proofErr w:type="spellEnd"/>
      <w:r>
        <w:rPr>
          <w:rFonts w:ascii="Times New Roman" w:hAnsi="Times New Roman" w:cs="Times New Roman"/>
          <w:sz w:val="24"/>
          <w:szCs w:val="24"/>
        </w:rPr>
        <w:t xml:space="preserve"> = 377/1 -0.1 = 377/0.9 </w:t>
      </w:r>
    </w:p>
    <w:p w14:paraId="0430241B" w14:textId="70B8648E" w:rsidR="00E50449" w:rsidRDefault="00F74FB0" w:rsidP="00E8761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n </w:t>
      </w:r>
      <w:r w:rsidRPr="00F74FB0">
        <w:rPr>
          <w:rFonts w:ascii="Times New Roman" w:hAnsi="Times New Roman" w:cs="Times New Roman"/>
          <w:sz w:val="24"/>
          <w:szCs w:val="24"/>
          <w:vertAlign w:val="subscript"/>
        </w:rPr>
        <w:t>adjusted</w:t>
      </w:r>
      <w:r>
        <w:rPr>
          <w:rFonts w:ascii="Times New Roman" w:hAnsi="Times New Roman" w:cs="Times New Roman"/>
          <w:sz w:val="24"/>
          <w:szCs w:val="24"/>
        </w:rPr>
        <w:t xml:space="preserve"> </w:t>
      </w:r>
      <w:r w:rsidR="00FE00B1">
        <w:rPr>
          <w:rFonts w:ascii="Times New Roman" w:hAnsi="Times New Roman" w:cs="Times New Roman"/>
          <w:sz w:val="24"/>
          <w:szCs w:val="24"/>
        </w:rPr>
        <w:t>= 419</w:t>
      </w:r>
    </w:p>
    <w:p w14:paraId="6CF68010" w14:textId="77777777" w:rsidR="00E87610" w:rsidRDefault="00E87610" w:rsidP="00E87610">
      <w:pPr>
        <w:spacing w:line="360" w:lineRule="auto"/>
        <w:ind w:firstLine="720"/>
        <w:rPr>
          <w:rFonts w:ascii="Times New Roman" w:hAnsi="Times New Roman" w:cs="Times New Roman"/>
          <w:sz w:val="24"/>
          <w:szCs w:val="24"/>
        </w:rPr>
      </w:pPr>
    </w:p>
    <w:p w14:paraId="479BD5FB" w14:textId="77777777" w:rsidR="00E87610" w:rsidRPr="00E87610" w:rsidRDefault="00E87610" w:rsidP="00E87610">
      <w:pPr>
        <w:spacing w:line="360" w:lineRule="auto"/>
        <w:ind w:firstLine="720"/>
        <w:rPr>
          <w:rFonts w:ascii="Times New Roman" w:hAnsi="Times New Roman" w:cs="Times New Roman"/>
          <w:sz w:val="24"/>
          <w:szCs w:val="24"/>
        </w:rPr>
      </w:pPr>
    </w:p>
    <w:p w14:paraId="4605AF4F" w14:textId="1CA43DCA" w:rsidR="00A42EB0" w:rsidRPr="00F74FB0" w:rsidRDefault="00A42EB0" w:rsidP="00E87610">
      <w:pPr>
        <w:spacing w:line="360" w:lineRule="auto"/>
        <w:rPr>
          <w:rFonts w:ascii="Times New Roman" w:hAnsi="Times New Roman" w:cs="Times New Roman"/>
          <w:b/>
          <w:sz w:val="24"/>
          <w:szCs w:val="24"/>
          <w:u w:val="single"/>
        </w:rPr>
      </w:pPr>
      <w:r w:rsidRPr="00F74FB0">
        <w:rPr>
          <w:rFonts w:ascii="Times New Roman" w:hAnsi="Times New Roman" w:cs="Times New Roman"/>
          <w:b/>
          <w:sz w:val="24"/>
          <w:szCs w:val="24"/>
          <w:u w:val="single"/>
        </w:rPr>
        <w:t>Sampling technique</w:t>
      </w:r>
    </w:p>
    <w:p w14:paraId="63234017" w14:textId="5ADD32C1" w:rsidR="00A42EB0" w:rsidRPr="008A115A"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Multi</w:t>
      </w:r>
      <w:r w:rsidR="000A48CA">
        <w:rPr>
          <w:rFonts w:ascii="Times New Roman" w:hAnsi="Times New Roman" w:cs="Times New Roman"/>
          <w:sz w:val="24"/>
          <w:szCs w:val="24"/>
        </w:rPr>
        <w:t>stage sampling technique was</w:t>
      </w:r>
      <w:r w:rsidRPr="008A115A">
        <w:rPr>
          <w:rFonts w:ascii="Times New Roman" w:hAnsi="Times New Roman" w:cs="Times New Roman"/>
          <w:sz w:val="24"/>
          <w:szCs w:val="24"/>
        </w:rPr>
        <w:t xml:space="preserve"> used to select eligible participants for the study.</w:t>
      </w:r>
    </w:p>
    <w:p w14:paraId="3BF104CA" w14:textId="205615C0" w:rsidR="006D7013" w:rsidRPr="008A115A" w:rsidRDefault="006D7013" w:rsidP="00E87610">
      <w:pPr>
        <w:spacing w:line="360" w:lineRule="auto"/>
        <w:outlineLvl w:val="0"/>
        <w:rPr>
          <w:rFonts w:ascii="Times New Roman" w:hAnsi="Times New Roman" w:cs="Times New Roman"/>
          <w:b/>
          <w:sz w:val="24"/>
          <w:szCs w:val="24"/>
          <w:u w:val="single"/>
        </w:rPr>
      </w:pPr>
      <w:r w:rsidRPr="008A115A">
        <w:rPr>
          <w:rFonts w:ascii="Times New Roman" w:hAnsi="Times New Roman" w:cs="Times New Roman"/>
          <w:b/>
          <w:sz w:val="24"/>
          <w:szCs w:val="24"/>
          <w:u w:val="single"/>
        </w:rPr>
        <w:t>Stage 1 – Selection of Senatorial District</w:t>
      </w:r>
    </w:p>
    <w:p w14:paraId="12E96F0E" w14:textId="63CEA2E7" w:rsidR="006D7013" w:rsidRPr="008A115A" w:rsidRDefault="006D7013" w:rsidP="00E87610">
      <w:pPr>
        <w:spacing w:line="360" w:lineRule="auto"/>
        <w:jc w:val="both"/>
        <w:outlineLvl w:val="0"/>
        <w:rPr>
          <w:rFonts w:ascii="Times New Roman" w:hAnsi="Times New Roman" w:cs="Times New Roman"/>
          <w:sz w:val="24"/>
          <w:szCs w:val="24"/>
        </w:rPr>
      </w:pPr>
      <w:r w:rsidRPr="008A115A">
        <w:rPr>
          <w:rFonts w:ascii="Times New Roman" w:hAnsi="Times New Roman" w:cs="Times New Roman"/>
          <w:sz w:val="24"/>
          <w:szCs w:val="24"/>
        </w:rPr>
        <w:t xml:space="preserve">The central senatorial district was selected from the three senatorial districts that make up </w:t>
      </w:r>
      <w:proofErr w:type="spellStart"/>
      <w:r w:rsidRPr="008A115A">
        <w:rPr>
          <w:rFonts w:ascii="Times New Roman" w:hAnsi="Times New Roman" w:cs="Times New Roman"/>
          <w:sz w:val="24"/>
          <w:szCs w:val="24"/>
        </w:rPr>
        <w:t>Bayelsa</w:t>
      </w:r>
      <w:proofErr w:type="spellEnd"/>
      <w:r w:rsidRPr="008A115A">
        <w:rPr>
          <w:rFonts w:ascii="Times New Roman" w:hAnsi="Times New Roman" w:cs="Times New Roman"/>
          <w:sz w:val="24"/>
          <w:szCs w:val="24"/>
        </w:rPr>
        <w:t xml:space="preserve"> State, Nigeria, using simple random sampling.</w:t>
      </w:r>
    </w:p>
    <w:p w14:paraId="092C1F6C" w14:textId="6ED872E8" w:rsidR="00A42EB0" w:rsidRPr="008A115A" w:rsidRDefault="006D7013" w:rsidP="00E87610">
      <w:pPr>
        <w:spacing w:line="360" w:lineRule="auto"/>
        <w:outlineLvl w:val="0"/>
        <w:rPr>
          <w:rFonts w:ascii="Times New Roman" w:hAnsi="Times New Roman" w:cs="Times New Roman"/>
          <w:b/>
          <w:sz w:val="24"/>
          <w:szCs w:val="24"/>
          <w:u w:val="single"/>
        </w:rPr>
      </w:pPr>
      <w:r w:rsidRPr="008A115A">
        <w:rPr>
          <w:rFonts w:ascii="Times New Roman" w:hAnsi="Times New Roman" w:cs="Times New Roman"/>
          <w:b/>
          <w:sz w:val="24"/>
          <w:szCs w:val="24"/>
          <w:u w:val="single"/>
        </w:rPr>
        <w:t xml:space="preserve">Stage 2 </w:t>
      </w:r>
      <w:r w:rsidR="00A42EB0" w:rsidRPr="008A115A">
        <w:rPr>
          <w:rFonts w:ascii="Times New Roman" w:hAnsi="Times New Roman" w:cs="Times New Roman"/>
          <w:b/>
          <w:sz w:val="24"/>
          <w:szCs w:val="24"/>
          <w:u w:val="single"/>
        </w:rPr>
        <w:t>– Selection of Local Government Area</w:t>
      </w:r>
    </w:p>
    <w:p w14:paraId="3E37B39D" w14:textId="63449004" w:rsidR="00A42EB0" w:rsidRPr="008A115A" w:rsidRDefault="006D7013" w:rsidP="00E87610">
      <w:pPr>
        <w:spacing w:line="360" w:lineRule="auto"/>
        <w:outlineLvl w:val="0"/>
        <w:rPr>
          <w:rFonts w:ascii="Times New Roman" w:hAnsi="Times New Roman" w:cs="Times New Roman"/>
          <w:sz w:val="24"/>
          <w:szCs w:val="24"/>
        </w:rPr>
      </w:pPr>
      <w:proofErr w:type="spellStart"/>
      <w:r w:rsidRPr="008A115A">
        <w:rPr>
          <w:rFonts w:ascii="Times New Roman" w:hAnsi="Times New Roman" w:cs="Times New Roman"/>
          <w:sz w:val="24"/>
          <w:szCs w:val="24"/>
        </w:rPr>
        <w:t>Yenagoa</w:t>
      </w:r>
      <w:proofErr w:type="spellEnd"/>
      <w:r w:rsidRPr="008A115A">
        <w:rPr>
          <w:rFonts w:ascii="Times New Roman" w:hAnsi="Times New Roman" w:cs="Times New Roman"/>
          <w:sz w:val="24"/>
          <w:szCs w:val="24"/>
        </w:rPr>
        <w:t xml:space="preserve"> Local Government Area was selected from the three Local Government areas that make up the central senatorial district, using simple random sampling.</w:t>
      </w:r>
    </w:p>
    <w:p w14:paraId="5A5E9CC1" w14:textId="700FB1DE" w:rsidR="00A42EB0" w:rsidRPr="008A115A" w:rsidRDefault="006D7013" w:rsidP="00E87610">
      <w:pPr>
        <w:spacing w:line="360" w:lineRule="auto"/>
        <w:outlineLvl w:val="0"/>
        <w:rPr>
          <w:rFonts w:ascii="Times New Roman" w:hAnsi="Times New Roman" w:cs="Times New Roman"/>
          <w:b/>
          <w:sz w:val="24"/>
          <w:szCs w:val="24"/>
          <w:u w:val="single"/>
        </w:rPr>
      </w:pPr>
      <w:r w:rsidRPr="008A115A">
        <w:rPr>
          <w:rFonts w:ascii="Times New Roman" w:hAnsi="Times New Roman" w:cs="Times New Roman"/>
          <w:b/>
          <w:sz w:val="24"/>
          <w:szCs w:val="24"/>
          <w:u w:val="single"/>
        </w:rPr>
        <w:t>Stage 3</w:t>
      </w:r>
      <w:r w:rsidR="00A42EB0" w:rsidRPr="008A115A">
        <w:rPr>
          <w:rFonts w:ascii="Times New Roman" w:hAnsi="Times New Roman" w:cs="Times New Roman"/>
          <w:b/>
          <w:sz w:val="24"/>
          <w:szCs w:val="24"/>
          <w:u w:val="single"/>
        </w:rPr>
        <w:t xml:space="preserve"> - Selection of wards</w:t>
      </w:r>
    </w:p>
    <w:p w14:paraId="7AB06F40" w14:textId="18865F70" w:rsidR="00A42EB0" w:rsidRPr="008A115A" w:rsidRDefault="00A42EB0" w:rsidP="00E87610">
      <w:pPr>
        <w:spacing w:line="360" w:lineRule="auto"/>
        <w:jc w:val="both"/>
        <w:rPr>
          <w:rFonts w:ascii="Times New Roman" w:hAnsi="Times New Roman" w:cs="Times New Roman"/>
          <w:sz w:val="24"/>
          <w:szCs w:val="24"/>
        </w:rPr>
      </w:pPr>
      <w:r w:rsidRPr="008A115A">
        <w:rPr>
          <w:rFonts w:ascii="Times New Roman" w:hAnsi="Times New Roman" w:cs="Times New Roman"/>
          <w:sz w:val="24"/>
          <w:szCs w:val="24"/>
        </w:rPr>
        <w:lastRenderedPageBreak/>
        <w:t xml:space="preserve">One ward </w:t>
      </w:r>
      <w:r w:rsidR="000A48CA">
        <w:rPr>
          <w:rFonts w:ascii="Times New Roman" w:hAnsi="Times New Roman" w:cs="Times New Roman"/>
          <w:sz w:val="24"/>
          <w:szCs w:val="24"/>
        </w:rPr>
        <w:t>(</w:t>
      </w:r>
      <w:proofErr w:type="spellStart"/>
      <w:r w:rsidR="000A48CA">
        <w:rPr>
          <w:rFonts w:ascii="Times New Roman" w:hAnsi="Times New Roman" w:cs="Times New Roman"/>
          <w:sz w:val="24"/>
          <w:szCs w:val="24"/>
        </w:rPr>
        <w:t>Epie</w:t>
      </w:r>
      <w:proofErr w:type="spellEnd"/>
      <w:r w:rsidR="000A48CA">
        <w:rPr>
          <w:rFonts w:ascii="Times New Roman" w:hAnsi="Times New Roman" w:cs="Times New Roman"/>
          <w:sz w:val="24"/>
          <w:szCs w:val="24"/>
        </w:rPr>
        <w:t xml:space="preserve"> 2 </w:t>
      </w:r>
      <w:r w:rsidR="00E50449">
        <w:rPr>
          <w:rFonts w:ascii="Times New Roman" w:hAnsi="Times New Roman" w:cs="Times New Roman"/>
          <w:sz w:val="24"/>
          <w:szCs w:val="24"/>
        </w:rPr>
        <w:t xml:space="preserve">ward) </w:t>
      </w:r>
      <w:r w:rsidRPr="008A115A">
        <w:rPr>
          <w:rFonts w:ascii="Times New Roman" w:hAnsi="Times New Roman" w:cs="Times New Roman"/>
          <w:sz w:val="24"/>
          <w:szCs w:val="24"/>
        </w:rPr>
        <w:t xml:space="preserve">from the fifteen wards that make up </w:t>
      </w:r>
      <w:proofErr w:type="spellStart"/>
      <w:r w:rsidRPr="008A115A">
        <w:rPr>
          <w:rFonts w:ascii="Times New Roman" w:hAnsi="Times New Roman" w:cs="Times New Roman"/>
          <w:sz w:val="24"/>
          <w:szCs w:val="24"/>
        </w:rPr>
        <w:t>Ye</w:t>
      </w:r>
      <w:r w:rsidR="006D7013" w:rsidRPr="008A115A">
        <w:rPr>
          <w:rFonts w:ascii="Times New Roman" w:hAnsi="Times New Roman" w:cs="Times New Roman"/>
          <w:sz w:val="24"/>
          <w:szCs w:val="24"/>
        </w:rPr>
        <w:t>nagoa</w:t>
      </w:r>
      <w:proofErr w:type="spellEnd"/>
      <w:r w:rsidR="006D7013" w:rsidRPr="008A115A">
        <w:rPr>
          <w:rFonts w:ascii="Times New Roman" w:hAnsi="Times New Roman" w:cs="Times New Roman"/>
          <w:sz w:val="24"/>
          <w:szCs w:val="24"/>
        </w:rPr>
        <w:t xml:space="preserve"> Local Government Area was </w:t>
      </w:r>
      <w:r w:rsidRPr="008A115A">
        <w:rPr>
          <w:rFonts w:ascii="Times New Roman" w:hAnsi="Times New Roman" w:cs="Times New Roman"/>
          <w:sz w:val="24"/>
          <w:szCs w:val="24"/>
        </w:rPr>
        <w:t>selected using simple random sampling. To do this effec</w:t>
      </w:r>
      <w:r w:rsidR="006D7013" w:rsidRPr="008A115A">
        <w:rPr>
          <w:rFonts w:ascii="Times New Roman" w:hAnsi="Times New Roman" w:cs="Times New Roman"/>
          <w:sz w:val="24"/>
          <w:szCs w:val="24"/>
        </w:rPr>
        <w:t xml:space="preserve">tively, secondary data from </w:t>
      </w:r>
      <w:proofErr w:type="spellStart"/>
      <w:r w:rsidRPr="008A115A">
        <w:rPr>
          <w:rFonts w:ascii="Times New Roman" w:hAnsi="Times New Roman" w:cs="Times New Roman"/>
          <w:sz w:val="24"/>
          <w:szCs w:val="24"/>
        </w:rPr>
        <w:t>Yenag</w:t>
      </w:r>
      <w:r w:rsidR="006D7013" w:rsidRPr="008A115A">
        <w:rPr>
          <w:rFonts w:ascii="Times New Roman" w:hAnsi="Times New Roman" w:cs="Times New Roman"/>
          <w:sz w:val="24"/>
          <w:szCs w:val="24"/>
        </w:rPr>
        <w:t>oa</w:t>
      </w:r>
      <w:proofErr w:type="spellEnd"/>
      <w:r w:rsidR="006D7013" w:rsidRPr="008A115A">
        <w:rPr>
          <w:rFonts w:ascii="Times New Roman" w:hAnsi="Times New Roman" w:cs="Times New Roman"/>
          <w:sz w:val="24"/>
          <w:szCs w:val="24"/>
        </w:rPr>
        <w:t xml:space="preserve"> Local Government council was </w:t>
      </w:r>
      <w:r w:rsidRPr="008A115A">
        <w:rPr>
          <w:rFonts w:ascii="Times New Roman" w:hAnsi="Times New Roman" w:cs="Times New Roman"/>
          <w:sz w:val="24"/>
          <w:szCs w:val="24"/>
        </w:rPr>
        <w:t>used.</w:t>
      </w:r>
    </w:p>
    <w:p w14:paraId="5DA8F3F7" w14:textId="637C0D5B" w:rsidR="00A42EB0" w:rsidRPr="008A115A" w:rsidRDefault="006D7013" w:rsidP="00E87610">
      <w:pPr>
        <w:spacing w:line="360" w:lineRule="auto"/>
        <w:outlineLvl w:val="0"/>
        <w:rPr>
          <w:rFonts w:ascii="Times New Roman" w:hAnsi="Times New Roman" w:cs="Times New Roman"/>
          <w:b/>
          <w:sz w:val="24"/>
          <w:szCs w:val="24"/>
          <w:u w:val="single"/>
        </w:rPr>
      </w:pPr>
      <w:r w:rsidRPr="008A115A">
        <w:rPr>
          <w:rFonts w:ascii="Times New Roman" w:hAnsi="Times New Roman" w:cs="Times New Roman"/>
          <w:b/>
          <w:sz w:val="24"/>
          <w:szCs w:val="24"/>
          <w:u w:val="single"/>
        </w:rPr>
        <w:t xml:space="preserve">Stage 4 </w:t>
      </w:r>
      <w:r w:rsidR="00A42EB0" w:rsidRPr="008A115A">
        <w:rPr>
          <w:rFonts w:ascii="Times New Roman" w:hAnsi="Times New Roman" w:cs="Times New Roman"/>
          <w:b/>
          <w:sz w:val="24"/>
          <w:szCs w:val="24"/>
          <w:u w:val="single"/>
        </w:rPr>
        <w:t>– Selection of communities</w:t>
      </w:r>
    </w:p>
    <w:p w14:paraId="35A4458A" w14:textId="72F0F57F" w:rsidR="00A42EB0" w:rsidRPr="008A115A" w:rsidRDefault="00A42EB0" w:rsidP="00E87610">
      <w:pPr>
        <w:spacing w:line="360" w:lineRule="auto"/>
        <w:rPr>
          <w:rFonts w:ascii="Times New Roman" w:hAnsi="Times New Roman" w:cs="Times New Roman"/>
          <w:sz w:val="24"/>
          <w:szCs w:val="24"/>
        </w:rPr>
      </w:pPr>
      <w:r w:rsidRPr="008A115A">
        <w:rPr>
          <w:rFonts w:ascii="Times New Roman" w:hAnsi="Times New Roman" w:cs="Times New Roman"/>
          <w:sz w:val="24"/>
          <w:szCs w:val="24"/>
        </w:rPr>
        <w:t>One com</w:t>
      </w:r>
      <w:r w:rsidR="006D7013" w:rsidRPr="008A115A">
        <w:rPr>
          <w:rFonts w:ascii="Times New Roman" w:hAnsi="Times New Roman" w:cs="Times New Roman"/>
          <w:sz w:val="24"/>
          <w:szCs w:val="24"/>
        </w:rPr>
        <w:t xml:space="preserve">munity </w:t>
      </w:r>
      <w:r w:rsidR="000A48CA">
        <w:rPr>
          <w:rFonts w:ascii="Times New Roman" w:hAnsi="Times New Roman" w:cs="Times New Roman"/>
          <w:sz w:val="24"/>
          <w:szCs w:val="24"/>
        </w:rPr>
        <w:t>(</w:t>
      </w:r>
      <w:proofErr w:type="spellStart"/>
      <w:r w:rsidR="000A48CA">
        <w:rPr>
          <w:rFonts w:ascii="Times New Roman" w:hAnsi="Times New Roman" w:cs="Times New Roman"/>
          <w:sz w:val="24"/>
          <w:szCs w:val="24"/>
        </w:rPr>
        <w:t>Yenezue</w:t>
      </w:r>
      <w:proofErr w:type="spellEnd"/>
      <w:r w:rsidR="000A48CA">
        <w:rPr>
          <w:rFonts w:ascii="Times New Roman" w:hAnsi="Times New Roman" w:cs="Times New Roman"/>
          <w:sz w:val="24"/>
          <w:szCs w:val="24"/>
        </w:rPr>
        <w:t xml:space="preserve">-gene community) </w:t>
      </w:r>
      <w:r w:rsidR="006D7013" w:rsidRPr="008A115A">
        <w:rPr>
          <w:rFonts w:ascii="Times New Roman" w:hAnsi="Times New Roman" w:cs="Times New Roman"/>
          <w:sz w:val="24"/>
          <w:szCs w:val="24"/>
        </w:rPr>
        <w:t>in the selected ward was then</w:t>
      </w:r>
      <w:r w:rsidRPr="008A115A">
        <w:rPr>
          <w:rFonts w:ascii="Times New Roman" w:hAnsi="Times New Roman" w:cs="Times New Roman"/>
          <w:sz w:val="24"/>
          <w:szCs w:val="24"/>
        </w:rPr>
        <w:t xml:space="preserve"> selected using simple random sampling. </w:t>
      </w:r>
    </w:p>
    <w:p w14:paraId="7A0C8DCE" w14:textId="4C1AD1D7" w:rsidR="00A42EB0" w:rsidRPr="008A115A" w:rsidRDefault="00A42EB0" w:rsidP="00E87610">
      <w:pPr>
        <w:spacing w:line="360" w:lineRule="auto"/>
        <w:outlineLvl w:val="0"/>
        <w:rPr>
          <w:rFonts w:ascii="Times New Roman" w:hAnsi="Times New Roman" w:cs="Times New Roman"/>
          <w:b/>
          <w:sz w:val="24"/>
          <w:szCs w:val="24"/>
          <w:u w:val="single"/>
        </w:rPr>
      </w:pPr>
      <w:r w:rsidRPr="008A115A">
        <w:rPr>
          <w:rFonts w:ascii="Times New Roman" w:hAnsi="Times New Roman" w:cs="Times New Roman"/>
          <w:b/>
          <w:sz w:val="24"/>
          <w:szCs w:val="24"/>
          <w:u w:val="single"/>
        </w:rPr>
        <w:t>Sta</w:t>
      </w:r>
      <w:r w:rsidR="006D7013" w:rsidRPr="008A115A">
        <w:rPr>
          <w:rFonts w:ascii="Times New Roman" w:hAnsi="Times New Roman" w:cs="Times New Roman"/>
          <w:b/>
          <w:sz w:val="24"/>
          <w:szCs w:val="24"/>
          <w:u w:val="single"/>
        </w:rPr>
        <w:t>ge 5</w:t>
      </w:r>
      <w:r w:rsidRPr="008A115A">
        <w:rPr>
          <w:rFonts w:ascii="Times New Roman" w:hAnsi="Times New Roman" w:cs="Times New Roman"/>
          <w:b/>
          <w:sz w:val="24"/>
          <w:szCs w:val="24"/>
          <w:u w:val="single"/>
        </w:rPr>
        <w:t xml:space="preserve"> – Selection of Primary Health Centre</w:t>
      </w:r>
    </w:p>
    <w:p w14:paraId="4EA90D66" w14:textId="7A83BA5E" w:rsidR="00A42EB0" w:rsidRPr="008A115A" w:rsidRDefault="00A42EB0" w:rsidP="00E87610">
      <w:pPr>
        <w:spacing w:line="360" w:lineRule="auto"/>
        <w:jc w:val="both"/>
        <w:rPr>
          <w:rFonts w:ascii="Times New Roman" w:hAnsi="Times New Roman" w:cs="Times New Roman"/>
          <w:sz w:val="24"/>
          <w:szCs w:val="24"/>
        </w:rPr>
      </w:pPr>
      <w:r w:rsidRPr="008A115A">
        <w:rPr>
          <w:rFonts w:ascii="Times New Roman" w:hAnsi="Times New Roman" w:cs="Times New Roman"/>
          <w:sz w:val="24"/>
          <w:szCs w:val="24"/>
        </w:rPr>
        <w:t xml:space="preserve">Following the selection of the community, the primary health </w:t>
      </w:r>
      <w:r w:rsidR="005C76C7" w:rsidRPr="008A115A">
        <w:rPr>
          <w:rFonts w:ascii="Times New Roman" w:hAnsi="Times New Roman" w:cs="Times New Roman"/>
          <w:sz w:val="24"/>
          <w:szCs w:val="24"/>
        </w:rPr>
        <w:t>center</w:t>
      </w:r>
      <w:r w:rsidR="00AB4150" w:rsidRPr="008A115A">
        <w:rPr>
          <w:rFonts w:ascii="Times New Roman" w:hAnsi="Times New Roman" w:cs="Times New Roman"/>
          <w:sz w:val="24"/>
          <w:szCs w:val="24"/>
        </w:rPr>
        <w:t xml:space="preserve"> </w:t>
      </w:r>
      <w:r w:rsidR="000A48CA">
        <w:rPr>
          <w:rFonts w:ascii="Times New Roman" w:hAnsi="Times New Roman" w:cs="Times New Roman"/>
          <w:sz w:val="24"/>
          <w:szCs w:val="24"/>
        </w:rPr>
        <w:t>(</w:t>
      </w:r>
      <w:proofErr w:type="spellStart"/>
      <w:r w:rsidR="000A48CA">
        <w:rPr>
          <w:rFonts w:ascii="Times New Roman" w:hAnsi="Times New Roman" w:cs="Times New Roman"/>
          <w:sz w:val="24"/>
          <w:szCs w:val="24"/>
        </w:rPr>
        <w:t>Yenezue</w:t>
      </w:r>
      <w:proofErr w:type="spellEnd"/>
      <w:r w:rsidR="000A48CA">
        <w:rPr>
          <w:rFonts w:ascii="Times New Roman" w:hAnsi="Times New Roman" w:cs="Times New Roman"/>
          <w:sz w:val="24"/>
          <w:szCs w:val="24"/>
        </w:rPr>
        <w:t xml:space="preserve">-gene Primary Health Center) </w:t>
      </w:r>
      <w:r w:rsidR="00AB4150" w:rsidRPr="008A115A">
        <w:rPr>
          <w:rFonts w:ascii="Times New Roman" w:hAnsi="Times New Roman" w:cs="Times New Roman"/>
          <w:sz w:val="24"/>
          <w:szCs w:val="24"/>
        </w:rPr>
        <w:t xml:space="preserve">within the community </w:t>
      </w:r>
      <w:r w:rsidRPr="008A115A">
        <w:rPr>
          <w:rFonts w:ascii="Times New Roman" w:hAnsi="Times New Roman" w:cs="Times New Roman"/>
          <w:sz w:val="24"/>
          <w:szCs w:val="24"/>
        </w:rPr>
        <w:t>serve</w:t>
      </w:r>
      <w:r w:rsidR="005C76C7">
        <w:rPr>
          <w:rFonts w:ascii="Times New Roman" w:hAnsi="Times New Roman" w:cs="Times New Roman"/>
          <w:sz w:val="24"/>
          <w:szCs w:val="24"/>
        </w:rPr>
        <w:t>d as the location</w:t>
      </w:r>
      <w:r w:rsidR="00AB4150" w:rsidRPr="008A115A">
        <w:rPr>
          <w:rFonts w:ascii="Times New Roman" w:hAnsi="Times New Roman" w:cs="Times New Roman"/>
          <w:sz w:val="24"/>
          <w:szCs w:val="24"/>
        </w:rPr>
        <w:t xml:space="preserve"> </w:t>
      </w:r>
      <w:r w:rsidRPr="008A115A">
        <w:rPr>
          <w:rFonts w:ascii="Times New Roman" w:hAnsi="Times New Roman" w:cs="Times New Roman"/>
          <w:sz w:val="24"/>
          <w:szCs w:val="24"/>
        </w:rPr>
        <w:t xml:space="preserve">for data collection. </w:t>
      </w:r>
    </w:p>
    <w:p w14:paraId="4673DBBE" w14:textId="0CB02409" w:rsidR="00A42EB0" w:rsidRPr="008A115A" w:rsidRDefault="00AB4150" w:rsidP="00E87610">
      <w:pPr>
        <w:spacing w:line="360" w:lineRule="auto"/>
        <w:outlineLvl w:val="0"/>
        <w:rPr>
          <w:rFonts w:ascii="Times New Roman" w:hAnsi="Times New Roman" w:cs="Times New Roman"/>
          <w:b/>
          <w:sz w:val="24"/>
          <w:szCs w:val="24"/>
          <w:u w:val="single"/>
        </w:rPr>
      </w:pPr>
      <w:r w:rsidRPr="008A115A">
        <w:rPr>
          <w:rFonts w:ascii="Times New Roman" w:hAnsi="Times New Roman" w:cs="Times New Roman"/>
          <w:b/>
          <w:sz w:val="24"/>
          <w:szCs w:val="24"/>
          <w:u w:val="single"/>
        </w:rPr>
        <w:t xml:space="preserve">Stage 6 </w:t>
      </w:r>
      <w:r w:rsidR="00A42EB0" w:rsidRPr="008A115A">
        <w:rPr>
          <w:rFonts w:ascii="Times New Roman" w:hAnsi="Times New Roman" w:cs="Times New Roman"/>
          <w:b/>
          <w:sz w:val="24"/>
          <w:szCs w:val="24"/>
          <w:u w:val="single"/>
        </w:rPr>
        <w:t>– Selection of Participants</w:t>
      </w:r>
    </w:p>
    <w:p w14:paraId="6D5F5AB4" w14:textId="08F0CB6F" w:rsidR="005C76C7" w:rsidRPr="008A115A" w:rsidRDefault="00A42EB0" w:rsidP="00E87610">
      <w:pPr>
        <w:spacing w:line="360" w:lineRule="auto"/>
        <w:jc w:val="both"/>
        <w:rPr>
          <w:rFonts w:ascii="Times New Roman" w:hAnsi="Times New Roman" w:cs="Times New Roman"/>
          <w:sz w:val="24"/>
          <w:szCs w:val="24"/>
        </w:rPr>
      </w:pPr>
      <w:r w:rsidRPr="008A115A">
        <w:rPr>
          <w:rFonts w:ascii="Times New Roman" w:hAnsi="Times New Roman" w:cs="Times New Roman"/>
          <w:sz w:val="24"/>
          <w:szCs w:val="24"/>
        </w:rPr>
        <w:t xml:space="preserve">Following the selection of </w:t>
      </w:r>
      <w:r w:rsidR="00AB4150" w:rsidRPr="008A115A">
        <w:rPr>
          <w:rFonts w:ascii="Times New Roman" w:hAnsi="Times New Roman" w:cs="Times New Roman"/>
          <w:sz w:val="24"/>
          <w:szCs w:val="24"/>
        </w:rPr>
        <w:t xml:space="preserve">primary health </w:t>
      </w:r>
      <w:r w:rsidR="005C76C7" w:rsidRPr="008A115A">
        <w:rPr>
          <w:rFonts w:ascii="Times New Roman" w:hAnsi="Times New Roman" w:cs="Times New Roman"/>
          <w:sz w:val="24"/>
          <w:szCs w:val="24"/>
        </w:rPr>
        <w:t>center</w:t>
      </w:r>
      <w:r w:rsidR="00AB4150" w:rsidRPr="008A115A">
        <w:rPr>
          <w:rFonts w:ascii="Times New Roman" w:hAnsi="Times New Roman" w:cs="Times New Roman"/>
          <w:sz w:val="24"/>
          <w:szCs w:val="24"/>
        </w:rPr>
        <w:t>, eligible participants for the study were selected using simple random sampling</w:t>
      </w:r>
      <w:r w:rsidR="005C76C7">
        <w:rPr>
          <w:rFonts w:ascii="Times New Roman" w:hAnsi="Times New Roman" w:cs="Times New Roman"/>
          <w:sz w:val="24"/>
          <w:szCs w:val="24"/>
        </w:rPr>
        <w:t xml:space="preserve">, and included in the study, </w:t>
      </w:r>
      <w:r w:rsidR="00AB4150" w:rsidRPr="008A115A">
        <w:rPr>
          <w:rFonts w:ascii="Times New Roman" w:hAnsi="Times New Roman" w:cs="Times New Roman"/>
          <w:sz w:val="24"/>
          <w:szCs w:val="24"/>
        </w:rPr>
        <w:t>based on on a set of inclusion criteria. This process was continu</w:t>
      </w:r>
      <w:r w:rsidRPr="008A115A">
        <w:rPr>
          <w:rFonts w:ascii="Times New Roman" w:hAnsi="Times New Roman" w:cs="Times New Roman"/>
          <w:sz w:val="24"/>
          <w:szCs w:val="24"/>
        </w:rPr>
        <w:t>ed until the estima</w:t>
      </w:r>
      <w:r w:rsidR="00AB4150" w:rsidRPr="008A115A">
        <w:rPr>
          <w:rFonts w:ascii="Times New Roman" w:hAnsi="Times New Roman" w:cs="Times New Roman"/>
          <w:sz w:val="24"/>
          <w:szCs w:val="24"/>
        </w:rPr>
        <w:t>ted sample size for the study was</w:t>
      </w:r>
      <w:r w:rsidRPr="008A115A">
        <w:rPr>
          <w:rFonts w:ascii="Times New Roman" w:hAnsi="Times New Roman" w:cs="Times New Roman"/>
          <w:sz w:val="24"/>
          <w:szCs w:val="24"/>
        </w:rPr>
        <w:t xml:space="preserve"> reached.</w:t>
      </w:r>
    </w:p>
    <w:p w14:paraId="5C7270E4" w14:textId="2513F1B3" w:rsidR="00A42EB0" w:rsidRPr="008A115A" w:rsidRDefault="00A42EB0" w:rsidP="00E87610">
      <w:pPr>
        <w:spacing w:line="360" w:lineRule="auto"/>
        <w:rPr>
          <w:rFonts w:ascii="Times New Roman" w:hAnsi="Times New Roman" w:cs="Times New Roman"/>
          <w:b/>
          <w:sz w:val="24"/>
          <w:szCs w:val="24"/>
          <w:u w:val="single"/>
        </w:rPr>
      </w:pPr>
      <w:r w:rsidRPr="008A115A">
        <w:rPr>
          <w:rFonts w:ascii="Times New Roman" w:hAnsi="Times New Roman" w:cs="Times New Roman"/>
          <w:b/>
          <w:sz w:val="24"/>
          <w:szCs w:val="24"/>
          <w:u w:val="single"/>
        </w:rPr>
        <w:t xml:space="preserve">Secondary data </w:t>
      </w:r>
    </w:p>
    <w:p w14:paraId="2D61CEAB" w14:textId="78BAF4B9" w:rsidR="00A42EB0" w:rsidRPr="008A115A" w:rsidRDefault="00A42EB0" w:rsidP="00E87610">
      <w:pPr>
        <w:spacing w:line="360" w:lineRule="auto"/>
        <w:jc w:val="both"/>
        <w:rPr>
          <w:rFonts w:ascii="Times New Roman" w:hAnsi="Times New Roman" w:cs="Times New Roman"/>
          <w:sz w:val="24"/>
          <w:szCs w:val="24"/>
        </w:rPr>
      </w:pPr>
      <w:r w:rsidRPr="008A115A">
        <w:rPr>
          <w:rFonts w:ascii="Times New Roman" w:hAnsi="Times New Roman" w:cs="Times New Roman"/>
          <w:sz w:val="24"/>
          <w:szCs w:val="24"/>
        </w:rPr>
        <w:t>To aid the appropria</w:t>
      </w:r>
      <w:r w:rsidR="00AB4150" w:rsidRPr="008A115A">
        <w:rPr>
          <w:rFonts w:ascii="Times New Roman" w:hAnsi="Times New Roman" w:cs="Times New Roman"/>
          <w:sz w:val="24"/>
          <w:szCs w:val="24"/>
        </w:rPr>
        <w:t xml:space="preserve">te inclusion of participants in the study, </w:t>
      </w:r>
      <w:r w:rsidRPr="008A115A">
        <w:rPr>
          <w:rFonts w:ascii="Times New Roman" w:hAnsi="Times New Roman" w:cs="Times New Roman"/>
          <w:sz w:val="24"/>
          <w:szCs w:val="24"/>
        </w:rPr>
        <w:t xml:space="preserve">through the aforementioned selection process, secondary data collected from the </w:t>
      </w:r>
      <w:proofErr w:type="spellStart"/>
      <w:r w:rsidRPr="008A115A">
        <w:rPr>
          <w:rFonts w:ascii="Times New Roman" w:hAnsi="Times New Roman" w:cs="Times New Roman"/>
          <w:sz w:val="24"/>
          <w:szCs w:val="24"/>
        </w:rPr>
        <w:t>Yenagoa</w:t>
      </w:r>
      <w:proofErr w:type="spellEnd"/>
      <w:r w:rsidRPr="008A115A">
        <w:rPr>
          <w:rFonts w:ascii="Times New Roman" w:hAnsi="Times New Roman" w:cs="Times New Roman"/>
          <w:sz w:val="24"/>
          <w:szCs w:val="24"/>
        </w:rPr>
        <w:t xml:space="preserve"> L</w:t>
      </w:r>
      <w:r w:rsidR="00AB4150" w:rsidRPr="008A115A">
        <w:rPr>
          <w:rFonts w:ascii="Times New Roman" w:hAnsi="Times New Roman" w:cs="Times New Roman"/>
          <w:sz w:val="24"/>
          <w:szCs w:val="24"/>
        </w:rPr>
        <w:t xml:space="preserve">ocal Government Council, was used, and </w:t>
      </w:r>
      <w:r w:rsidRPr="008A115A">
        <w:rPr>
          <w:rFonts w:ascii="Times New Roman" w:hAnsi="Times New Roman" w:cs="Times New Roman"/>
          <w:sz w:val="24"/>
          <w:szCs w:val="24"/>
        </w:rPr>
        <w:t>comprise</w:t>
      </w:r>
      <w:r w:rsidR="004C2B36" w:rsidRPr="008A115A">
        <w:rPr>
          <w:rFonts w:ascii="Times New Roman" w:hAnsi="Times New Roman" w:cs="Times New Roman"/>
          <w:sz w:val="24"/>
          <w:szCs w:val="24"/>
        </w:rPr>
        <w:t xml:space="preserve">d of: </w:t>
      </w:r>
    </w:p>
    <w:p w14:paraId="1C4248EB" w14:textId="77777777" w:rsidR="00A42EB0" w:rsidRPr="008A115A" w:rsidRDefault="00A42EB0" w:rsidP="00E87610">
      <w:pPr>
        <w:pStyle w:val="ListParagraph"/>
        <w:numPr>
          <w:ilvl w:val="0"/>
          <w:numId w:val="6"/>
        </w:numPr>
        <w:spacing w:line="360" w:lineRule="auto"/>
        <w:jc w:val="both"/>
        <w:rPr>
          <w:rFonts w:ascii="Times New Roman" w:hAnsi="Times New Roman" w:cs="Times New Roman"/>
          <w:sz w:val="24"/>
          <w:szCs w:val="24"/>
        </w:rPr>
      </w:pPr>
      <w:r w:rsidRPr="008A115A">
        <w:rPr>
          <w:rFonts w:ascii="Times New Roman" w:hAnsi="Times New Roman" w:cs="Times New Roman"/>
          <w:sz w:val="24"/>
          <w:szCs w:val="24"/>
        </w:rPr>
        <w:t>The list of communities that make up each of the wards in the Local Government Area.</w:t>
      </w:r>
    </w:p>
    <w:p w14:paraId="56DA9E18" w14:textId="7A3D2125" w:rsidR="00A42EB0" w:rsidRPr="008A115A" w:rsidRDefault="00A42EB0" w:rsidP="00E87610">
      <w:pPr>
        <w:pStyle w:val="ListParagraph"/>
        <w:numPr>
          <w:ilvl w:val="0"/>
          <w:numId w:val="6"/>
        </w:numPr>
        <w:spacing w:line="360" w:lineRule="auto"/>
        <w:jc w:val="both"/>
        <w:rPr>
          <w:rFonts w:ascii="Times New Roman" w:hAnsi="Times New Roman" w:cs="Times New Roman"/>
          <w:sz w:val="24"/>
          <w:szCs w:val="24"/>
        </w:rPr>
      </w:pPr>
      <w:r w:rsidRPr="008A115A">
        <w:rPr>
          <w:rFonts w:ascii="Times New Roman" w:hAnsi="Times New Roman" w:cs="Times New Roman"/>
          <w:sz w:val="24"/>
          <w:szCs w:val="24"/>
        </w:rPr>
        <w:t xml:space="preserve">The list of all primary health </w:t>
      </w:r>
      <w:proofErr w:type="spellStart"/>
      <w:r w:rsidRPr="008A115A">
        <w:rPr>
          <w:rFonts w:ascii="Times New Roman" w:hAnsi="Times New Roman" w:cs="Times New Roman"/>
          <w:sz w:val="24"/>
          <w:szCs w:val="24"/>
        </w:rPr>
        <w:t>centres</w:t>
      </w:r>
      <w:proofErr w:type="spellEnd"/>
      <w:r w:rsidRPr="008A115A">
        <w:rPr>
          <w:rFonts w:ascii="Times New Roman" w:hAnsi="Times New Roman" w:cs="Times New Roman"/>
          <w:sz w:val="24"/>
          <w:szCs w:val="24"/>
        </w:rPr>
        <w:t xml:space="preserve"> in </w:t>
      </w:r>
      <w:proofErr w:type="spellStart"/>
      <w:r w:rsidRPr="008A115A">
        <w:rPr>
          <w:rFonts w:ascii="Times New Roman" w:hAnsi="Times New Roman" w:cs="Times New Roman"/>
          <w:sz w:val="24"/>
          <w:szCs w:val="24"/>
        </w:rPr>
        <w:t>Yenagoa</w:t>
      </w:r>
      <w:proofErr w:type="spellEnd"/>
      <w:r w:rsidRPr="008A115A">
        <w:rPr>
          <w:rFonts w:ascii="Times New Roman" w:hAnsi="Times New Roman" w:cs="Times New Roman"/>
          <w:sz w:val="24"/>
          <w:szCs w:val="24"/>
        </w:rPr>
        <w:t xml:space="preserve"> Local Government Area.</w:t>
      </w:r>
    </w:p>
    <w:p w14:paraId="739D114C" w14:textId="00C51DC6" w:rsidR="00A42EB0" w:rsidRDefault="00A42EB0" w:rsidP="00E87610">
      <w:pPr>
        <w:spacing w:line="360" w:lineRule="auto"/>
        <w:rPr>
          <w:rFonts w:ascii="Times New Roman" w:hAnsi="Times New Roman" w:cs="Times New Roman"/>
          <w:b/>
          <w:sz w:val="24"/>
          <w:szCs w:val="24"/>
          <w:u w:val="single"/>
        </w:rPr>
      </w:pPr>
      <w:r w:rsidRPr="008A115A">
        <w:rPr>
          <w:rFonts w:ascii="Times New Roman" w:hAnsi="Times New Roman" w:cs="Times New Roman"/>
          <w:b/>
          <w:sz w:val="24"/>
          <w:szCs w:val="24"/>
          <w:u w:val="single"/>
        </w:rPr>
        <w:t>Inclusion criteria</w:t>
      </w:r>
    </w:p>
    <w:p w14:paraId="6BAD8858" w14:textId="59CB39C2" w:rsidR="00A42EB0" w:rsidRDefault="00A42EB0" w:rsidP="00E87610">
      <w:pPr>
        <w:spacing w:line="360" w:lineRule="auto"/>
        <w:rPr>
          <w:rFonts w:ascii="Times New Roman" w:hAnsi="Times New Roman" w:cs="Times New Roman"/>
          <w:sz w:val="24"/>
          <w:szCs w:val="24"/>
        </w:rPr>
      </w:pPr>
      <w:r>
        <w:rPr>
          <w:rFonts w:ascii="Times New Roman" w:hAnsi="Times New Roman" w:cs="Times New Roman"/>
          <w:sz w:val="24"/>
          <w:szCs w:val="24"/>
        </w:rPr>
        <w:t>The follo</w:t>
      </w:r>
      <w:r w:rsidR="00AB4150">
        <w:rPr>
          <w:rFonts w:ascii="Times New Roman" w:hAnsi="Times New Roman" w:cs="Times New Roman"/>
          <w:sz w:val="24"/>
          <w:szCs w:val="24"/>
        </w:rPr>
        <w:t>wing inclusion criteria were</w:t>
      </w:r>
      <w:r w:rsidR="00032EA0">
        <w:rPr>
          <w:rFonts w:ascii="Times New Roman" w:hAnsi="Times New Roman" w:cs="Times New Roman"/>
          <w:sz w:val="24"/>
          <w:szCs w:val="24"/>
        </w:rPr>
        <w:t xml:space="preserve"> </w:t>
      </w:r>
      <w:r>
        <w:rPr>
          <w:rFonts w:ascii="Times New Roman" w:hAnsi="Times New Roman" w:cs="Times New Roman"/>
          <w:sz w:val="24"/>
          <w:szCs w:val="24"/>
        </w:rPr>
        <w:t>used to recruit participants for the study:</w:t>
      </w:r>
    </w:p>
    <w:p w14:paraId="7B547BFF" w14:textId="127FE0A2" w:rsidR="00A42EB0" w:rsidRDefault="00AB4150" w:rsidP="00E8761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All </w:t>
      </w:r>
      <w:r w:rsidR="005C76C7">
        <w:rPr>
          <w:rFonts w:ascii="Times New Roman" w:hAnsi="Times New Roman" w:cs="Times New Roman"/>
          <w:sz w:val="24"/>
          <w:szCs w:val="24"/>
        </w:rPr>
        <w:t xml:space="preserve">caregivers of </w:t>
      </w:r>
      <w:r>
        <w:rPr>
          <w:rFonts w:ascii="Times New Roman" w:hAnsi="Times New Roman" w:cs="Times New Roman"/>
          <w:sz w:val="24"/>
          <w:szCs w:val="24"/>
        </w:rPr>
        <w:t>children aged 0 - 24</w:t>
      </w:r>
      <w:r w:rsidR="00A42EB0">
        <w:rPr>
          <w:rFonts w:ascii="Times New Roman" w:hAnsi="Times New Roman" w:cs="Times New Roman"/>
          <w:sz w:val="24"/>
          <w:szCs w:val="24"/>
        </w:rPr>
        <w:t xml:space="preserve"> months residing in </w:t>
      </w:r>
      <w:proofErr w:type="spellStart"/>
      <w:r w:rsidR="00A42EB0">
        <w:rPr>
          <w:rFonts w:ascii="Times New Roman" w:hAnsi="Times New Roman" w:cs="Times New Roman"/>
          <w:sz w:val="24"/>
          <w:szCs w:val="24"/>
        </w:rPr>
        <w:t>Yenagoa</w:t>
      </w:r>
      <w:proofErr w:type="spellEnd"/>
      <w:r w:rsidR="00A42EB0">
        <w:rPr>
          <w:rFonts w:ascii="Times New Roman" w:hAnsi="Times New Roman" w:cs="Times New Roman"/>
          <w:sz w:val="24"/>
          <w:szCs w:val="24"/>
        </w:rPr>
        <w:t xml:space="preserve"> Local Government Area, </w:t>
      </w:r>
      <w:proofErr w:type="spellStart"/>
      <w:r w:rsidR="00A42EB0">
        <w:rPr>
          <w:rFonts w:ascii="Times New Roman" w:hAnsi="Times New Roman" w:cs="Times New Roman"/>
          <w:sz w:val="24"/>
          <w:szCs w:val="24"/>
        </w:rPr>
        <w:t>Bayelsa</w:t>
      </w:r>
      <w:proofErr w:type="spellEnd"/>
      <w:r w:rsidR="00A42EB0">
        <w:rPr>
          <w:rFonts w:ascii="Times New Roman" w:hAnsi="Times New Roman" w:cs="Times New Roman"/>
          <w:sz w:val="24"/>
          <w:szCs w:val="24"/>
        </w:rPr>
        <w:t xml:space="preserve"> State, Nigeria.</w:t>
      </w:r>
    </w:p>
    <w:p w14:paraId="0D03DC7B" w14:textId="4ED972FA" w:rsidR="00A42EB0" w:rsidRPr="004C2B36" w:rsidRDefault="00AB4150" w:rsidP="00E8761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All </w:t>
      </w:r>
      <w:r w:rsidR="005C76C7">
        <w:rPr>
          <w:rFonts w:ascii="Times New Roman" w:hAnsi="Times New Roman" w:cs="Times New Roman"/>
          <w:sz w:val="24"/>
          <w:szCs w:val="24"/>
        </w:rPr>
        <w:t xml:space="preserve">caregivers of </w:t>
      </w:r>
      <w:r>
        <w:rPr>
          <w:rFonts w:ascii="Times New Roman" w:hAnsi="Times New Roman" w:cs="Times New Roman"/>
          <w:sz w:val="24"/>
          <w:szCs w:val="24"/>
        </w:rPr>
        <w:t>children aged 0 -24</w:t>
      </w:r>
      <w:r w:rsidR="004C2B36">
        <w:rPr>
          <w:rFonts w:ascii="Times New Roman" w:hAnsi="Times New Roman" w:cs="Times New Roman"/>
          <w:sz w:val="24"/>
          <w:szCs w:val="24"/>
        </w:rPr>
        <w:t xml:space="preserve"> </w:t>
      </w:r>
      <w:r w:rsidR="00A42EB0">
        <w:rPr>
          <w:rFonts w:ascii="Times New Roman" w:hAnsi="Times New Roman" w:cs="Times New Roman"/>
          <w:sz w:val="24"/>
          <w:szCs w:val="24"/>
        </w:rPr>
        <w:t xml:space="preserve">months attending at the </w:t>
      </w:r>
      <w:r w:rsidR="004C2B36">
        <w:rPr>
          <w:rFonts w:ascii="Times New Roman" w:hAnsi="Times New Roman" w:cs="Times New Roman"/>
          <w:sz w:val="24"/>
          <w:szCs w:val="24"/>
        </w:rPr>
        <w:t xml:space="preserve">selected </w:t>
      </w:r>
      <w:r w:rsidR="00A42EB0">
        <w:rPr>
          <w:rFonts w:ascii="Times New Roman" w:hAnsi="Times New Roman" w:cs="Times New Roman"/>
          <w:sz w:val="24"/>
          <w:szCs w:val="24"/>
        </w:rPr>
        <w:t>health f</w:t>
      </w:r>
      <w:r w:rsidR="004C2B36">
        <w:rPr>
          <w:rFonts w:ascii="Times New Roman" w:hAnsi="Times New Roman" w:cs="Times New Roman"/>
          <w:sz w:val="24"/>
          <w:szCs w:val="24"/>
        </w:rPr>
        <w:t>acility for immunization</w:t>
      </w:r>
      <w:r w:rsidR="00A42EB0">
        <w:rPr>
          <w:rFonts w:ascii="Times New Roman" w:hAnsi="Times New Roman" w:cs="Times New Roman"/>
          <w:sz w:val="24"/>
          <w:szCs w:val="24"/>
        </w:rPr>
        <w:t>.</w:t>
      </w:r>
    </w:p>
    <w:p w14:paraId="682E120E" w14:textId="4B57C248" w:rsidR="00A42EB0" w:rsidRDefault="00A42EB0" w:rsidP="00E87610">
      <w:pPr>
        <w:spacing w:line="360" w:lineRule="auto"/>
        <w:rPr>
          <w:rFonts w:ascii="Times New Roman" w:hAnsi="Times New Roman" w:cs="Times New Roman"/>
          <w:b/>
          <w:sz w:val="24"/>
          <w:szCs w:val="24"/>
          <w:u w:val="single"/>
        </w:rPr>
      </w:pPr>
      <w:r w:rsidRPr="00E32979">
        <w:rPr>
          <w:rFonts w:ascii="Times New Roman" w:hAnsi="Times New Roman" w:cs="Times New Roman"/>
          <w:b/>
          <w:sz w:val="24"/>
          <w:szCs w:val="24"/>
          <w:u w:val="single"/>
        </w:rPr>
        <w:t>Exclusion criteria</w:t>
      </w:r>
    </w:p>
    <w:p w14:paraId="4A7785D7" w14:textId="500A563E" w:rsidR="00A42EB0" w:rsidRDefault="004C2B36" w:rsidP="00E8761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All </w:t>
      </w:r>
      <w:r w:rsidR="005C76C7">
        <w:rPr>
          <w:rFonts w:ascii="Times New Roman" w:hAnsi="Times New Roman" w:cs="Times New Roman"/>
          <w:sz w:val="24"/>
          <w:szCs w:val="24"/>
        </w:rPr>
        <w:t xml:space="preserve">caregivers of </w:t>
      </w:r>
      <w:r>
        <w:rPr>
          <w:rFonts w:ascii="Times New Roman" w:hAnsi="Times New Roman" w:cs="Times New Roman"/>
          <w:sz w:val="24"/>
          <w:szCs w:val="24"/>
        </w:rPr>
        <w:t xml:space="preserve">children aged 0 -24 </w:t>
      </w:r>
      <w:r w:rsidR="005C76C7">
        <w:rPr>
          <w:rFonts w:ascii="Times New Roman" w:hAnsi="Times New Roman" w:cs="Times New Roman"/>
          <w:sz w:val="24"/>
          <w:szCs w:val="24"/>
        </w:rPr>
        <w:t>months who wer</w:t>
      </w:r>
      <w:r w:rsidR="00A42EB0">
        <w:rPr>
          <w:rFonts w:ascii="Times New Roman" w:hAnsi="Times New Roman" w:cs="Times New Roman"/>
          <w:sz w:val="24"/>
          <w:szCs w:val="24"/>
        </w:rPr>
        <w:t xml:space="preserve">e visitors to </w:t>
      </w:r>
      <w:proofErr w:type="spellStart"/>
      <w:r w:rsidR="00A42EB0">
        <w:rPr>
          <w:rFonts w:ascii="Times New Roman" w:hAnsi="Times New Roman" w:cs="Times New Roman"/>
          <w:sz w:val="24"/>
          <w:szCs w:val="24"/>
        </w:rPr>
        <w:t>Yenagoa</w:t>
      </w:r>
      <w:proofErr w:type="spellEnd"/>
      <w:r w:rsidR="00A42EB0">
        <w:rPr>
          <w:rFonts w:ascii="Times New Roman" w:hAnsi="Times New Roman" w:cs="Times New Roman"/>
          <w:sz w:val="24"/>
          <w:szCs w:val="24"/>
        </w:rPr>
        <w:t xml:space="preserve"> Local Government Area, </w:t>
      </w:r>
      <w:proofErr w:type="spellStart"/>
      <w:r w:rsidR="00A42EB0">
        <w:rPr>
          <w:rFonts w:ascii="Times New Roman" w:hAnsi="Times New Roman" w:cs="Times New Roman"/>
          <w:sz w:val="24"/>
          <w:szCs w:val="24"/>
        </w:rPr>
        <w:t>Bayelsa</w:t>
      </w:r>
      <w:proofErr w:type="spellEnd"/>
      <w:r w:rsidR="00A42EB0">
        <w:rPr>
          <w:rFonts w:ascii="Times New Roman" w:hAnsi="Times New Roman" w:cs="Times New Roman"/>
          <w:sz w:val="24"/>
          <w:szCs w:val="24"/>
        </w:rPr>
        <w:t xml:space="preserve"> State, Nigeria</w:t>
      </w:r>
      <w:r w:rsidR="005C76C7">
        <w:rPr>
          <w:rFonts w:ascii="Times New Roman" w:hAnsi="Times New Roman" w:cs="Times New Roman"/>
          <w:sz w:val="24"/>
          <w:szCs w:val="24"/>
        </w:rPr>
        <w:t>, were excluded from the study</w:t>
      </w:r>
      <w:r w:rsidR="00A42EB0">
        <w:rPr>
          <w:rFonts w:ascii="Times New Roman" w:hAnsi="Times New Roman" w:cs="Times New Roman"/>
          <w:sz w:val="24"/>
          <w:szCs w:val="24"/>
        </w:rPr>
        <w:t>.</w:t>
      </w:r>
    </w:p>
    <w:p w14:paraId="3FEC1C5C" w14:textId="4C53A1C0" w:rsidR="00A42EB0" w:rsidRDefault="004C2B36" w:rsidP="00E8761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All </w:t>
      </w:r>
      <w:r w:rsidR="005C76C7">
        <w:rPr>
          <w:rFonts w:ascii="Times New Roman" w:hAnsi="Times New Roman" w:cs="Times New Roman"/>
          <w:sz w:val="24"/>
          <w:szCs w:val="24"/>
        </w:rPr>
        <w:t xml:space="preserve">caregivers of </w:t>
      </w:r>
      <w:r>
        <w:rPr>
          <w:rFonts w:ascii="Times New Roman" w:hAnsi="Times New Roman" w:cs="Times New Roman"/>
          <w:sz w:val="24"/>
          <w:szCs w:val="24"/>
        </w:rPr>
        <w:t>children aged 0 - 24</w:t>
      </w:r>
      <w:r w:rsidR="00A42EB0">
        <w:rPr>
          <w:rFonts w:ascii="Times New Roman" w:hAnsi="Times New Roman" w:cs="Times New Roman"/>
          <w:sz w:val="24"/>
          <w:szCs w:val="24"/>
        </w:rPr>
        <w:t xml:space="preserve"> months not attending at the selected primary health f</w:t>
      </w:r>
      <w:r w:rsidR="005C76C7">
        <w:rPr>
          <w:rFonts w:ascii="Times New Roman" w:hAnsi="Times New Roman" w:cs="Times New Roman"/>
          <w:sz w:val="24"/>
          <w:szCs w:val="24"/>
        </w:rPr>
        <w:t>acility for immunization, wer</w:t>
      </w:r>
      <w:r>
        <w:rPr>
          <w:rFonts w:ascii="Times New Roman" w:hAnsi="Times New Roman" w:cs="Times New Roman"/>
          <w:sz w:val="24"/>
          <w:szCs w:val="24"/>
        </w:rPr>
        <w:t>e excluded from the study</w:t>
      </w:r>
      <w:r w:rsidR="00A42EB0">
        <w:rPr>
          <w:rFonts w:ascii="Times New Roman" w:hAnsi="Times New Roman" w:cs="Times New Roman"/>
          <w:sz w:val="24"/>
          <w:szCs w:val="24"/>
        </w:rPr>
        <w:t>.</w:t>
      </w:r>
    </w:p>
    <w:p w14:paraId="6863DA6D" w14:textId="72067727" w:rsidR="008A115A" w:rsidRPr="008A115A" w:rsidRDefault="008A115A" w:rsidP="00E8761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All caregivers of children aged 0 - 24 months who refused to g</w:t>
      </w:r>
      <w:r w:rsidR="005C76C7">
        <w:rPr>
          <w:rFonts w:ascii="Times New Roman" w:hAnsi="Times New Roman" w:cs="Times New Roman"/>
          <w:sz w:val="24"/>
          <w:szCs w:val="24"/>
        </w:rPr>
        <w:t>ive consent for the study wer</w:t>
      </w:r>
      <w:r>
        <w:rPr>
          <w:rFonts w:ascii="Times New Roman" w:hAnsi="Times New Roman" w:cs="Times New Roman"/>
          <w:sz w:val="24"/>
          <w:szCs w:val="24"/>
        </w:rPr>
        <w:t>e excluded from the study.</w:t>
      </w:r>
    </w:p>
    <w:p w14:paraId="6953E8D4" w14:textId="5F1CCC08" w:rsidR="004C2B36" w:rsidRDefault="004C2B36" w:rsidP="00E8761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Data collection</w:t>
      </w:r>
      <w:r w:rsidRPr="00E32979">
        <w:rPr>
          <w:rFonts w:ascii="Times New Roman" w:hAnsi="Times New Roman" w:cs="Times New Roman"/>
          <w:b/>
          <w:sz w:val="24"/>
          <w:szCs w:val="24"/>
          <w:u w:val="single"/>
        </w:rPr>
        <w:t xml:space="preserve"> instrument</w:t>
      </w:r>
    </w:p>
    <w:p w14:paraId="5317F6D0" w14:textId="1B364902" w:rsidR="004C2B36" w:rsidRDefault="004C2B36" w:rsidP="00E87610">
      <w:pPr>
        <w:spacing w:line="360" w:lineRule="auto"/>
        <w:rPr>
          <w:rFonts w:ascii="Times New Roman" w:hAnsi="Times New Roman" w:cs="Times New Roman"/>
          <w:sz w:val="24"/>
          <w:szCs w:val="24"/>
        </w:rPr>
      </w:pPr>
      <w:r>
        <w:rPr>
          <w:rFonts w:ascii="Times New Roman" w:hAnsi="Times New Roman" w:cs="Times New Roman"/>
          <w:sz w:val="24"/>
          <w:szCs w:val="24"/>
        </w:rPr>
        <w:t>A pretested and validated questionnaire was used to obtain data for the study. For ease of administration and comp</w:t>
      </w:r>
      <w:r w:rsidR="00032EA0">
        <w:rPr>
          <w:rFonts w:ascii="Times New Roman" w:hAnsi="Times New Roman" w:cs="Times New Roman"/>
          <w:sz w:val="24"/>
          <w:szCs w:val="24"/>
        </w:rPr>
        <w:t xml:space="preserve">leteness, the questionnaire was </w:t>
      </w:r>
      <w:r>
        <w:rPr>
          <w:rFonts w:ascii="Times New Roman" w:hAnsi="Times New Roman" w:cs="Times New Roman"/>
          <w:sz w:val="24"/>
          <w:szCs w:val="24"/>
        </w:rPr>
        <w:t>divided into sections, as follows:</w:t>
      </w:r>
    </w:p>
    <w:p w14:paraId="596475AF" w14:textId="5E7862B3" w:rsidR="004C2B36" w:rsidRDefault="005C76C7" w:rsidP="00E8761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Se</w:t>
      </w:r>
      <w:r w:rsidR="004C2B36">
        <w:rPr>
          <w:rFonts w:ascii="Times New Roman" w:hAnsi="Times New Roman" w:cs="Times New Roman"/>
          <w:sz w:val="24"/>
          <w:szCs w:val="24"/>
        </w:rPr>
        <w:t>ction A</w:t>
      </w:r>
      <w:r w:rsidR="004C2B36">
        <w:rPr>
          <w:rFonts w:ascii="Times New Roman" w:hAnsi="Times New Roman" w:cs="Times New Roman"/>
          <w:sz w:val="24"/>
          <w:szCs w:val="24"/>
        </w:rPr>
        <w:tab/>
        <w:t xml:space="preserve"> –   Sociodemographic characteristics of the participants</w:t>
      </w:r>
    </w:p>
    <w:p w14:paraId="6AFF9110" w14:textId="7E9B8015" w:rsidR="004C2B36" w:rsidRPr="00032EA0" w:rsidRDefault="004C2B36" w:rsidP="00E8761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Section B</w:t>
      </w:r>
      <w:r>
        <w:rPr>
          <w:rFonts w:ascii="Times New Roman" w:hAnsi="Times New Roman" w:cs="Times New Roman"/>
          <w:sz w:val="24"/>
          <w:szCs w:val="24"/>
        </w:rPr>
        <w:tab/>
        <w:t xml:space="preserve"> –   Level of a</w:t>
      </w:r>
      <w:r w:rsidR="00032EA0">
        <w:rPr>
          <w:rFonts w:ascii="Times New Roman" w:hAnsi="Times New Roman" w:cs="Times New Roman"/>
          <w:sz w:val="24"/>
          <w:szCs w:val="24"/>
        </w:rPr>
        <w:t xml:space="preserve">wareness of 2YL </w:t>
      </w:r>
      <w:r>
        <w:rPr>
          <w:rFonts w:ascii="Times New Roman" w:hAnsi="Times New Roman" w:cs="Times New Roman"/>
          <w:sz w:val="24"/>
          <w:szCs w:val="24"/>
        </w:rPr>
        <w:t>among caregivers.</w:t>
      </w:r>
    </w:p>
    <w:p w14:paraId="18F80CC5" w14:textId="155C9868" w:rsidR="004C2B36" w:rsidRPr="00032EA0" w:rsidRDefault="004C2B36" w:rsidP="00E8761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Section C </w:t>
      </w:r>
      <w:r>
        <w:rPr>
          <w:rFonts w:ascii="Times New Roman" w:hAnsi="Times New Roman" w:cs="Times New Roman"/>
          <w:sz w:val="24"/>
          <w:szCs w:val="24"/>
        </w:rPr>
        <w:tab/>
        <w:t>-     L</w:t>
      </w:r>
      <w:r w:rsidR="00032EA0">
        <w:rPr>
          <w:rFonts w:ascii="Times New Roman" w:hAnsi="Times New Roman" w:cs="Times New Roman"/>
          <w:sz w:val="24"/>
          <w:szCs w:val="24"/>
        </w:rPr>
        <w:t xml:space="preserve">evel of access and utilization of 2YL </w:t>
      </w:r>
      <w:r>
        <w:rPr>
          <w:rFonts w:ascii="Times New Roman" w:hAnsi="Times New Roman" w:cs="Times New Roman"/>
          <w:sz w:val="24"/>
          <w:szCs w:val="24"/>
        </w:rPr>
        <w:t>among caregivers.</w:t>
      </w:r>
    </w:p>
    <w:p w14:paraId="71414D15" w14:textId="3D66D4DC" w:rsidR="004C2B36" w:rsidRPr="00032EA0" w:rsidRDefault="004C2B36" w:rsidP="00E8761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w:t>
      </w:r>
      <w:r w:rsidR="00032EA0">
        <w:rPr>
          <w:rFonts w:ascii="Times New Roman" w:hAnsi="Times New Roman" w:cs="Times New Roman"/>
          <w:sz w:val="24"/>
          <w:szCs w:val="24"/>
        </w:rPr>
        <w:t xml:space="preserve">ection D </w:t>
      </w:r>
      <w:r w:rsidR="00032EA0">
        <w:rPr>
          <w:rFonts w:ascii="Times New Roman" w:hAnsi="Times New Roman" w:cs="Times New Roman"/>
          <w:sz w:val="24"/>
          <w:szCs w:val="24"/>
        </w:rPr>
        <w:tab/>
        <w:t>-     Impact of 2YL on routine immunization outcomes</w:t>
      </w:r>
      <w:r>
        <w:rPr>
          <w:rFonts w:ascii="Times New Roman" w:hAnsi="Times New Roman" w:cs="Times New Roman"/>
          <w:sz w:val="24"/>
          <w:szCs w:val="24"/>
        </w:rPr>
        <w:t>.</w:t>
      </w:r>
    </w:p>
    <w:p w14:paraId="713716BC" w14:textId="15A7E732" w:rsidR="004C2B36" w:rsidRDefault="004C2B36" w:rsidP="00E87610">
      <w:pPr>
        <w:spacing w:line="360" w:lineRule="auto"/>
        <w:rPr>
          <w:rFonts w:ascii="Times New Roman" w:hAnsi="Times New Roman" w:cs="Times New Roman"/>
          <w:b/>
          <w:sz w:val="24"/>
          <w:szCs w:val="24"/>
          <w:u w:val="single"/>
        </w:rPr>
      </w:pPr>
      <w:r w:rsidRPr="00FD7A42">
        <w:rPr>
          <w:rFonts w:ascii="Times New Roman" w:hAnsi="Times New Roman" w:cs="Times New Roman"/>
          <w:b/>
          <w:sz w:val="24"/>
          <w:szCs w:val="24"/>
          <w:u w:val="single"/>
        </w:rPr>
        <w:t>Data analysis</w:t>
      </w:r>
    </w:p>
    <w:p w14:paraId="69703117" w14:textId="320C7A53" w:rsidR="004C2B36" w:rsidRDefault="00032EA0" w:rsidP="00E87610">
      <w:pPr>
        <w:spacing w:line="360" w:lineRule="auto"/>
        <w:rPr>
          <w:rFonts w:ascii="Times New Roman" w:hAnsi="Times New Roman" w:cs="Times New Roman"/>
          <w:sz w:val="24"/>
          <w:szCs w:val="24"/>
        </w:rPr>
      </w:pPr>
      <w:r>
        <w:rPr>
          <w:rFonts w:ascii="Times New Roman" w:hAnsi="Times New Roman" w:cs="Times New Roman"/>
          <w:sz w:val="24"/>
          <w:szCs w:val="24"/>
        </w:rPr>
        <w:t>Data analysis was</w:t>
      </w:r>
      <w:r w:rsidR="004C2B36">
        <w:rPr>
          <w:rFonts w:ascii="Times New Roman" w:hAnsi="Times New Roman" w:cs="Times New Roman"/>
          <w:sz w:val="24"/>
          <w:szCs w:val="24"/>
        </w:rPr>
        <w:t xml:space="preserve"> carried out using Statistical Package for Social Sciences (SPSS)</w:t>
      </w:r>
      <w:r>
        <w:rPr>
          <w:rFonts w:ascii="Times New Roman" w:hAnsi="Times New Roman" w:cs="Times New Roman"/>
          <w:sz w:val="24"/>
          <w:szCs w:val="24"/>
        </w:rPr>
        <w:t xml:space="preserve"> version 26. Review of data was conducted</w:t>
      </w:r>
      <w:r w:rsidR="004C2B36">
        <w:rPr>
          <w:rFonts w:ascii="Times New Roman" w:hAnsi="Times New Roman" w:cs="Times New Roman"/>
          <w:sz w:val="24"/>
          <w:szCs w:val="24"/>
        </w:rPr>
        <w:t xml:space="preserve"> to check for impediments to seamless analysis.</w:t>
      </w:r>
    </w:p>
    <w:p w14:paraId="101836DF" w14:textId="3B0ADCF9" w:rsidR="004C2B36" w:rsidRDefault="00032EA0" w:rsidP="00E87610">
      <w:pPr>
        <w:spacing w:line="360" w:lineRule="auto"/>
        <w:rPr>
          <w:rFonts w:ascii="Times New Roman" w:hAnsi="Times New Roman" w:cs="Times New Roman"/>
          <w:sz w:val="24"/>
          <w:szCs w:val="24"/>
        </w:rPr>
      </w:pPr>
      <w:r>
        <w:rPr>
          <w:rFonts w:ascii="Times New Roman" w:hAnsi="Times New Roman" w:cs="Times New Roman"/>
          <w:sz w:val="24"/>
          <w:szCs w:val="24"/>
        </w:rPr>
        <w:t>Descriptive statistics was</w:t>
      </w:r>
      <w:r w:rsidR="004C2B36">
        <w:rPr>
          <w:rFonts w:ascii="Times New Roman" w:hAnsi="Times New Roman" w:cs="Times New Roman"/>
          <w:sz w:val="24"/>
          <w:szCs w:val="24"/>
        </w:rPr>
        <w:t xml:space="preserve"> used to summarize the data.</w:t>
      </w:r>
    </w:p>
    <w:p w14:paraId="0BFDB1A0" w14:textId="4EDD3CA0" w:rsidR="004C2B36" w:rsidRDefault="004C2B36" w:rsidP="00E87610">
      <w:pPr>
        <w:spacing w:line="360" w:lineRule="auto"/>
        <w:rPr>
          <w:rFonts w:ascii="Times New Roman" w:hAnsi="Times New Roman" w:cs="Times New Roman"/>
          <w:sz w:val="24"/>
          <w:szCs w:val="24"/>
        </w:rPr>
      </w:pPr>
      <w:r>
        <w:rPr>
          <w:rFonts w:ascii="Times New Roman" w:hAnsi="Times New Roman" w:cs="Times New Roman"/>
          <w:sz w:val="24"/>
          <w:szCs w:val="24"/>
        </w:rPr>
        <w:t>Multiple logisti</w:t>
      </w:r>
      <w:r w:rsidR="00032EA0">
        <w:rPr>
          <w:rFonts w:ascii="Times New Roman" w:hAnsi="Times New Roman" w:cs="Times New Roman"/>
          <w:sz w:val="24"/>
          <w:szCs w:val="24"/>
        </w:rPr>
        <w:t>c regression was</w:t>
      </w:r>
      <w:r>
        <w:rPr>
          <w:rFonts w:ascii="Times New Roman" w:hAnsi="Times New Roman" w:cs="Times New Roman"/>
          <w:sz w:val="24"/>
          <w:szCs w:val="24"/>
        </w:rPr>
        <w:t xml:space="preserve"> used to assess associations between variables.</w:t>
      </w:r>
      <w:r w:rsidR="0002577E">
        <w:rPr>
          <w:rFonts w:ascii="Times New Roman" w:hAnsi="Times New Roman" w:cs="Times New Roman"/>
          <w:sz w:val="24"/>
          <w:szCs w:val="24"/>
        </w:rPr>
        <w:t xml:space="preserve"> </w:t>
      </w:r>
    </w:p>
    <w:p w14:paraId="26280A50" w14:textId="6811A261" w:rsidR="00382584" w:rsidRDefault="00382584" w:rsidP="00E87610">
      <w:pPr>
        <w:spacing w:line="360" w:lineRule="auto"/>
        <w:rPr>
          <w:rFonts w:ascii="Times New Roman" w:hAnsi="Times New Roman" w:cs="Times New Roman"/>
          <w:sz w:val="24"/>
          <w:szCs w:val="24"/>
        </w:rPr>
      </w:pPr>
      <w:r>
        <w:rPr>
          <w:rFonts w:ascii="Times New Roman" w:hAnsi="Times New Roman" w:cs="Times New Roman"/>
          <w:sz w:val="24"/>
          <w:szCs w:val="24"/>
        </w:rPr>
        <w:t>Binary logistic regression was used to test association between the independent variable and the outcome (due to the dichotomous nature of the outcome).</w:t>
      </w:r>
    </w:p>
    <w:p w14:paraId="385FD0E2" w14:textId="24E95329" w:rsidR="0002577E" w:rsidRPr="00382584" w:rsidRDefault="0002577E" w:rsidP="00E87610">
      <w:pPr>
        <w:spacing w:line="360" w:lineRule="auto"/>
        <w:rPr>
          <w:rFonts w:ascii="Times New Roman" w:hAnsi="Times New Roman" w:cs="Times New Roman"/>
          <w:sz w:val="24"/>
          <w:szCs w:val="24"/>
        </w:rPr>
      </w:pPr>
      <w:r>
        <w:rPr>
          <w:rFonts w:ascii="Times New Roman" w:hAnsi="Times New Roman" w:cs="Times New Roman"/>
          <w:sz w:val="24"/>
          <w:szCs w:val="24"/>
        </w:rPr>
        <w:t xml:space="preserve">Effect size of the </w:t>
      </w:r>
      <w:r w:rsidR="00382584">
        <w:rPr>
          <w:rFonts w:ascii="Times New Roman" w:hAnsi="Times New Roman" w:cs="Times New Roman"/>
          <w:sz w:val="24"/>
          <w:szCs w:val="24"/>
        </w:rPr>
        <w:t>independent variable was</w:t>
      </w:r>
      <w:r>
        <w:rPr>
          <w:rFonts w:ascii="Times New Roman" w:hAnsi="Times New Roman" w:cs="Times New Roman"/>
          <w:sz w:val="24"/>
          <w:szCs w:val="24"/>
        </w:rPr>
        <w:t xml:space="preserve"> estimated </w:t>
      </w:r>
      <w:r w:rsidR="00382584">
        <w:rPr>
          <w:rFonts w:ascii="Times New Roman" w:hAnsi="Times New Roman" w:cs="Times New Roman"/>
          <w:sz w:val="24"/>
          <w:szCs w:val="24"/>
        </w:rPr>
        <w:t xml:space="preserve">using </w:t>
      </w:r>
      <w:r>
        <w:rPr>
          <w:rFonts w:ascii="Times New Roman" w:hAnsi="Times New Roman" w:cs="Times New Roman"/>
          <w:sz w:val="24"/>
          <w:szCs w:val="24"/>
        </w:rPr>
        <w:t>Eta</w:t>
      </w:r>
      <w:r w:rsidRPr="0002577E">
        <w:rPr>
          <w:rFonts w:ascii="Times New Roman" w:hAnsi="Times New Roman" w:cs="Times New Roman"/>
          <w:sz w:val="24"/>
          <w:szCs w:val="24"/>
          <w:vertAlign w:val="superscript"/>
        </w:rPr>
        <w:t>2</w:t>
      </w:r>
      <w:r w:rsidR="00382584">
        <w:rPr>
          <w:rFonts w:ascii="Times New Roman" w:hAnsi="Times New Roman" w:cs="Times New Roman"/>
          <w:sz w:val="24"/>
          <w:szCs w:val="24"/>
          <w:vertAlign w:val="superscript"/>
        </w:rPr>
        <w:t xml:space="preserve"> </w:t>
      </w:r>
      <w:r w:rsidR="00382584">
        <w:rPr>
          <w:rFonts w:ascii="Times New Roman" w:hAnsi="Times New Roman" w:cs="Times New Roman"/>
          <w:sz w:val="24"/>
          <w:szCs w:val="24"/>
        </w:rPr>
        <w:t>statistic.</w:t>
      </w:r>
    </w:p>
    <w:p w14:paraId="117F15B4" w14:textId="77777777" w:rsidR="00C133C2" w:rsidRDefault="00C133C2" w:rsidP="00E87610">
      <w:pPr>
        <w:spacing w:line="360" w:lineRule="auto"/>
        <w:rPr>
          <w:rFonts w:ascii="Times New Roman" w:hAnsi="Times New Roman" w:cs="Times New Roman"/>
          <w:b/>
          <w:sz w:val="24"/>
          <w:szCs w:val="24"/>
          <w:u w:val="single"/>
        </w:rPr>
      </w:pPr>
      <w:r w:rsidRPr="003F6318">
        <w:rPr>
          <w:rFonts w:ascii="Times New Roman" w:hAnsi="Times New Roman" w:cs="Times New Roman"/>
          <w:b/>
          <w:sz w:val="24"/>
          <w:szCs w:val="24"/>
          <w:u w:val="single"/>
        </w:rPr>
        <w:t>Ethical considerations</w:t>
      </w:r>
    </w:p>
    <w:p w14:paraId="18B922F7" w14:textId="77F3E656" w:rsidR="00C133C2" w:rsidRDefault="00C133C2"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Ethics approval was sought and obtained from the Research Ethics Committee of the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State Ministry of H</w:t>
      </w:r>
      <w:r w:rsidRPr="00C133C2">
        <w:rPr>
          <w:rFonts w:ascii="Times New Roman" w:hAnsi="Times New Roman" w:cs="Times New Roman"/>
          <w:sz w:val="24"/>
          <w:szCs w:val="24"/>
        </w:rPr>
        <w:t>ealth</w:t>
      </w:r>
      <w:r w:rsidR="007F3A78">
        <w:rPr>
          <w:rFonts w:ascii="Times New Roman" w:hAnsi="Times New Roman" w:cs="Times New Roman"/>
          <w:sz w:val="24"/>
          <w:szCs w:val="24"/>
        </w:rPr>
        <w:t xml:space="preserve"> with r</w:t>
      </w:r>
      <w:r>
        <w:rPr>
          <w:rFonts w:ascii="Times New Roman" w:hAnsi="Times New Roman" w:cs="Times New Roman"/>
          <w:sz w:val="24"/>
          <w:szCs w:val="24"/>
        </w:rPr>
        <w:t>esearch appr</w:t>
      </w:r>
      <w:r w:rsidR="007F3A78">
        <w:rPr>
          <w:rFonts w:ascii="Times New Roman" w:hAnsi="Times New Roman" w:cs="Times New Roman"/>
          <w:sz w:val="24"/>
          <w:szCs w:val="24"/>
        </w:rPr>
        <w:t xml:space="preserve">oval </w:t>
      </w:r>
      <w:r>
        <w:rPr>
          <w:rFonts w:ascii="Times New Roman" w:hAnsi="Times New Roman" w:cs="Times New Roman"/>
          <w:sz w:val="24"/>
          <w:szCs w:val="24"/>
        </w:rPr>
        <w:t>documentation</w:t>
      </w:r>
      <w:r w:rsidR="007F3A78">
        <w:rPr>
          <w:rFonts w:ascii="Times New Roman" w:hAnsi="Times New Roman" w:cs="Times New Roman"/>
          <w:sz w:val="24"/>
          <w:szCs w:val="24"/>
        </w:rPr>
        <w:t xml:space="preserve"> number BSHREC/Vol. 1/25/04/002. Written permission was obtained from the </w:t>
      </w:r>
      <w:r w:rsidRPr="007F3A78">
        <w:rPr>
          <w:rFonts w:ascii="Times New Roman" w:hAnsi="Times New Roman" w:cs="Times New Roman"/>
          <w:sz w:val="24"/>
          <w:szCs w:val="24"/>
        </w:rPr>
        <w:t xml:space="preserve">Public Health Department of </w:t>
      </w:r>
      <w:proofErr w:type="spellStart"/>
      <w:r w:rsidRPr="007F3A78">
        <w:rPr>
          <w:rFonts w:ascii="Times New Roman" w:hAnsi="Times New Roman" w:cs="Times New Roman"/>
          <w:sz w:val="24"/>
          <w:szCs w:val="24"/>
        </w:rPr>
        <w:t>Y</w:t>
      </w:r>
      <w:r w:rsidR="007F3A78">
        <w:rPr>
          <w:rFonts w:ascii="Times New Roman" w:hAnsi="Times New Roman" w:cs="Times New Roman"/>
          <w:sz w:val="24"/>
          <w:szCs w:val="24"/>
        </w:rPr>
        <w:t>enagoa</w:t>
      </w:r>
      <w:proofErr w:type="spellEnd"/>
      <w:r w:rsidR="007F3A78">
        <w:rPr>
          <w:rFonts w:ascii="Times New Roman" w:hAnsi="Times New Roman" w:cs="Times New Roman"/>
          <w:sz w:val="24"/>
          <w:szCs w:val="24"/>
        </w:rPr>
        <w:t xml:space="preserve"> Local Government Council and </w:t>
      </w:r>
      <w:r>
        <w:rPr>
          <w:rFonts w:ascii="Times New Roman" w:hAnsi="Times New Roman" w:cs="Times New Roman"/>
          <w:sz w:val="24"/>
          <w:szCs w:val="24"/>
        </w:rPr>
        <w:t>Informed consent was obtained from</w:t>
      </w:r>
      <w:r w:rsidR="007F3A78">
        <w:rPr>
          <w:rFonts w:ascii="Times New Roman" w:hAnsi="Times New Roman" w:cs="Times New Roman"/>
          <w:sz w:val="24"/>
          <w:szCs w:val="24"/>
        </w:rPr>
        <w:t xml:space="preserve"> t</w:t>
      </w:r>
      <w:r w:rsidRPr="007F3A78">
        <w:rPr>
          <w:rFonts w:ascii="Times New Roman" w:hAnsi="Times New Roman" w:cs="Times New Roman"/>
          <w:sz w:val="24"/>
          <w:szCs w:val="24"/>
        </w:rPr>
        <w:t>he hierarchy of the Primary Healt</w:t>
      </w:r>
      <w:r w:rsidR="007F3A78">
        <w:rPr>
          <w:rFonts w:ascii="Times New Roman" w:hAnsi="Times New Roman" w:cs="Times New Roman"/>
          <w:sz w:val="24"/>
          <w:szCs w:val="24"/>
        </w:rPr>
        <w:t>h Centre selected for the study as well as t</w:t>
      </w:r>
      <w:r w:rsidRPr="007F3A78">
        <w:rPr>
          <w:rFonts w:ascii="Times New Roman" w:hAnsi="Times New Roman" w:cs="Times New Roman"/>
          <w:sz w:val="24"/>
          <w:szCs w:val="24"/>
        </w:rPr>
        <w:t>he caregivers participating in study.</w:t>
      </w:r>
    </w:p>
    <w:p w14:paraId="2E32E476" w14:textId="77777777" w:rsidR="00F74FB0" w:rsidRPr="007F3A78" w:rsidRDefault="00F74FB0" w:rsidP="007F3A78">
      <w:pPr>
        <w:spacing w:line="360" w:lineRule="auto"/>
        <w:jc w:val="both"/>
        <w:rPr>
          <w:rFonts w:ascii="Times New Roman" w:hAnsi="Times New Roman" w:cs="Times New Roman"/>
          <w:sz w:val="24"/>
          <w:szCs w:val="24"/>
        </w:rPr>
      </w:pPr>
    </w:p>
    <w:p w14:paraId="3F93399C" w14:textId="1E51C843" w:rsidR="004C2B36" w:rsidRDefault="00B31649" w:rsidP="00E87610">
      <w:pPr>
        <w:spacing w:line="360" w:lineRule="auto"/>
        <w:rPr>
          <w:rFonts w:ascii="Times New Roman" w:hAnsi="Times New Roman" w:cs="Times New Roman"/>
          <w:b/>
          <w:sz w:val="24"/>
          <w:szCs w:val="24"/>
          <w:u w:val="single"/>
        </w:rPr>
      </w:pPr>
      <w:r w:rsidRPr="00B31649">
        <w:rPr>
          <w:rFonts w:ascii="Times New Roman" w:hAnsi="Times New Roman" w:cs="Times New Roman"/>
          <w:b/>
          <w:sz w:val="24"/>
          <w:szCs w:val="24"/>
          <w:u w:val="single"/>
        </w:rPr>
        <w:t xml:space="preserve">Results </w:t>
      </w:r>
    </w:p>
    <w:p w14:paraId="281AE3D9" w14:textId="77777777" w:rsidR="00DC41A4" w:rsidRPr="00B12B98" w:rsidRDefault="00DC41A4" w:rsidP="00E87610">
      <w:pPr>
        <w:spacing w:after="200" w:line="360" w:lineRule="auto"/>
        <w:rPr>
          <w:rFonts w:ascii="Times New Roman" w:eastAsia="Calibri" w:hAnsi="Times New Roman" w:cs="Times New Roman"/>
          <w:b/>
          <w:sz w:val="24"/>
          <w:lang w:val="en-GB"/>
        </w:rPr>
      </w:pPr>
      <w:r w:rsidRPr="00B12B98">
        <w:rPr>
          <w:rFonts w:ascii="Times New Roman" w:eastAsia="Calibri" w:hAnsi="Times New Roman" w:cs="Times New Roman"/>
          <w:b/>
          <w:sz w:val="24"/>
          <w:lang w:val="en-GB"/>
        </w:rPr>
        <w:t>Sociodemographic characteristics of respondents</w:t>
      </w:r>
    </w:p>
    <w:p w14:paraId="07C83EB9" w14:textId="352F3C4E" w:rsidR="00DC41A4" w:rsidRDefault="00DC41A4" w:rsidP="00E87610">
      <w:pPr>
        <w:autoSpaceDE w:val="0"/>
        <w:autoSpaceDN w:val="0"/>
        <w:adjustRightInd w:val="0"/>
        <w:spacing w:after="0" w:line="360" w:lineRule="auto"/>
        <w:jc w:val="both"/>
        <w:rPr>
          <w:rFonts w:ascii="Times New Roman" w:eastAsia="Calibri" w:hAnsi="Times New Roman" w:cs="Times New Roman"/>
          <w:sz w:val="24"/>
          <w:szCs w:val="24"/>
          <w:lang w:val="en-GB"/>
        </w:rPr>
      </w:pPr>
      <w:r w:rsidRPr="00B12B98">
        <w:rPr>
          <w:rFonts w:ascii="Times New Roman" w:eastAsia="Calibri" w:hAnsi="Times New Roman" w:cs="Times New Roman"/>
          <w:sz w:val="24"/>
          <w:szCs w:val="24"/>
          <w:lang w:val="en-GB"/>
        </w:rPr>
        <w:t>The Sociodemographic characteristics of respondents (caregive</w:t>
      </w:r>
      <w:r>
        <w:rPr>
          <w:rFonts w:ascii="Times New Roman" w:eastAsia="Calibri" w:hAnsi="Times New Roman" w:cs="Times New Roman"/>
          <w:sz w:val="24"/>
          <w:szCs w:val="24"/>
          <w:lang w:val="en-GB"/>
        </w:rPr>
        <w:t>rs) are shown in table 1 (n =399). Most (68.9</w:t>
      </w:r>
      <w:r w:rsidRPr="00B12B98">
        <w:rPr>
          <w:rFonts w:ascii="Times New Roman" w:eastAsia="Calibri" w:hAnsi="Times New Roman" w:cs="Times New Roman"/>
          <w:sz w:val="24"/>
          <w:szCs w:val="24"/>
          <w:lang w:val="en-GB"/>
        </w:rPr>
        <w:t xml:space="preserve">%) of the </w:t>
      </w:r>
      <w:r>
        <w:rPr>
          <w:rFonts w:ascii="Times New Roman" w:eastAsia="Calibri" w:hAnsi="Times New Roman" w:cs="Times New Roman"/>
          <w:sz w:val="24"/>
          <w:szCs w:val="24"/>
          <w:lang w:val="en-GB"/>
        </w:rPr>
        <w:t>participants were female {n =275</w:t>
      </w:r>
      <w:r w:rsidRPr="00B12B98">
        <w:rPr>
          <w:rFonts w:ascii="Times New Roman" w:eastAsia="Calibri" w:hAnsi="Times New Roman" w:cs="Times New Roman"/>
          <w:sz w:val="24"/>
          <w:szCs w:val="24"/>
          <w:lang w:val="en-GB"/>
        </w:rPr>
        <w:t>} while the remainder (</w:t>
      </w:r>
      <w:r>
        <w:rPr>
          <w:rFonts w:ascii="Times New Roman" w:eastAsia="Calibri" w:hAnsi="Times New Roman" w:cs="Times New Roman"/>
          <w:sz w:val="24"/>
          <w:szCs w:val="24"/>
          <w:lang w:val="en-GB"/>
        </w:rPr>
        <w:t>31.1%) were male {n = 124}. The age of the children</w:t>
      </w:r>
      <w:r w:rsidRPr="00B12B98">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for which care </w:t>
      </w:r>
      <w:r w:rsidRPr="00B12B98">
        <w:rPr>
          <w:rFonts w:ascii="Times New Roman" w:eastAsia="Calibri" w:hAnsi="Times New Roman" w:cs="Times New Roman"/>
          <w:sz w:val="24"/>
          <w:szCs w:val="24"/>
          <w:lang w:val="en-GB"/>
        </w:rPr>
        <w:t xml:space="preserve">was </w:t>
      </w:r>
      <w:r>
        <w:rPr>
          <w:rFonts w:ascii="Times New Roman" w:eastAsia="Calibri" w:hAnsi="Times New Roman" w:cs="Times New Roman"/>
          <w:sz w:val="24"/>
          <w:szCs w:val="24"/>
          <w:lang w:val="en-GB"/>
        </w:rPr>
        <w:t>being given, were as follows: a</w:t>
      </w:r>
      <w:r w:rsidRPr="00B12B98">
        <w:rPr>
          <w:rFonts w:ascii="Times New Roman" w:eastAsia="Calibri" w:hAnsi="Times New Roman" w:cs="Times New Roman"/>
          <w:sz w:val="24"/>
          <w:szCs w:val="24"/>
          <w:lang w:val="en-GB"/>
        </w:rPr>
        <w:t xml:space="preserve">ge </w:t>
      </w:r>
      <w:r>
        <w:rPr>
          <w:rFonts w:ascii="Times New Roman" w:eastAsia="Calibri" w:hAnsi="Times New Roman" w:cs="Times New Roman"/>
          <w:sz w:val="24"/>
          <w:szCs w:val="24"/>
          <w:lang w:val="en-GB"/>
        </w:rPr>
        <w:t>less than 15 months {n = 35 (8</w:t>
      </w:r>
      <w:r w:rsidRPr="00B12B98">
        <w:rPr>
          <w:rFonts w:ascii="Times New Roman" w:eastAsia="Calibri" w:hAnsi="Times New Roman" w:cs="Times New Roman"/>
          <w:sz w:val="24"/>
          <w:szCs w:val="24"/>
          <w:lang w:val="en-GB"/>
        </w:rPr>
        <w:t xml:space="preserve">.8%)}, </w:t>
      </w:r>
      <w:r>
        <w:rPr>
          <w:rFonts w:ascii="Times New Roman" w:eastAsia="Calibri" w:hAnsi="Times New Roman" w:cs="Times New Roman"/>
          <w:sz w:val="24"/>
          <w:szCs w:val="24"/>
          <w:lang w:val="en-GB"/>
        </w:rPr>
        <w:t>and age 15 months or greater {n = 364 (91.2%)}</w:t>
      </w:r>
      <w:r w:rsidRPr="00B12B98">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Concerning the relationship between the care giver and the child, 60.9% {n = 243} of the respondents were mothers, 5.8% {n = 23} were fathers, 32.3% {n = 129} were guardians and 1% {n = 4} were other forms or relatives. </w:t>
      </w:r>
      <w:r w:rsidRPr="00B12B98">
        <w:rPr>
          <w:rFonts w:ascii="Times New Roman" w:eastAsia="Calibri" w:hAnsi="Times New Roman" w:cs="Times New Roman"/>
          <w:sz w:val="24"/>
          <w:szCs w:val="24"/>
          <w:lang w:val="en-GB"/>
        </w:rPr>
        <w:t>The sta</w:t>
      </w:r>
      <w:r>
        <w:rPr>
          <w:rFonts w:ascii="Times New Roman" w:eastAsia="Calibri" w:hAnsi="Times New Roman" w:cs="Times New Roman"/>
          <w:sz w:val="24"/>
          <w:szCs w:val="24"/>
          <w:lang w:val="en-GB"/>
        </w:rPr>
        <w:t xml:space="preserve">tistics in respect of number of children under five years of age in the household was such that 63.9% {n = 255} of households had three or more children aged five years while 36.1% {n = 144} of households had children aged less than five years old. </w:t>
      </w:r>
      <w:r w:rsidR="00541E4E">
        <w:rPr>
          <w:rFonts w:ascii="Times New Roman" w:eastAsia="Calibri" w:hAnsi="Times New Roman" w:cs="Times New Roman"/>
          <w:sz w:val="24"/>
          <w:szCs w:val="24"/>
          <w:lang w:val="en-GB"/>
        </w:rPr>
        <w:t>As per educational status, 55.9% {n = 223</w:t>
      </w:r>
      <w:r w:rsidRPr="00B12B98">
        <w:rPr>
          <w:rFonts w:ascii="Times New Roman" w:eastAsia="Calibri" w:hAnsi="Times New Roman" w:cs="Times New Roman"/>
          <w:sz w:val="24"/>
          <w:szCs w:val="24"/>
          <w:lang w:val="en-GB"/>
        </w:rPr>
        <w:t xml:space="preserve">} </w:t>
      </w:r>
      <w:r w:rsidR="00541E4E">
        <w:rPr>
          <w:rFonts w:ascii="Times New Roman" w:eastAsia="Calibri" w:hAnsi="Times New Roman" w:cs="Times New Roman"/>
          <w:sz w:val="24"/>
          <w:szCs w:val="24"/>
          <w:lang w:val="en-GB"/>
        </w:rPr>
        <w:t>of the respondents had no formal education, 12.3% {n = 49} had primary education, 23.1% {n = 92</w:t>
      </w:r>
      <w:r w:rsidRPr="00B12B98">
        <w:rPr>
          <w:rFonts w:ascii="Times New Roman" w:eastAsia="Calibri" w:hAnsi="Times New Roman" w:cs="Times New Roman"/>
          <w:sz w:val="24"/>
          <w:szCs w:val="24"/>
          <w:lang w:val="en-GB"/>
        </w:rPr>
        <w:t>} had seco</w:t>
      </w:r>
      <w:r w:rsidR="00541E4E">
        <w:rPr>
          <w:rFonts w:ascii="Times New Roman" w:eastAsia="Calibri" w:hAnsi="Times New Roman" w:cs="Times New Roman"/>
          <w:sz w:val="24"/>
          <w:szCs w:val="24"/>
          <w:lang w:val="en-GB"/>
        </w:rPr>
        <w:t>ndary education, and 8.8% {n = 3</w:t>
      </w:r>
      <w:r w:rsidRPr="00B12B98">
        <w:rPr>
          <w:rFonts w:ascii="Times New Roman" w:eastAsia="Calibri" w:hAnsi="Times New Roman" w:cs="Times New Roman"/>
          <w:sz w:val="24"/>
          <w:szCs w:val="24"/>
          <w:lang w:val="en-GB"/>
        </w:rPr>
        <w:t>5} had tertiary education.</w:t>
      </w:r>
      <w:r w:rsidR="00541E4E">
        <w:rPr>
          <w:rFonts w:ascii="Times New Roman" w:eastAsia="Calibri" w:hAnsi="Times New Roman" w:cs="Times New Roman"/>
          <w:sz w:val="24"/>
          <w:szCs w:val="24"/>
          <w:lang w:val="en-GB"/>
        </w:rPr>
        <w:t xml:space="preserve"> Furthermore, whilst 57.9% {n = 231} of the participant households were classified </w:t>
      </w:r>
      <w:r w:rsidR="009A30A1">
        <w:rPr>
          <w:rFonts w:ascii="Times New Roman" w:eastAsia="Calibri" w:hAnsi="Times New Roman" w:cs="Times New Roman"/>
          <w:sz w:val="24"/>
          <w:szCs w:val="24"/>
          <w:lang w:val="en-GB"/>
        </w:rPr>
        <w:t>as low</w:t>
      </w:r>
      <w:r w:rsidR="00541E4E">
        <w:rPr>
          <w:rFonts w:ascii="Times New Roman" w:eastAsia="Calibri" w:hAnsi="Times New Roman" w:cs="Times New Roman"/>
          <w:sz w:val="24"/>
          <w:szCs w:val="24"/>
          <w:lang w:val="en-GB"/>
        </w:rPr>
        <w:t xml:space="preserve"> income households, 42.1% {n = 168</w:t>
      </w:r>
      <w:r w:rsidRPr="00B12B98">
        <w:rPr>
          <w:rFonts w:ascii="Times New Roman" w:eastAsia="Calibri" w:hAnsi="Times New Roman" w:cs="Times New Roman"/>
          <w:sz w:val="24"/>
          <w:szCs w:val="24"/>
          <w:lang w:val="en-GB"/>
        </w:rPr>
        <w:t xml:space="preserve">} </w:t>
      </w:r>
      <w:r w:rsidR="009A30A1">
        <w:rPr>
          <w:rFonts w:ascii="Times New Roman" w:eastAsia="Calibri" w:hAnsi="Times New Roman" w:cs="Times New Roman"/>
          <w:sz w:val="24"/>
          <w:szCs w:val="24"/>
          <w:lang w:val="en-GB"/>
        </w:rPr>
        <w:t>of participant households were classified as medium</w:t>
      </w:r>
      <w:r w:rsidR="00541E4E">
        <w:rPr>
          <w:rFonts w:ascii="Times New Roman" w:eastAsia="Calibri" w:hAnsi="Times New Roman" w:cs="Times New Roman"/>
          <w:sz w:val="24"/>
          <w:szCs w:val="24"/>
          <w:lang w:val="en-GB"/>
        </w:rPr>
        <w:t xml:space="preserve"> </w:t>
      </w:r>
      <w:r w:rsidR="009A30A1">
        <w:rPr>
          <w:rFonts w:ascii="Times New Roman" w:eastAsia="Calibri" w:hAnsi="Times New Roman" w:cs="Times New Roman"/>
          <w:sz w:val="24"/>
          <w:szCs w:val="24"/>
          <w:lang w:val="en-GB"/>
        </w:rPr>
        <w:t>income households</w:t>
      </w:r>
      <w:r w:rsidR="00541E4E">
        <w:rPr>
          <w:rFonts w:ascii="Times New Roman" w:eastAsia="Calibri" w:hAnsi="Times New Roman" w:cs="Times New Roman"/>
          <w:sz w:val="24"/>
          <w:szCs w:val="24"/>
          <w:lang w:val="en-GB"/>
        </w:rPr>
        <w:t xml:space="preserve">. </w:t>
      </w:r>
      <w:r w:rsidRPr="00B12B98">
        <w:rPr>
          <w:rFonts w:ascii="Times New Roman" w:eastAsia="Calibri" w:hAnsi="Times New Roman" w:cs="Times New Roman"/>
          <w:sz w:val="24"/>
          <w:szCs w:val="24"/>
          <w:lang w:val="en-GB"/>
        </w:rPr>
        <w:t>See table 1.</w:t>
      </w:r>
    </w:p>
    <w:p w14:paraId="5983A8DE" w14:textId="77777777" w:rsidR="00DC41A4" w:rsidRPr="00DC41A4" w:rsidRDefault="00DC41A4" w:rsidP="00DC41A4">
      <w:pPr>
        <w:autoSpaceDE w:val="0"/>
        <w:autoSpaceDN w:val="0"/>
        <w:adjustRightInd w:val="0"/>
        <w:spacing w:after="0" w:line="400" w:lineRule="atLeast"/>
        <w:jc w:val="both"/>
        <w:rPr>
          <w:rFonts w:ascii="Times New Roman" w:eastAsia="Calibri" w:hAnsi="Times New Roman" w:cs="Times New Roman"/>
          <w:sz w:val="24"/>
          <w:szCs w:val="24"/>
          <w:lang w:val="en-GB"/>
        </w:rPr>
      </w:pPr>
    </w:p>
    <w:p w14:paraId="68B1AC04" w14:textId="7271A46F" w:rsidR="00EA7F71" w:rsidRPr="003A1E0F" w:rsidRDefault="00EA7F71" w:rsidP="00EA7F71">
      <w:pPr>
        <w:spacing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Table 1: Sociodemographic characteristics of respondents </w:t>
      </w:r>
      <w:r w:rsidR="002C0DC9">
        <w:rPr>
          <w:rFonts w:ascii="Times New Roman" w:hAnsi="Times New Roman" w:cs="Times New Roman"/>
          <w:sz w:val="24"/>
          <w:szCs w:val="24"/>
        </w:rPr>
        <w:t>(n=399)</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2115"/>
        <w:gridCol w:w="2487"/>
      </w:tblGrid>
      <w:tr w:rsidR="00EA7F71" w:rsidRPr="003A1E0F" w14:paraId="236C82D9" w14:textId="77777777" w:rsidTr="00CC1962">
        <w:trPr>
          <w:trHeight w:val="263"/>
        </w:trPr>
        <w:tc>
          <w:tcPr>
            <w:tcW w:w="4368" w:type="dxa"/>
            <w:tcBorders>
              <w:top w:val="single" w:sz="4" w:space="0" w:color="auto"/>
              <w:bottom w:val="single" w:sz="4" w:space="0" w:color="auto"/>
            </w:tcBorders>
          </w:tcPr>
          <w:p w14:paraId="0320F990" w14:textId="77777777" w:rsidR="00EA7F71" w:rsidRPr="003A1E0F" w:rsidRDefault="00EA7F71" w:rsidP="009A30A1">
            <w:pPr>
              <w:spacing w:after="0" w:line="360" w:lineRule="auto"/>
              <w:jc w:val="both"/>
              <w:rPr>
                <w:rFonts w:ascii="Times New Roman" w:hAnsi="Times New Roman" w:cs="Times New Roman"/>
                <w:b/>
                <w:bCs/>
                <w:sz w:val="24"/>
                <w:szCs w:val="24"/>
              </w:rPr>
            </w:pPr>
            <w:r w:rsidRPr="003A1E0F">
              <w:rPr>
                <w:rFonts w:ascii="Times New Roman" w:hAnsi="Times New Roman" w:cs="Times New Roman"/>
                <w:b/>
                <w:bCs/>
                <w:sz w:val="24"/>
                <w:szCs w:val="24"/>
              </w:rPr>
              <w:t xml:space="preserve">Variables </w:t>
            </w:r>
          </w:p>
        </w:tc>
        <w:tc>
          <w:tcPr>
            <w:tcW w:w="2115" w:type="dxa"/>
            <w:tcBorders>
              <w:top w:val="single" w:sz="4" w:space="0" w:color="auto"/>
              <w:bottom w:val="single" w:sz="4" w:space="0" w:color="auto"/>
            </w:tcBorders>
          </w:tcPr>
          <w:p w14:paraId="2312B034" w14:textId="77777777" w:rsidR="00EA7F71" w:rsidRPr="003A1E0F" w:rsidRDefault="00EA7F71" w:rsidP="009A30A1">
            <w:pPr>
              <w:spacing w:after="0" w:line="360" w:lineRule="auto"/>
              <w:jc w:val="both"/>
              <w:rPr>
                <w:rFonts w:ascii="Times New Roman" w:hAnsi="Times New Roman" w:cs="Times New Roman"/>
                <w:b/>
                <w:bCs/>
                <w:sz w:val="24"/>
                <w:szCs w:val="24"/>
              </w:rPr>
            </w:pPr>
            <w:r w:rsidRPr="003A1E0F">
              <w:rPr>
                <w:rFonts w:ascii="Times New Roman" w:hAnsi="Times New Roman" w:cs="Times New Roman"/>
                <w:b/>
                <w:bCs/>
                <w:sz w:val="24"/>
                <w:szCs w:val="24"/>
              </w:rPr>
              <w:t xml:space="preserve">Frequency </w:t>
            </w:r>
          </w:p>
        </w:tc>
        <w:tc>
          <w:tcPr>
            <w:tcW w:w="2487" w:type="dxa"/>
            <w:tcBorders>
              <w:top w:val="single" w:sz="4" w:space="0" w:color="auto"/>
              <w:bottom w:val="single" w:sz="4" w:space="0" w:color="auto"/>
            </w:tcBorders>
          </w:tcPr>
          <w:p w14:paraId="1EFE78C9" w14:textId="77777777" w:rsidR="00EA7F71" w:rsidRPr="003A1E0F" w:rsidRDefault="00EA7F71" w:rsidP="009A30A1">
            <w:pPr>
              <w:spacing w:after="0" w:line="360" w:lineRule="auto"/>
              <w:jc w:val="both"/>
              <w:rPr>
                <w:rFonts w:ascii="Times New Roman" w:hAnsi="Times New Roman" w:cs="Times New Roman"/>
                <w:b/>
                <w:bCs/>
                <w:sz w:val="24"/>
                <w:szCs w:val="24"/>
              </w:rPr>
            </w:pPr>
            <w:r w:rsidRPr="003A1E0F">
              <w:rPr>
                <w:rFonts w:ascii="Times New Roman" w:hAnsi="Times New Roman" w:cs="Times New Roman"/>
                <w:b/>
                <w:bCs/>
                <w:sz w:val="24"/>
                <w:szCs w:val="24"/>
              </w:rPr>
              <w:t xml:space="preserve">Percentage </w:t>
            </w:r>
          </w:p>
        </w:tc>
      </w:tr>
      <w:tr w:rsidR="00EA7F71" w:rsidRPr="003A1E0F" w14:paraId="0C41C44F" w14:textId="77777777" w:rsidTr="00CC1962">
        <w:trPr>
          <w:trHeight w:val="183"/>
        </w:trPr>
        <w:tc>
          <w:tcPr>
            <w:tcW w:w="4368" w:type="dxa"/>
            <w:tcBorders>
              <w:top w:val="single" w:sz="4" w:space="0" w:color="auto"/>
            </w:tcBorders>
          </w:tcPr>
          <w:p w14:paraId="14E491C8" w14:textId="77777777" w:rsidR="00EA7F71" w:rsidRPr="003A1E0F" w:rsidRDefault="00EA7F71" w:rsidP="009A30A1">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Age</w:t>
            </w:r>
          </w:p>
        </w:tc>
        <w:tc>
          <w:tcPr>
            <w:tcW w:w="2115" w:type="dxa"/>
            <w:tcBorders>
              <w:top w:val="single" w:sz="4" w:space="0" w:color="auto"/>
            </w:tcBorders>
          </w:tcPr>
          <w:p w14:paraId="1FB95C0E" w14:textId="77777777" w:rsidR="00EA7F71" w:rsidRPr="003A1E0F" w:rsidRDefault="00EA7F71" w:rsidP="009A30A1">
            <w:pPr>
              <w:spacing w:after="0" w:line="360" w:lineRule="auto"/>
              <w:jc w:val="both"/>
              <w:rPr>
                <w:rFonts w:ascii="Times New Roman" w:hAnsi="Times New Roman" w:cs="Times New Roman"/>
                <w:sz w:val="24"/>
                <w:szCs w:val="24"/>
              </w:rPr>
            </w:pPr>
          </w:p>
        </w:tc>
        <w:tc>
          <w:tcPr>
            <w:tcW w:w="2487" w:type="dxa"/>
            <w:tcBorders>
              <w:top w:val="single" w:sz="4" w:space="0" w:color="auto"/>
            </w:tcBorders>
          </w:tcPr>
          <w:p w14:paraId="250D59FB" w14:textId="77777777" w:rsidR="00EA7F71" w:rsidRPr="003A1E0F" w:rsidRDefault="00EA7F71" w:rsidP="009A30A1">
            <w:pPr>
              <w:spacing w:after="0" w:line="360" w:lineRule="auto"/>
              <w:jc w:val="both"/>
              <w:rPr>
                <w:rFonts w:ascii="Times New Roman" w:hAnsi="Times New Roman" w:cs="Times New Roman"/>
                <w:sz w:val="24"/>
                <w:szCs w:val="24"/>
              </w:rPr>
            </w:pPr>
          </w:p>
        </w:tc>
      </w:tr>
      <w:tr w:rsidR="00EA7F71" w:rsidRPr="003A1E0F" w14:paraId="042BA298" w14:textId="77777777" w:rsidTr="00CC1962">
        <w:trPr>
          <w:trHeight w:val="70"/>
        </w:trPr>
        <w:tc>
          <w:tcPr>
            <w:tcW w:w="4368" w:type="dxa"/>
          </w:tcPr>
          <w:p w14:paraId="5214C12C"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&lt;15months</w:t>
            </w:r>
          </w:p>
        </w:tc>
        <w:tc>
          <w:tcPr>
            <w:tcW w:w="2115" w:type="dxa"/>
          </w:tcPr>
          <w:p w14:paraId="014390DA"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35</w:t>
            </w:r>
          </w:p>
        </w:tc>
        <w:tc>
          <w:tcPr>
            <w:tcW w:w="2487" w:type="dxa"/>
          </w:tcPr>
          <w:p w14:paraId="1818A2D6"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8.8</w:t>
            </w:r>
          </w:p>
        </w:tc>
      </w:tr>
      <w:tr w:rsidR="00EA7F71" w:rsidRPr="003A1E0F" w14:paraId="3C88C626" w14:textId="77777777" w:rsidTr="00CC1962">
        <w:trPr>
          <w:trHeight w:val="70"/>
        </w:trPr>
        <w:tc>
          <w:tcPr>
            <w:tcW w:w="4368" w:type="dxa"/>
          </w:tcPr>
          <w:p w14:paraId="19095EB3" w14:textId="456A57FD" w:rsidR="00EA7F71" w:rsidRPr="003A1E0F" w:rsidRDefault="00DC41A4" w:rsidP="009A30A1">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15m</w:t>
            </w:r>
            <w:r w:rsidR="00EA7F71" w:rsidRPr="003A1E0F">
              <w:rPr>
                <w:rFonts w:ascii="Times New Roman" w:hAnsi="Times New Roman" w:cs="Times New Roman"/>
                <w:sz w:val="24"/>
                <w:szCs w:val="24"/>
              </w:rPr>
              <w:t>onths and above</w:t>
            </w:r>
          </w:p>
        </w:tc>
        <w:tc>
          <w:tcPr>
            <w:tcW w:w="2115" w:type="dxa"/>
          </w:tcPr>
          <w:p w14:paraId="1782C113"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364</w:t>
            </w:r>
          </w:p>
        </w:tc>
        <w:tc>
          <w:tcPr>
            <w:tcW w:w="2487" w:type="dxa"/>
          </w:tcPr>
          <w:p w14:paraId="0E35AF0A"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91.2</w:t>
            </w:r>
          </w:p>
        </w:tc>
      </w:tr>
      <w:tr w:rsidR="00EA7F71" w:rsidRPr="003A1E0F" w14:paraId="3FA6F030" w14:textId="77777777" w:rsidTr="00CC1962">
        <w:trPr>
          <w:trHeight w:val="70"/>
        </w:trPr>
        <w:tc>
          <w:tcPr>
            <w:tcW w:w="4368" w:type="dxa"/>
          </w:tcPr>
          <w:p w14:paraId="662661C7" w14:textId="77777777" w:rsidR="00EA7F71" w:rsidRPr="003A1E0F" w:rsidRDefault="00EA7F71" w:rsidP="009A30A1">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Gender</w:t>
            </w:r>
          </w:p>
        </w:tc>
        <w:tc>
          <w:tcPr>
            <w:tcW w:w="2115" w:type="dxa"/>
          </w:tcPr>
          <w:p w14:paraId="6981F9D7" w14:textId="77777777" w:rsidR="00EA7F71" w:rsidRPr="003A1E0F" w:rsidRDefault="00EA7F71" w:rsidP="009A30A1">
            <w:pPr>
              <w:spacing w:after="0" w:line="360" w:lineRule="auto"/>
              <w:jc w:val="both"/>
              <w:rPr>
                <w:rFonts w:ascii="Times New Roman" w:hAnsi="Times New Roman" w:cs="Times New Roman"/>
                <w:sz w:val="24"/>
                <w:szCs w:val="24"/>
              </w:rPr>
            </w:pPr>
          </w:p>
        </w:tc>
        <w:tc>
          <w:tcPr>
            <w:tcW w:w="2487" w:type="dxa"/>
          </w:tcPr>
          <w:p w14:paraId="3A5A922F" w14:textId="77777777" w:rsidR="00EA7F71" w:rsidRPr="003A1E0F" w:rsidRDefault="00EA7F71" w:rsidP="009A30A1">
            <w:pPr>
              <w:spacing w:after="0" w:line="360" w:lineRule="auto"/>
              <w:jc w:val="both"/>
              <w:rPr>
                <w:rFonts w:ascii="Times New Roman" w:hAnsi="Times New Roman" w:cs="Times New Roman"/>
                <w:sz w:val="24"/>
                <w:szCs w:val="24"/>
              </w:rPr>
            </w:pPr>
          </w:p>
        </w:tc>
      </w:tr>
      <w:tr w:rsidR="00EA7F71" w:rsidRPr="003A1E0F" w14:paraId="74ABE603" w14:textId="77777777" w:rsidTr="00CC1962">
        <w:trPr>
          <w:trHeight w:val="117"/>
        </w:trPr>
        <w:tc>
          <w:tcPr>
            <w:tcW w:w="4368" w:type="dxa"/>
          </w:tcPr>
          <w:p w14:paraId="0259367C"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Male</w:t>
            </w:r>
          </w:p>
        </w:tc>
        <w:tc>
          <w:tcPr>
            <w:tcW w:w="2115" w:type="dxa"/>
          </w:tcPr>
          <w:p w14:paraId="338BECBE"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124</w:t>
            </w:r>
          </w:p>
        </w:tc>
        <w:tc>
          <w:tcPr>
            <w:tcW w:w="2487" w:type="dxa"/>
          </w:tcPr>
          <w:p w14:paraId="1A06099F"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31.1</w:t>
            </w:r>
          </w:p>
        </w:tc>
      </w:tr>
      <w:tr w:rsidR="00EA7F71" w:rsidRPr="003A1E0F" w14:paraId="2290DDB8" w14:textId="77777777" w:rsidTr="00CC1962">
        <w:trPr>
          <w:trHeight w:val="70"/>
        </w:trPr>
        <w:tc>
          <w:tcPr>
            <w:tcW w:w="4368" w:type="dxa"/>
          </w:tcPr>
          <w:p w14:paraId="01A3E559"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Female</w:t>
            </w:r>
          </w:p>
        </w:tc>
        <w:tc>
          <w:tcPr>
            <w:tcW w:w="2115" w:type="dxa"/>
          </w:tcPr>
          <w:p w14:paraId="07A23C4F"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275</w:t>
            </w:r>
          </w:p>
        </w:tc>
        <w:tc>
          <w:tcPr>
            <w:tcW w:w="2487" w:type="dxa"/>
          </w:tcPr>
          <w:p w14:paraId="75F06648"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68.9</w:t>
            </w:r>
          </w:p>
        </w:tc>
      </w:tr>
      <w:tr w:rsidR="00EA7F71" w:rsidRPr="003A1E0F" w14:paraId="18009512" w14:textId="77777777" w:rsidTr="00CC1962">
        <w:trPr>
          <w:trHeight w:val="95"/>
        </w:trPr>
        <w:tc>
          <w:tcPr>
            <w:tcW w:w="4368" w:type="dxa"/>
          </w:tcPr>
          <w:p w14:paraId="2A9699F6" w14:textId="77777777" w:rsidR="00EA7F71" w:rsidRPr="003A1E0F" w:rsidRDefault="00EA7F71" w:rsidP="009A30A1">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Educational level</w:t>
            </w:r>
          </w:p>
        </w:tc>
        <w:tc>
          <w:tcPr>
            <w:tcW w:w="2115" w:type="dxa"/>
          </w:tcPr>
          <w:p w14:paraId="6E9D3C18" w14:textId="77777777" w:rsidR="00EA7F71" w:rsidRPr="003A1E0F" w:rsidRDefault="00EA7F71" w:rsidP="009A30A1">
            <w:pPr>
              <w:spacing w:after="0" w:line="360" w:lineRule="auto"/>
              <w:jc w:val="both"/>
              <w:rPr>
                <w:rFonts w:ascii="Times New Roman" w:hAnsi="Times New Roman" w:cs="Times New Roman"/>
                <w:sz w:val="24"/>
                <w:szCs w:val="24"/>
              </w:rPr>
            </w:pPr>
          </w:p>
        </w:tc>
        <w:tc>
          <w:tcPr>
            <w:tcW w:w="2487" w:type="dxa"/>
          </w:tcPr>
          <w:p w14:paraId="21175ABC" w14:textId="77777777" w:rsidR="00EA7F71" w:rsidRPr="003A1E0F" w:rsidRDefault="00EA7F71" w:rsidP="009A30A1">
            <w:pPr>
              <w:spacing w:after="0" w:line="360" w:lineRule="auto"/>
              <w:jc w:val="both"/>
              <w:rPr>
                <w:rFonts w:ascii="Times New Roman" w:hAnsi="Times New Roman" w:cs="Times New Roman"/>
                <w:sz w:val="24"/>
                <w:szCs w:val="24"/>
              </w:rPr>
            </w:pPr>
          </w:p>
        </w:tc>
      </w:tr>
      <w:tr w:rsidR="00EA7F71" w:rsidRPr="003A1E0F" w14:paraId="42D6FF95" w14:textId="77777777" w:rsidTr="00CC1962">
        <w:trPr>
          <w:trHeight w:val="99"/>
        </w:trPr>
        <w:tc>
          <w:tcPr>
            <w:tcW w:w="4368" w:type="dxa"/>
          </w:tcPr>
          <w:p w14:paraId="6963A4E9"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 formal education</w:t>
            </w:r>
          </w:p>
        </w:tc>
        <w:tc>
          <w:tcPr>
            <w:tcW w:w="2115" w:type="dxa"/>
          </w:tcPr>
          <w:p w14:paraId="2EBA6286"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223</w:t>
            </w:r>
          </w:p>
        </w:tc>
        <w:tc>
          <w:tcPr>
            <w:tcW w:w="2487" w:type="dxa"/>
          </w:tcPr>
          <w:p w14:paraId="3F628D64"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55.9</w:t>
            </w:r>
          </w:p>
        </w:tc>
      </w:tr>
      <w:tr w:rsidR="00EA7F71" w:rsidRPr="003A1E0F" w14:paraId="5933010D" w14:textId="77777777" w:rsidTr="00CC1962">
        <w:trPr>
          <w:trHeight w:val="189"/>
        </w:trPr>
        <w:tc>
          <w:tcPr>
            <w:tcW w:w="4368" w:type="dxa"/>
          </w:tcPr>
          <w:p w14:paraId="4D17D131"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Primary</w:t>
            </w:r>
          </w:p>
        </w:tc>
        <w:tc>
          <w:tcPr>
            <w:tcW w:w="2115" w:type="dxa"/>
          </w:tcPr>
          <w:p w14:paraId="25C12B61"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49</w:t>
            </w:r>
          </w:p>
        </w:tc>
        <w:tc>
          <w:tcPr>
            <w:tcW w:w="2487" w:type="dxa"/>
          </w:tcPr>
          <w:p w14:paraId="7EA9F543"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12.3</w:t>
            </w:r>
          </w:p>
        </w:tc>
      </w:tr>
      <w:tr w:rsidR="00EA7F71" w:rsidRPr="003A1E0F" w14:paraId="1EDC30B9" w14:textId="77777777" w:rsidTr="00CC1962">
        <w:trPr>
          <w:trHeight w:val="91"/>
        </w:trPr>
        <w:tc>
          <w:tcPr>
            <w:tcW w:w="4368" w:type="dxa"/>
          </w:tcPr>
          <w:p w14:paraId="14BC375A"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lastRenderedPageBreak/>
              <w:t>Secondary</w:t>
            </w:r>
          </w:p>
        </w:tc>
        <w:tc>
          <w:tcPr>
            <w:tcW w:w="2115" w:type="dxa"/>
          </w:tcPr>
          <w:p w14:paraId="13A43331"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92</w:t>
            </w:r>
          </w:p>
        </w:tc>
        <w:tc>
          <w:tcPr>
            <w:tcW w:w="2487" w:type="dxa"/>
          </w:tcPr>
          <w:p w14:paraId="1D4C9AD2"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23.1</w:t>
            </w:r>
          </w:p>
        </w:tc>
      </w:tr>
      <w:tr w:rsidR="00EA7F71" w:rsidRPr="003A1E0F" w14:paraId="69775E6F" w14:textId="77777777" w:rsidTr="00CC1962">
        <w:trPr>
          <w:trHeight w:val="70"/>
        </w:trPr>
        <w:tc>
          <w:tcPr>
            <w:tcW w:w="4368" w:type="dxa"/>
          </w:tcPr>
          <w:p w14:paraId="0045F929"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Tertiary</w:t>
            </w:r>
          </w:p>
        </w:tc>
        <w:tc>
          <w:tcPr>
            <w:tcW w:w="2115" w:type="dxa"/>
          </w:tcPr>
          <w:p w14:paraId="1774461B"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35</w:t>
            </w:r>
          </w:p>
        </w:tc>
        <w:tc>
          <w:tcPr>
            <w:tcW w:w="2487" w:type="dxa"/>
          </w:tcPr>
          <w:p w14:paraId="62B233BA"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8.8</w:t>
            </w:r>
          </w:p>
        </w:tc>
      </w:tr>
      <w:tr w:rsidR="00EA7F71" w:rsidRPr="003A1E0F" w14:paraId="10565CC0" w14:textId="77777777" w:rsidTr="00CC1962">
        <w:trPr>
          <w:trHeight w:val="225"/>
        </w:trPr>
        <w:tc>
          <w:tcPr>
            <w:tcW w:w="4368" w:type="dxa"/>
          </w:tcPr>
          <w:p w14:paraId="236EC203" w14:textId="77777777" w:rsidR="00EA7F71" w:rsidRPr="003A1E0F" w:rsidRDefault="00EA7F71" w:rsidP="009A30A1">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Relationship to child</w:t>
            </w:r>
          </w:p>
        </w:tc>
        <w:tc>
          <w:tcPr>
            <w:tcW w:w="2115" w:type="dxa"/>
          </w:tcPr>
          <w:p w14:paraId="6B159FF7" w14:textId="77777777" w:rsidR="00EA7F71" w:rsidRPr="003A1E0F" w:rsidRDefault="00EA7F71" w:rsidP="009A30A1">
            <w:pPr>
              <w:spacing w:after="0" w:line="360" w:lineRule="auto"/>
              <w:jc w:val="both"/>
              <w:rPr>
                <w:rFonts w:ascii="Times New Roman" w:hAnsi="Times New Roman" w:cs="Times New Roman"/>
                <w:sz w:val="24"/>
                <w:szCs w:val="24"/>
              </w:rPr>
            </w:pPr>
          </w:p>
        </w:tc>
        <w:tc>
          <w:tcPr>
            <w:tcW w:w="2487" w:type="dxa"/>
          </w:tcPr>
          <w:p w14:paraId="37A6AD62" w14:textId="77777777" w:rsidR="00EA7F71" w:rsidRPr="003A1E0F" w:rsidRDefault="00EA7F71" w:rsidP="009A30A1">
            <w:pPr>
              <w:spacing w:after="0" w:line="360" w:lineRule="auto"/>
              <w:jc w:val="both"/>
              <w:rPr>
                <w:rFonts w:ascii="Times New Roman" w:hAnsi="Times New Roman" w:cs="Times New Roman"/>
                <w:sz w:val="24"/>
                <w:szCs w:val="24"/>
              </w:rPr>
            </w:pPr>
          </w:p>
        </w:tc>
      </w:tr>
      <w:tr w:rsidR="00EA7F71" w:rsidRPr="003A1E0F" w14:paraId="5F5633E8" w14:textId="77777777" w:rsidTr="00CC1962">
        <w:trPr>
          <w:trHeight w:val="73"/>
        </w:trPr>
        <w:tc>
          <w:tcPr>
            <w:tcW w:w="4368" w:type="dxa"/>
          </w:tcPr>
          <w:p w14:paraId="5C30E48D"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Mother</w:t>
            </w:r>
          </w:p>
        </w:tc>
        <w:tc>
          <w:tcPr>
            <w:tcW w:w="2115" w:type="dxa"/>
          </w:tcPr>
          <w:p w14:paraId="5ABCD4E8"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243</w:t>
            </w:r>
          </w:p>
        </w:tc>
        <w:tc>
          <w:tcPr>
            <w:tcW w:w="2487" w:type="dxa"/>
          </w:tcPr>
          <w:p w14:paraId="1940A066"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60.9</w:t>
            </w:r>
          </w:p>
        </w:tc>
      </w:tr>
      <w:tr w:rsidR="00EA7F71" w:rsidRPr="003A1E0F" w14:paraId="4422CCDB" w14:textId="77777777" w:rsidTr="00CC1962">
        <w:trPr>
          <w:trHeight w:val="70"/>
        </w:trPr>
        <w:tc>
          <w:tcPr>
            <w:tcW w:w="4368" w:type="dxa"/>
          </w:tcPr>
          <w:p w14:paraId="091236BB"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Father</w:t>
            </w:r>
          </w:p>
        </w:tc>
        <w:tc>
          <w:tcPr>
            <w:tcW w:w="2115" w:type="dxa"/>
          </w:tcPr>
          <w:p w14:paraId="1ACA698B"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23</w:t>
            </w:r>
          </w:p>
        </w:tc>
        <w:tc>
          <w:tcPr>
            <w:tcW w:w="2487" w:type="dxa"/>
          </w:tcPr>
          <w:p w14:paraId="623FC985"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5.8</w:t>
            </w:r>
          </w:p>
        </w:tc>
      </w:tr>
      <w:tr w:rsidR="00EA7F71" w:rsidRPr="003A1E0F" w14:paraId="1FC586E1" w14:textId="77777777" w:rsidTr="00CC1962">
        <w:trPr>
          <w:trHeight w:val="70"/>
        </w:trPr>
        <w:tc>
          <w:tcPr>
            <w:tcW w:w="4368" w:type="dxa"/>
          </w:tcPr>
          <w:p w14:paraId="0619C9B9"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Guardian</w:t>
            </w:r>
          </w:p>
        </w:tc>
        <w:tc>
          <w:tcPr>
            <w:tcW w:w="2115" w:type="dxa"/>
          </w:tcPr>
          <w:p w14:paraId="265C81B8"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129</w:t>
            </w:r>
          </w:p>
        </w:tc>
        <w:tc>
          <w:tcPr>
            <w:tcW w:w="2487" w:type="dxa"/>
          </w:tcPr>
          <w:p w14:paraId="45E93C92"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32.3</w:t>
            </w:r>
          </w:p>
        </w:tc>
      </w:tr>
      <w:tr w:rsidR="00EA7F71" w:rsidRPr="003A1E0F" w14:paraId="6E7ED342" w14:textId="77777777" w:rsidTr="00CC1962">
        <w:trPr>
          <w:trHeight w:val="70"/>
        </w:trPr>
        <w:tc>
          <w:tcPr>
            <w:tcW w:w="4368" w:type="dxa"/>
          </w:tcPr>
          <w:p w14:paraId="77D43768"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Other</w:t>
            </w:r>
          </w:p>
        </w:tc>
        <w:tc>
          <w:tcPr>
            <w:tcW w:w="2115" w:type="dxa"/>
          </w:tcPr>
          <w:p w14:paraId="235E9089"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w:t>
            </w:r>
          </w:p>
        </w:tc>
        <w:tc>
          <w:tcPr>
            <w:tcW w:w="2487" w:type="dxa"/>
          </w:tcPr>
          <w:p w14:paraId="7DDBA611"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w:t>
            </w:r>
          </w:p>
        </w:tc>
      </w:tr>
      <w:tr w:rsidR="00EA7F71" w:rsidRPr="003A1E0F" w14:paraId="6CF81CB9" w14:textId="77777777" w:rsidTr="00CC1962">
        <w:trPr>
          <w:trHeight w:val="70"/>
        </w:trPr>
        <w:tc>
          <w:tcPr>
            <w:tcW w:w="4368" w:type="dxa"/>
          </w:tcPr>
          <w:p w14:paraId="127B7933" w14:textId="112985AE" w:rsidR="00EA7F71" w:rsidRPr="003A1E0F" w:rsidRDefault="00EA7F71" w:rsidP="009A30A1">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 xml:space="preserve">Household income </w:t>
            </w:r>
            <w:r w:rsidR="009A30A1">
              <w:rPr>
                <w:rFonts w:ascii="Times New Roman" w:hAnsi="Times New Roman" w:cs="Times New Roman"/>
                <w:b/>
                <w:bCs/>
                <w:sz w:val="24"/>
                <w:szCs w:val="24"/>
              </w:rPr>
              <w:t>Level</w:t>
            </w:r>
          </w:p>
        </w:tc>
        <w:tc>
          <w:tcPr>
            <w:tcW w:w="2115" w:type="dxa"/>
          </w:tcPr>
          <w:p w14:paraId="25E5547F" w14:textId="77777777" w:rsidR="00EA7F71" w:rsidRPr="003A1E0F" w:rsidRDefault="00EA7F71" w:rsidP="009A30A1">
            <w:pPr>
              <w:spacing w:after="0" w:line="360" w:lineRule="auto"/>
              <w:jc w:val="both"/>
              <w:rPr>
                <w:rFonts w:ascii="Times New Roman" w:hAnsi="Times New Roman" w:cs="Times New Roman"/>
                <w:sz w:val="24"/>
                <w:szCs w:val="24"/>
              </w:rPr>
            </w:pPr>
          </w:p>
        </w:tc>
        <w:tc>
          <w:tcPr>
            <w:tcW w:w="2487" w:type="dxa"/>
          </w:tcPr>
          <w:p w14:paraId="69E7641A" w14:textId="77777777" w:rsidR="00EA7F71" w:rsidRPr="003A1E0F" w:rsidRDefault="00EA7F71" w:rsidP="009A30A1">
            <w:pPr>
              <w:spacing w:after="0" w:line="360" w:lineRule="auto"/>
              <w:jc w:val="both"/>
              <w:rPr>
                <w:rFonts w:ascii="Times New Roman" w:hAnsi="Times New Roman" w:cs="Times New Roman"/>
                <w:sz w:val="24"/>
                <w:szCs w:val="24"/>
              </w:rPr>
            </w:pPr>
          </w:p>
        </w:tc>
      </w:tr>
      <w:tr w:rsidR="00EA7F71" w:rsidRPr="003A1E0F" w14:paraId="0F686CCB" w14:textId="77777777" w:rsidTr="00CC1962">
        <w:trPr>
          <w:trHeight w:val="70"/>
        </w:trPr>
        <w:tc>
          <w:tcPr>
            <w:tcW w:w="4368" w:type="dxa"/>
          </w:tcPr>
          <w:p w14:paraId="0572D8E6" w14:textId="00FA2E2B"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Low</w:t>
            </w:r>
            <w:r w:rsidR="009A30A1">
              <w:rPr>
                <w:rFonts w:ascii="Times New Roman" w:hAnsi="Times New Roman" w:cs="Times New Roman"/>
                <w:sz w:val="24"/>
                <w:szCs w:val="24"/>
              </w:rPr>
              <w:t>- income</w:t>
            </w:r>
          </w:p>
        </w:tc>
        <w:tc>
          <w:tcPr>
            <w:tcW w:w="2115" w:type="dxa"/>
          </w:tcPr>
          <w:p w14:paraId="21F7B46A"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231</w:t>
            </w:r>
          </w:p>
        </w:tc>
        <w:tc>
          <w:tcPr>
            <w:tcW w:w="2487" w:type="dxa"/>
          </w:tcPr>
          <w:p w14:paraId="36D11D93"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57.9</w:t>
            </w:r>
          </w:p>
        </w:tc>
      </w:tr>
      <w:tr w:rsidR="00EA7F71" w:rsidRPr="003A1E0F" w14:paraId="4F6E97DC" w14:textId="77777777" w:rsidTr="00541E4E">
        <w:trPr>
          <w:trHeight w:val="264"/>
        </w:trPr>
        <w:tc>
          <w:tcPr>
            <w:tcW w:w="4368" w:type="dxa"/>
          </w:tcPr>
          <w:p w14:paraId="342259CD" w14:textId="5A9FAA64" w:rsidR="00EA7F71" w:rsidRPr="009A30A1" w:rsidRDefault="00EA7F71" w:rsidP="009A30A1">
            <w:pPr>
              <w:spacing w:after="0" w:line="360" w:lineRule="auto"/>
              <w:ind w:left="60" w:right="60"/>
              <w:jc w:val="both"/>
              <w:rPr>
                <w:rFonts w:ascii="Times New Roman" w:hAnsi="Times New Roman" w:cs="Times New Roman"/>
                <w:sz w:val="24"/>
                <w:szCs w:val="24"/>
              </w:rPr>
            </w:pPr>
            <w:r w:rsidRPr="009A30A1">
              <w:rPr>
                <w:rFonts w:ascii="Times New Roman" w:hAnsi="Times New Roman" w:cs="Times New Roman"/>
                <w:sz w:val="24"/>
                <w:szCs w:val="24"/>
              </w:rPr>
              <w:t>Medium</w:t>
            </w:r>
            <w:r w:rsidR="009A30A1">
              <w:rPr>
                <w:rFonts w:ascii="Times New Roman" w:hAnsi="Times New Roman" w:cs="Times New Roman"/>
                <w:sz w:val="24"/>
                <w:szCs w:val="24"/>
              </w:rPr>
              <w:t xml:space="preserve"> - income</w:t>
            </w:r>
          </w:p>
        </w:tc>
        <w:tc>
          <w:tcPr>
            <w:tcW w:w="2115" w:type="dxa"/>
          </w:tcPr>
          <w:p w14:paraId="24DBCDD7"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168</w:t>
            </w:r>
          </w:p>
        </w:tc>
        <w:tc>
          <w:tcPr>
            <w:tcW w:w="2487" w:type="dxa"/>
          </w:tcPr>
          <w:p w14:paraId="1F7465B5"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42.1</w:t>
            </w:r>
          </w:p>
        </w:tc>
      </w:tr>
      <w:tr w:rsidR="00EA7F71" w:rsidRPr="003A1E0F" w14:paraId="663E6AB1" w14:textId="77777777" w:rsidTr="00CC1962">
        <w:trPr>
          <w:trHeight w:val="70"/>
        </w:trPr>
        <w:tc>
          <w:tcPr>
            <w:tcW w:w="4368" w:type="dxa"/>
          </w:tcPr>
          <w:p w14:paraId="60C4BB38" w14:textId="77777777" w:rsidR="00EA7F71" w:rsidRPr="003A1E0F" w:rsidRDefault="00EA7F71" w:rsidP="009A30A1">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Number of children 5yrs and below</w:t>
            </w:r>
          </w:p>
        </w:tc>
        <w:tc>
          <w:tcPr>
            <w:tcW w:w="2115" w:type="dxa"/>
          </w:tcPr>
          <w:p w14:paraId="764F4D8C" w14:textId="77777777" w:rsidR="00EA7F71" w:rsidRPr="003A1E0F" w:rsidRDefault="00EA7F71" w:rsidP="009A30A1">
            <w:pPr>
              <w:spacing w:after="0" w:line="360" w:lineRule="auto"/>
              <w:jc w:val="both"/>
              <w:rPr>
                <w:rFonts w:ascii="Times New Roman" w:hAnsi="Times New Roman" w:cs="Times New Roman"/>
                <w:sz w:val="24"/>
                <w:szCs w:val="24"/>
              </w:rPr>
            </w:pPr>
          </w:p>
        </w:tc>
        <w:tc>
          <w:tcPr>
            <w:tcW w:w="2487" w:type="dxa"/>
          </w:tcPr>
          <w:p w14:paraId="5B5EFDE0" w14:textId="77777777" w:rsidR="00EA7F71" w:rsidRPr="003A1E0F" w:rsidRDefault="00EA7F71" w:rsidP="009A30A1">
            <w:pPr>
              <w:spacing w:after="0" w:line="360" w:lineRule="auto"/>
              <w:jc w:val="both"/>
              <w:rPr>
                <w:rFonts w:ascii="Times New Roman" w:hAnsi="Times New Roman" w:cs="Times New Roman"/>
                <w:sz w:val="24"/>
                <w:szCs w:val="24"/>
              </w:rPr>
            </w:pPr>
          </w:p>
        </w:tc>
      </w:tr>
      <w:tr w:rsidR="00EA7F71" w:rsidRPr="003A1E0F" w14:paraId="3BF5934D" w14:textId="77777777" w:rsidTr="00CC1962">
        <w:trPr>
          <w:trHeight w:val="70"/>
        </w:trPr>
        <w:tc>
          <w:tcPr>
            <w:tcW w:w="4368" w:type="dxa"/>
          </w:tcPr>
          <w:p w14:paraId="038FECDC"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Less than 3</w:t>
            </w:r>
          </w:p>
        </w:tc>
        <w:tc>
          <w:tcPr>
            <w:tcW w:w="2115" w:type="dxa"/>
          </w:tcPr>
          <w:p w14:paraId="437E5E42"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144</w:t>
            </w:r>
          </w:p>
        </w:tc>
        <w:tc>
          <w:tcPr>
            <w:tcW w:w="2487" w:type="dxa"/>
          </w:tcPr>
          <w:p w14:paraId="61F2D581"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36.1</w:t>
            </w:r>
          </w:p>
        </w:tc>
      </w:tr>
      <w:tr w:rsidR="00EA7F71" w:rsidRPr="003A1E0F" w14:paraId="4F486E5D" w14:textId="77777777" w:rsidTr="00CC1962">
        <w:trPr>
          <w:trHeight w:val="117"/>
        </w:trPr>
        <w:tc>
          <w:tcPr>
            <w:tcW w:w="4368" w:type="dxa"/>
          </w:tcPr>
          <w:p w14:paraId="5720B7DB"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 and above</w:t>
            </w:r>
          </w:p>
        </w:tc>
        <w:tc>
          <w:tcPr>
            <w:tcW w:w="2115" w:type="dxa"/>
          </w:tcPr>
          <w:p w14:paraId="1D3A1FF5"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255</w:t>
            </w:r>
          </w:p>
        </w:tc>
        <w:tc>
          <w:tcPr>
            <w:tcW w:w="2487" w:type="dxa"/>
          </w:tcPr>
          <w:p w14:paraId="59E8B3D9" w14:textId="77777777" w:rsidR="00EA7F71" w:rsidRPr="003A1E0F" w:rsidRDefault="00EA7F71" w:rsidP="009A30A1">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63.9</w:t>
            </w:r>
          </w:p>
        </w:tc>
      </w:tr>
    </w:tbl>
    <w:p w14:paraId="4E4909C2" w14:textId="77777777" w:rsidR="00BE7517" w:rsidRDefault="00BE7517" w:rsidP="009A30A1">
      <w:pPr>
        <w:spacing w:after="200" w:line="360" w:lineRule="auto"/>
        <w:rPr>
          <w:rFonts w:ascii="Times New Roman" w:eastAsia="Calibri" w:hAnsi="Times New Roman" w:cs="Times New Roman"/>
          <w:b/>
          <w:sz w:val="24"/>
          <w:lang w:val="en-GB"/>
        </w:rPr>
      </w:pPr>
    </w:p>
    <w:p w14:paraId="1F927ECB" w14:textId="77777777" w:rsidR="001051AA" w:rsidRDefault="00FC6073" w:rsidP="001051AA">
      <w:pPr>
        <w:spacing w:after="200" w:line="360" w:lineRule="auto"/>
        <w:rPr>
          <w:rFonts w:ascii="Times New Roman" w:eastAsia="Calibri" w:hAnsi="Times New Roman" w:cs="Times New Roman"/>
          <w:b/>
          <w:sz w:val="24"/>
          <w:lang w:val="en-GB"/>
        </w:rPr>
      </w:pPr>
      <w:r>
        <w:rPr>
          <w:rFonts w:ascii="Times New Roman" w:eastAsia="Calibri" w:hAnsi="Times New Roman" w:cs="Times New Roman"/>
          <w:b/>
          <w:sz w:val="24"/>
          <w:lang w:val="en-GB"/>
        </w:rPr>
        <w:t xml:space="preserve">Occupation of </w:t>
      </w:r>
      <w:r w:rsidR="001051AA">
        <w:rPr>
          <w:rFonts w:ascii="Times New Roman" w:eastAsia="Calibri" w:hAnsi="Times New Roman" w:cs="Times New Roman"/>
          <w:b/>
          <w:sz w:val="24"/>
          <w:lang w:val="en-GB"/>
        </w:rPr>
        <w:t>respondent</w:t>
      </w:r>
      <w:r>
        <w:rPr>
          <w:rFonts w:ascii="Times New Roman" w:eastAsia="Calibri" w:hAnsi="Times New Roman" w:cs="Times New Roman"/>
          <w:b/>
          <w:sz w:val="24"/>
          <w:lang w:val="en-GB"/>
        </w:rPr>
        <w:t xml:space="preserve">s </w:t>
      </w:r>
    </w:p>
    <w:p w14:paraId="26979CE5" w14:textId="64D1D6B2" w:rsidR="001051AA" w:rsidRPr="001051AA" w:rsidRDefault="001051AA" w:rsidP="002B5BE5">
      <w:pPr>
        <w:spacing w:after="200"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The </w:t>
      </w:r>
      <w:r w:rsidR="00CD1F2D">
        <w:rPr>
          <w:rFonts w:ascii="Times New Roman" w:hAnsi="Times New Roman" w:cs="Times New Roman"/>
          <w:sz w:val="24"/>
          <w:szCs w:val="24"/>
        </w:rPr>
        <w:t xml:space="preserve">interrogation of the </w:t>
      </w:r>
      <w:r>
        <w:rPr>
          <w:rFonts w:ascii="Times New Roman" w:hAnsi="Times New Roman" w:cs="Times New Roman"/>
          <w:sz w:val="24"/>
          <w:szCs w:val="24"/>
        </w:rPr>
        <w:t>occupation of respondents (as shown</w:t>
      </w:r>
      <w:r w:rsidRPr="003A1E0F">
        <w:rPr>
          <w:rFonts w:ascii="Times New Roman" w:hAnsi="Times New Roman" w:cs="Times New Roman"/>
          <w:sz w:val="24"/>
          <w:szCs w:val="24"/>
        </w:rPr>
        <w:t xml:space="preserve"> </w:t>
      </w:r>
      <w:r>
        <w:rPr>
          <w:rFonts w:ascii="Times New Roman" w:hAnsi="Times New Roman" w:cs="Times New Roman"/>
          <w:sz w:val="24"/>
          <w:szCs w:val="24"/>
        </w:rPr>
        <w:t>in figure 1)</w:t>
      </w:r>
      <w:r w:rsidRPr="003A1E0F">
        <w:rPr>
          <w:rFonts w:ascii="Times New Roman" w:hAnsi="Times New Roman" w:cs="Times New Roman"/>
          <w:sz w:val="24"/>
          <w:szCs w:val="24"/>
        </w:rPr>
        <w:t xml:space="preserve"> </w:t>
      </w:r>
      <w:r>
        <w:rPr>
          <w:rFonts w:ascii="Times New Roman" w:hAnsi="Times New Roman" w:cs="Times New Roman"/>
          <w:sz w:val="24"/>
          <w:szCs w:val="24"/>
        </w:rPr>
        <w:t>revealed that most of the caregivers {n = 204 (51.1%)} were engaged in one form of</w:t>
      </w:r>
      <w:r w:rsidR="00273898">
        <w:rPr>
          <w:rFonts w:ascii="Times New Roman" w:hAnsi="Times New Roman" w:cs="Times New Roman"/>
          <w:sz w:val="24"/>
          <w:szCs w:val="24"/>
        </w:rPr>
        <w:t xml:space="preserve"> business or the other, approximately on-sixth </w:t>
      </w:r>
      <w:r w:rsidR="00EA2AFB">
        <w:rPr>
          <w:rFonts w:ascii="Times New Roman" w:hAnsi="Times New Roman" w:cs="Times New Roman"/>
          <w:sz w:val="24"/>
          <w:szCs w:val="24"/>
        </w:rPr>
        <w:t>{</w:t>
      </w:r>
      <w:r w:rsidR="00273898">
        <w:rPr>
          <w:rFonts w:ascii="Times New Roman" w:hAnsi="Times New Roman" w:cs="Times New Roman"/>
          <w:sz w:val="24"/>
          <w:szCs w:val="24"/>
        </w:rPr>
        <w:t>n = 58 (14.5%)}</w:t>
      </w:r>
      <w:r w:rsidR="00EA2AFB">
        <w:rPr>
          <w:rFonts w:ascii="Times New Roman" w:hAnsi="Times New Roman" w:cs="Times New Roman"/>
          <w:sz w:val="24"/>
          <w:szCs w:val="24"/>
        </w:rPr>
        <w:t xml:space="preserve"> </w:t>
      </w:r>
      <w:r w:rsidR="00273898">
        <w:rPr>
          <w:rFonts w:ascii="Times New Roman" w:hAnsi="Times New Roman" w:cs="Times New Roman"/>
          <w:sz w:val="24"/>
          <w:szCs w:val="24"/>
        </w:rPr>
        <w:t xml:space="preserve">were farmers, slightly above one-tenth {n = 51 (12.8%)} were housewives, while </w:t>
      </w:r>
      <w:r w:rsidR="00EA2AFB">
        <w:rPr>
          <w:rFonts w:ascii="Times New Roman" w:hAnsi="Times New Roman" w:cs="Times New Roman"/>
          <w:sz w:val="24"/>
          <w:szCs w:val="24"/>
        </w:rPr>
        <w:t xml:space="preserve">somewhat above one-sixteenth were teachers {n = 23 (5.8%)}. </w:t>
      </w:r>
      <w:r w:rsidR="002B5BE5">
        <w:rPr>
          <w:rFonts w:ascii="Times New Roman" w:hAnsi="Times New Roman" w:cs="Times New Roman"/>
          <w:sz w:val="24"/>
          <w:szCs w:val="24"/>
        </w:rPr>
        <w:t>Similarly, o</w:t>
      </w:r>
      <w:r w:rsidR="00EA2AFB">
        <w:rPr>
          <w:rFonts w:ascii="Times New Roman" w:hAnsi="Times New Roman" w:cs="Times New Roman"/>
          <w:sz w:val="24"/>
          <w:szCs w:val="24"/>
        </w:rPr>
        <w:t>ther</w:t>
      </w:r>
      <w:r w:rsidRPr="003A1E0F">
        <w:rPr>
          <w:rFonts w:ascii="Times New Roman" w:hAnsi="Times New Roman" w:cs="Times New Roman"/>
          <w:sz w:val="24"/>
          <w:szCs w:val="24"/>
        </w:rPr>
        <w:t xml:space="preserve"> </w:t>
      </w:r>
      <w:r w:rsidR="002B5BE5">
        <w:rPr>
          <w:rFonts w:ascii="Times New Roman" w:hAnsi="Times New Roman" w:cs="Times New Roman"/>
          <w:sz w:val="24"/>
          <w:szCs w:val="24"/>
        </w:rPr>
        <w:t xml:space="preserve">notable </w:t>
      </w:r>
      <w:r w:rsidRPr="003A1E0F">
        <w:rPr>
          <w:rFonts w:ascii="Times New Roman" w:hAnsi="Times New Roman" w:cs="Times New Roman"/>
          <w:sz w:val="24"/>
          <w:szCs w:val="24"/>
        </w:rPr>
        <w:t xml:space="preserve">occupations </w:t>
      </w:r>
      <w:r w:rsidR="00EA2AFB">
        <w:rPr>
          <w:rFonts w:ascii="Times New Roman" w:hAnsi="Times New Roman" w:cs="Times New Roman"/>
          <w:sz w:val="24"/>
          <w:szCs w:val="24"/>
        </w:rPr>
        <w:t xml:space="preserve">represented </w:t>
      </w:r>
      <w:r w:rsidR="002B5BE5">
        <w:rPr>
          <w:rFonts w:ascii="Times New Roman" w:hAnsi="Times New Roman" w:cs="Times New Roman"/>
          <w:sz w:val="24"/>
          <w:szCs w:val="24"/>
        </w:rPr>
        <w:t xml:space="preserve">in the population </w:t>
      </w:r>
      <w:r w:rsidR="0093572F">
        <w:rPr>
          <w:rFonts w:ascii="Times New Roman" w:hAnsi="Times New Roman" w:cs="Times New Roman"/>
          <w:sz w:val="24"/>
          <w:szCs w:val="24"/>
        </w:rPr>
        <w:t>included</w:t>
      </w:r>
      <w:r w:rsidR="002B5BE5">
        <w:rPr>
          <w:rFonts w:ascii="Times New Roman" w:hAnsi="Times New Roman" w:cs="Times New Roman"/>
          <w:sz w:val="24"/>
          <w:szCs w:val="24"/>
        </w:rPr>
        <w:t>:</w:t>
      </w:r>
      <w:r w:rsidR="0093572F">
        <w:rPr>
          <w:rFonts w:ascii="Times New Roman" w:hAnsi="Times New Roman" w:cs="Times New Roman"/>
          <w:sz w:val="24"/>
          <w:szCs w:val="24"/>
        </w:rPr>
        <w:t xml:space="preserve"> </w:t>
      </w:r>
      <w:r w:rsidRPr="003A1E0F">
        <w:rPr>
          <w:rFonts w:ascii="Times New Roman" w:hAnsi="Times New Roman" w:cs="Times New Roman"/>
          <w:sz w:val="24"/>
          <w:szCs w:val="24"/>
        </w:rPr>
        <w:t xml:space="preserve">tailors </w:t>
      </w:r>
      <w:r w:rsidR="0093572F">
        <w:rPr>
          <w:rFonts w:ascii="Times New Roman" w:hAnsi="Times New Roman" w:cs="Times New Roman"/>
          <w:sz w:val="24"/>
          <w:szCs w:val="24"/>
        </w:rPr>
        <w:t>accounting for approximately one-twentieth {n = 19 (4.8%)}</w:t>
      </w:r>
      <w:r w:rsidR="002B5BE5">
        <w:rPr>
          <w:rFonts w:ascii="Times New Roman" w:hAnsi="Times New Roman" w:cs="Times New Roman"/>
          <w:sz w:val="24"/>
          <w:szCs w:val="24"/>
        </w:rPr>
        <w:t xml:space="preserve"> </w:t>
      </w:r>
      <w:r w:rsidR="0093572F">
        <w:rPr>
          <w:rFonts w:ascii="Times New Roman" w:hAnsi="Times New Roman" w:cs="Times New Roman"/>
          <w:sz w:val="24"/>
          <w:szCs w:val="24"/>
        </w:rPr>
        <w:t>of the total respondents, civil serva</w:t>
      </w:r>
      <w:r w:rsidR="002B5BE5">
        <w:rPr>
          <w:rFonts w:ascii="Times New Roman" w:hAnsi="Times New Roman" w:cs="Times New Roman"/>
          <w:sz w:val="24"/>
          <w:szCs w:val="24"/>
        </w:rPr>
        <w:t>nts amounting to</w:t>
      </w:r>
      <w:r w:rsidR="0093572F">
        <w:rPr>
          <w:rFonts w:ascii="Times New Roman" w:hAnsi="Times New Roman" w:cs="Times New Roman"/>
          <w:sz w:val="24"/>
          <w:szCs w:val="24"/>
        </w:rPr>
        <w:t xml:space="preserve"> approximately one- twentieth </w:t>
      </w:r>
      <w:r w:rsidR="002B5BE5">
        <w:rPr>
          <w:rFonts w:ascii="Times New Roman" w:hAnsi="Times New Roman" w:cs="Times New Roman"/>
          <w:sz w:val="24"/>
          <w:szCs w:val="24"/>
        </w:rPr>
        <w:t xml:space="preserve">fifth </w:t>
      </w:r>
      <w:r w:rsidR="0093572F">
        <w:rPr>
          <w:rFonts w:ascii="Times New Roman" w:hAnsi="Times New Roman" w:cs="Times New Roman"/>
          <w:sz w:val="24"/>
          <w:szCs w:val="24"/>
        </w:rPr>
        <w:t>{n = 14(3.5%)}</w:t>
      </w:r>
      <w:r w:rsidR="002B5BE5">
        <w:rPr>
          <w:rFonts w:ascii="Times New Roman" w:hAnsi="Times New Roman" w:cs="Times New Roman"/>
          <w:sz w:val="24"/>
          <w:szCs w:val="24"/>
        </w:rPr>
        <w:t xml:space="preserve"> of the total respondents, and </w:t>
      </w:r>
      <w:r w:rsidRPr="003A1E0F">
        <w:rPr>
          <w:rFonts w:ascii="Times New Roman" w:hAnsi="Times New Roman" w:cs="Times New Roman"/>
          <w:sz w:val="24"/>
          <w:szCs w:val="24"/>
        </w:rPr>
        <w:t xml:space="preserve">self-employed individuals </w:t>
      </w:r>
      <w:r w:rsidR="002B5BE5">
        <w:rPr>
          <w:rFonts w:ascii="Times New Roman" w:hAnsi="Times New Roman" w:cs="Times New Roman"/>
          <w:sz w:val="24"/>
          <w:szCs w:val="24"/>
        </w:rPr>
        <w:t xml:space="preserve">accounting for a further one-twentieth {n = 18 (4.5%)} of the population. Furthermore, the following </w:t>
      </w:r>
      <w:r w:rsidR="004335A6">
        <w:rPr>
          <w:rFonts w:ascii="Times New Roman" w:hAnsi="Times New Roman" w:cs="Times New Roman"/>
          <w:sz w:val="24"/>
          <w:szCs w:val="24"/>
        </w:rPr>
        <w:t>significant yet</w:t>
      </w:r>
      <w:r w:rsidR="002C0DC9">
        <w:rPr>
          <w:rFonts w:ascii="Times New Roman" w:hAnsi="Times New Roman" w:cs="Times New Roman"/>
          <w:sz w:val="24"/>
          <w:szCs w:val="24"/>
        </w:rPr>
        <w:t xml:space="preserve"> scant</w:t>
      </w:r>
      <w:r w:rsidR="004335A6">
        <w:rPr>
          <w:rFonts w:ascii="Times New Roman" w:hAnsi="Times New Roman" w:cs="Times New Roman"/>
          <w:sz w:val="24"/>
          <w:szCs w:val="24"/>
        </w:rPr>
        <w:t xml:space="preserve"> </w:t>
      </w:r>
      <w:r w:rsidR="002B5BE5">
        <w:rPr>
          <w:rFonts w:ascii="Times New Roman" w:hAnsi="Times New Roman" w:cs="Times New Roman"/>
          <w:sz w:val="24"/>
          <w:szCs w:val="24"/>
        </w:rPr>
        <w:t>representations were noted in the sa</w:t>
      </w:r>
      <w:r w:rsidR="004335A6">
        <w:rPr>
          <w:rFonts w:ascii="Times New Roman" w:hAnsi="Times New Roman" w:cs="Times New Roman"/>
          <w:sz w:val="24"/>
          <w:szCs w:val="24"/>
        </w:rPr>
        <w:t xml:space="preserve">mple population: Health workers {n = </w:t>
      </w:r>
      <w:r w:rsidR="002C0DC9">
        <w:rPr>
          <w:rFonts w:ascii="Times New Roman" w:hAnsi="Times New Roman" w:cs="Times New Roman"/>
          <w:sz w:val="24"/>
          <w:szCs w:val="24"/>
        </w:rPr>
        <w:t>3 (0.8%)}, hairdressers {n = 1{0.3%)}, Students {n = 7(1.8%)}, and drivers {n = 1(0.3%)}. See figure 1.</w:t>
      </w:r>
    </w:p>
    <w:p w14:paraId="511ED329" w14:textId="77777777" w:rsidR="001051AA" w:rsidRDefault="001051AA" w:rsidP="00E87610">
      <w:pPr>
        <w:spacing w:after="200" w:line="360" w:lineRule="auto"/>
        <w:rPr>
          <w:rFonts w:ascii="Times New Roman" w:eastAsia="Calibri" w:hAnsi="Times New Roman" w:cs="Times New Roman"/>
          <w:b/>
          <w:sz w:val="24"/>
          <w:lang w:val="en-GB"/>
        </w:rPr>
      </w:pPr>
    </w:p>
    <w:p w14:paraId="1C8855D1" w14:textId="7DB1D76B" w:rsidR="00FC6073" w:rsidRDefault="00FC6073" w:rsidP="00E87610">
      <w:pPr>
        <w:spacing w:after="200" w:line="360" w:lineRule="auto"/>
        <w:rPr>
          <w:rFonts w:ascii="Times New Roman" w:eastAsia="Calibri" w:hAnsi="Times New Roman" w:cs="Times New Roman"/>
          <w:b/>
          <w:sz w:val="24"/>
          <w:lang w:val="en-GB"/>
        </w:rPr>
      </w:pPr>
      <w:r w:rsidRPr="003A1E0F">
        <w:rPr>
          <w:rFonts w:ascii="Times New Roman" w:hAnsi="Times New Roman" w:cs="Times New Roman"/>
          <w:noProof/>
          <w:sz w:val="24"/>
          <w:szCs w:val="24"/>
          <w:lang w:val="en-GB" w:eastAsia="en-GB"/>
        </w:rPr>
        <w:lastRenderedPageBreak/>
        <w:drawing>
          <wp:inline distT="0" distB="0" distL="0" distR="0" wp14:anchorId="2AA230BD" wp14:editId="2B3488B8">
            <wp:extent cx="5562600" cy="34194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B298E5" w14:textId="3247E454" w:rsidR="002C0DC9" w:rsidRDefault="00FC6073" w:rsidP="002C0DC9">
      <w:pPr>
        <w:spacing w:after="200" w:line="360" w:lineRule="auto"/>
        <w:rPr>
          <w:rFonts w:ascii="Times New Roman" w:eastAsia="Calibri" w:hAnsi="Times New Roman" w:cs="Times New Roman"/>
          <w:sz w:val="24"/>
          <w:lang w:val="en-GB"/>
        </w:rPr>
      </w:pPr>
      <w:r w:rsidRPr="00FC6073">
        <w:rPr>
          <w:rFonts w:ascii="Times New Roman" w:eastAsia="Calibri" w:hAnsi="Times New Roman" w:cs="Times New Roman"/>
          <w:sz w:val="24"/>
          <w:lang w:val="en-GB"/>
        </w:rPr>
        <w:t xml:space="preserve">Figure 1: </w:t>
      </w:r>
      <w:r w:rsidR="001051AA">
        <w:rPr>
          <w:rFonts w:ascii="Times New Roman" w:eastAsia="Calibri" w:hAnsi="Times New Roman" w:cs="Times New Roman"/>
          <w:sz w:val="24"/>
          <w:lang w:val="en-GB"/>
        </w:rPr>
        <w:t xml:space="preserve">Occupation of </w:t>
      </w:r>
      <w:r w:rsidR="002C0DC9">
        <w:rPr>
          <w:rFonts w:ascii="Times New Roman" w:eastAsia="Calibri" w:hAnsi="Times New Roman" w:cs="Times New Roman"/>
          <w:sz w:val="24"/>
          <w:lang w:val="en-GB"/>
        </w:rPr>
        <w:t>respondents (Caregivers)</w:t>
      </w:r>
    </w:p>
    <w:p w14:paraId="559BC953" w14:textId="77777777" w:rsidR="002C0DC9" w:rsidRPr="002C0DC9" w:rsidRDefault="002C0DC9" w:rsidP="002C0DC9">
      <w:pPr>
        <w:spacing w:after="200" w:line="360" w:lineRule="auto"/>
        <w:rPr>
          <w:rFonts w:ascii="Times New Roman" w:eastAsia="Calibri" w:hAnsi="Times New Roman" w:cs="Times New Roman"/>
          <w:sz w:val="24"/>
          <w:lang w:val="en-GB"/>
        </w:rPr>
      </w:pPr>
    </w:p>
    <w:p w14:paraId="5FC13F77" w14:textId="0B0F38BF" w:rsidR="002C0DC9" w:rsidRPr="003A1E0F" w:rsidRDefault="002C0DC9" w:rsidP="002C0DC9">
      <w:pPr>
        <w:spacing w:line="360" w:lineRule="auto"/>
        <w:jc w:val="both"/>
        <w:rPr>
          <w:rFonts w:ascii="Times New Roman" w:hAnsi="Times New Roman" w:cs="Times New Roman"/>
          <w:sz w:val="24"/>
          <w:szCs w:val="24"/>
        </w:rPr>
      </w:pPr>
      <w:r w:rsidRPr="003A1E0F">
        <w:rPr>
          <w:rFonts w:ascii="Times New Roman" w:hAnsi="Times New Roman" w:cs="Times New Roman"/>
          <w:b/>
          <w:sz w:val="24"/>
          <w:szCs w:val="24"/>
        </w:rPr>
        <w:t xml:space="preserve">Awareness </w:t>
      </w:r>
      <w:r>
        <w:rPr>
          <w:rFonts w:ascii="Times New Roman" w:hAnsi="Times New Roman" w:cs="Times New Roman"/>
          <w:b/>
          <w:sz w:val="24"/>
          <w:szCs w:val="24"/>
        </w:rPr>
        <w:t xml:space="preserve">and knowledge </w:t>
      </w:r>
      <w:r w:rsidRPr="003A1E0F">
        <w:rPr>
          <w:rFonts w:ascii="Times New Roman" w:hAnsi="Times New Roman" w:cs="Times New Roman"/>
          <w:b/>
          <w:sz w:val="24"/>
          <w:szCs w:val="24"/>
        </w:rPr>
        <w:t>of Second Year of Life Immunization</w:t>
      </w:r>
    </w:p>
    <w:p w14:paraId="39C1BA18" w14:textId="77777777" w:rsidR="00525A42" w:rsidRDefault="002C0DC9" w:rsidP="002C0DC9">
      <w:pPr>
        <w:spacing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The </w:t>
      </w:r>
      <w:r w:rsidR="00CD1F2D">
        <w:rPr>
          <w:rFonts w:ascii="Times New Roman" w:hAnsi="Times New Roman" w:cs="Times New Roman"/>
          <w:sz w:val="24"/>
          <w:szCs w:val="24"/>
        </w:rPr>
        <w:t>enquiry concerning caregiver</w:t>
      </w:r>
      <w:r w:rsidRPr="003A1E0F">
        <w:rPr>
          <w:rFonts w:ascii="Times New Roman" w:hAnsi="Times New Roman" w:cs="Times New Roman"/>
          <w:sz w:val="24"/>
          <w:szCs w:val="24"/>
        </w:rPr>
        <w:t xml:space="preserve"> awareness</w:t>
      </w:r>
      <w:r w:rsidR="00CD1F2D">
        <w:rPr>
          <w:rFonts w:ascii="Times New Roman" w:hAnsi="Times New Roman" w:cs="Times New Roman"/>
          <w:sz w:val="24"/>
          <w:szCs w:val="24"/>
        </w:rPr>
        <w:t>,</w:t>
      </w:r>
      <w:r w:rsidRPr="003A1E0F">
        <w:rPr>
          <w:rFonts w:ascii="Times New Roman" w:hAnsi="Times New Roman" w:cs="Times New Roman"/>
          <w:sz w:val="24"/>
          <w:szCs w:val="24"/>
        </w:rPr>
        <w:t xml:space="preserve"> and knowledge</w:t>
      </w:r>
      <w:r w:rsidR="00CD1F2D">
        <w:rPr>
          <w:rFonts w:ascii="Times New Roman" w:hAnsi="Times New Roman" w:cs="Times New Roman"/>
          <w:sz w:val="24"/>
          <w:szCs w:val="24"/>
        </w:rPr>
        <w:t>,</w:t>
      </w:r>
      <w:r w:rsidRPr="003A1E0F">
        <w:rPr>
          <w:rFonts w:ascii="Times New Roman" w:hAnsi="Times New Roman" w:cs="Times New Roman"/>
          <w:sz w:val="24"/>
          <w:szCs w:val="24"/>
        </w:rPr>
        <w:t xml:space="preserve"> regarding childhood immunization i</w:t>
      </w:r>
      <w:r w:rsidR="00CD1F2D">
        <w:rPr>
          <w:rFonts w:ascii="Times New Roman" w:hAnsi="Times New Roman" w:cs="Times New Roman"/>
          <w:sz w:val="24"/>
          <w:szCs w:val="24"/>
        </w:rPr>
        <w:t xml:space="preserve">n the second year of life, revealed the following results: </w:t>
      </w:r>
      <w:r w:rsidR="00525A42">
        <w:rPr>
          <w:rFonts w:ascii="Times New Roman" w:hAnsi="Times New Roman" w:cs="Times New Roman"/>
          <w:sz w:val="24"/>
          <w:szCs w:val="24"/>
        </w:rPr>
        <w:t xml:space="preserve">approximately one-half </w:t>
      </w:r>
      <w:r w:rsidR="00CD1F2D">
        <w:rPr>
          <w:rFonts w:ascii="Times New Roman" w:hAnsi="Times New Roman" w:cs="Times New Roman"/>
          <w:sz w:val="24"/>
          <w:szCs w:val="24"/>
        </w:rPr>
        <w:t xml:space="preserve">{n = 197 (49.4%)} of the </w:t>
      </w:r>
      <w:r w:rsidRPr="003A1E0F">
        <w:rPr>
          <w:rFonts w:ascii="Times New Roman" w:hAnsi="Times New Roman" w:cs="Times New Roman"/>
          <w:sz w:val="24"/>
          <w:szCs w:val="24"/>
        </w:rPr>
        <w:t xml:space="preserve">respondents </w:t>
      </w:r>
      <w:r w:rsidR="00CD1F2D">
        <w:rPr>
          <w:rFonts w:ascii="Times New Roman" w:hAnsi="Times New Roman" w:cs="Times New Roman"/>
          <w:sz w:val="24"/>
          <w:szCs w:val="24"/>
        </w:rPr>
        <w:t xml:space="preserve">volunteered that they were </w:t>
      </w:r>
      <w:r w:rsidRPr="003A1E0F">
        <w:rPr>
          <w:rFonts w:ascii="Times New Roman" w:hAnsi="Times New Roman" w:cs="Times New Roman"/>
          <w:sz w:val="24"/>
          <w:szCs w:val="24"/>
        </w:rPr>
        <w:t>unaware that a child requires immunization during th</w:t>
      </w:r>
      <w:r w:rsidR="00CD1F2D">
        <w:rPr>
          <w:rFonts w:ascii="Times New Roman" w:hAnsi="Times New Roman" w:cs="Times New Roman"/>
          <w:sz w:val="24"/>
          <w:szCs w:val="24"/>
        </w:rPr>
        <w:t>e second year of life</w:t>
      </w:r>
      <w:r w:rsidRPr="003A1E0F">
        <w:rPr>
          <w:rFonts w:ascii="Times New Roman" w:hAnsi="Times New Roman" w:cs="Times New Roman"/>
          <w:sz w:val="24"/>
          <w:szCs w:val="24"/>
        </w:rPr>
        <w:t xml:space="preserve">, while </w:t>
      </w:r>
      <w:r w:rsidR="00CD1F2D">
        <w:rPr>
          <w:rFonts w:ascii="Times New Roman" w:hAnsi="Times New Roman" w:cs="Times New Roman"/>
          <w:sz w:val="24"/>
          <w:szCs w:val="24"/>
        </w:rPr>
        <w:t xml:space="preserve">the reciprocal fraction </w:t>
      </w:r>
      <w:r w:rsidR="00525A42">
        <w:rPr>
          <w:rFonts w:ascii="Times New Roman" w:hAnsi="Times New Roman" w:cs="Times New Roman"/>
          <w:sz w:val="24"/>
          <w:szCs w:val="24"/>
        </w:rPr>
        <w:t xml:space="preserve">{n =202(50.6%)} did submit that they were aware of 2YL immunization. </w:t>
      </w:r>
    </w:p>
    <w:p w14:paraId="2611FA45" w14:textId="177C2850" w:rsidR="00845790" w:rsidRDefault="00525A42" w:rsidP="002C0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enquiry concerning the vaccines </w:t>
      </w:r>
      <w:r w:rsidR="002C0DC9" w:rsidRPr="003A1E0F">
        <w:rPr>
          <w:rFonts w:ascii="Times New Roman" w:hAnsi="Times New Roman" w:cs="Times New Roman"/>
          <w:sz w:val="24"/>
          <w:szCs w:val="24"/>
        </w:rPr>
        <w:t>typically administered during the second year of life,</w:t>
      </w:r>
      <w:r>
        <w:rPr>
          <w:rFonts w:ascii="Times New Roman" w:hAnsi="Times New Roman" w:cs="Times New Roman"/>
          <w:sz w:val="24"/>
          <w:szCs w:val="24"/>
        </w:rPr>
        <w:t xml:space="preserve"> among those aware, upwards of one-half {n = 109 (54%)} did mention the measles vaccine (second dose of measles – MCV 2), upwards of one third of respondents</w:t>
      </w:r>
      <w:r w:rsidR="002C0DC9" w:rsidRPr="003A1E0F">
        <w:rPr>
          <w:rFonts w:ascii="Times New Roman" w:hAnsi="Times New Roman" w:cs="Times New Roman"/>
          <w:sz w:val="24"/>
          <w:szCs w:val="24"/>
        </w:rPr>
        <w:t xml:space="preserve"> </w:t>
      </w:r>
      <w:r>
        <w:rPr>
          <w:rFonts w:ascii="Times New Roman" w:hAnsi="Times New Roman" w:cs="Times New Roman"/>
          <w:sz w:val="24"/>
          <w:szCs w:val="24"/>
        </w:rPr>
        <w:t>{n =123 (60.9%)} identified vitamin A as one of the more commonly administered medicaments, while very few {n = 3(1.5%)}</w:t>
      </w:r>
      <w:r w:rsidR="002C0DC9" w:rsidRPr="003A1E0F">
        <w:rPr>
          <w:rFonts w:ascii="Times New Roman" w:hAnsi="Times New Roman" w:cs="Times New Roman"/>
          <w:sz w:val="24"/>
          <w:szCs w:val="24"/>
        </w:rPr>
        <w:t xml:space="preserve"> </w:t>
      </w:r>
      <w:r w:rsidR="00845790">
        <w:rPr>
          <w:rFonts w:ascii="Times New Roman" w:hAnsi="Times New Roman" w:cs="Times New Roman"/>
          <w:sz w:val="24"/>
          <w:szCs w:val="24"/>
        </w:rPr>
        <w:t xml:space="preserve">and {n = 3 (1.5%)} </w:t>
      </w:r>
      <w:r w:rsidR="002C0DC9" w:rsidRPr="003A1E0F">
        <w:rPr>
          <w:rFonts w:ascii="Times New Roman" w:hAnsi="Times New Roman" w:cs="Times New Roman"/>
          <w:sz w:val="24"/>
          <w:szCs w:val="24"/>
        </w:rPr>
        <w:t>respondents</w:t>
      </w:r>
      <w:r w:rsidR="00845790">
        <w:rPr>
          <w:rFonts w:ascii="Times New Roman" w:hAnsi="Times New Roman" w:cs="Times New Roman"/>
          <w:sz w:val="24"/>
          <w:szCs w:val="24"/>
        </w:rPr>
        <w:t>,</w:t>
      </w:r>
      <w:r w:rsidR="002C0DC9" w:rsidRPr="003A1E0F">
        <w:rPr>
          <w:rFonts w:ascii="Times New Roman" w:hAnsi="Times New Roman" w:cs="Times New Roman"/>
          <w:sz w:val="24"/>
          <w:szCs w:val="24"/>
        </w:rPr>
        <w:t xml:space="preserve"> mentioned </w:t>
      </w:r>
      <w:proofErr w:type="spellStart"/>
      <w:r>
        <w:rPr>
          <w:rFonts w:ascii="Times New Roman" w:hAnsi="Times New Roman" w:cs="Times New Roman"/>
          <w:sz w:val="24"/>
          <w:szCs w:val="24"/>
        </w:rPr>
        <w:t>Pentavalent</w:t>
      </w:r>
      <w:proofErr w:type="spellEnd"/>
      <w:r>
        <w:rPr>
          <w:rFonts w:ascii="Times New Roman" w:hAnsi="Times New Roman" w:cs="Times New Roman"/>
          <w:sz w:val="24"/>
          <w:szCs w:val="24"/>
        </w:rPr>
        <w:t xml:space="preserve"> vaccine (</w:t>
      </w:r>
      <w:r w:rsidR="002C0DC9" w:rsidRPr="003A1E0F">
        <w:rPr>
          <w:rFonts w:ascii="Times New Roman" w:hAnsi="Times New Roman" w:cs="Times New Roman"/>
          <w:sz w:val="24"/>
          <w:szCs w:val="24"/>
        </w:rPr>
        <w:t>b</w:t>
      </w:r>
      <w:r>
        <w:rPr>
          <w:rFonts w:ascii="Times New Roman" w:hAnsi="Times New Roman" w:cs="Times New Roman"/>
          <w:sz w:val="24"/>
          <w:szCs w:val="24"/>
        </w:rPr>
        <w:t xml:space="preserve">ooster dose – </w:t>
      </w:r>
      <w:proofErr w:type="spellStart"/>
      <w:r>
        <w:rPr>
          <w:rFonts w:ascii="Times New Roman" w:hAnsi="Times New Roman" w:cs="Times New Roman"/>
          <w:sz w:val="24"/>
          <w:szCs w:val="24"/>
        </w:rPr>
        <w:t>Penta</w:t>
      </w:r>
      <w:proofErr w:type="spellEnd"/>
      <w:r>
        <w:rPr>
          <w:rFonts w:ascii="Times New Roman" w:hAnsi="Times New Roman" w:cs="Times New Roman"/>
          <w:sz w:val="24"/>
          <w:szCs w:val="24"/>
        </w:rPr>
        <w:t xml:space="preserve"> 4), and</w:t>
      </w:r>
      <w:r w:rsidR="00845790">
        <w:rPr>
          <w:rFonts w:ascii="Times New Roman" w:hAnsi="Times New Roman" w:cs="Times New Roman"/>
          <w:sz w:val="24"/>
          <w:szCs w:val="24"/>
        </w:rPr>
        <w:t xml:space="preserve"> Polio vaccine (booster dose – OPV 4) as the more commonly administered vaccines during the 2YL.</w:t>
      </w:r>
      <w:r w:rsidR="002C0DC9" w:rsidRPr="003A1E0F">
        <w:rPr>
          <w:rFonts w:ascii="Times New Roman" w:hAnsi="Times New Roman" w:cs="Times New Roman"/>
          <w:sz w:val="24"/>
          <w:szCs w:val="24"/>
        </w:rPr>
        <w:t xml:space="preserve"> </w:t>
      </w:r>
      <w:r w:rsidR="00845790">
        <w:rPr>
          <w:rFonts w:ascii="Times New Roman" w:hAnsi="Times New Roman" w:cs="Times New Roman"/>
          <w:sz w:val="24"/>
          <w:szCs w:val="24"/>
        </w:rPr>
        <w:t>However, approximately one-tenth {n =2</w:t>
      </w:r>
      <w:r w:rsidR="004E2165">
        <w:rPr>
          <w:rFonts w:ascii="Times New Roman" w:hAnsi="Times New Roman" w:cs="Times New Roman"/>
          <w:sz w:val="24"/>
          <w:szCs w:val="24"/>
        </w:rPr>
        <w:t xml:space="preserve">2 (10.9%)} admitted they had no knowledge of the </w:t>
      </w:r>
      <w:r w:rsidR="00845790">
        <w:rPr>
          <w:rFonts w:ascii="Times New Roman" w:hAnsi="Times New Roman" w:cs="Times New Roman"/>
          <w:sz w:val="24"/>
          <w:szCs w:val="24"/>
        </w:rPr>
        <w:t xml:space="preserve">vaccines </w:t>
      </w:r>
      <w:r w:rsidR="00E3477C">
        <w:rPr>
          <w:rFonts w:ascii="Times New Roman" w:hAnsi="Times New Roman" w:cs="Times New Roman"/>
          <w:sz w:val="24"/>
          <w:szCs w:val="24"/>
        </w:rPr>
        <w:t xml:space="preserve">or types of vaccines </w:t>
      </w:r>
      <w:r w:rsidR="00845790">
        <w:rPr>
          <w:rFonts w:ascii="Times New Roman" w:hAnsi="Times New Roman" w:cs="Times New Roman"/>
          <w:sz w:val="24"/>
          <w:szCs w:val="24"/>
        </w:rPr>
        <w:t>administered in the second year of life.</w:t>
      </w:r>
    </w:p>
    <w:p w14:paraId="2D98F216" w14:textId="77777777" w:rsidR="00543D31" w:rsidRDefault="00E3477C" w:rsidP="002C0D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Concerning t</w:t>
      </w:r>
      <w:r w:rsidR="002C0DC9" w:rsidRPr="003A1E0F">
        <w:rPr>
          <w:rFonts w:ascii="Times New Roman" w:hAnsi="Times New Roman" w:cs="Times New Roman"/>
          <w:sz w:val="24"/>
          <w:szCs w:val="24"/>
        </w:rPr>
        <w:t xml:space="preserve">he timing of </w:t>
      </w:r>
      <w:r>
        <w:rPr>
          <w:rFonts w:ascii="Times New Roman" w:hAnsi="Times New Roman" w:cs="Times New Roman"/>
          <w:sz w:val="24"/>
          <w:szCs w:val="24"/>
        </w:rPr>
        <w:t xml:space="preserve">vaccinations within the second year of life, upwards of two-thirds </w:t>
      </w:r>
      <w:r w:rsidR="00543D31">
        <w:rPr>
          <w:rFonts w:ascii="Times New Roman" w:hAnsi="Times New Roman" w:cs="Times New Roman"/>
          <w:sz w:val="24"/>
          <w:szCs w:val="24"/>
        </w:rPr>
        <w:t>{n =158 (</w:t>
      </w:r>
      <w:r>
        <w:rPr>
          <w:rFonts w:ascii="Times New Roman" w:hAnsi="Times New Roman" w:cs="Times New Roman"/>
          <w:sz w:val="24"/>
          <w:szCs w:val="24"/>
        </w:rPr>
        <w:t xml:space="preserve">78.2%)} of respondents submitted that 12 -15 months was the right age for the administration of the second dose of the measles vaccine (MCV 2), </w:t>
      </w:r>
      <w:r w:rsidR="002C0DC9" w:rsidRPr="003A1E0F">
        <w:rPr>
          <w:rFonts w:ascii="Times New Roman" w:hAnsi="Times New Roman" w:cs="Times New Roman"/>
          <w:sz w:val="24"/>
          <w:szCs w:val="24"/>
        </w:rPr>
        <w:t xml:space="preserve">while </w:t>
      </w:r>
      <w:r>
        <w:rPr>
          <w:rFonts w:ascii="Times New Roman" w:hAnsi="Times New Roman" w:cs="Times New Roman"/>
          <w:sz w:val="24"/>
          <w:szCs w:val="24"/>
        </w:rPr>
        <w:t>approximately one-sixth {n =33 (16.3%)}</w:t>
      </w:r>
      <w:r w:rsidR="007C04A0">
        <w:rPr>
          <w:rFonts w:ascii="Times New Roman" w:hAnsi="Times New Roman" w:cs="Times New Roman"/>
          <w:sz w:val="24"/>
          <w:szCs w:val="24"/>
        </w:rPr>
        <w:t xml:space="preserve"> did opine that 18 months was the most </w:t>
      </w:r>
      <w:r w:rsidR="00543D31">
        <w:rPr>
          <w:rFonts w:ascii="Times New Roman" w:hAnsi="Times New Roman" w:cs="Times New Roman"/>
          <w:sz w:val="24"/>
          <w:szCs w:val="24"/>
        </w:rPr>
        <w:t xml:space="preserve">appropriate </w:t>
      </w:r>
      <w:r w:rsidR="007C04A0">
        <w:rPr>
          <w:rFonts w:ascii="Times New Roman" w:hAnsi="Times New Roman" w:cs="Times New Roman"/>
          <w:sz w:val="24"/>
          <w:szCs w:val="24"/>
        </w:rPr>
        <w:t>time for administration of the second dose of measles vaccine (MCV2)</w:t>
      </w:r>
      <w:r w:rsidR="002C0DC9" w:rsidRPr="003A1E0F">
        <w:rPr>
          <w:rFonts w:ascii="Times New Roman" w:hAnsi="Times New Roman" w:cs="Times New Roman"/>
          <w:sz w:val="24"/>
          <w:szCs w:val="24"/>
        </w:rPr>
        <w:t xml:space="preserve">. </w:t>
      </w:r>
      <w:r w:rsidR="00543D31">
        <w:rPr>
          <w:rFonts w:ascii="Times New Roman" w:hAnsi="Times New Roman" w:cs="Times New Roman"/>
          <w:sz w:val="24"/>
          <w:szCs w:val="24"/>
        </w:rPr>
        <w:t xml:space="preserve">However, some {n = 11 (5.45)} </w:t>
      </w:r>
      <w:r w:rsidR="002C0DC9" w:rsidRPr="003A1E0F">
        <w:rPr>
          <w:rFonts w:ascii="Times New Roman" w:hAnsi="Times New Roman" w:cs="Times New Roman"/>
          <w:sz w:val="24"/>
          <w:szCs w:val="24"/>
        </w:rPr>
        <w:t xml:space="preserve">respondents </w:t>
      </w:r>
      <w:r w:rsidR="00543D31">
        <w:rPr>
          <w:rFonts w:ascii="Times New Roman" w:hAnsi="Times New Roman" w:cs="Times New Roman"/>
          <w:sz w:val="24"/>
          <w:szCs w:val="24"/>
        </w:rPr>
        <w:t xml:space="preserve">submitted that had no knowledge concerning the timing of second year of life vaccines. </w:t>
      </w:r>
    </w:p>
    <w:p w14:paraId="692CF291" w14:textId="4C1BE85E" w:rsidR="002C0DC9" w:rsidRDefault="00543D31" w:rsidP="002C0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w:t>
      </w:r>
      <w:r w:rsidR="004160EB">
        <w:rPr>
          <w:rFonts w:ascii="Times New Roman" w:hAnsi="Times New Roman" w:cs="Times New Roman"/>
          <w:sz w:val="24"/>
          <w:szCs w:val="24"/>
        </w:rPr>
        <w:t>interrogation of the purpose of second year of life or booster dose vaccination, about one-</w:t>
      </w:r>
      <w:r w:rsidR="002C0DC9" w:rsidRPr="003A1E0F">
        <w:rPr>
          <w:rFonts w:ascii="Times New Roman" w:hAnsi="Times New Roman" w:cs="Times New Roman"/>
          <w:sz w:val="24"/>
          <w:szCs w:val="24"/>
        </w:rPr>
        <w:t xml:space="preserve">half </w:t>
      </w:r>
      <w:r w:rsidR="000B5290">
        <w:rPr>
          <w:rFonts w:ascii="Times New Roman" w:hAnsi="Times New Roman" w:cs="Times New Roman"/>
          <w:sz w:val="24"/>
          <w:szCs w:val="24"/>
        </w:rPr>
        <w:t>{</w:t>
      </w:r>
      <w:r w:rsidR="004160EB">
        <w:rPr>
          <w:rFonts w:ascii="Times New Roman" w:hAnsi="Times New Roman" w:cs="Times New Roman"/>
          <w:sz w:val="24"/>
          <w:szCs w:val="24"/>
        </w:rPr>
        <w:t xml:space="preserve">n = 104 (51.55)} </w:t>
      </w:r>
      <w:r w:rsidR="002C0DC9" w:rsidRPr="003A1E0F">
        <w:rPr>
          <w:rFonts w:ascii="Times New Roman" w:hAnsi="Times New Roman" w:cs="Times New Roman"/>
          <w:sz w:val="24"/>
          <w:szCs w:val="24"/>
        </w:rPr>
        <w:t xml:space="preserve">of respondents </w:t>
      </w:r>
      <w:r w:rsidR="004160EB">
        <w:rPr>
          <w:rFonts w:ascii="Times New Roman" w:hAnsi="Times New Roman" w:cs="Times New Roman"/>
          <w:sz w:val="24"/>
          <w:szCs w:val="24"/>
        </w:rPr>
        <w:t xml:space="preserve">posit </w:t>
      </w:r>
      <w:proofErr w:type="gramStart"/>
      <w:r w:rsidR="004160EB">
        <w:rPr>
          <w:rFonts w:ascii="Times New Roman" w:hAnsi="Times New Roman" w:cs="Times New Roman"/>
          <w:sz w:val="24"/>
          <w:szCs w:val="24"/>
        </w:rPr>
        <w:t xml:space="preserve">that </w:t>
      </w:r>
      <w:r w:rsidR="002C0DC9" w:rsidRPr="003A1E0F">
        <w:rPr>
          <w:rFonts w:ascii="Times New Roman" w:hAnsi="Times New Roman" w:cs="Times New Roman"/>
          <w:sz w:val="24"/>
          <w:szCs w:val="24"/>
        </w:rPr>
        <w:t xml:space="preserve"> boosters</w:t>
      </w:r>
      <w:proofErr w:type="gramEnd"/>
      <w:r w:rsidR="002C0DC9" w:rsidRPr="003A1E0F">
        <w:rPr>
          <w:rFonts w:ascii="Times New Roman" w:hAnsi="Times New Roman" w:cs="Times New Roman"/>
          <w:sz w:val="24"/>
          <w:szCs w:val="24"/>
        </w:rPr>
        <w:t xml:space="preserve"> are meant to </w:t>
      </w:r>
      <w:r w:rsidR="004160EB">
        <w:rPr>
          <w:rFonts w:ascii="Times New Roman" w:hAnsi="Times New Roman" w:cs="Times New Roman"/>
          <w:sz w:val="24"/>
          <w:szCs w:val="24"/>
        </w:rPr>
        <w:t>shore up the child’s level of immunity, while o</w:t>
      </w:r>
      <w:r w:rsidR="002C0DC9" w:rsidRPr="003A1E0F">
        <w:rPr>
          <w:rFonts w:ascii="Times New Roman" w:hAnsi="Times New Roman" w:cs="Times New Roman"/>
          <w:sz w:val="24"/>
          <w:szCs w:val="24"/>
        </w:rPr>
        <w:t xml:space="preserve">thers </w:t>
      </w:r>
      <w:r w:rsidR="004160EB">
        <w:rPr>
          <w:rFonts w:ascii="Times New Roman" w:hAnsi="Times New Roman" w:cs="Times New Roman"/>
          <w:sz w:val="24"/>
          <w:szCs w:val="24"/>
        </w:rPr>
        <w:t>{n = 79 (</w:t>
      </w:r>
      <w:r w:rsidR="00935190">
        <w:rPr>
          <w:rFonts w:ascii="Times New Roman" w:hAnsi="Times New Roman" w:cs="Times New Roman"/>
          <w:sz w:val="24"/>
          <w:szCs w:val="24"/>
        </w:rPr>
        <w:t xml:space="preserve">39.1%)} believed vaccine booster doses were essentially administered to </w:t>
      </w:r>
      <w:r w:rsidR="002C0DC9" w:rsidRPr="003A1E0F">
        <w:rPr>
          <w:rFonts w:ascii="Times New Roman" w:hAnsi="Times New Roman" w:cs="Times New Roman"/>
          <w:sz w:val="24"/>
          <w:szCs w:val="24"/>
        </w:rPr>
        <w:t xml:space="preserve">prevent new infections </w:t>
      </w:r>
      <w:r w:rsidR="00935190">
        <w:rPr>
          <w:rFonts w:ascii="Times New Roman" w:hAnsi="Times New Roman" w:cs="Times New Roman"/>
          <w:sz w:val="24"/>
          <w:szCs w:val="24"/>
        </w:rPr>
        <w:t xml:space="preserve">of the attendant disease. However, an infinitesimal </w:t>
      </w:r>
      <w:r w:rsidR="002C0DC9" w:rsidRPr="003A1E0F">
        <w:rPr>
          <w:rFonts w:ascii="Times New Roman" w:hAnsi="Times New Roman" w:cs="Times New Roman"/>
          <w:sz w:val="24"/>
          <w:szCs w:val="24"/>
        </w:rPr>
        <w:t xml:space="preserve">proportion </w:t>
      </w:r>
      <w:r w:rsidR="00935190">
        <w:rPr>
          <w:rFonts w:ascii="Times New Roman" w:hAnsi="Times New Roman" w:cs="Times New Roman"/>
          <w:sz w:val="24"/>
          <w:szCs w:val="24"/>
        </w:rPr>
        <w:t xml:space="preserve">of respondents {n =1 (0.5%)} did aver that vaccine booster doses facilitated </w:t>
      </w:r>
      <w:r w:rsidR="002C0DC9" w:rsidRPr="003A1E0F">
        <w:rPr>
          <w:rFonts w:ascii="Times New Roman" w:hAnsi="Times New Roman" w:cs="Times New Roman"/>
          <w:sz w:val="24"/>
          <w:szCs w:val="24"/>
        </w:rPr>
        <w:t xml:space="preserve">cure </w:t>
      </w:r>
      <w:r w:rsidR="00935190">
        <w:rPr>
          <w:rFonts w:ascii="Times New Roman" w:hAnsi="Times New Roman" w:cs="Times New Roman"/>
          <w:sz w:val="24"/>
          <w:szCs w:val="24"/>
        </w:rPr>
        <w:t xml:space="preserve">of diseases </w:t>
      </w:r>
      <w:r w:rsidR="002C0DC9" w:rsidRPr="003A1E0F">
        <w:rPr>
          <w:rFonts w:ascii="Times New Roman" w:hAnsi="Times New Roman" w:cs="Times New Roman"/>
          <w:sz w:val="24"/>
          <w:szCs w:val="24"/>
        </w:rPr>
        <w:t xml:space="preserve">while some </w:t>
      </w:r>
      <w:r w:rsidR="00935190">
        <w:rPr>
          <w:rFonts w:ascii="Times New Roman" w:hAnsi="Times New Roman" w:cs="Times New Roman"/>
          <w:sz w:val="24"/>
          <w:szCs w:val="24"/>
        </w:rPr>
        <w:t>respondents {n =18 (8.9%)} lacked any knowledge of the purpose of vaccine booster doses</w:t>
      </w:r>
      <w:r w:rsidR="002C0DC9" w:rsidRPr="003A1E0F">
        <w:rPr>
          <w:rFonts w:ascii="Times New Roman" w:hAnsi="Times New Roman" w:cs="Times New Roman"/>
          <w:sz w:val="24"/>
          <w:szCs w:val="24"/>
        </w:rPr>
        <w:t xml:space="preserve">. </w:t>
      </w:r>
      <w:r w:rsidR="002C0DC9">
        <w:rPr>
          <w:rFonts w:ascii="Times New Roman" w:hAnsi="Times New Roman" w:cs="Times New Roman"/>
          <w:sz w:val="24"/>
          <w:szCs w:val="24"/>
        </w:rPr>
        <w:t>See table 2.</w:t>
      </w:r>
    </w:p>
    <w:p w14:paraId="13ACAF5F" w14:textId="11A11C43" w:rsidR="002C0DC9" w:rsidRPr="003A1E0F" w:rsidRDefault="002C0DC9" w:rsidP="002C0DC9">
      <w:pPr>
        <w:spacing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Table 2: Awareness </w:t>
      </w:r>
      <w:r>
        <w:rPr>
          <w:rFonts w:ascii="Times New Roman" w:hAnsi="Times New Roman" w:cs="Times New Roman"/>
          <w:sz w:val="24"/>
          <w:szCs w:val="24"/>
        </w:rPr>
        <w:t xml:space="preserve">and knowledge </w:t>
      </w:r>
      <w:r w:rsidRPr="003A1E0F">
        <w:rPr>
          <w:rFonts w:ascii="Times New Roman" w:hAnsi="Times New Roman" w:cs="Times New Roman"/>
          <w:sz w:val="24"/>
          <w:szCs w:val="24"/>
        </w:rPr>
        <w:t>of Se</w:t>
      </w:r>
      <w:r>
        <w:rPr>
          <w:rFonts w:ascii="Times New Roman" w:hAnsi="Times New Roman" w:cs="Times New Roman"/>
          <w:sz w:val="24"/>
          <w:szCs w:val="24"/>
        </w:rPr>
        <w:t xml:space="preserve">cond </w:t>
      </w:r>
      <w:r w:rsidR="00E3477C">
        <w:rPr>
          <w:rFonts w:ascii="Times New Roman" w:hAnsi="Times New Roman" w:cs="Times New Roman"/>
          <w:sz w:val="24"/>
          <w:szCs w:val="24"/>
        </w:rPr>
        <w:t xml:space="preserve">Year of Life Immunization </w:t>
      </w:r>
      <w:r>
        <w:rPr>
          <w:rFonts w:ascii="Times New Roman" w:hAnsi="Times New Roman" w:cs="Times New Roman"/>
          <w:sz w:val="24"/>
          <w:szCs w:val="24"/>
        </w:rPr>
        <w:t>(</w:t>
      </w:r>
      <w:r w:rsidRPr="003A1E0F">
        <w:rPr>
          <w:rFonts w:ascii="Times New Roman" w:hAnsi="Times New Roman" w:cs="Times New Roman"/>
          <w:sz w:val="24"/>
          <w:szCs w:val="24"/>
        </w:rPr>
        <w:t>n=399</w:t>
      </w:r>
      <w:r>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1735"/>
        <w:gridCol w:w="1933"/>
      </w:tblGrid>
      <w:tr w:rsidR="002C0DC9" w:rsidRPr="003A1E0F" w14:paraId="39E5BEBF" w14:textId="77777777" w:rsidTr="00E01DCE">
        <w:trPr>
          <w:trHeight w:val="296"/>
        </w:trPr>
        <w:tc>
          <w:tcPr>
            <w:tcW w:w="5348" w:type="dxa"/>
            <w:tcBorders>
              <w:top w:val="single" w:sz="4" w:space="0" w:color="auto"/>
              <w:bottom w:val="single" w:sz="4" w:space="0" w:color="auto"/>
            </w:tcBorders>
          </w:tcPr>
          <w:p w14:paraId="62D07BA5"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Variables </w:t>
            </w:r>
          </w:p>
        </w:tc>
        <w:tc>
          <w:tcPr>
            <w:tcW w:w="1735" w:type="dxa"/>
            <w:tcBorders>
              <w:top w:val="single" w:sz="4" w:space="0" w:color="auto"/>
              <w:bottom w:val="single" w:sz="4" w:space="0" w:color="auto"/>
            </w:tcBorders>
          </w:tcPr>
          <w:p w14:paraId="73244241"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Frequency </w:t>
            </w:r>
          </w:p>
        </w:tc>
        <w:tc>
          <w:tcPr>
            <w:tcW w:w="1933" w:type="dxa"/>
            <w:tcBorders>
              <w:top w:val="single" w:sz="4" w:space="0" w:color="auto"/>
              <w:bottom w:val="single" w:sz="4" w:space="0" w:color="auto"/>
            </w:tcBorders>
          </w:tcPr>
          <w:p w14:paraId="510EA53C"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 xml:space="preserve">Percentage </w:t>
            </w:r>
          </w:p>
        </w:tc>
      </w:tr>
      <w:tr w:rsidR="002C0DC9" w:rsidRPr="003A1E0F" w14:paraId="1B97A411" w14:textId="77777777" w:rsidTr="00E01DCE">
        <w:trPr>
          <w:trHeight w:val="296"/>
        </w:trPr>
        <w:tc>
          <w:tcPr>
            <w:tcW w:w="5348" w:type="dxa"/>
            <w:tcBorders>
              <w:top w:val="single" w:sz="4" w:space="0" w:color="auto"/>
            </w:tcBorders>
          </w:tcPr>
          <w:p w14:paraId="3DD377F5"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Are you aware that a child requires immunization in the second year of life (12–24 months)?</w:t>
            </w:r>
          </w:p>
        </w:tc>
        <w:tc>
          <w:tcPr>
            <w:tcW w:w="1735" w:type="dxa"/>
            <w:tcBorders>
              <w:top w:val="single" w:sz="4" w:space="0" w:color="auto"/>
            </w:tcBorders>
          </w:tcPr>
          <w:p w14:paraId="74ADD249" w14:textId="77777777" w:rsidR="002C0DC9" w:rsidRPr="003A1E0F" w:rsidRDefault="002C0DC9" w:rsidP="002C0DC9">
            <w:pPr>
              <w:spacing w:after="0" w:line="360" w:lineRule="auto"/>
              <w:jc w:val="both"/>
              <w:rPr>
                <w:rFonts w:ascii="Times New Roman" w:hAnsi="Times New Roman" w:cs="Times New Roman"/>
                <w:sz w:val="24"/>
                <w:szCs w:val="24"/>
              </w:rPr>
            </w:pPr>
          </w:p>
        </w:tc>
        <w:tc>
          <w:tcPr>
            <w:tcW w:w="1933" w:type="dxa"/>
            <w:tcBorders>
              <w:top w:val="single" w:sz="4" w:space="0" w:color="auto"/>
            </w:tcBorders>
          </w:tcPr>
          <w:p w14:paraId="4B692405" w14:textId="77777777" w:rsidR="002C0DC9" w:rsidRPr="003A1E0F" w:rsidRDefault="002C0DC9" w:rsidP="002C0DC9">
            <w:pPr>
              <w:spacing w:after="0" w:line="360" w:lineRule="auto"/>
              <w:jc w:val="both"/>
              <w:rPr>
                <w:rFonts w:ascii="Times New Roman" w:hAnsi="Times New Roman" w:cs="Times New Roman"/>
                <w:sz w:val="24"/>
                <w:szCs w:val="24"/>
              </w:rPr>
            </w:pPr>
          </w:p>
        </w:tc>
      </w:tr>
      <w:tr w:rsidR="002C0DC9" w:rsidRPr="003A1E0F" w14:paraId="269BFDA0" w14:textId="77777777" w:rsidTr="00E01DCE">
        <w:trPr>
          <w:trHeight w:val="70"/>
        </w:trPr>
        <w:tc>
          <w:tcPr>
            <w:tcW w:w="5348" w:type="dxa"/>
          </w:tcPr>
          <w:p w14:paraId="237DE842"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735" w:type="dxa"/>
          </w:tcPr>
          <w:p w14:paraId="3043FBC7"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197</w:t>
            </w:r>
          </w:p>
        </w:tc>
        <w:tc>
          <w:tcPr>
            <w:tcW w:w="1933" w:type="dxa"/>
          </w:tcPr>
          <w:p w14:paraId="3B1EC5EE"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49.4</w:t>
            </w:r>
          </w:p>
        </w:tc>
      </w:tr>
      <w:tr w:rsidR="002C0DC9" w:rsidRPr="003A1E0F" w14:paraId="4BE9D4F5" w14:textId="77777777" w:rsidTr="00E01DCE">
        <w:trPr>
          <w:trHeight w:val="70"/>
        </w:trPr>
        <w:tc>
          <w:tcPr>
            <w:tcW w:w="5348" w:type="dxa"/>
          </w:tcPr>
          <w:p w14:paraId="495DA583"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735" w:type="dxa"/>
          </w:tcPr>
          <w:p w14:paraId="28A369E2"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202</w:t>
            </w:r>
          </w:p>
        </w:tc>
        <w:tc>
          <w:tcPr>
            <w:tcW w:w="1933" w:type="dxa"/>
          </w:tcPr>
          <w:p w14:paraId="2021CE08"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50.6</w:t>
            </w:r>
          </w:p>
        </w:tc>
      </w:tr>
      <w:tr w:rsidR="002C0DC9" w:rsidRPr="003A1E0F" w14:paraId="104679BD" w14:textId="77777777" w:rsidTr="00E01DCE">
        <w:trPr>
          <w:trHeight w:val="467"/>
        </w:trPr>
        <w:tc>
          <w:tcPr>
            <w:tcW w:w="5348" w:type="dxa"/>
          </w:tcPr>
          <w:p w14:paraId="649BA2DA"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Which vaccines are typically given during the second year of life? (Select all that apply) n=202</w:t>
            </w:r>
          </w:p>
        </w:tc>
        <w:tc>
          <w:tcPr>
            <w:tcW w:w="1735" w:type="dxa"/>
          </w:tcPr>
          <w:p w14:paraId="41C37BF5" w14:textId="77777777" w:rsidR="002C0DC9" w:rsidRPr="003A1E0F" w:rsidRDefault="002C0DC9" w:rsidP="002C0DC9">
            <w:pPr>
              <w:spacing w:after="0" w:line="360" w:lineRule="auto"/>
              <w:jc w:val="both"/>
              <w:rPr>
                <w:rFonts w:ascii="Times New Roman" w:hAnsi="Times New Roman" w:cs="Times New Roman"/>
                <w:sz w:val="24"/>
                <w:szCs w:val="24"/>
              </w:rPr>
            </w:pPr>
          </w:p>
        </w:tc>
        <w:tc>
          <w:tcPr>
            <w:tcW w:w="1933" w:type="dxa"/>
          </w:tcPr>
          <w:p w14:paraId="03773C07" w14:textId="77777777" w:rsidR="002C0DC9" w:rsidRPr="003A1E0F" w:rsidRDefault="002C0DC9" w:rsidP="002C0DC9">
            <w:pPr>
              <w:spacing w:after="0" w:line="360" w:lineRule="auto"/>
              <w:jc w:val="both"/>
              <w:rPr>
                <w:rFonts w:ascii="Times New Roman" w:hAnsi="Times New Roman" w:cs="Times New Roman"/>
                <w:sz w:val="24"/>
                <w:szCs w:val="24"/>
              </w:rPr>
            </w:pPr>
          </w:p>
        </w:tc>
      </w:tr>
      <w:tr w:rsidR="002C0DC9" w:rsidRPr="003A1E0F" w14:paraId="76183B9D" w14:textId="77777777" w:rsidTr="00E01DCE">
        <w:trPr>
          <w:trHeight w:val="70"/>
        </w:trPr>
        <w:tc>
          <w:tcPr>
            <w:tcW w:w="5348" w:type="dxa"/>
          </w:tcPr>
          <w:p w14:paraId="7AB90D0A" w14:textId="77777777" w:rsidR="002C0DC9" w:rsidRPr="00845790" w:rsidRDefault="002C0DC9" w:rsidP="002C0DC9">
            <w:pPr>
              <w:spacing w:after="0" w:line="360" w:lineRule="auto"/>
              <w:jc w:val="both"/>
              <w:rPr>
                <w:rFonts w:ascii="Times New Roman" w:hAnsi="Times New Roman" w:cs="Times New Roman"/>
                <w:sz w:val="24"/>
                <w:szCs w:val="24"/>
              </w:rPr>
            </w:pPr>
            <w:r w:rsidRPr="00845790">
              <w:rPr>
                <w:rFonts w:ascii="Times New Roman" w:hAnsi="Times New Roman" w:cs="Times New Roman"/>
                <w:bCs/>
                <w:sz w:val="24"/>
                <w:szCs w:val="24"/>
              </w:rPr>
              <w:t>Measles second dose (MCV2)</w:t>
            </w:r>
          </w:p>
        </w:tc>
        <w:tc>
          <w:tcPr>
            <w:tcW w:w="1735" w:type="dxa"/>
          </w:tcPr>
          <w:p w14:paraId="2836407B"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109</w:t>
            </w:r>
          </w:p>
        </w:tc>
        <w:tc>
          <w:tcPr>
            <w:tcW w:w="1933" w:type="dxa"/>
          </w:tcPr>
          <w:p w14:paraId="44546E4C"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54.0</w:t>
            </w:r>
          </w:p>
        </w:tc>
      </w:tr>
      <w:tr w:rsidR="002C0DC9" w:rsidRPr="003A1E0F" w14:paraId="776BB1B2" w14:textId="77777777" w:rsidTr="00E01DCE">
        <w:trPr>
          <w:trHeight w:val="70"/>
        </w:trPr>
        <w:tc>
          <w:tcPr>
            <w:tcW w:w="5348" w:type="dxa"/>
          </w:tcPr>
          <w:p w14:paraId="1AB3E65B" w14:textId="77777777" w:rsidR="002C0DC9" w:rsidRPr="00845790" w:rsidRDefault="002C0DC9" w:rsidP="002C0DC9">
            <w:pPr>
              <w:spacing w:after="0" w:line="360" w:lineRule="auto"/>
              <w:jc w:val="both"/>
              <w:rPr>
                <w:rFonts w:ascii="Times New Roman" w:hAnsi="Times New Roman" w:cs="Times New Roman"/>
                <w:sz w:val="24"/>
                <w:szCs w:val="24"/>
              </w:rPr>
            </w:pPr>
            <w:r w:rsidRPr="00845790">
              <w:rPr>
                <w:rFonts w:ascii="Times New Roman" w:hAnsi="Times New Roman" w:cs="Times New Roman"/>
                <w:bCs/>
                <w:sz w:val="24"/>
                <w:szCs w:val="24"/>
              </w:rPr>
              <w:t>Vitamin A supplementation</w:t>
            </w:r>
          </w:p>
        </w:tc>
        <w:tc>
          <w:tcPr>
            <w:tcW w:w="1735" w:type="dxa"/>
          </w:tcPr>
          <w:p w14:paraId="0298EF54"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123</w:t>
            </w:r>
          </w:p>
        </w:tc>
        <w:tc>
          <w:tcPr>
            <w:tcW w:w="1933" w:type="dxa"/>
          </w:tcPr>
          <w:p w14:paraId="40221AD2"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60.9</w:t>
            </w:r>
          </w:p>
        </w:tc>
      </w:tr>
      <w:tr w:rsidR="002C0DC9" w:rsidRPr="003A1E0F" w14:paraId="2C1737E1" w14:textId="77777777" w:rsidTr="00E01DCE">
        <w:trPr>
          <w:trHeight w:val="70"/>
        </w:trPr>
        <w:tc>
          <w:tcPr>
            <w:tcW w:w="5348" w:type="dxa"/>
          </w:tcPr>
          <w:p w14:paraId="798CEE79" w14:textId="77777777" w:rsidR="002C0DC9" w:rsidRPr="00845790" w:rsidRDefault="002C0DC9" w:rsidP="002C0DC9">
            <w:pPr>
              <w:spacing w:after="0" w:line="360" w:lineRule="auto"/>
              <w:jc w:val="both"/>
              <w:rPr>
                <w:rFonts w:ascii="Times New Roman" w:hAnsi="Times New Roman" w:cs="Times New Roman"/>
                <w:sz w:val="24"/>
                <w:szCs w:val="24"/>
              </w:rPr>
            </w:pPr>
            <w:r w:rsidRPr="00845790">
              <w:rPr>
                <w:rFonts w:ascii="Times New Roman" w:hAnsi="Times New Roman" w:cs="Times New Roman"/>
                <w:bCs/>
                <w:sz w:val="24"/>
                <w:szCs w:val="24"/>
              </w:rPr>
              <w:t>Booster doses (</w:t>
            </w:r>
            <w:proofErr w:type="spellStart"/>
            <w:r w:rsidRPr="00845790">
              <w:rPr>
                <w:rFonts w:ascii="Times New Roman" w:hAnsi="Times New Roman" w:cs="Times New Roman"/>
                <w:bCs/>
                <w:sz w:val="24"/>
                <w:szCs w:val="24"/>
              </w:rPr>
              <w:t>Pentavalent</w:t>
            </w:r>
            <w:proofErr w:type="spellEnd"/>
            <w:r w:rsidRPr="00845790">
              <w:rPr>
                <w:rFonts w:ascii="Times New Roman" w:hAnsi="Times New Roman" w:cs="Times New Roman"/>
                <w:bCs/>
                <w:sz w:val="24"/>
                <w:szCs w:val="24"/>
              </w:rPr>
              <w:t xml:space="preserve"> vaccine, Polio)</w:t>
            </w:r>
          </w:p>
        </w:tc>
        <w:tc>
          <w:tcPr>
            <w:tcW w:w="1735" w:type="dxa"/>
          </w:tcPr>
          <w:p w14:paraId="2EA59F0E"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w:t>
            </w:r>
          </w:p>
        </w:tc>
        <w:tc>
          <w:tcPr>
            <w:tcW w:w="1933" w:type="dxa"/>
          </w:tcPr>
          <w:p w14:paraId="22D3A2BF"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1.5</w:t>
            </w:r>
          </w:p>
        </w:tc>
      </w:tr>
      <w:tr w:rsidR="002C0DC9" w:rsidRPr="003A1E0F" w14:paraId="02C8855F" w14:textId="77777777" w:rsidTr="00E01DCE">
        <w:trPr>
          <w:trHeight w:val="70"/>
        </w:trPr>
        <w:tc>
          <w:tcPr>
            <w:tcW w:w="5348" w:type="dxa"/>
          </w:tcPr>
          <w:p w14:paraId="11C778F3" w14:textId="77777777" w:rsidR="002C0DC9" w:rsidRPr="00845790" w:rsidRDefault="002C0DC9" w:rsidP="002C0DC9">
            <w:pPr>
              <w:spacing w:after="0" w:line="360" w:lineRule="auto"/>
              <w:jc w:val="both"/>
              <w:rPr>
                <w:rFonts w:ascii="Times New Roman" w:hAnsi="Times New Roman" w:cs="Times New Roman"/>
                <w:sz w:val="24"/>
                <w:szCs w:val="24"/>
              </w:rPr>
            </w:pPr>
            <w:r w:rsidRPr="00845790">
              <w:rPr>
                <w:rFonts w:ascii="Times New Roman" w:hAnsi="Times New Roman" w:cs="Times New Roman"/>
                <w:bCs/>
                <w:sz w:val="24"/>
                <w:szCs w:val="24"/>
              </w:rPr>
              <w:t>Typhoid</w:t>
            </w:r>
          </w:p>
        </w:tc>
        <w:tc>
          <w:tcPr>
            <w:tcW w:w="1735" w:type="dxa"/>
          </w:tcPr>
          <w:p w14:paraId="2C77BD53"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w:t>
            </w:r>
          </w:p>
        </w:tc>
        <w:tc>
          <w:tcPr>
            <w:tcW w:w="1933" w:type="dxa"/>
          </w:tcPr>
          <w:p w14:paraId="08A6D1BA"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w:t>
            </w:r>
          </w:p>
        </w:tc>
      </w:tr>
      <w:tr w:rsidR="002C0DC9" w:rsidRPr="003A1E0F" w14:paraId="1317DFFE" w14:textId="77777777" w:rsidTr="00E01DCE">
        <w:trPr>
          <w:trHeight w:val="70"/>
        </w:trPr>
        <w:tc>
          <w:tcPr>
            <w:tcW w:w="5348" w:type="dxa"/>
          </w:tcPr>
          <w:p w14:paraId="61B134D9" w14:textId="77777777" w:rsidR="002C0DC9" w:rsidRPr="00845790" w:rsidRDefault="002C0DC9" w:rsidP="002C0DC9">
            <w:pPr>
              <w:spacing w:after="0" w:line="360" w:lineRule="auto"/>
              <w:jc w:val="both"/>
              <w:rPr>
                <w:rFonts w:ascii="Times New Roman" w:hAnsi="Times New Roman" w:cs="Times New Roman"/>
                <w:sz w:val="24"/>
                <w:szCs w:val="24"/>
              </w:rPr>
            </w:pPr>
            <w:r w:rsidRPr="00845790">
              <w:rPr>
                <w:rFonts w:ascii="Times New Roman" w:hAnsi="Times New Roman" w:cs="Times New Roman"/>
                <w:bCs/>
                <w:sz w:val="24"/>
                <w:szCs w:val="24"/>
              </w:rPr>
              <w:t>Don’t know</w:t>
            </w:r>
          </w:p>
        </w:tc>
        <w:tc>
          <w:tcPr>
            <w:tcW w:w="1735" w:type="dxa"/>
          </w:tcPr>
          <w:p w14:paraId="66455088"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22</w:t>
            </w:r>
          </w:p>
        </w:tc>
        <w:tc>
          <w:tcPr>
            <w:tcW w:w="1933" w:type="dxa"/>
          </w:tcPr>
          <w:p w14:paraId="0C2F713D"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10.9</w:t>
            </w:r>
          </w:p>
        </w:tc>
      </w:tr>
      <w:tr w:rsidR="002C0DC9" w:rsidRPr="003A1E0F" w14:paraId="66BF63E4" w14:textId="77777777" w:rsidTr="00E01DCE">
        <w:trPr>
          <w:trHeight w:val="278"/>
        </w:trPr>
        <w:tc>
          <w:tcPr>
            <w:tcW w:w="5348" w:type="dxa"/>
          </w:tcPr>
          <w:p w14:paraId="15F8DAE8"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At what age should the second dose of measles vaccine be given?</w:t>
            </w:r>
          </w:p>
        </w:tc>
        <w:tc>
          <w:tcPr>
            <w:tcW w:w="1735" w:type="dxa"/>
          </w:tcPr>
          <w:p w14:paraId="06F2C2A3" w14:textId="77777777" w:rsidR="002C0DC9" w:rsidRPr="003A1E0F" w:rsidRDefault="002C0DC9" w:rsidP="002C0DC9">
            <w:pPr>
              <w:spacing w:after="0" w:line="360" w:lineRule="auto"/>
              <w:jc w:val="both"/>
              <w:rPr>
                <w:rFonts w:ascii="Times New Roman" w:hAnsi="Times New Roman" w:cs="Times New Roman"/>
                <w:sz w:val="24"/>
                <w:szCs w:val="24"/>
              </w:rPr>
            </w:pPr>
          </w:p>
        </w:tc>
        <w:tc>
          <w:tcPr>
            <w:tcW w:w="1933" w:type="dxa"/>
          </w:tcPr>
          <w:p w14:paraId="2A219E37" w14:textId="77777777" w:rsidR="002C0DC9" w:rsidRPr="003A1E0F" w:rsidRDefault="002C0DC9" w:rsidP="002C0DC9">
            <w:pPr>
              <w:spacing w:after="0" w:line="360" w:lineRule="auto"/>
              <w:jc w:val="both"/>
              <w:rPr>
                <w:rFonts w:ascii="Times New Roman" w:hAnsi="Times New Roman" w:cs="Times New Roman"/>
                <w:sz w:val="24"/>
                <w:szCs w:val="24"/>
              </w:rPr>
            </w:pPr>
          </w:p>
        </w:tc>
      </w:tr>
      <w:tr w:rsidR="002C0DC9" w:rsidRPr="003A1E0F" w14:paraId="6C266F78" w14:textId="77777777" w:rsidTr="00E01DCE">
        <w:trPr>
          <w:trHeight w:val="70"/>
        </w:trPr>
        <w:tc>
          <w:tcPr>
            <w:tcW w:w="5348" w:type="dxa"/>
          </w:tcPr>
          <w:p w14:paraId="57681FB5"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12–15 months</w:t>
            </w:r>
          </w:p>
        </w:tc>
        <w:tc>
          <w:tcPr>
            <w:tcW w:w="1735" w:type="dxa"/>
          </w:tcPr>
          <w:p w14:paraId="50954296"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158</w:t>
            </w:r>
          </w:p>
        </w:tc>
        <w:tc>
          <w:tcPr>
            <w:tcW w:w="1933" w:type="dxa"/>
          </w:tcPr>
          <w:p w14:paraId="09285A8C"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78.2</w:t>
            </w:r>
          </w:p>
        </w:tc>
      </w:tr>
      <w:tr w:rsidR="002C0DC9" w:rsidRPr="003A1E0F" w14:paraId="5D157F72" w14:textId="77777777" w:rsidTr="00E01DCE">
        <w:trPr>
          <w:trHeight w:val="70"/>
        </w:trPr>
        <w:tc>
          <w:tcPr>
            <w:tcW w:w="5348" w:type="dxa"/>
          </w:tcPr>
          <w:p w14:paraId="198F3ACB"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18 months</w:t>
            </w:r>
          </w:p>
        </w:tc>
        <w:tc>
          <w:tcPr>
            <w:tcW w:w="1735" w:type="dxa"/>
          </w:tcPr>
          <w:p w14:paraId="26CF3C50"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33</w:t>
            </w:r>
          </w:p>
        </w:tc>
        <w:tc>
          <w:tcPr>
            <w:tcW w:w="1933" w:type="dxa"/>
          </w:tcPr>
          <w:p w14:paraId="7749963C"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16.3</w:t>
            </w:r>
          </w:p>
        </w:tc>
      </w:tr>
      <w:tr w:rsidR="002C0DC9" w:rsidRPr="003A1E0F" w14:paraId="77F58DDF" w14:textId="77777777" w:rsidTr="00E01DCE">
        <w:trPr>
          <w:trHeight w:val="70"/>
        </w:trPr>
        <w:tc>
          <w:tcPr>
            <w:tcW w:w="5348" w:type="dxa"/>
          </w:tcPr>
          <w:p w14:paraId="1CC717CD"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lastRenderedPageBreak/>
              <w:t>Don’t know</w:t>
            </w:r>
          </w:p>
        </w:tc>
        <w:tc>
          <w:tcPr>
            <w:tcW w:w="1735" w:type="dxa"/>
          </w:tcPr>
          <w:p w14:paraId="1CE8CFB8"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11</w:t>
            </w:r>
          </w:p>
        </w:tc>
        <w:tc>
          <w:tcPr>
            <w:tcW w:w="1933" w:type="dxa"/>
          </w:tcPr>
          <w:p w14:paraId="2A757AD2"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5.4</w:t>
            </w:r>
          </w:p>
        </w:tc>
      </w:tr>
      <w:tr w:rsidR="002C0DC9" w:rsidRPr="003A1E0F" w14:paraId="4F3521F0" w14:textId="77777777" w:rsidTr="00E01DCE">
        <w:trPr>
          <w:trHeight w:val="125"/>
        </w:trPr>
        <w:tc>
          <w:tcPr>
            <w:tcW w:w="5348" w:type="dxa"/>
          </w:tcPr>
          <w:p w14:paraId="22509E12" w14:textId="77777777" w:rsidR="002C0DC9" w:rsidRPr="003A1E0F" w:rsidRDefault="002C0DC9" w:rsidP="002C0DC9">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What is the purpose of booster doses?</w:t>
            </w:r>
          </w:p>
        </w:tc>
        <w:tc>
          <w:tcPr>
            <w:tcW w:w="1735" w:type="dxa"/>
          </w:tcPr>
          <w:p w14:paraId="09CCEE56" w14:textId="77777777" w:rsidR="002C0DC9" w:rsidRPr="003A1E0F" w:rsidRDefault="002C0DC9" w:rsidP="002C0DC9">
            <w:pPr>
              <w:spacing w:after="0" w:line="360" w:lineRule="auto"/>
              <w:jc w:val="both"/>
              <w:rPr>
                <w:rFonts w:ascii="Times New Roman" w:hAnsi="Times New Roman" w:cs="Times New Roman"/>
                <w:sz w:val="24"/>
                <w:szCs w:val="24"/>
              </w:rPr>
            </w:pPr>
          </w:p>
        </w:tc>
        <w:tc>
          <w:tcPr>
            <w:tcW w:w="1933" w:type="dxa"/>
          </w:tcPr>
          <w:p w14:paraId="15E00BE6" w14:textId="77777777" w:rsidR="002C0DC9" w:rsidRPr="003A1E0F" w:rsidRDefault="002C0DC9" w:rsidP="002C0DC9">
            <w:pPr>
              <w:spacing w:after="0" w:line="360" w:lineRule="auto"/>
              <w:jc w:val="both"/>
              <w:rPr>
                <w:rFonts w:ascii="Times New Roman" w:hAnsi="Times New Roman" w:cs="Times New Roman"/>
                <w:sz w:val="24"/>
                <w:szCs w:val="24"/>
              </w:rPr>
            </w:pPr>
          </w:p>
        </w:tc>
      </w:tr>
      <w:tr w:rsidR="002C0DC9" w:rsidRPr="003A1E0F" w14:paraId="67C9FB60" w14:textId="77777777" w:rsidTr="00E01DCE">
        <w:trPr>
          <w:trHeight w:val="70"/>
        </w:trPr>
        <w:tc>
          <w:tcPr>
            <w:tcW w:w="5348" w:type="dxa"/>
          </w:tcPr>
          <w:p w14:paraId="4463D48C"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Cure diseases</w:t>
            </w:r>
          </w:p>
        </w:tc>
        <w:tc>
          <w:tcPr>
            <w:tcW w:w="1735" w:type="dxa"/>
          </w:tcPr>
          <w:p w14:paraId="44DDC8F7"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w:t>
            </w:r>
          </w:p>
        </w:tc>
        <w:tc>
          <w:tcPr>
            <w:tcW w:w="1933" w:type="dxa"/>
          </w:tcPr>
          <w:p w14:paraId="0B7377DC"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w:t>
            </w:r>
          </w:p>
        </w:tc>
      </w:tr>
      <w:tr w:rsidR="002C0DC9" w:rsidRPr="003A1E0F" w14:paraId="6788014A" w14:textId="77777777" w:rsidTr="00E01DCE">
        <w:trPr>
          <w:trHeight w:val="70"/>
        </w:trPr>
        <w:tc>
          <w:tcPr>
            <w:tcW w:w="5348" w:type="dxa"/>
          </w:tcPr>
          <w:p w14:paraId="4ABD8484"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Strengthen previous immunity</w:t>
            </w:r>
          </w:p>
        </w:tc>
        <w:tc>
          <w:tcPr>
            <w:tcW w:w="1735" w:type="dxa"/>
          </w:tcPr>
          <w:p w14:paraId="63919258"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104</w:t>
            </w:r>
          </w:p>
        </w:tc>
        <w:tc>
          <w:tcPr>
            <w:tcW w:w="1933" w:type="dxa"/>
          </w:tcPr>
          <w:p w14:paraId="62A8245D"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51.5</w:t>
            </w:r>
          </w:p>
        </w:tc>
      </w:tr>
      <w:tr w:rsidR="002C0DC9" w:rsidRPr="003A1E0F" w14:paraId="277C11F7" w14:textId="77777777" w:rsidTr="00E01DCE">
        <w:trPr>
          <w:trHeight w:val="70"/>
        </w:trPr>
        <w:tc>
          <w:tcPr>
            <w:tcW w:w="5348" w:type="dxa"/>
          </w:tcPr>
          <w:p w14:paraId="67A6573C"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Prevent new infections</w:t>
            </w:r>
          </w:p>
        </w:tc>
        <w:tc>
          <w:tcPr>
            <w:tcW w:w="1735" w:type="dxa"/>
          </w:tcPr>
          <w:p w14:paraId="736D9374"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79</w:t>
            </w:r>
          </w:p>
        </w:tc>
        <w:tc>
          <w:tcPr>
            <w:tcW w:w="1933" w:type="dxa"/>
          </w:tcPr>
          <w:p w14:paraId="4DBEB03E"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39.1</w:t>
            </w:r>
          </w:p>
        </w:tc>
      </w:tr>
      <w:tr w:rsidR="002C0DC9" w:rsidRPr="003A1E0F" w14:paraId="66D76DD0" w14:textId="77777777" w:rsidTr="00E01DCE">
        <w:trPr>
          <w:trHeight w:val="296"/>
        </w:trPr>
        <w:tc>
          <w:tcPr>
            <w:tcW w:w="5348" w:type="dxa"/>
          </w:tcPr>
          <w:p w14:paraId="5DCA0998"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Don’t know</w:t>
            </w:r>
          </w:p>
        </w:tc>
        <w:tc>
          <w:tcPr>
            <w:tcW w:w="1735" w:type="dxa"/>
          </w:tcPr>
          <w:p w14:paraId="2ADEF665"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18</w:t>
            </w:r>
          </w:p>
        </w:tc>
        <w:tc>
          <w:tcPr>
            <w:tcW w:w="1933" w:type="dxa"/>
          </w:tcPr>
          <w:p w14:paraId="469F42EE" w14:textId="77777777" w:rsidR="002C0DC9" w:rsidRPr="003A1E0F" w:rsidRDefault="002C0DC9" w:rsidP="002C0DC9">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8.9</w:t>
            </w:r>
          </w:p>
        </w:tc>
      </w:tr>
    </w:tbl>
    <w:p w14:paraId="05A9FB5A" w14:textId="77777777" w:rsidR="00845790" w:rsidRDefault="00845790" w:rsidP="00E87610">
      <w:pPr>
        <w:spacing w:after="200" w:line="360" w:lineRule="auto"/>
        <w:rPr>
          <w:rFonts w:ascii="Times New Roman" w:eastAsia="Calibri" w:hAnsi="Times New Roman" w:cs="Times New Roman"/>
          <w:b/>
          <w:sz w:val="24"/>
          <w:lang w:val="en-GB"/>
        </w:rPr>
      </w:pPr>
    </w:p>
    <w:p w14:paraId="3F227DF2" w14:textId="2C526B5D" w:rsidR="009A30A1" w:rsidRDefault="009A30A1" w:rsidP="00E87610">
      <w:pPr>
        <w:spacing w:after="200" w:line="360" w:lineRule="auto"/>
        <w:rPr>
          <w:rFonts w:ascii="Times New Roman" w:eastAsia="Calibri" w:hAnsi="Times New Roman" w:cs="Times New Roman"/>
          <w:b/>
          <w:sz w:val="24"/>
          <w:lang w:val="en-GB"/>
        </w:rPr>
      </w:pPr>
      <w:r>
        <w:rPr>
          <w:rFonts w:ascii="Times New Roman" w:eastAsia="Calibri" w:hAnsi="Times New Roman" w:cs="Times New Roman"/>
          <w:b/>
          <w:sz w:val="24"/>
          <w:lang w:val="en-GB"/>
        </w:rPr>
        <w:t xml:space="preserve">Source of knowledge on </w:t>
      </w:r>
      <w:r w:rsidR="007570AE" w:rsidRPr="003A1E0F">
        <w:rPr>
          <w:rFonts w:ascii="Times New Roman" w:hAnsi="Times New Roman" w:cs="Times New Roman"/>
          <w:b/>
          <w:sz w:val="24"/>
          <w:szCs w:val="24"/>
        </w:rPr>
        <w:t>Second-Year-of-Life (2YL)</w:t>
      </w:r>
      <w:r>
        <w:rPr>
          <w:rFonts w:ascii="Times New Roman" w:eastAsia="Calibri" w:hAnsi="Times New Roman" w:cs="Times New Roman"/>
          <w:b/>
          <w:sz w:val="24"/>
          <w:lang w:val="en-GB"/>
        </w:rPr>
        <w:t xml:space="preserve"> immunization</w:t>
      </w:r>
    </w:p>
    <w:p w14:paraId="6EEF2955" w14:textId="3DF547E3" w:rsidR="00382584" w:rsidRPr="003A1E0F" w:rsidRDefault="0095418F" w:rsidP="00935190">
      <w:pPr>
        <w:spacing w:line="360" w:lineRule="auto"/>
        <w:jc w:val="both"/>
        <w:rPr>
          <w:rFonts w:ascii="Times New Roman" w:hAnsi="Times New Roman" w:cs="Times New Roman"/>
          <w:sz w:val="24"/>
          <w:szCs w:val="24"/>
        </w:rPr>
      </w:pPr>
      <w:r>
        <w:rPr>
          <w:rFonts w:ascii="Times New Roman" w:hAnsi="Times New Roman" w:cs="Times New Roman"/>
          <w:sz w:val="24"/>
          <w:szCs w:val="24"/>
        </w:rPr>
        <w:t>Concerning knowledge of second year of life immunization, t</w:t>
      </w:r>
      <w:r w:rsidR="009A30A1" w:rsidRPr="00DF6C55">
        <w:rPr>
          <w:rFonts w:ascii="Times New Roman" w:hAnsi="Times New Roman" w:cs="Times New Roman"/>
          <w:sz w:val="24"/>
          <w:szCs w:val="24"/>
        </w:rPr>
        <w:t xml:space="preserve">he leading source </w:t>
      </w:r>
      <w:r>
        <w:rPr>
          <w:rFonts w:ascii="Times New Roman" w:hAnsi="Times New Roman" w:cs="Times New Roman"/>
          <w:sz w:val="24"/>
          <w:szCs w:val="24"/>
        </w:rPr>
        <w:t xml:space="preserve">of knowledge reported by the respondents were health workers {n = </w:t>
      </w:r>
      <w:r w:rsidR="009A30A1" w:rsidRPr="00DF6C55">
        <w:rPr>
          <w:rFonts w:ascii="Times New Roman" w:hAnsi="Times New Roman" w:cs="Times New Roman"/>
          <w:sz w:val="24"/>
          <w:szCs w:val="24"/>
        </w:rPr>
        <w:t>162</w:t>
      </w:r>
      <w:r w:rsidR="00E01DCE">
        <w:rPr>
          <w:rFonts w:ascii="Times New Roman" w:hAnsi="Times New Roman" w:cs="Times New Roman"/>
          <w:sz w:val="24"/>
          <w:szCs w:val="24"/>
        </w:rPr>
        <w:t xml:space="preserve"> (80.2%)} while family and friends {n = 138 (68.3%)} did also account significantly for</w:t>
      </w:r>
      <w:r>
        <w:rPr>
          <w:rFonts w:ascii="Times New Roman" w:hAnsi="Times New Roman" w:cs="Times New Roman"/>
          <w:sz w:val="24"/>
          <w:szCs w:val="24"/>
        </w:rPr>
        <w:t xml:space="preserve"> response</w:t>
      </w:r>
      <w:r w:rsidR="009A30A1">
        <w:rPr>
          <w:rFonts w:ascii="Times New Roman" w:hAnsi="Times New Roman" w:cs="Times New Roman"/>
          <w:sz w:val="24"/>
          <w:szCs w:val="24"/>
        </w:rPr>
        <w:t>s</w:t>
      </w:r>
      <w:r>
        <w:rPr>
          <w:rFonts w:ascii="Times New Roman" w:hAnsi="Times New Roman" w:cs="Times New Roman"/>
          <w:sz w:val="24"/>
          <w:szCs w:val="24"/>
        </w:rPr>
        <w:t xml:space="preserve"> in this regard</w:t>
      </w:r>
      <w:r w:rsidR="00E01DCE">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00E01DCE">
        <w:rPr>
          <w:rFonts w:ascii="Times New Roman" w:hAnsi="Times New Roman" w:cs="Times New Roman"/>
          <w:sz w:val="24"/>
          <w:szCs w:val="24"/>
        </w:rPr>
        <w:t xml:space="preserve">Media channels {n = 29 (14.4%)} such as, and particularly, </w:t>
      </w:r>
      <w:r w:rsidR="00E01DCE" w:rsidRPr="00DF6C55">
        <w:rPr>
          <w:rFonts w:ascii="Times New Roman" w:hAnsi="Times New Roman" w:cs="Times New Roman"/>
          <w:sz w:val="24"/>
          <w:szCs w:val="24"/>
        </w:rPr>
        <w:t>T</w:t>
      </w:r>
      <w:r w:rsidR="00E01DCE">
        <w:rPr>
          <w:rFonts w:ascii="Times New Roman" w:hAnsi="Times New Roman" w:cs="Times New Roman"/>
          <w:sz w:val="24"/>
          <w:szCs w:val="24"/>
        </w:rPr>
        <w:t>elevision and Radio, were noted to be important sources of information just as were social me</w:t>
      </w:r>
      <w:r w:rsidR="00143C81">
        <w:rPr>
          <w:rFonts w:ascii="Times New Roman" w:hAnsi="Times New Roman" w:cs="Times New Roman"/>
          <w:sz w:val="24"/>
          <w:szCs w:val="24"/>
        </w:rPr>
        <w:t xml:space="preserve">dia channels {n = 14 (6.9%)}. Lastly, other sources of information such as magazines, newspapers, newsletters, advertorials, other print and electronic media were considered by upwards of one-twentieth {n =7 (3.5%)} of respondents </w:t>
      </w:r>
      <w:r>
        <w:rPr>
          <w:rFonts w:ascii="Times New Roman" w:hAnsi="Times New Roman" w:cs="Times New Roman"/>
          <w:sz w:val="24"/>
          <w:szCs w:val="24"/>
        </w:rPr>
        <w:t xml:space="preserve">as being </w:t>
      </w:r>
      <w:r w:rsidR="00143C81">
        <w:rPr>
          <w:rFonts w:ascii="Times New Roman" w:hAnsi="Times New Roman" w:cs="Times New Roman"/>
          <w:sz w:val="24"/>
          <w:szCs w:val="24"/>
        </w:rPr>
        <w:t>veritable channels, for their present knowledge on 2YL</w:t>
      </w:r>
      <w:r w:rsidR="009A30A1" w:rsidRPr="00DF6C55">
        <w:rPr>
          <w:rFonts w:ascii="Times New Roman" w:hAnsi="Times New Roman" w:cs="Times New Roman"/>
          <w:sz w:val="24"/>
          <w:szCs w:val="24"/>
        </w:rPr>
        <w:t>.</w:t>
      </w:r>
      <w:r w:rsidR="001051AA">
        <w:rPr>
          <w:rFonts w:ascii="Times New Roman" w:hAnsi="Times New Roman" w:cs="Times New Roman"/>
          <w:sz w:val="24"/>
          <w:szCs w:val="24"/>
        </w:rPr>
        <w:t xml:space="preserve"> See figure 2</w:t>
      </w:r>
      <w:r w:rsidR="002C0DC9">
        <w:rPr>
          <w:rFonts w:ascii="Times New Roman" w:hAnsi="Times New Roman" w:cs="Times New Roman"/>
          <w:sz w:val="24"/>
          <w:szCs w:val="24"/>
        </w:rPr>
        <w:t>.</w:t>
      </w:r>
    </w:p>
    <w:p w14:paraId="427C6E82" w14:textId="58E10D73" w:rsidR="00B31649" w:rsidRDefault="0042175A" w:rsidP="00EA7F71">
      <w:pPr>
        <w:spacing w:line="480" w:lineRule="auto"/>
        <w:rPr>
          <w:rFonts w:ascii="Times New Roman" w:hAnsi="Times New Roman" w:cs="Times New Roman"/>
          <w:sz w:val="24"/>
          <w:szCs w:val="24"/>
        </w:rPr>
      </w:pPr>
      <w:r w:rsidRPr="003A1E0F">
        <w:rPr>
          <w:rFonts w:ascii="Times New Roman" w:hAnsi="Times New Roman" w:cs="Times New Roman"/>
          <w:noProof/>
          <w:sz w:val="24"/>
          <w:szCs w:val="24"/>
          <w:lang w:val="en-GB" w:eastAsia="en-GB"/>
        </w:rPr>
        <w:drawing>
          <wp:inline distT="0" distB="0" distL="0" distR="0" wp14:anchorId="4CCDD80F" wp14:editId="0FE684C7">
            <wp:extent cx="5362575" cy="31337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6048D9" w14:textId="6A0D43AA" w:rsidR="002C0DC9" w:rsidRPr="00935190" w:rsidRDefault="001051AA" w:rsidP="001051AA">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sidR="0042175A" w:rsidRPr="003A1E0F">
        <w:rPr>
          <w:rFonts w:ascii="Times New Roman" w:hAnsi="Times New Roman" w:cs="Times New Roman"/>
          <w:sz w:val="24"/>
          <w:szCs w:val="24"/>
        </w:rPr>
        <w:t xml:space="preserve">: Source of knowledge on second year of life immunization </w:t>
      </w:r>
    </w:p>
    <w:p w14:paraId="601E1D81" w14:textId="0CBDA67F" w:rsidR="0042175A" w:rsidRDefault="007F0403" w:rsidP="001051A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Availability, </w:t>
      </w:r>
      <w:r w:rsidR="0042175A" w:rsidRPr="003A1E0F">
        <w:rPr>
          <w:rFonts w:ascii="Times New Roman" w:hAnsi="Times New Roman" w:cs="Times New Roman"/>
          <w:b/>
          <w:sz w:val="24"/>
          <w:szCs w:val="24"/>
        </w:rPr>
        <w:t>Access and Utilization of Second-Year-of-Life (2YL) Immunization</w:t>
      </w:r>
    </w:p>
    <w:p w14:paraId="22FD488A" w14:textId="77777777" w:rsidR="00D93D54" w:rsidRDefault="00BC707F" w:rsidP="001051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7570AE" w:rsidRPr="003A1E0F">
        <w:rPr>
          <w:rFonts w:ascii="Times New Roman" w:hAnsi="Times New Roman" w:cs="Times New Roman"/>
          <w:sz w:val="24"/>
          <w:szCs w:val="24"/>
        </w:rPr>
        <w:t>presents data on the availability, accessibility, and utilization of immunization services for childre</w:t>
      </w:r>
      <w:r>
        <w:rPr>
          <w:rFonts w:ascii="Times New Roman" w:hAnsi="Times New Roman" w:cs="Times New Roman"/>
          <w:sz w:val="24"/>
          <w:szCs w:val="24"/>
        </w:rPr>
        <w:t xml:space="preserve">n aged 12–24 months, inclusive of possible relevant bottlenecks in this regard. Consequently, concerning </w:t>
      </w:r>
      <w:r w:rsidR="007570AE" w:rsidRPr="003A1E0F">
        <w:rPr>
          <w:rFonts w:ascii="Times New Roman" w:hAnsi="Times New Roman" w:cs="Times New Roman"/>
          <w:sz w:val="24"/>
          <w:szCs w:val="24"/>
        </w:rPr>
        <w:t xml:space="preserve">availability of </w:t>
      </w:r>
      <w:r>
        <w:rPr>
          <w:rFonts w:ascii="Times New Roman" w:hAnsi="Times New Roman" w:cs="Times New Roman"/>
          <w:sz w:val="24"/>
          <w:szCs w:val="24"/>
        </w:rPr>
        <w:t xml:space="preserve">second-year-of-life immunization services, </w:t>
      </w:r>
      <w:r w:rsidR="00143C81">
        <w:rPr>
          <w:rFonts w:ascii="Times New Roman" w:hAnsi="Times New Roman" w:cs="Times New Roman"/>
          <w:sz w:val="24"/>
          <w:szCs w:val="24"/>
        </w:rPr>
        <w:t>a significant</w:t>
      </w:r>
      <w:r w:rsidR="000212C3">
        <w:rPr>
          <w:rFonts w:ascii="Times New Roman" w:hAnsi="Times New Roman" w:cs="Times New Roman"/>
          <w:sz w:val="24"/>
          <w:szCs w:val="24"/>
        </w:rPr>
        <w:t xml:space="preserve"> portion {n = 190 (94.1%)</w:t>
      </w:r>
      <w:r>
        <w:rPr>
          <w:rFonts w:ascii="Times New Roman" w:hAnsi="Times New Roman" w:cs="Times New Roman"/>
          <w:sz w:val="24"/>
          <w:szCs w:val="24"/>
        </w:rPr>
        <w:t xml:space="preserve">} </w:t>
      </w:r>
      <w:r w:rsidR="007570AE" w:rsidRPr="003A1E0F">
        <w:rPr>
          <w:rFonts w:ascii="Times New Roman" w:hAnsi="Times New Roman" w:cs="Times New Roman"/>
          <w:sz w:val="24"/>
          <w:szCs w:val="24"/>
        </w:rPr>
        <w:t>of respondents c</w:t>
      </w:r>
      <w:r>
        <w:rPr>
          <w:rFonts w:ascii="Times New Roman" w:hAnsi="Times New Roman" w:cs="Times New Roman"/>
          <w:sz w:val="24"/>
          <w:szCs w:val="24"/>
        </w:rPr>
        <w:t>onfirmed the</w:t>
      </w:r>
      <w:r w:rsidR="007570AE" w:rsidRPr="003A1E0F">
        <w:rPr>
          <w:rFonts w:ascii="Times New Roman" w:hAnsi="Times New Roman" w:cs="Times New Roman"/>
          <w:sz w:val="24"/>
          <w:szCs w:val="24"/>
        </w:rPr>
        <w:t xml:space="preserve"> av</w:t>
      </w:r>
      <w:r>
        <w:rPr>
          <w:rFonts w:ascii="Times New Roman" w:hAnsi="Times New Roman" w:cs="Times New Roman"/>
          <w:sz w:val="24"/>
          <w:szCs w:val="24"/>
        </w:rPr>
        <w:t>ailability of such services in their locale</w:t>
      </w:r>
      <w:r w:rsidR="007570AE" w:rsidRPr="003A1E0F">
        <w:rPr>
          <w:rFonts w:ascii="Times New Roman" w:hAnsi="Times New Roman" w:cs="Times New Roman"/>
          <w:sz w:val="24"/>
          <w:szCs w:val="24"/>
        </w:rPr>
        <w:t xml:space="preserve">, </w:t>
      </w:r>
      <w:r w:rsidR="000212C3">
        <w:rPr>
          <w:rFonts w:ascii="Times New Roman" w:hAnsi="Times New Roman" w:cs="Times New Roman"/>
          <w:sz w:val="24"/>
          <w:szCs w:val="24"/>
        </w:rPr>
        <w:t>while a scant segment {n = 10 (</w:t>
      </w:r>
      <w:r>
        <w:rPr>
          <w:rFonts w:ascii="Times New Roman" w:hAnsi="Times New Roman" w:cs="Times New Roman"/>
          <w:sz w:val="24"/>
          <w:szCs w:val="24"/>
        </w:rPr>
        <w:t>5%</w:t>
      </w:r>
      <w:r w:rsidR="000212C3">
        <w:rPr>
          <w:rFonts w:ascii="Times New Roman" w:hAnsi="Times New Roman" w:cs="Times New Roman"/>
          <w:sz w:val="24"/>
          <w:szCs w:val="24"/>
        </w:rPr>
        <w:t xml:space="preserve">)} </w:t>
      </w:r>
      <w:r>
        <w:rPr>
          <w:rFonts w:ascii="Times New Roman" w:hAnsi="Times New Roman" w:cs="Times New Roman"/>
          <w:sz w:val="24"/>
          <w:szCs w:val="24"/>
        </w:rPr>
        <w:t xml:space="preserve">were not sure, and </w:t>
      </w:r>
      <w:r w:rsidR="000212C3">
        <w:rPr>
          <w:rFonts w:ascii="Times New Roman" w:hAnsi="Times New Roman" w:cs="Times New Roman"/>
          <w:sz w:val="24"/>
          <w:szCs w:val="24"/>
        </w:rPr>
        <w:t>an infinitesimal proportion {n = 2 (1%)</w:t>
      </w:r>
      <w:r>
        <w:rPr>
          <w:rFonts w:ascii="Times New Roman" w:hAnsi="Times New Roman" w:cs="Times New Roman"/>
          <w:sz w:val="24"/>
          <w:szCs w:val="24"/>
        </w:rPr>
        <w:t>} were certain that such services were not available</w:t>
      </w:r>
      <w:r w:rsidR="007570AE" w:rsidRPr="003A1E0F">
        <w:rPr>
          <w:rFonts w:ascii="Times New Roman" w:hAnsi="Times New Roman" w:cs="Times New Roman"/>
          <w:sz w:val="24"/>
          <w:szCs w:val="24"/>
        </w:rPr>
        <w:t xml:space="preserve">. </w:t>
      </w:r>
      <w:r>
        <w:rPr>
          <w:rFonts w:ascii="Times New Roman" w:hAnsi="Times New Roman" w:cs="Times New Roman"/>
          <w:sz w:val="24"/>
          <w:szCs w:val="24"/>
        </w:rPr>
        <w:t xml:space="preserve">In consonance, thereof, </w:t>
      </w:r>
      <w:r w:rsidR="00D93D54">
        <w:rPr>
          <w:rFonts w:ascii="Times New Roman" w:hAnsi="Times New Roman" w:cs="Times New Roman"/>
          <w:sz w:val="24"/>
          <w:szCs w:val="24"/>
        </w:rPr>
        <w:t>upwards of three quarters of respondents {n = 158 (</w:t>
      </w:r>
      <w:r>
        <w:rPr>
          <w:rFonts w:ascii="Times New Roman" w:hAnsi="Times New Roman" w:cs="Times New Roman"/>
          <w:sz w:val="24"/>
          <w:szCs w:val="24"/>
        </w:rPr>
        <w:t>78.2%</w:t>
      </w:r>
      <w:r w:rsidR="00D93D54">
        <w:rPr>
          <w:rFonts w:ascii="Times New Roman" w:hAnsi="Times New Roman" w:cs="Times New Roman"/>
          <w:sz w:val="24"/>
          <w:szCs w:val="24"/>
        </w:rPr>
        <w:t>)</w:t>
      </w:r>
      <w:r>
        <w:rPr>
          <w:rFonts w:ascii="Times New Roman" w:hAnsi="Times New Roman" w:cs="Times New Roman"/>
          <w:sz w:val="24"/>
          <w:szCs w:val="24"/>
        </w:rPr>
        <w:t xml:space="preserve">} of respondents volunteered that 2YL immunization services were provided regularly on scheduled days, </w:t>
      </w:r>
      <w:r w:rsidR="00D93D54">
        <w:rPr>
          <w:rFonts w:ascii="Times New Roman" w:hAnsi="Times New Roman" w:cs="Times New Roman"/>
          <w:sz w:val="24"/>
          <w:szCs w:val="24"/>
        </w:rPr>
        <w:t>about one- sixth {n = 30 (14.9</w:t>
      </w:r>
      <w:proofErr w:type="gramStart"/>
      <w:r w:rsidR="00D93D54">
        <w:rPr>
          <w:rFonts w:ascii="Times New Roman" w:hAnsi="Times New Roman" w:cs="Times New Roman"/>
          <w:sz w:val="24"/>
          <w:szCs w:val="24"/>
        </w:rPr>
        <w:t>%)}</w:t>
      </w:r>
      <w:r>
        <w:rPr>
          <w:rFonts w:ascii="Times New Roman" w:hAnsi="Times New Roman" w:cs="Times New Roman"/>
          <w:sz w:val="24"/>
          <w:szCs w:val="24"/>
        </w:rPr>
        <w:t>averred</w:t>
      </w:r>
      <w:proofErr w:type="gramEnd"/>
      <w:r>
        <w:rPr>
          <w:rFonts w:ascii="Times New Roman" w:hAnsi="Times New Roman" w:cs="Times New Roman"/>
          <w:sz w:val="24"/>
          <w:szCs w:val="24"/>
        </w:rPr>
        <w:t xml:space="preserve"> that services were only available occasionally, and </w:t>
      </w:r>
      <w:r w:rsidR="00D93D54">
        <w:rPr>
          <w:rFonts w:ascii="Times New Roman" w:hAnsi="Times New Roman" w:cs="Times New Roman"/>
          <w:sz w:val="24"/>
          <w:szCs w:val="24"/>
        </w:rPr>
        <w:t>upwards of one twentieth {n = 14 (</w:t>
      </w:r>
      <w:r>
        <w:rPr>
          <w:rFonts w:ascii="Times New Roman" w:hAnsi="Times New Roman" w:cs="Times New Roman"/>
          <w:sz w:val="24"/>
          <w:szCs w:val="24"/>
        </w:rPr>
        <w:t>6.9%</w:t>
      </w:r>
      <w:r w:rsidR="00D93D54">
        <w:rPr>
          <w:rFonts w:ascii="Times New Roman" w:hAnsi="Times New Roman" w:cs="Times New Roman"/>
          <w:sz w:val="24"/>
          <w:szCs w:val="24"/>
        </w:rPr>
        <w:t>)</w:t>
      </w:r>
      <w:r>
        <w:rPr>
          <w:rFonts w:ascii="Times New Roman" w:hAnsi="Times New Roman" w:cs="Times New Roman"/>
          <w:sz w:val="24"/>
          <w:szCs w:val="24"/>
        </w:rPr>
        <w:t>} of respondents were uncertain as to the availability of the service.</w:t>
      </w:r>
      <w:r w:rsidR="00A13EB0">
        <w:rPr>
          <w:rFonts w:ascii="Times New Roman" w:hAnsi="Times New Roman" w:cs="Times New Roman"/>
          <w:sz w:val="24"/>
          <w:szCs w:val="24"/>
        </w:rPr>
        <w:t xml:space="preserve"> </w:t>
      </w:r>
    </w:p>
    <w:p w14:paraId="1024BDFE" w14:textId="68882BB6" w:rsidR="00493568" w:rsidRDefault="00D4610C" w:rsidP="001051AA">
      <w:pPr>
        <w:spacing w:line="360" w:lineRule="auto"/>
        <w:jc w:val="both"/>
        <w:rPr>
          <w:rFonts w:ascii="Times New Roman" w:hAnsi="Times New Roman" w:cs="Times New Roman"/>
          <w:sz w:val="24"/>
          <w:szCs w:val="24"/>
        </w:rPr>
      </w:pPr>
      <w:r>
        <w:rPr>
          <w:rFonts w:ascii="Times New Roman" w:hAnsi="Times New Roman" w:cs="Times New Roman"/>
          <w:sz w:val="24"/>
          <w:szCs w:val="24"/>
        </w:rPr>
        <w:t>Also, r</w:t>
      </w:r>
      <w:r w:rsidRPr="003A1E0F">
        <w:rPr>
          <w:rFonts w:ascii="Times New Roman" w:hAnsi="Times New Roman" w:cs="Times New Roman"/>
          <w:sz w:val="24"/>
          <w:szCs w:val="24"/>
        </w:rPr>
        <w:t xml:space="preserve">egarding utilization of </w:t>
      </w:r>
      <w:r>
        <w:rPr>
          <w:rFonts w:ascii="Times New Roman" w:hAnsi="Times New Roman" w:cs="Times New Roman"/>
          <w:sz w:val="24"/>
          <w:szCs w:val="24"/>
        </w:rPr>
        <w:t xml:space="preserve">immunization services, most {n = 160 (79.2%)} caregivers did access immunization services for </w:t>
      </w:r>
      <w:r w:rsidRPr="003A1E0F">
        <w:rPr>
          <w:rFonts w:ascii="Times New Roman" w:hAnsi="Times New Roman" w:cs="Times New Roman"/>
          <w:sz w:val="24"/>
          <w:szCs w:val="24"/>
        </w:rPr>
        <w:t xml:space="preserve">their children </w:t>
      </w:r>
      <w:r>
        <w:rPr>
          <w:rFonts w:ascii="Times New Roman" w:hAnsi="Times New Roman" w:cs="Times New Roman"/>
          <w:sz w:val="24"/>
          <w:szCs w:val="24"/>
        </w:rPr>
        <w:t>aged 12-24 months</w:t>
      </w:r>
      <w:r w:rsidRPr="003A1E0F">
        <w:rPr>
          <w:rFonts w:ascii="Times New Roman" w:hAnsi="Times New Roman" w:cs="Times New Roman"/>
          <w:sz w:val="24"/>
          <w:szCs w:val="24"/>
        </w:rPr>
        <w:t xml:space="preserve">, while </w:t>
      </w:r>
      <w:r>
        <w:rPr>
          <w:rFonts w:ascii="Times New Roman" w:hAnsi="Times New Roman" w:cs="Times New Roman"/>
          <w:sz w:val="24"/>
          <w:szCs w:val="24"/>
        </w:rPr>
        <w:t>{n = 42 (20.8%)} others had not</w:t>
      </w:r>
      <w:r w:rsidRPr="003A1E0F">
        <w:rPr>
          <w:rFonts w:ascii="Times New Roman" w:hAnsi="Times New Roman" w:cs="Times New Roman"/>
          <w:sz w:val="24"/>
          <w:szCs w:val="24"/>
        </w:rPr>
        <w:t xml:space="preserve">. </w:t>
      </w:r>
      <w:r>
        <w:rPr>
          <w:rFonts w:ascii="Times New Roman" w:hAnsi="Times New Roman" w:cs="Times New Roman"/>
          <w:sz w:val="24"/>
          <w:szCs w:val="24"/>
        </w:rPr>
        <w:t>To this end,</w:t>
      </w:r>
      <w:r w:rsidRPr="003A1E0F">
        <w:rPr>
          <w:rFonts w:ascii="Times New Roman" w:hAnsi="Times New Roman" w:cs="Times New Roman"/>
          <w:sz w:val="24"/>
          <w:szCs w:val="24"/>
        </w:rPr>
        <w:t xml:space="preserve"> </w:t>
      </w:r>
      <w:r>
        <w:rPr>
          <w:rFonts w:ascii="Times New Roman" w:hAnsi="Times New Roman" w:cs="Times New Roman"/>
          <w:sz w:val="24"/>
          <w:szCs w:val="24"/>
        </w:rPr>
        <w:t xml:space="preserve">67.8% {n = </w:t>
      </w:r>
      <w:r w:rsidRPr="003A1E0F">
        <w:rPr>
          <w:rFonts w:ascii="Times New Roman" w:hAnsi="Times New Roman" w:cs="Times New Roman"/>
          <w:sz w:val="24"/>
          <w:szCs w:val="24"/>
        </w:rPr>
        <w:t>137</w:t>
      </w:r>
      <w:r w:rsidR="00E42818">
        <w:rPr>
          <w:rFonts w:ascii="Times New Roman" w:hAnsi="Times New Roman" w:cs="Times New Roman"/>
          <w:sz w:val="24"/>
          <w:szCs w:val="24"/>
        </w:rPr>
        <w:t>} of caregivers sought these services just once during the second-year-of-life,</w:t>
      </w:r>
      <w:r w:rsidR="00572475">
        <w:rPr>
          <w:rFonts w:ascii="Times New Roman" w:hAnsi="Times New Roman" w:cs="Times New Roman"/>
          <w:sz w:val="24"/>
          <w:szCs w:val="24"/>
        </w:rPr>
        <w:t xml:space="preserve"> </w:t>
      </w:r>
      <w:r w:rsidR="00E42818">
        <w:rPr>
          <w:rFonts w:ascii="Times New Roman" w:hAnsi="Times New Roman" w:cs="Times New Roman"/>
          <w:sz w:val="24"/>
          <w:szCs w:val="24"/>
        </w:rPr>
        <w:t>10.4% {n =</w:t>
      </w:r>
      <w:r w:rsidRPr="003A1E0F">
        <w:rPr>
          <w:rFonts w:ascii="Times New Roman" w:hAnsi="Times New Roman" w:cs="Times New Roman"/>
          <w:sz w:val="24"/>
          <w:szCs w:val="24"/>
        </w:rPr>
        <w:t xml:space="preserve"> 21</w:t>
      </w:r>
      <w:r w:rsidR="00E42818">
        <w:rPr>
          <w:rFonts w:ascii="Times New Roman" w:hAnsi="Times New Roman" w:cs="Times New Roman"/>
          <w:sz w:val="24"/>
          <w:szCs w:val="24"/>
        </w:rPr>
        <w:t>} just twice</w:t>
      </w:r>
      <w:r w:rsidRPr="003A1E0F">
        <w:rPr>
          <w:rFonts w:ascii="Times New Roman" w:hAnsi="Times New Roman" w:cs="Times New Roman"/>
          <w:sz w:val="24"/>
          <w:szCs w:val="24"/>
        </w:rPr>
        <w:t xml:space="preserve">, </w:t>
      </w:r>
      <w:r w:rsidR="00E42818">
        <w:rPr>
          <w:rFonts w:ascii="Times New Roman" w:hAnsi="Times New Roman" w:cs="Times New Roman"/>
          <w:sz w:val="24"/>
          <w:szCs w:val="24"/>
        </w:rPr>
        <w:t>1% {n = 2} three or more times, and 20.8% {n = 42} not at all, with the critical motivating factors responsible for this action being:</w:t>
      </w:r>
      <w:r w:rsidRPr="003A1E0F">
        <w:rPr>
          <w:rFonts w:ascii="Times New Roman" w:hAnsi="Times New Roman" w:cs="Times New Roman"/>
          <w:sz w:val="24"/>
          <w:szCs w:val="24"/>
        </w:rPr>
        <w:t xml:space="preserve"> advice from health workers </w:t>
      </w:r>
      <w:r w:rsidR="00E42818">
        <w:rPr>
          <w:rFonts w:ascii="Times New Roman" w:hAnsi="Times New Roman" w:cs="Times New Roman"/>
          <w:sz w:val="24"/>
          <w:szCs w:val="24"/>
        </w:rPr>
        <w:t xml:space="preserve">{83.1% (n = </w:t>
      </w:r>
      <w:r w:rsidRPr="003A1E0F">
        <w:rPr>
          <w:rFonts w:ascii="Times New Roman" w:hAnsi="Times New Roman" w:cs="Times New Roman"/>
          <w:sz w:val="24"/>
          <w:szCs w:val="24"/>
        </w:rPr>
        <w:t>133</w:t>
      </w:r>
      <w:r w:rsidR="00E42818">
        <w:rPr>
          <w:rFonts w:ascii="Times New Roman" w:hAnsi="Times New Roman" w:cs="Times New Roman"/>
          <w:sz w:val="24"/>
          <w:szCs w:val="24"/>
        </w:rPr>
        <w:t>)}</w:t>
      </w:r>
      <w:r w:rsidRPr="003A1E0F">
        <w:rPr>
          <w:rFonts w:ascii="Times New Roman" w:hAnsi="Times New Roman" w:cs="Times New Roman"/>
          <w:sz w:val="24"/>
          <w:szCs w:val="24"/>
        </w:rPr>
        <w:t xml:space="preserve">, reminder messages </w:t>
      </w:r>
      <w:r w:rsidR="00E42818">
        <w:rPr>
          <w:rFonts w:ascii="Times New Roman" w:hAnsi="Times New Roman" w:cs="Times New Roman"/>
          <w:sz w:val="24"/>
          <w:szCs w:val="24"/>
        </w:rPr>
        <w:t xml:space="preserve">{74.4% (n = </w:t>
      </w:r>
      <w:r w:rsidRPr="003A1E0F">
        <w:rPr>
          <w:rFonts w:ascii="Times New Roman" w:hAnsi="Times New Roman" w:cs="Times New Roman"/>
          <w:sz w:val="24"/>
          <w:szCs w:val="24"/>
        </w:rPr>
        <w:t>119</w:t>
      </w:r>
      <w:r w:rsidR="00E42818">
        <w:rPr>
          <w:rFonts w:ascii="Times New Roman" w:hAnsi="Times New Roman" w:cs="Times New Roman"/>
          <w:sz w:val="24"/>
          <w:szCs w:val="24"/>
        </w:rPr>
        <w:t>)}</w:t>
      </w:r>
      <w:r w:rsidRPr="003A1E0F">
        <w:rPr>
          <w:rFonts w:ascii="Times New Roman" w:hAnsi="Times New Roman" w:cs="Times New Roman"/>
          <w:sz w:val="24"/>
          <w:szCs w:val="24"/>
        </w:rPr>
        <w:t xml:space="preserve">, encouragement from family and friends </w:t>
      </w:r>
      <w:r w:rsidR="00E42818">
        <w:rPr>
          <w:rFonts w:ascii="Times New Roman" w:hAnsi="Times New Roman" w:cs="Times New Roman"/>
          <w:sz w:val="24"/>
          <w:szCs w:val="24"/>
        </w:rPr>
        <w:t xml:space="preserve">{32.5% (n = </w:t>
      </w:r>
      <w:r w:rsidRPr="003A1E0F">
        <w:rPr>
          <w:rFonts w:ascii="Times New Roman" w:hAnsi="Times New Roman" w:cs="Times New Roman"/>
          <w:sz w:val="24"/>
          <w:szCs w:val="24"/>
        </w:rPr>
        <w:t>52</w:t>
      </w:r>
      <w:r w:rsidR="00E42818">
        <w:rPr>
          <w:rFonts w:ascii="Times New Roman" w:hAnsi="Times New Roman" w:cs="Times New Roman"/>
          <w:sz w:val="24"/>
          <w:szCs w:val="24"/>
        </w:rPr>
        <w:t xml:space="preserve">)}, </w:t>
      </w:r>
      <w:r w:rsidRPr="003A1E0F">
        <w:rPr>
          <w:rFonts w:ascii="Times New Roman" w:hAnsi="Times New Roman" w:cs="Times New Roman"/>
          <w:sz w:val="24"/>
          <w:szCs w:val="24"/>
        </w:rPr>
        <w:t xml:space="preserve">participation in community health campaigns </w:t>
      </w:r>
      <w:r w:rsidR="00E42818">
        <w:rPr>
          <w:rFonts w:ascii="Times New Roman" w:hAnsi="Times New Roman" w:cs="Times New Roman"/>
          <w:sz w:val="24"/>
          <w:szCs w:val="24"/>
        </w:rPr>
        <w:t xml:space="preserve">{20% (n = </w:t>
      </w:r>
      <w:r w:rsidRPr="003A1E0F">
        <w:rPr>
          <w:rFonts w:ascii="Times New Roman" w:hAnsi="Times New Roman" w:cs="Times New Roman"/>
          <w:sz w:val="24"/>
          <w:szCs w:val="24"/>
        </w:rPr>
        <w:t>32</w:t>
      </w:r>
      <w:r w:rsidR="00E42818">
        <w:rPr>
          <w:rFonts w:ascii="Times New Roman" w:hAnsi="Times New Roman" w:cs="Times New Roman"/>
          <w:sz w:val="24"/>
          <w:szCs w:val="24"/>
        </w:rPr>
        <w:t>)}, and {0.6% (n = 1)} mentioning other reasons</w:t>
      </w:r>
      <w:r w:rsidRPr="003A1E0F">
        <w:rPr>
          <w:rFonts w:ascii="Times New Roman" w:hAnsi="Times New Roman" w:cs="Times New Roman"/>
          <w:sz w:val="24"/>
          <w:szCs w:val="24"/>
        </w:rPr>
        <w:t xml:space="preserve">. </w:t>
      </w:r>
      <w:r w:rsidR="00D55EA4">
        <w:rPr>
          <w:rFonts w:ascii="Times New Roman" w:hAnsi="Times New Roman" w:cs="Times New Roman"/>
          <w:sz w:val="24"/>
          <w:szCs w:val="24"/>
        </w:rPr>
        <w:t xml:space="preserve">Furthermore, inquiry into </w:t>
      </w:r>
      <w:r w:rsidR="00493568">
        <w:rPr>
          <w:rFonts w:ascii="Times New Roman" w:hAnsi="Times New Roman" w:cs="Times New Roman"/>
          <w:sz w:val="24"/>
          <w:szCs w:val="24"/>
        </w:rPr>
        <w:t xml:space="preserve">common service delivery challenges </w:t>
      </w:r>
      <w:r w:rsidR="00D55EA4">
        <w:rPr>
          <w:rFonts w:ascii="Times New Roman" w:hAnsi="Times New Roman" w:cs="Times New Roman"/>
          <w:sz w:val="24"/>
          <w:szCs w:val="24"/>
        </w:rPr>
        <w:t xml:space="preserve">at the </w:t>
      </w:r>
      <w:r w:rsidR="00493568">
        <w:rPr>
          <w:rFonts w:ascii="Times New Roman" w:hAnsi="Times New Roman" w:cs="Times New Roman"/>
          <w:sz w:val="24"/>
          <w:szCs w:val="24"/>
        </w:rPr>
        <w:t xml:space="preserve">health facility </w:t>
      </w:r>
      <w:r w:rsidR="00572475">
        <w:rPr>
          <w:rFonts w:ascii="Times New Roman" w:hAnsi="Times New Roman" w:cs="Times New Roman"/>
          <w:sz w:val="24"/>
          <w:szCs w:val="24"/>
        </w:rPr>
        <w:t>did reveal</w:t>
      </w:r>
      <w:r w:rsidR="00493568">
        <w:rPr>
          <w:rFonts w:ascii="Times New Roman" w:hAnsi="Times New Roman" w:cs="Times New Roman"/>
          <w:sz w:val="24"/>
          <w:szCs w:val="24"/>
        </w:rPr>
        <w:t xml:space="preserve"> </w:t>
      </w:r>
      <w:r w:rsidR="007570AE" w:rsidRPr="003A1E0F">
        <w:rPr>
          <w:rFonts w:ascii="Times New Roman" w:hAnsi="Times New Roman" w:cs="Times New Roman"/>
          <w:sz w:val="24"/>
          <w:szCs w:val="24"/>
        </w:rPr>
        <w:t xml:space="preserve">overcrowding </w:t>
      </w:r>
      <w:r w:rsidR="00572475">
        <w:rPr>
          <w:rFonts w:ascii="Times New Roman" w:hAnsi="Times New Roman" w:cs="Times New Roman"/>
          <w:sz w:val="24"/>
          <w:szCs w:val="24"/>
        </w:rPr>
        <w:t>{66.8% (n = 135)</w:t>
      </w:r>
      <w:r w:rsidR="00493568">
        <w:rPr>
          <w:rFonts w:ascii="Times New Roman" w:hAnsi="Times New Roman" w:cs="Times New Roman"/>
          <w:sz w:val="24"/>
          <w:szCs w:val="24"/>
        </w:rPr>
        <w:t xml:space="preserve">} at the health facility </w:t>
      </w:r>
      <w:r w:rsidR="007570AE" w:rsidRPr="003A1E0F">
        <w:rPr>
          <w:rFonts w:ascii="Times New Roman" w:hAnsi="Times New Roman" w:cs="Times New Roman"/>
          <w:sz w:val="24"/>
          <w:szCs w:val="24"/>
        </w:rPr>
        <w:t xml:space="preserve">as </w:t>
      </w:r>
      <w:r w:rsidR="00493568">
        <w:rPr>
          <w:rFonts w:ascii="Times New Roman" w:hAnsi="Times New Roman" w:cs="Times New Roman"/>
          <w:sz w:val="24"/>
          <w:szCs w:val="24"/>
        </w:rPr>
        <w:t>the most common problem, just as were</w:t>
      </w:r>
      <w:r w:rsidR="007570AE" w:rsidRPr="003A1E0F">
        <w:rPr>
          <w:rFonts w:ascii="Times New Roman" w:hAnsi="Times New Roman" w:cs="Times New Roman"/>
          <w:sz w:val="24"/>
          <w:szCs w:val="24"/>
        </w:rPr>
        <w:t xml:space="preserve"> long waiting times </w:t>
      </w:r>
      <w:r w:rsidR="00493568">
        <w:rPr>
          <w:rFonts w:ascii="Times New Roman" w:hAnsi="Times New Roman" w:cs="Times New Roman"/>
          <w:sz w:val="24"/>
          <w:szCs w:val="24"/>
        </w:rPr>
        <w:t>{</w:t>
      </w:r>
      <w:r w:rsidR="00572475">
        <w:rPr>
          <w:rFonts w:ascii="Times New Roman" w:hAnsi="Times New Roman" w:cs="Times New Roman"/>
          <w:sz w:val="24"/>
          <w:szCs w:val="24"/>
        </w:rPr>
        <w:t>31.2% (</w:t>
      </w:r>
      <w:r w:rsidR="00493568">
        <w:rPr>
          <w:rFonts w:ascii="Times New Roman" w:hAnsi="Times New Roman" w:cs="Times New Roman"/>
          <w:sz w:val="24"/>
          <w:szCs w:val="24"/>
        </w:rPr>
        <w:t xml:space="preserve">n = </w:t>
      </w:r>
      <w:r w:rsidR="007570AE" w:rsidRPr="003A1E0F">
        <w:rPr>
          <w:rFonts w:ascii="Times New Roman" w:hAnsi="Times New Roman" w:cs="Times New Roman"/>
          <w:sz w:val="24"/>
          <w:szCs w:val="24"/>
        </w:rPr>
        <w:t>63</w:t>
      </w:r>
      <w:r w:rsidR="00572475">
        <w:rPr>
          <w:rFonts w:ascii="Times New Roman" w:hAnsi="Times New Roman" w:cs="Times New Roman"/>
          <w:sz w:val="24"/>
          <w:szCs w:val="24"/>
        </w:rPr>
        <w:t>)</w:t>
      </w:r>
      <w:r w:rsidR="00493568">
        <w:rPr>
          <w:rFonts w:ascii="Times New Roman" w:hAnsi="Times New Roman" w:cs="Times New Roman"/>
          <w:sz w:val="24"/>
          <w:szCs w:val="24"/>
        </w:rPr>
        <w:t>}</w:t>
      </w:r>
      <w:r w:rsidR="007570AE" w:rsidRPr="003A1E0F">
        <w:rPr>
          <w:rFonts w:ascii="Times New Roman" w:hAnsi="Times New Roman" w:cs="Times New Roman"/>
          <w:sz w:val="24"/>
          <w:szCs w:val="24"/>
        </w:rPr>
        <w:t xml:space="preserve">, vaccine stock-outs </w:t>
      </w:r>
      <w:r w:rsidR="00493568">
        <w:rPr>
          <w:rFonts w:ascii="Times New Roman" w:hAnsi="Times New Roman" w:cs="Times New Roman"/>
          <w:sz w:val="24"/>
          <w:szCs w:val="24"/>
        </w:rPr>
        <w:t>{</w:t>
      </w:r>
      <w:r w:rsidR="00572475">
        <w:rPr>
          <w:rFonts w:ascii="Times New Roman" w:hAnsi="Times New Roman" w:cs="Times New Roman"/>
          <w:sz w:val="24"/>
          <w:szCs w:val="24"/>
        </w:rPr>
        <w:t>30.7% (</w:t>
      </w:r>
      <w:r w:rsidR="00493568">
        <w:rPr>
          <w:rFonts w:ascii="Times New Roman" w:hAnsi="Times New Roman" w:cs="Times New Roman"/>
          <w:sz w:val="24"/>
          <w:szCs w:val="24"/>
        </w:rPr>
        <w:t xml:space="preserve">n = </w:t>
      </w:r>
      <w:r w:rsidR="007570AE" w:rsidRPr="003A1E0F">
        <w:rPr>
          <w:rFonts w:ascii="Times New Roman" w:hAnsi="Times New Roman" w:cs="Times New Roman"/>
          <w:sz w:val="24"/>
          <w:szCs w:val="24"/>
        </w:rPr>
        <w:t>62</w:t>
      </w:r>
      <w:r w:rsidR="00572475">
        <w:rPr>
          <w:rFonts w:ascii="Times New Roman" w:hAnsi="Times New Roman" w:cs="Times New Roman"/>
          <w:sz w:val="24"/>
          <w:szCs w:val="24"/>
        </w:rPr>
        <w:t>)</w:t>
      </w:r>
      <w:r w:rsidR="00493568">
        <w:rPr>
          <w:rFonts w:ascii="Times New Roman" w:hAnsi="Times New Roman" w:cs="Times New Roman"/>
          <w:sz w:val="24"/>
          <w:szCs w:val="24"/>
        </w:rPr>
        <w:t>}</w:t>
      </w:r>
      <w:r w:rsidR="007570AE" w:rsidRPr="003A1E0F">
        <w:rPr>
          <w:rFonts w:ascii="Times New Roman" w:hAnsi="Times New Roman" w:cs="Times New Roman"/>
          <w:sz w:val="24"/>
          <w:szCs w:val="24"/>
        </w:rPr>
        <w:t xml:space="preserve">, and poor staff attitude </w:t>
      </w:r>
      <w:r w:rsidR="00493568">
        <w:rPr>
          <w:rFonts w:ascii="Times New Roman" w:hAnsi="Times New Roman" w:cs="Times New Roman"/>
          <w:sz w:val="24"/>
          <w:szCs w:val="24"/>
        </w:rPr>
        <w:t>{</w:t>
      </w:r>
      <w:r w:rsidR="00572475">
        <w:rPr>
          <w:rFonts w:ascii="Times New Roman" w:hAnsi="Times New Roman" w:cs="Times New Roman"/>
          <w:sz w:val="24"/>
          <w:szCs w:val="24"/>
        </w:rPr>
        <w:t>18.8% (</w:t>
      </w:r>
      <w:r w:rsidR="00493568">
        <w:rPr>
          <w:rFonts w:ascii="Times New Roman" w:hAnsi="Times New Roman" w:cs="Times New Roman"/>
          <w:sz w:val="24"/>
          <w:szCs w:val="24"/>
        </w:rPr>
        <w:t xml:space="preserve">n = </w:t>
      </w:r>
      <w:r w:rsidR="007570AE" w:rsidRPr="003A1E0F">
        <w:rPr>
          <w:rFonts w:ascii="Times New Roman" w:hAnsi="Times New Roman" w:cs="Times New Roman"/>
          <w:sz w:val="24"/>
          <w:szCs w:val="24"/>
        </w:rPr>
        <w:t>38</w:t>
      </w:r>
      <w:r w:rsidR="00572475">
        <w:rPr>
          <w:rFonts w:ascii="Times New Roman" w:hAnsi="Times New Roman" w:cs="Times New Roman"/>
          <w:sz w:val="24"/>
          <w:szCs w:val="24"/>
        </w:rPr>
        <w:t>)</w:t>
      </w:r>
      <w:r w:rsidR="00493568">
        <w:rPr>
          <w:rFonts w:ascii="Times New Roman" w:hAnsi="Times New Roman" w:cs="Times New Roman"/>
          <w:sz w:val="24"/>
          <w:szCs w:val="24"/>
        </w:rPr>
        <w:t>}, with only 7.9% {n = 16} reporting no significant challenges</w:t>
      </w:r>
      <w:r w:rsidR="007570AE" w:rsidRPr="003A1E0F">
        <w:rPr>
          <w:rFonts w:ascii="Times New Roman" w:hAnsi="Times New Roman" w:cs="Times New Roman"/>
          <w:sz w:val="24"/>
          <w:szCs w:val="24"/>
        </w:rPr>
        <w:t xml:space="preserve">. </w:t>
      </w:r>
    </w:p>
    <w:p w14:paraId="1987B928" w14:textId="77777777" w:rsidR="00D93D54" w:rsidRDefault="00FC07E2" w:rsidP="001051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consonance, thereof, relevant reasons for non-utilization of Second-Year-of- Life of Life immunization include: </w:t>
      </w:r>
      <w:r w:rsidR="007570AE" w:rsidRPr="003A1E0F">
        <w:rPr>
          <w:rFonts w:ascii="Times New Roman" w:hAnsi="Times New Roman" w:cs="Times New Roman"/>
          <w:sz w:val="24"/>
          <w:szCs w:val="24"/>
        </w:rPr>
        <w:t>dif</w:t>
      </w:r>
      <w:r>
        <w:rPr>
          <w:rFonts w:ascii="Times New Roman" w:hAnsi="Times New Roman" w:cs="Times New Roman"/>
          <w:sz w:val="24"/>
          <w:szCs w:val="24"/>
        </w:rPr>
        <w:t>ficulty reaching the facility {42.9% (n = 18)}, vaccine stock out {35.7% (n = 15</w:t>
      </w:r>
      <w:r w:rsidR="007570AE" w:rsidRPr="003A1E0F">
        <w:rPr>
          <w:rFonts w:ascii="Times New Roman" w:hAnsi="Times New Roman" w:cs="Times New Roman"/>
          <w:sz w:val="24"/>
          <w:szCs w:val="24"/>
        </w:rPr>
        <w:t>)</w:t>
      </w:r>
      <w:r>
        <w:rPr>
          <w:rFonts w:ascii="Times New Roman" w:hAnsi="Times New Roman" w:cs="Times New Roman"/>
          <w:sz w:val="24"/>
          <w:szCs w:val="24"/>
        </w:rPr>
        <w:t xml:space="preserve">}, </w:t>
      </w:r>
      <w:r w:rsidR="007570AE" w:rsidRPr="003A1E0F">
        <w:rPr>
          <w:rFonts w:ascii="Times New Roman" w:hAnsi="Times New Roman" w:cs="Times New Roman"/>
          <w:sz w:val="24"/>
          <w:szCs w:val="24"/>
        </w:rPr>
        <w:t xml:space="preserve">fear of side effects </w:t>
      </w:r>
      <w:r>
        <w:rPr>
          <w:rFonts w:ascii="Times New Roman" w:hAnsi="Times New Roman" w:cs="Times New Roman"/>
          <w:sz w:val="24"/>
          <w:szCs w:val="24"/>
        </w:rPr>
        <w:t xml:space="preserve">{23.8% (n = </w:t>
      </w:r>
      <w:r w:rsidR="007570AE" w:rsidRPr="003A1E0F">
        <w:rPr>
          <w:rFonts w:ascii="Times New Roman" w:hAnsi="Times New Roman" w:cs="Times New Roman"/>
          <w:sz w:val="24"/>
          <w:szCs w:val="24"/>
        </w:rPr>
        <w:t>10</w:t>
      </w:r>
      <w:r>
        <w:rPr>
          <w:rFonts w:ascii="Times New Roman" w:hAnsi="Times New Roman" w:cs="Times New Roman"/>
          <w:sz w:val="24"/>
          <w:szCs w:val="24"/>
        </w:rPr>
        <w:t xml:space="preserve">)}, </w:t>
      </w:r>
      <w:r w:rsidR="007570AE" w:rsidRPr="003A1E0F">
        <w:rPr>
          <w:rFonts w:ascii="Times New Roman" w:hAnsi="Times New Roman" w:cs="Times New Roman"/>
          <w:sz w:val="24"/>
          <w:szCs w:val="24"/>
        </w:rPr>
        <w:t xml:space="preserve">lack of awareness </w:t>
      </w:r>
      <w:r>
        <w:rPr>
          <w:rFonts w:ascii="Times New Roman" w:hAnsi="Times New Roman" w:cs="Times New Roman"/>
          <w:sz w:val="24"/>
          <w:szCs w:val="24"/>
        </w:rPr>
        <w:t xml:space="preserve">{9.5% (n = </w:t>
      </w:r>
      <w:r w:rsidR="007570AE" w:rsidRPr="003A1E0F">
        <w:rPr>
          <w:rFonts w:ascii="Times New Roman" w:hAnsi="Times New Roman" w:cs="Times New Roman"/>
          <w:sz w:val="24"/>
          <w:szCs w:val="24"/>
        </w:rPr>
        <w:t>4</w:t>
      </w:r>
      <w:r>
        <w:rPr>
          <w:rFonts w:ascii="Times New Roman" w:hAnsi="Times New Roman" w:cs="Times New Roman"/>
          <w:sz w:val="24"/>
          <w:szCs w:val="24"/>
        </w:rPr>
        <w:t>)}</w:t>
      </w:r>
      <w:r w:rsidR="007570AE" w:rsidRPr="003A1E0F">
        <w:rPr>
          <w:rFonts w:ascii="Times New Roman" w:hAnsi="Times New Roman" w:cs="Times New Roman"/>
          <w:sz w:val="24"/>
          <w:szCs w:val="24"/>
        </w:rPr>
        <w:t xml:space="preserve">, no time </w:t>
      </w:r>
      <w:r>
        <w:rPr>
          <w:rFonts w:ascii="Times New Roman" w:hAnsi="Times New Roman" w:cs="Times New Roman"/>
          <w:sz w:val="24"/>
          <w:szCs w:val="24"/>
        </w:rPr>
        <w:t>{4.8% {n = 2</w:t>
      </w:r>
      <w:r w:rsidR="007570AE" w:rsidRPr="003A1E0F">
        <w:rPr>
          <w:rFonts w:ascii="Times New Roman" w:hAnsi="Times New Roman" w:cs="Times New Roman"/>
          <w:sz w:val="24"/>
          <w:szCs w:val="24"/>
        </w:rPr>
        <w:t>)</w:t>
      </w:r>
      <w:r>
        <w:rPr>
          <w:rFonts w:ascii="Times New Roman" w:hAnsi="Times New Roman" w:cs="Times New Roman"/>
          <w:sz w:val="24"/>
          <w:szCs w:val="24"/>
        </w:rPr>
        <w:t xml:space="preserve">}, and </w:t>
      </w:r>
      <w:r w:rsidR="007570AE" w:rsidRPr="003A1E0F">
        <w:rPr>
          <w:rFonts w:ascii="Times New Roman" w:hAnsi="Times New Roman" w:cs="Times New Roman"/>
          <w:sz w:val="24"/>
          <w:szCs w:val="24"/>
        </w:rPr>
        <w:t xml:space="preserve">other </w:t>
      </w:r>
      <w:r>
        <w:rPr>
          <w:rFonts w:ascii="Times New Roman" w:hAnsi="Times New Roman" w:cs="Times New Roman"/>
          <w:sz w:val="24"/>
          <w:szCs w:val="24"/>
        </w:rPr>
        <w:t xml:space="preserve">personal </w:t>
      </w:r>
      <w:r w:rsidR="007570AE" w:rsidRPr="003A1E0F">
        <w:rPr>
          <w:rFonts w:ascii="Times New Roman" w:hAnsi="Times New Roman" w:cs="Times New Roman"/>
          <w:sz w:val="24"/>
          <w:szCs w:val="24"/>
        </w:rPr>
        <w:t xml:space="preserve">reasons </w:t>
      </w:r>
      <w:r>
        <w:rPr>
          <w:rFonts w:ascii="Times New Roman" w:hAnsi="Times New Roman" w:cs="Times New Roman"/>
          <w:sz w:val="24"/>
          <w:szCs w:val="24"/>
        </w:rPr>
        <w:t>{16.7% (n = 7</w:t>
      </w:r>
      <w:r w:rsidR="007570AE" w:rsidRPr="003A1E0F">
        <w:rPr>
          <w:rFonts w:ascii="Times New Roman" w:hAnsi="Times New Roman" w:cs="Times New Roman"/>
          <w:sz w:val="24"/>
          <w:szCs w:val="24"/>
        </w:rPr>
        <w:t>)</w:t>
      </w:r>
      <w:r>
        <w:rPr>
          <w:rFonts w:ascii="Times New Roman" w:hAnsi="Times New Roman" w:cs="Times New Roman"/>
          <w:sz w:val="24"/>
          <w:szCs w:val="24"/>
        </w:rPr>
        <w:t>}</w:t>
      </w:r>
      <w:r w:rsidR="007570AE" w:rsidRPr="003A1E0F">
        <w:rPr>
          <w:rFonts w:ascii="Times New Roman" w:hAnsi="Times New Roman" w:cs="Times New Roman"/>
          <w:sz w:val="24"/>
          <w:szCs w:val="24"/>
        </w:rPr>
        <w:t xml:space="preserve">. </w:t>
      </w:r>
      <w:r>
        <w:rPr>
          <w:rFonts w:ascii="Times New Roman" w:hAnsi="Times New Roman" w:cs="Times New Roman"/>
          <w:sz w:val="24"/>
          <w:szCs w:val="24"/>
        </w:rPr>
        <w:t xml:space="preserve">However, most respondents </w:t>
      </w:r>
      <w:r w:rsidR="009C2E1B">
        <w:rPr>
          <w:rFonts w:ascii="Times New Roman" w:hAnsi="Times New Roman" w:cs="Times New Roman"/>
          <w:sz w:val="24"/>
          <w:szCs w:val="24"/>
        </w:rPr>
        <w:t xml:space="preserve">{59.4% (n = 120)} still </w:t>
      </w:r>
      <w:r>
        <w:rPr>
          <w:rFonts w:ascii="Times New Roman" w:hAnsi="Times New Roman" w:cs="Times New Roman"/>
          <w:sz w:val="24"/>
          <w:szCs w:val="24"/>
        </w:rPr>
        <w:t xml:space="preserve">had their </w:t>
      </w:r>
      <w:r w:rsidR="009C2E1B">
        <w:rPr>
          <w:rFonts w:ascii="Times New Roman" w:hAnsi="Times New Roman" w:cs="Times New Roman"/>
          <w:sz w:val="24"/>
          <w:szCs w:val="24"/>
        </w:rPr>
        <w:t xml:space="preserve">child’s </w:t>
      </w:r>
      <w:r w:rsidR="007570AE" w:rsidRPr="003A1E0F">
        <w:rPr>
          <w:rFonts w:ascii="Times New Roman" w:hAnsi="Times New Roman" w:cs="Times New Roman"/>
          <w:sz w:val="24"/>
          <w:szCs w:val="24"/>
        </w:rPr>
        <w:t xml:space="preserve">vaccination cards, </w:t>
      </w:r>
      <w:r w:rsidR="009C2E1B">
        <w:rPr>
          <w:rFonts w:ascii="Times New Roman" w:hAnsi="Times New Roman" w:cs="Times New Roman"/>
          <w:sz w:val="24"/>
          <w:szCs w:val="24"/>
        </w:rPr>
        <w:t xml:space="preserve">5.4% (n = 11) did not have at all, and 35.1% (n = 71) reported having lost </w:t>
      </w:r>
      <w:r w:rsidR="007570AE" w:rsidRPr="003A1E0F">
        <w:rPr>
          <w:rFonts w:ascii="Times New Roman" w:hAnsi="Times New Roman" w:cs="Times New Roman"/>
          <w:sz w:val="24"/>
          <w:szCs w:val="24"/>
        </w:rPr>
        <w:t>it</w:t>
      </w:r>
      <w:r w:rsidR="009C2E1B">
        <w:rPr>
          <w:rFonts w:ascii="Times New Roman" w:hAnsi="Times New Roman" w:cs="Times New Roman"/>
          <w:sz w:val="24"/>
          <w:szCs w:val="24"/>
        </w:rPr>
        <w:t xml:space="preserve">. </w:t>
      </w:r>
    </w:p>
    <w:p w14:paraId="0D3665B3" w14:textId="06ED28F2" w:rsidR="001051AA" w:rsidRPr="003A1E0F" w:rsidRDefault="00D93D54" w:rsidP="001051AA">
      <w:pPr>
        <w:spacing w:line="360" w:lineRule="auto"/>
        <w:jc w:val="both"/>
        <w:rPr>
          <w:rFonts w:ascii="Times New Roman" w:hAnsi="Times New Roman" w:cs="Times New Roman"/>
          <w:sz w:val="24"/>
          <w:szCs w:val="24"/>
        </w:rPr>
      </w:pPr>
      <w:r w:rsidRPr="003A1E0F">
        <w:rPr>
          <w:rFonts w:ascii="Times New Roman" w:hAnsi="Times New Roman" w:cs="Times New Roman"/>
          <w:sz w:val="24"/>
          <w:szCs w:val="24"/>
        </w:rPr>
        <w:lastRenderedPageBreak/>
        <w:t>Cons</w:t>
      </w:r>
      <w:r>
        <w:rPr>
          <w:rFonts w:ascii="Times New Roman" w:hAnsi="Times New Roman" w:cs="Times New Roman"/>
          <w:sz w:val="24"/>
          <w:szCs w:val="24"/>
        </w:rPr>
        <w:t>idering distance travelled to the health facility, upwards of one-half {n = 112 (55.4%)}</w:t>
      </w:r>
      <w:r w:rsidRPr="003A1E0F">
        <w:rPr>
          <w:rFonts w:ascii="Times New Roman" w:hAnsi="Times New Roman" w:cs="Times New Roman"/>
          <w:sz w:val="24"/>
          <w:szCs w:val="24"/>
        </w:rPr>
        <w:t xml:space="preserve"> of respondents reported tra</w:t>
      </w:r>
      <w:r>
        <w:rPr>
          <w:rFonts w:ascii="Times New Roman" w:hAnsi="Times New Roman" w:cs="Times New Roman"/>
          <w:sz w:val="24"/>
          <w:szCs w:val="24"/>
        </w:rPr>
        <w:t>veling between 2–5 km</w:t>
      </w:r>
      <w:r w:rsidRPr="003A1E0F">
        <w:rPr>
          <w:rFonts w:ascii="Times New Roman" w:hAnsi="Times New Roman" w:cs="Times New Roman"/>
          <w:sz w:val="24"/>
          <w:szCs w:val="24"/>
        </w:rPr>
        <w:t xml:space="preserve">, </w:t>
      </w:r>
      <w:r w:rsidR="002A1378">
        <w:rPr>
          <w:rFonts w:ascii="Times New Roman" w:hAnsi="Times New Roman" w:cs="Times New Roman"/>
          <w:sz w:val="24"/>
          <w:szCs w:val="24"/>
        </w:rPr>
        <w:t>about two fifths {n = 81 (</w:t>
      </w:r>
      <w:r>
        <w:rPr>
          <w:rFonts w:ascii="Times New Roman" w:hAnsi="Times New Roman" w:cs="Times New Roman"/>
          <w:sz w:val="24"/>
          <w:szCs w:val="24"/>
        </w:rPr>
        <w:t>40.1%</w:t>
      </w:r>
      <w:r w:rsidR="002A1378">
        <w:rPr>
          <w:rFonts w:ascii="Times New Roman" w:hAnsi="Times New Roman" w:cs="Times New Roman"/>
          <w:sz w:val="24"/>
          <w:szCs w:val="24"/>
        </w:rPr>
        <w:t>)</w:t>
      </w:r>
      <w:r>
        <w:rPr>
          <w:rFonts w:ascii="Times New Roman" w:hAnsi="Times New Roman" w:cs="Times New Roman"/>
          <w:sz w:val="24"/>
          <w:szCs w:val="24"/>
        </w:rPr>
        <w:t xml:space="preserve">} </w:t>
      </w:r>
      <w:r w:rsidR="002A1378">
        <w:rPr>
          <w:rFonts w:ascii="Times New Roman" w:hAnsi="Times New Roman" w:cs="Times New Roman"/>
          <w:sz w:val="24"/>
          <w:szCs w:val="24"/>
        </w:rPr>
        <w:t xml:space="preserve">travelled </w:t>
      </w:r>
      <w:r w:rsidRPr="003A1E0F">
        <w:rPr>
          <w:rFonts w:ascii="Times New Roman" w:hAnsi="Times New Roman" w:cs="Times New Roman"/>
          <w:sz w:val="24"/>
          <w:szCs w:val="24"/>
        </w:rPr>
        <w:t xml:space="preserve">2 km </w:t>
      </w:r>
      <w:r>
        <w:rPr>
          <w:rFonts w:ascii="Times New Roman" w:hAnsi="Times New Roman" w:cs="Times New Roman"/>
          <w:sz w:val="24"/>
          <w:szCs w:val="24"/>
        </w:rPr>
        <w:t xml:space="preserve">of the health facility, </w:t>
      </w:r>
      <w:r w:rsidR="002A1378">
        <w:rPr>
          <w:rFonts w:ascii="Times New Roman" w:hAnsi="Times New Roman" w:cs="Times New Roman"/>
          <w:sz w:val="24"/>
          <w:szCs w:val="24"/>
        </w:rPr>
        <w:t xml:space="preserve">some respondents {n = 8 (4%)} often commuted </w:t>
      </w:r>
      <w:r w:rsidRPr="003A1E0F">
        <w:rPr>
          <w:rFonts w:ascii="Times New Roman" w:hAnsi="Times New Roman" w:cs="Times New Roman"/>
          <w:sz w:val="24"/>
          <w:szCs w:val="24"/>
        </w:rPr>
        <w:t xml:space="preserve">5 km </w:t>
      </w:r>
      <w:r>
        <w:rPr>
          <w:rFonts w:ascii="Times New Roman" w:hAnsi="Times New Roman" w:cs="Times New Roman"/>
          <w:sz w:val="24"/>
          <w:szCs w:val="24"/>
        </w:rPr>
        <w:t>or more to the health facility</w:t>
      </w:r>
      <w:r w:rsidRPr="003A1E0F">
        <w:rPr>
          <w:rFonts w:ascii="Times New Roman" w:hAnsi="Times New Roman" w:cs="Times New Roman"/>
          <w:sz w:val="24"/>
          <w:szCs w:val="24"/>
        </w:rPr>
        <w:t xml:space="preserve">, </w:t>
      </w:r>
      <w:r w:rsidR="002A1378">
        <w:rPr>
          <w:rFonts w:ascii="Times New Roman" w:hAnsi="Times New Roman" w:cs="Times New Roman"/>
          <w:sz w:val="24"/>
          <w:szCs w:val="24"/>
        </w:rPr>
        <w:t>while</w:t>
      </w:r>
      <w:r w:rsidRPr="003A1E0F">
        <w:rPr>
          <w:rFonts w:ascii="Times New Roman" w:hAnsi="Times New Roman" w:cs="Times New Roman"/>
          <w:sz w:val="24"/>
          <w:szCs w:val="24"/>
        </w:rPr>
        <w:t xml:space="preserve"> </w:t>
      </w:r>
      <w:r w:rsidR="002A1378">
        <w:rPr>
          <w:rFonts w:ascii="Times New Roman" w:hAnsi="Times New Roman" w:cs="Times New Roman"/>
          <w:sz w:val="24"/>
          <w:szCs w:val="24"/>
        </w:rPr>
        <w:t>a very minute number {n = 1 (</w:t>
      </w:r>
      <w:r>
        <w:rPr>
          <w:rFonts w:ascii="Times New Roman" w:hAnsi="Times New Roman" w:cs="Times New Roman"/>
          <w:sz w:val="24"/>
          <w:szCs w:val="24"/>
        </w:rPr>
        <w:t>0.5%</w:t>
      </w:r>
      <w:r w:rsidR="002A1378">
        <w:rPr>
          <w:rFonts w:ascii="Times New Roman" w:hAnsi="Times New Roman" w:cs="Times New Roman"/>
          <w:sz w:val="24"/>
          <w:szCs w:val="24"/>
        </w:rPr>
        <w:t>)</w:t>
      </w:r>
      <w:r>
        <w:rPr>
          <w:rFonts w:ascii="Times New Roman" w:hAnsi="Times New Roman" w:cs="Times New Roman"/>
          <w:sz w:val="24"/>
          <w:szCs w:val="24"/>
        </w:rPr>
        <w:t>} were unsure as to the exact distances travelled when accessing 2YL immunization services</w:t>
      </w:r>
      <w:r w:rsidRPr="003A1E0F">
        <w:rPr>
          <w:rFonts w:ascii="Times New Roman" w:hAnsi="Times New Roman" w:cs="Times New Roman"/>
          <w:sz w:val="24"/>
          <w:szCs w:val="24"/>
        </w:rPr>
        <w:t xml:space="preserve">. </w:t>
      </w:r>
      <w:r>
        <w:rPr>
          <w:rFonts w:ascii="Times New Roman" w:hAnsi="Times New Roman" w:cs="Times New Roman"/>
          <w:sz w:val="24"/>
          <w:szCs w:val="24"/>
        </w:rPr>
        <w:t xml:space="preserve">However, most caregivers {n = 119 (58.9%)} did submit that they relied on public transport for travel to service delivery points, </w:t>
      </w:r>
      <w:r w:rsidR="008B4E92">
        <w:rPr>
          <w:rFonts w:ascii="Times New Roman" w:hAnsi="Times New Roman" w:cs="Times New Roman"/>
          <w:sz w:val="24"/>
          <w:szCs w:val="24"/>
        </w:rPr>
        <w:t xml:space="preserve">upwards of one-third {n = 68 (33.7%)} often walked to and from the health facility, </w:t>
      </w:r>
      <w:r w:rsidR="002A1378">
        <w:rPr>
          <w:rFonts w:ascii="Times New Roman" w:hAnsi="Times New Roman" w:cs="Times New Roman"/>
          <w:sz w:val="24"/>
          <w:szCs w:val="24"/>
        </w:rPr>
        <w:t>about one-tenth {n = 17 (</w:t>
      </w:r>
      <w:r>
        <w:rPr>
          <w:rFonts w:ascii="Times New Roman" w:hAnsi="Times New Roman" w:cs="Times New Roman"/>
          <w:sz w:val="24"/>
          <w:szCs w:val="24"/>
        </w:rPr>
        <w:t>8.4%</w:t>
      </w:r>
      <w:r w:rsidR="002A1378">
        <w:rPr>
          <w:rFonts w:ascii="Times New Roman" w:hAnsi="Times New Roman" w:cs="Times New Roman"/>
          <w:sz w:val="24"/>
          <w:szCs w:val="24"/>
        </w:rPr>
        <w:t>)</w:t>
      </w:r>
      <w:r>
        <w:rPr>
          <w:rFonts w:ascii="Times New Roman" w:hAnsi="Times New Roman" w:cs="Times New Roman"/>
          <w:sz w:val="24"/>
          <w:szCs w:val="24"/>
        </w:rPr>
        <w:t xml:space="preserve">} made use of private vehicular transport, </w:t>
      </w:r>
      <w:r w:rsidR="008B4E92">
        <w:rPr>
          <w:rFonts w:ascii="Times New Roman" w:hAnsi="Times New Roman" w:cs="Times New Roman"/>
          <w:sz w:val="24"/>
          <w:szCs w:val="24"/>
        </w:rPr>
        <w:t xml:space="preserve">while an insignificant number {n = 1 (0.5%)} used bicycles for transportation to access 2YL services at the </w:t>
      </w:r>
      <w:r>
        <w:rPr>
          <w:rFonts w:ascii="Times New Roman" w:hAnsi="Times New Roman" w:cs="Times New Roman"/>
          <w:sz w:val="24"/>
          <w:szCs w:val="24"/>
        </w:rPr>
        <w:t xml:space="preserve">health facility. The corresponding times of travel to the health facility did further corroborate these access parameters with </w:t>
      </w:r>
      <w:r w:rsidR="008B4E92">
        <w:rPr>
          <w:rFonts w:ascii="Times New Roman" w:hAnsi="Times New Roman" w:cs="Times New Roman"/>
          <w:sz w:val="24"/>
          <w:szCs w:val="24"/>
        </w:rPr>
        <w:t>j</w:t>
      </w:r>
      <w:r w:rsidR="00C92006">
        <w:rPr>
          <w:rFonts w:ascii="Times New Roman" w:hAnsi="Times New Roman" w:cs="Times New Roman"/>
          <w:sz w:val="24"/>
          <w:szCs w:val="24"/>
        </w:rPr>
        <w:t>ust under one-half of caregiver</w:t>
      </w:r>
      <w:r w:rsidR="008B4E92">
        <w:rPr>
          <w:rFonts w:ascii="Times New Roman" w:hAnsi="Times New Roman" w:cs="Times New Roman"/>
          <w:sz w:val="24"/>
          <w:szCs w:val="24"/>
        </w:rPr>
        <w:t>s {n = 87 (</w:t>
      </w:r>
      <w:r>
        <w:rPr>
          <w:rFonts w:ascii="Times New Roman" w:hAnsi="Times New Roman" w:cs="Times New Roman"/>
          <w:sz w:val="24"/>
          <w:szCs w:val="24"/>
        </w:rPr>
        <w:t>43.1%</w:t>
      </w:r>
      <w:r w:rsidR="008B4E92">
        <w:rPr>
          <w:rFonts w:ascii="Times New Roman" w:hAnsi="Times New Roman" w:cs="Times New Roman"/>
          <w:sz w:val="24"/>
          <w:szCs w:val="24"/>
        </w:rPr>
        <w:t>)</w:t>
      </w:r>
      <w:r w:rsidR="00C92006">
        <w:rPr>
          <w:rFonts w:ascii="Times New Roman" w:hAnsi="Times New Roman" w:cs="Times New Roman"/>
          <w:sz w:val="24"/>
          <w:szCs w:val="24"/>
        </w:rPr>
        <w:t>} volunteered commut</w:t>
      </w:r>
      <w:r>
        <w:rPr>
          <w:rFonts w:ascii="Times New Roman" w:hAnsi="Times New Roman" w:cs="Times New Roman"/>
          <w:sz w:val="24"/>
          <w:szCs w:val="24"/>
        </w:rPr>
        <w:t>ing le</w:t>
      </w:r>
      <w:r w:rsidR="00C92006">
        <w:rPr>
          <w:rFonts w:ascii="Times New Roman" w:hAnsi="Times New Roman" w:cs="Times New Roman"/>
          <w:sz w:val="24"/>
          <w:szCs w:val="24"/>
        </w:rPr>
        <w:t>ss than thirty minutes to</w:t>
      </w:r>
      <w:r>
        <w:rPr>
          <w:rFonts w:ascii="Times New Roman" w:hAnsi="Times New Roman" w:cs="Times New Roman"/>
          <w:sz w:val="24"/>
          <w:szCs w:val="24"/>
        </w:rPr>
        <w:t xml:space="preserve"> the health facility, </w:t>
      </w:r>
      <w:r w:rsidR="00C92006">
        <w:rPr>
          <w:rFonts w:ascii="Times New Roman" w:hAnsi="Times New Roman" w:cs="Times New Roman"/>
          <w:sz w:val="24"/>
          <w:szCs w:val="24"/>
        </w:rPr>
        <w:t>about one-half {n = 105 (52%)</w:t>
      </w:r>
      <w:r>
        <w:rPr>
          <w:rFonts w:ascii="Times New Roman" w:hAnsi="Times New Roman" w:cs="Times New Roman"/>
          <w:sz w:val="24"/>
          <w:szCs w:val="24"/>
        </w:rPr>
        <w:t xml:space="preserve">} </w:t>
      </w:r>
      <w:r w:rsidR="00C92006">
        <w:rPr>
          <w:rFonts w:ascii="Times New Roman" w:hAnsi="Times New Roman" w:cs="Times New Roman"/>
          <w:sz w:val="24"/>
          <w:szCs w:val="24"/>
        </w:rPr>
        <w:t xml:space="preserve">admitted to commuting above thirty minutes but just under or about an hour </w:t>
      </w:r>
      <w:r>
        <w:rPr>
          <w:rFonts w:ascii="Times New Roman" w:hAnsi="Times New Roman" w:cs="Times New Roman"/>
          <w:sz w:val="24"/>
          <w:szCs w:val="24"/>
        </w:rPr>
        <w:t xml:space="preserve">to access services, and </w:t>
      </w:r>
      <w:r w:rsidR="00C92006">
        <w:rPr>
          <w:rFonts w:ascii="Times New Roman" w:hAnsi="Times New Roman" w:cs="Times New Roman"/>
          <w:sz w:val="24"/>
          <w:szCs w:val="24"/>
        </w:rPr>
        <w:t>a scant proportion {n = 10 (</w:t>
      </w:r>
      <w:r>
        <w:rPr>
          <w:rFonts w:ascii="Times New Roman" w:hAnsi="Times New Roman" w:cs="Times New Roman"/>
          <w:sz w:val="24"/>
          <w:szCs w:val="24"/>
        </w:rPr>
        <w:t>5</w:t>
      </w:r>
      <w:proofErr w:type="gramStart"/>
      <w:r>
        <w:rPr>
          <w:rFonts w:ascii="Times New Roman" w:hAnsi="Times New Roman" w:cs="Times New Roman"/>
          <w:sz w:val="24"/>
          <w:szCs w:val="24"/>
        </w:rPr>
        <w:t xml:space="preserve">% </w:t>
      </w:r>
      <w:r w:rsidR="00C92006">
        <w:rPr>
          <w:rFonts w:ascii="Times New Roman" w:hAnsi="Times New Roman" w:cs="Times New Roman"/>
          <w:sz w:val="24"/>
          <w:szCs w:val="24"/>
        </w:rPr>
        <w:t>)</w:t>
      </w:r>
      <w:proofErr w:type="gramEnd"/>
      <w:r w:rsidR="00C92006">
        <w:rPr>
          <w:rFonts w:ascii="Times New Roman" w:hAnsi="Times New Roman" w:cs="Times New Roman"/>
          <w:sz w:val="24"/>
          <w:szCs w:val="24"/>
        </w:rPr>
        <w:t>} did require</w:t>
      </w:r>
      <w:r>
        <w:rPr>
          <w:rFonts w:ascii="Times New Roman" w:hAnsi="Times New Roman" w:cs="Times New Roman"/>
          <w:sz w:val="24"/>
          <w:szCs w:val="24"/>
        </w:rPr>
        <w:t xml:space="preserve"> over an hour to reach the service delivery point. </w:t>
      </w:r>
      <w:r w:rsidR="002C0DC9">
        <w:rPr>
          <w:rFonts w:ascii="Times New Roman" w:hAnsi="Times New Roman" w:cs="Times New Roman"/>
          <w:sz w:val="24"/>
          <w:szCs w:val="24"/>
        </w:rPr>
        <w:t>See table 3</w:t>
      </w:r>
      <w:r w:rsidR="00636307">
        <w:rPr>
          <w:rFonts w:ascii="Times New Roman" w:hAnsi="Times New Roman" w:cs="Times New Roman"/>
          <w:sz w:val="24"/>
          <w:szCs w:val="24"/>
        </w:rPr>
        <w:t>.</w:t>
      </w:r>
    </w:p>
    <w:p w14:paraId="7E5EC569" w14:textId="57239CAD" w:rsidR="0042175A" w:rsidRPr="003A1E0F" w:rsidRDefault="002C0DC9" w:rsidP="001051AA">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42175A" w:rsidRPr="003A1E0F">
        <w:rPr>
          <w:rFonts w:ascii="Times New Roman" w:hAnsi="Times New Roman" w:cs="Times New Roman"/>
          <w:sz w:val="24"/>
          <w:szCs w:val="24"/>
        </w:rPr>
        <w:t xml:space="preserve">: </w:t>
      </w:r>
      <w:r w:rsidR="007F0403">
        <w:rPr>
          <w:rFonts w:ascii="Times New Roman" w:hAnsi="Times New Roman" w:cs="Times New Roman"/>
          <w:sz w:val="24"/>
          <w:szCs w:val="24"/>
        </w:rPr>
        <w:t xml:space="preserve">Availability, </w:t>
      </w:r>
      <w:r w:rsidR="0042175A" w:rsidRPr="003A1E0F">
        <w:rPr>
          <w:rFonts w:ascii="Times New Roman" w:hAnsi="Times New Roman" w:cs="Times New Roman"/>
          <w:sz w:val="24"/>
          <w:szCs w:val="24"/>
        </w:rPr>
        <w:t>Access</w:t>
      </w:r>
      <w:r>
        <w:rPr>
          <w:rFonts w:ascii="Times New Roman" w:hAnsi="Times New Roman" w:cs="Times New Roman"/>
          <w:sz w:val="24"/>
          <w:szCs w:val="24"/>
        </w:rPr>
        <w:t xml:space="preserve">, </w:t>
      </w:r>
      <w:r w:rsidR="0042175A" w:rsidRPr="003A1E0F">
        <w:rPr>
          <w:rFonts w:ascii="Times New Roman" w:hAnsi="Times New Roman" w:cs="Times New Roman"/>
          <w:sz w:val="24"/>
          <w:szCs w:val="24"/>
        </w:rPr>
        <w:t xml:space="preserve">and Utilization of Second-Year-of-Life (2YL) Immunization </w:t>
      </w:r>
      <w:r>
        <w:rPr>
          <w:rFonts w:ascii="Times New Roman" w:hAnsi="Times New Roman" w:cs="Times New Roman"/>
          <w:sz w:val="24"/>
          <w:szCs w:val="24"/>
        </w:rPr>
        <w:t>(</w:t>
      </w:r>
      <w:r w:rsidR="0042175A" w:rsidRPr="003A1E0F">
        <w:rPr>
          <w:rFonts w:ascii="Times New Roman" w:hAnsi="Times New Roman" w:cs="Times New Roman"/>
          <w:sz w:val="24"/>
          <w:szCs w:val="24"/>
        </w:rPr>
        <w:t>n=202</w:t>
      </w:r>
      <w:r>
        <w:rPr>
          <w:rFonts w:ascii="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1"/>
        <w:gridCol w:w="1310"/>
        <w:gridCol w:w="1604"/>
      </w:tblGrid>
      <w:tr w:rsidR="0042175A" w:rsidRPr="003A1E0F" w14:paraId="43521311" w14:textId="77777777" w:rsidTr="00CC1962">
        <w:trPr>
          <w:trHeight w:val="296"/>
        </w:trPr>
        <w:tc>
          <w:tcPr>
            <w:tcW w:w="7015" w:type="dxa"/>
            <w:tcBorders>
              <w:top w:val="single" w:sz="4" w:space="0" w:color="auto"/>
              <w:bottom w:val="single" w:sz="4" w:space="0" w:color="auto"/>
            </w:tcBorders>
          </w:tcPr>
          <w:p w14:paraId="14C84E66" w14:textId="77777777" w:rsidR="0042175A" w:rsidRPr="003A1E0F" w:rsidRDefault="0042175A"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Variables </w:t>
            </w:r>
          </w:p>
        </w:tc>
        <w:tc>
          <w:tcPr>
            <w:tcW w:w="990" w:type="dxa"/>
            <w:tcBorders>
              <w:top w:val="single" w:sz="4" w:space="0" w:color="auto"/>
              <w:bottom w:val="single" w:sz="4" w:space="0" w:color="auto"/>
            </w:tcBorders>
          </w:tcPr>
          <w:p w14:paraId="63745F44" w14:textId="77777777" w:rsidR="0042175A" w:rsidRPr="003A1E0F" w:rsidRDefault="0042175A"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Frequency </w:t>
            </w:r>
          </w:p>
        </w:tc>
        <w:tc>
          <w:tcPr>
            <w:tcW w:w="1620" w:type="dxa"/>
            <w:tcBorders>
              <w:top w:val="single" w:sz="4" w:space="0" w:color="auto"/>
              <w:bottom w:val="single" w:sz="4" w:space="0" w:color="auto"/>
            </w:tcBorders>
          </w:tcPr>
          <w:p w14:paraId="0277A719" w14:textId="77777777" w:rsidR="0042175A" w:rsidRPr="003A1E0F" w:rsidRDefault="0042175A"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Percentage </w:t>
            </w:r>
          </w:p>
        </w:tc>
      </w:tr>
      <w:tr w:rsidR="0042175A" w:rsidRPr="003A1E0F" w14:paraId="201E2E38" w14:textId="77777777" w:rsidTr="00CC1962">
        <w:trPr>
          <w:trHeight w:val="296"/>
        </w:trPr>
        <w:tc>
          <w:tcPr>
            <w:tcW w:w="7015" w:type="dxa"/>
            <w:tcBorders>
              <w:top w:val="single" w:sz="4" w:space="0" w:color="auto"/>
            </w:tcBorders>
          </w:tcPr>
          <w:p w14:paraId="3EB25ABB"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Are immunization services for children aged 12–24 months available in your area?</w:t>
            </w:r>
          </w:p>
        </w:tc>
        <w:tc>
          <w:tcPr>
            <w:tcW w:w="990" w:type="dxa"/>
            <w:tcBorders>
              <w:top w:val="single" w:sz="4" w:space="0" w:color="auto"/>
            </w:tcBorders>
          </w:tcPr>
          <w:p w14:paraId="5B4F8376"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Borders>
              <w:top w:val="single" w:sz="4" w:space="0" w:color="auto"/>
            </w:tcBorders>
          </w:tcPr>
          <w:p w14:paraId="1473234E"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6C6BC714" w14:textId="77777777" w:rsidTr="00CC1962">
        <w:trPr>
          <w:trHeight w:val="70"/>
        </w:trPr>
        <w:tc>
          <w:tcPr>
            <w:tcW w:w="7015" w:type="dxa"/>
          </w:tcPr>
          <w:p w14:paraId="40DFEDBD"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990" w:type="dxa"/>
          </w:tcPr>
          <w:p w14:paraId="69B04BDE"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190</w:t>
            </w:r>
          </w:p>
        </w:tc>
        <w:tc>
          <w:tcPr>
            <w:tcW w:w="1620" w:type="dxa"/>
          </w:tcPr>
          <w:p w14:paraId="2B5B662E"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94.1</w:t>
            </w:r>
          </w:p>
        </w:tc>
      </w:tr>
      <w:tr w:rsidR="0042175A" w:rsidRPr="003A1E0F" w14:paraId="1E2EE8B7" w14:textId="77777777" w:rsidTr="00CC1962">
        <w:trPr>
          <w:trHeight w:val="70"/>
        </w:trPr>
        <w:tc>
          <w:tcPr>
            <w:tcW w:w="7015" w:type="dxa"/>
          </w:tcPr>
          <w:p w14:paraId="7DC1385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990" w:type="dxa"/>
          </w:tcPr>
          <w:p w14:paraId="789B0EA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w:t>
            </w:r>
          </w:p>
        </w:tc>
        <w:tc>
          <w:tcPr>
            <w:tcW w:w="1620" w:type="dxa"/>
          </w:tcPr>
          <w:p w14:paraId="6F8D637F"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w:t>
            </w:r>
          </w:p>
        </w:tc>
      </w:tr>
      <w:tr w:rsidR="0042175A" w:rsidRPr="003A1E0F" w14:paraId="1D5D047E" w14:textId="77777777" w:rsidTr="00CC1962">
        <w:trPr>
          <w:trHeight w:val="70"/>
        </w:trPr>
        <w:tc>
          <w:tcPr>
            <w:tcW w:w="7015" w:type="dxa"/>
          </w:tcPr>
          <w:p w14:paraId="08A2656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990" w:type="dxa"/>
          </w:tcPr>
          <w:p w14:paraId="5919381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w:t>
            </w:r>
          </w:p>
        </w:tc>
        <w:tc>
          <w:tcPr>
            <w:tcW w:w="1620" w:type="dxa"/>
          </w:tcPr>
          <w:p w14:paraId="3788FCF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5.0</w:t>
            </w:r>
          </w:p>
        </w:tc>
      </w:tr>
      <w:tr w:rsidR="0042175A" w:rsidRPr="003A1E0F" w14:paraId="6CC2581E" w14:textId="77777777" w:rsidTr="00CC1962">
        <w:trPr>
          <w:trHeight w:val="70"/>
        </w:trPr>
        <w:tc>
          <w:tcPr>
            <w:tcW w:w="7015" w:type="dxa"/>
          </w:tcPr>
          <w:p w14:paraId="1482262D"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 xml:space="preserve">How are the services provided </w:t>
            </w:r>
          </w:p>
        </w:tc>
        <w:tc>
          <w:tcPr>
            <w:tcW w:w="990" w:type="dxa"/>
          </w:tcPr>
          <w:p w14:paraId="5FFF3C00"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5DADB9EB"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2561B5BD" w14:textId="77777777" w:rsidTr="00CC1962">
        <w:trPr>
          <w:trHeight w:val="70"/>
        </w:trPr>
        <w:tc>
          <w:tcPr>
            <w:tcW w:w="7015" w:type="dxa"/>
          </w:tcPr>
          <w:p w14:paraId="76BB5861"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Regularly (on scheduled days)</w:t>
            </w:r>
          </w:p>
        </w:tc>
        <w:tc>
          <w:tcPr>
            <w:tcW w:w="990" w:type="dxa"/>
          </w:tcPr>
          <w:p w14:paraId="0C3A6738"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158</w:t>
            </w:r>
          </w:p>
        </w:tc>
        <w:tc>
          <w:tcPr>
            <w:tcW w:w="1620" w:type="dxa"/>
          </w:tcPr>
          <w:p w14:paraId="37968B1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78.2</w:t>
            </w:r>
          </w:p>
        </w:tc>
      </w:tr>
      <w:tr w:rsidR="0042175A" w:rsidRPr="003A1E0F" w14:paraId="34720921" w14:textId="77777777" w:rsidTr="00CC1962">
        <w:trPr>
          <w:trHeight w:val="70"/>
        </w:trPr>
        <w:tc>
          <w:tcPr>
            <w:tcW w:w="7015" w:type="dxa"/>
          </w:tcPr>
          <w:p w14:paraId="3085CDB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Occasionally</w:t>
            </w:r>
          </w:p>
        </w:tc>
        <w:tc>
          <w:tcPr>
            <w:tcW w:w="990" w:type="dxa"/>
          </w:tcPr>
          <w:p w14:paraId="1832500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30</w:t>
            </w:r>
          </w:p>
        </w:tc>
        <w:tc>
          <w:tcPr>
            <w:tcW w:w="1620" w:type="dxa"/>
          </w:tcPr>
          <w:p w14:paraId="5D3424B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14.9</w:t>
            </w:r>
          </w:p>
        </w:tc>
      </w:tr>
      <w:tr w:rsidR="0042175A" w:rsidRPr="003A1E0F" w14:paraId="1740C183" w14:textId="77777777" w:rsidTr="00CC1962">
        <w:trPr>
          <w:trHeight w:val="70"/>
        </w:trPr>
        <w:tc>
          <w:tcPr>
            <w:tcW w:w="7015" w:type="dxa"/>
          </w:tcPr>
          <w:p w14:paraId="15D4FFBF"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990" w:type="dxa"/>
          </w:tcPr>
          <w:p w14:paraId="2764042D"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14</w:t>
            </w:r>
          </w:p>
        </w:tc>
        <w:tc>
          <w:tcPr>
            <w:tcW w:w="1620" w:type="dxa"/>
          </w:tcPr>
          <w:p w14:paraId="4300F84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6.9</w:t>
            </w:r>
          </w:p>
        </w:tc>
      </w:tr>
      <w:tr w:rsidR="0042175A" w:rsidRPr="003A1E0F" w14:paraId="68A5F854" w14:textId="77777777" w:rsidTr="00CC1962">
        <w:trPr>
          <w:trHeight w:val="261"/>
        </w:trPr>
        <w:tc>
          <w:tcPr>
            <w:tcW w:w="7015" w:type="dxa"/>
          </w:tcPr>
          <w:p w14:paraId="2A4C87A6"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How far is the nearest health facility that offers child immunization?</w:t>
            </w:r>
          </w:p>
        </w:tc>
        <w:tc>
          <w:tcPr>
            <w:tcW w:w="990" w:type="dxa"/>
          </w:tcPr>
          <w:p w14:paraId="54FCA29A"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7AF6C9BB"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1C8B51BB" w14:textId="77777777" w:rsidTr="00CC1962">
        <w:trPr>
          <w:trHeight w:val="70"/>
        </w:trPr>
        <w:tc>
          <w:tcPr>
            <w:tcW w:w="7015" w:type="dxa"/>
          </w:tcPr>
          <w:p w14:paraId="42348FD9"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Less than 2 km</w:t>
            </w:r>
          </w:p>
        </w:tc>
        <w:tc>
          <w:tcPr>
            <w:tcW w:w="990" w:type="dxa"/>
          </w:tcPr>
          <w:p w14:paraId="757F4FC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81</w:t>
            </w:r>
          </w:p>
        </w:tc>
        <w:tc>
          <w:tcPr>
            <w:tcW w:w="1620" w:type="dxa"/>
          </w:tcPr>
          <w:p w14:paraId="30252864"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40.1</w:t>
            </w:r>
          </w:p>
        </w:tc>
      </w:tr>
      <w:tr w:rsidR="0042175A" w:rsidRPr="003A1E0F" w14:paraId="1793D58E" w14:textId="77777777" w:rsidTr="00CC1962">
        <w:trPr>
          <w:trHeight w:val="70"/>
        </w:trPr>
        <w:tc>
          <w:tcPr>
            <w:tcW w:w="7015" w:type="dxa"/>
          </w:tcPr>
          <w:p w14:paraId="27CB3EC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2–5 km</w:t>
            </w:r>
          </w:p>
        </w:tc>
        <w:tc>
          <w:tcPr>
            <w:tcW w:w="990" w:type="dxa"/>
          </w:tcPr>
          <w:p w14:paraId="3B3391C9"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112</w:t>
            </w:r>
          </w:p>
        </w:tc>
        <w:tc>
          <w:tcPr>
            <w:tcW w:w="1620" w:type="dxa"/>
          </w:tcPr>
          <w:p w14:paraId="446CA8C8"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55.4</w:t>
            </w:r>
          </w:p>
        </w:tc>
      </w:tr>
      <w:tr w:rsidR="0042175A" w:rsidRPr="003A1E0F" w14:paraId="1EDB4308" w14:textId="77777777" w:rsidTr="00CC1962">
        <w:trPr>
          <w:trHeight w:val="70"/>
        </w:trPr>
        <w:tc>
          <w:tcPr>
            <w:tcW w:w="7015" w:type="dxa"/>
          </w:tcPr>
          <w:p w14:paraId="1D745459"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lastRenderedPageBreak/>
              <w:t>More than 5 km</w:t>
            </w:r>
          </w:p>
        </w:tc>
        <w:tc>
          <w:tcPr>
            <w:tcW w:w="990" w:type="dxa"/>
          </w:tcPr>
          <w:p w14:paraId="12D490CF"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w:t>
            </w:r>
          </w:p>
        </w:tc>
        <w:tc>
          <w:tcPr>
            <w:tcW w:w="1620" w:type="dxa"/>
          </w:tcPr>
          <w:p w14:paraId="7FC40AB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4.0</w:t>
            </w:r>
          </w:p>
        </w:tc>
      </w:tr>
      <w:tr w:rsidR="0042175A" w:rsidRPr="003A1E0F" w14:paraId="14E267D8" w14:textId="77777777" w:rsidTr="00CC1962">
        <w:trPr>
          <w:trHeight w:val="70"/>
        </w:trPr>
        <w:tc>
          <w:tcPr>
            <w:tcW w:w="7015" w:type="dxa"/>
          </w:tcPr>
          <w:p w14:paraId="5CA740D4"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990" w:type="dxa"/>
          </w:tcPr>
          <w:p w14:paraId="176EE454"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w:t>
            </w:r>
          </w:p>
        </w:tc>
        <w:tc>
          <w:tcPr>
            <w:tcW w:w="1620" w:type="dxa"/>
          </w:tcPr>
          <w:p w14:paraId="143A1FCB" w14:textId="4405C5DE" w:rsidR="0042175A" w:rsidRPr="003A1E0F" w:rsidRDefault="00A13EB0" w:rsidP="007570AE">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r w:rsidR="0042175A" w:rsidRPr="003A1E0F">
              <w:rPr>
                <w:rFonts w:ascii="Times New Roman" w:hAnsi="Times New Roman" w:cs="Times New Roman"/>
                <w:sz w:val="24"/>
                <w:szCs w:val="24"/>
              </w:rPr>
              <w:t>.5</w:t>
            </w:r>
          </w:p>
        </w:tc>
      </w:tr>
      <w:tr w:rsidR="0042175A" w:rsidRPr="003A1E0F" w14:paraId="6F6A86E8" w14:textId="77777777" w:rsidTr="00CC1962">
        <w:trPr>
          <w:trHeight w:val="153"/>
        </w:trPr>
        <w:tc>
          <w:tcPr>
            <w:tcW w:w="7015" w:type="dxa"/>
          </w:tcPr>
          <w:p w14:paraId="4CB68CAE"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What is your main mode of transport to the health facility?</w:t>
            </w:r>
          </w:p>
        </w:tc>
        <w:tc>
          <w:tcPr>
            <w:tcW w:w="990" w:type="dxa"/>
          </w:tcPr>
          <w:p w14:paraId="123FC66E"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33AC2DEC"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31995F00" w14:textId="77777777" w:rsidTr="00CC1962">
        <w:trPr>
          <w:trHeight w:val="70"/>
        </w:trPr>
        <w:tc>
          <w:tcPr>
            <w:tcW w:w="7015" w:type="dxa"/>
          </w:tcPr>
          <w:p w14:paraId="64C659C1"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Walking</w:t>
            </w:r>
          </w:p>
        </w:tc>
        <w:tc>
          <w:tcPr>
            <w:tcW w:w="990" w:type="dxa"/>
          </w:tcPr>
          <w:p w14:paraId="286E3B79"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68</w:t>
            </w:r>
          </w:p>
        </w:tc>
        <w:tc>
          <w:tcPr>
            <w:tcW w:w="1620" w:type="dxa"/>
          </w:tcPr>
          <w:p w14:paraId="27EC5C3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33.7</w:t>
            </w:r>
          </w:p>
        </w:tc>
      </w:tr>
      <w:tr w:rsidR="0042175A" w:rsidRPr="003A1E0F" w14:paraId="2E6BAD1C" w14:textId="77777777" w:rsidTr="00CC1962">
        <w:trPr>
          <w:trHeight w:val="80"/>
        </w:trPr>
        <w:tc>
          <w:tcPr>
            <w:tcW w:w="7015" w:type="dxa"/>
          </w:tcPr>
          <w:p w14:paraId="63DE5A5D"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Bicycle</w:t>
            </w:r>
          </w:p>
        </w:tc>
        <w:tc>
          <w:tcPr>
            <w:tcW w:w="990" w:type="dxa"/>
          </w:tcPr>
          <w:p w14:paraId="643D9A0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w:t>
            </w:r>
          </w:p>
        </w:tc>
        <w:tc>
          <w:tcPr>
            <w:tcW w:w="1620" w:type="dxa"/>
          </w:tcPr>
          <w:p w14:paraId="2A4B864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w:t>
            </w:r>
          </w:p>
        </w:tc>
      </w:tr>
      <w:tr w:rsidR="0042175A" w:rsidRPr="003A1E0F" w14:paraId="5751B986" w14:textId="77777777" w:rsidTr="00CC1962">
        <w:trPr>
          <w:trHeight w:val="70"/>
        </w:trPr>
        <w:tc>
          <w:tcPr>
            <w:tcW w:w="7015" w:type="dxa"/>
          </w:tcPr>
          <w:p w14:paraId="73DCD80C"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Public transport</w:t>
            </w:r>
          </w:p>
        </w:tc>
        <w:tc>
          <w:tcPr>
            <w:tcW w:w="990" w:type="dxa"/>
          </w:tcPr>
          <w:p w14:paraId="7A592C2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119</w:t>
            </w:r>
          </w:p>
        </w:tc>
        <w:tc>
          <w:tcPr>
            <w:tcW w:w="1620" w:type="dxa"/>
          </w:tcPr>
          <w:p w14:paraId="49FF0438"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58.9</w:t>
            </w:r>
          </w:p>
        </w:tc>
      </w:tr>
      <w:tr w:rsidR="0042175A" w:rsidRPr="003A1E0F" w14:paraId="17AD021B" w14:textId="77777777" w:rsidTr="00CC1962">
        <w:trPr>
          <w:trHeight w:val="70"/>
        </w:trPr>
        <w:tc>
          <w:tcPr>
            <w:tcW w:w="7015" w:type="dxa"/>
          </w:tcPr>
          <w:p w14:paraId="75473A12"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Private vehicle</w:t>
            </w:r>
          </w:p>
        </w:tc>
        <w:tc>
          <w:tcPr>
            <w:tcW w:w="990" w:type="dxa"/>
          </w:tcPr>
          <w:p w14:paraId="488BB01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17</w:t>
            </w:r>
          </w:p>
        </w:tc>
        <w:tc>
          <w:tcPr>
            <w:tcW w:w="1620" w:type="dxa"/>
          </w:tcPr>
          <w:p w14:paraId="31EE2277"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8.4</w:t>
            </w:r>
          </w:p>
        </w:tc>
      </w:tr>
      <w:tr w:rsidR="0042175A" w:rsidRPr="003A1E0F" w14:paraId="0610B715" w14:textId="77777777" w:rsidTr="00CC1962">
        <w:trPr>
          <w:trHeight w:val="70"/>
        </w:trPr>
        <w:tc>
          <w:tcPr>
            <w:tcW w:w="7015" w:type="dxa"/>
          </w:tcPr>
          <w:p w14:paraId="6336753D"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Other</w:t>
            </w:r>
          </w:p>
        </w:tc>
        <w:tc>
          <w:tcPr>
            <w:tcW w:w="990" w:type="dxa"/>
          </w:tcPr>
          <w:p w14:paraId="3B3C7E2D"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w:t>
            </w:r>
          </w:p>
        </w:tc>
        <w:tc>
          <w:tcPr>
            <w:tcW w:w="1620" w:type="dxa"/>
          </w:tcPr>
          <w:p w14:paraId="1AC15619"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w:t>
            </w:r>
          </w:p>
        </w:tc>
      </w:tr>
      <w:tr w:rsidR="0042175A" w:rsidRPr="003A1E0F" w14:paraId="4D072D9F" w14:textId="77777777" w:rsidTr="00CC1962">
        <w:trPr>
          <w:trHeight w:val="296"/>
        </w:trPr>
        <w:tc>
          <w:tcPr>
            <w:tcW w:w="7015" w:type="dxa"/>
          </w:tcPr>
          <w:p w14:paraId="4A4C445F"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How long does it take to reach the immunization site?</w:t>
            </w:r>
          </w:p>
        </w:tc>
        <w:tc>
          <w:tcPr>
            <w:tcW w:w="990" w:type="dxa"/>
          </w:tcPr>
          <w:p w14:paraId="6AE7BCA3"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573CA808"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546C6623" w14:textId="77777777" w:rsidTr="00CC1962">
        <w:trPr>
          <w:trHeight w:val="70"/>
        </w:trPr>
        <w:tc>
          <w:tcPr>
            <w:tcW w:w="7015" w:type="dxa"/>
          </w:tcPr>
          <w:p w14:paraId="276E0A2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Less than 30 minutes</w:t>
            </w:r>
          </w:p>
        </w:tc>
        <w:tc>
          <w:tcPr>
            <w:tcW w:w="990" w:type="dxa"/>
          </w:tcPr>
          <w:p w14:paraId="43872D8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87</w:t>
            </w:r>
          </w:p>
        </w:tc>
        <w:tc>
          <w:tcPr>
            <w:tcW w:w="1620" w:type="dxa"/>
          </w:tcPr>
          <w:p w14:paraId="33EADEA6"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43.1</w:t>
            </w:r>
          </w:p>
        </w:tc>
      </w:tr>
      <w:tr w:rsidR="0042175A" w:rsidRPr="003A1E0F" w14:paraId="48E0FD6D" w14:textId="77777777" w:rsidTr="00CC1962">
        <w:trPr>
          <w:trHeight w:val="70"/>
        </w:trPr>
        <w:tc>
          <w:tcPr>
            <w:tcW w:w="7015" w:type="dxa"/>
          </w:tcPr>
          <w:p w14:paraId="5D9732C4"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30 minutes–1 hour</w:t>
            </w:r>
          </w:p>
        </w:tc>
        <w:tc>
          <w:tcPr>
            <w:tcW w:w="990" w:type="dxa"/>
          </w:tcPr>
          <w:p w14:paraId="0C83722E"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105</w:t>
            </w:r>
          </w:p>
        </w:tc>
        <w:tc>
          <w:tcPr>
            <w:tcW w:w="1620" w:type="dxa"/>
          </w:tcPr>
          <w:p w14:paraId="29C0148C"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52.0</w:t>
            </w:r>
          </w:p>
        </w:tc>
      </w:tr>
      <w:tr w:rsidR="0042175A" w:rsidRPr="003A1E0F" w14:paraId="7C3A2363" w14:textId="77777777" w:rsidTr="00CC1962">
        <w:trPr>
          <w:trHeight w:val="70"/>
        </w:trPr>
        <w:tc>
          <w:tcPr>
            <w:tcW w:w="7015" w:type="dxa"/>
          </w:tcPr>
          <w:p w14:paraId="7A670BC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More than 1 hour</w:t>
            </w:r>
          </w:p>
        </w:tc>
        <w:tc>
          <w:tcPr>
            <w:tcW w:w="990" w:type="dxa"/>
          </w:tcPr>
          <w:p w14:paraId="5E3B8837"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w:t>
            </w:r>
          </w:p>
        </w:tc>
        <w:tc>
          <w:tcPr>
            <w:tcW w:w="1620" w:type="dxa"/>
          </w:tcPr>
          <w:p w14:paraId="2CE5855E"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5.0</w:t>
            </w:r>
          </w:p>
        </w:tc>
      </w:tr>
      <w:tr w:rsidR="0042175A" w:rsidRPr="003A1E0F" w14:paraId="06434364" w14:textId="77777777" w:rsidTr="00CC1962">
        <w:trPr>
          <w:trHeight w:val="482"/>
        </w:trPr>
        <w:tc>
          <w:tcPr>
            <w:tcW w:w="7015" w:type="dxa"/>
          </w:tcPr>
          <w:p w14:paraId="5D6C8EAA"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Have you ever experienced any of the following at the facility when seeking immunization for your child? (Check all that apply)</w:t>
            </w:r>
          </w:p>
        </w:tc>
        <w:tc>
          <w:tcPr>
            <w:tcW w:w="990" w:type="dxa"/>
          </w:tcPr>
          <w:p w14:paraId="28A9F9C8"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1BE04852"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5436498C" w14:textId="77777777" w:rsidTr="00CC1962">
        <w:trPr>
          <w:trHeight w:val="70"/>
        </w:trPr>
        <w:tc>
          <w:tcPr>
            <w:tcW w:w="7015" w:type="dxa"/>
          </w:tcPr>
          <w:p w14:paraId="5D7CFF62"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Long waiting times</w:t>
            </w:r>
          </w:p>
        </w:tc>
        <w:tc>
          <w:tcPr>
            <w:tcW w:w="990" w:type="dxa"/>
          </w:tcPr>
          <w:p w14:paraId="1F5E4B5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63</w:t>
            </w:r>
          </w:p>
        </w:tc>
        <w:tc>
          <w:tcPr>
            <w:tcW w:w="1620" w:type="dxa"/>
          </w:tcPr>
          <w:p w14:paraId="7F7C077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31.2</w:t>
            </w:r>
          </w:p>
        </w:tc>
      </w:tr>
      <w:tr w:rsidR="0042175A" w:rsidRPr="003A1E0F" w14:paraId="7B87BF1E" w14:textId="77777777" w:rsidTr="00CC1962">
        <w:trPr>
          <w:trHeight w:val="70"/>
        </w:trPr>
        <w:tc>
          <w:tcPr>
            <w:tcW w:w="7015" w:type="dxa"/>
          </w:tcPr>
          <w:p w14:paraId="41B0756C"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Vaccine stock-out</w:t>
            </w:r>
          </w:p>
        </w:tc>
        <w:tc>
          <w:tcPr>
            <w:tcW w:w="990" w:type="dxa"/>
          </w:tcPr>
          <w:p w14:paraId="299589D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62</w:t>
            </w:r>
          </w:p>
        </w:tc>
        <w:tc>
          <w:tcPr>
            <w:tcW w:w="1620" w:type="dxa"/>
          </w:tcPr>
          <w:p w14:paraId="68D62CF6"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30.7</w:t>
            </w:r>
          </w:p>
        </w:tc>
      </w:tr>
      <w:tr w:rsidR="0042175A" w:rsidRPr="003A1E0F" w14:paraId="18841D88" w14:textId="77777777" w:rsidTr="00CC1962">
        <w:trPr>
          <w:trHeight w:val="70"/>
        </w:trPr>
        <w:tc>
          <w:tcPr>
            <w:tcW w:w="7015" w:type="dxa"/>
          </w:tcPr>
          <w:p w14:paraId="21BBD55D"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Poor staff attitude</w:t>
            </w:r>
          </w:p>
        </w:tc>
        <w:tc>
          <w:tcPr>
            <w:tcW w:w="990" w:type="dxa"/>
          </w:tcPr>
          <w:p w14:paraId="3DF5272E"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38</w:t>
            </w:r>
          </w:p>
        </w:tc>
        <w:tc>
          <w:tcPr>
            <w:tcW w:w="1620" w:type="dxa"/>
          </w:tcPr>
          <w:p w14:paraId="00ECD3C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18.8</w:t>
            </w:r>
          </w:p>
        </w:tc>
      </w:tr>
      <w:tr w:rsidR="0042175A" w:rsidRPr="003A1E0F" w14:paraId="120428F3" w14:textId="77777777" w:rsidTr="00CC1962">
        <w:trPr>
          <w:trHeight w:val="70"/>
        </w:trPr>
        <w:tc>
          <w:tcPr>
            <w:tcW w:w="7015" w:type="dxa"/>
          </w:tcPr>
          <w:p w14:paraId="1F6DA767"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Facility too crowded</w:t>
            </w:r>
          </w:p>
        </w:tc>
        <w:tc>
          <w:tcPr>
            <w:tcW w:w="990" w:type="dxa"/>
          </w:tcPr>
          <w:p w14:paraId="4CBBD3D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135</w:t>
            </w:r>
          </w:p>
        </w:tc>
        <w:tc>
          <w:tcPr>
            <w:tcW w:w="1620" w:type="dxa"/>
          </w:tcPr>
          <w:p w14:paraId="5CBB219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66.8</w:t>
            </w:r>
          </w:p>
        </w:tc>
      </w:tr>
      <w:tr w:rsidR="0042175A" w:rsidRPr="003A1E0F" w14:paraId="6B0E7434" w14:textId="77777777" w:rsidTr="00CC1962">
        <w:trPr>
          <w:trHeight w:val="70"/>
        </w:trPr>
        <w:tc>
          <w:tcPr>
            <w:tcW w:w="7015" w:type="dxa"/>
          </w:tcPr>
          <w:p w14:paraId="44A3A142"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None of the above</w:t>
            </w:r>
          </w:p>
        </w:tc>
        <w:tc>
          <w:tcPr>
            <w:tcW w:w="990" w:type="dxa"/>
          </w:tcPr>
          <w:p w14:paraId="546E368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16</w:t>
            </w:r>
          </w:p>
        </w:tc>
        <w:tc>
          <w:tcPr>
            <w:tcW w:w="1620" w:type="dxa"/>
          </w:tcPr>
          <w:p w14:paraId="232F5CF9"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7.9</w:t>
            </w:r>
          </w:p>
        </w:tc>
      </w:tr>
      <w:tr w:rsidR="0042175A" w:rsidRPr="003A1E0F" w14:paraId="1B9D37BF" w14:textId="77777777" w:rsidTr="00CC1962">
        <w:trPr>
          <w:trHeight w:val="100"/>
        </w:trPr>
        <w:tc>
          <w:tcPr>
            <w:tcW w:w="7015" w:type="dxa"/>
          </w:tcPr>
          <w:p w14:paraId="248CCE20"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Has your child visited the health facility for immunizations between 12 and 24 months of age?</w:t>
            </w:r>
          </w:p>
        </w:tc>
        <w:tc>
          <w:tcPr>
            <w:tcW w:w="990" w:type="dxa"/>
          </w:tcPr>
          <w:p w14:paraId="48CC765E"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66E5DEB2"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336E9C3C" w14:textId="77777777" w:rsidTr="00CC1962">
        <w:trPr>
          <w:trHeight w:val="70"/>
        </w:trPr>
        <w:tc>
          <w:tcPr>
            <w:tcW w:w="7015" w:type="dxa"/>
          </w:tcPr>
          <w:p w14:paraId="79704F2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990" w:type="dxa"/>
          </w:tcPr>
          <w:p w14:paraId="6498C6C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160</w:t>
            </w:r>
          </w:p>
        </w:tc>
        <w:tc>
          <w:tcPr>
            <w:tcW w:w="1620" w:type="dxa"/>
          </w:tcPr>
          <w:p w14:paraId="540DE09C"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79.2</w:t>
            </w:r>
          </w:p>
        </w:tc>
      </w:tr>
      <w:tr w:rsidR="0042175A" w:rsidRPr="003A1E0F" w14:paraId="101E8223" w14:textId="77777777" w:rsidTr="00CC1962">
        <w:trPr>
          <w:trHeight w:val="70"/>
        </w:trPr>
        <w:tc>
          <w:tcPr>
            <w:tcW w:w="7015" w:type="dxa"/>
          </w:tcPr>
          <w:p w14:paraId="356C824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990" w:type="dxa"/>
          </w:tcPr>
          <w:p w14:paraId="1ECF1838"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42</w:t>
            </w:r>
          </w:p>
        </w:tc>
        <w:tc>
          <w:tcPr>
            <w:tcW w:w="1620" w:type="dxa"/>
          </w:tcPr>
          <w:p w14:paraId="09E0CCD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20.8</w:t>
            </w:r>
          </w:p>
        </w:tc>
      </w:tr>
      <w:tr w:rsidR="0042175A" w:rsidRPr="003A1E0F" w14:paraId="5DDC1E29" w14:textId="77777777" w:rsidTr="00CC1962">
        <w:trPr>
          <w:trHeight w:val="127"/>
        </w:trPr>
        <w:tc>
          <w:tcPr>
            <w:tcW w:w="7015" w:type="dxa"/>
          </w:tcPr>
          <w:p w14:paraId="7D733720"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How many times have you taken your child for immunization during the second year of life?</w:t>
            </w:r>
          </w:p>
        </w:tc>
        <w:tc>
          <w:tcPr>
            <w:tcW w:w="990" w:type="dxa"/>
          </w:tcPr>
          <w:p w14:paraId="4816D297"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2E99D062"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6F768B32" w14:textId="77777777" w:rsidTr="00CC1962">
        <w:trPr>
          <w:trHeight w:val="70"/>
        </w:trPr>
        <w:tc>
          <w:tcPr>
            <w:tcW w:w="7015" w:type="dxa"/>
          </w:tcPr>
          <w:p w14:paraId="607DED9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None</w:t>
            </w:r>
          </w:p>
        </w:tc>
        <w:tc>
          <w:tcPr>
            <w:tcW w:w="990" w:type="dxa"/>
          </w:tcPr>
          <w:p w14:paraId="5A1002B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42</w:t>
            </w:r>
          </w:p>
        </w:tc>
        <w:tc>
          <w:tcPr>
            <w:tcW w:w="1620" w:type="dxa"/>
          </w:tcPr>
          <w:p w14:paraId="3344BF9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20.8</w:t>
            </w:r>
          </w:p>
        </w:tc>
      </w:tr>
      <w:tr w:rsidR="0042175A" w:rsidRPr="003A1E0F" w14:paraId="1F5A13A6" w14:textId="77777777" w:rsidTr="00CC1962">
        <w:trPr>
          <w:trHeight w:val="70"/>
        </w:trPr>
        <w:tc>
          <w:tcPr>
            <w:tcW w:w="7015" w:type="dxa"/>
          </w:tcPr>
          <w:p w14:paraId="31C6F5B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Once</w:t>
            </w:r>
          </w:p>
        </w:tc>
        <w:tc>
          <w:tcPr>
            <w:tcW w:w="990" w:type="dxa"/>
          </w:tcPr>
          <w:p w14:paraId="38CD9E16"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137</w:t>
            </w:r>
          </w:p>
        </w:tc>
        <w:tc>
          <w:tcPr>
            <w:tcW w:w="1620" w:type="dxa"/>
          </w:tcPr>
          <w:p w14:paraId="433690B4"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67.8</w:t>
            </w:r>
          </w:p>
        </w:tc>
      </w:tr>
      <w:tr w:rsidR="0042175A" w:rsidRPr="003A1E0F" w14:paraId="2748D21E" w14:textId="77777777" w:rsidTr="00CC1962">
        <w:trPr>
          <w:trHeight w:val="70"/>
        </w:trPr>
        <w:tc>
          <w:tcPr>
            <w:tcW w:w="7015" w:type="dxa"/>
          </w:tcPr>
          <w:p w14:paraId="5DB07B01"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Twice</w:t>
            </w:r>
          </w:p>
        </w:tc>
        <w:tc>
          <w:tcPr>
            <w:tcW w:w="990" w:type="dxa"/>
          </w:tcPr>
          <w:p w14:paraId="566BBBF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21</w:t>
            </w:r>
          </w:p>
        </w:tc>
        <w:tc>
          <w:tcPr>
            <w:tcW w:w="1620" w:type="dxa"/>
          </w:tcPr>
          <w:p w14:paraId="7E15D99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10.4</w:t>
            </w:r>
          </w:p>
        </w:tc>
      </w:tr>
      <w:tr w:rsidR="0042175A" w:rsidRPr="003A1E0F" w14:paraId="4FC94EC9" w14:textId="77777777" w:rsidTr="00CC1962">
        <w:trPr>
          <w:trHeight w:val="70"/>
        </w:trPr>
        <w:tc>
          <w:tcPr>
            <w:tcW w:w="7015" w:type="dxa"/>
          </w:tcPr>
          <w:p w14:paraId="2FB18A2A"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Three or more times</w:t>
            </w:r>
          </w:p>
        </w:tc>
        <w:tc>
          <w:tcPr>
            <w:tcW w:w="990" w:type="dxa"/>
          </w:tcPr>
          <w:p w14:paraId="490E28C0"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w:t>
            </w:r>
          </w:p>
        </w:tc>
        <w:tc>
          <w:tcPr>
            <w:tcW w:w="1620" w:type="dxa"/>
          </w:tcPr>
          <w:p w14:paraId="3F3E302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w:t>
            </w:r>
          </w:p>
        </w:tc>
      </w:tr>
      <w:tr w:rsidR="0042175A" w:rsidRPr="003A1E0F" w14:paraId="0C2B0AE0" w14:textId="77777777" w:rsidTr="00CC1962">
        <w:trPr>
          <w:trHeight w:val="303"/>
        </w:trPr>
        <w:tc>
          <w:tcPr>
            <w:tcW w:w="7015" w:type="dxa"/>
          </w:tcPr>
          <w:p w14:paraId="78E044F7" w14:textId="506BDCCA"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lastRenderedPageBreak/>
              <w:t xml:space="preserve">What encouraged you to take your child for 2YL immunization? (Check all that apply) </w:t>
            </w:r>
          </w:p>
        </w:tc>
        <w:tc>
          <w:tcPr>
            <w:tcW w:w="990" w:type="dxa"/>
          </w:tcPr>
          <w:p w14:paraId="4EC2B0AA"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1E004A31"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0363E56C" w14:textId="77777777" w:rsidTr="00CC1962">
        <w:trPr>
          <w:trHeight w:val="84"/>
        </w:trPr>
        <w:tc>
          <w:tcPr>
            <w:tcW w:w="7015" w:type="dxa"/>
          </w:tcPr>
          <w:p w14:paraId="6A4CFB61"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Health worker advice</w:t>
            </w:r>
          </w:p>
        </w:tc>
        <w:tc>
          <w:tcPr>
            <w:tcW w:w="990" w:type="dxa"/>
          </w:tcPr>
          <w:p w14:paraId="2654A76F"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133</w:t>
            </w:r>
          </w:p>
        </w:tc>
        <w:tc>
          <w:tcPr>
            <w:tcW w:w="1620" w:type="dxa"/>
          </w:tcPr>
          <w:p w14:paraId="18A81615"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83.1</w:t>
            </w:r>
          </w:p>
        </w:tc>
      </w:tr>
      <w:tr w:rsidR="0042175A" w:rsidRPr="003A1E0F" w14:paraId="7B43784A" w14:textId="77777777" w:rsidTr="00CC1962">
        <w:trPr>
          <w:trHeight w:val="70"/>
        </w:trPr>
        <w:tc>
          <w:tcPr>
            <w:tcW w:w="7015" w:type="dxa"/>
          </w:tcPr>
          <w:p w14:paraId="2A64FFC8"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Community health campaign</w:t>
            </w:r>
          </w:p>
        </w:tc>
        <w:tc>
          <w:tcPr>
            <w:tcW w:w="990" w:type="dxa"/>
          </w:tcPr>
          <w:p w14:paraId="7FB56130"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32</w:t>
            </w:r>
          </w:p>
        </w:tc>
        <w:tc>
          <w:tcPr>
            <w:tcW w:w="1620" w:type="dxa"/>
          </w:tcPr>
          <w:p w14:paraId="6C5E5DDA"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20.0</w:t>
            </w:r>
          </w:p>
        </w:tc>
      </w:tr>
      <w:tr w:rsidR="0042175A" w:rsidRPr="003A1E0F" w14:paraId="0039D942" w14:textId="77777777" w:rsidTr="00CC1962">
        <w:trPr>
          <w:trHeight w:val="70"/>
        </w:trPr>
        <w:tc>
          <w:tcPr>
            <w:tcW w:w="7015" w:type="dxa"/>
          </w:tcPr>
          <w:p w14:paraId="666AB813"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Reminder messages</w:t>
            </w:r>
          </w:p>
        </w:tc>
        <w:tc>
          <w:tcPr>
            <w:tcW w:w="990" w:type="dxa"/>
          </w:tcPr>
          <w:p w14:paraId="2724A139"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119</w:t>
            </w:r>
          </w:p>
        </w:tc>
        <w:tc>
          <w:tcPr>
            <w:tcW w:w="1620" w:type="dxa"/>
          </w:tcPr>
          <w:p w14:paraId="4349C5E6"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74.4</w:t>
            </w:r>
          </w:p>
        </w:tc>
      </w:tr>
      <w:tr w:rsidR="0042175A" w:rsidRPr="003A1E0F" w14:paraId="6A4E0A4E" w14:textId="77777777" w:rsidTr="00CC1962">
        <w:trPr>
          <w:trHeight w:val="70"/>
        </w:trPr>
        <w:tc>
          <w:tcPr>
            <w:tcW w:w="7015" w:type="dxa"/>
          </w:tcPr>
          <w:p w14:paraId="46505E24"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Family/friends</w:t>
            </w:r>
          </w:p>
        </w:tc>
        <w:tc>
          <w:tcPr>
            <w:tcW w:w="990" w:type="dxa"/>
          </w:tcPr>
          <w:p w14:paraId="14386885"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52</w:t>
            </w:r>
          </w:p>
        </w:tc>
        <w:tc>
          <w:tcPr>
            <w:tcW w:w="1620" w:type="dxa"/>
          </w:tcPr>
          <w:p w14:paraId="530E6538"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32.5</w:t>
            </w:r>
          </w:p>
        </w:tc>
      </w:tr>
      <w:tr w:rsidR="0042175A" w:rsidRPr="003A1E0F" w14:paraId="0A0108A6" w14:textId="77777777" w:rsidTr="00CC1962">
        <w:trPr>
          <w:trHeight w:val="70"/>
        </w:trPr>
        <w:tc>
          <w:tcPr>
            <w:tcW w:w="7015" w:type="dxa"/>
          </w:tcPr>
          <w:p w14:paraId="4EEE40EE"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Other</w:t>
            </w:r>
          </w:p>
        </w:tc>
        <w:tc>
          <w:tcPr>
            <w:tcW w:w="990" w:type="dxa"/>
          </w:tcPr>
          <w:p w14:paraId="253DC833"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w:t>
            </w:r>
          </w:p>
        </w:tc>
        <w:tc>
          <w:tcPr>
            <w:tcW w:w="1620" w:type="dxa"/>
          </w:tcPr>
          <w:p w14:paraId="4E3608EB"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0.6</w:t>
            </w:r>
          </w:p>
        </w:tc>
      </w:tr>
      <w:tr w:rsidR="0042175A" w:rsidRPr="003A1E0F" w14:paraId="5691CBCC" w14:textId="77777777" w:rsidTr="00CC1962">
        <w:trPr>
          <w:trHeight w:val="296"/>
        </w:trPr>
        <w:tc>
          <w:tcPr>
            <w:tcW w:w="7015" w:type="dxa"/>
          </w:tcPr>
          <w:p w14:paraId="64B583A5" w14:textId="1BAD495F"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If your child did not receive second-year vaccines, what were the reasons? (Check all that apply)</w:t>
            </w:r>
          </w:p>
        </w:tc>
        <w:tc>
          <w:tcPr>
            <w:tcW w:w="990" w:type="dxa"/>
          </w:tcPr>
          <w:p w14:paraId="22884BC0"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61CED36C"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5373F9E3" w14:textId="77777777" w:rsidTr="00CC1962">
        <w:trPr>
          <w:trHeight w:val="70"/>
        </w:trPr>
        <w:tc>
          <w:tcPr>
            <w:tcW w:w="7015" w:type="dxa"/>
          </w:tcPr>
          <w:p w14:paraId="32442ABA"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Not aware of need</w:t>
            </w:r>
          </w:p>
        </w:tc>
        <w:tc>
          <w:tcPr>
            <w:tcW w:w="990" w:type="dxa"/>
          </w:tcPr>
          <w:p w14:paraId="7C27DE55"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4</w:t>
            </w:r>
          </w:p>
        </w:tc>
        <w:tc>
          <w:tcPr>
            <w:tcW w:w="1620" w:type="dxa"/>
          </w:tcPr>
          <w:p w14:paraId="20896EFF"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9.5</w:t>
            </w:r>
          </w:p>
        </w:tc>
      </w:tr>
      <w:tr w:rsidR="0042175A" w:rsidRPr="003A1E0F" w14:paraId="135B5850" w14:textId="77777777" w:rsidTr="00CC1962">
        <w:trPr>
          <w:trHeight w:val="70"/>
        </w:trPr>
        <w:tc>
          <w:tcPr>
            <w:tcW w:w="7015" w:type="dxa"/>
          </w:tcPr>
          <w:p w14:paraId="23465DB9"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Too far or difficult to reach</w:t>
            </w:r>
          </w:p>
        </w:tc>
        <w:tc>
          <w:tcPr>
            <w:tcW w:w="990" w:type="dxa"/>
          </w:tcPr>
          <w:p w14:paraId="5D863708"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18</w:t>
            </w:r>
          </w:p>
        </w:tc>
        <w:tc>
          <w:tcPr>
            <w:tcW w:w="1620" w:type="dxa"/>
          </w:tcPr>
          <w:p w14:paraId="00FA09EC"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42.9</w:t>
            </w:r>
          </w:p>
        </w:tc>
      </w:tr>
      <w:tr w:rsidR="0042175A" w:rsidRPr="003A1E0F" w14:paraId="7825774B" w14:textId="77777777" w:rsidTr="00CC1962">
        <w:trPr>
          <w:trHeight w:val="70"/>
        </w:trPr>
        <w:tc>
          <w:tcPr>
            <w:tcW w:w="7015" w:type="dxa"/>
          </w:tcPr>
          <w:p w14:paraId="3257A3AC"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No time</w:t>
            </w:r>
          </w:p>
        </w:tc>
        <w:tc>
          <w:tcPr>
            <w:tcW w:w="990" w:type="dxa"/>
          </w:tcPr>
          <w:p w14:paraId="672EBBB6"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2</w:t>
            </w:r>
          </w:p>
        </w:tc>
        <w:tc>
          <w:tcPr>
            <w:tcW w:w="1620" w:type="dxa"/>
          </w:tcPr>
          <w:p w14:paraId="06E41C7C"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4.8</w:t>
            </w:r>
          </w:p>
        </w:tc>
      </w:tr>
      <w:tr w:rsidR="0042175A" w:rsidRPr="003A1E0F" w14:paraId="100FE4A5" w14:textId="77777777" w:rsidTr="00CC1962">
        <w:trPr>
          <w:trHeight w:val="70"/>
        </w:trPr>
        <w:tc>
          <w:tcPr>
            <w:tcW w:w="7015" w:type="dxa"/>
          </w:tcPr>
          <w:p w14:paraId="505E6591"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 xml:space="preserve">Vaccine not available </w:t>
            </w:r>
          </w:p>
        </w:tc>
        <w:tc>
          <w:tcPr>
            <w:tcW w:w="990" w:type="dxa"/>
          </w:tcPr>
          <w:p w14:paraId="506B461D"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15</w:t>
            </w:r>
          </w:p>
        </w:tc>
        <w:tc>
          <w:tcPr>
            <w:tcW w:w="1620" w:type="dxa"/>
          </w:tcPr>
          <w:p w14:paraId="3E6DA997"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35.7</w:t>
            </w:r>
          </w:p>
        </w:tc>
      </w:tr>
      <w:tr w:rsidR="0042175A" w:rsidRPr="003A1E0F" w14:paraId="55021385" w14:textId="77777777" w:rsidTr="00CC1962">
        <w:trPr>
          <w:trHeight w:val="70"/>
        </w:trPr>
        <w:tc>
          <w:tcPr>
            <w:tcW w:w="7015" w:type="dxa"/>
          </w:tcPr>
          <w:p w14:paraId="4CC338CD"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Fear of side effects</w:t>
            </w:r>
          </w:p>
        </w:tc>
        <w:tc>
          <w:tcPr>
            <w:tcW w:w="990" w:type="dxa"/>
          </w:tcPr>
          <w:p w14:paraId="7866E66A"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10</w:t>
            </w:r>
          </w:p>
        </w:tc>
        <w:tc>
          <w:tcPr>
            <w:tcW w:w="1620" w:type="dxa"/>
          </w:tcPr>
          <w:p w14:paraId="1EA25776"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23.8</w:t>
            </w:r>
          </w:p>
        </w:tc>
      </w:tr>
      <w:tr w:rsidR="0042175A" w:rsidRPr="003A1E0F" w14:paraId="14DB90C4" w14:textId="77777777" w:rsidTr="00CC1962">
        <w:trPr>
          <w:trHeight w:val="70"/>
        </w:trPr>
        <w:tc>
          <w:tcPr>
            <w:tcW w:w="7015" w:type="dxa"/>
          </w:tcPr>
          <w:p w14:paraId="4BB3C45C" w14:textId="77777777" w:rsidR="0042175A" w:rsidRPr="00602F32" w:rsidRDefault="0042175A"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Other</w:t>
            </w:r>
          </w:p>
        </w:tc>
        <w:tc>
          <w:tcPr>
            <w:tcW w:w="990" w:type="dxa"/>
          </w:tcPr>
          <w:p w14:paraId="4A80DE9B"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7</w:t>
            </w:r>
          </w:p>
        </w:tc>
        <w:tc>
          <w:tcPr>
            <w:tcW w:w="1620" w:type="dxa"/>
          </w:tcPr>
          <w:p w14:paraId="4CE8AA56"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16.7</w:t>
            </w:r>
          </w:p>
        </w:tc>
      </w:tr>
      <w:tr w:rsidR="0042175A" w:rsidRPr="003A1E0F" w14:paraId="790F0CEC" w14:textId="77777777" w:rsidTr="00CC1962">
        <w:trPr>
          <w:trHeight w:val="70"/>
        </w:trPr>
        <w:tc>
          <w:tcPr>
            <w:tcW w:w="7015" w:type="dxa"/>
          </w:tcPr>
          <w:p w14:paraId="464D7BC8" w14:textId="77777777" w:rsidR="0042175A" w:rsidRPr="003A1E0F" w:rsidRDefault="0042175A"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Do you still have your child’s vaccination card?</w:t>
            </w:r>
          </w:p>
        </w:tc>
        <w:tc>
          <w:tcPr>
            <w:tcW w:w="990" w:type="dxa"/>
          </w:tcPr>
          <w:p w14:paraId="25927390" w14:textId="77777777" w:rsidR="0042175A" w:rsidRPr="003A1E0F" w:rsidRDefault="0042175A" w:rsidP="007570AE">
            <w:pPr>
              <w:spacing w:after="0" w:line="360" w:lineRule="auto"/>
              <w:jc w:val="both"/>
              <w:rPr>
                <w:rFonts w:ascii="Times New Roman" w:hAnsi="Times New Roman" w:cs="Times New Roman"/>
                <w:sz w:val="24"/>
                <w:szCs w:val="24"/>
              </w:rPr>
            </w:pPr>
          </w:p>
        </w:tc>
        <w:tc>
          <w:tcPr>
            <w:tcW w:w="1620" w:type="dxa"/>
          </w:tcPr>
          <w:p w14:paraId="7E680EDC" w14:textId="77777777" w:rsidR="0042175A" w:rsidRPr="003A1E0F" w:rsidRDefault="0042175A" w:rsidP="007570AE">
            <w:pPr>
              <w:spacing w:after="0" w:line="360" w:lineRule="auto"/>
              <w:jc w:val="both"/>
              <w:rPr>
                <w:rFonts w:ascii="Times New Roman" w:hAnsi="Times New Roman" w:cs="Times New Roman"/>
                <w:sz w:val="24"/>
                <w:szCs w:val="24"/>
              </w:rPr>
            </w:pPr>
          </w:p>
        </w:tc>
      </w:tr>
      <w:tr w:rsidR="0042175A" w:rsidRPr="003A1E0F" w14:paraId="5FD2FB03" w14:textId="77777777" w:rsidTr="00CC1962">
        <w:trPr>
          <w:trHeight w:val="70"/>
        </w:trPr>
        <w:tc>
          <w:tcPr>
            <w:tcW w:w="7015" w:type="dxa"/>
          </w:tcPr>
          <w:p w14:paraId="516FB571"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990" w:type="dxa"/>
          </w:tcPr>
          <w:p w14:paraId="459085B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120</w:t>
            </w:r>
          </w:p>
        </w:tc>
        <w:tc>
          <w:tcPr>
            <w:tcW w:w="1620" w:type="dxa"/>
          </w:tcPr>
          <w:p w14:paraId="5465C8BE"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59.4</w:t>
            </w:r>
          </w:p>
        </w:tc>
      </w:tr>
      <w:tr w:rsidR="0042175A" w:rsidRPr="003A1E0F" w14:paraId="4DE3B6DC" w14:textId="77777777" w:rsidTr="00CC1962">
        <w:trPr>
          <w:trHeight w:val="70"/>
        </w:trPr>
        <w:tc>
          <w:tcPr>
            <w:tcW w:w="7015" w:type="dxa"/>
          </w:tcPr>
          <w:p w14:paraId="3BF481B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990" w:type="dxa"/>
          </w:tcPr>
          <w:p w14:paraId="2E20812D"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11</w:t>
            </w:r>
          </w:p>
        </w:tc>
        <w:tc>
          <w:tcPr>
            <w:tcW w:w="1620" w:type="dxa"/>
          </w:tcPr>
          <w:p w14:paraId="30086A5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5.4</w:t>
            </w:r>
          </w:p>
        </w:tc>
      </w:tr>
      <w:tr w:rsidR="0042175A" w:rsidRPr="003A1E0F" w14:paraId="5FF3CD02" w14:textId="77777777" w:rsidTr="00CC1962">
        <w:trPr>
          <w:trHeight w:val="70"/>
        </w:trPr>
        <w:tc>
          <w:tcPr>
            <w:tcW w:w="7015" w:type="dxa"/>
          </w:tcPr>
          <w:p w14:paraId="33EB056B"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Lost it</w:t>
            </w:r>
          </w:p>
        </w:tc>
        <w:tc>
          <w:tcPr>
            <w:tcW w:w="990" w:type="dxa"/>
          </w:tcPr>
          <w:p w14:paraId="5A3B9823"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71</w:t>
            </w:r>
          </w:p>
        </w:tc>
        <w:tc>
          <w:tcPr>
            <w:tcW w:w="1620" w:type="dxa"/>
          </w:tcPr>
          <w:p w14:paraId="3B484E62" w14:textId="77777777" w:rsidR="0042175A" w:rsidRPr="003A1E0F" w:rsidRDefault="0042175A"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35.1</w:t>
            </w:r>
          </w:p>
        </w:tc>
      </w:tr>
    </w:tbl>
    <w:p w14:paraId="270CA38A" w14:textId="77777777" w:rsidR="0042175A" w:rsidRPr="003A1E0F" w:rsidRDefault="0042175A" w:rsidP="0042175A">
      <w:pPr>
        <w:spacing w:line="360" w:lineRule="auto"/>
        <w:jc w:val="both"/>
        <w:rPr>
          <w:rFonts w:ascii="Times New Roman" w:hAnsi="Times New Roman" w:cs="Times New Roman"/>
          <w:sz w:val="24"/>
          <w:szCs w:val="24"/>
        </w:rPr>
      </w:pPr>
    </w:p>
    <w:p w14:paraId="5AD6A5CC" w14:textId="5FAE33D5" w:rsidR="007570AE" w:rsidRPr="007570AE" w:rsidRDefault="007570AE" w:rsidP="00E87610">
      <w:pPr>
        <w:spacing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Second-Year-of-Life (2YL) Immunization</w:t>
      </w:r>
      <w:r>
        <w:rPr>
          <w:rFonts w:ascii="Times New Roman" w:hAnsi="Times New Roman" w:cs="Times New Roman"/>
          <w:b/>
          <w:sz w:val="24"/>
          <w:szCs w:val="24"/>
        </w:rPr>
        <w:t xml:space="preserve"> outcomes</w:t>
      </w:r>
    </w:p>
    <w:p w14:paraId="522AA647" w14:textId="77777777" w:rsidR="00672857" w:rsidRDefault="009F4414"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t>
      </w:r>
      <w:r w:rsidRPr="003A1E0F">
        <w:rPr>
          <w:rFonts w:ascii="Times New Roman" w:hAnsi="Times New Roman" w:cs="Times New Roman"/>
          <w:sz w:val="24"/>
          <w:szCs w:val="24"/>
        </w:rPr>
        <w:t>pr</w:t>
      </w:r>
      <w:r>
        <w:rPr>
          <w:rFonts w:ascii="Times New Roman" w:hAnsi="Times New Roman" w:cs="Times New Roman"/>
          <w:sz w:val="24"/>
          <w:szCs w:val="24"/>
        </w:rPr>
        <w:t>esents data on the completeness, timeliness, and documentation second-year-of-life immunization services among</w:t>
      </w:r>
      <w:r w:rsidRPr="003A1E0F">
        <w:rPr>
          <w:rFonts w:ascii="Times New Roman" w:hAnsi="Times New Roman" w:cs="Times New Roman"/>
          <w:sz w:val="24"/>
          <w:szCs w:val="24"/>
        </w:rPr>
        <w:t xml:space="preserve"> childre</w:t>
      </w:r>
      <w:r>
        <w:rPr>
          <w:rFonts w:ascii="Times New Roman" w:hAnsi="Times New Roman" w:cs="Times New Roman"/>
          <w:sz w:val="24"/>
          <w:szCs w:val="24"/>
        </w:rPr>
        <w:t xml:space="preserve">n aged 12–24 months, inclusive of relevant service delivery nuances. </w:t>
      </w:r>
    </w:p>
    <w:p w14:paraId="29BADEFE" w14:textId="1EA2A4F1" w:rsidR="00E87610" w:rsidRPr="003A1E0F" w:rsidRDefault="00672857"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66.3% {n = 134} of caregivers volunteered that their wards had received all recommended 2YL vaccines, 20.8% {n = 42} did submit that their wards had not received all 2YL vaccines, as recommended, and 12.9% {n = 26} were uncertain as to their wards current vaccination status. Interrogation of vaccination record keeping revealed that </w:t>
      </w:r>
      <w:r w:rsidR="006B1F9E">
        <w:rPr>
          <w:rFonts w:ascii="Times New Roman" w:hAnsi="Times New Roman" w:cs="Times New Roman"/>
          <w:sz w:val="24"/>
          <w:szCs w:val="24"/>
        </w:rPr>
        <w:t xml:space="preserve">81.9% {n = 131} had their wards vaccination cards regularly and consistently updated, 4.4% {n = 7} of respondents reported inconsistency in record keeping, while 13.8% {n = 22} were uncertain as to the status of </w:t>
      </w:r>
      <w:r w:rsidR="006B1F9E">
        <w:rPr>
          <w:rFonts w:ascii="Times New Roman" w:hAnsi="Times New Roman" w:cs="Times New Roman"/>
          <w:sz w:val="24"/>
          <w:szCs w:val="24"/>
        </w:rPr>
        <w:lastRenderedPageBreak/>
        <w:t xml:space="preserve">vaccination card update and immunization record keeping for their wards, after each visit to the health facility for immunization. Accordingly, 63.8% {n = 102} of respondents submitted that their wards received recommended 2YL vaccines in a timely manner, in accordance with the immunization schedule, 16.9% {n = 27} reported </w:t>
      </w:r>
      <w:r w:rsidR="00E75302">
        <w:rPr>
          <w:rFonts w:ascii="Times New Roman" w:hAnsi="Times New Roman" w:cs="Times New Roman"/>
          <w:sz w:val="24"/>
          <w:szCs w:val="24"/>
        </w:rPr>
        <w:t xml:space="preserve">significant delays in vaccination with respect to some vaccine antigens, 18.1% {n =29} reported significant delays in vaccination with respect to most vaccine antigens, and 1.3% {n = 2} submitted that their wards did not receive any vaccines on the scheduled immunization date and time. See </w:t>
      </w:r>
      <w:r w:rsidR="002C0DC9">
        <w:rPr>
          <w:rFonts w:ascii="Times New Roman" w:hAnsi="Times New Roman" w:cs="Times New Roman"/>
          <w:sz w:val="24"/>
          <w:szCs w:val="24"/>
        </w:rPr>
        <w:t>table 4</w:t>
      </w:r>
      <w:r w:rsidR="00E75302">
        <w:rPr>
          <w:rFonts w:ascii="Times New Roman" w:hAnsi="Times New Roman" w:cs="Times New Roman"/>
          <w:sz w:val="24"/>
          <w:szCs w:val="24"/>
        </w:rPr>
        <w:t>.</w:t>
      </w:r>
    </w:p>
    <w:p w14:paraId="6C31189E" w14:textId="52581BA5" w:rsidR="00CC1962" w:rsidRPr="003A1E0F" w:rsidRDefault="002C0DC9" w:rsidP="00CC1962">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CC1962" w:rsidRPr="003A1E0F">
        <w:rPr>
          <w:rFonts w:ascii="Times New Roman" w:hAnsi="Times New Roman" w:cs="Times New Roman"/>
          <w:sz w:val="24"/>
          <w:szCs w:val="24"/>
        </w:rPr>
        <w:t xml:space="preserve">: Childhood Routine Immunization Outcomes Following Second-Year-of-Life Immunization  </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1310"/>
        <w:gridCol w:w="1617"/>
      </w:tblGrid>
      <w:tr w:rsidR="00CC1962" w:rsidRPr="003A1E0F" w14:paraId="7630A3B5" w14:textId="77777777" w:rsidTr="00CC1962">
        <w:trPr>
          <w:trHeight w:val="296"/>
        </w:trPr>
        <w:tc>
          <w:tcPr>
            <w:tcW w:w="6745" w:type="dxa"/>
            <w:tcBorders>
              <w:top w:val="single" w:sz="4" w:space="0" w:color="auto"/>
              <w:bottom w:val="single" w:sz="4" w:space="0" w:color="auto"/>
            </w:tcBorders>
          </w:tcPr>
          <w:p w14:paraId="328A6082" w14:textId="77777777" w:rsidR="00CC1962" w:rsidRPr="003A1E0F" w:rsidRDefault="00CC1962"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Variables </w:t>
            </w:r>
          </w:p>
        </w:tc>
        <w:tc>
          <w:tcPr>
            <w:tcW w:w="1260" w:type="dxa"/>
            <w:tcBorders>
              <w:top w:val="single" w:sz="4" w:space="0" w:color="auto"/>
              <w:bottom w:val="single" w:sz="4" w:space="0" w:color="auto"/>
            </w:tcBorders>
          </w:tcPr>
          <w:p w14:paraId="01A51F7E" w14:textId="77777777" w:rsidR="00CC1962" w:rsidRPr="003A1E0F" w:rsidRDefault="00CC1962"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Frequency </w:t>
            </w:r>
          </w:p>
        </w:tc>
        <w:tc>
          <w:tcPr>
            <w:tcW w:w="1620" w:type="dxa"/>
            <w:tcBorders>
              <w:top w:val="single" w:sz="4" w:space="0" w:color="auto"/>
              <w:bottom w:val="single" w:sz="4" w:space="0" w:color="auto"/>
            </w:tcBorders>
          </w:tcPr>
          <w:p w14:paraId="36B5C418" w14:textId="77777777" w:rsidR="00CC1962" w:rsidRPr="003A1E0F" w:rsidRDefault="00CC1962"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Percentage </w:t>
            </w:r>
          </w:p>
        </w:tc>
      </w:tr>
      <w:tr w:rsidR="00CC1962" w:rsidRPr="003A1E0F" w14:paraId="1D723357" w14:textId="77777777" w:rsidTr="00CC1962">
        <w:trPr>
          <w:trHeight w:val="296"/>
        </w:trPr>
        <w:tc>
          <w:tcPr>
            <w:tcW w:w="6745" w:type="dxa"/>
            <w:tcBorders>
              <w:top w:val="single" w:sz="4" w:space="0" w:color="auto"/>
            </w:tcBorders>
          </w:tcPr>
          <w:p w14:paraId="43055E00"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Has your child received all the recommended vaccines for the second year of life (12–24 months)?</w:t>
            </w:r>
          </w:p>
        </w:tc>
        <w:tc>
          <w:tcPr>
            <w:tcW w:w="1260" w:type="dxa"/>
            <w:tcBorders>
              <w:top w:val="single" w:sz="4" w:space="0" w:color="auto"/>
            </w:tcBorders>
          </w:tcPr>
          <w:p w14:paraId="3FF3FA98"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620" w:type="dxa"/>
            <w:tcBorders>
              <w:top w:val="single" w:sz="4" w:space="0" w:color="auto"/>
            </w:tcBorders>
          </w:tcPr>
          <w:p w14:paraId="0DE175D5"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418C296E" w14:textId="77777777" w:rsidTr="00CC1962">
        <w:trPr>
          <w:trHeight w:val="296"/>
        </w:trPr>
        <w:tc>
          <w:tcPr>
            <w:tcW w:w="6745" w:type="dxa"/>
          </w:tcPr>
          <w:p w14:paraId="4128449B"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260" w:type="dxa"/>
          </w:tcPr>
          <w:p w14:paraId="40DCCA65"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134</w:t>
            </w:r>
          </w:p>
        </w:tc>
        <w:tc>
          <w:tcPr>
            <w:tcW w:w="1620" w:type="dxa"/>
          </w:tcPr>
          <w:p w14:paraId="714D6798"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66.3</w:t>
            </w:r>
          </w:p>
        </w:tc>
      </w:tr>
      <w:tr w:rsidR="00CC1962" w:rsidRPr="003A1E0F" w14:paraId="177A48CC" w14:textId="77777777" w:rsidTr="00CC1962">
        <w:trPr>
          <w:trHeight w:val="304"/>
        </w:trPr>
        <w:tc>
          <w:tcPr>
            <w:tcW w:w="6745" w:type="dxa"/>
          </w:tcPr>
          <w:p w14:paraId="391E3A80"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260" w:type="dxa"/>
          </w:tcPr>
          <w:p w14:paraId="57B71CA9"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42</w:t>
            </w:r>
          </w:p>
        </w:tc>
        <w:tc>
          <w:tcPr>
            <w:tcW w:w="1620" w:type="dxa"/>
          </w:tcPr>
          <w:p w14:paraId="26D36945"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20.8</w:t>
            </w:r>
          </w:p>
        </w:tc>
      </w:tr>
      <w:tr w:rsidR="00CC1962" w:rsidRPr="003A1E0F" w14:paraId="6CD18F87" w14:textId="77777777" w:rsidTr="00CC1962">
        <w:trPr>
          <w:trHeight w:val="296"/>
        </w:trPr>
        <w:tc>
          <w:tcPr>
            <w:tcW w:w="6745" w:type="dxa"/>
          </w:tcPr>
          <w:p w14:paraId="49476D96"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1260" w:type="dxa"/>
          </w:tcPr>
          <w:p w14:paraId="5443E52A"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26</w:t>
            </w:r>
          </w:p>
        </w:tc>
        <w:tc>
          <w:tcPr>
            <w:tcW w:w="1620" w:type="dxa"/>
          </w:tcPr>
          <w:p w14:paraId="4BBB55A6"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12.9</w:t>
            </w:r>
          </w:p>
        </w:tc>
      </w:tr>
      <w:tr w:rsidR="00CC1962" w:rsidRPr="003A1E0F" w14:paraId="26E3DE9A" w14:textId="77777777" w:rsidTr="00CC1962">
        <w:trPr>
          <w:trHeight w:val="296"/>
        </w:trPr>
        <w:tc>
          <w:tcPr>
            <w:tcW w:w="6745" w:type="dxa"/>
          </w:tcPr>
          <w:p w14:paraId="3E7C2029" w14:textId="50B80F1F"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 xml:space="preserve">Was the immunization </w:t>
            </w:r>
            <w:r w:rsidR="00B76256">
              <w:rPr>
                <w:rFonts w:ascii="Times New Roman" w:hAnsi="Times New Roman" w:cs="Times New Roman"/>
                <w:b/>
                <w:bCs/>
                <w:sz w:val="24"/>
                <w:szCs w:val="24"/>
              </w:rPr>
              <w:t xml:space="preserve">card updated after each visit? </w:t>
            </w:r>
          </w:p>
        </w:tc>
        <w:tc>
          <w:tcPr>
            <w:tcW w:w="1260" w:type="dxa"/>
          </w:tcPr>
          <w:p w14:paraId="3AEA90F3"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620" w:type="dxa"/>
          </w:tcPr>
          <w:p w14:paraId="53C77BC4"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5E772C2F" w14:textId="77777777" w:rsidTr="00CC1962">
        <w:trPr>
          <w:trHeight w:val="296"/>
        </w:trPr>
        <w:tc>
          <w:tcPr>
            <w:tcW w:w="6745" w:type="dxa"/>
          </w:tcPr>
          <w:p w14:paraId="0EDF8FF7"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260" w:type="dxa"/>
          </w:tcPr>
          <w:p w14:paraId="31A2BE4A"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131</w:t>
            </w:r>
          </w:p>
        </w:tc>
        <w:tc>
          <w:tcPr>
            <w:tcW w:w="1620" w:type="dxa"/>
          </w:tcPr>
          <w:p w14:paraId="4B6AE244"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81.9</w:t>
            </w:r>
          </w:p>
        </w:tc>
      </w:tr>
      <w:tr w:rsidR="00CC1962" w:rsidRPr="003A1E0F" w14:paraId="3242E0D1" w14:textId="77777777" w:rsidTr="00CC1962">
        <w:trPr>
          <w:trHeight w:val="296"/>
        </w:trPr>
        <w:tc>
          <w:tcPr>
            <w:tcW w:w="6745" w:type="dxa"/>
          </w:tcPr>
          <w:p w14:paraId="1CE6ECFB"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260" w:type="dxa"/>
          </w:tcPr>
          <w:p w14:paraId="621E0DDB"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w:t>
            </w:r>
          </w:p>
        </w:tc>
        <w:tc>
          <w:tcPr>
            <w:tcW w:w="1620" w:type="dxa"/>
          </w:tcPr>
          <w:p w14:paraId="36067F00"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4.4</w:t>
            </w:r>
          </w:p>
        </w:tc>
      </w:tr>
      <w:tr w:rsidR="00CC1962" w:rsidRPr="003A1E0F" w14:paraId="1C249760" w14:textId="77777777" w:rsidTr="00CC1962">
        <w:trPr>
          <w:trHeight w:val="296"/>
        </w:trPr>
        <w:tc>
          <w:tcPr>
            <w:tcW w:w="6745" w:type="dxa"/>
          </w:tcPr>
          <w:p w14:paraId="4AB78625"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1260" w:type="dxa"/>
          </w:tcPr>
          <w:p w14:paraId="7DA21992"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22</w:t>
            </w:r>
          </w:p>
        </w:tc>
        <w:tc>
          <w:tcPr>
            <w:tcW w:w="1620" w:type="dxa"/>
          </w:tcPr>
          <w:p w14:paraId="4EBBF7F7"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13.8</w:t>
            </w:r>
          </w:p>
        </w:tc>
      </w:tr>
      <w:tr w:rsidR="00CC1962" w:rsidRPr="003A1E0F" w14:paraId="74CA25FC" w14:textId="77777777" w:rsidTr="00CC1962">
        <w:trPr>
          <w:trHeight w:val="296"/>
        </w:trPr>
        <w:tc>
          <w:tcPr>
            <w:tcW w:w="6745" w:type="dxa"/>
          </w:tcPr>
          <w:p w14:paraId="42CFECC8"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Did your child receive vaccines on time according to the immunization schedule?</w:t>
            </w:r>
          </w:p>
        </w:tc>
        <w:tc>
          <w:tcPr>
            <w:tcW w:w="1260" w:type="dxa"/>
          </w:tcPr>
          <w:p w14:paraId="3DBB8342"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620" w:type="dxa"/>
          </w:tcPr>
          <w:p w14:paraId="5DA74335"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114A5F44" w14:textId="77777777" w:rsidTr="00CC1962">
        <w:trPr>
          <w:trHeight w:val="296"/>
        </w:trPr>
        <w:tc>
          <w:tcPr>
            <w:tcW w:w="6745" w:type="dxa"/>
          </w:tcPr>
          <w:p w14:paraId="0A203DAB"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260" w:type="dxa"/>
          </w:tcPr>
          <w:p w14:paraId="11EA8C2F"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102</w:t>
            </w:r>
          </w:p>
        </w:tc>
        <w:tc>
          <w:tcPr>
            <w:tcW w:w="1620" w:type="dxa"/>
          </w:tcPr>
          <w:p w14:paraId="6E10B05A"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63.8</w:t>
            </w:r>
          </w:p>
        </w:tc>
      </w:tr>
      <w:tr w:rsidR="00CC1962" w:rsidRPr="003A1E0F" w14:paraId="1C9AF385" w14:textId="77777777" w:rsidTr="00CC1962">
        <w:trPr>
          <w:trHeight w:val="296"/>
        </w:trPr>
        <w:tc>
          <w:tcPr>
            <w:tcW w:w="6745" w:type="dxa"/>
          </w:tcPr>
          <w:p w14:paraId="6D355CD6"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Some were delayed</w:t>
            </w:r>
          </w:p>
        </w:tc>
        <w:tc>
          <w:tcPr>
            <w:tcW w:w="1260" w:type="dxa"/>
          </w:tcPr>
          <w:p w14:paraId="3337733B"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27</w:t>
            </w:r>
          </w:p>
        </w:tc>
        <w:tc>
          <w:tcPr>
            <w:tcW w:w="1620" w:type="dxa"/>
          </w:tcPr>
          <w:p w14:paraId="714C7114"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16.9</w:t>
            </w:r>
          </w:p>
        </w:tc>
      </w:tr>
      <w:tr w:rsidR="00CC1962" w:rsidRPr="003A1E0F" w14:paraId="4F53FF03" w14:textId="77777777" w:rsidTr="00CC1962">
        <w:trPr>
          <w:trHeight w:val="296"/>
        </w:trPr>
        <w:tc>
          <w:tcPr>
            <w:tcW w:w="6745" w:type="dxa"/>
          </w:tcPr>
          <w:p w14:paraId="7F7CF47A"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Most were delayed</w:t>
            </w:r>
          </w:p>
        </w:tc>
        <w:tc>
          <w:tcPr>
            <w:tcW w:w="1260" w:type="dxa"/>
          </w:tcPr>
          <w:p w14:paraId="77BBF13D"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29</w:t>
            </w:r>
          </w:p>
        </w:tc>
        <w:tc>
          <w:tcPr>
            <w:tcW w:w="1620" w:type="dxa"/>
          </w:tcPr>
          <w:p w14:paraId="0022BA5C"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18.1</w:t>
            </w:r>
          </w:p>
        </w:tc>
      </w:tr>
      <w:tr w:rsidR="00CC1962" w:rsidRPr="003A1E0F" w14:paraId="4D501340" w14:textId="77777777" w:rsidTr="00CC1962">
        <w:trPr>
          <w:trHeight w:val="296"/>
        </w:trPr>
        <w:tc>
          <w:tcPr>
            <w:tcW w:w="6745" w:type="dxa"/>
          </w:tcPr>
          <w:p w14:paraId="646AFAA5"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260" w:type="dxa"/>
          </w:tcPr>
          <w:p w14:paraId="771E6B06"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w:t>
            </w:r>
          </w:p>
        </w:tc>
        <w:tc>
          <w:tcPr>
            <w:tcW w:w="1620" w:type="dxa"/>
          </w:tcPr>
          <w:p w14:paraId="64FCB246" w14:textId="77777777" w:rsidR="00CC1962" w:rsidRPr="003A1E0F" w:rsidRDefault="00CC1962" w:rsidP="007570AE">
            <w:pPr>
              <w:autoSpaceDE w:val="0"/>
              <w:autoSpaceDN w:val="0"/>
              <w:adjustRightInd w:val="0"/>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w:t>
            </w:r>
          </w:p>
        </w:tc>
      </w:tr>
    </w:tbl>
    <w:p w14:paraId="628C37C3" w14:textId="77777777" w:rsidR="00E75302" w:rsidRDefault="00E75302" w:rsidP="007570AE">
      <w:pPr>
        <w:spacing w:line="360" w:lineRule="auto"/>
        <w:jc w:val="both"/>
        <w:rPr>
          <w:rFonts w:ascii="Times New Roman" w:hAnsi="Times New Roman" w:cs="Times New Roman"/>
          <w:b/>
          <w:sz w:val="24"/>
          <w:szCs w:val="24"/>
        </w:rPr>
      </w:pPr>
    </w:p>
    <w:p w14:paraId="6D399602" w14:textId="553CAA1C" w:rsidR="007570AE" w:rsidRDefault="007570AE" w:rsidP="00E87610">
      <w:pPr>
        <w:spacing w:line="360" w:lineRule="auto"/>
        <w:jc w:val="both"/>
        <w:rPr>
          <w:rFonts w:ascii="Times New Roman" w:hAnsi="Times New Roman" w:cs="Times New Roman"/>
          <w:b/>
          <w:sz w:val="24"/>
          <w:szCs w:val="24"/>
        </w:rPr>
      </w:pPr>
      <w:r w:rsidRPr="007570AE">
        <w:rPr>
          <w:rFonts w:ascii="Times New Roman" w:hAnsi="Times New Roman" w:cs="Times New Roman"/>
          <w:b/>
          <w:sz w:val="24"/>
          <w:szCs w:val="24"/>
        </w:rPr>
        <w:t>Effect of</w:t>
      </w:r>
      <w:r>
        <w:rPr>
          <w:rFonts w:ascii="Times New Roman" w:hAnsi="Times New Roman" w:cs="Times New Roman"/>
          <w:sz w:val="24"/>
          <w:szCs w:val="24"/>
        </w:rPr>
        <w:t xml:space="preserve"> </w:t>
      </w:r>
      <w:r w:rsidRPr="003A1E0F">
        <w:rPr>
          <w:rFonts w:ascii="Times New Roman" w:hAnsi="Times New Roman" w:cs="Times New Roman"/>
          <w:b/>
          <w:sz w:val="24"/>
          <w:szCs w:val="24"/>
        </w:rPr>
        <w:t>Second-Year-of-Life (2YL) Immunization</w:t>
      </w:r>
      <w:r>
        <w:rPr>
          <w:rFonts w:ascii="Times New Roman" w:hAnsi="Times New Roman" w:cs="Times New Roman"/>
          <w:b/>
          <w:sz w:val="24"/>
          <w:szCs w:val="24"/>
        </w:rPr>
        <w:t xml:space="preserve"> on routine immunization outcomes</w:t>
      </w:r>
    </w:p>
    <w:p w14:paraId="380842A7" w14:textId="56C317FD" w:rsidR="00E75302" w:rsidRDefault="002A21CE"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7570AE" w:rsidRPr="003A1E0F">
        <w:rPr>
          <w:rFonts w:ascii="Times New Roman" w:hAnsi="Times New Roman" w:cs="Times New Roman"/>
          <w:sz w:val="24"/>
          <w:szCs w:val="24"/>
        </w:rPr>
        <w:t xml:space="preserve">presents </w:t>
      </w:r>
      <w:r w:rsidR="00920320">
        <w:rPr>
          <w:rFonts w:ascii="Times New Roman" w:hAnsi="Times New Roman" w:cs="Times New Roman"/>
          <w:sz w:val="24"/>
          <w:szCs w:val="24"/>
        </w:rPr>
        <w:t>the findings i</w:t>
      </w:r>
      <w:r w:rsidR="007570AE" w:rsidRPr="003A1E0F">
        <w:rPr>
          <w:rFonts w:ascii="Times New Roman" w:hAnsi="Times New Roman" w:cs="Times New Roman"/>
          <w:sz w:val="24"/>
          <w:szCs w:val="24"/>
        </w:rPr>
        <w:t xml:space="preserve">n </w:t>
      </w:r>
      <w:r w:rsidR="00920320">
        <w:rPr>
          <w:rFonts w:ascii="Times New Roman" w:hAnsi="Times New Roman" w:cs="Times New Roman"/>
          <w:sz w:val="24"/>
          <w:szCs w:val="24"/>
        </w:rPr>
        <w:t xml:space="preserve">respect of </w:t>
      </w:r>
      <w:r w:rsidR="007570AE" w:rsidRPr="003A1E0F">
        <w:rPr>
          <w:rFonts w:ascii="Times New Roman" w:hAnsi="Times New Roman" w:cs="Times New Roman"/>
          <w:sz w:val="24"/>
          <w:szCs w:val="24"/>
        </w:rPr>
        <w:t>immunization coverage during the first and second years of life</w:t>
      </w:r>
      <w:r w:rsidR="00920320">
        <w:rPr>
          <w:rFonts w:ascii="Times New Roman" w:hAnsi="Times New Roman" w:cs="Times New Roman"/>
          <w:sz w:val="24"/>
          <w:szCs w:val="24"/>
        </w:rPr>
        <w:t xml:space="preserve"> for children aged 12- 24 months</w:t>
      </w:r>
      <w:r w:rsidR="007570AE" w:rsidRPr="003A1E0F">
        <w:rPr>
          <w:rFonts w:ascii="Times New Roman" w:hAnsi="Times New Roman" w:cs="Times New Roman"/>
          <w:sz w:val="24"/>
          <w:szCs w:val="24"/>
        </w:rPr>
        <w:t xml:space="preserve">. </w:t>
      </w:r>
    </w:p>
    <w:p w14:paraId="413033F9" w14:textId="152949D2" w:rsidR="00920320" w:rsidRDefault="00920320"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Consequently, 89.6% {n = 181} of </w:t>
      </w:r>
      <w:r w:rsidR="007570AE" w:rsidRPr="003A1E0F">
        <w:rPr>
          <w:rFonts w:ascii="Times New Roman" w:hAnsi="Times New Roman" w:cs="Times New Roman"/>
          <w:sz w:val="24"/>
          <w:szCs w:val="24"/>
        </w:rPr>
        <w:t xml:space="preserve">respondents confirmed </w:t>
      </w:r>
      <w:r>
        <w:rPr>
          <w:rFonts w:ascii="Times New Roman" w:hAnsi="Times New Roman" w:cs="Times New Roman"/>
          <w:sz w:val="24"/>
          <w:szCs w:val="24"/>
        </w:rPr>
        <w:t>that their wards</w:t>
      </w:r>
      <w:r w:rsidR="007570AE" w:rsidRPr="003A1E0F">
        <w:rPr>
          <w:rFonts w:ascii="Times New Roman" w:hAnsi="Times New Roman" w:cs="Times New Roman"/>
          <w:sz w:val="24"/>
          <w:szCs w:val="24"/>
        </w:rPr>
        <w:t xml:space="preserve"> had received all the recommended </w:t>
      </w:r>
      <w:r>
        <w:rPr>
          <w:rFonts w:ascii="Times New Roman" w:hAnsi="Times New Roman" w:cs="Times New Roman"/>
          <w:sz w:val="24"/>
          <w:szCs w:val="24"/>
        </w:rPr>
        <w:t>first year vaccine antigens</w:t>
      </w:r>
      <w:r w:rsidR="007570AE" w:rsidRPr="003A1E0F">
        <w:rPr>
          <w:rFonts w:ascii="Times New Roman" w:hAnsi="Times New Roman" w:cs="Times New Roman"/>
          <w:sz w:val="24"/>
          <w:szCs w:val="24"/>
        </w:rPr>
        <w:t xml:space="preserve">, including BCG, </w:t>
      </w:r>
      <w:proofErr w:type="spellStart"/>
      <w:r w:rsidR="007570AE" w:rsidRPr="003A1E0F">
        <w:rPr>
          <w:rFonts w:ascii="Times New Roman" w:hAnsi="Times New Roman" w:cs="Times New Roman"/>
          <w:sz w:val="24"/>
          <w:szCs w:val="24"/>
        </w:rPr>
        <w:t>Penta</w:t>
      </w:r>
      <w:r w:rsidR="007570AE">
        <w:rPr>
          <w:rFonts w:ascii="Times New Roman" w:hAnsi="Times New Roman" w:cs="Times New Roman"/>
          <w:sz w:val="24"/>
          <w:szCs w:val="24"/>
        </w:rPr>
        <w:t>valent</w:t>
      </w:r>
      <w:proofErr w:type="spellEnd"/>
      <w:r w:rsidR="007570AE">
        <w:rPr>
          <w:rFonts w:ascii="Times New Roman" w:hAnsi="Times New Roman" w:cs="Times New Roman"/>
          <w:sz w:val="24"/>
          <w:szCs w:val="24"/>
        </w:rPr>
        <w:t xml:space="preserve"> vaccine</w:t>
      </w:r>
      <w:r w:rsidR="007570AE" w:rsidRPr="003A1E0F">
        <w:rPr>
          <w:rFonts w:ascii="Times New Roman" w:hAnsi="Times New Roman" w:cs="Times New Roman"/>
          <w:sz w:val="24"/>
          <w:szCs w:val="24"/>
        </w:rPr>
        <w:t>, O</w:t>
      </w:r>
      <w:r>
        <w:rPr>
          <w:rFonts w:ascii="Times New Roman" w:hAnsi="Times New Roman" w:cs="Times New Roman"/>
          <w:sz w:val="24"/>
          <w:szCs w:val="24"/>
        </w:rPr>
        <w:t xml:space="preserve">ral </w:t>
      </w:r>
      <w:r w:rsidR="007570AE" w:rsidRPr="003A1E0F">
        <w:rPr>
          <w:rFonts w:ascii="Times New Roman" w:hAnsi="Times New Roman" w:cs="Times New Roman"/>
          <w:sz w:val="24"/>
          <w:szCs w:val="24"/>
        </w:rPr>
        <w:t>P</w:t>
      </w:r>
      <w:r>
        <w:rPr>
          <w:rFonts w:ascii="Times New Roman" w:hAnsi="Times New Roman" w:cs="Times New Roman"/>
          <w:sz w:val="24"/>
          <w:szCs w:val="24"/>
        </w:rPr>
        <w:t xml:space="preserve">olio </w:t>
      </w:r>
      <w:r w:rsidR="007570AE" w:rsidRPr="003A1E0F">
        <w:rPr>
          <w:rFonts w:ascii="Times New Roman" w:hAnsi="Times New Roman" w:cs="Times New Roman"/>
          <w:sz w:val="24"/>
          <w:szCs w:val="24"/>
        </w:rPr>
        <w:t>V</w:t>
      </w:r>
      <w:r>
        <w:rPr>
          <w:rFonts w:ascii="Times New Roman" w:hAnsi="Times New Roman" w:cs="Times New Roman"/>
          <w:sz w:val="24"/>
          <w:szCs w:val="24"/>
        </w:rPr>
        <w:t>accine (OPV)</w:t>
      </w:r>
      <w:r w:rsidR="007570AE" w:rsidRPr="003A1E0F">
        <w:rPr>
          <w:rFonts w:ascii="Times New Roman" w:hAnsi="Times New Roman" w:cs="Times New Roman"/>
          <w:sz w:val="24"/>
          <w:szCs w:val="24"/>
        </w:rPr>
        <w:t>, and Hep</w:t>
      </w:r>
      <w:r w:rsidR="007570AE">
        <w:rPr>
          <w:rFonts w:ascii="Times New Roman" w:hAnsi="Times New Roman" w:cs="Times New Roman"/>
          <w:sz w:val="24"/>
          <w:szCs w:val="24"/>
        </w:rPr>
        <w:t xml:space="preserve">atitis </w:t>
      </w:r>
      <w:r>
        <w:rPr>
          <w:rFonts w:ascii="Times New Roman" w:hAnsi="Times New Roman" w:cs="Times New Roman"/>
          <w:sz w:val="24"/>
          <w:szCs w:val="24"/>
        </w:rPr>
        <w:t xml:space="preserve">B, 4.5% {n = 9} </w:t>
      </w:r>
      <w:r w:rsidR="007570AE" w:rsidRPr="003A1E0F">
        <w:rPr>
          <w:rFonts w:ascii="Times New Roman" w:hAnsi="Times New Roman" w:cs="Times New Roman"/>
          <w:sz w:val="24"/>
          <w:szCs w:val="24"/>
        </w:rPr>
        <w:t>reported incomplet</w:t>
      </w:r>
      <w:r>
        <w:rPr>
          <w:rFonts w:ascii="Times New Roman" w:hAnsi="Times New Roman" w:cs="Times New Roman"/>
          <w:sz w:val="24"/>
          <w:szCs w:val="24"/>
        </w:rPr>
        <w:t>e vaccinations in this regard</w:t>
      </w:r>
      <w:r w:rsidR="007570AE" w:rsidRPr="003A1E0F">
        <w:rPr>
          <w:rFonts w:ascii="Times New Roman" w:hAnsi="Times New Roman" w:cs="Times New Roman"/>
          <w:sz w:val="24"/>
          <w:szCs w:val="24"/>
        </w:rPr>
        <w:t xml:space="preserve">, while </w:t>
      </w:r>
      <w:r>
        <w:rPr>
          <w:rFonts w:ascii="Times New Roman" w:hAnsi="Times New Roman" w:cs="Times New Roman"/>
          <w:sz w:val="24"/>
          <w:szCs w:val="24"/>
        </w:rPr>
        <w:t>5.9% {n =12} were uncertain as to their wards vaccination status</w:t>
      </w:r>
      <w:r w:rsidR="007570AE" w:rsidRPr="003A1E0F">
        <w:rPr>
          <w:rFonts w:ascii="Times New Roman" w:hAnsi="Times New Roman" w:cs="Times New Roman"/>
          <w:sz w:val="24"/>
          <w:szCs w:val="24"/>
        </w:rPr>
        <w:t xml:space="preserve">. </w:t>
      </w:r>
      <w:r>
        <w:rPr>
          <w:rFonts w:ascii="Times New Roman" w:hAnsi="Times New Roman" w:cs="Times New Roman"/>
          <w:sz w:val="24"/>
          <w:szCs w:val="24"/>
        </w:rPr>
        <w:t>Concerning 2YL immunization</w:t>
      </w:r>
      <w:r w:rsidR="00EB64B8">
        <w:rPr>
          <w:rFonts w:ascii="Times New Roman" w:hAnsi="Times New Roman" w:cs="Times New Roman"/>
          <w:sz w:val="24"/>
          <w:szCs w:val="24"/>
        </w:rPr>
        <w:t xml:space="preserve">, only 1.5% {n = 3} received all recommended 2YL vaccine antigens, with 56.9% {n = 115} reporting that their wards received the second dose of measles (MCV2), 53% {N = 107} reported 2YL vitamin A supplementation, 1.5% {n = 3} reported </w:t>
      </w:r>
      <w:r w:rsidR="00B3213B">
        <w:rPr>
          <w:rFonts w:ascii="Times New Roman" w:hAnsi="Times New Roman" w:cs="Times New Roman"/>
          <w:sz w:val="24"/>
          <w:szCs w:val="24"/>
        </w:rPr>
        <w:t xml:space="preserve">appropriate </w:t>
      </w:r>
      <w:r w:rsidR="00EB64B8">
        <w:rPr>
          <w:rFonts w:ascii="Times New Roman" w:hAnsi="Times New Roman" w:cs="Times New Roman"/>
          <w:sz w:val="24"/>
          <w:szCs w:val="24"/>
        </w:rPr>
        <w:t xml:space="preserve">2YL OPV booster doses, 1% {n = 2} </w:t>
      </w:r>
      <w:r w:rsidR="00B3213B">
        <w:rPr>
          <w:rFonts w:ascii="Times New Roman" w:hAnsi="Times New Roman" w:cs="Times New Roman"/>
          <w:sz w:val="24"/>
          <w:szCs w:val="24"/>
        </w:rPr>
        <w:t xml:space="preserve">reported relevant </w:t>
      </w:r>
      <w:r w:rsidR="00EB64B8">
        <w:rPr>
          <w:rFonts w:ascii="Times New Roman" w:hAnsi="Times New Roman" w:cs="Times New Roman"/>
          <w:sz w:val="24"/>
          <w:szCs w:val="24"/>
        </w:rPr>
        <w:t xml:space="preserve">2YL </w:t>
      </w:r>
      <w:proofErr w:type="spellStart"/>
      <w:r w:rsidR="00EB64B8">
        <w:rPr>
          <w:rFonts w:ascii="Times New Roman" w:hAnsi="Times New Roman" w:cs="Times New Roman"/>
          <w:sz w:val="24"/>
          <w:szCs w:val="24"/>
        </w:rPr>
        <w:t>Pentavalent</w:t>
      </w:r>
      <w:proofErr w:type="spellEnd"/>
      <w:r w:rsidR="00EB64B8">
        <w:rPr>
          <w:rFonts w:ascii="Times New Roman" w:hAnsi="Times New Roman" w:cs="Times New Roman"/>
          <w:sz w:val="24"/>
          <w:szCs w:val="24"/>
        </w:rPr>
        <w:t xml:space="preserve"> vaccine booster doses, 20.8% {n = 42}</w:t>
      </w:r>
      <w:r w:rsidR="00B3213B">
        <w:rPr>
          <w:rFonts w:ascii="Times New Roman" w:hAnsi="Times New Roman" w:cs="Times New Roman"/>
          <w:sz w:val="24"/>
          <w:szCs w:val="24"/>
        </w:rPr>
        <w:t xml:space="preserve"> reported no 2YL immunization, and 4% {n = 8} were uncertain as to their wards 2YL vaccination status. </w:t>
      </w:r>
    </w:p>
    <w:p w14:paraId="4EC04E68" w14:textId="1C9DF210" w:rsidR="007B3C9E" w:rsidRDefault="007B3C9E"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r</w:t>
      </w:r>
      <w:r w:rsidR="007570AE" w:rsidRPr="003A1E0F">
        <w:rPr>
          <w:rFonts w:ascii="Times New Roman" w:hAnsi="Times New Roman" w:cs="Times New Roman"/>
          <w:sz w:val="24"/>
          <w:szCs w:val="24"/>
        </w:rPr>
        <w:t xml:space="preserve">egarding the timing of 2YL immunizations, </w:t>
      </w:r>
      <w:r>
        <w:rPr>
          <w:rFonts w:ascii="Times New Roman" w:hAnsi="Times New Roman" w:cs="Times New Roman"/>
          <w:sz w:val="24"/>
          <w:szCs w:val="24"/>
        </w:rPr>
        <w:t xml:space="preserve">47.5% {n = 76} of respondents submitted that their wards were </w:t>
      </w:r>
      <w:r w:rsidR="007570AE" w:rsidRPr="003A1E0F">
        <w:rPr>
          <w:rFonts w:ascii="Times New Roman" w:hAnsi="Times New Roman" w:cs="Times New Roman"/>
          <w:sz w:val="24"/>
          <w:szCs w:val="24"/>
        </w:rPr>
        <w:t xml:space="preserve">vaccinated between 12–15 months </w:t>
      </w:r>
      <w:r>
        <w:rPr>
          <w:rFonts w:ascii="Times New Roman" w:hAnsi="Times New Roman" w:cs="Times New Roman"/>
          <w:sz w:val="24"/>
          <w:szCs w:val="24"/>
        </w:rPr>
        <w:t xml:space="preserve">of age, 46.3% {n = 74} volunteered that their wards were vaccinated when aged </w:t>
      </w:r>
      <w:r w:rsidR="007570AE" w:rsidRPr="003A1E0F">
        <w:rPr>
          <w:rFonts w:ascii="Times New Roman" w:hAnsi="Times New Roman" w:cs="Times New Roman"/>
          <w:sz w:val="24"/>
          <w:szCs w:val="24"/>
        </w:rPr>
        <w:t>16–20 months</w:t>
      </w:r>
      <w:r>
        <w:rPr>
          <w:rFonts w:ascii="Times New Roman" w:hAnsi="Times New Roman" w:cs="Times New Roman"/>
          <w:sz w:val="24"/>
          <w:szCs w:val="24"/>
        </w:rPr>
        <w:t>, 3.8% {n = 6} did aver that thei</w:t>
      </w:r>
      <w:r w:rsidR="00715BB1">
        <w:rPr>
          <w:rFonts w:ascii="Times New Roman" w:hAnsi="Times New Roman" w:cs="Times New Roman"/>
          <w:sz w:val="24"/>
          <w:szCs w:val="24"/>
        </w:rPr>
        <w:t xml:space="preserve">r wards were vaccinated after 20 months of age, while 2.5% {n = 4} could not tell the age at which 2YL vaccination took place. In keeping with the foregoing, 66.3% {n = 134} of respondents affirmed full 2YL immunization status, 14.9% {n = 30} partial 2YL immunization, and 18.8% {n = 38} were uncertain as to their wards 2YL immunization completion status.  </w:t>
      </w:r>
      <w:r w:rsidR="00AB7376">
        <w:rPr>
          <w:rFonts w:ascii="Times New Roman" w:hAnsi="Times New Roman" w:cs="Times New Roman"/>
          <w:sz w:val="24"/>
          <w:szCs w:val="24"/>
        </w:rPr>
        <w:t>In consonance thereof, caregiver reports of Vaccine Preventable Diseases</w:t>
      </w:r>
      <w:r w:rsidR="00874136">
        <w:rPr>
          <w:rFonts w:ascii="Times New Roman" w:hAnsi="Times New Roman" w:cs="Times New Roman"/>
          <w:sz w:val="24"/>
          <w:szCs w:val="24"/>
        </w:rPr>
        <w:t xml:space="preserve"> (VPD)</w:t>
      </w:r>
      <w:r w:rsidR="00AB7376">
        <w:rPr>
          <w:rFonts w:ascii="Times New Roman" w:hAnsi="Times New Roman" w:cs="Times New Roman"/>
          <w:sz w:val="24"/>
          <w:szCs w:val="24"/>
        </w:rPr>
        <w:t xml:space="preserve">, following completion of 2YL immunization and/or 24 months of child’s age, were such that 74.4% {n = 119} did report episodes of whooping cough, 24.2% {n = 39} reported episodes of measles, 3.1% {n = 5} reported poliomyelitis, 14.4% did not report any illness, </w:t>
      </w:r>
      <w:r w:rsidR="00874136">
        <w:rPr>
          <w:rFonts w:ascii="Times New Roman" w:hAnsi="Times New Roman" w:cs="Times New Roman"/>
          <w:sz w:val="24"/>
          <w:szCs w:val="24"/>
        </w:rPr>
        <w:t xml:space="preserve">none </w:t>
      </w:r>
      <w:r w:rsidR="00AB7376">
        <w:rPr>
          <w:rFonts w:ascii="Times New Roman" w:hAnsi="Times New Roman" w:cs="Times New Roman"/>
          <w:sz w:val="24"/>
          <w:szCs w:val="24"/>
        </w:rPr>
        <w:t xml:space="preserve">0% {n = 0} reported </w:t>
      </w:r>
      <w:r w:rsidR="00874136">
        <w:rPr>
          <w:rFonts w:ascii="Times New Roman" w:hAnsi="Times New Roman" w:cs="Times New Roman"/>
          <w:sz w:val="24"/>
          <w:szCs w:val="24"/>
        </w:rPr>
        <w:t xml:space="preserve">pneumonia, </w:t>
      </w:r>
      <w:r w:rsidR="00AB7376">
        <w:rPr>
          <w:rFonts w:ascii="Times New Roman" w:hAnsi="Times New Roman" w:cs="Times New Roman"/>
          <w:sz w:val="24"/>
          <w:szCs w:val="24"/>
        </w:rPr>
        <w:t xml:space="preserve">and 5% {n = 8} were uncertain </w:t>
      </w:r>
      <w:r w:rsidR="00874136">
        <w:rPr>
          <w:rFonts w:ascii="Times New Roman" w:hAnsi="Times New Roman" w:cs="Times New Roman"/>
          <w:sz w:val="24"/>
          <w:szCs w:val="24"/>
        </w:rPr>
        <w:t>as to VPD</w:t>
      </w:r>
      <w:r w:rsidR="00AB7376">
        <w:rPr>
          <w:rFonts w:ascii="Times New Roman" w:hAnsi="Times New Roman" w:cs="Times New Roman"/>
          <w:sz w:val="24"/>
          <w:szCs w:val="24"/>
        </w:rPr>
        <w:t xml:space="preserve"> outbreaks following complete 2YL immunization.</w:t>
      </w:r>
    </w:p>
    <w:p w14:paraId="597A0AE3" w14:textId="129F4939" w:rsidR="00E87610" w:rsidRDefault="00257A85"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on the above, interrogation of </w:t>
      </w:r>
      <w:r w:rsidR="007570AE" w:rsidRPr="003A1E0F">
        <w:rPr>
          <w:rFonts w:ascii="Times New Roman" w:hAnsi="Times New Roman" w:cs="Times New Roman"/>
          <w:sz w:val="24"/>
          <w:szCs w:val="24"/>
        </w:rPr>
        <w:t>health facilit</w:t>
      </w:r>
      <w:r>
        <w:rPr>
          <w:rFonts w:ascii="Times New Roman" w:hAnsi="Times New Roman" w:cs="Times New Roman"/>
          <w:sz w:val="24"/>
          <w:szCs w:val="24"/>
        </w:rPr>
        <w:t>y visits for illness in the</w:t>
      </w:r>
      <w:r w:rsidR="007570AE" w:rsidRPr="003A1E0F">
        <w:rPr>
          <w:rFonts w:ascii="Times New Roman" w:hAnsi="Times New Roman" w:cs="Times New Roman"/>
          <w:sz w:val="24"/>
          <w:szCs w:val="24"/>
        </w:rPr>
        <w:t xml:space="preserve"> 12 months</w:t>
      </w:r>
      <w:r>
        <w:rPr>
          <w:rFonts w:ascii="Times New Roman" w:hAnsi="Times New Roman" w:cs="Times New Roman"/>
          <w:sz w:val="24"/>
          <w:szCs w:val="24"/>
        </w:rPr>
        <w:t xml:space="preserve"> prior</w:t>
      </w:r>
      <w:r w:rsidR="007570AE" w:rsidRPr="003A1E0F">
        <w:rPr>
          <w:rFonts w:ascii="Times New Roman" w:hAnsi="Times New Roman" w:cs="Times New Roman"/>
          <w:sz w:val="24"/>
          <w:szCs w:val="24"/>
        </w:rPr>
        <w:t xml:space="preserve">, </w:t>
      </w:r>
      <w:r>
        <w:rPr>
          <w:rFonts w:ascii="Times New Roman" w:hAnsi="Times New Roman" w:cs="Times New Roman"/>
          <w:sz w:val="24"/>
          <w:szCs w:val="24"/>
        </w:rPr>
        <w:t xml:space="preserve">56.3% {n = 90} of respondents reported one to two visits, 1.3% {n = 2} reported three or more visits, and 42.5% {n = 68} reported no visits in this regard. </w:t>
      </w:r>
      <w:r w:rsidR="00E743EE">
        <w:rPr>
          <w:rFonts w:ascii="Times New Roman" w:hAnsi="Times New Roman" w:cs="Times New Roman"/>
          <w:sz w:val="24"/>
          <w:szCs w:val="24"/>
        </w:rPr>
        <w:t>Further specifics in respect of the hospital visits did show that 70% {n = 112} of hospital visits resulted in hospital admission while 30% {n = 48} did not require any form of admission. Overall, however, 68.1% {n = 109} perceived that their children were comparatively much healthier than children in the same age bracket, 0.6% {n = 1} did perceive that the reverse was the case, and 31.3% {n = 50} did not perceive any differen</w:t>
      </w:r>
      <w:r w:rsidR="002C0DC9">
        <w:rPr>
          <w:rFonts w:ascii="Times New Roman" w:hAnsi="Times New Roman" w:cs="Times New Roman"/>
          <w:sz w:val="24"/>
          <w:szCs w:val="24"/>
        </w:rPr>
        <w:t>ce in health status. See table 5</w:t>
      </w:r>
      <w:r w:rsidR="00E743EE">
        <w:rPr>
          <w:rFonts w:ascii="Times New Roman" w:hAnsi="Times New Roman" w:cs="Times New Roman"/>
          <w:sz w:val="24"/>
          <w:szCs w:val="24"/>
        </w:rPr>
        <w:t xml:space="preserve">. </w:t>
      </w:r>
    </w:p>
    <w:p w14:paraId="5A4635A5" w14:textId="5219033D" w:rsidR="00CC1962" w:rsidRPr="003A1E0F" w:rsidRDefault="002C0DC9" w:rsidP="00CC19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5</w:t>
      </w:r>
      <w:r w:rsidR="00E75302">
        <w:rPr>
          <w:rFonts w:ascii="Times New Roman" w:hAnsi="Times New Roman" w:cs="Times New Roman"/>
          <w:sz w:val="24"/>
          <w:szCs w:val="24"/>
        </w:rPr>
        <w:t xml:space="preserve">: Effect </w:t>
      </w:r>
      <w:r w:rsidR="00CC1962" w:rsidRPr="003A1E0F">
        <w:rPr>
          <w:rFonts w:ascii="Times New Roman" w:hAnsi="Times New Roman" w:cs="Times New Roman"/>
          <w:sz w:val="24"/>
          <w:szCs w:val="24"/>
        </w:rPr>
        <w:t xml:space="preserve">of second-year-of-life (2YL) immunization on childhood </w:t>
      </w:r>
      <w:r>
        <w:rPr>
          <w:rFonts w:ascii="Times New Roman" w:hAnsi="Times New Roman" w:cs="Times New Roman"/>
          <w:sz w:val="24"/>
          <w:szCs w:val="24"/>
        </w:rPr>
        <w:t>routine immunization outcomes (</w:t>
      </w:r>
      <w:r w:rsidR="00CC1962" w:rsidRPr="003A1E0F">
        <w:rPr>
          <w:rFonts w:ascii="Times New Roman" w:hAnsi="Times New Roman" w:cs="Times New Roman"/>
          <w:sz w:val="24"/>
          <w:szCs w:val="24"/>
        </w:rPr>
        <w:t>n=202</w:t>
      </w:r>
      <w:r>
        <w:rPr>
          <w:rFonts w:ascii="Times New Roman" w:hAnsi="Times New Roman" w:cs="Times New Roman"/>
          <w:sz w:val="24"/>
          <w:szCs w:val="24"/>
        </w:rPr>
        <w:t>)</w:t>
      </w:r>
    </w:p>
    <w:tbl>
      <w:tblPr>
        <w:tblStyle w:val="TableGrid"/>
        <w:tblW w:w="10345" w:type="dxa"/>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1310"/>
        <w:gridCol w:w="1349"/>
      </w:tblGrid>
      <w:tr w:rsidR="00CC1962" w:rsidRPr="003A1E0F" w14:paraId="65E489A0" w14:textId="77777777" w:rsidTr="00CC1962">
        <w:trPr>
          <w:trHeight w:val="296"/>
        </w:trPr>
        <w:tc>
          <w:tcPr>
            <w:tcW w:w="7686" w:type="dxa"/>
            <w:tcBorders>
              <w:top w:val="single" w:sz="4" w:space="0" w:color="auto"/>
              <w:bottom w:val="single" w:sz="4" w:space="0" w:color="auto"/>
            </w:tcBorders>
          </w:tcPr>
          <w:p w14:paraId="5284E2DE" w14:textId="77777777" w:rsidR="00CC1962" w:rsidRPr="003A1E0F" w:rsidRDefault="00CC1962"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Variables </w:t>
            </w:r>
          </w:p>
        </w:tc>
        <w:tc>
          <w:tcPr>
            <w:tcW w:w="1310" w:type="dxa"/>
            <w:tcBorders>
              <w:top w:val="single" w:sz="4" w:space="0" w:color="auto"/>
              <w:bottom w:val="single" w:sz="4" w:space="0" w:color="auto"/>
            </w:tcBorders>
          </w:tcPr>
          <w:p w14:paraId="4F003604" w14:textId="77777777" w:rsidR="00CC1962" w:rsidRPr="003A1E0F" w:rsidRDefault="00CC1962"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Frequency </w:t>
            </w:r>
          </w:p>
        </w:tc>
        <w:tc>
          <w:tcPr>
            <w:tcW w:w="1349" w:type="dxa"/>
            <w:tcBorders>
              <w:top w:val="single" w:sz="4" w:space="0" w:color="auto"/>
              <w:bottom w:val="single" w:sz="4" w:space="0" w:color="auto"/>
            </w:tcBorders>
          </w:tcPr>
          <w:p w14:paraId="56250959" w14:textId="77777777" w:rsidR="00CC1962" w:rsidRPr="003A1E0F" w:rsidRDefault="00CC1962" w:rsidP="007570AE">
            <w:pPr>
              <w:spacing w:after="0" w:line="360" w:lineRule="auto"/>
              <w:jc w:val="both"/>
              <w:rPr>
                <w:rFonts w:ascii="Times New Roman" w:hAnsi="Times New Roman" w:cs="Times New Roman"/>
                <w:b/>
                <w:sz w:val="24"/>
                <w:szCs w:val="24"/>
              </w:rPr>
            </w:pPr>
            <w:r w:rsidRPr="003A1E0F">
              <w:rPr>
                <w:rFonts w:ascii="Times New Roman" w:hAnsi="Times New Roman" w:cs="Times New Roman"/>
                <w:b/>
                <w:sz w:val="24"/>
                <w:szCs w:val="24"/>
              </w:rPr>
              <w:t xml:space="preserve">Percentage </w:t>
            </w:r>
          </w:p>
        </w:tc>
      </w:tr>
      <w:tr w:rsidR="00CC1962" w:rsidRPr="003A1E0F" w14:paraId="2802575B" w14:textId="77777777" w:rsidTr="00CC1962">
        <w:trPr>
          <w:trHeight w:val="296"/>
        </w:trPr>
        <w:tc>
          <w:tcPr>
            <w:tcW w:w="7686" w:type="dxa"/>
            <w:tcBorders>
              <w:top w:val="single" w:sz="4" w:space="0" w:color="auto"/>
            </w:tcBorders>
          </w:tcPr>
          <w:p w14:paraId="0B80A75B" w14:textId="7900D2DB"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Has your child received all routine immunizations in the firs</w:t>
            </w:r>
            <w:r w:rsidR="00B45E18">
              <w:rPr>
                <w:rFonts w:ascii="Times New Roman" w:hAnsi="Times New Roman" w:cs="Times New Roman"/>
                <w:b/>
                <w:bCs/>
                <w:sz w:val="24"/>
                <w:szCs w:val="24"/>
              </w:rPr>
              <w:t xml:space="preserve">t year of life (e.g., BCG, </w:t>
            </w:r>
            <w:proofErr w:type="spellStart"/>
            <w:r w:rsidR="00B45E18">
              <w:rPr>
                <w:rFonts w:ascii="Times New Roman" w:hAnsi="Times New Roman" w:cs="Times New Roman"/>
                <w:b/>
                <w:bCs/>
                <w:sz w:val="24"/>
                <w:szCs w:val="24"/>
              </w:rPr>
              <w:t>Pentavalent</w:t>
            </w:r>
            <w:proofErr w:type="spellEnd"/>
            <w:r w:rsidR="00B45E18">
              <w:rPr>
                <w:rFonts w:ascii="Times New Roman" w:hAnsi="Times New Roman" w:cs="Times New Roman"/>
                <w:b/>
                <w:bCs/>
                <w:sz w:val="24"/>
                <w:szCs w:val="24"/>
              </w:rPr>
              <w:t xml:space="preserve"> vaccine</w:t>
            </w:r>
            <w:r w:rsidRPr="003A1E0F">
              <w:rPr>
                <w:rFonts w:ascii="Times New Roman" w:hAnsi="Times New Roman" w:cs="Times New Roman"/>
                <w:b/>
                <w:bCs/>
                <w:sz w:val="24"/>
                <w:szCs w:val="24"/>
              </w:rPr>
              <w:t>, OPV, Hep</w:t>
            </w:r>
            <w:r w:rsidR="00B45E18">
              <w:rPr>
                <w:rFonts w:ascii="Times New Roman" w:hAnsi="Times New Roman" w:cs="Times New Roman"/>
                <w:b/>
                <w:bCs/>
                <w:sz w:val="24"/>
                <w:szCs w:val="24"/>
              </w:rPr>
              <w:t xml:space="preserve">atitis </w:t>
            </w:r>
            <w:r w:rsidRPr="003A1E0F">
              <w:rPr>
                <w:rFonts w:ascii="Times New Roman" w:hAnsi="Times New Roman" w:cs="Times New Roman"/>
                <w:b/>
                <w:bCs/>
                <w:sz w:val="24"/>
                <w:szCs w:val="24"/>
              </w:rPr>
              <w:t>B)?</w:t>
            </w:r>
          </w:p>
        </w:tc>
        <w:tc>
          <w:tcPr>
            <w:tcW w:w="1310" w:type="dxa"/>
            <w:tcBorders>
              <w:top w:val="single" w:sz="4" w:space="0" w:color="auto"/>
            </w:tcBorders>
          </w:tcPr>
          <w:p w14:paraId="61A0F492"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Borders>
              <w:top w:val="single" w:sz="4" w:space="0" w:color="auto"/>
            </w:tcBorders>
          </w:tcPr>
          <w:p w14:paraId="76D36CD0"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50F863B8" w14:textId="77777777" w:rsidTr="00CC1962">
        <w:trPr>
          <w:trHeight w:val="296"/>
        </w:trPr>
        <w:tc>
          <w:tcPr>
            <w:tcW w:w="7686" w:type="dxa"/>
          </w:tcPr>
          <w:p w14:paraId="7CDE1832"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310" w:type="dxa"/>
          </w:tcPr>
          <w:p w14:paraId="6F5323B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181</w:t>
            </w:r>
          </w:p>
        </w:tc>
        <w:tc>
          <w:tcPr>
            <w:tcW w:w="1349" w:type="dxa"/>
          </w:tcPr>
          <w:p w14:paraId="638DC62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89.6</w:t>
            </w:r>
          </w:p>
        </w:tc>
      </w:tr>
      <w:tr w:rsidR="00CC1962" w:rsidRPr="003A1E0F" w14:paraId="2E342E26" w14:textId="77777777" w:rsidTr="00CC1962">
        <w:trPr>
          <w:trHeight w:val="304"/>
        </w:trPr>
        <w:tc>
          <w:tcPr>
            <w:tcW w:w="7686" w:type="dxa"/>
          </w:tcPr>
          <w:p w14:paraId="64166C99"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310" w:type="dxa"/>
          </w:tcPr>
          <w:p w14:paraId="4B5112DB"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9</w:t>
            </w:r>
          </w:p>
        </w:tc>
        <w:tc>
          <w:tcPr>
            <w:tcW w:w="1349" w:type="dxa"/>
          </w:tcPr>
          <w:p w14:paraId="004D3D4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4.5</w:t>
            </w:r>
          </w:p>
        </w:tc>
      </w:tr>
      <w:tr w:rsidR="00CC1962" w:rsidRPr="003A1E0F" w14:paraId="7022289E" w14:textId="77777777" w:rsidTr="00CC1962">
        <w:trPr>
          <w:trHeight w:val="296"/>
        </w:trPr>
        <w:tc>
          <w:tcPr>
            <w:tcW w:w="7686" w:type="dxa"/>
          </w:tcPr>
          <w:p w14:paraId="22DB367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1310" w:type="dxa"/>
          </w:tcPr>
          <w:p w14:paraId="4EC5EA4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w:t>
            </w:r>
          </w:p>
        </w:tc>
        <w:tc>
          <w:tcPr>
            <w:tcW w:w="1349" w:type="dxa"/>
          </w:tcPr>
          <w:p w14:paraId="19B92DE3"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5.9</w:t>
            </w:r>
          </w:p>
        </w:tc>
      </w:tr>
      <w:tr w:rsidR="00CC1962" w:rsidRPr="003A1E0F" w14:paraId="1AABC6FD" w14:textId="77777777" w:rsidTr="00CC1962">
        <w:trPr>
          <w:trHeight w:val="296"/>
        </w:trPr>
        <w:tc>
          <w:tcPr>
            <w:tcW w:w="7686" w:type="dxa"/>
          </w:tcPr>
          <w:p w14:paraId="697D165A"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Has your child received any of the following second-year-of-life (2YL) immunizations? (Check all that apply)</w:t>
            </w:r>
          </w:p>
        </w:tc>
        <w:tc>
          <w:tcPr>
            <w:tcW w:w="1310" w:type="dxa"/>
          </w:tcPr>
          <w:p w14:paraId="7ECF7CB1"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Pr>
          <w:p w14:paraId="78EF981F"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5DEEEB6D" w14:textId="77777777" w:rsidTr="00CC1962">
        <w:trPr>
          <w:trHeight w:val="296"/>
        </w:trPr>
        <w:tc>
          <w:tcPr>
            <w:tcW w:w="7686" w:type="dxa"/>
          </w:tcPr>
          <w:p w14:paraId="4AFD96C6" w14:textId="77777777" w:rsidR="00CC1962" w:rsidRPr="00B45E18" w:rsidRDefault="00CC1962" w:rsidP="007570AE">
            <w:pPr>
              <w:spacing w:after="0" w:line="360" w:lineRule="auto"/>
              <w:jc w:val="both"/>
              <w:rPr>
                <w:rFonts w:ascii="Times New Roman" w:hAnsi="Times New Roman" w:cs="Times New Roman"/>
                <w:sz w:val="24"/>
                <w:szCs w:val="24"/>
              </w:rPr>
            </w:pPr>
            <w:r w:rsidRPr="00B45E18">
              <w:rPr>
                <w:rFonts w:ascii="Times New Roman" w:hAnsi="Times New Roman" w:cs="Times New Roman"/>
                <w:bCs/>
                <w:sz w:val="24"/>
                <w:szCs w:val="24"/>
              </w:rPr>
              <w:t>Measles second dose (MCV2)</w:t>
            </w:r>
          </w:p>
        </w:tc>
        <w:tc>
          <w:tcPr>
            <w:tcW w:w="1310" w:type="dxa"/>
          </w:tcPr>
          <w:p w14:paraId="7D8E12FA"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115</w:t>
            </w:r>
          </w:p>
        </w:tc>
        <w:tc>
          <w:tcPr>
            <w:tcW w:w="1349" w:type="dxa"/>
          </w:tcPr>
          <w:p w14:paraId="4E7AF3F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56.9</w:t>
            </w:r>
          </w:p>
        </w:tc>
      </w:tr>
      <w:tr w:rsidR="00CC1962" w:rsidRPr="003A1E0F" w14:paraId="632FAD35" w14:textId="77777777" w:rsidTr="00CC1962">
        <w:trPr>
          <w:trHeight w:val="296"/>
        </w:trPr>
        <w:tc>
          <w:tcPr>
            <w:tcW w:w="7686" w:type="dxa"/>
          </w:tcPr>
          <w:p w14:paraId="31CAAF7B" w14:textId="2FA613E5" w:rsidR="00CC1962" w:rsidRPr="00B45E18" w:rsidRDefault="00CC1962" w:rsidP="007570AE">
            <w:pPr>
              <w:spacing w:after="0" w:line="360" w:lineRule="auto"/>
              <w:jc w:val="both"/>
              <w:rPr>
                <w:rFonts w:ascii="Times New Roman" w:hAnsi="Times New Roman" w:cs="Times New Roman"/>
                <w:sz w:val="24"/>
                <w:szCs w:val="24"/>
              </w:rPr>
            </w:pPr>
            <w:proofErr w:type="spellStart"/>
            <w:r w:rsidRPr="00B45E18">
              <w:rPr>
                <w:rFonts w:ascii="Times New Roman" w:hAnsi="Times New Roman" w:cs="Times New Roman"/>
                <w:bCs/>
                <w:sz w:val="24"/>
                <w:szCs w:val="24"/>
              </w:rPr>
              <w:t>Penta</w:t>
            </w:r>
            <w:r w:rsidR="00B45E18">
              <w:rPr>
                <w:rFonts w:ascii="Times New Roman" w:hAnsi="Times New Roman" w:cs="Times New Roman"/>
                <w:bCs/>
                <w:sz w:val="24"/>
                <w:szCs w:val="24"/>
              </w:rPr>
              <w:t>valent</w:t>
            </w:r>
            <w:proofErr w:type="spellEnd"/>
            <w:r w:rsidR="00B45E18">
              <w:rPr>
                <w:rFonts w:ascii="Times New Roman" w:hAnsi="Times New Roman" w:cs="Times New Roman"/>
                <w:bCs/>
                <w:sz w:val="24"/>
                <w:szCs w:val="24"/>
              </w:rPr>
              <w:t xml:space="preserve"> vaccine</w:t>
            </w:r>
            <w:r w:rsidRPr="00B45E18">
              <w:rPr>
                <w:rFonts w:ascii="Times New Roman" w:hAnsi="Times New Roman" w:cs="Times New Roman"/>
                <w:bCs/>
                <w:sz w:val="24"/>
                <w:szCs w:val="24"/>
              </w:rPr>
              <w:t xml:space="preserve"> booster</w:t>
            </w:r>
          </w:p>
        </w:tc>
        <w:tc>
          <w:tcPr>
            <w:tcW w:w="1310" w:type="dxa"/>
          </w:tcPr>
          <w:p w14:paraId="47BAD754"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w:t>
            </w:r>
          </w:p>
        </w:tc>
        <w:tc>
          <w:tcPr>
            <w:tcW w:w="1349" w:type="dxa"/>
          </w:tcPr>
          <w:p w14:paraId="65E37C97"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w:t>
            </w:r>
          </w:p>
        </w:tc>
      </w:tr>
      <w:tr w:rsidR="00CC1962" w:rsidRPr="003A1E0F" w14:paraId="67834FAE" w14:textId="77777777" w:rsidTr="00CC1962">
        <w:trPr>
          <w:trHeight w:val="296"/>
        </w:trPr>
        <w:tc>
          <w:tcPr>
            <w:tcW w:w="7686" w:type="dxa"/>
          </w:tcPr>
          <w:p w14:paraId="3714A9DD" w14:textId="77777777" w:rsidR="00CC1962" w:rsidRPr="00B45E18" w:rsidRDefault="00CC1962" w:rsidP="007570AE">
            <w:pPr>
              <w:spacing w:after="0" w:line="360" w:lineRule="auto"/>
              <w:jc w:val="both"/>
              <w:rPr>
                <w:rFonts w:ascii="Times New Roman" w:hAnsi="Times New Roman" w:cs="Times New Roman"/>
                <w:sz w:val="24"/>
                <w:szCs w:val="24"/>
              </w:rPr>
            </w:pPr>
            <w:r w:rsidRPr="00B45E18">
              <w:rPr>
                <w:rFonts w:ascii="Times New Roman" w:hAnsi="Times New Roman" w:cs="Times New Roman"/>
                <w:bCs/>
                <w:sz w:val="24"/>
                <w:szCs w:val="24"/>
              </w:rPr>
              <w:t>OPV booster</w:t>
            </w:r>
          </w:p>
        </w:tc>
        <w:tc>
          <w:tcPr>
            <w:tcW w:w="1310" w:type="dxa"/>
          </w:tcPr>
          <w:p w14:paraId="2EC5546F"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w:t>
            </w:r>
          </w:p>
        </w:tc>
        <w:tc>
          <w:tcPr>
            <w:tcW w:w="1349" w:type="dxa"/>
          </w:tcPr>
          <w:p w14:paraId="6344F54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1.5</w:t>
            </w:r>
          </w:p>
        </w:tc>
      </w:tr>
      <w:tr w:rsidR="00CC1962" w:rsidRPr="003A1E0F" w14:paraId="34FC0E9B" w14:textId="77777777" w:rsidTr="00CC1962">
        <w:trPr>
          <w:trHeight w:val="296"/>
        </w:trPr>
        <w:tc>
          <w:tcPr>
            <w:tcW w:w="7686" w:type="dxa"/>
          </w:tcPr>
          <w:p w14:paraId="3394B5B5" w14:textId="77777777" w:rsidR="00CC1962" w:rsidRPr="00B45E18" w:rsidRDefault="00CC1962" w:rsidP="007570AE">
            <w:pPr>
              <w:spacing w:after="0" w:line="360" w:lineRule="auto"/>
              <w:jc w:val="both"/>
              <w:rPr>
                <w:rFonts w:ascii="Times New Roman" w:hAnsi="Times New Roman" w:cs="Times New Roman"/>
                <w:sz w:val="24"/>
                <w:szCs w:val="24"/>
              </w:rPr>
            </w:pPr>
            <w:r w:rsidRPr="00B45E18">
              <w:rPr>
                <w:rFonts w:ascii="Times New Roman" w:hAnsi="Times New Roman" w:cs="Times New Roman"/>
                <w:bCs/>
                <w:sz w:val="24"/>
                <w:szCs w:val="24"/>
              </w:rPr>
              <w:t>Vitamin A</w:t>
            </w:r>
          </w:p>
        </w:tc>
        <w:tc>
          <w:tcPr>
            <w:tcW w:w="1310" w:type="dxa"/>
          </w:tcPr>
          <w:p w14:paraId="6B0B9F04"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107</w:t>
            </w:r>
          </w:p>
        </w:tc>
        <w:tc>
          <w:tcPr>
            <w:tcW w:w="1349" w:type="dxa"/>
          </w:tcPr>
          <w:p w14:paraId="37E05A7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53.0</w:t>
            </w:r>
          </w:p>
        </w:tc>
      </w:tr>
      <w:tr w:rsidR="00CC1962" w:rsidRPr="003A1E0F" w14:paraId="57F936FC" w14:textId="77777777" w:rsidTr="00CC1962">
        <w:trPr>
          <w:trHeight w:val="296"/>
        </w:trPr>
        <w:tc>
          <w:tcPr>
            <w:tcW w:w="7686" w:type="dxa"/>
          </w:tcPr>
          <w:p w14:paraId="44C915B1" w14:textId="77777777" w:rsidR="00CC1962" w:rsidRPr="00B45E18" w:rsidRDefault="00CC1962" w:rsidP="007570AE">
            <w:pPr>
              <w:spacing w:after="0" w:line="360" w:lineRule="auto"/>
              <w:jc w:val="both"/>
              <w:rPr>
                <w:rFonts w:ascii="Times New Roman" w:hAnsi="Times New Roman" w:cs="Times New Roman"/>
                <w:sz w:val="24"/>
                <w:szCs w:val="24"/>
              </w:rPr>
            </w:pPr>
            <w:r w:rsidRPr="00B45E18">
              <w:rPr>
                <w:rFonts w:ascii="Times New Roman" w:hAnsi="Times New Roman" w:cs="Times New Roman"/>
                <w:bCs/>
                <w:sz w:val="24"/>
                <w:szCs w:val="24"/>
              </w:rPr>
              <w:t>None</w:t>
            </w:r>
          </w:p>
        </w:tc>
        <w:tc>
          <w:tcPr>
            <w:tcW w:w="1310" w:type="dxa"/>
          </w:tcPr>
          <w:p w14:paraId="715208C8"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42</w:t>
            </w:r>
          </w:p>
        </w:tc>
        <w:tc>
          <w:tcPr>
            <w:tcW w:w="1349" w:type="dxa"/>
          </w:tcPr>
          <w:p w14:paraId="7327C68E"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20.8</w:t>
            </w:r>
          </w:p>
        </w:tc>
      </w:tr>
      <w:tr w:rsidR="00CC1962" w:rsidRPr="003A1E0F" w14:paraId="330744B8" w14:textId="77777777" w:rsidTr="00CC1962">
        <w:trPr>
          <w:trHeight w:val="296"/>
        </w:trPr>
        <w:tc>
          <w:tcPr>
            <w:tcW w:w="7686" w:type="dxa"/>
          </w:tcPr>
          <w:p w14:paraId="0EBF5610" w14:textId="77777777" w:rsidR="00CC1962" w:rsidRPr="00B45E18" w:rsidRDefault="00CC1962" w:rsidP="007570AE">
            <w:pPr>
              <w:spacing w:after="0" w:line="360" w:lineRule="auto"/>
              <w:jc w:val="both"/>
              <w:rPr>
                <w:rFonts w:ascii="Times New Roman" w:hAnsi="Times New Roman" w:cs="Times New Roman"/>
                <w:sz w:val="24"/>
                <w:szCs w:val="24"/>
              </w:rPr>
            </w:pPr>
            <w:r w:rsidRPr="00B45E18">
              <w:rPr>
                <w:rFonts w:ascii="Times New Roman" w:hAnsi="Times New Roman" w:cs="Times New Roman"/>
                <w:bCs/>
                <w:sz w:val="24"/>
                <w:szCs w:val="24"/>
              </w:rPr>
              <w:t>Not sure</w:t>
            </w:r>
          </w:p>
        </w:tc>
        <w:tc>
          <w:tcPr>
            <w:tcW w:w="1310" w:type="dxa"/>
          </w:tcPr>
          <w:p w14:paraId="5D556898"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8</w:t>
            </w:r>
          </w:p>
        </w:tc>
        <w:tc>
          <w:tcPr>
            <w:tcW w:w="1349" w:type="dxa"/>
          </w:tcPr>
          <w:p w14:paraId="309A85AF"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4.0</w:t>
            </w:r>
          </w:p>
        </w:tc>
      </w:tr>
      <w:tr w:rsidR="00CC1962" w:rsidRPr="003A1E0F" w14:paraId="01401228" w14:textId="77777777" w:rsidTr="00CC1962">
        <w:trPr>
          <w:trHeight w:val="296"/>
        </w:trPr>
        <w:tc>
          <w:tcPr>
            <w:tcW w:w="7686" w:type="dxa"/>
          </w:tcPr>
          <w:p w14:paraId="38E41EE3" w14:textId="7D80A541"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At what age did your child receive the 2YL immu</w:t>
            </w:r>
            <w:r w:rsidR="00B76256">
              <w:rPr>
                <w:rFonts w:ascii="Times New Roman" w:hAnsi="Times New Roman" w:cs="Times New Roman"/>
                <w:b/>
                <w:bCs/>
                <w:sz w:val="24"/>
                <w:szCs w:val="24"/>
              </w:rPr>
              <w:t xml:space="preserve">nizations (if applicable)? </w:t>
            </w:r>
            <w:r w:rsidRPr="003A1E0F">
              <w:rPr>
                <w:rFonts w:ascii="Times New Roman" w:hAnsi="Times New Roman" w:cs="Times New Roman"/>
                <w:b/>
                <w:bCs/>
                <w:sz w:val="24"/>
                <w:szCs w:val="24"/>
              </w:rPr>
              <w:t xml:space="preserve"> </w:t>
            </w:r>
          </w:p>
        </w:tc>
        <w:tc>
          <w:tcPr>
            <w:tcW w:w="1310" w:type="dxa"/>
          </w:tcPr>
          <w:p w14:paraId="2281AE5A"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Pr>
          <w:p w14:paraId="640A7BE6"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417DE2DE" w14:textId="77777777" w:rsidTr="00CC1962">
        <w:trPr>
          <w:trHeight w:val="296"/>
        </w:trPr>
        <w:tc>
          <w:tcPr>
            <w:tcW w:w="7686" w:type="dxa"/>
          </w:tcPr>
          <w:p w14:paraId="120535B7"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12–15months</w:t>
            </w:r>
          </w:p>
        </w:tc>
        <w:tc>
          <w:tcPr>
            <w:tcW w:w="1310" w:type="dxa"/>
          </w:tcPr>
          <w:p w14:paraId="6CEA7543"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76</w:t>
            </w:r>
          </w:p>
        </w:tc>
        <w:tc>
          <w:tcPr>
            <w:tcW w:w="1349" w:type="dxa"/>
          </w:tcPr>
          <w:p w14:paraId="79A17120"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47.5</w:t>
            </w:r>
          </w:p>
        </w:tc>
      </w:tr>
      <w:tr w:rsidR="00CC1962" w:rsidRPr="003A1E0F" w14:paraId="1A4CAB6D" w14:textId="77777777" w:rsidTr="00CC1962">
        <w:trPr>
          <w:trHeight w:val="296"/>
        </w:trPr>
        <w:tc>
          <w:tcPr>
            <w:tcW w:w="7686" w:type="dxa"/>
          </w:tcPr>
          <w:p w14:paraId="15753D70"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16–20 months</w:t>
            </w:r>
          </w:p>
        </w:tc>
        <w:tc>
          <w:tcPr>
            <w:tcW w:w="1310" w:type="dxa"/>
          </w:tcPr>
          <w:p w14:paraId="4DC29C8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74</w:t>
            </w:r>
          </w:p>
        </w:tc>
        <w:tc>
          <w:tcPr>
            <w:tcW w:w="1349" w:type="dxa"/>
          </w:tcPr>
          <w:p w14:paraId="3DFC7CCD"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46.3</w:t>
            </w:r>
          </w:p>
        </w:tc>
      </w:tr>
      <w:tr w:rsidR="00CC1962" w:rsidRPr="003A1E0F" w14:paraId="6686F795" w14:textId="77777777" w:rsidTr="00CC1962">
        <w:trPr>
          <w:trHeight w:val="296"/>
        </w:trPr>
        <w:tc>
          <w:tcPr>
            <w:tcW w:w="7686" w:type="dxa"/>
          </w:tcPr>
          <w:p w14:paraId="0A593E1B"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After 20 months</w:t>
            </w:r>
          </w:p>
        </w:tc>
        <w:tc>
          <w:tcPr>
            <w:tcW w:w="1310" w:type="dxa"/>
          </w:tcPr>
          <w:p w14:paraId="1CB04C8E"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w:t>
            </w:r>
          </w:p>
        </w:tc>
        <w:tc>
          <w:tcPr>
            <w:tcW w:w="1349" w:type="dxa"/>
          </w:tcPr>
          <w:p w14:paraId="3275A6A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3.8</w:t>
            </w:r>
          </w:p>
        </w:tc>
      </w:tr>
      <w:tr w:rsidR="00CC1962" w:rsidRPr="003A1E0F" w14:paraId="7F1EEB5A" w14:textId="77777777" w:rsidTr="00CC1962">
        <w:trPr>
          <w:trHeight w:val="296"/>
        </w:trPr>
        <w:tc>
          <w:tcPr>
            <w:tcW w:w="7686" w:type="dxa"/>
          </w:tcPr>
          <w:p w14:paraId="62D501B1"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Don’t know</w:t>
            </w:r>
          </w:p>
        </w:tc>
        <w:tc>
          <w:tcPr>
            <w:tcW w:w="1310" w:type="dxa"/>
          </w:tcPr>
          <w:p w14:paraId="20AED917"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w:t>
            </w:r>
          </w:p>
        </w:tc>
        <w:tc>
          <w:tcPr>
            <w:tcW w:w="1349" w:type="dxa"/>
          </w:tcPr>
          <w:p w14:paraId="6ECB0F82"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2.5</w:t>
            </w:r>
          </w:p>
        </w:tc>
      </w:tr>
      <w:tr w:rsidR="00CC1962" w:rsidRPr="003A1E0F" w14:paraId="145FC4AC" w14:textId="77777777" w:rsidTr="00CC1962">
        <w:trPr>
          <w:trHeight w:val="296"/>
        </w:trPr>
        <w:tc>
          <w:tcPr>
            <w:tcW w:w="7686" w:type="dxa"/>
          </w:tcPr>
          <w:p w14:paraId="6037E915"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Did you complete the entire 2YL immunization schedule</w:t>
            </w:r>
          </w:p>
        </w:tc>
        <w:tc>
          <w:tcPr>
            <w:tcW w:w="1310" w:type="dxa"/>
          </w:tcPr>
          <w:p w14:paraId="5BF5C18A"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Pr>
          <w:p w14:paraId="7E0EAF15"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5D892418" w14:textId="77777777" w:rsidTr="00CC1962">
        <w:trPr>
          <w:trHeight w:val="296"/>
        </w:trPr>
        <w:tc>
          <w:tcPr>
            <w:tcW w:w="7686" w:type="dxa"/>
          </w:tcPr>
          <w:p w14:paraId="3908C0B1"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310" w:type="dxa"/>
          </w:tcPr>
          <w:p w14:paraId="1FD527B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134</w:t>
            </w:r>
          </w:p>
        </w:tc>
        <w:tc>
          <w:tcPr>
            <w:tcW w:w="1349" w:type="dxa"/>
          </w:tcPr>
          <w:p w14:paraId="4F6129B0"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66.3</w:t>
            </w:r>
          </w:p>
        </w:tc>
      </w:tr>
      <w:tr w:rsidR="00CC1962" w:rsidRPr="003A1E0F" w14:paraId="63A43B6F" w14:textId="77777777" w:rsidTr="00CC1962">
        <w:trPr>
          <w:trHeight w:val="296"/>
        </w:trPr>
        <w:tc>
          <w:tcPr>
            <w:tcW w:w="7686" w:type="dxa"/>
          </w:tcPr>
          <w:p w14:paraId="713AA0C8"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310" w:type="dxa"/>
          </w:tcPr>
          <w:p w14:paraId="7137005B"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30</w:t>
            </w:r>
          </w:p>
        </w:tc>
        <w:tc>
          <w:tcPr>
            <w:tcW w:w="1349" w:type="dxa"/>
          </w:tcPr>
          <w:p w14:paraId="66158BE2"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14.9</w:t>
            </w:r>
          </w:p>
        </w:tc>
      </w:tr>
      <w:tr w:rsidR="00CC1962" w:rsidRPr="003A1E0F" w14:paraId="07D29A98" w14:textId="77777777" w:rsidTr="00CC1962">
        <w:trPr>
          <w:trHeight w:val="296"/>
        </w:trPr>
        <w:tc>
          <w:tcPr>
            <w:tcW w:w="7686" w:type="dxa"/>
          </w:tcPr>
          <w:p w14:paraId="2E890577"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Not sure</w:t>
            </w:r>
          </w:p>
        </w:tc>
        <w:tc>
          <w:tcPr>
            <w:tcW w:w="1310" w:type="dxa"/>
          </w:tcPr>
          <w:p w14:paraId="59A36E89"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38</w:t>
            </w:r>
          </w:p>
        </w:tc>
        <w:tc>
          <w:tcPr>
            <w:tcW w:w="1349" w:type="dxa"/>
          </w:tcPr>
          <w:p w14:paraId="6DD46278"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18.8</w:t>
            </w:r>
          </w:p>
        </w:tc>
      </w:tr>
      <w:tr w:rsidR="00CC1962" w:rsidRPr="003A1E0F" w14:paraId="2887D611" w14:textId="77777777" w:rsidTr="00CC1962">
        <w:trPr>
          <w:trHeight w:val="296"/>
        </w:trPr>
        <w:tc>
          <w:tcPr>
            <w:tcW w:w="7686" w:type="dxa"/>
          </w:tcPr>
          <w:p w14:paraId="35817C95"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b/>
                <w:bCs/>
                <w:sz w:val="24"/>
                <w:szCs w:val="24"/>
              </w:rPr>
              <w:t>Since completing the 2YL immunization (or by 24 months), has your child experienced any of the following illnesses? (Select all that apply in the past 12 months) n=160</w:t>
            </w:r>
          </w:p>
        </w:tc>
        <w:tc>
          <w:tcPr>
            <w:tcW w:w="1310" w:type="dxa"/>
          </w:tcPr>
          <w:p w14:paraId="43951EEB"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Pr>
          <w:p w14:paraId="4ACFFF74"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3219F986" w14:textId="77777777" w:rsidTr="00CC1962">
        <w:trPr>
          <w:trHeight w:val="296"/>
        </w:trPr>
        <w:tc>
          <w:tcPr>
            <w:tcW w:w="7686" w:type="dxa"/>
          </w:tcPr>
          <w:p w14:paraId="7E2C043E" w14:textId="77777777" w:rsidR="00CC1962" w:rsidRPr="00602F32" w:rsidRDefault="00CC1962"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Measles</w:t>
            </w:r>
          </w:p>
        </w:tc>
        <w:tc>
          <w:tcPr>
            <w:tcW w:w="1310" w:type="dxa"/>
          </w:tcPr>
          <w:p w14:paraId="79ABB5F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39</w:t>
            </w:r>
          </w:p>
        </w:tc>
        <w:tc>
          <w:tcPr>
            <w:tcW w:w="1349" w:type="dxa"/>
          </w:tcPr>
          <w:p w14:paraId="4B70668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24.4</w:t>
            </w:r>
          </w:p>
        </w:tc>
      </w:tr>
      <w:tr w:rsidR="00CC1962" w:rsidRPr="003A1E0F" w14:paraId="3E235385" w14:textId="77777777" w:rsidTr="00CC1962">
        <w:trPr>
          <w:trHeight w:val="296"/>
        </w:trPr>
        <w:tc>
          <w:tcPr>
            <w:tcW w:w="7686" w:type="dxa"/>
          </w:tcPr>
          <w:p w14:paraId="2986512A" w14:textId="50996298" w:rsidR="00CC1962" w:rsidRPr="00602F32" w:rsidRDefault="00CC1962"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Polio</w:t>
            </w:r>
            <w:r w:rsidR="00602F32">
              <w:rPr>
                <w:rFonts w:ascii="Times New Roman" w:hAnsi="Times New Roman" w:cs="Times New Roman"/>
                <w:bCs/>
                <w:sz w:val="24"/>
                <w:szCs w:val="24"/>
              </w:rPr>
              <w:t xml:space="preserve">myelitis </w:t>
            </w:r>
          </w:p>
        </w:tc>
        <w:tc>
          <w:tcPr>
            <w:tcW w:w="1310" w:type="dxa"/>
          </w:tcPr>
          <w:p w14:paraId="20E476AD"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5</w:t>
            </w:r>
          </w:p>
        </w:tc>
        <w:tc>
          <w:tcPr>
            <w:tcW w:w="1349" w:type="dxa"/>
          </w:tcPr>
          <w:p w14:paraId="77A98A16"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3.1</w:t>
            </w:r>
          </w:p>
        </w:tc>
      </w:tr>
      <w:tr w:rsidR="00CC1962" w:rsidRPr="003A1E0F" w14:paraId="777DF419" w14:textId="77777777" w:rsidTr="00CC1962">
        <w:trPr>
          <w:trHeight w:val="296"/>
        </w:trPr>
        <w:tc>
          <w:tcPr>
            <w:tcW w:w="7686" w:type="dxa"/>
          </w:tcPr>
          <w:p w14:paraId="6C47F3F3" w14:textId="77777777" w:rsidR="00CC1962" w:rsidRPr="00602F32" w:rsidRDefault="00CC1962"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lastRenderedPageBreak/>
              <w:t>Pertussis (Whooping cough)</w:t>
            </w:r>
          </w:p>
        </w:tc>
        <w:tc>
          <w:tcPr>
            <w:tcW w:w="1310" w:type="dxa"/>
          </w:tcPr>
          <w:p w14:paraId="1F669AEE"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119</w:t>
            </w:r>
          </w:p>
        </w:tc>
        <w:tc>
          <w:tcPr>
            <w:tcW w:w="1349" w:type="dxa"/>
          </w:tcPr>
          <w:p w14:paraId="3E52546F"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74.4</w:t>
            </w:r>
          </w:p>
        </w:tc>
      </w:tr>
      <w:tr w:rsidR="00CC1962" w:rsidRPr="003A1E0F" w14:paraId="2DA24E78" w14:textId="77777777" w:rsidTr="00602F32">
        <w:trPr>
          <w:trHeight w:val="307"/>
        </w:trPr>
        <w:tc>
          <w:tcPr>
            <w:tcW w:w="7686" w:type="dxa"/>
          </w:tcPr>
          <w:p w14:paraId="360A51C1" w14:textId="77777777" w:rsidR="00CC1962" w:rsidRPr="00602F32" w:rsidRDefault="00CC1962"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Pneumonia</w:t>
            </w:r>
          </w:p>
        </w:tc>
        <w:tc>
          <w:tcPr>
            <w:tcW w:w="1310" w:type="dxa"/>
          </w:tcPr>
          <w:p w14:paraId="44EF1787"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w:t>
            </w:r>
          </w:p>
        </w:tc>
        <w:tc>
          <w:tcPr>
            <w:tcW w:w="1349" w:type="dxa"/>
          </w:tcPr>
          <w:p w14:paraId="23667BA6"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0</w:t>
            </w:r>
          </w:p>
        </w:tc>
      </w:tr>
      <w:tr w:rsidR="00CC1962" w:rsidRPr="003A1E0F" w14:paraId="31AE898B" w14:textId="77777777" w:rsidTr="00CC1962">
        <w:trPr>
          <w:trHeight w:val="296"/>
        </w:trPr>
        <w:tc>
          <w:tcPr>
            <w:tcW w:w="7686" w:type="dxa"/>
          </w:tcPr>
          <w:p w14:paraId="46A93027" w14:textId="77777777" w:rsidR="00CC1962" w:rsidRPr="00602F32" w:rsidRDefault="00CC1962"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None</w:t>
            </w:r>
          </w:p>
        </w:tc>
        <w:tc>
          <w:tcPr>
            <w:tcW w:w="1310" w:type="dxa"/>
          </w:tcPr>
          <w:p w14:paraId="63A92AD9"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23</w:t>
            </w:r>
          </w:p>
        </w:tc>
        <w:tc>
          <w:tcPr>
            <w:tcW w:w="1349" w:type="dxa"/>
          </w:tcPr>
          <w:p w14:paraId="6BDDA923"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14.4</w:t>
            </w:r>
          </w:p>
        </w:tc>
      </w:tr>
      <w:tr w:rsidR="00CC1962" w:rsidRPr="003A1E0F" w14:paraId="54DFDCDE" w14:textId="77777777" w:rsidTr="00CC1962">
        <w:trPr>
          <w:trHeight w:val="296"/>
        </w:trPr>
        <w:tc>
          <w:tcPr>
            <w:tcW w:w="7686" w:type="dxa"/>
          </w:tcPr>
          <w:p w14:paraId="0FDF6DA5" w14:textId="77777777" w:rsidR="00CC1962" w:rsidRPr="00602F32" w:rsidRDefault="00CC1962" w:rsidP="007570AE">
            <w:pPr>
              <w:spacing w:after="0" w:line="360" w:lineRule="auto"/>
              <w:jc w:val="both"/>
              <w:rPr>
                <w:rFonts w:ascii="Times New Roman" w:hAnsi="Times New Roman" w:cs="Times New Roman"/>
                <w:sz w:val="24"/>
                <w:szCs w:val="24"/>
              </w:rPr>
            </w:pPr>
            <w:r w:rsidRPr="00602F32">
              <w:rPr>
                <w:rFonts w:ascii="Times New Roman" w:hAnsi="Times New Roman" w:cs="Times New Roman"/>
                <w:bCs/>
                <w:sz w:val="24"/>
                <w:szCs w:val="24"/>
              </w:rPr>
              <w:t>Don’t know</w:t>
            </w:r>
          </w:p>
        </w:tc>
        <w:tc>
          <w:tcPr>
            <w:tcW w:w="1310" w:type="dxa"/>
          </w:tcPr>
          <w:p w14:paraId="097E05BF"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8</w:t>
            </w:r>
          </w:p>
        </w:tc>
        <w:tc>
          <w:tcPr>
            <w:tcW w:w="1349" w:type="dxa"/>
          </w:tcPr>
          <w:p w14:paraId="42AF29B5" w14:textId="77777777" w:rsidR="00CC1962" w:rsidRPr="003A1E0F" w:rsidRDefault="00CC1962" w:rsidP="007570AE">
            <w:pPr>
              <w:spacing w:after="0" w:line="360" w:lineRule="auto"/>
              <w:jc w:val="both"/>
              <w:rPr>
                <w:rFonts w:ascii="Times New Roman" w:hAnsi="Times New Roman" w:cs="Times New Roman"/>
                <w:sz w:val="24"/>
                <w:szCs w:val="24"/>
              </w:rPr>
            </w:pPr>
            <w:r w:rsidRPr="003A1E0F">
              <w:rPr>
                <w:rFonts w:ascii="Times New Roman" w:hAnsi="Times New Roman" w:cs="Times New Roman"/>
                <w:sz w:val="24"/>
                <w:szCs w:val="24"/>
              </w:rPr>
              <w:t>5.0</w:t>
            </w:r>
          </w:p>
        </w:tc>
      </w:tr>
      <w:tr w:rsidR="00CC1962" w:rsidRPr="003A1E0F" w14:paraId="4434D74E" w14:textId="77777777" w:rsidTr="00CC1962">
        <w:trPr>
          <w:trHeight w:val="296"/>
        </w:trPr>
        <w:tc>
          <w:tcPr>
            <w:tcW w:w="7686" w:type="dxa"/>
          </w:tcPr>
          <w:p w14:paraId="2B2921DE" w14:textId="77777777" w:rsidR="00CC1962" w:rsidRPr="003A1E0F" w:rsidRDefault="00CC1962" w:rsidP="007570AE">
            <w:pPr>
              <w:spacing w:after="0" w:line="360" w:lineRule="auto"/>
              <w:jc w:val="both"/>
              <w:rPr>
                <w:rFonts w:ascii="Times New Roman" w:hAnsi="Times New Roman" w:cs="Times New Roman"/>
                <w:b/>
                <w:bCs/>
                <w:sz w:val="24"/>
                <w:szCs w:val="24"/>
              </w:rPr>
            </w:pPr>
            <w:r w:rsidRPr="003A1E0F">
              <w:rPr>
                <w:rFonts w:ascii="Times New Roman" w:hAnsi="Times New Roman" w:cs="Times New Roman"/>
                <w:b/>
                <w:bCs/>
                <w:sz w:val="24"/>
                <w:szCs w:val="24"/>
              </w:rPr>
              <w:t>How many times has your child visited a health facility due to illness in the past 12 months?</w:t>
            </w:r>
          </w:p>
        </w:tc>
        <w:tc>
          <w:tcPr>
            <w:tcW w:w="1310" w:type="dxa"/>
          </w:tcPr>
          <w:p w14:paraId="640506BB"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Pr>
          <w:p w14:paraId="2FE01FE8"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4D255CAB" w14:textId="77777777" w:rsidTr="00CC1962">
        <w:trPr>
          <w:trHeight w:val="296"/>
        </w:trPr>
        <w:tc>
          <w:tcPr>
            <w:tcW w:w="7686" w:type="dxa"/>
          </w:tcPr>
          <w:p w14:paraId="3A34A4E0"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None</w:t>
            </w:r>
          </w:p>
        </w:tc>
        <w:tc>
          <w:tcPr>
            <w:tcW w:w="1310" w:type="dxa"/>
          </w:tcPr>
          <w:p w14:paraId="10A6018A"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68</w:t>
            </w:r>
          </w:p>
        </w:tc>
        <w:tc>
          <w:tcPr>
            <w:tcW w:w="1349" w:type="dxa"/>
          </w:tcPr>
          <w:p w14:paraId="4B95CEA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42.5</w:t>
            </w:r>
          </w:p>
        </w:tc>
      </w:tr>
      <w:tr w:rsidR="00CC1962" w:rsidRPr="003A1E0F" w14:paraId="7E7BE97A" w14:textId="77777777" w:rsidTr="00CC1962">
        <w:trPr>
          <w:trHeight w:val="296"/>
        </w:trPr>
        <w:tc>
          <w:tcPr>
            <w:tcW w:w="7686" w:type="dxa"/>
          </w:tcPr>
          <w:p w14:paraId="2D60E5F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1–2 times</w:t>
            </w:r>
          </w:p>
        </w:tc>
        <w:tc>
          <w:tcPr>
            <w:tcW w:w="1310" w:type="dxa"/>
          </w:tcPr>
          <w:p w14:paraId="7962E009"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90</w:t>
            </w:r>
          </w:p>
        </w:tc>
        <w:tc>
          <w:tcPr>
            <w:tcW w:w="1349" w:type="dxa"/>
          </w:tcPr>
          <w:p w14:paraId="6139B90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56.3</w:t>
            </w:r>
          </w:p>
        </w:tc>
      </w:tr>
      <w:tr w:rsidR="00CC1962" w:rsidRPr="003A1E0F" w14:paraId="617DABD3" w14:textId="77777777" w:rsidTr="00CC1962">
        <w:trPr>
          <w:trHeight w:val="296"/>
        </w:trPr>
        <w:tc>
          <w:tcPr>
            <w:tcW w:w="7686" w:type="dxa"/>
          </w:tcPr>
          <w:p w14:paraId="72B8E667"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 or more times</w:t>
            </w:r>
          </w:p>
        </w:tc>
        <w:tc>
          <w:tcPr>
            <w:tcW w:w="1310" w:type="dxa"/>
          </w:tcPr>
          <w:p w14:paraId="3A6BEBA3"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2</w:t>
            </w:r>
          </w:p>
        </w:tc>
        <w:tc>
          <w:tcPr>
            <w:tcW w:w="1349" w:type="dxa"/>
          </w:tcPr>
          <w:p w14:paraId="593BAD8C"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1.3</w:t>
            </w:r>
          </w:p>
        </w:tc>
      </w:tr>
      <w:tr w:rsidR="00CC1962" w:rsidRPr="003A1E0F" w14:paraId="7AFD1AAE" w14:textId="77777777" w:rsidTr="00CC1962">
        <w:trPr>
          <w:trHeight w:val="296"/>
        </w:trPr>
        <w:tc>
          <w:tcPr>
            <w:tcW w:w="7686" w:type="dxa"/>
          </w:tcPr>
          <w:p w14:paraId="2D35A0EF" w14:textId="77777777" w:rsidR="00CC1962" w:rsidRPr="003A1E0F" w:rsidRDefault="00CC1962" w:rsidP="007570AE">
            <w:pPr>
              <w:spacing w:after="0" w:line="360" w:lineRule="auto"/>
              <w:jc w:val="both"/>
              <w:rPr>
                <w:rFonts w:ascii="Times New Roman" w:hAnsi="Times New Roman" w:cs="Times New Roman"/>
                <w:b/>
                <w:bCs/>
                <w:sz w:val="24"/>
                <w:szCs w:val="24"/>
              </w:rPr>
            </w:pPr>
            <w:r w:rsidRPr="003A1E0F">
              <w:rPr>
                <w:rFonts w:ascii="Times New Roman" w:hAnsi="Times New Roman" w:cs="Times New Roman"/>
                <w:b/>
                <w:bCs/>
                <w:sz w:val="24"/>
                <w:szCs w:val="24"/>
              </w:rPr>
              <w:t>Has your child been hospitalized in the past 12 months?</w:t>
            </w:r>
          </w:p>
        </w:tc>
        <w:tc>
          <w:tcPr>
            <w:tcW w:w="1310" w:type="dxa"/>
          </w:tcPr>
          <w:p w14:paraId="7D6BBE26" w14:textId="77777777" w:rsidR="00CC1962" w:rsidRPr="003A1E0F" w:rsidRDefault="00CC1962" w:rsidP="007570AE">
            <w:pPr>
              <w:spacing w:after="0" w:line="360" w:lineRule="auto"/>
              <w:jc w:val="both"/>
              <w:rPr>
                <w:rFonts w:ascii="Times New Roman" w:hAnsi="Times New Roman" w:cs="Times New Roman"/>
                <w:sz w:val="24"/>
                <w:szCs w:val="24"/>
              </w:rPr>
            </w:pPr>
          </w:p>
        </w:tc>
        <w:tc>
          <w:tcPr>
            <w:tcW w:w="1349" w:type="dxa"/>
          </w:tcPr>
          <w:p w14:paraId="296AA307" w14:textId="77777777" w:rsidR="00CC1962" w:rsidRPr="003A1E0F" w:rsidRDefault="00CC1962" w:rsidP="007570AE">
            <w:pPr>
              <w:spacing w:after="0" w:line="360" w:lineRule="auto"/>
              <w:jc w:val="both"/>
              <w:rPr>
                <w:rFonts w:ascii="Times New Roman" w:hAnsi="Times New Roman" w:cs="Times New Roman"/>
                <w:sz w:val="24"/>
                <w:szCs w:val="24"/>
              </w:rPr>
            </w:pPr>
          </w:p>
        </w:tc>
      </w:tr>
      <w:tr w:rsidR="00CC1962" w:rsidRPr="003A1E0F" w14:paraId="5AFA4434" w14:textId="77777777" w:rsidTr="00CC1962">
        <w:trPr>
          <w:trHeight w:val="296"/>
        </w:trPr>
        <w:tc>
          <w:tcPr>
            <w:tcW w:w="7686" w:type="dxa"/>
          </w:tcPr>
          <w:p w14:paraId="5AF58EEE"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No</w:t>
            </w:r>
          </w:p>
        </w:tc>
        <w:tc>
          <w:tcPr>
            <w:tcW w:w="1310" w:type="dxa"/>
          </w:tcPr>
          <w:p w14:paraId="197914E8"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112</w:t>
            </w:r>
          </w:p>
        </w:tc>
        <w:tc>
          <w:tcPr>
            <w:tcW w:w="1349" w:type="dxa"/>
          </w:tcPr>
          <w:p w14:paraId="5523D6F4"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70.0</w:t>
            </w:r>
          </w:p>
        </w:tc>
      </w:tr>
      <w:tr w:rsidR="00CC1962" w:rsidRPr="003A1E0F" w14:paraId="76301ECB" w14:textId="77777777" w:rsidTr="00CC1962">
        <w:trPr>
          <w:trHeight w:val="296"/>
        </w:trPr>
        <w:tc>
          <w:tcPr>
            <w:tcW w:w="7686" w:type="dxa"/>
          </w:tcPr>
          <w:p w14:paraId="4E175881"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Yes</w:t>
            </w:r>
          </w:p>
        </w:tc>
        <w:tc>
          <w:tcPr>
            <w:tcW w:w="1310" w:type="dxa"/>
          </w:tcPr>
          <w:p w14:paraId="70AB2FFE"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48</w:t>
            </w:r>
          </w:p>
        </w:tc>
        <w:tc>
          <w:tcPr>
            <w:tcW w:w="1349" w:type="dxa"/>
          </w:tcPr>
          <w:p w14:paraId="725D090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30.0</w:t>
            </w:r>
          </w:p>
        </w:tc>
      </w:tr>
      <w:tr w:rsidR="00CC1962" w:rsidRPr="003A1E0F" w14:paraId="64618BCE" w14:textId="77777777" w:rsidTr="00CC1962">
        <w:trPr>
          <w:trHeight w:val="296"/>
        </w:trPr>
        <w:tc>
          <w:tcPr>
            <w:tcW w:w="7686" w:type="dxa"/>
          </w:tcPr>
          <w:p w14:paraId="2F1A3614"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b/>
                <w:bCs/>
                <w:sz w:val="24"/>
                <w:szCs w:val="24"/>
              </w:rPr>
              <w:t>In your opinion, how healthy is your child compared to other children their age?</w:t>
            </w:r>
          </w:p>
        </w:tc>
        <w:tc>
          <w:tcPr>
            <w:tcW w:w="1310" w:type="dxa"/>
          </w:tcPr>
          <w:p w14:paraId="1B995923" w14:textId="77777777" w:rsidR="00CC1962" w:rsidRPr="003A1E0F" w:rsidRDefault="00CC1962" w:rsidP="007570AE">
            <w:pPr>
              <w:spacing w:after="0" w:line="360" w:lineRule="auto"/>
              <w:ind w:left="60" w:right="60"/>
              <w:jc w:val="both"/>
              <w:rPr>
                <w:rFonts w:ascii="Times New Roman" w:hAnsi="Times New Roman" w:cs="Times New Roman"/>
                <w:sz w:val="24"/>
                <w:szCs w:val="24"/>
              </w:rPr>
            </w:pPr>
          </w:p>
        </w:tc>
        <w:tc>
          <w:tcPr>
            <w:tcW w:w="1349" w:type="dxa"/>
          </w:tcPr>
          <w:p w14:paraId="64FD4C3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p>
        </w:tc>
      </w:tr>
      <w:tr w:rsidR="00CC1962" w:rsidRPr="003A1E0F" w14:paraId="23305C1A" w14:textId="77777777" w:rsidTr="00CC1962">
        <w:trPr>
          <w:trHeight w:val="296"/>
        </w:trPr>
        <w:tc>
          <w:tcPr>
            <w:tcW w:w="7686" w:type="dxa"/>
          </w:tcPr>
          <w:p w14:paraId="0D3D560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Much healthier</w:t>
            </w:r>
          </w:p>
        </w:tc>
        <w:tc>
          <w:tcPr>
            <w:tcW w:w="1310" w:type="dxa"/>
          </w:tcPr>
          <w:p w14:paraId="0519E525"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109</w:t>
            </w:r>
          </w:p>
        </w:tc>
        <w:tc>
          <w:tcPr>
            <w:tcW w:w="1349" w:type="dxa"/>
          </w:tcPr>
          <w:p w14:paraId="4D78826D"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68.1</w:t>
            </w:r>
          </w:p>
        </w:tc>
      </w:tr>
      <w:tr w:rsidR="00CC1962" w:rsidRPr="003A1E0F" w14:paraId="1F70B375" w14:textId="77777777" w:rsidTr="00CC1962">
        <w:trPr>
          <w:trHeight w:val="296"/>
        </w:trPr>
        <w:tc>
          <w:tcPr>
            <w:tcW w:w="7686" w:type="dxa"/>
          </w:tcPr>
          <w:p w14:paraId="114A1662"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About the same</w:t>
            </w:r>
          </w:p>
        </w:tc>
        <w:tc>
          <w:tcPr>
            <w:tcW w:w="1310" w:type="dxa"/>
          </w:tcPr>
          <w:p w14:paraId="62496546"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50</w:t>
            </w:r>
          </w:p>
        </w:tc>
        <w:tc>
          <w:tcPr>
            <w:tcW w:w="1349" w:type="dxa"/>
          </w:tcPr>
          <w:p w14:paraId="34BF06B2"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31.3</w:t>
            </w:r>
          </w:p>
        </w:tc>
      </w:tr>
      <w:tr w:rsidR="00CC1962" w:rsidRPr="003A1E0F" w14:paraId="2FCBCBD9" w14:textId="77777777" w:rsidTr="00CC1962">
        <w:trPr>
          <w:trHeight w:val="296"/>
        </w:trPr>
        <w:tc>
          <w:tcPr>
            <w:tcW w:w="7686" w:type="dxa"/>
          </w:tcPr>
          <w:p w14:paraId="41A14C59"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Less healthy</w:t>
            </w:r>
          </w:p>
        </w:tc>
        <w:tc>
          <w:tcPr>
            <w:tcW w:w="1310" w:type="dxa"/>
          </w:tcPr>
          <w:p w14:paraId="63FAB8B0"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1</w:t>
            </w:r>
          </w:p>
        </w:tc>
        <w:tc>
          <w:tcPr>
            <w:tcW w:w="1349" w:type="dxa"/>
          </w:tcPr>
          <w:p w14:paraId="248C2748" w14:textId="77777777" w:rsidR="00CC1962" w:rsidRPr="003A1E0F" w:rsidRDefault="00CC1962" w:rsidP="007570AE">
            <w:pPr>
              <w:spacing w:after="0" w:line="360" w:lineRule="auto"/>
              <w:ind w:left="60" w:right="60"/>
              <w:jc w:val="both"/>
              <w:rPr>
                <w:rFonts w:ascii="Times New Roman" w:hAnsi="Times New Roman" w:cs="Times New Roman"/>
                <w:sz w:val="24"/>
                <w:szCs w:val="24"/>
              </w:rPr>
            </w:pPr>
            <w:r w:rsidRPr="003A1E0F">
              <w:rPr>
                <w:rFonts w:ascii="Times New Roman" w:hAnsi="Times New Roman" w:cs="Times New Roman"/>
                <w:sz w:val="24"/>
                <w:szCs w:val="24"/>
              </w:rPr>
              <w:t>.6</w:t>
            </w:r>
          </w:p>
        </w:tc>
      </w:tr>
    </w:tbl>
    <w:p w14:paraId="3D801BFF" w14:textId="77777777" w:rsidR="00B60CFC" w:rsidRDefault="00B60CFC" w:rsidP="00B60CFC">
      <w:pPr>
        <w:spacing w:line="360" w:lineRule="auto"/>
        <w:jc w:val="both"/>
        <w:rPr>
          <w:rFonts w:ascii="Times New Roman" w:hAnsi="Times New Roman" w:cs="Times New Roman"/>
          <w:sz w:val="24"/>
          <w:szCs w:val="24"/>
        </w:rPr>
      </w:pPr>
    </w:p>
    <w:p w14:paraId="1EF4D47B" w14:textId="318842DC" w:rsidR="00661E93" w:rsidRPr="00DD13CA" w:rsidRDefault="00B60CFC" w:rsidP="00E87610">
      <w:pPr>
        <w:spacing w:line="360" w:lineRule="auto"/>
        <w:jc w:val="both"/>
        <w:rPr>
          <w:rFonts w:ascii="Times New Roman" w:hAnsi="Times New Roman" w:cs="Times New Roman"/>
          <w:b/>
          <w:sz w:val="24"/>
          <w:szCs w:val="24"/>
        </w:rPr>
      </w:pPr>
      <w:r w:rsidRPr="00DD13CA">
        <w:rPr>
          <w:rFonts w:ascii="Times New Roman" w:hAnsi="Times New Roman" w:cs="Times New Roman"/>
          <w:b/>
          <w:sz w:val="24"/>
          <w:szCs w:val="24"/>
        </w:rPr>
        <w:t>Hypothesis</w:t>
      </w:r>
      <w:r w:rsidR="00DD13CA" w:rsidRPr="00DD13CA">
        <w:rPr>
          <w:rFonts w:ascii="Times New Roman" w:hAnsi="Times New Roman" w:cs="Times New Roman"/>
          <w:b/>
          <w:sz w:val="24"/>
          <w:szCs w:val="24"/>
        </w:rPr>
        <w:t xml:space="preserve"> Testing</w:t>
      </w:r>
      <w:r w:rsidR="006C41D9">
        <w:rPr>
          <w:rFonts w:ascii="Times New Roman" w:hAnsi="Times New Roman" w:cs="Times New Roman"/>
          <w:b/>
          <w:sz w:val="24"/>
          <w:szCs w:val="24"/>
        </w:rPr>
        <w:t xml:space="preserve"> </w:t>
      </w:r>
    </w:p>
    <w:p w14:paraId="16218730" w14:textId="2217264D" w:rsidR="00B60CFC" w:rsidRPr="00DD13CA" w:rsidRDefault="00B60CFC" w:rsidP="00E87610">
      <w:pPr>
        <w:pStyle w:val="ListParagraph"/>
        <w:numPr>
          <w:ilvl w:val="0"/>
          <w:numId w:val="19"/>
        </w:numPr>
        <w:spacing w:line="360" w:lineRule="auto"/>
        <w:jc w:val="both"/>
        <w:rPr>
          <w:rFonts w:ascii="Times New Roman" w:hAnsi="Times New Roman" w:cs="Times New Roman"/>
          <w:b/>
          <w:sz w:val="24"/>
          <w:szCs w:val="24"/>
        </w:rPr>
      </w:pPr>
      <w:r w:rsidRPr="00DD13CA">
        <w:rPr>
          <w:rFonts w:ascii="Times New Roman" w:hAnsi="Times New Roman" w:cs="Times New Roman"/>
          <w:b/>
          <w:sz w:val="24"/>
          <w:szCs w:val="24"/>
        </w:rPr>
        <w:t>Tests of association</w:t>
      </w:r>
      <w:r w:rsidR="00DD13CA" w:rsidRPr="00DD13CA">
        <w:rPr>
          <w:rFonts w:ascii="Times New Roman" w:hAnsi="Times New Roman" w:cs="Times New Roman"/>
          <w:b/>
          <w:sz w:val="24"/>
          <w:szCs w:val="24"/>
        </w:rPr>
        <w:t xml:space="preserve"> and Effect size</w:t>
      </w:r>
      <w:r w:rsidR="006C41D9">
        <w:rPr>
          <w:rFonts w:ascii="Times New Roman" w:hAnsi="Times New Roman" w:cs="Times New Roman"/>
          <w:b/>
          <w:sz w:val="24"/>
          <w:szCs w:val="24"/>
        </w:rPr>
        <w:t xml:space="preserve"> (Awareness of 2YL immunization)</w:t>
      </w:r>
    </w:p>
    <w:p w14:paraId="5379B309" w14:textId="6EF3FFF0" w:rsidR="00661E93" w:rsidRDefault="006C41D9" w:rsidP="00E87610">
      <w:pPr>
        <w:spacing w:line="360" w:lineRule="auto"/>
        <w:jc w:val="both"/>
        <w:rPr>
          <w:rFonts w:ascii="Times New Roman" w:hAnsi="Times New Roman" w:cs="Times New Roman"/>
          <w:sz w:val="24"/>
          <w:szCs w:val="24"/>
        </w:rPr>
      </w:pPr>
      <w:r w:rsidRPr="006C41D9">
        <w:rPr>
          <w:rFonts w:ascii="Times New Roman" w:hAnsi="Times New Roman" w:cs="Times New Roman"/>
          <w:sz w:val="24"/>
          <w:szCs w:val="24"/>
        </w:rPr>
        <w:t xml:space="preserve">The results </w:t>
      </w:r>
      <w:r w:rsidR="00661E93">
        <w:rPr>
          <w:rFonts w:ascii="Times New Roman" w:hAnsi="Times New Roman" w:cs="Times New Roman"/>
          <w:sz w:val="24"/>
          <w:szCs w:val="24"/>
        </w:rPr>
        <w:t xml:space="preserve">presented, here with, </w:t>
      </w:r>
      <w:r w:rsidRPr="006C41D9">
        <w:rPr>
          <w:rFonts w:ascii="Times New Roman" w:hAnsi="Times New Roman" w:cs="Times New Roman"/>
          <w:sz w:val="24"/>
          <w:szCs w:val="24"/>
        </w:rPr>
        <w:t xml:space="preserve">show </w:t>
      </w:r>
      <w:r w:rsidR="00661E93">
        <w:rPr>
          <w:rFonts w:ascii="Times New Roman" w:hAnsi="Times New Roman" w:cs="Times New Roman"/>
          <w:sz w:val="24"/>
          <w:szCs w:val="24"/>
        </w:rPr>
        <w:t>the association between factors associated with awareness of 2YL immunization and magnitude of effect of awareness on 2YL immunization in the study population</w:t>
      </w:r>
      <w:r w:rsidRPr="006C41D9">
        <w:rPr>
          <w:rFonts w:ascii="Times New Roman" w:hAnsi="Times New Roman" w:cs="Times New Roman"/>
          <w:sz w:val="24"/>
          <w:szCs w:val="24"/>
        </w:rPr>
        <w:t xml:space="preserve">. </w:t>
      </w:r>
    </w:p>
    <w:p w14:paraId="3E37FCB1" w14:textId="77777777" w:rsidR="00305487" w:rsidRDefault="00B903F2"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To this end, r</w:t>
      </w:r>
      <w:r w:rsidR="006C41D9" w:rsidRPr="006C41D9">
        <w:rPr>
          <w:rFonts w:ascii="Times New Roman" w:hAnsi="Times New Roman" w:cs="Times New Roman"/>
          <w:sz w:val="24"/>
          <w:szCs w:val="24"/>
        </w:rPr>
        <w:t xml:space="preserve">espondents with less than three children </w:t>
      </w:r>
      <w:r w:rsidR="008328AD">
        <w:rPr>
          <w:rFonts w:ascii="Times New Roman" w:hAnsi="Times New Roman" w:cs="Times New Roman"/>
          <w:sz w:val="24"/>
          <w:szCs w:val="24"/>
        </w:rPr>
        <w:t>{66.7% (n = 96)}</w:t>
      </w:r>
      <w:r w:rsidR="00C1582E">
        <w:rPr>
          <w:rFonts w:ascii="Times New Roman" w:hAnsi="Times New Roman" w:cs="Times New Roman"/>
          <w:sz w:val="24"/>
          <w:szCs w:val="24"/>
        </w:rPr>
        <w:t xml:space="preserve"> </w:t>
      </w:r>
      <w:r w:rsidR="008328AD">
        <w:rPr>
          <w:rFonts w:ascii="Times New Roman" w:hAnsi="Times New Roman" w:cs="Times New Roman"/>
          <w:sz w:val="24"/>
          <w:szCs w:val="24"/>
        </w:rPr>
        <w:t xml:space="preserve">did show a higher </w:t>
      </w:r>
      <w:r w:rsidR="00C1582E">
        <w:rPr>
          <w:rFonts w:ascii="Times New Roman" w:hAnsi="Times New Roman" w:cs="Times New Roman"/>
          <w:sz w:val="24"/>
          <w:szCs w:val="24"/>
        </w:rPr>
        <w:t xml:space="preserve">level of </w:t>
      </w:r>
      <w:r w:rsidR="008328AD">
        <w:rPr>
          <w:rFonts w:ascii="Times New Roman" w:hAnsi="Times New Roman" w:cs="Times New Roman"/>
          <w:sz w:val="24"/>
          <w:szCs w:val="24"/>
        </w:rPr>
        <w:t>awareness {X² = 26.957, p = 0.000}</w:t>
      </w:r>
      <w:r w:rsidR="00C1582E">
        <w:rPr>
          <w:rFonts w:ascii="Times New Roman" w:hAnsi="Times New Roman" w:cs="Times New Roman"/>
          <w:sz w:val="24"/>
          <w:szCs w:val="24"/>
        </w:rPr>
        <w:t xml:space="preserve"> of 2YL immunization</w:t>
      </w:r>
      <w:r w:rsidR="008328AD">
        <w:rPr>
          <w:rFonts w:ascii="Times New Roman" w:hAnsi="Times New Roman" w:cs="Times New Roman"/>
          <w:sz w:val="24"/>
          <w:szCs w:val="24"/>
        </w:rPr>
        <w:t xml:space="preserve"> compared to those with more than three children</w:t>
      </w:r>
      <w:r w:rsidR="00C1582E">
        <w:rPr>
          <w:rFonts w:ascii="Times New Roman" w:hAnsi="Times New Roman" w:cs="Times New Roman"/>
          <w:sz w:val="24"/>
          <w:szCs w:val="24"/>
        </w:rPr>
        <w:t xml:space="preserve"> {33.3% (n = 48)}</w:t>
      </w:r>
      <w:r w:rsidR="006C41D9" w:rsidRPr="006C41D9">
        <w:rPr>
          <w:rFonts w:ascii="Times New Roman" w:hAnsi="Times New Roman" w:cs="Times New Roman"/>
          <w:sz w:val="24"/>
          <w:szCs w:val="24"/>
        </w:rPr>
        <w:t>. The Eta</w:t>
      </w:r>
      <w:r w:rsidR="00C1582E" w:rsidRPr="00C1582E">
        <w:rPr>
          <w:rFonts w:ascii="Times New Roman" w:hAnsi="Times New Roman" w:cs="Times New Roman"/>
          <w:sz w:val="24"/>
          <w:szCs w:val="24"/>
          <w:vertAlign w:val="superscript"/>
        </w:rPr>
        <w:t>2</w:t>
      </w:r>
      <w:r w:rsidR="006C41D9" w:rsidRPr="006C41D9">
        <w:rPr>
          <w:rFonts w:ascii="Times New Roman" w:hAnsi="Times New Roman" w:cs="Times New Roman"/>
          <w:sz w:val="24"/>
          <w:szCs w:val="24"/>
        </w:rPr>
        <w:t xml:space="preserve"> </w:t>
      </w:r>
      <w:r w:rsidR="00C1582E">
        <w:rPr>
          <w:rFonts w:ascii="Times New Roman" w:hAnsi="Times New Roman" w:cs="Times New Roman"/>
          <w:sz w:val="24"/>
          <w:szCs w:val="24"/>
        </w:rPr>
        <w:t>statistic value (0.260), in this regard, showed</w:t>
      </w:r>
      <w:r w:rsidR="006C41D9" w:rsidRPr="006C41D9">
        <w:rPr>
          <w:rFonts w:ascii="Times New Roman" w:hAnsi="Times New Roman" w:cs="Times New Roman"/>
          <w:sz w:val="24"/>
          <w:szCs w:val="24"/>
        </w:rPr>
        <w:t xml:space="preserve"> a moderate strength of association</w:t>
      </w:r>
      <w:r w:rsidR="00C1582E">
        <w:rPr>
          <w:rFonts w:ascii="Times New Roman" w:hAnsi="Times New Roman" w:cs="Times New Roman"/>
          <w:sz w:val="24"/>
          <w:szCs w:val="24"/>
        </w:rPr>
        <w:t xml:space="preserve"> between number of children and awareness of 2YL immunization</w:t>
      </w:r>
      <w:r w:rsidR="006C41D9" w:rsidRPr="006C41D9">
        <w:rPr>
          <w:rFonts w:ascii="Times New Roman" w:hAnsi="Times New Roman" w:cs="Times New Roman"/>
          <w:sz w:val="24"/>
          <w:szCs w:val="24"/>
        </w:rPr>
        <w:t xml:space="preserve">. </w:t>
      </w:r>
      <w:r w:rsidR="00C1582E">
        <w:rPr>
          <w:rFonts w:ascii="Times New Roman" w:hAnsi="Times New Roman" w:cs="Times New Roman"/>
          <w:sz w:val="24"/>
          <w:szCs w:val="24"/>
        </w:rPr>
        <w:t xml:space="preserve">Whereas, </w:t>
      </w:r>
      <w:r w:rsidR="00555E8E">
        <w:rPr>
          <w:rFonts w:ascii="Times New Roman" w:hAnsi="Times New Roman" w:cs="Times New Roman"/>
          <w:sz w:val="24"/>
          <w:szCs w:val="24"/>
        </w:rPr>
        <w:t xml:space="preserve">65.6% of males {n = 69} submit that they were aware of 2YL immunization, 44.4% did volunteer {n = </w:t>
      </w:r>
      <w:r w:rsidR="00305487">
        <w:rPr>
          <w:rFonts w:ascii="Times New Roman" w:hAnsi="Times New Roman" w:cs="Times New Roman"/>
          <w:sz w:val="24"/>
          <w:szCs w:val="24"/>
        </w:rPr>
        <w:t xml:space="preserve">55} </w:t>
      </w:r>
      <w:r w:rsidR="00555E8E">
        <w:rPr>
          <w:rFonts w:ascii="Times New Roman" w:hAnsi="Times New Roman" w:cs="Times New Roman"/>
          <w:sz w:val="24"/>
          <w:szCs w:val="24"/>
        </w:rPr>
        <w:t xml:space="preserve">that they were not aware. </w:t>
      </w:r>
      <w:r w:rsidR="00305487">
        <w:rPr>
          <w:rFonts w:ascii="Times New Roman" w:hAnsi="Times New Roman" w:cs="Times New Roman"/>
          <w:sz w:val="24"/>
          <w:szCs w:val="24"/>
        </w:rPr>
        <w:t xml:space="preserve">Also, while 53.5% of female caregivers {n = 147} did submit that they were not aware of 2YL immunization, 46.5% {n = 128} confirmed being </w:t>
      </w:r>
      <w:r w:rsidR="00305487">
        <w:rPr>
          <w:rFonts w:ascii="Times New Roman" w:hAnsi="Times New Roman" w:cs="Times New Roman"/>
          <w:sz w:val="24"/>
          <w:szCs w:val="24"/>
        </w:rPr>
        <w:lastRenderedPageBreak/>
        <w:t xml:space="preserve">aware of 2YL immunization. </w:t>
      </w:r>
      <w:r w:rsidR="006C41D9" w:rsidRPr="006C41D9">
        <w:rPr>
          <w:rFonts w:ascii="Times New Roman" w:hAnsi="Times New Roman" w:cs="Times New Roman"/>
          <w:sz w:val="24"/>
          <w:szCs w:val="24"/>
        </w:rPr>
        <w:t>Gender differences in awareness were</w:t>
      </w:r>
      <w:r w:rsidR="00C1582E">
        <w:rPr>
          <w:rFonts w:ascii="Times New Roman" w:hAnsi="Times New Roman" w:cs="Times New Roman"/>
          <w:sz w:val="24"/>
          <w:szCs w:val="24"/>
        </w:rPr>
        <w:t xml:space="preserve"> not statistically significant {</w:t>
      </w:r>
      <w:r w:rsidR="006C41D9" w:rsidRPr="006C41D9">
        <w:rPr>
          <w:rFonts w:ascii="Times New Roman" w:hAnsi="Times New Roman" w:cs="Times New Roman"/>
          <w:sz w:val="24"/>
          <w:szCs w:val="24"/>
        </w:rPr>
        <w:t>X² = 2.831, p = 0.092</w:t>
      </w:r>
      <w:r w:rsidR="00C1582E">
        <w:rPr>
          <w:rFonts w:ascii="Times New Roman" w:hAnsi="Times New Roman" w:cs="Times New Roman"/>
          <w:sz w:val="24"/>
          <w:szCs w:val="24"/>
        </w:rPr>
        <w:t>, Eta</w:t>
      </w:r>
      <w:r w:rsidR="00C1582E" w:rsidRPr="00C1582E">
        <w:rPr>
          <w:rFonts w:ascii="Times New Roman" w:hAnsi="Times New Roman" w:cs="Times New Roman"/>
          <w:sz w:val="24"/>
          <w:szCs w:val="24"/>
          <w:vertAlign w:val="superscript"/>
        </w:rPr>
        <w:t>2</w:t>
      </w:r>
      <w:r w:rsidR="00C1582E">
        <w:rPr>
          <w:rFonts w:ascii="Times New Roman" w:hAnsi="Times New Roman" w:cs="Times New Roman"/>
          <w:sz w:val="24"/>
          <w:szCs w:val="24"/>
          <w:vertAlign w:val="superscript"/>
        </w:rPr>
        <w:t xml:space="preserve"> </w:t>
      </w:r>
      <w:r w:rsidR="00C1582E">
        <w:rPr>
          <w:rFonts w:ascii="Times New Roman" w:hAnsi="Times New Roman" w:cs="Times New Roman"/>
          <w:sz w:val="24"/>
          <w:szCs w:val="24"/>
        </w:rPr>
        <w:t>= 0.084}</w:t>
      </w:r>
      <w:r w:rsidR="006C41D9" w:rsidRPr="006C41D9">
        <w:rPr>
          <w:rFonts w:ascii="Times New Roman" w:hAnsi="Times New Roman" w:cs="Times New Roman"/>
          <w:sz w:val="24"/>
          <w:szCs w:val="24"/>
        </w:rPr>
        <w:t xml:space="preserve">. </w:t>
      </w:r>
    </w:p>
    <w:p w14:paraId="36263038" w14:textId="37FC7D39" w:rsidR="0063142F" w:rsidRDefault="00733B69"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Concerning the relationship between the level of education of respondents and awareness of 2YL immunization, </w:t>
      </w:r>
      <w:r w:rsidR="00862FE9">
        <w:rPr>
          <w:rFonts w:ascii="Times New Roman" w:hAnsi="Times New Roman" w:cs="Times New Roman"/>
          <w:sz w:val="24"/>
          <w:szCs w:val="24"/>
        </w:rPr>
        <w:t>62.8% of respondents {n = 140} with no formal education did submit that they were not aware of 2YL immunization while 37.2% {n = 83} considered themselves aware. In the same vein, 65.3% of respondents {n = 32} with primary level education did submit they were not aware of 2YL immunization while 34.7% {n = 17} considered themselves aware of 2YL immunization. Also, of respondents with secondary level education, 30.4% {n = 28} were not aware of 2YL immunization while 59.6% {n</w:t>
      </w:r>
      <w:r w:rsidR="0063142F">
        <w:rPr>
          <w:rFonts w:ascii="Times New Roman" w:hAnsi="Times New Roman" w:cs="Times New Roman"/>
          <w:sz w:val="24"/>
          <w:szCs w:val="24"/>
        </w:rPr>
        <w:t xml:space="preserve"> = 64} were aware. Similarly, 5.7% of respondents {n = 2} with tertiary level education did volunteer that they were not aware of 2YL immunization while 94.3% {n = 33} considered themselves aware. The level of education of respondents showed </w:t>
      </w:r>
      <w:r w:rsidR="006C41D9" w:rsidRPr="006C41D9">
        <w:rPr>
          <w:rFonts w:ascii="Times New Roman" w:hAnsi="Times New Roman" w:cs="Times New Roman"/>
          <w:sz w:val="24"/>
          <w:szCs w:val="24"/>
        </w:rPr>
        <w:t xml:space="preserve">a strong and significant association with awareness </w:t>
      </w:r>
      <w:r w:rsidR="0063142F">
        <w:rPr>
          <w:rFonts w:ascii="Times New Roman" w:hAnsi="Times New Roman" w:cs="Times New Roman"/>
          <w:sz w:val="24"/>
          <w:szCs w:val="24"/>
        </w:rPr>
        <w:t>of 2YL immunization {X² = 60.652, p = 0.000}, just as the Eta</w:t>
      </w:r>
      <w:r w:rsidR="0063142F" w:rsidRPr="0063142F">
        <w:rPr>
          <w:rFonts w:ascii="Times New Roman" w:hAnsi="Times New Roman" w:cs="Times New Roman"/>
          <w:sz w:val="24"/>
          <w:szCs w:val="24"/>
          <w:vertAlign w:val="superscript"/>
        </w:rPr>
        <w:t>2</w:t>
      </w:r>
      <w:r w:rsidR="0063142F">
        <w:rPr>
          <w:rFonts w:ascii="Times New Roman" w:hAnsi="Times New Roman" w:cs="Times New Roman"/>
          <w:sz w:val="24"/>
          <w:szCs w:val="24"/>
        </w:rPr>
        <w:t xml:space="preserve"> statistic </w:t>
      </w:r>
      <w:r w:rsidR="002F3541">
        <w:rPr>
          <w:rFonts w:ascii="Times New Roman" w:hAnsi="Times New Roman" w:cs="Times New Roman"/>
          <w:sz w:val="24"/>
          <w:szCs w:val="24"/>
        </w:rPr>
        <w:t xml:space="preserve">was </w:t>
      </w:r>
      <w:r w:rsidR="0063142F">
        <w:rPr>
          <w:rFonts w:ascii="Times New Roman" w:hAnsi="Times New Roman" w:cs="Times New Roman"/>
          <w:sz w:val="24"/>
          <w:szCs w:val="24"/>
        </w:rPr>
        <w:t>{</w:t>
      </w:r>
      <w:r w:rsidR="002F3541">
        <w:rPr>
          <w:rFonts w:ascii="Times New Roman" w:hAnsi="Times New Roman" w:cs="Times New Roman"/>
          <w:sz w:val="24"/>
          <w:szCs w:val="24"/>
        </w:rPr>
        <w:t>Eta</w:t>
      </w:r>
      <w:r w:rsidR="002F3541" w:rsidRPr="002F3541">
        <w:rPr>
          <w:rFonts w:ascii="Times New Roman" w:hAnsi="Times New Roman" w:cs="Times New Roman"/>
          <w:sz w:val="24"/>
          <w:szCs w:val="24"/>
          <w:vertAlign w:val="superscript"/>
        </w:rPr>
        <w:t>2</w:t>
      </w:r>
      <w:r w:rsidR="002F3541">
        <w:rPr>
          <w:rFonts w:ascii="Times New Roman" w:hAnsi="Times New Roman" w:cs="Times New Roman"/>
          <w:sz w:val="24"/>
          <w:szCs w:val="24"/>
        </w:rPr>
        <w:t xml:space="preserve"> = </w:t>
      </w:r>
      <w:r w:rsidR="00C674D0">
        <w:rPr>
          <w:rFonts w:ascii="Times New Roman" w:hAnsi="Times New Roman" w:cs="Times New Roman"/>
          <w:sz w:val="24"/>
          <w:szCs w:val="24"/>
        </w:rPr>
        <w:t>0.366} indicating</w:t>
      </w:r>
      <w:r w:rsidR="0063142F">
        <w:rPr>
          <w:rFonts w:ascii="Times New Roman" w:hAnsi="Times New Roman" w:cs="Times New Roman"/>
          <w:sz w:val="24"/>
          <w:szCs w:val="24"/>
        </w:rPr>
        <w:t xml:space="preserve"> a strong effect of education on awareness of 2YL immunization.</w:t>
      </w:r>
    </w:p>
    <w:p w14:paraId="59CC29B8" w14:textId="34BD7BD8" w:rsidR="00DB2A1E" w:rsidRDefault="00C76586"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the</w:t>
      </w:r>
      <w:r w:rsidR="006C41D9" w:rsidRPr="006C41D9">
        <w:rPr>
          <w:rFonts w:ascii="Times New Roman" w:hAnsi="Times New Roman" w:cs="Times New Roman"/>
          <w:sz w:val="24"/>
          <w:szCs w:val="24"/>
        </w:rPr>
        <w:t xml:space="preserve"> relationship </w:t>
      </w:r>
      <w:r>
        <w:rPr>
          <w:rFonts w:ascii="Times New Roman" w:hAnsi="Times New Roman" w:cs="Times New Roman"/>
          <w:sz w:val="24"/>
          <w:szCs w:val="24"/>
        </w:rPr>
        <w:t xml:space="preserve">between the caregiver and the </w:t>
      </w:r>
      <w:r w:rsidR="006C41D9" w:rsidRPr="006C41D9">
        <w:rPr>
          <w:rFonts w:ascii="Times New Roman" w:hAnsi="Times New Roman" w:cs="Times New Roman"/>
          <w:sz w:val="24"/>
          <w:szCs w:val="24"/>
        </w:rPr>
        <w:t xml:space="preserve">child </w:t>
      </w:r>
      <w:r>
        <w:rPr>
          <w:rFonts w:ascii="Times New Roman" w:hAnsi="Times New Roman" w:cs="Times New Roman"/>
          <w:sz w:val="24"/>
          <w:szCs w:val="24"/>
        </w:rPr>
        <w:t xml:space="preserve">was such that 49.8% of mothers {n = 121} confirmed that they were not aware of 2YL immunization while 50.2% {n = 122} </w:t>
      </w:r>
      <w:r w:rsidR="006C41D9" w:rsidRPr="006C41D9">
        <w:rPr>
          <w:rFonts w:ascii="Times New Roman" w:hAnsi="Times New Roman" w:cs="Times New Roman"/>
          <w:sz w:val="24"/>
          <w:szCs w:val="24"/>
        </w:rPr>
        <w:t xml:space="preserve">did </w:t>
      </w:r>
      <w:r>
        <w:rPr>
          <w:rFonts w:ascii="Times New Roman" w:hAnsi="Times New Roman" w:cs="Times New Roman"/>
          <w:sz w:val="24"/>
          <w:szCs w:val="24"/>
        </w:rPr>
        <w:t xml:space="preserve">volunteer that they were aware. Similarly, 34.8% of fathers {n = 8} confirmed that they were </w:t>
      </w:r>
      <w:r w:rsidR="006C41D9" w:rsidRPr="006C41D9">
        <w:rPr>
          <w:rFonts w:ascii="Times New Roman" w:hAnsi="Times New Roman" w:cs="Times New Roman"/>
          <w:sz w:val="24"/>
          <w:szCs w:val="24"/>
        </w:rPr>
        <w:t xml:space="preserve">not </w:t>
      </w:r>
      <w:r>
        <w:rPr>
          <w:rFonts w:ascii="Times New Roman" w:hAnsi="Times New Roman" w:cs="Times New Roman"/>
          <w:sz w:val="24"/>
          <w:szCs w:val="24"/>
        </w:rPr>
        <w:t xml:space="preserve">aware of 2YL immunization while </w:t>
      </w:r>
      <w:r w:rsidR="00835E22">
        <w:rPr>
          <w:rFonts w:ascii="Times New Roman" w:hAnsi="Times New Roman" w:cs="Times New Roman"/>
          <w:sz w:val="24"/>
          <w:szCs w:val="24"/>
        </w:rPr>
        <w:t>65.2% {n = 15} did submit that they were aware, just as 54.3% {n = 70} of guardians averred that they were not aware of 2YL immunization while 45.7% {n = 59} did aver that they were aware of 2YL immunization. Of the other caregivers whose relationship with the child were different from the above categorization, 75% {n =3} were not aware of 2YL immunization while 25% {n =</w:t>
      </w:r>
      <w:r w:rsidR="00DB2A1E">
        <w:rPr>
          <w:rFonts w:ascii="Times New Roman" w:hAnsi="Times New Roman" w:cs="Times New Roman"/>
          <w:sz w:val="24"/>
          <w:szCs w:val="24"/>
        </w:rPr>
        <w:t>1} were aware of 2YL immunization. Conversely, the child-caregiver relationship did not show any statistically significant association</w:t>
      </w:r>
      <w:r w:rsidR="006C41D9" w:rsidRPr="006C41D9">
        <w:rPr>
          <w:rFonts w:ascii="Times New Roman" w:hAnsi="Times New Roman" w:cs="Times New Roman"/>
          <w:sz w:val="24"/>
          <w:szCs w:val="24"/>
        </w:rPr>
        <w:t xml:space="preserve"> with awareness </w:t>
      </w:r>
      <w:r w:rsidR="00DB2A1E">
        <w:rPr>
          <w:rFonts w:ascii="Times New Roman" w:hAnsi="Times New Roman" w:cs="Times New Roman"/>
          <w:sz w:val="24"/>
          <w:szCs w:val="24"/>
        </w:rPr>
        <w:t xml:space="preserve">of 2YL immunization </w:t>
      </w:r>
      <w:r w:rsidR="00CD6D0F">
        <w:rPr>
          <w:rFonts w:ascii="Times New Roman" w:hAnsi="Times New Roman" w:cs="Times New Roman"/>
          <w:sz w:val="24"/>
          <w:szCs w:val="24"/>
        </w:rPr>
        <w:t>{X² = 4.011, p = 0.260}</w:t>
      </w:r>
      <w:r w:rsidR="006C41D9" w:rsidRPr="006C41D9">
        <w:rPr>
          <w:rFonts w:ascii="Times New Roman" w:hAnsi="Times New Roman" w:cs="Times New Roman"/>
          <w:sz w:val="24"/>
          <w:szCs w:val="24"/>
        </w:rPr>
        <w:t xml:space="preserve">. </w:t>
      </w:r>
    </w:p>
    <w:p w14:paraId="0A43E25C" w14:textId="78DC8605" w:rsidR="00CD6D0F" w:rsidRDefault="00DB2A1E"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results in respect of the relationship between household income and awareness of 2YL immunization showed that 70.6% of respondents </w:t>
      </w:r>
      <w:r w:rsidR="00CD6D0F">
        <w:rPr>
          <w:rFonts w:ascii="Times New Roman" w:hAnsi="Times New Roman" w:cs="Times New Roman"/>
          <w:sz w:val="24"/>
          <w:szCs w:val="24"/>
        </w:rPr>
        <w:t xml:space="preserve">{n = 163} </w:t>
      </w:r>
      <w:r>
        <w:rPr>
          <w:rFonts w:ascii="Times New Roman" w:hAnsi="Times New Roman" w:cs="Times New Roman"/>
          <w:sz w:val="24"/>
          <w:szCs w:val="24"/>
        </w:rPr>
        <w:t xml:space="preserve">from low income </w:t>
      </w:r>
      <w:r w:rsidR="00CD6D0F">
        <w:rPr>
          <w:rFonts w:ascii="Times New Roman" w:hAnsi="Times New Roman" w:cs="Times New Roman"/>
          <w:sz w:val="24"/>
          <w:szCs w:val="24"/>
        </w:rPr>
        <w:t xml:space="preserve">households were not aware of 2YL immunization while 29.4% {n = 68} were aware of 2YL immunization. Also, 23.2% of respondents {n = 39} from high income households were not aware while 76.8% {n = 129} were aware. Household income showed a statistically significant association with </w:t>
      </w:r>
      <w:r w:rsidR="00CD6D0F">
        <w:rPr>
          <w:rFonts w:ascii="Times New Roman" w:hAnsi="Times New Roman" w:cs="Times New Roman"/>
          <w:sz w:val="24"/>
          <w:szCs w:val="24"/>
        </w:rPr>
        <w:lastRenderedPageBreak/>
        <w:t>awareness of 2YL immunization {</w:t>
      </w:r>
      <w:r w:rsidR="006C41D9" w:rsidRPr="006C41D9">
        <w:rPr>
          <w:rFonts w:ascii="Times New Roman" w:hAnsi="Times New Roman" w:cs="Times New Roman"/>
          <w:sz w:val="24"/>
          <w:szCs w:val="24"/>
        </w:rPr>
        <w:t xml:space="preserve">X² </w:t>
      </w:r>
      <w:r w:rsidR="00CD6D0F">
        <w:rPr>
          <w:rFonts w:ascii="Times New Roman" w:hAnsi="Times New Roman" w:cs="Times New Roman"/>
          <w:sz w:val="24"/>
          <w:szCs w:val="24"/>
        </w:rPr>
        <w:t>= 87.235, p = 0.000</w:t>
      </w:r>
      <w:r w:rsidR="002F3541">
        <w:rPr>
          <w:rFonts w:ascii="Times New Roman" w:hAnsi="Times New Roman" w:cs="Times New Roman"/>
          <w:sz w:val="24"/>
          <w:szCs w:val="24"/>
        </w:rPr>
        <w:t>}</w:t>
      </w:r>
      <w:r w:rsidR="00CD6D0F">
        <w:rPr>
          <w:rFonts w:ascii="Times New Roman" w:hAnsi="Times New Roman" w:cs="Times New Roman"/>
          <w:sz w:val="24"/>
          <w:szCs w:val="24"/>
        </w:rPr>
        <w:t xml:space="preserve"> while the Eta</w:t>
      </w:r>
      <w:r w:rsidR="00CD6D0F" w:rsidRPr="00CD6D0F">
        <w:rPr>
          <w:rFonts w:ascii="Times New Roman" w:hAnsi="Times New Roman" w:cs="Times New Roman"/>
          <w:sz w:val="24"/>
          <w:szCs w:val="24"/>
          <w:vertAlign w:val="superscript"/>
        </w:rPr>
        <w:t>2</w:t>
      </w:r>
      <w:r w:rsidR="00CD6D0F">
        <w:rPr>
          <w:rFonts w:ascii="Times New Roman" w:hAnsi="Times New Roman" w:cs="Times New Roman"/>
          <w:sz w:val="24"/>
          <w:szCs w:val="24"/>
        </w:rPr>
        <w:t xml:space="preserve"> statistic </w:t>
      </w:r>
      <w:r w:rsidR="002F3541">
        <w:rPr>
          <w:rFonts w:ascii="Times New Roman" w:hAnsi="Times New Roman" w:cs="Times New Roman"/>
          <w:sz w:val="24"/>
          <w:szCs w:val="24"/>
        </w:rPr>
        <w:t xml:space="preserve">was </w:t>
      </w:r>
      <w:r w:rsidR="00CD6D0F">
        <w:rPr>
          <w:rFonts w:ascii="Times New Roman" w:hAnsi="Times New Roman" w:cs="Times New Roman"/>
          <w:sz w:val="24"/>
          <w:szCs w:val="24"/>
        </w:rPr>
        <w:t>{</w:t>
      </w:r>
      <w:r w:rsidR="002F3541">
        <w:rPr>
          <w:rFonts w:ascii="Times New Roman" w:hAnsi="Times New Roman" w:cs="Times New Roman"/>
          <w:sz w:val="24"/>
          <w:szCs w:val="24"/>
        </w:rPr>
        <w:t>Eta</w:t>
      </w:r>
      <w:r w:rsidR="002F3541" w:rsidRPr="002F3541">
        <w:rPr>
          <w:rFonts w:ascii="Times New Roman" w:hAnsi="Times New Roman" w:cs="Times New Roman"/>
          <w:sz w:val="24"/>
          <w:szCs w:val="24"/>
          <w:vertAlign w:val="superscript"/>
        </w:rPr>
        <w:t>2</w:t>
      </w:r>
      <w:r w:rsidR="002F3541">
        <w:rPr>
          <w:rFonts w:ascii="Times New Roman" w:hAnsi="Times New Roman" w:cs="Times New Roman"/>
          <w:sz w:val="24"/>
          <w:szCs w:val="24"/>
        </w:rPr>
        <w:t xml:space="preserve"> = </w:t>
      </w:r>
      <w:r w:rsidR="00CD6D0F">
        <w:rPr>
          <w:rFonts w:ascii="Times New Roman" w:hAnsi="Times New Roman" w:cs="Times New Roman"/>
          <w:sz w:val="24"/>
          <w:szCs w:val="24"/>
        </w:rPr>
        <w:t xml:space="preserve">0.468} indicated a strong effect of </w:t>
      </w:r>
      <w:r w:rsidR="00C31DE1">
        <w:rPr>
          <w:rFonts w:ascii="Times New Roman" w:hAnsi="Times New Roman" w:cs="Times New Roman"/>
          <w:sz w:val="24"/>
          <w:szCs w:val="24"/>
        </w:rPr>
        <w:t>household income on awareness of 2YL immunization</w:t>
      </w:r>
      <w:r w:rsidR="006C41D9" w:rsidRPr="006C41D9">
        <w:rPr>
          <w:rFonts w:ascii="Times New Roman" w:hAnsi="Times New Roman" w:cs="Times New Roman"/>
          <w:sz w:val="24"/>
          <w:szCs w:val="24"/>
        </w:rPr>
        <w:t xml:space="preserve">. </w:t>
      </w:r>
    </w:p>
    <w:p w14:paraId="359BF3DB" w14:textId="03C30642" w:rsidR="002F3541" w:rsidRDefault="00564F8E"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w:t>
      </w:r>
      <w:r w:rsidR="00C31DE1">
        <w:rPr>
          <w:rFonts w:ascii="Times New Roman" w:hAnsi="Times New Roman" w:cs="Times New Roman"/>
          <w:sz w:val="24"/>
          <w:szCs w:val="24"/>
        </w:rPr>
        <w:t>, the results in respect of the relationship between d</w:t>
      </w:r>
      <w:r w:rsidR="006C41D9" w:rsidRPr="006C41D9">
        <w:rPr>
          <w:rFonts w:ascii="Times New Roman" w:hAnsi="Times New Roman" w:cs="Times New Roman"/>
          <w:sz w:val="24"/>
          <w:szCs w:val="24"/>
        </w:rPr>
        <w:t xml:space="preserve">istance to the nearest health facility </w:t>
      </w:r>
      <w:r w:rsidR="00C31DE1">
        <w:rPr>
          <w:rFonts w:ascii="Times New Roman" w:hAnsi="Times New Roman" w:cs="Times New Roman"/>
          <w:sz w:val="24"/>
          <w:szCs w:val="24"/>
        </w:rPr>
        <w:t xml:space="preserve">and awareness of 2YL immunization showed that </w:t>
      </w:r>
      <w:r w:rsidR="008D3F99">
        <w:rPr>
          <w:rFonts w:ascii="Times New Roman" w:hAnsi="Times New Roman" w:cs="Times New Roman"/>
          <w:sz w:val="24"/>
          <w:szCs w:val="24"/>
        </w:rPr>
        <w:t xml:space="preserve">95.1% of respondents {n = 77} residing less than two kilometers from the health facility were aware of 2YL immunization while 4.9% {n = 4} were not aware of 2YL immunization. Also, 98.1% of those {n = 109} residing between two and five (2 – 5km) kilometers from the health facility were aware of 2YL immunization while 1.8% {n = 2} were not aware, just as 55.5% of respondents {n = 5} living between 2 – 5km from the health facility were unaware of 2YL immunization and 45.5% {n = 4} were aware of 2YL immunization. Distance of the health facility from the </w:t>
      </w:r>
      <w:r w:rsidR="002F3541">
        <w:rPr>
          <w:rFonts w:ascii="Times New Roman" w:hAnsi="Times New Roman" w:cs="Times New Roman"/>
          <w:sz w:val="24"/>
          <w:szCs w:val="24"/>
        </w:rPr>
        <w:t>respondent’s</w:t>
      </w:r>
      <w:r w:rsidR="008D3F99">
        <w:rPr>
          <w:rFonts w:ascii="Times New Roman" w:hAnsi="Times New Roman" w:cs="Times New Roman"/>
          <w:sz w:val="24"/>
          <w:szCs w:val="24"/>
        </w:rPr>
        <w:t xml:space="preserve"> abode</w:t>
      </w:r>
      <w:r w:rsidR="002F3541">
        <w:rPr>
          <w:rFonts w:ascii="Times New Roman" w:hAnsi="Times New Roman" w:cs="Times New Roman"/>
          <w:sz w:val="24"/>
          <w:szCs w:val="24"/>
        </w:rPr>
        <w:t xml:space="preserve">, did show statistically significant association with awareness of 2YL immunization {X² = 46.574, p = 0.000}. </w:t>
      </w:r>
      <w:r w:rsidR="006C41D9" w:rsidRPr="006C41D9">
        <w:rPr>
          <w:rFonts w:ascii="Times New Roman" w:hAnsi="Times New Roman" w:cs="Times New Roman"/>
          <w:sz w:val="24"/>
          <w:szCs w:val="24"/>
        </w:rPr>
        <w:t>The Eta</w:t>
      </w:r>
      <w:r w:rsidR="002F3541" w:rsidRPr="002F3541">
        <w:rPr>
          <w:rFonts w:ascii="Times New Roman" w:hAnsi="Times New Roman" w:cs="Times New Roman"/>
          <w:sz w:val="24"/>
          <w:szCs w:val="24"/>
          <w:vertAlign w:val="superscript"/>
        </w:rPr>
        <w:t>2</w:t>
      </w:r>
      <w:r w:rsidR="006C41D9" w:rsidRPr="002F3541">
        <w:rPr>
          <w:rFonts w:ascii="Times New Roman" w:hAnsi="Times New Roman" w:cs="Times New Roman"/>
          <w:sz w:val="24"/>
          <w:szCs w:val="24"/>
          <w:vertAlign w:val="superscript"/>
        </w:rPr>
        <w:t xml:space="preserve"> </w:t>
      </w:r>
      <w:r w:rsidR="002F3541">
        <w:rPr>
          <w:rFonts w:ascii="Times New Roman" w:hAnsi="Times New Roman" w:cs="Times New Roman"/>
          <w:sz w:val="24"/>
          <w:szCs w:val="24"/>
        </w:rPr>
        <w:t>statistic in this regard was {Eta</w:t>
      </w:r>
      <w:r w:rsidR="002F3541" w:rsidRPr="002F3541">
        <w:rPr>
          <w:rFonts w:ascii="Times New Roman" w:hAnsi="Times New Roman" w:cs="Times New Roman"/>
          <w:sz w:val="24"/>
          <w:szCs w:val="24"/>
          <w:vertAlign w:val="superscript"/>
        </w:rPr>
        <w:t>2</w:t>
      </w:r>
      <w:r w:rsidR="002F3541">
        <w:rPr>
          <w:rFonts w:ascii="Times New Roman" w:hAnsi="Times New Roman" w:cs="Times New Roman"/>
          <w:sz w:val="24"/>
          <w:szCs w:val="24"/>
        </w:rPr>
        <w:t xml:space="preserve"> = 0.191}</w:t>
      </w:r>
      <w:r w:rsidR="00C674D0">
        <w:rPr>
          <w:rFonts w:ascii="Times New Roman" w:hAnsi="Times New Roman" w:cs="Times New Roman"/>
          <w:sz w:val="24"/>
          <w:szCs w:val="24"/>
        </w:rPr>
        <w:t xml:space="preserve">, indicating a moderate effect of distance to the nearest health facility on awareness of 2YL immunization. </w:t>
      </w:r>
    </w:p>
    <w:p w14:paraId="10B62CCD" w14:textId="61787D13" w:rsidR="00B60CFC" w:rsidRDefault="00564F8E" w:rsidP="00E87610">
      <w:pPr>
        <w:spacing w:line="360" w:lineRule="auto"/>
        <w:jc w:val="both"/>
        <w:rPr>
          <w:rFonts w:ascii="Times New Roman" w:hAnsi="Times New Roman" w:cs="Times New Roman"/>
          <w:sz w:val="24"/>
          <w:szCs w:val="24"/>
        </w:rPr>
      </w:pPr>
      <w:r>
        <w:rPr>
          <w:rFonts w:ascii="Times New Roman" w:hAnsi="Times New Roman" w:cs="Times New Roman"/>
          <w:sz w:val="24"/>
          <w:szCs w:val="24"/>
        </w:rPr>
        <w:t>Lastly</w:t>
      </w:r>
      <w:r w:rsidR="006C41D9" w:rsidRPr="006C41D9">
        <w:rPr>
          <w:rFonts w:ascii="Times New Roman" w:hAnsi="Times New Roman" w:cs="Times New Roman"/>
          <w:sz w:val="24"/>
          <w:szCs w:val="24"/>
        </w:rPr>
        <w:t xml:space="preserve">, </w:t>
      </w:r>
      <w:r>
        <w:rPr>
          <w:rFonts w:ascii="Times New Roman" w:hAnsi="Times New Roman" w:cs="Times New Roman"/>
          <w:sz w:val="24"/>
          <w:szCs w:val="24"/>
        </w:rPr>
        <w:t xml:space="preserve">interrogation of </w:t>
      </w:r>
      <w:r w:rsidR="006C41D9" w:rsidRPr="006C41D9">
        <w:rPr>
          <w:rFonts w:ascii="Times New Roman" w:hAnsi="Times New Roman" w:cs="Times New Roman"/>
          <w:sz w:val="24"/>
          <w:szCs w:val="24"/>
        </w:rPr>
        <w:t xml:space="preserve">the </w:t>
      </w:r>
      <w:r>
        <w:rPr>
          <w:rFonts w:ascii="Times New Roman" w:hAnsi="Times New Roman" w:cs="Times New Roman"/>
          <w:sz w:val="24"/>
          <w:szCs w:val="24"/>
        </w:rPr>
        <w:t xml:space="preserve">relationship between the </w:t>
      </w:r>
      <w:r w:rsidR="006C41D9" w:rsidRPr="006C41D9">
        <w:rPr>
          <w:rFonts w:ascii="Times New Roman" w:hAnsi="Times New Roman" w:cs="Times New Roman"/>
          <w:sz w:val="24"/>
          <w:szCs w:val="24"/>
        </w:rPr>
        <w:t xml:space="preserve">time required to reach the immunization site </w:t>
      </w:r>
      <w:r>
        <w:rPr>
          <w:rFonts w:ascii="Times New Roman" w:hAnsi="Times New Roman" w:cs="Times New Roman"/>
          <w:sz w:val="24"/>
          <w:szCs w:val="24"/>
        </w:rPr>
        <w:t xml:space="preserve">and awareness of 2YL immunization did show that 97.6% of respondents {n = 80} travelling less than thirty minutes to the vaccination site were aware of 2YL immunization while 2.4% of respondents {n = 2} </w:t>
      </w:r>
      <w:r w:rsidR="002E6D65">
        <w:rPr>
          <w:rFonts w:ascii="Times New Roman" w:hAnsi="Times New Roman" w:cs="Times New Roman"/>
          <w:sz w:val="24"/>
          <w:szCs w:val="24"/>
        </w:rPr>
        <w:t>travelling less than thirty minutes to the vaccination site were not aware of 2YL immunization. Similarly, 98.1% of respondents {n = 100} travelling between thirty minutes and one hour to the vaccination site were aware of 2YL immunization while 1.9% of respondents {n = 2} travelling between thirty minutes and one hour to the vaccination site were not aware of 2YL immunization. Also, 71.4% of respondents {n = 10} travelling more than one hour to the vaccination site were aware of 2YL immunization while 28.6% of respondents {n = 4} travelling more than one hour to the vaccination site were not aware of 2YL immunization. Travel time to the vaccination site did show statistically significant association with awareness of 2YL immunization {X² = 23.409, p = 0.000}</w:t>
      </w:r>
      <w:r w:rsidR="006C41D9" w:rsidRPr="006C41D9">
        <w:rPr>
          <w:rFonts w:ascii="Times New Roman" w:hAnsi="Times New Roman" w:cs="Times New Roman"/>
          <w:sz w:val="24"/>
          <w:szCs w:val="24"/>
        </w:rPr>
        <w:t>. The Eta</w:t>
      </w:r>
      <w:r w:rsidR="002E6D65" w:rsidRPr="002E6D65">
        <w:rPr>
          <w:rFonts w:ascii="Times New Roman" w:hAnsi="Times New Roman" w:cs="Times New Roman"/>
          <w:sz w:val="24"/>
          <w:szCs w:val="24"/>
          <w:vertAlign w:val="superscript"/>
        </w:rPr>
        <w:t>2</w:t>
      </w:r>
      <w:r w:rsidR="002E6D65">
        <w:rPr>
          <w:rFonts w:ascii="Times New Roman" w:hAnsi="Times New Roman" w:cs="Times New Roman"/>
          <w:sz w:val="24"/>
          <w:szCs w:val="24"/>
        </w:rPr>
        <w:t xml:space="preserve"> statistic in this regard was </w:t>
      </w:r>
      <w:r w:rsidR="00E23B4B">
        <w:rPr>
          <w:rFonts w:ascii="Times New Roman" w:hAnsi="Times New Roman" w:cs="Times New Roman"/>
          <w:sz w:val="24"/>
          <w:szCs w:val="24"/>
        </w:rPr>
        <w:t>{Eta</w:t>
      </w:r>
      <w:r w:rsidR="00E23B4B" w:rsidRPr="00E23B4B">
        <w:rPr>
          <w:rFonts w:ascii="Times New Roman" w:hAnsi="Times New Roman" w:cs="Times New Roman"/>
          <w:sz w:val="24"/>
          <w:szCs w:val="24"/>
          <w:vertAlign w:val="superscript"/>
        </w:rPr>
        <w:t>2</w:t>
      </w:r>
      <w:r w:rsidR="00E23B4B">
        <w:rPr>
          <w:rFonts w:ascii="Times New Roman" w:hAnsi="Times New Roman" w:cs="Times New Roman"/>
          <w:sz w:val="24"/>
          <w:szCs w:val="24"/>
          <w:vertAlign w:val="superscript"/>
        </w:rPr>
        <w:t xml:space="preserve"> </w:t>
      </w:r>
      <w:r w:rsidR="00E23B4B">
        <w:rPr>
          <w:rFonts w:ascii="Times New Roman" w:hAnsi="Times New Roman" w:cs="Times New Roman"/>
          <w:sz w:val="24"/>
          <w:szCs w:val="24"/>
        </w:rPr>
        <w:t>= 0.201}, indicating a moderate</w:t>
      </w:r>
      <w:r w:rsidR="006C41D9" w:rsidRPr="006C41D9">
        <w:rPr>
          <w:rFonts w:ascii="Times New Roman" w:hAnsi="Times New Roman" w:cs="Times New Roman"/>
          <w:sz w:val="24"/>
          <w:szCs w:val="24"/>
        </w:rPr>
        <w:t xml:space="preserve"> </w:t>
      </w:r>
      <w:r w:rsidR="00E23B4B">
        <w:rPr>
          <w:rFonts w:ascii="Times New Roman" w:hAnsi="Times New Roman" w:cs="Times New Roman"/>
          <w:sz w:val="24"/>
          <w:szCs w:val="24"/>
        </w:rPr>
        <w:t xml:space="preserve">effect of travel time to vaccination time on awareness of 2YL immunization. </w:t>
      </w:r>
      <w:r w:rsidR="002C0DC9">
        <w:rPr>
          <w:rFonts w:ascii="Times New Roman" w:hAnsi="Times New Roman" w:cs="Times New Roman"/>
          <w:sz w:val="24"/>
          <w:szCs w:val="24"/>
        </w:rPr>
        <w:t>See table 6</w:t>
      </w:r>
      <w:r w:rsidR="006C41D9">
        <w:rPr>
          <w:rFonts w:ascii="Times New Roman" w:hAnsi="Times New Roman" w:cs="Times New Roman"/>
          <w:sz w:val="24"/>
          <w:szCs w:val="24"/>
        </w:rPr>
        <w:t>.</w:t>
      </w:r>
    </w:p>
    <w:p w14:paraId="3A008D31" w14:textId="77777777" w:rsidR="00E87610" w:rsidRDefault="00E87610" w:rsidP="00E87610">
      <w:pPr>
        <w:spacing w:line="360" w:lineRule="auto"/>
        <w:jc w:val="both"/>
        <w:rPr>
          <w:rFonts w:ascii="Times New Roman" w:hAnsi="Times New Roman" w:cs="Times New Roman"/>
          <w:sz w:val="24"/>
          <w:szCs w:val="24"/>
        </w:rPr>
      </w:pPr>
    </w:p>
    <w:p w14:paraId="42356BC4" w14:textId="77777777" w:rsidR="00E87610" w:rsidRDefault="00E87610" w:rsidP="00E87610">
      <w:pPr>
        <w:spacing w:line="360" w:lineRule="auto"/>
        <w:jc w:val="both"/>
        <w:rPr>
          <w:rFonts w:ascii="Times New Roman" w:hAnsi="Times New Roman" w:cs="Times New Roman"/>
          <w:sz w:val="24"/>
          <w:szCs w:val="24"/>
        </w:rPr>
      </w:pPr>
    </w:p>
    <w:p w14:paraId="4DF61018" w14:textId="0373F677" w:rsidR="00B60CFC" w:rsidRPr="00156CD9" w:rsidRDefault="00B60CFC" w:rsidP="00B60CFC">
      <w:pPr>
        <w:spacing w:line="360" w:lineRule="auto"/>
        <w:jc w:val="both"/>
        <w:rPr>
          <w:rFonts w:ascii="Times New Roman" w:hAnsi="Times New Roman" w:cs="Times New Roman"/>
          <w:sz w:val="24"/>
          <w:szCs w:val="24"/>
        </w:rPr>
      </w:pPr>
      <w:r w:rsidRPr="00156CD9">
        <w:rPr>
          <w:rFonts w:ascii="Times New Roman" w:hAnsi="Times New Roman" w:cs="Times New Roman"/>
          <w:sz w:val="24"/>
          <w:szCs w:val="24"/>
        </w:rPr>
        <w:lastRenderedPageBreak/>
        <w:t>Ta</w:t>
      </w:r>
      <w:r w:rsidR="002C0DC9">
        <w:rPr>
          <w:rFonts w:ascii="Times New Roman" w:hAnsi="Times New Roman" w:cs="Times New Roman"/>
          <w:sz w:val="24"/>
          <w:szCs w:val="24"/>
        </w:rPr>
        <w:t>ble 6</w:t>
      </w:r>
      <w:r w:rsidRPr="00156CD9">
        <w:rPr>
          <w:rFonts w:ascii="Times New Roman" w:hAnsi="Times New Roman" w:cs="Times New Roman"/>
          <w:sz w:val="24"/>
          <w:szCs w:val="24"/>
        </w:rPr>
        <w:t xml:space="preserve">: Chi-square </w:t>
      </w:r>
      <w:r w:rsidR="006C41D9">
        <w:rPr>
          <w:rFonts w:ascii="Times New Roman" w:hAnsi="Times New Roman" w:cs="Times New Roman"/>
          <w:sz w:val="24"/>
          <w:szCs w:val="24"/>
        </w:rPr>
        <w:t xml:space="preserve">and Eta-square statistic </w:t>
      </w:r>
      <w:r w:rsidR="00661E93">
        <w:rPr>
          <w:rFonts w:ascii="Times New Roman" w:hAnsi="Times New Roman" w:cs="Times New Roman"/>
          <w:sz w:val="24"/>
          <w:szCs w:val="24"/>
        </w:rPr>
        <w:t>analysis of</w:t>
      </w:r>
      <w:r w:rsidRPr="00156CD9">
        <w:rPr>
          <w:rFonts w:ascii="Times New Roman" w:hAnsi="Times New Roman" w:cs="Times New Roman"/>
          <w:sz w:val="24"/>
          <w:szCs w:val="24"/>
        </w:rPr>
        <w:t xml:space="preserve"> factors associated with awareness of s</w:t>
      </w:r>
      <w:r w:rsidR="006C41D9">
        <w:rPr>
          <w:rFonts w:ascii="Times New Roman" w:hAnsi="Times New Roman" w:cs="Times New Roman"/>
          <w:sz w:val="24"/>
          <w:szCs w:val="24"/>
        </w:rPr>
        <w:t>econd year of life immunization.</w:t>
      </w:r>
    </w:p>
    <w:tbl>
      <w:tblPr>
        <w:tblStyle w:val="TableGrid"/>
        <w:tblW w:w="0" w:type="auto"/>
        <w:tblLayout w:type="fixed"/>
        <w:tblLook w:val="04A0" w:firstRow="1" w:lastRow="0" w:firstColumn="1" w:lastColumn="0" w:noHBand="0" w:noVBand="1"/>
      </w:tblPr>
      <w:tblGrid>
        <w:gridCol w:w="1696"/>
        <w:gridCol w:w="2268"/>
        <w:gridCol w:w="993"/>
        <w:gridCol w:w="992"/>
        <w:gridCol w:w="709"/>
        <w:gridCol w:w="992"/>
        <w:gridCol w:w="792"/>
        <w:gridCol w:w="908"/>
      </w:tblGrid>
      <w:tr w:rsidR="00555E8E" w:rsidRPr="00156CD9" w14:paraId="24B50C6C" w14:textId="77777777" w:rsidTr="00890140">
        <w:tc>
          <w:tcPr>
            <w:tcW w:w="3964" w:type="dxa"/>
            <w:gridSpan w:val="2"/>
          </w:tcPr>
          <w:p w14:paraId="307D5FF6" w14:textId="5E3952E7" w:rsidR="006C41D9" w:rsidRPr="00156CD9" w:rsidRDefault="006C41D9" w:rsidP="006C41D9">
            <w:pPr>
              <w:jc w:val="center"/>
              <w:rPr>
                <w:rFonts w:ascii="Times New Roman" w:hAnsi="Times New Roman" w:cs="Times New Roman"/>
                <w:b/>
                <w:sz w:val="24"/>
                <w:szCs w:val="24"/>
              </w:rPr>
            </w:pPr>
            <w:r>
              <w:rPr>
                <w:rFonts w:ascii="Times New Roman" w:hAnsi="Times New Roman" w:cs="Times New Roman"/>
                <w:b/>
                <w:sz w:val="24"/>
                <w:szCs w:val="24"/>
              </w:rPr>
              <w:t>Variable</w:t>
            </w:r>
            <w:r w:rsidR="00732497">
              <w:rPr>
                <w:rFonts w:ascii="Times New Roman" w:hAnsi="Times New Roman" w:cs="Times New Roman"/>
                <w:b/>
                <w:sz w:val="24"/>
                <w:szCs w:val="24"/>
              </w:rPr>
              <w:t xml:space="preserve"> (Awareness)</w:t>
            </w:r>
          </w:p>
        </w:tc>
        <w:tc>
          <w:tcPr>
            <w:tcW w:w="1985" w:type="dxa"/>
            <w:gridSpan w:val="2"/>
            <w:tcBorders>
              <w:right w:val="single" w:sz="4" w:space="0" w:color="auto"/>
            </w:tcBorders>
          </w:tcPr>
          <w:p w14:paraId="5B96C654" w14:textId="6186E071" w:rsidR="006C41D9" w:rsidRPr="00156CD9" w:rsidRDefault="006C41D9" w:rsidP="006C41D9">
            <w:pPr>
              <w:rPr>
                <w:rFonts w:ascii="Times New Roman" w:hAnsi="Times New Roman" w:cs="Times New Roman"/>
                <w:b/>
                <w:sz w:val="24"/>
                <w:szCs w:val="24"/>
              </w:rPr>
            </w:pPr>
            <w:r>
              <w:rPr>
                <w:rFonts w:ascii="Times New Roman" w:hAnsi="Times New Roman" w:cs="Times New Roman"/>
                <w:b/>
                <w:sz w:val="24"/>
                <w:szCs w:val="24"/>
              </w:rPr>
              <w:t>Frequency (count)</w:t>
            </w:r>
          </w:p>
        </w:tc>
        <w:tc>
          <w:tcPr>
            <w:tcW w:w="3401" w:type="dxa"/>
            <w:gridSpan w:val="4"/>
            <w:tcBorders>
              <w:left w:val="single" w:sz="4" w:space="0" w:color="auto"/>
            </w:tcBorders>
          </w:tcPr>
          <w:p w14:paraId="73C9EDCF" w14:textId="12B937C2" w:rsidR="006C41D9" w:rsidRPr="00156CD9" w:rsidRDefault="006C41D9" w:rsidP="00DD13CA">
            <w:pPr>
              <w:jc w:val="center"/>
              <w:rPr>
                <w:rFonts w:ascii="Times New Roman" w:hAnsi="Times New Roman" w:cs="Times New Roman"/>
                <w:b/>
                <w:sz w:val="24"/>
                <w:szCs w:val="24"/>
              </w:rPr>
            </w:pPr>
            <w:r>
              <w:rPr>
                <w:rFonts w:ascii="Times New Roman" w:hAnsi="Times New Roman" w:cs="Times New Roman"/>
                <w:b/>
                <w:sz w:val="24"/>
                <w:szCs w:val="24"/>
              </w:rPr>
              <w:t>Statistical Parameters</w:t>
            </w:r>
          </w:p>
        </w:tc>
      </w:tr>
      <w:tr w:rsidR="00890140" w:rsidRPr="00156CD9" w14:paraId="2CE1D8DF" w14:textId="77777777" w:rsidTr="00890140">
        <w:tc>
          <w:tcPr>
            <w:tcW w:w="1696" w:type="dxa"/>
          </w:tcPr>
          <w:p w14:paraId="50AA4634" w14:textId="448235DC" w:rsidR="00B60CFC" w:rsidRPr="00156CD9" w:rsidRDefault="006C41D9" w:rsidP="00DD13CA">
            <w:pPr>
              <w:jc w:val="center"/>
              <w:rPr>
                <w:rFonts w:ascii="Times New Roman" w:hAnsi="Times New Roman" w:cs="Times New Roman"/>
                <w:b/>
                <w:sz w:val="24"/>
                <w:szCs w:val="24"/>
              </w:rPr>
            </w:pPr>
            <w:r>
              <w:rPr>
                <w:rFonts w:ascii="Times New Roman" w:hAnsi="Times New Roman" w:cs="Times New Roman"/>
                <w:b/>
                <w:sz w:val="24"/>
                <w:szCs w:val="24"/>
              </w:rPr>
              <w:t>Factor</w:t>
            </w:r>
          </w:p>
        </w:tc>
        <w:tc>
          <w:tcPr>
            <w:tcW w:w="2268" w:type="dxa"/>
          </w:tcPr>
          <w:p w14:paraId="2F5410DC" w14:textId="62734086" w:rsidR="00B60CFC" w:rsidRPr="00156CD9" w:rsidRDefault="006C41D9" w:rsidP="00B60CFC">
            <w:pPr>
              <w:jc w:val="both"/>
              <w:rPr>
                <w:rFonts w:ascii="Times New Roman" w:hAnsi="Times New Roman" w:cs="Times New Roman"/>
                <w:b/>
                <w:sz w:val="24"/>
                <w:szCs w:val="24"/>
              </w:rPr>
            </w:pPr>
            <w:r>
              <w:rPr>
                <w:rFonts w:ascii="Times New Roman" w:hAnsi="Times New Roman" w:cs="Times New Roman"/>
                <w:b/>
                <w:sz w:val="24"/>
                <w:szCs w:val="24"/>
              </w:rPr>
              <w:t>Characteristic</w:t>
            </w:r>
          </w:p>
        </w:tc>
        <w:tc>
          <w:tcPr>
            <w:tcW w:w="993" w:type="dxa"/>
          </w:tcPr>
          <w:p w14:paraId="471784D7" w14:textId="2A3DD8CD" w:rsidR="00B60CFC" w:rsidRPr="00156CD9" w:rsidRDefault="00B60CFC" w:rsidP="00DD13CA">
            <w:pPr>
              <w:jc w:val="center"/>
              <w:rPr>
                <w:rFonts w:ascii="Times New Roman" w:hAnsi="Times New Roman" w:cs="Times New Roman"/>
                <w:b/>
                <w:sz w:val="24"/>
                <w:szCs w:val="24"/>
              </w:rPr>
            </w:pPr>
            <w:r w:rsidRPr="00156CD9">
              <w:rPr>
                <w:rFonts w:ascii="Times New Roman" w:hAnsi="Times New Roman" w:cs="Times New Roman"/>
                <w:b/>
                <w:sz w:val="24"/>
                <w:szCs w:val="24"/>
              </w:rPr>
              <w:t>No</w:t>
            </w:r>
          </w:p>
        </w:tc>
        <w:tc>
          <w:tcPr>
            <w:tcW w:w="992" w:type="dxa"/>
            <w:tcBorders>
              <w:top w:val="single" w:sz="4" w:space="0" w:color="auto"/>
            </w:tcBorders>
          </w:tcPr>
          <w:p w14:paraId="6C4FF96E" w14:textId="77777777" w:rsidR="00B60CFC" w:rsidRPr="00156CD9" w:rsidRDefault="00B60CFC" w:rsidP="00DD13CA">
            <w:pPr>
              <w:jc w:val="center"/>
              <w:rPr>
                <w:rFonts w:ascii="Times New Roman" w:hAnsi="Times New Roman" w:cs="Times New Roman"/>
                <w:b/>
                <w:sz w:val="24"/>
                <w:szCs w:val="24"/>
              </w:rPr>
            </w:pPr>
            <w:r w:rsidRPr="00156CD9">
              <w:rPr>
                <w:rFonts w:ascii="Times New Roman" w:hAnsi="Times New Roman" w:cs="Times New Roman"/>
                <w:b/>
                <w:sz w:val="24"/>
                <w:szCs w:val="24"/>
              </w:rPr>
              <w:t>Yes</w:t>
            </w:r>
          </w:p>
        </w:tc>
        <w:tc>
          <w:tcPr>
            <w:tcW w:w="709" w:type="dxa"/>
          </w:tcPr>
          <w:p w14:paraId="5320DC2F" w14:textId="77777777" w:rsidR="00B60CFC" w:rsidRPr="00156CD9" w:rsidRDefault="00B60CFC" w:rsidP="00DD13CA">
            <w:pPr>
              <w:jc w:val="center"/>
              <w:rPr>
                <w:rFonts w:ascii="Times New Roman" w:hAnsi="Times New Roman" w:cs="Times New Roman"/>
                <w:b/>
                <w:sz w:val="24"/>
                <w:szCs w:val="24"/>
              </w:rPr>
            </w:pPr>
            <w:proofErr w:type="spellStart"/>
            <w:r w:rsidRPr="00156CD9">
              <w:rPr>
                <w:rFonts w:ascii="Times New Roman" w:hAnsi="Times New Roman" w:cs="Times New Roman"/>
                <w:b/>
                <w:sz w:val="24"/>
                <w:szCs w:val="24"/>
              </w:rPr>
              <w:t>df</w:t>
            </w:r>
            <w:proofErr w:type="spellEnd"/>
          </w:p>
        </w:tc>
        <w:tc>
          <w:tcPr>
            <w:tcW w:w="992" w:type="dxa"/>
          </w:tcPr>
          <w:p w14:paraId="2EABCE38" w14:textId="77777777" w:rsidR="00B60CFC" w:rsidRPr="00156CD9" w:rsidRDefault="00B60CFC" w:rsidP="00DD13CA">
            <w:pPr>
              <w:jc w:val="center"/>
              <w:rPr>
                <w:rFonts w:ascii="Times New Roman" w:hAnsi="Times New Roman" w:cs="Times New Roman"/>
                <w:b/>
                <w:sz w:val="24"/>
                <w:szCs w:val="24"/>
              </w:rPr>
            </w:pPr>
            <w:r w:rsidRPr="00156CD9">
              <w:rPr>
                <w:rFonts w:ascii="Times New Roman" w:hAnsi="Times New Roman" w:cs="Times New Roman"/>
                <w:b/>
                <w:sz w:val="24"/>
                <w:szCs w:val="24"/>
              </w:rPr>
              <w:t>X</w:t>
            </w:r>
            <w:r w:rsidRPr="00156CD9">
              <w:rPr>
                <w:rFonts w:ascii="Times New Roman" w:hAnsi="Times New Roman" w:cs="Times New Roman"/>
                <w:b/>
                <w:sz w:val="24"/>
                <w:szCs w:val="24"/>
                <w:vertAlign w:val="superscript"/>
              </w:rPr>
              <w:t>2</w:t>
            </w:r>
          </w:p>
        </w:tc>
        <w:tc>
          <w:tcPr>
            <w:tcW w:w="792" w:type="dxa"/>
          </w:tcPr>
          <w:p w14:paraId="1012F757" w14:textId="77777777" w:rsidR="00B60CFC" w:rsidRPr="00156CD9" w:rsidRDefault="00B60CFC" w:rsidP="00555E8E">
            <w:pPr>
              <w:jc w:val="center"/>
              <w:rPr>
                <w:rFonts w:ascii="Times New Roman" w:hAnsi="Times New Roman" w:cs="Times New Roman"/>
                <w:b/>
                <w:sz w:val="24"/>
                <w:szCs w:val="24"/>
              </w:rPr>
            </w:pPr>
            <w:r w:rsidRPr="00156CD9">
              <w:rPr>
                <w:rFonts w:ascii="Times New Roman" w:hAnsi="Times New Roman" w:cs="Times New Roman"/>
                <w:b/>
                <w:sz w:val="24"/>
                <w:szCs w:val="24"/>
              </w:rPr>
              <w:t>P-value</w:t>
            </w:r>
          </w:p>
        </w:tc>
        <w:tc>
          <w:tcPr>
            <w:tcW w:w="908" w:type="dxa"/>
          </w:tcPr>
          <w:p w14:paraId="42A77289" w14:textId="14161524" w:rsidR="00B60CFC" w:rsidRPr="00156CD9" w:rsidRDefault="00B60CFC" w:rsidP="00DD13CA">
            <w:pPr>
              <w:jc w:val="center"/>
              <w:rPr>
                <w:rFonts w:ascii="Times New Roman" w:hAnsi="Times New Roman" w:cs="Times New Roman"/>
                <w:b/>
                <w:sz w:val="24"/>
                <w:szCs w:val="24"/>
              </w:rPr>
            </w:pPr>
            <w:r w:rsidRPr="00156CD9">
              <w:rPr>
                <w:rFonts w:ascii="Times New Roman" w:hAnsi="Times New Roman" w:cs="Times New Roman"/>
                <w:b/>
                <w:sz w:val="24"/>
                <w:szCs w:val="24"/>
              </w:rPr>
              <w:t>Eta</w:t>
            </w:r>
            <w:r w:rsidR="00DD13CA" w:rsidRPr="00DD13CA">
              <w:rPr>
                <w:rFonts w:ascii="Times New Roman" w:hAnsi="Times New Roman" w:cs="Times New Roman"/>
                <w:b/>
                <w:sz w:val="24"/>
                <w:szCs w:val="24"/>
                <w:vertAlign w:val="superscript"/>
              </w:rPr>
              <w:t>2</w:t>
            </w:r>
          </w:p>
        </w:tc>
      </w:tr>
      <w:tr w:rsidR="00890140" w:rsidRPr="00156CD9" w14:paraId="637F8349" w14:textId="77777777" w:rsidTr="00890140">
        <w:tc>
          <w:tcPr>
            <w:tcW w:w="1696" w:type="dxa"/>
            <w:vMerge w:val="restart"/>
          </w:tcPr>
          <w:p w14:paraId="6F49BA73"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Number of children 5yrs and below</w:t>
            </w:r>
          </w:p>
        </w:tc>
        <w:tc>
          <w:tcPr>
            <w:tcW w:w="2268" w:type="dxa"/>
          </w:tcPr>
          <w:p w14:paraId="7A82CD01" w14:textId="47E1CFCD"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Less than 3</w:t>
            </w:r>
            <w:r>
              <w:rPr>
                <w:rFonts w:ascii="Times New Roman" w:hAnsi="Times New Roman" w:cs="Times New Roman"/>
                <w:sz w:val="24"/>
                <w:szCs w:val="24"/>
              </w:rPr>
              <w:t>yrs old</w:t>
            </w:r>
          </w:p>
        </w:tc>
        <w:tc>
          <w:tcPr>
            <w:tcW w:w="993" w:type="dxa"/>
          </w:tcPr>
          <w:p w14:paraId="06FF89B1" w14:textId="75FF6C7A"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33.3% (</w:t>
            </w:r>
            <w:r w:rsidR="00F74FB0" w:rsidRPr="00156CD9">
              <w:rPr>
                <w:rFonts w:ascii="Times New Roman" w:hAnsi="Times New Roman" w:cs="Times New Roman"/>
                <w:sz w:val="24"/>
                <w:szCs w:val="24"/>
              </w:rPr>
              <w:t>48</w:t>
            </w:r>
            <w:r>
              <w:rPr>
                <w:rFonts w:ascii="Times New Roman" w:hAnsi="Times New Roman" w:cs="Times New Roman"/>
                <w:sz w:val="24"/>
                <w:szCs w:val="24"/>
              </w:rPr>
              <w:t>)</w:t>
            </w:r>
          </w:p>
        </w:tc>
        <w:tc>
          <w:tcPr>
            <w:tcW w:w="992" w:type="dxa"/>
          </w:tcPr>
          <w:p w14:paraId="1451F530" w14:textId="1F22A6CD"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66.7% (</w:t>
            </w:r>
            <w:r w:rsidR="00F74FB0" w:rsidRPr="00156CD9">
              <w:rPr>
                <w:rFonts w:ascii="Times New Roman" w:hAnsi="Times New Roman" w:cs="Times New Roman"/>
                <w:sz w:val="24"/>
                <w:szCs w:val="24"/>
              </w:rPr>
              <w:t>96</w:t>
            </w:r>
            <w:r>
              <w:rPr>
                <w:rFonts w:ascii="Times New Roman" w:hAnsi="Times New Roman" w:cs="Times New Roman"/>
                <w:sz w:val="24"/>
                <w:szCs w:val="24"/>
              </w:rPr>
              <w:t>)</w:t>
            </w:r>
          </w:p>
        </w:tc>
        <w:tc>
          <w:tcPr>
            <w:tcW w:w="709" w:type="dxa"/>
          </w:tcPr>
          <w:p w14:paraId="2737FA85"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2" w:type="dxa"/>
          </w:tcPr>
          <w:p w14:paraId="2992901E"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26.957</w:t>
            </w:r>
            <w:r w:rsidRPr="00156CD9">
              <w:rPr>
                <w:rFonts w:ascii="Times New Roman" w:hAnsi="Times New Roman" w:cs="Times New Roman"/>
                <w:sz w:val="24"/>
                <w:szCs w:val="24"/>
                <w:vertAlign w:val="superscript"/>
              </w:rPr>
              <w:t>a</w:t>
            </w:r>
          </w:p>
        </w:tc>
        <w:tc>
          <w:tcPr>
            <w:tcW w:w="792" w:type="dxa"/>
          </w:tcPr>
          <w:p w14:paraId="76AF9388"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0.000</w:t>
            </w:r>
          </w:p>
        </w:tc>
        <w:tc>
          <w:tcPr>
            <w:tcW w:w="908" w:type="dxa"/>
          </w:tcPr>
          <w:p w14:paraId="48BBB0EE"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.260</w:t>
            </w:r>
          </w:p>
        </w:tc>
      </w:tr>
      <w:tr w:rsidR="00890140" w:rsidRPr="00156CD9" w14:paraId="522E956E" w14:textId="77777777" w:rsidTr="00890140">
        <w:tc>
          <w:tcPr>
            <w:tcW w:w="1696" w:type="dxa"/>
            <w:vMerge/>
          </w:tcPr>
          <w:p w14:paraId="2DDC65C8" w14:textId="77777777" w:rsidR="00F74FB0" w:rsidRPr="00156CD9" w:rsidRDefault="00F74FB0" w:rsidP="00B60CFC">
            <w:pPr>
              <w:jc w:val="both"/>
              <w:rPr>
                <w:rFonts w:ascii="Times New Roman" w:hAnsi="Times New Roman" w:cs="Times New Roman"/>
                <w:sz w:val="24"/>
                <w:szCs w:val="24"/>
              </w:rPr>
            </w:pPr>
          </w:p>
        </w:tc>
        <w:tc>
          <w:tcPr>
            <w:tcW w:w="2268" w:type="dxa"/>
          </w:tcPr>
          <w:p w14:paraId="7B397076" w14:textId="3CEDC503"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3</w:t>
            </w:r>
            <w:r>
              <w:rPr>
                <w:rFonts w:ascii="Times New Roman" w:hAnsi="Times New Roman" w:cs="Times New Roman"/>
                <w:sz w:val="24"/>
                <w:szCs w:val="24"/>
              </w:rPr>
              <w:t>yrs old</w:t>
            </w:r>
            <w:r w:rsidRPr="00156CD9">
              <w:rPr>
                <w:rFonts w:ascii="Times New Roman" w:hAnsi="Times New Roman" w:cs="Times New Roman"/>
                <w:sz w:val="24"/>
                <w:szCs w:val="24"/>
              </w:rPr>
              <w:t xml:space="preserve"> and above</w:t>
            </w:r>
          </w:p>
        </w:tc>
        <w:tc>
          <w:tcPr>
            <w:tcW w:w="993" w:type="dxa"/>
          </w:tcPr>
          <w:p w14:paraId="659C51A8" w14:textId="4E89DAB4"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60.4% (</w:t>
            </w:r>
            <w:r w:rsidR="00F74FB0" w:rsidRPr="00156CD9">
              <w:rPr>
                <w:rFonts w:ascii="Times New Roman" w:hAnsi="Times New Roman" w:cs="Times New Roman"/>
                <w:sz w:val="24"/>
                <w:szCs w:val="24"/>
              </w:rPr>
              <w:t>154</w:t>
            </w:r>
            <w:r>
              <w:rPr>
                <w:rFonts w:ascii="Times New Roman" w:hAnsi="Times New Roman" w:cs="Times New Roman"/>
                <w:sz w:val="24"/>
                <w:szCs w:val="24"/>
              </w:rPr>
              <w:t>)</w:t>
            </w:r>
          </w:p>
        </w:tc>
        <w:tc>
          <w:tcPr>
            <w:tcW w:w="992" w:type="dxa"/>
          </w:tcPr>
          <w:p w14:paraId="38F57E5C" w14:textId="7AFE9838"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39.1% (</w:t>
            </w:r>
            <w:r w:rsidR="00F74FB0" w:rsidRPr="00156CD9">
              <w:rPr>
                <w:rFonts w:ascii="Times New Roman" w:hAnsi="Times New Roman" w:cs="Times New Roman"/>
                <w:sz w:val="24"/>
                <w:szCs w:val="24"/>
              </w:rPr>
              <w:t>101</w:t>
            </w:r>
            <w:r>
              <w:rPr>
                <w:rFonts w:ascii="Times New Roman" w:hAnsi="Times New Roman" w:cs="Times New Roman"/>
                <w:sz w:val="24"/>
                <w:szCs w:val="24"/>
              </w:rPr>
              <w:t>)</w:t>
            </w:r>
          </w:p>
        </w:tc>
        <w:tc>
          <w:tcPr>
            <w:tcW w:w="709" w:type="dxa"/>
          </w:tcPr>
          <w:p w14:paraId="3CFD7194" w14:textId="77777777" w:rsidR="00F74FB0" w:rsidRPr="00156CD9" w:rsidRDefault="00F74FB0" w:rsidP="00F74FB0">
            <w:pPr>
              <w:jc w:val="center"/>
              <w:rPr>
                <w:rFonts w:ascii="Times New Roman" w:hAnsi="Times New Roman" w:cs="Times New Roman"/>
                <w:sz w:val="24"/>
                <w:szCs w:val="24"/>
              </w:rPr>
            </w:pPr>
          </w:p>
        </w:tc>
        <w:tc>
          <w:tcPr>
            <w:tcW w:w="992" w:type="dxa"/>
          </w:tcPr>
          <w:p w14:paraId="61FB12A8" w14:textId="77777777" w:rsidR="00F74FB0" w:rsidRPr="00156CD9" w:rsidRDefault="00F74FB0" w:rsidP="00F74FB0">
            <w:pPr>
              <w:jc w:val="center"/>
              <w:rPr>
                <w:rFonts w:ascii="Times New Roman" w:hAnsi="Times New Roman" w:cs="Times New Roman"/>
                <w:sz w:val="24"/>
                <w:szCs w:val="24"/>
              </w:rPr>
            </w:pPr>
          </w:p>
        </w:tc>
        <w:tc>
          <w:tcPr>
            <w:tcW w:w="792" w:type="dxa"/>
          </w:tcPr>
          <w:p w14:paraId="78079357" w14:textId="77777777" w:rsidR="00F74FB0" w:rsidRPr="00156CD9" w:rsidRDefault="00F74FB0" w:rsidP="00F74FB0">
            <w:pPr>
              <w:jc w:val="center"/>
              <w:rPr>
                <w:rFonts w:ascii="Times New Roman" w:hAnsi="Times New Roman" w:cs="Times New Roman"/>
                <w:sz w:val="24"/>
                <w:szCs w:val="24"/>
              </w:rPr>
            </w:pPr>
          </w:p>
        </w:tc>
        <w:tc>
          <w:tcPr>
            <w:tcW w:w="908" w:type="dxa"/>
          </w:tcPr>
          <w:p w14:paraId="55AC686A" w14:textId="77777777" w:rsidR="00F74FB0" w:rsidRPr="00156CD9" w:rsidRDefault="00F74FB0" w:rsidP="00F74FB0">
            <w:pPr>
              <w:jc w:val="center"/>
              <w:rPr>
                <w:rFonts w:ascii="Times New Roman" w:hAnsi="Times New Roman" w:cs="Times New Roman"/>
                <w:sz w:val="24"/>
                <w:szCs w:val="24"/>
              </w:rPr>
            </w:pPr>
          </w:p>
        </w:tc>
      </w:tr>
      <w:tr w:rsidR="00890140" w:rsidRPr="00156CD9" w14:paraId="275FBFE6" w14:textId="77777777" w:rsidTr="00890140">
        <w:tc>
          <w:tcPr>
            <w:tcW w:w="1696" w:type="dxa"/>
            <w:vMerge w:val="restart"/>
          </w:tcPr>
          <w:p w14:paraId="60277E84"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Gender</w:t>
            </w:r>
          </w:p>
        </w:tc>
        <w:tc>
          <w:tcPr>
            <w:tcW w:w="2268" w:type="dxa"/>
          </w:tcPr>
          <w:p w14:paraId="662D7AD2" w14:textId="77777777" w:rsidR="00F74FB0" w:rsidRPr="00156CD9" w:rsidRDefault="00F74FB0"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Male</w:t>
            </w:r>
          </w:p>
        </w:tc>
        <w:tc>
          <w:tcPr>
            <w:tcW w:w="993" w:type="dxa"/>
          </w:tcPr>
          <w:p w14:paraId="79CDC791" w14:textId="450A9B6A"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44.4% (</w:t>
            </w:r>
            <w:r w:rsidR="00F74FB0" w:rsidRPr="00156CD9">
              <w:rPr>
                <w:rFonts w:ascii="Times New Roman" w:hAnsi="Times New Roman" w:cs="Times New Roman"/>
                <w:sz w:val="24"/>
                <w:szCs w:val="24"/>
              </w:rPr>
              <w:t>55</w:t>
            </w:r>
            <w:r>
              <w:rPr>
                <w:rFonts w:ascii="Times New Roman" w:hAnsi="Times New Roman" w:cs="Times New Roman"/>
                <w:sz w:val="24"/>
                <w:szCs w:val="24"/>
              </w:rPr>
              <w:t xml:space="preserve">) </w:t>
            </w:r>
          </w:p>
        </w:tc>
        <w:tc>
          <w:tcPr>
            <w:tcW w:w="992" w:type="dxa"/>
          </w:tcPr>
          <w:p w14:paraId="666DFA7D" w14:textId="661B73AD"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65.6% (</w:t>
            </w:r>
            <w:r w:rsidR="00F74FB0" w:rsidRPr="00156CD9">
              <w:rPr>
                <w:rFonts w:ascii="Times New Roman" w:hAnsi="Times New Roman" w:cs="Times New Roman"/>
                <w:sz w:val="24"/>
                <w:szCs w:val="24"/>
              </w:rPr>
              <w:t>69</w:t>
            </w:r>
            <w:r>
              <w:rPr>
                <w:rFonts w:ascii="Times New Roman" w:hAnsi="Times New Roman" w:cs="Times New Roman"/>
                <w:sz w:val="24"/>
                <w:szCs w:val="24"/>
              </w:rPr>
              <w:t>)</w:t>
            </w:r>
          </w:p>
        </w:tc>
        <w:tc>
          <w:tcPr>
            <w:tcW w:w="709" w:type="dxa"/>
          </w:tcPr>
          <w:p w14:paraId="242F6E25"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2" w:type="dxa"/>
          </w:tcPr>
          <w:p w14:paraId="4AA14806"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2.831</w:t>
            </w:r>
          </w:p>
        </w:tc>
        <w:tc>
          <w:tcPr>
            <w:tcW w:w="792" w:type="dxa"/>
          </w:tcPr>
          <w:p w14:paraId="2854EC11"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.092</w:t>
            </w:r>
          </w:p>
        </w:tc>
        <w:tc>
          <w:tcPr>
            <w:tcW w:w="908" w:type="dxa"/>
          </w:tcPr>
          <w:p w14:paraId="5CF11281"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.084</w:t>
            </w:r>
          </w:p>
        </w:tc>
      </w:tr>
      <w:tr w:rsidR="00890140" w:rsidRPr="00156CD9" w14:paraId="3C66DE6B" w14:textId="77777777" w:rsidTr="00890140">
        <w:tc>
          <w:tcPr>
            <w:tcW w:w="1696" w:type="dxa"/>
            <w:vMerge/>
          </w:tcPr>
          <w:p w14:paraId="1F5196A6" w14:textId="77777777" w:rsidR="00F74FB0" w:rsidRPr="00156CD9" w:rsidRDefault="00F74FB0" w:rsidP="00B60CFC">
            <w:pPr>
              <w:jc w:val="both"/>
              <w:rPr>
                <w:rFonts w:ascii="Times New Roman" w:hAnsi="Times New Roman" w:cs="Times New Roman"/>
                <w:sz w:val="24"/>
                <w:szCs w:val="24"/>
              </w:rPr>
            </w:pPr>
          </w:p>
        </w:tc>
        <w:tc>
          <w:tcPr>
            <w:tcW w:w="2268" w:type="dxa"/>
          </w:tcPr>
          <w:p w14:paraId="180D2BB5" w14:textId="77777777" w:rsidR="00F74FB0" w:rsidRPr="00156CD9" w:rsidRDefault="00F74FB0"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Female</w:t>
            </w:r>
          </w:p>
        </w:tc>
        <w:tc>
          <w:tcPr>
            <w:tcW w:w="993" w:type="dxa"/>
          </w:tcPr>
          <w:p w14:paraId="4C528A95" w14:textId="5A9935A4"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53.5% (</w:t>
            </w:r>
            <w:r w:rsidR="00F74FB0" w:rsidRPr="00156CD9">
              <w:rPr>
                <w:rFonts w:ascii="Times New Roman" w:hAnsi="Times New Roman" w:cs="Times New Roman"/>
                <w:sz w:val="24"/>
                <w:szCs w:val="24"/>
              </w:rPr>
              <w:t>147</w:t>
            </w:r>
            <w:r>
              <w:rPr>
                <w:rFonts w:ascii="Times New Roman" w:hAnsi="Times New Roman" w:cs="Times New Roman"/>
                <w:sz w:val="24"/>
                <w:szCs w:val="24"/>
              </w:rPr>
              <w:t>)</w:t>
            </w:r>
          </w:p>
        </w:tc>
        <w:tc>
          <w:tcPr>
            <w:tcW w:w="992" w:type="dxa"/>
          </w:tcPr>
          <w:p w14:paraId="159B4914" w14:textId="52A4CA22" w:rsidR="00F74FB0" w:rsidRPr="00156CD9" w:rsidRDefault="00555E8E" w:rsidP="00F74FB0">
            <w:pPr>
              <w:ind w:left="60" w:right="60"/>
              <w:jc w:val="center"/>
              <w:rPr>
                <w:rFonts w:ascii="Times New Roman" w:hAnsi="Times New Roman" w:cs="Times New Roman"/>
                <w:sz w:val="24"/>
                <w:szCs w:val="24"/>
              </w:rPr>
            </w:pPr>
            <w:r>
              <w:rPr>
                <w:rFonts w:ascii="Times New Roman" w:hAnsi="Times New Roman" w:cs="Times New Roman"/>
                <w:sz w:val="24"/>
                <w:szCs w:val="24"/>
              </w:rPr>
              <w:t>46.5% (</w:t>
            </w:r>
            <w:r w:rsidR="00F74FB0" w:rsidRPr="00156CD9">
              <w:rPr>
                <w:rFonts w:ascii="Times New Roman" w:hAnsi="Times New Roman" w:cs="Times New Roman"/>
                <w:sz w:val="24"/>
                <w:szCs w:val="24"/>
              </w:rPr>
              <w:t>128</w:t>
            </w:r>
            <w:r>
              <w:rPr>
                <w:rFonts w:ascii="Times New Roman" w:hAnsi="Times New Roman" w:cs="Times New Roman"/>
                <w:sz w:val="24"/>
                <w:szCs w:val="24"/>
              </w:rPr>
              <w:t>)</w:t>
            </w:r>
          </w:p>
        </w:tc>
        <w:tc>
          <w:tcPr>
            <w:tcW w:w="709" w:type="dxa"/>
          </w:tcPr>
          <w:p w14:paraId="014F3AAB" w14:textId="77777777" w:rsidR="00F74FB0" w:rsidRPr="00156CD9" w:rsidRDefault="00F74FB0" w:rsidP="00F74FB0">
            <w:pPr>
              <w:jc w:val="center"/>
              <w:rPr>
                <w:rFonts w:ascii="Times New Roman" w:hAnsi="Times New Roman" w:cs="Times New Roman"/>
                <w:sz w:val="24"/>
                <w:szCs w:val="24"/>
              </w:rPr>
            </w:pPr>
          </w:p>
        </w:tc>
        <w:tc>
          <w:tcPr>
            <w:tcW w:w="992" w:type="dxa"/>
          </w:tcPr>
          <w:p w14:paraId="578A60A7" w14:textId="77777777" w:rsidR="00F74FB0" w:rsidRPr="00156CD9" w:rsidRDefault="00F74FB0" w:rsidP="00F74FB0">
            <w:pPr>
              <w:jc w:val="center"/>
              <w:rPr>
                <w:rFonts w:ascii="Times New Roman" w:hAnsi="Times New Roman" w:cs="Times New Roman"/>
                <w:sz w:val="24"/>
                <w:szCs w:val="24"/>
              </w:rPr>
            </w:pPr>
          </w:p>
        </w:tc>
        <w:tc>
          <w:tcPr>
            <w:tcW w:w="792" w:type="dxa"/>
          </w:tcPr>
          <w:p w14:paraId="72AAB8CA" w14:textId="77777777" w:rsidR="00F74FB0" w:rsidRPr="00156CD9" w:rsidRDefault="00F74FB0" w:rsidP="00F74FB0">
            <w:pPr>
              <w:jc w:val="center"/>
              <w:rPr>
                <w:rFonts w:ascii="Times New Roman" w:hAnsi="Times New Roman" w:cs="Times New Roman"/>
                <w:sz w:val="24"/>
                <w:szCs w:val="24"/>
              </w:rPr>
            </w:pPr>
          </w:p>
        </w:tc>
        <w:tc>
          <w:tcPr>
            <w:tcW w:w="908" w:type="dxa"/>
          </w:tcPr>
          <w:p w14:paraId="1A8005B0" w14:textId="77777777" w:rsidR="00F74FB0" w:rsidRPr="00156CD9" w:rsidRDefault="00F74FB0" w:rsidP="00F74FB0">
            <w:pPr>
              <w:jc w:val="center"/>
              <w:rPr>
                <w:rFonts w:ascii="Times New Roman" w:hAnsi="Times New Roman" w:cs="Times New Roman"/>
                <w:sz w:val="24"/>
                <w:szCs w:val="24"/>
              </w:rPr>
            </w:pPr>
          </w:p>
        </w:tc>
      </w:tr>
      <w:tr w:rsidR="00890140" w:rsidRPr="00156CD9" w14:paraId="4FF186CE" w14:textId="77777777" w:rsidTr="00890140">
        <w:tc>
          <w:tcPr>
            <w:tcW w:w="1696" w:type="dxa"/>
            <w:vMerge w:val="restart"/>
          </w:tcPr>
          <w:p w14:paraId="516F9286" w14:textId="60C0A146" w:rsidR="00F74FB0" w:rsidRPr="00156CD9" w:rsidRDefault="00555E8E" w:rsidP="00F74FB0">
            <w:pPr>
              <w:ind w:left="60" w:right="60"/>
              <w:rPr>
                <w:rFonts w:ascii="Times New Roman" w:hAnsi="Times New Roman" w:cs="Times New Roman"/>
                <w:sz w:val="24"/>
                <w:szCs w:val="24"/>
              </w:rPr>
            </w:pPr>
            <w:r>
              <w:rPr>
                <w:rFonts w:ascii="Times New Roman" w:hAnsi="Times New Roman" w:cs="Times New Roman"/>
                <w:sz w:val="24"/>
                <w:szCs w:val="24"/>
              </w:rPr>
              <w:t>L</w:t>
            </w:r>
            <w:r w:rsidR="00F74FB0" w:rsidRPr="00156CD9">
              <w:rPr>
                <w:rFonts w:ascii="Times New Roman" w:hAnsi="Times New Roman" w:cs="Times New Roman"/>
                <w:sz w:val="24"/>
                <w:szCs w:val="24"/>
              </w:rPr>
              <w:t>evel</w:t>
            </w:r>
            <w:r>
              <w:rPr>
                <w:rFonts w:ascii="Times New Roman" w:hAnsi="Times New Roman" w:cs="Times New Roman"/>
                <w:sz w:val="24"/>
                <w:szCs w:val="24"/>
              </w:rPr>
              <w:t xml:space="preserve"> of Education</w:t>
            </w:r>
          </w:p>
        </w:tc>
        <w:tc>
          <w:tcPr>
            <w:tcW w:w="2268" w:type="dxa"/>
          </w:tcPr>
          <w:p w14:paraId="40550ED9"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No formal education</w:t>
            </w:r>
          </w:p>
        </w:tc>
        <w:tc>
          <w:tcPr>
            <w:tcW w:w="993" w:type="dxa"/>
          </w:tcPr>
          <w:p w14:paraId="1A277174" w14:textId="4CC7B792" w:rsidR="00F74FB0" w:rsidRPr="00156CD9" w:rsidRDefault="00733B69" w:rsidP="00F74FB0">
            <w:pPr>
              <w:ind w:left="60" w:right="60"/>
              <w:jc w:val="center"/>
              <w:rPr>
                <w:rFonts w:ascii="Times New Roman" w:hAnsi="Times New Roman" w:cs="Times New Roman"/>
                <w:sz w:val="24"/>
                <w:szCs w:val="24"/>
              </w:rPr>
            </w:pPr>
            <w:r>
              <w:rPr>
                <w:rFonts w:ascii="Times New Roman" w:hAnsi="Times New Roman" w:cs="Times New Roman"/>
                <w:sz w:val="24"/>
                <w:szCs w:val="24"/>
              </w:rPr>
              <w:t>62.8% (</w:t>
            </w:r>
            <w:r w:rsidR="00F74FB0" w:rsidRPr="00156CD9">
              <w:rPr>
                <w:rFonts w:ascii="Times New Roman" w:hAnsi="Times New Roman" w:cs="Times New Roman"/>
                <w:sz w:val="24"/>
                <w:szCs w:val="24"/>
              </w:rPr>
              <w:t>140</w:t>
            </w:r>
            <w:r>
              <w:rPr>
                <w:rFonts w:ascii="Times New Roman" w:hAnsi="Times New Roman" w:cs="Times New Roman"/>
                <w:sz w:val="24"/>
                <w:szCs w:val="24"/>
              </w:rPr>
              <w:t>)</w:t>
            </w:r>
          </w:p>
        </w:tc>
        <w:tc>
          <w:tcPr>
            <w:tcW w:w="992" w:type="dxa"/>
          </w:tcPr>
          <w:p w14:paraId="763821B7" w14:textId="63D8B8D2" w:rsidR="00F74FB0" w:rsidRPr="00156CD9" w:rsidRDefault="00733B69" w:rsidP="00F74FB0">
            <w:pPr>
              <w:ind w:left="60" w:right="60"/>
              <w:jc w:val="center"/>
              <w:rPr>
                <w:rFonts w:ascii="Times New Roman" w:hAnsi="Times New Roman" w:cs="Times New Roman"/>
                <w:sz w:val="24"/>
                <w:szCs w:val="24"/>
              </w:rPr>
            </w:pPr>
            <w:r>
              <w:rPr>
                <w:rFonts w:ascii="Times New Roman" w:hAnsi="Times New Roman" w:cs="Times New Roman"/>
                <w:sz w:val="24"/>
                <w:szCs w:val="24"/>
              </w:rPr>
              <w:t>37.2%(</w:t>
            </w:r>
            <w:r w:rsidR="00F74FB0" w:rsidRPr="00156CD9">
              <w:rPr>
                <w:rFonts w:ascii="Times New Roman" w:hAnsi="Times New Roman" w:cs="Times New Roman"/>
                <w:sz w:val="24"/>
                <w:szCs w:val="24"/>
              </w:rPr>
              <w:t>83</w:t>
            </w:r>
            <w:r>
              <w:rPr>
                <w:rFonts w:ascii="Times New Roman" w:hAnsi="Times New Roman" w:cs="Times New Roman"/>
                <w:sz w:val="24"/>
                <w:szCs w:val="24"/>
              </w:rPr>
              <w:t>)</w:t>
            </w:r>
          </w:p>
        </w:tc>
        <w:tc>
          <w:tcPr>
            <w:tcW w:w="709" w:type="dxa"/>
          </w:tcPr>
          <w:p w14:paraId="62725A9F"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3</w:t>
            </w:r>
          </w:p>
        </w:tc>
        <w:tc>
          <w:tcPr>
            <w:tcW w:w="992" w:type="dxa"/>
          </w:tcPr>
          <w:p w14:paraId="580B6A64"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60.652</w:t>
            </w:r>
          </w:p>
        </w:tc>
        <w:tc>
          <w:tcPr>
            <w:tcW w:w="792" w:type="dxa"/>
          </w:tcPr>
          <w:p w14:paraId="48FD55FE"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908" w:type="dxa"/>
          </w:tcPr>
          <w:p w14:paraId="39D8DF0B" w14:textId="08ABE041"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.366</w:t>
            </w:r>
          </w:p>
        </w:tc>
      </w:tr>
      <w:tr w:rsidR="00890140" w:rsidRPr="00156CD9" w14:paraId="65171CAC" w14:textId="77777777" w:rsidTr="00890140">
        <w:tc>
          <w:tcPr>
            <w:tcW w:w="1696" w:type="dxa"/>
            <w:vMerge/>
          </w:tcPr>
          <w:p w14:paraId="7FCD768E" w14:textId="77777777" w:rsidR="00F74FB0" w:rsidRPr="00156CD9" w:rsidRDefault="00F74FB0" w:rsidP="00B60CFC">
            <w:pPr>
              <w:jc w:val="both"/>
              <w:rPr>
                <w:rFonts w:ascii="Times New Roman" w:hAnsi="Times New Roman" w:cs="Times New Roman"/>
                <w:sz w:val="24"/>
                <w:szCs w:val="24"/>
              </w:rPr>
            </w:pPr>
          </w:p>
        </w:tc>
        <w:tc>
          <w:tcPr>
            <w:tcW w:w="2268" w:type="dxa"/>
          </w:tcPr>
          <w:p w14:paraId="084A311B"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Primary</w:t>
            </w:r>
          </w:p>
        </w:tc>
        <w:tc>
          <w:tcPr>
            <w:tcW w:w="993" w:type="dxa"/>
          </w:tcPr>
          <w:p w14:paraId="214A94AE" w14:textId="3D85AC92" w:rsidR="00F74FB0" w:rsidRPr="00156CD9" w:rsidRDefault="00733B69" w:rsidP="00F74FB0">
            <w:pPr>
              <w:ind w:left="60" w:right="60"/>
              <w:jc w:val="center"/>
              <w:rPr>
                <w:rFonts w:ascii="Times New Roman" w:hAnsi="Times New Roman" w:cs="Times New Roman"/>
                <w:sz w:val="24"/>
                <w:szCs w:val="24"/>
              </w:rPr>
            </w:pPr>
            <w:r>
              <w:rPr>
                <w:rFonts w:ascii="Times New Roman" w:hAnsi="Times New Roman" w:cs="Times New Roman"/>
                <w:sz w:val="24"/>
                <w:szCs w:val="24"/>
              </w:rPr>
              <w:t>65.3% (</w:t>
            </w:r>
            <w:r w:rsidR="00F74FB0" w:rsidRPr="00156CD9">
              <w:rPr>
                <w:rFonts w:ascii="Times New Roman" w:hAnsi="Times New Roman" w:cs="Times New Roman"/>
                <w:sz w:val="24"/>
                <w:szCs w:val="24"/>
              </w:rPr>
              <w:t>32</w:t>
            </w:r>
            <w:r>
              <w:rPr>
                <w:rFonts w:ascii="Times New Roman" w:hAnsi="Times New Roman" w:cs="Times New Roman"/>
                <w:sz w:val="24"/>
                <w:szCs w:val="24"/>
              </w:rPr>
              <w:t>)</w:t>
            </w:r>
          </w:p>
        </w:tc>
        <w:tc>
          <w:tcPr>
            <w:tcW w:w="992" w:type="dxa"/>
          </w:tcPr>
          <w:p w14:paraId="45368FB5" w14:textId="71329D94" w:rsidR="00F74FB0" w:rsidRPr="00156CD9" w:rsidRDefault="00733B69" w:rsidP="00F74FB0">
            <w:pPr>
              <w:ind w:left="60" w:right="60"/>
              <w:jc w:val="center"/>
              <w:rPr>
                <w:rFonts w:ascii="Times New Roman" w:hAnsi="Times New Roman" w:cs="Times New Roman"/>
                <w:sz w:val="24"/>
                <w:szCs w:val="24"/>
              </w:rPr>
            </w:pPr>
            <w:r>
              <w:rPr>
                <w:rFonts w:ascii="Times New Roman" w:hAnsi="Times New Roman" w:cs="Times New Roman"/>
                <w:sz w:val="24"/>
                <w:szCs w:val="24"/>
              </w:rPr>
              <w:t>34.7%(</w:t>
            </w:r>
            <w:r w:rsidR="00F74FB0" w:rsidRPr="00156CD9">
              <w:rPr>
                <w:rFonts w:ascii="Times New Roman" w:hAnsi="Times New Roman" w:cs="Times New Roman"/>
                <w:sz w:val="24"/>
                <w:szCs w:val="24"/>
              </w:rPr>
              <w:t>17</w:t>
            </w:r>
            <w:r>
              <w:rPr>
                <w:rFonts w:ascii="Times New Roman" w:hAnsi="Times New Roman" w:cs="Times New Roman"/>
                <w:sz w:val="24"/>
                <w:szCs w:val="24"/>
              </w:rPr>
              <w:t>)</w:t>
            </w:r>
          </w:p>
        </w:tc>
        <w:tc>
          <w:tcPr>
            <w:tcW w:w="709" w:type="dxa"/>
          </w:tcPr>
          <w:p w14:paraId="5933EAF1" w14:textId="77777777" w:rsidR="00F74FB0" w:rsidRPr="00156CD9" w:rsidRDefault="00F74FB0" w:rsidP="00F74FB0">
            <w:pPr>
              <w:jc w:val="center"/>
              <w:rPr>
                <w:rFonts w:ascii="Times New Roman" w:hAnsi="Times New Roman" w:cs="Times New Roman"/>
                <w:sz w:val="24"/>
                <w:szCs w:val="24"/>
              </w:rPr>
            </w:pPr>
          </w:p>
        </w:tc>
        <w:tc>
          <w:tcPr>
            <w:tcW w:w="992" w:type="dxa"/>
          </w:tcPr>
          <w:p w14:paraId="37C917BD" w14:textId="77777777" w:rsidR="00F74FB0" w:rsidRPr="00156CD9" w:rsidRDefault="00F74FB0" w:rsidP="00F74FB0">
            <w:pPr>
              <w:jc w:val="center"/>
              <w:rPr>
                <w:rFonts w:ascii="Times New Roman" w:hAnsi="Times New Roman" w:cs="Times New Roman"/>
                <w:sz w:val="24"/>
                <w:szCs w:val="24"/>
              </w:rPr>
            </w:pPr>
          </w:p>
        </w:tc>
        <w:tc>
          <w:tcPr>
            <w:tcW w:w="792" w:type="dxa"/>
          </w:tcPr>
          <w:p w14:paraId="38A06EA0" w14:textId="77777777" w:rsidR="00F74FB0" w:rsidRPr="00156CD9" w:rsidRDefault="00F74FB0" w:rsidP="00F74FB0">
            <w:pPr>
              <w:jc w:val="center"/>
              <w:rPr>
                <w:rFonts w:ascii="Times New Roman" w:hAnsi="Times New Roman" w:cs="Times New Roman"/>
                <w:sz w:val="24"/>
                <w:szCs w:val="24"/>
              </w:rPr>
            </w:pPr>
          </w:p>
        </w:tc>
        <w:tc>
          <w:tcPr>
            <w:tcW w:w="908" w:type="dxa"/>
          </w:tcPr>
          <w:p w14:paraId="7DC0B61B" w14:textId="77777777" w:rsidR="00F74FB0" w:rsidRPr="00156CD9" w:rsidRDefault="00F74FB0" w:rsidP="00F74FB0">
            <w:pPr>
              <w:jc w:val="center"/>
              <w:rPr>
                <w:rFonts w:ascii="Times New Roman" w:hAnsi="Times New Roman" w:cs="Times New Roman"/>
                <w:sz w:val="24"/>
                <w:szCs w:val="24"/>
              </w:rPr>
            </w:pPr>
          </w:p>
        </w:tc>
      </w:tr>
      <w:tr w:rsidR="00890140" w:rsidRPr="00156CD9" w14:paraId="61DC1368" w14:textId="77777777" w:rsidTr="00890140">
        <w:tc>
          <w:tcPr>
            <w:tcW w:w="1696" w:type="dxa"/>
            <w:vMerge/>
          </w:tcPr>
          <w:p w14:paraId="42B3DDDB" w14:textId="77777777" w:rsidR="00F74FB0" w:rsidRPr="00156CD9" w:rsidRDefault="00F74FB0" w:rsidP="00B60CFC">
            <w:pPr>
              <w:jc w:val="both"/>
              <w:rPr>
                <w:rFonts w:ascii="Times New Roman" w:hAnsi="Times New Roman" w:cs="Times New Roman"/>
                <w:sz w:val="24"/>
                <w:szCs w:val="24"/>
              </w:rPr>
            </w:pPr>
          </w:p>
        </w:tc>
        <w:tc>
          <w:tcPr>
            <w:tcW w:w="2268" w:type="dxa"/>
          </w:tcPr>
          <w:p w14:paraId="0952FF91"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Secondary</w:t>
            </w:r>
          </w:p>
        </w:tc>
        <w:tc>
          <w:tcPr>
            <w:tcW w:w="993" w:type="dxa"/>
          </w:tcPr>
          <w:p w14:paraId="50230B75" w14:textId="104AE57C" w:rsidR="00F74FB0" w:rsidRPr="00156CD9" w:rsidRDefault="00733B69" w:rsidP="00F74FB0">
            <w:pPr>
              <w:ind w:left="60" w:right="60"/>
              <w:jc w:val="center"/>
              <w:rPr>
                <w:rFonts w:ascii="Times New Roman" w:hAnsi="Times New Roman" w:cs="Times New Roman"/>
                <w:sz w:val="24"/>
                <w:szCs w:val="24"/>
              </w:rPr>
            </w:pPr>
            <w:r>
              <w:rPr>
                <w:rFonts w:ascii="Times New Roman" w:hAnsi="Times New Roman" w:cs="Times New Roman"/>
                <w:sz w:val="24"/>
                <w:szCs w:val="24"/>
              </w:rPr>
              <w:t>30.4% (</w:t>
            </w:r>
            <w:r w:rsidR="00F74FB0" w:rsidRPr="00156CD9">
              <w:rPr>
                <w:rFonts w:ascii="Times New Roman" w:hAnsi="Times New Roman" w:cs="Times New Roman"/>
                <w:sz w:val="24"/>
                <w:szCs w:val="24"/>
              </w:rPr>
              <w:t>28</w:t>
            </w:r>
            <w:r>
              <w:rPr>
                <w:rFonts w:ascii="Times New Roman" w:hAnsi="Times New Roman" w:cs="Times New Roman"/>
                <w:sz w:val="24"/>
                <w:szCs w:val="24"/>
              </w:rPr>
              <w:t>)</w:t>
            </w:r>
          </w:p>
        </w:tc>
        <w:tc>
          <w:tcPr>
            <w:tcW w:w="992" w:type="dxa"/>
          </w:tcPr>
          <w:p w14:paraId="6B7B60AB" w14:textId="1D154879" w:rsidR="00F74FB0" w:rsidRPr="00156CD9" w:rsidRDefault="00862FE9" w:rsidP="00F74FB0">
            <w:pPr>
              <w:ind w:left="60" w:right="60"/>
              <w:jc w:val="center"/>
              <w:rPr>
                <w:rFonts w:ascii="Times New Roman" w:hAnsi="Times New Roman" w:cs="Times New Roman"/>
                <w:sz w:val="24"/>
                <w:szCs w:val="24"/>
              </w:rPr>
            </w:pPr>
            <w:r>
              <w:rPr>
                <w:rFonts w:ascii="Times New Roman" w:hAnsi="Times New Roman" w:cs="Times New Roman"/>
                <w:sz w:val="24"/>
                <w:szCs w:val="24"/>
              </w:rPr>
              <w:t>59.6%(</w:t>
            </w:r>
            <w:r w:rsidR="00F74FB0" w:rsidRPr="00156CD9">
              <w:rPr>
                <w:rFonts w:ascii="Times New Roman" w:hAnsi="Times New Roman" w:cs="Times New Roman"/>
                <w:sz w:val="24"/>
                <w:szCs w:val="24"/>
              </w:rPr>
              <w:t>64</w:t>
            </w:r>
            <w:r>
              <w:rPr>
                <w:rFonts w:ascii="Times New Roman" w:hAnsi="Times New Roman" w:cs="Times New Roman"/>
                <w:sz w:val="24"/>
                <w:szCs w:val="24"/>
              </w:rPr>
              <w:t>)</w:t>
            </w:r>
          </w:p>
        </w:tc>
        <w:tc>
          <w:tcPr>
            <w:tcW w:w="709" w:type="dxa"/>
          </w:tcPr>
          <w:p w14:paraId="77385FCD" w14:textId="77777777" w:rsidR="00F74FB0" w:rsidRPr="00156CD9" w:rsidRDefault="00F74FB0" w:rsidP="00F74FB0">
            <w:pPr>
              <w:jc w:val="center"/>
              <w:rPr>
                <w:rFonts w:ascii="Times New Roman" w:hAnsi="Times New Roman" w:cs="Times New Roman"/>
                <w:sz w:val="24"/>
                <w:szCs w:val="24"/>
              </w:rPr>
            </w:pPr>
          </w:p>
        </w:tc>
        <w:tc>
          <w:tcPr>
            <w:tcW w:w="992" w:type="dxa"/>
          </w:tcPr>
          <w:p w14:paraId="48C03A07" w14:textId="77777777" w:rsidR="00F74FB0" w:rsidRPr="00156CD9" w:rsidRDefault="00F74FB0" w:rsidP="00F74FB0">
            <w:pPr>
              <w:jc w:val="center"/>
              <w:rPr>
                <w:rFonts w:ascii="Times New Roman" w:hAnsi="Times New Roman" w:cs="Times New Roman"/>
                <w:sz w:val="24"/>
                <w:szCs w:val="24"/>
              </w:rPr>
            </w:pPr>
          </w:p>
        </w:tc>
        <w:tc>
          <w:tcPr>
            <w:tcW w:w="792" w:type="dxa"/>
          </w:tcPr>
          <w:p w14:paraId="117EF071" w14:textId="77777777" w:rsidR="00F74FB0" w:rsidRPr="00156CD9" w:rsidRDefault="00F74FB0" w:rsidP="00F74FB0">
            <w:pPr>
              <w:jc w:val="center"/>
              <w:rPr>
                <w:rFonts w:ascii="Times New Roman" w:hAnsi="Times New Roman" w:cs="Times New Roman"/>
                <w:sz w:val="24"/>
                <w:szCs w:val="24"/>
              </w:rPr>
            </w:pPr>
          </w:p>
        </w:tc>
        <w:tc>
          <w:tcPr>
            <w:tcW w:w="908" w:type="dxa"/>
          </w:tcPr>
          <w:p w14:paraId="4DDAE6FB" w14:textId="77777777" w:rsidR="00F74FB0" w:rsidRPr="00156CD9" w:rsidRDefault="00F74FB0" w:rsidP="00F74FB0">
            <w:pPr>
              <w:jc w:val="center"/>
              <w:rPr>
                <w:rFonts w:ascii="Times New Roman" w:hAnsi="Times New Roman" w:cs="Times New Roman"/>
                <w:sz w:val="24"/>
                <w:szCs w:val="24"/>
              </w:rPr>
            </w:pPr>
          </w:p>
        </w:tc>
      </w:tr>
      <w:tr w:rsidR="00890140" w:rsidRPr="00156CD9" w14:paraId="5023B3E2" w14:textId="77777777" w:rsidTr="00890140">
        <w:tc>
          <w:tcPr>
            <w:tcW w:w="1696" w:type="dxa"/>
            <w:vMerge/>
          </w:tcPr>
          <w:p w14:paraId="52E17005" w14:textId="77777777" w:rsidR="00F74FB0" w:rsidRPr="00156CD9" w:rsidRDefault="00F74FB0" w:rsidP="00B60CFC">
            <w:pPr>
              <w:jc w:val="both"/>
              <w:rPr>
                <w:rFonts w:ascii="Times New Roman" w:hAnsi="Times New Roman" w:cs="Times New Roman"/>
                <w:sz w:val="24"/>
                <w:szCs w:val="24"/>
              </w:rPr>
            </w:pPr>
          </w:p>
        </w:tc>
        <w:tc>
          <w:tcPr>
            <w:tcW w:w="2268" w:type="dxa"/>
          </w:tcPr>
          <w:p w14:paraId="2D935798"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Tertiary</w:t>
            </w:r>
          </w:p>
        </w:tc>
        <w:tc>
          <w:tcPr>
            <w:tcW w:w="993" w:type="dxa"/>
          </w:tcPr>
          <w:p w14:paraId="08942BA7" w14:textId="4D22991E" w:rsidR="00F74FB0" w:rsidRPr="00156CD9" w:rsidRDefault="00862FE9" w:rsidP="00F74FB0">
            <w:pPr>
              <w:ind w:left="60" w:right="60"/>
              <w:jc w:val="center"/>
              <w:rPr>
                <w:rFonts w:ascii="Times New Roman" w:hAnsi="Times New Roman" w:cs="Times New Roman"/>
                <w:sz w:val="24"/>
                <w:szCs w:val="24"/>
              </w:rPr>
            </w:pPr>
            <w:r>
              <w:rPr>
                <w:rFonts w:ascii="Times New Roman" w:hAnsi="Times New Roman" w:cs="Times New Roman"/>
                <w:sz w:val="24"/>
                <w:szCs w:val="24"/>
              </w:rPr>
              <w:t>5.7% (</w:t>
            </w:r>
            <w:r w:rsidR="00F74FB0" w:rsidRPr="00156CD9">
              <w:rPr>
                <w:rFonts w:ascii="Times New Roman" w:hAnsi="Times New Roman" w:cs="Times New Roman"/>
                <w:sz w:val="24"/>
                <w:szCs w:val="24"/>
              </w:rPr>
              <w:t>2</w:t>
            </w:r>
            <w:r>
              <w:rPr>
                <w:rFonts w:ascii="Times New Roman" w:hAnsi="Times New Roman" w:cs="Times New Roman"/>
                <w:sz w:val="24"/>
                <w:szCs w:val="24"/>
              </w:rPr>
              <w:t>)</w:t>
            </w:r>
          </w:p>
        </w:tc>
        <w:tc>
          <w:tcPr>
            <w:tcW w:w="992" w:type="dxa"/>
          </w:tcPr>
          <w:p w14:paraId="375B5972" w14:textId="63A6EFF5" w:rsidR="00F74FB0" w:rsidRPr="00156CD9" w:rsidRDefault="00862FE9" w:rsidP="00F74FB0">
            <w:pPr>
              <w:ind w:left="60" w:right="60"/>
              <w:jc w:val="center"/>
              <w:rPr>
                <w:rFonts w:ascii="Times New Roman" w:hAnsi="Times New Roman" w:cs="Times New Roman"/>
                <w:sz w:val="24"/>
                <w:szCs w:val="24"/>
              </w:rPr>
            </w:pPr>
            <w:r>
              <w:rPr>
                <w:rFonts w:ascii="Times New Roman" w:hAnsi="Times New Roman" w:cs="Times New Roman"/>
                <w:sz w:val="24"/>
                <w:szCs w:val="24"/>
              </w:rPr>
              <w:t>94.3%(</w:t>
            </w:r>
            <w:r w:rsidR="00F74FB0" w:rsidRPr="00156CD9">
              <w:rPr>
                <w:rFonts w:ascii="Times New Roman" w:hAnsi="Times New Roman" w:cs="Times New Roman"/>
                <w:sz w:val="24"/>
                <w:szCs w:val="24"/>
              </w:rPr>
              <w:t>33</w:t>
            </w:r>
            <w:r>
              <w:rPr>
                <w:rFonts w:ascii="Times New Roman" w:hAnsi="Times New Roman" w:cs="Times New Roman"/>
                <w:sz w:val="24"/>
                <w:szCs w:val="24"/>
              </w:rPr>
              <w:t>)</w:t>
            </w:r>
          </w:p>
        </w:tc>
        <w:tc>
          <w:tcPr>
            <w:tcW w:w="709" w:type="dxa"/>
          </w:tcPr>
          <w:p w14:paraId="46833199" w14:textId="77777777" w:rsidR="00F74FB0" w:rsidRPr="00156CD9" w:rsidRDefault="00F74FB0" w:rsidP="00F74FB0">
            <w:pPr>
              <w:jc w:val="center"/>
              <w:rPr>
                <w:rFonts w:ascii="Times New Roman" w:hAnsi="Times New Roman" w:cs="Times New Roman"/>
                <w:sz w:val="24"/>
                <w:szCs w:val="24"/>
              </w:rPr>
            </w:pPr>
          </w:p>
        </w:tc>
        <w:tc>
          <w:tcPr>
            <w:tcW w:w="992" w:type="dxa"/>
          </w:tcPr>
          <w:p w14:paraId="3212837D" w14:textId="77777777" w:rsidR="00F74FB0" w:rsidRPr="00156CD9" w:rsidRDefault="00F74FB0" w:rsidP="00F74FB0">
            <w:pPr>
              <w:jc w:val="center"/>
              <w:rPr>
                <w:rFonts w:ascii="Times New Roman" w:hAnsi="Times New Roman" w:cs="Times New Roman"/>
                <w:sz w:val="24"/>
                <w:szCs w:val="24"/>
              </w:rPr>
            </w:pPr>
          </w:p>
        </w:tc>
        <w:tc>
          <w:tcPr>
            <w:tcW w:w="792" w:type="dxa"/>
          </w:tcPr>
          <w:p w14:paraId="0B4B2223" w14:textId="77777777" w:rsidR="00F74FB0" w:rsidRPr="00156CD9" w:rsidRDefault="00F74FB0" w:rsidP="00F74FB0">
            <w:pPr>
              <w:jc w:val="center"/>
              <w:rPr>
                <w:rFonts w:ascii="Times New Roman" w:hAnsi="Times New Roman" w:cs="Times New Roman"/>
                <w:sz w:val="24"/>
                <w:szCs w:val="24"/>
              </w:rPr>
            </w:pPr>
          </w:p>
        </w:tc>
        <w:tc>
          <w:tcPr>
            <w:tcW w:w="908" w:type="dxa"/>
          </w:tcPr>
          <w:p w14:paraId="5C695661" w14:textId="77777777" w:rsidR="00F74FB0" w:rsidRPr="00156CD9" w:rsidRDefault="00F74FB0" w:rsidP="00F74FB0">
            <w:pPr>
              <w:jc w:val="center"/>
              <w:rPr>
                <w:rFonts w:ascii="Times New Roman" w:hAnsi="Times New Roman" w:cs="Times New Roman"/>
                <w:sz w:val="24"/>
                <w:szCs w:val="24"/>
              </w:rPr>
            </w:pPr>
          </w:p>
        </w:tc>
      </w:tr>
      <w:tr w:rsidR="00890140" w:rsidRPr="00156CD9" w14:paraId="51D1A6F9" w14:textId="77777777" w:rsidTr="00890140">
        <w:tc>
          <w:tcPr>
            <w:tcW w:w="1696" w:type="dxa"/>
            <w:vMerge w:val="restart"/>
          </w:tcPr>
          <w:p w14:paraId="04B8CD7B"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Relationship to child</w:t>
            </w:r>
          </w:p>
        </w:tc>
        <w:tc>
          <w:tcPr>
            <w:tcW w:w="2268" w:type="dxa"/>
          </w:tcPr>
          <w:p w14:paraId="40AF9C22"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Mother</w:t>
            </w:r>
          </w:p>
        </w:tc>
        <w:tc>
          <w:tcPr>
            <w:tcW w:w="993" w:type="dxa"/>
          </w:tcPr>
          <w:p w14:paraId="2C05A3E3" w14:textId="145E869D"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49.8% (</w:t>
            </w:r>
            <w:r w:rsidR="00F74FB0" w:rsidRPr="00156CD9">
              <w:rPr>
                <w:rFonts w:ascii="Times New Roman" w:hAnsi="Times New Roman" w:cs="Times New Roman"/>
                <w:sz w:val="24"/>
                <w:szCs w:val="24"/>
              </w:rPr>
              <w:t>121</w:t>
            </w:r>
            <w:r>
              <w:rPr>
                <w:rFonts w:ascii="Times New Roman" w:hAnsi="Times New Roman" w:cs="Times New Roman"/>
                <w:sz w:val="24"/>
                <w:szCs w:val="24"/>
              </w:rPr>
              <w:t>)</w:t>
            </w:r>
          </w:p>
        </w:tc>
        <w:tc>
          <w:tcPr>
            <w:tcW w:w="992" w:type="dxa"/>
          </w:tcPr>
          <w:p w14:paraId="6F6D05A4" w14:textId="1B876E9E"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50.2%(</w:t>
            </w:r>
            <w:r w:rsidR="00F74FB0" w:rsidRPr="00156CD9">
              <w:rPr>
                <w:rFonts w:ascii="Times New Roman" w:hAnsi="Times New Roman" w:cs="Times New Roman"/>
                <w:sz w:val="24"/>
                <w:szCs w:val="24"/>
              </w:rPr>
              <w:t>122</w:t>
            </w:r>
            <w:r>
              <w:rPr>
                <w:rFonts w:ascii="Times New Roman" w:hAnsi="Times New Roman" w:cs="Times New Roman"/>
                <w:sz w:val="24"/>
                <w:szCs w:val="24"/>
              </w:rPr>
              <w:t>)</w:t>
            </w:r>
          </w:p>
        </w:tc>
        <w:tc>
          <w:tcPr>
            <w:tcW w:w="709" w:type="dxa"/>
          </w:tcPr>
          <w:p w14:paraId="447E5E09"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3</w:t>
            </w:r>
          </w:p>
        </w:tc>
        <w:tc>
          <w:tcPr>
            <w:tcW w:w="992" w:type="dxa"/>
          </w:tcPr>
          <w:p w14:paraId="3EEA6A0B"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4.011</w:t>
            </w:r>
          </w:p>
        </w:tc>
        <w:tc>
          <w:tcPr>
            <w:tcW w:w="792" w:type="dxa"/>
          </w:tcPr>
          <w:p w14:paraId="41F2FB9E"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.260</w:t>
            </w:r>
          </w:p>
        </w:tc>
        <w:tc>
          <w:tcPr>
            <w:tcW w:w="908" w:type="dxa"/>
          </w:tcPr>
          <w:p w14:paraId="21ABAB26" w14:textId="77777777" w:rsidR="00F74FB0" w:rsidRPr="00156CD9" w:rsidRDefault="00F74FB0"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.046</w:t>
            </w:r>
          </w:p>
        </w:tc>
      </w:tr>
      <w:tr w:rsidR="00890140" w:rsidRPr="00156CD9" w14:paraId="5CD72AB0" w14:textId="77777777" w:rsidTr="00890140">
        <w:tc>
          <w:tcPr>
            <w:tcW w:w="1696" w:type="dxa"/>
            <w:vMerge/>
          </w:tcPr>
          <w:p w14:paraId="72FF73F3" w14:textId="77777777" w:rsidR="00F74FB0" w:rsidRPr="00156CD9" w:rsidRDefault="00F74FB0" w:rsidP="00B60CFC">
            <w:pPr>
              <w:jc w:val="both"/>
              <w:rPr>
                <w:rFonts w:ascii="Times New Roman" w:hAnsi="Times New Roman" w:cs="Times New Roman"/>
                <w:sz w:val="24"/>
                <w:szCs w:val="24"/>
              </w:rPr>
            </w:pPr>
          </w:p>
        </w:tc>
        <w:tc>
          <w:tcPr>
            <w:tcW w:w="2268" w:type="dxa"/>
          </w:tcPr>
          <w:p w14:paraId="4D1014C8"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Father</w:t>
            </w:r>
          </w:p>
        </w:tc>
        <w:tc>
          <w:tcPr>
            <w:tcW w:w="993" w:type="dxa"/>
          </w:tcPr>
          <w:p w14:paraId="7CFA1EE2" w14:textId="4C672ED7"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34.8% (</w:t>
            </w:r>
            <w:r w:rsidR="00F74FB0" w:rsidRPr="00156CD9">
              <w:rPr>
                <w:rFonts w:ascii="Times New Roman" w:hAnsi="Times New Roman" w:cs="Times New Roman"/>
                <w:sz w:val="24"/>
                <w:szCs w:val="24"/>
              </w:rPr>
              <w:t>8</w:t>
            </w:r>
            <w:r>
              <w:rPr>
                <w:rFonts w:ascii="Times New Roman" w:hAnsi="Times New Roman" w:cs="Times New Roman"/>
                <w:sz w:val="24"/>
                <w:szCs w:val="24"/>
              </w:rPr>
              <w:t xml:space="preserve">) </w:t>
            </w:r>
          </w:p>
        </w:tc>
        <w:tc>
          <w:tcPr>
            <w:tcW w:w="992" w:type="dxa"/>
          </w:tcPr>
          <w:p w14:paraId="227FC954" w14:textId="2A623A4F"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65.2% (</w:t>
            </w:r>
            <w:r w:rsidR="00F74FB0" w:rsidRPr="00156CD9">
              <w:rPr>
                <w:rFonts w:ascii="Times New Roman" w:hAnsi="Times New Roman" w:cs="Times New Roman"/>
                <w:sz w:val="24"/>
                <w:szCs w:val="24"/>
              </w:rPr>
              <w:t>15</w:t>
            </w:r>
            <w:r>
              <w:rPr>
                <w:rFonts w:ascii="Times New Roman" w:hAnsi="Times New Roman" w:cs="Times New Roman"/>
                <w:sz w:val="24"/>
                <w:szCs w:val="24"/>
              </w:rPr>
              <w:t>)</w:t>
            </w:r>
          </w:p>
        </w:tc>
        <w:tc>
          <w:tcPr>
            <w:tcW w:w="709" w:type="dxa"/>
          </w:tcPr>
          <w:p w14:paraId="1B5B4D7F" w14:textId="77777777" w:rsidR="00F74FB0" w:rsidRPr="00156CD9" w:rsidRDefault="00F74FB0" w:rsidP="00F74FB0">
            <w:pPr>
              <w:jc w:val="center"/>
              <w:rPr>
                <w:rFonts w:ascii="Times New Roman" w:hAnsi="Times New Roman" w:cs="Times New Roman"/>
                <w:sz w:val="24"/>
                <w:szCs w:val="24"/>
              </w:rPr>
            </w:pPr>
          </w:p>
        </w:tc>
        <w:tc>
          <w:tcPr>
            <w:tcW w:w="992" w:type="dxa"/>
          </w:tcPr>
          <w:p w14:paraId="18B8BA89" w14:textId="77777777" w:rsidR="00F74FB0" w:rsidRPr="00156CD9" w:rsidRDefault="00F74FB0" w:rsidP="00F74FB0">
            <w:pPr>
              <w:jc w:val="center"/>
              <w:rPr>
                <w:rFonts w:ascii="Times New Roman" w:hAnsi="Times New Roman" w:cs="Times New Roman"/>
                <w:sz w:val="24"/>
                <w:szCs w:val="24"/>
              </w:rPr>
            </w:pPr>
          </w:p>
        </w:tc>
        <w:tc>
          <w:tcPr>
            <w:tcW w:w="792" w:type="dxa"/>
          </w:tcPr>
          <w:p w14:paraId="01D8D27F" w14:textId="77777777" w:rsidR="00F74FB0" w:rsidRPr="00156CD9" w:rsidRDefault="00F74FB0" w:rsidP="00F74FB0">
            <w:pPr>
              <w:jc w:val="center"/>
              <w:rPr>
                <w:rFonts w:ascii="Times New Roman" w:hAnsi="Times New Roman" w:cs="Times New Roman"/>
                <w:sz w:val="24"/>
                <w:szCs w:val="24"/>
              </w:rPr>
            </w:pPr>
          </w:p>
        </w:tc>
        <w:tc>
          <w:tcPr>
            <w:tcW w:w="908" w:type="dxa"/>
          </w:tcPr>
          <w:p w14:paraId="760FF281" w14:textId="77777777" w:rsidR="00F74FB0" w:rsidRPr="00156CD9" w:rsidRDefault="00F74FB0"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.100</w:t>
            </w:r>
          </w:p>
        </w:tc>
      </w:tr>
      <w:tr w:rsidR="00890140" w:rsidRPr="00156CD9" w14:paraId="3D4FDAE0" w14:textId="77777777" w:rsidTr="00890140">
        <w:tc>
          <w:tcPr>
            <w:tcW w:w="1696" w:type="dxa"/>
            <w:vMerge/>
          </w:tcPr>
          <w:p w14:paraId="458D7B07" w14:textId="77777777" w:rsidR="00F74FB0" w:rsidRPr="00156CD9" w:rsidRDefault="00F74FB0" w:rsidP="00B60CFC">
            <w:pPr>
              <w:jc w:val="both"/>
              <w:rPr>
                <w:rFonts w:ascii="Times New Roman" w:hAnsi="Times New Roman" w:cs="Times New Roman"/>
                <w:sz w:val="24"/>
                <w:szCs w:val="24"/>
              </w:rPr>
            </w:pPr>
          </w:p>
        </w:tc>
        <w:tc>
          <w:tcPr>
            <w:tcW w:w="2268" w:type="dxa"/>
          </w:tcPr>
          <w:p w14:paraId="5FB59442"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Guardian</w:t>
            </w:r>
          </w:p>
        </w:tc>
        <w:tc>
          <w:tcPr>
            <w:tcW w:w="993" w:type="dxa"/>
          </w:tcPr>
          <w:p w14:paraId="54058436" w14:textId="2A84EF59"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54.3% (</w:t>
            </w:r>
            <w:r w:rsidR="00F74FB0" w:rsidRPr="00156CD9">
              <w:rPr>
                <w:rFonts w:ascii="Times New Roman" w:hAnsi="Times New Roman" w:cs="Times New Roman"/>
                <w:sz w:val="24"/>
                <w:szCs w:val="24"/>
              </w:rPr>
              <w:t>70</w:t>
            </w:r>
            <w:r>
              <w:rPr>
                <w:rFonts w:ascii="Times New Roman" w:hAnsi="Times New Roman" w:cs="Times New Roman"/>
                <w:sz w:val="24"/>
                <w:szCs w:val="24"/>
              </w:rPr>
              <w:t>)</w:t>
            </w:r>
          </w:p>
        </w:tc>
        <w:tc>
          <w:tcPr>
            <w:tcW w:w="992" w:type="dxa"/>
          </w:tcPr>
          <w:p w14:paraId="72ADFC75" w14:textId="2B70245A"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45.7% (</w:t>
            </w:r>
            <w:r w:rsidR="00F74FB0" w:rsidRPr="00156CD9">
              <w:rPr>
                <w:rFonts w:ascii="Times New Roman" w:hAnsi="Times New Roman" w:cs="Times New Roman"/>
                <w:sz w:val="24"/>
                <w:szCs w:val="24"/>
              </w:rPr>
              <w:t>59</w:t>
            </w:r>
            <w:r>
              <w:rPr>
                <w:rFonts w:ascii="Times New Roman" w:hAnsi="Times New Roman" w:cs="Times New Roman"/>
                <w:sz w:val="24"/>
                <w:szCs w:val="24"/>
              </w:rPr>
              <w:t>)</w:t>
            </w:r>
          </w:p>
        </w:tc>
        <w:tc>
          <w:tcPr>
            <w:tcW w:w="709" w:type="dxa"/>
          </w:tcPr>
          <w:p w14:paraId="17BB037A" w14:textId="77777777" w:rsidR="00F74FB0" w:rsidRPr="00156CD9" w:rsidRDefault="00F74FB0" w:rsidP="00F74FB0">
            <w:pPr>
              <w:jc w:val="center"/>
              <w:rPr>
                <w:rFonts w:ascii="Times New Roman" w:hAnsi="Times New Roman" w:cs="Times New Roman"/>
                <w:sz w:val="24"/>
                <w:szCs w:val="24"/>
              </w:rPr>
            </w:pPr>
          </w:p>
        </w:tc>
        <w:tc>
          <w:tcPr>
            <w:tcW w:w="992" w:type="dxa"/>
          </w:tcPr>
          <w:p w14:paraId="7C81133E" w14:textId="77777777" w:rsidR="00F74FB0" w:rsidRPr="00156CD9" w:rsidRDefault="00F74FB0" w:rsidP="00F74FB0">
            <w:pPr>
              <w:jc w:val="center"/>
              <w:rPr>
                <w:rFonts w:ascii="Times New Roman" w:hAnsi="Times New Roman" w:cs="Times New Roman"/>
                <w:sz w:val="24"/>
                <w:szCs w:val="24"/>
              </w:rPr>
            </w:pPr>
          </w:p>
        </w:tc>
        <w:tc>
          <w:tcPr>
            <w:tcW w:w="792" w:type="dxa"/>
          </w:tcPr>
          <w:p w14:paraId="7ECC2D00" w14:textId="77777777" w:rsidR="00F74FB0" w:rsidRPr="00156CD9" w:rsidRDefault="00F74FB0" w:rsidP="00F74FB0">
            <w:pPr>
              <w:jc w:val="center"/>
              <w:rPr>
                <w:rFonts w:ascii="Times New Roman" w:hAnsi="Times New Roman" w:cs="Times New Roman"/>
                <w:sz w:val="24"/>
                <w:szCs w:val="24"/>
              </w:rPr>
            </w:pPr>
          </w:p>
        </w:tc>
        <w:tc>
          <w:tcPr>
            <w:tcW w:w="908" w:type="dxa"/>
          </w:tcPr>
          <w:p w14:paraId="79E76663" w14:textId="77777777" w:rsidR="00F74FB0" w:rsidRPr="00156CD9" w:rsidRDefault="00F74FB0" w:rsidP="00F74FB0">
            <w:pPr>
              <w:jc w:val="center"/>
              <w:rPr>
                <w:rFonts w:ascii="Times New Roman" w:hAnsi="Times New Roman" w:cs="Times New Roman"/>
                <w:sz w:val="24"/>
                <w:szCs w:val="24"/>
              </w:rPr>
            </w:pPr>
          </w:p>
        </w:tc>
      </w:tr>
      <w:tr w:rsidR="00890140" w:rsidRPr="00156CD9" w14:paraId="48992085" w14:textId="77777777" w:rsidTr="00890140">
        <w:tc>
          <w:tcPr>
            <w:tcW w:w="1696" w:type="dxa"/>
            <w:vMerge/>
          </w:tcPr>
          <w:p w14:paraId="3B8CA768" w14:textId="77777777" w:rsidR="00F74FB0" w:rsidRPr="00156CD9" w:rsidRDefault="00F74FB0" w:rsidP="00B60CFC">
            <w:pPr>
              <w:jc w:val="both"/>
              <w:rPr>
                <w:rFonts w:ascii="Times New Roman" w:hAnsi="Times New Roman" w:cs="Times New Roman"/>
                <w:sz w:val="24"/>
                <w:szCs w:val="24"/>
              </w:rPr>
            </w:pPr>
          </w:p>
        </w:tc>
        <w:tc>
          <w:tcPr>
            <w:tcW w:w="2268" w:type="dxa"/>
          </w:tcPr>
          <w:p w14:paraId="1DFF0711"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Other</w:t>
            </w:r>
          </w:p>
        </w:tc>
        <w:tc>
          <w:tcPr>
            <w:tcW w:w="993" w:type="dxa"/>
          </w:tcPr>
          <w:p w14:paraId="5BBED930" w14:textId="5FCE128F"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75% (</w:t>
            </w:r>
            <w:r w:rsidR="00F74FB0" w:rsidRPr="00156CD9">
              <w:rPr>
                <w:rFonts w:ascii="Times New Roman" w:hAnsi="Times New Roman" w:cs="Times New Roman"/>
                <w:sz w:val="24"/>
                <w:szCs w:val="24"/>
              </w:rPr>
              <w:t>3</w:t>
            </w:r>
            <w:r>
              <w:rPr>
                <w:rFonts w:ascii="Times New Roman" w:hAnsi="Times New Roman" w:cs="Times New Roman"/>
                <w:sz w:val="24"/>
                <w:szCs w:val="24"/>
              </w:rPr>
              <w:t xml:space="preserve">) </w:t>
            </w:r>
          </w:p>
        </w:tc>
        <w:tc>
          <w:tcPr>
            <w:tcW w:w="992" w:type="dxa"/>
          </w:tcPr>
          <w:p w14:paraId="439EE140" w14:textId="5B4F953D" w:rsidR="00F74FB0" w:rsidRPr="00156CD9" w:rsidRDefault="00890140" w:rsidP="00F74FB0">
            <w:pPr>
              <w:ind w:left="60" w:right="60"/>
              <w:jc w:val="center"/>
              <w:rPr>
                <w:rFonts w:ascii="Times New Roman" w:hAnsi="Times New Roman" w:cs="Times New Roman"/>
                <w:sz w:val="24"/>
                <w:szCs w:val="24"/>
              </w:rPr>
            </w:pPr>
            <w:r>
              <w:rPr>
                <w:rFonts w:ascii="Times New Roman" w:hAnsi="Times New Roman" w:cs="Times New Roman"/>
                <w:sz w:val="24"/>
                <w:szCs w:val="24"/>
              </w:rPr>
              <w:t>25% (</w:t>
            </w:r>
            <w:r w:rsidR="00F74FB0" w:rsidRPr="00156CD9">
              <w:rPr>
                <w:rFonts w:ascii="Times New Roman" w:hAnsi="Times New Roman" w:cs="Times New Roman"/>
                <w:sz w:val="24"/>
                <w:szCs w:val="24"/>
              </w:rPr>
              <w:t>1</w:t>
            </w:r>
            <w:r>
              <w:rPr>
                <w:rFonts w:ascii="Times New Roman" w:hAnsi="Times New Roman" w:cs="Times New Roman"/>
                <w:sz w:val="24"/>
                <w:szCs w:val="24"/>
              </w:rPr>
              <w:t>)</w:t>
            </w:r>
          </w:p>
        </w:tc>
        <w:tc>
          <w:tcPr>
            <w:tcW w:w="709" w:type="dxa"/>
          </w:tcPr>
          <w:p w14:paraId="413433C9" w14:textId="77777777" w:rsidR="00F74FB0" w:rsidRPr="00156CD9" w:rsidRDefault="00F74FB0" w:rsidP="00F74FB0">
            <w:pPr>
              <w:jc w:val="center"/>
              <w:rPr>
                <w:rFonts w:ascii="Times New Roman" w:hAnsi="Times New Roman" w:cs="Times New Roman"/>
                <w:sz w:val="24"/>
                <w:szCs w:val="24"/>
              </w:rPr>
            </w:pPr>
          </w:p>
        </w:tc>
        <w:tc>
          <w:tcPr>
            <w:tcW w:w="992" w:type="dxa"/>
          </w:tcPr>
          <w:p w14:paraId="0AB37034" w14:textId="77777777" w:rsidR="00F74FB0" w:rsidRPr="00156CD9" w:rsidRDefault="00F74FB0" w:rsidP="00F74FB0">
            <w:pPr>
              <w:jc w:val="center"/>
              <w:rPr>
                <w:rFonts w:ascii="Times New Roman" w:hAnsi="Times New Roman" w:cs="Times New Roman"/>
                <w:sz w:val="24"/>
                <w:szCs w:val="24"/>
              </w:rPr>
            </w:pPr>
          </w:p>
        </w:tc>
        <w:tc>
          <w:tcPr>
            <w:tcW w:w="792" w:type="dxa"/>
          </w:tcPr>
          <w:p w14:paraId="20E427A0" w14:textId="77777777" w:rsidR="00F74FB0" w:rsidRPr="00156CD9" w:rsidRDefault="00F74FB0" w:rsidP="00F74FB0">
            <w:pPr>
              <w:jc w:val="center"/>
              <w:rPr>
                <w:rFonts w:ascii="Times New Roman" w:hAnsi="Times New Roman" w:cs="Times New Roman"/>
                <w:sz w:val="24"/>
                <w:szCs w:val="24"/>
              </w:rPr>
            </w:pPr>
          </w:p>
        </w:tc>
        <w:tc>
          <w:tcPr>
            <w:tcW w:w="908" w:type="dxa"/>
          </w:tcPr>
          <w:p w14:paraId="6BD0E975" w14:textId="77777777" w:rsidR="00F74FB0" w:rsidRPr="00156CD9" w:rsidRDefault="00F74FB0" w:rsidP="00F74FB0">
            <w:pPr>
              <w:jc w:val="center"/>
              <w:rPr>
                <w:rFonts w:ascii="Times New Roman" w:hAnsi="Times New Roman" w:cs="Times New Roman"/>
                <w:sz w:val="24"/>
                <w:szCs w:val="24"/>
              </w:rPr>
            </w:pPr>
          </w:p>
        </w:tc>
      </w:tr>
      <w:tr w:rsidR="00890140" w:rsidRPr="00156CD9" w14:paraId="10D4702F" w14:textId="77777777" w:rsidTr="00890140">
        <w:tc>
          <w:tcPr>
            <w:tcW w:w="1696" w:type="dxa"/>
            <w:vMerge w:val="restart"/>
          </w:tcPr>
          <w:p w14:paraId="35816143"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Household income level</w:t>
            </w:r>
          </w:p>
        </w:tc>
        <w:tc>
          <w:tcPr>
            <w:tcW w:w="2268" w:type="dxa"/>
          </w:tcPr>
          <w:p w14:paraId="3F7D241A"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Low</w:t>
            </w:r>
          </w:p>
        </w:tc>
        <w:tc>
          <w:tcPr>
            <w:tcW w:w="993" w:type="dxa"/>
          </w:tcPr>
          <w:p w14:paraId="3EDECE57" w14:textId="6417BE9C" w:rsidR="00F74FB0" w:rsidRPr="00156CD9" w:rsidRDefault="00C76586" w:rsidP="00F74FB0">
            <w:pPr>
              <w:ind w:left="60" w:right="60"/>
              <w:jc w:val="center"/>
              <w:rPr>
                <w:rFonts w:ascii="Times New Roman" w:hAnsi="Times New Roman" w:cs="Times New Roman"/>
                <w:sz w:val="24"/>
                <w:szCs w:val="24"/>
              </w:rPr>
            </w:pPr>
            <w:r>
              <w:rPr>
                <w:rFonts w:ascii="Times New Roman" w:hAnsi="Times New Roman" w:cs="Times New Roman"/>
                <w:sz w:val="24"/>
                <w:szCs w:val="24"/>
              </w:rPr>
              <w:t>70.6%(</w:t>
            </w:r>
            <w:r w:rsidR="00F74FB0" w:rsidRPr="00156CD9">
              <w:rPr>
                <w:rFonts w:ascii="Times New Roman" w:hAnsi="Times New Roman" w:cs="Times New Roman"/>
                <w:sz w:val="24"/>
                <w:szCs w:val="24"/>
              </w:rPr>
              <w:t>163</w:t>
            </w:r>
            <w:r>
              <w:rPr>
                <w:rFonts w:ascii="Times New Roman" w:hAnsi="Times New Roman" w:cs="Times New Roman"/>
                <w:sz w:val="24"/>
                <w:szCs w:val="24"/>
              </w:rPr>
              <w:t>)</w:t>
            </w:r>
          </w:p>
        </w:tc>
        <w:tc>
          <w:tcPr>
            <w:tcW w:w="992" w:type="dxa"/>
          </w:tcPr>
          <w:p w14:paraId="049EB1BB" w14:textId="3CE8B88C" w:rsidR="00F74FB0" w:rsidRPr="00156CD9" w:rsidRDefault="00C76586" w:rsidP="00F74FB0">
            <w:pPr>
              <w:ind w:left="60" w:right="60"/>
              <w:jc w:val="center"/>
              <w:rPr>
                <w:rFonts w:ascii="Times New Roman" w:hAnsi="Times New Roman" w:cs="Times New Roman"/>
                <w:sz w:val="24"/>
                <w:szCs w:val="24"/>
              </w:rPr>
            </w:pPr>
            <w:r>
              <w:rPr>
                <w:rFonts w:ascii="Times New Roman" w:hAnsi="Times New Roman" w:cs="Times New Roman"/>
                <w:sz w:val="24"/>
                <w:szCs w:val="24"/>
              </w:rPr>
              <w:t>29.4% (</w:t>
            </w:r>
            <w:r w:rsidR="00F74FB0" w:rsidRPr="00156CD9">
              <w:rPr>
                <w:rFonts w:ascii="Times New Roman" w:hAnsi="Times New Roman" w:cs="Times New Roman"/>
                <w:sz w:val="24"/>
                <w:szCs w:val="24"/>
              </w:rPr>
              <w:t>68</w:t>
            </w:r>
            <w:r>
              <w:rPr>
                <w:rFonts w:ascii="Times New Roman" w:hAnsi="Times New Roman" w:cs="Times New Roman"/>
                <w:sz w:val="24"/>
                <w:szCs w:val="24"/>
              </w:rPr>
              <w:t>)</w:t>
            </w:r>
          </w:p>
        </w:tc>
        <w:tc>
          <w:tcPr>
            <w:tcW w:w="709" w:type="dxa"/>
          </w:tcPr>
          <w:p w14:paraId="57150968"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2" w:type="dxa"/>
          </w:tcPr>
          <w:p w14:paraId="5D16B6A4"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87.235</w:t>
            </w:r>
          </w:p>
        </w:tc>
        <w:tc>
          <w:tcPr>
            <w:tcW w:w="792" w:type="dxa"/>
          </w:tcPr>
          <w:p w14:paraId="4B69A5F1" w14:textId="77777777" w:rsidR="00F74FB0" w:rsidRPr="00156CD9" w:rsidRDefault="00F74FB0" w:rsidP="00F74FB0">
            <w:pPr>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908" w:type="dxa"/>
          </w:tcPr>
          <w:p w14:paraId="2F0FEBC3" w14:textId="77777777" w:rsidR="00F74FB0" w:rsidRPr="00156CD9" w:rsidRDefault="00F74FB0"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.468</w:t>
            </w:r>
          </w:p>
        </w:tc>
      </w:tr>
      <w:tr w:rsidR="00890140" w:rsidRPr="00156CD9" w14:paraId="1F272D22" w14:textId="77777777" w:rsidTr="00890140">
        <w:tc>
          <w:tcPr>
            <w:tcW w:w="1696" w:type="dxa"/>
            <w:vMerge/>
          </w:tcPr>
          <w:p w14:paraId="40E07478" w14:textId="77777777" w:rsidR="00F74FB0" w:rsidRPr="00156CD9" w:rsidRDefault="00F74FB0" w:rsidP="00F74FB0">
            <w:pPr>
              <w:rPr>
                <w:rFonts w:ascii="Times New Roman" w:hAnsi="Times New Roman" w:cs="Times New Roman"/>
                <w:sz w:val="24"/>
                <w:szCs w:val="24"/>
              </w:rPr>
            </w:pPr>
          </w:p>
        </w:tc>
        <w:tc>
          <w:tcPr>
            <w:tcW w:w="2268" w:type="dxa"/>
          </w:tcPr>
          <w:p w14:paraId="7DE0FEAD" w14:textId="77777777" w:rsidR="00F74FB0" w:rsidRPr="00156CD9" w:rsidRDefault="00F74FB0" w:rsidP="00F74FB0">
            <w:pPr>
              <w:ind w:left="60" w:right="60"/>
              <w:rPr>
                <w:rFonts w:ascii="Times New Roman" w:hAnsi="Times New Roman" w:cs="Times New Roman"/>
                <w:sz w:val="24"/>
                <w:szCs w:val="24"/>
              </w:rPr>
            </w:pPr>
            <w:r w:rsidRPr="00156CD9">
              <w:rPr>
                <w:rFonts w:ascii="Times New Roman" w:hAnsi="Times New Roman" w:cs="Times New Roman"/>
                <w:sz w:val="24"/>
                <w:szCs w:val="24"/>
              </w:rPr>
              <w:t>Medium</w:t>
            </w:r>
          </w:p>
        </w:tc>
        <w:tc>
          <w:tcPr>
            <w:tcW w:w="993" w:type="dxa"/>
          </w:tcPr>
          <w:p w14:paraId="3B971FF2" w14:textId="4CF489CE" w:rsidR="00F74FB0" w:rsidRPr="00156CD9" w:rsidRDefault="00C76586" w:rsidP="00F74FB0">
            <w:pPr>
              <w:ind w:left="60" w:right="60"/>
              <w:jc w:val="center"/>
              <w:rPr>
                <w:rFonts w:ascii="Times New Roman" w:hAnsi="Times New Roman" w:cs="Times New Roman"/>
                <w:sz w:val="24"/>
                <w:szCs w:val="24"/>
              </w:rPr>
            </w:pPr>
            <w:r>
              <w:rPr>
                <w:rFonts w:ascii="Times New Roman" w:hAnsi="Times New Roman" w:cs="Times New Roman"/>
                <w:sz w:val="24"/>
                <w:szCs w:val="24"/>
              </w:rPr>
              <w:t>23.2% (</w:t>
            </w:r>
            <w:r w:rsidR="00F74FB0" w:rsidRPr="00156CD9">
              <w:rPr>
                <w:rFonts w:ascii="Times New Roman" w:hAnsi="Times New Roman" w:cs="Times New Roman"/>
                <w:sz w:val="24"/>
                <w:szCs w:val="24"/>
              </w:rPr>
              <w:t>39</w:t>
            </w:r>
            <w:r>
              <w:rPr>
                <w:rFonts w:ascii="Times New Roman" w:hAnsi="Times New Roman" w:cs="Times New Roman"/>
                <w:sz w:val="24"/>
                <w:szCs w:val="24"/>
              </w:rPr>
              <w:t>)</w:t>
            </w:r>
          </w:p>
        </w:tc>
        <w:tc>
          <w:tcPr>
            <w:tcW w:w="992" w:type="dxa"/>
          </w:tcPr>
          <w:p w14:paraId="2FB14C60" w14:textId="2582903E" w:rsidR="00F74FB0" w:rsidRPr="00156CD9" w:rsidRDefault="00C76586" w:rsidP="00F74FB0">
            <w:pPr>
              <w:ind w:left="60" w:right="60"/>
              <w:jc w:val="center"/>
              <w:rPr>
                <w:rFonts w:ascii="Times New Roman" w:hAnsi="Times New Roman" w:cs="Times New Roman"/>
                <w:sz w:val="24"/>
                <w:szCs w:val="24"/>
              </w:rPr>
            </w:pPr>
            <w:r>
              <w:rPr>
                <w:rFonts w:ascii="Times New Roman" w:hAnsi="Times New Roman" w:cs="Times New Roman"/>
                <w:sz w:val="24"/>
                <w:szCs w:val="24"/>
              </w:rPr>
              <w:t>76.8% (</w:t>
            </w:r>
            <w:r w:rsidR="00F74FB0" w:rsidRPr="00156CD9">
              <w:rPr>
                <w:rFonts w:ascii="Times New Roman" w:hAnsi="Times New Roman" w:cs="Times New Roman"/>
                <w:sz w:val="24"/>
                <w:szCs w:val="24"/>
              </w:rPr>
              <w:t>129</w:t>
            </w:r>
            <w:r>
              <w:rPr>
                <w:rFonts w:ascii="Times New Roman" w:hAnsi="Times New Roman" w:cs="Times New Roman"/>
                <w:sz w:val="24"/>
                <w:szCs w:val="24"/>
              </w:rPr>
              <w:t>)</w:t>
            </w:r>
          </w:p>
        </w:tc>
        <w:tc>
          <w:tcPr>
            <w:tcW w:w="709" w:type="dxa"/>
          </w:tcPr>
          <w:p w14:paraId="3FCBC0F6" w14:textId="77777777" w:rsidR="00F74FB0" w:rsidRPr="00156CD9" w:rsidRDefault="00F74FB0" w:rsidP="00F74FB0">
            <w:pPr>
              <w:jc w:val="center"/>
              <w:rPr>
                <w:rFonts w:ascii="Times New Roman" w:hAnsi="Times New Roman" w:cs="Times New Roman"/>
                <w:sz w:val="24"/>
                <w:szCs w:val="24"/>
              </w:rPr>
            </w:pPr>
          </w:p>
        </w:tc>
        <w:tc>
          <w:tcPr>
            <w:tcW w:w="992" w:type="dxa"/>
          </w:tcPr>
          <w:p w14:paraId="06B67F27" w14:textId="77777777" w:rsidR="00F74FB0" w:rsidRPr="00156CD9" w:rsidRDefault="00F74FB0" w:rsidP="00F74FB0">
            <w:pPr>
              <w:jc w:val="center"/>
              <w:rPr>
                <w:rFonts w:ascii="Times New Roman" w:hAnsi="Times New Roman" w:cs="Times New Roman"/>
                <w:sz w:val="24"/>
                <w:szCs w:val="24"/>
              </w:rPr>
            </w:pPr>
          </w:p>
        </w:tc>
        <w:tc>
          <w:tcPr>
            <w:tcW w:w="792" w:type="dxa"/>
          </w:tcPr>
          <w:p w14:paraId="2238B038" w14:textId="77777777" w:rsidR="00F74FB0" w:rsidRPr="00156CD9" w:rsidRDefault="00F74FB0" w:rsidP="00F74FB0">
            <w:pPr>
              <w:jc w:val="center"/>
              <w:rPr>
                <w:rFonts w:ascii="Times New Roman" w:hAnsi="Times New Roman" w:cs="Times New Roman"/>
                <w:sz w:val="24"/>
                <w:szCs w:val="24"/>
              </w:rPr>
            </w:pPr>
          </w:p>
        </w:tc>
        <w:tc>
          <w:tcPr>
            <w:tcW w:w="908" w:type="dxa"/>
          </w:tcPr>
          <w:p w14:paraId="73CD1EE5" w14:textId="77777777" w:rsidR="00F74FB0" w:rsidRPr="00156CD9" w:rsidRDefault="00F74FB0"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.468</w:t>
            </w:r>
          </w:p>
        </w:tc>
      </w:tr>
      <w:tr w:rsidR="00890140" w:rsidRPr="00156CD9" w14:paraId="1758B776" w14:textId="77777777" w:rsidTr="00890140">
        <w:tc>
          <w:tcPr>
            <w:tcW w:w="1696" w:type="dxa"/>
            <w:vMerge w:val="restart"/>
          </w:tcPr>
          <w:p w14:paraId="3CFB213B"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How far is the nearest health facility that offers child immunization?</w:t>
            </w:r>
          </w:p>
        </w:tc>
        <w:tc>
          <w:tcPr>
            <w:tcW w:w="2268" w:type="dxa"/>
          </w:tcPr>
          <w:p w14:paraId="0936B0E6"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Less than 2 km</w:t>
            </w:r>
          </w:p>
        </w:tc>
        <w:tc>
          <w:tcPr>
            <w:tcW w:w="993" w:type="dxa"/>
          </w:tcPr>
          <w:p w14:paraId="122D2094" w14:textId="5621B6C1"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4.9% (</w:t>
            </w:r>
            <w:r w:rsidR="00C7480F" w:rsidRPr="00156CD9">
              <w:rPr>
                <w:rFonts w:ascii="Times New Roman" w:hAnsi="Times New Roman" w:cs="Times New Roman"/>
                <w:sz w:val="24"/>
                <w:szCs w:val="24"/>
              </w:rPr>
              <w:t>4</w:t>
            </w:r>
            <w:r>
              <w:rPr>
                <w:rFonts w:ascii="Times New Roman" w:hAnsi="Times New Roman" w:cs="Times New Roman"/>
                <w:sz w:val="24"/>
                <w:szCs w:val="24"/>
              </w:rPr>
              <w:t>)</w:t>
            </w:r>
          </w:p>
        </w:tc>
        <w:tc>
          <w:tcPr>
            <w:tcW w:w="992" w:type="dxa"/>
          </w:tcPr>
          <w:p w14:paraId="68478A01" w14:textId="7C49441A"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95.1%(</w:t>
            </w:r>
            <w:r w:rsidR="00C7480F" w:rsidRPr="00156CD9">
              <w:rPr>
                <w:rFonts w:ascii="Times New Roman" w:hAnsi="Times New Roman" w:cs="Times New Roman"/>
                <w:sz w:val="24"/>
                <w:szCs w:val="24"/>
              </w:rPr>
              <w:t>77</w:t>
            </w:r>
            <w:r>
              <w:rPr>
                <w:rFonts w:ascii="Times New Roman" w:hAnsi="Times New Roman" w:cs="Times New Roman"/>
                <w:sz w:val="24"/>
                <w:szCs w:val="24"/>
              </w:rPr>
              <w:t>)</w:t>
            </w:r>
          </w:p>
        </w:tc>
        <w:tc>
          <w:tcPr>
            <w:tcW w:w="709" w:type="dxa"/>
          </w:tcPr>
          <w:p w14:paraId="1B864A11" w14:textId="77777777" w:rsidR="00C7480F" w:rsidRPr="00156CD9" w:rsidRDefault="00C7480F" w:rsidP="00F74FB0">
            <w:pPr>
              <w:jc w:val="center"/>
              <w:rPr>
                <w:rFonts w:ascii="Times New Roman" w:hAnsi="Times New Roman" w:cs="Times New Roman"/>
                <w:sz w:val="24"/>
                <w:szCs w:val="24"/>
              </w:rPr>
            </w:pPr>
            <w:r w:rsidRPr="00156CD9">
              <w:rPr>
                <w:rFonts w:ascii="Times New Roman" w:hAnsi="Times New Roman" w:cs="Times New Roman"/>
                <w:sz w:val="24"/>
                <w:szCs w:val="24"/>
              </w:rPr>
              <w:t>2</w:t>
            </w:r>
          </w:p>
        </w:tc>
        <w:tc>
          <w:tcPr>
            <w:tcW w:w="992" w:type="dxa"/>
          </w:tcPr>
          <w:p w14:paraId="09D431C4" w14:textId="77777777" w:rsidR="00C7480F" w:rsidRPr="00156CD9" w:rsidRDefault="00C7480F" w:rsidP="00F74FB0">
            <w:pPr>
              <w:jc w:val="center"/>
              <w:rPr>
                <w:rFonts w:ascii="Times New Roman" w:hAnsi="Times New Roman" w:cs="Times New Roman"/>
                <w:sz w:val="24"/>
                <w:szCs w:val="24"/>
              </w:rPr>
            </w:pPr>
            <w:r w:rsidRPr="00156CD9">
              <w:rPr>
                <w:rFonts w:ascii="Times New Roman" w:hAnsi="Times New Roman" w:cs="Times New Roman"/>
                <w:sz w:val="24"/>
                <w:szCs w:val="24"/>
              </w:rPr>
              <w:t>46.574</w:t>
            </w:r>
          </w:p>
        </w:tc>
        <w:tc>
          <w:tcPr>
            <w:tcW w:w="792" w:type="dxa"/>
          </w:tcPr>
          <w:p w14:paraId="2C85D989" w14:textId="77777777" w:rsidR="00C7480F" w:rsidRPr="00156CD9" w:rsidRDefault="00C7480F" w:rsidP="00F74FB0">
            <w:pPr>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908" w:type="dxa"/>
          </w:tcPr>
          <w:p w14:paraId="25F7327D" w14:textId="77777777" w:rsidR="00C7480F" w:rsidRPr="00156CD9" w:rsidRDefault="00C7480F"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.191</w:t>
            </w:r>
          </w:p>
        </w:tc>
      </w:tr>
      <w:tr w:rsidR="00890140" w:rsidRPr="00156CD9" w14:paraId="7FA450C8" w14:textId="77777777" w:rsidTr="00890140">
        <w:tc>
          <w:tcPr>
            <w:tcW w:w="1696" w:type="dxa"/>
            <w:vMerge/>
          </w:tcPr>
          <w:p w14:paraId="4182D95F" w14:textId="77777777" w:rsidR="00C7480F" w:rsidRPr="00156CD9" w:rsidRDefault="00C7480F" w:rsidP="00B60CFC">
            <w:pPr>
              <w:jc w:val="both"/>
              <w:rPr>
                <w:rFonts w:ascii="Times New Roman" w:hAnsi="Times New Roman" w:cs="Times New Roman"/>
                <w:sz w:val="24"/>
                <w:szCs w:val="24"/>
              </w:rPr>
            </w:pPr>
          </w:p>
        </w:tc>
        <w:tc>
          <w:tcPr>
            <w:tcW w:w="2268" w:type="dxa"/>
          </w:tcPr>
          <w:p w14:paraId="53D9F17E"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2–5 km</w:t>
            </w:r>
          </w:p>
        </w:tc>
        <w:tc>
          <w:tcPr>
            <w:tcW w:w="993" w:type="dxa"/>
          </w:tcPr>
          <w:p w14:paraId="6B1262C3" w14:textId="5763B0B1"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1.8% (</w:t>
            </w:r>
            <w:r w:rsidR="00C7480F" w:rsidRPr="00156CD9">
              <w:rPr>
                <w:rFonts w:ascii="Times New Roman" w:hAnsi="Times New Roman" w:cs="Times New Roman"/>
                <w:sz w:val="24"/>
                <w:szCs w:val="24"/>
              </w:rPr>
              <w:t>2</w:t>
            </w:r>
            <w:r>
              <w:rPr>
                <w:rFonts w:ascii="Times New Roman" w:hAnsi="Times New Roman" w:cs="Times New Roman"/>
                <w:sz w:val="24"/>
                <w:szCs w:val="24"/>
              </w:rPr>
              <w:t>)</w:t>
            </w:r>
          </w:p>
        </w:tc>
        <w:tc>
          <w:tcPr>
            <w:tcW w:w="992" w:type="dxa"/>
          </w:tcPr>
          <w:p w14:paraId="3B63B393" w14:textId="5B337471"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98.1% (</w:t>
            </w:r>
            <w:r w:rsidR="00C7480F" w:rsidRPr="00156CD9">
              <w:rPr>
                <w:rFonts w:ascii="Times New Roman" w:hAnsi="Times New Roman" w:cs="Times New Roman"/>
                <w:sz w:val="24"/>
                <w:szCs w:val="24"/>
              </w:rPr>
              <w:t>109</w:t>
            </w:r>
            <w:r>
              <w:rPr>
                <w:rFonts w:ascii="Times New Roman" w:hAnsi="Times New Roman" w:cs="Times New Roman"/>
                <w:sz w:val="24"/>
                <w:szCs w:val="24"/>
              </w:rPr>
              <w:t>)</w:t>
            </w:r>
          </w:p>
        </w:tc>
        <w:tc>
          <w:tcPr>
            <w:tcW w:w="709" w:type="dxa"/>
          </w:tcPr>
          <w:p w14:paraId="7AECD50E" w14:textId="77777777" w:rsidR="00C7480F" w:rsidRPr="00156CD9" w:rsidRDefault="00C7480F" w:rsidP="00F74FB0">
            <w:pPr>
              <w:jc w:val="center"/>
              <w:rPr>
                <w:rFonts w:ascii="Times New Roman" w:hAnsi="Times New Roman" w:cs="Times New Roman"/>
                <w:sz w:val="24"/>
                <w:szCs w:val="24"/>
              </w:rPr>
            </w:pPr>
          </w:p>
        </w:tc>
        <w:tc>
          <w:tcPr>
            <w:tcW w:w="992" w:type="dxa"/>
          </w:tcPr>
          <w:p w14:paraId="6AB6854D" w14:textId="77777777" w:rsidR="00C7480F" w:rsidRPr="00156CD9" w:rsidRDefault="00C7480F" w:rsidP="00F74FB0">
            <w:pPr>
              <w:jc w:val="center"/>
              <w:rPr>
                <w:rFonts w:ascii="Times New Roman" w:hAnsi="Times New Roman" w:cs="Times New Roman"/>
                <w:sz w:val="24"/>
                <w:szCs w:val="24"/>
              </w:rPr>
            </w:pPr>
          </w:p>
        </w:tc>
        <w:tc>
          <w:tcPr>
            <w:tcW w:w="792" w:type="dxa"/>
          </w:tcPr>
          <w:p w14:paraId="7724C7B1" w14:textId="77777777" w:rsidR="00C7480F" w:rsidRPr="00156CD9" w:rsidRDefault="00C7480F" w:rsidP="00F74FB0">
            <w:pPr>
              <w:jc w:val="center"/>
              <w:rPr>
                <w:rFonts w:ascii="Times New Roman" w:hAnsi="Times New Roman" w:cs="Times New Roman"/>
                <w:sz w:val="24"/>
                <w:szCs w:val="24"/>
              </w:rPr>
            </w:pPr>
          </w:p>
        </w:tc>
        <w:tc>
          <w:tcPr>
            <w:tcW w:w="908" w:type="dxa"/>
          </w:tcPr>
          <w:p w14:paraId="590DC0A5" w14:textId="77777777" w:rsidR="00C7480F" w:rsidRPr="00156CD9" w:rsidRDefault="00C7480F"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.481</w:t>
            </w:r>
          </w:p>
        </w:tc>
      </w:tr>
      <w:tr w:rsidR="00890140" w:rsidRPr="00156CD9" w14:paraId="0679642A" w14:textId="77777777" w:rsidTr="00890140">
        <w:tc>
          <w:tcPr>
            <w:tcW w:w="1696" w:type="dxa"/>
            <w:vMerge/>
          </w:tcPr>
          <w:p w14:paraId="5DBBF680" w14:textId="77777777" w:rsidR="00C7480F" w:rsidRPr="00156CD9" w:rsidRDefault="00C7480F" w:rsidP="00B60CFC">
            <w:pPr>
              <w:jc w:val="both"/>
              <w:rPr>
                <w:rFonts w:ascii="Times New Roman" w:hAnsi="Times New Roman" w:cs="Times New Roman"/>
                <w:sz w:val="24"/>
                <w:szCs w:val="24"/>
              </w:rPr>
            </w:pPr>
          </w:p>
        </w:tc>
        <w:tc>
          <w:tcPr>
            <w:tcW w:w="2268" w:type="dxa"/>
          </w:tcPr>
          <w:p w14:paraId="0EEC716F"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More than 5 km</w:t>
            </w:r>
          </w:p>
        </w:tc>
        <w:tc>
          <w:tcPr>
            <w:tcW w:w="993" w:type="dxa"/>
          </w:tcPr>
          <w:p w14:paraId="1FC85624" w14:textId="630240F0"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55.5% (</w:t>
            </w:r>
            <w:r w:rsidR="00C7480F" w:rsidRPr="00156CD9">
              <w:rPr>
                <w:rFonts w:ascii="Times New Roman" w:hAnsi="Times New Roman" w:cs="Times New Roman"/>
                <w:sz w:val="24"/>
                <w:szCs w:val="24"/>
              </w:rPr>
              <w:t>5</w:t>
            </w:r>
            <w:r>
              <w:rPr>
                <w:rFonts w:ascii="Times New Roman" w:hAnsi="Times New Roman" w:cs="Times New Roman"/>
                <w:sz w:val="24"/>
                <w:szCs w:val="24"/>
              </w:rPr>
              <w:t>)</w:t>
            </w:r>
          </w:p>
        </w:tc>
        <w:tc>
          <w:tcPr>
            <w:tcW w:w="992" w:type="dxa"/>
          </w:tcPr>
          <w:p w14:paraId="639D5A00" w14:textId="61D99F72"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44.5%(</w:t>
            </w:r>
            <w:r w:rsidR="00C7480F" w:rsidRPr="00156CD9">
              <w:rPr>
                <w:rFonts w:ascii="Times New Roman" w:hAnsi="Times New Roman" w:cs="Times New Roman"/>
                <w:sz w:val="24"/>
                <w:szCs w:val="24"/>
              </w:rPr>
              <w:t>4</w:t>
            </w:r>
            <w:r>
              <w:rPr>
                <w:rFonts w:ascii="Times New Roman" w:hAnsi="Times New Roman" w:cs="Times New Roman"/>
                <w:sz w:val="24"/>
                <w:szCs w:val="24"/>
              </w:rPr>
              <w:t>)</w:t>
            </w:r>
          </w:p>
        </w:tc>
        <w:tc>
          <w:tcPr>
            <w:tcW w:w="709" w:type="dxa"/>
          </w:tcPr>
          <w:p w14:paraId="26929150" w14:textId="77777777" w:rsidR="00C7480F" w:rsidRPr="00156CD9" w:rsidRDefault="00C7480F" w:rsidP="00F74FB0">
            <w:pPr>
              <w:jc w:val="center"/>
              <w:rPr>
                <w:rFonts w:ascii="Times New Roman" w:hAnsi="Times New Roman" w:cs="Times New Roman"/>
                <w:sz w:val="24"/>
                <w:szCs w:val="24"/>
              </w:rPr>
            </w:pPr>
          </w:p>
        </w:tc>
        <w:tc>
          <w:tcPr>
            <w:tcW w:w="992" w:type="dxa"/>
          </w:tcPr>
          <w:p w14:paraId="5FDD5F56" w14:textId="77777777" w:rsidR="00C7480F" w:rsidRPr="00156CD9" w:rsidRDefault="00C7480F" w:rsidP="00F74FB0">
            <w:pPr>
              <w:jc w:val="center"/>
              <w:rPr>
                <w:rFonts w:ascii="Times New Roman" w:hAnsi="Times New Roman" w:cs="Times New Roman"/>
                <w:sz w:val="24"/>
                <w:szCs w:val="24"/>
              </w:rPr>
            </w:pPr>
          </w:p>
        </w:tc>
        <w:tc>
          <w:tcPr>
            <w:tcW w:w="792" w:type="dxa"/>
          </w:tcPr>
          <w:p w14:paraId="4A9F45B3" w14:textId="77777777" w:rsidR="00C7480F" w:rsidRPr="00156CD9" w:rsidRDefault="00C7480F" w:rsidP="00F74FB0">
            <w:pPr>
              <w:jc w:val="center"/>
              <w:rPr>
                <w:rFonts w:ascii="Times New Roman" w:hAnsi="Times New Roman" w:cs="Times New Roman"/>
                <w:sz w:val="24"/>
                <w:szCs w:val="24"/>
              </w:rPr>
            </w:pPr>
          </w:p>
        </w:tc>
        <w:tc>
          <w:tcPr>
            <w:tcW w:w="908" w:type="dxa"/>
          </w:tcPr>
          <w:p w14:paraId="5B41CD9A" w14:textId="77777777" w:rsidR="00C7480F" w:rsidRPr="00156CD9" w:rsidRDefault="00C7480F" w:rsidP="00F74FB0">
            <w:pPr>
              <w:jc w:val="center"/>
              <w:rPr>
                <w:rFonts w:ascii="Times New Roman" w:hAnsi="Times New Roman" w:cs="Times New Roman"/>
                <w:sz w:val="24"/>
                <w:szCs w:val="24"/>
              </w:rPr>
            </w:pPr>
          </w:p>
        </w:tc>
      </w:tr>
      <w:tr w:rsidR="00890140" w:rsidRPr="00156CD9" w14:paraId="4E7A676E" w14:textId="77777777" w:rsidTr="00890140">
        <w:tc>
          <w:tcPr>
            <w:tcW w:w="1696" w:type="dxa"/>
            <w:vMerge w:val="restart"/>
          </w:tcPr>
          <w:p w14:paraId="7A046337" w14:textId="77777777" w:rsidR="00C7480F" w:rsidRPr="00156CD9" w:rsidRDefault="00C7480F"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How long does it take to reach the immunization site?</w:t>
            </w:r>
          </w:p>
        </w:tc>
        <w:tc>
          <w:tcPr>
            <w:tcW w:w="2268" w:type="dxa"/>
          </w:tcPr>
          <w:p w14:paraId="155F2B85"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Less than 30 minutes</w:t>
            </w:r>
          </w:p>
        </w:tc>
        <w:tc>
          <w:tcPr>
            <w:tcW w:w="993" w:type="dxa"/>
          </w:tcPr>
          <w:p w14:paraId="7F154E93" w14:textId="06EA8B31"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2.4% (</w:t>
            </w:r>
            <w:r w:rsidR="00C7480F" w:rsidRPr="00156CD9">
              <w:rPr>
                <w:rFonts w:ascii="Times New Roman" w:hAnsi="Times New Roman" w:cs="Times New Roman"/>
                <w:sz w:val="24"/>
                <w:szCs w:val="24"/>
              </w:rPr>
              <w:t>2</w:t>
            </w:r>
            <w:r>
              <w:rPr>
                <w:rFonts w:ascii="Times New Roman" w:hAnsi="Times New Roman" w:cs="Times New Roman"/>
                <w:sz w:val="24"/>
                <w:szCs w:val="24"/>
              </w:rPr>
              <w:t>)</w:t>
            </w:r>
          </w:p>
        </w:tc>
        <w:tc>
          <w:tcPr>
            <w:tcW w:w="992" w:type="dxa"/>
          </w:tcPr>
          <w:p w14:paraId="6F74659F" w14:textId="386584D8"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97.6%(</w:t>
            </w:r>
            <w:r w:rsidR="00C7480F" w:rsidRPr="00156CD9">
              <w:rPr>
                <w:rFonts w:ascii="Times New Roman" w:hAnsi="Times New Roman" w:cs="Times New Roman"/>
                <w:sz w:val="24"/>
                <w:szCs w:val="24"/>
              </w:rPr>
              <w:t>80</w:t>
            </w:r>
            <w:r>
              <w:rPr>
                <w:rFonts w:ascii="Times New Roman" w:hAnsi="Times New Roman" w:cs="Times New Roman"/>
                <w:sz w:val="24"/>
                <w:szCs w:val="24"/>
              </w:rPr>
              <w:t>)</w:t>
            </w:r>
          </w:p>
        </w:tc>
        <w:tc>
          <w:tcPr>
            <w:tcW w:w="709" w:type="dxa"/>
          </w:tcPr>
          <w:p w14:paraId="5F6B674A" w14:textId="77777777" w:rsidR="00C7480F" w:rsidRPr="00156CD9" w:rsidRDefault="00C7480F" w:rsidP="00F74FB0">
            <w:pPr>
              <w:jc w:val="center"/>
              <w:rPr>
                <w:rFonts w:ascii="Times New Roman" w:hAnsi="Times New Roman" w:cs="Times New Roman"/>
                <w:sz w:val="24"/>
                <w:szCs w:val="24"/>
              </w:rPr>
            </w:pPr>
            <w:r w:rsidRPr="00156CD9">
              <w:rPr>
                <w:rFonts w:ascii="Times New Roman" w:hAnsi="Times New Roman" w:cs="Times New Roman"/>
                <w:sz w:val="24"/>
                <w:szCs w:val="24"/>
              </w:rPr>
              <w:t>2</w:t>
            </w:r>
          </w:p>
        </w:tc>
        <w:tc>
          <w:tcPr>
            <w:tcW w:w="992" w:type="dxa"/>
          </w:tcPr>
          <w:p w14:paraId="36667CB1" w14:textId="77777777" w:rsidR="00C7480F" w:rsidRPr="00156CD9" w:rsidRDefault="00C7480F" w:rsidP="00F74FB0">
            <w:pPr>
              <w:jc w:val="center"/>
              <w:rPr>
                <w:rFonts w:ascii="Times New Roman" w:hAnsi="Times New Roman" w:cs="Times New Roman"/>
                <w:sz w:val="24"/>
                <w:szCs w:val="24"/>
              </w:rPr>
            </w:pPr>
            <w:r w:rsidRPr="00156CD9">
              <w:rPr>
                <w:rFonts w:ascii="Times New Roman" w:hAnsi="Times New Roman" w:cs="Times New Roman"/>
                <w:sz w:val="24"/>
                <w:szCs w:val="24"/>
              </w:rPr>
              <w:t>23.409</w:t>
            </w:r>
          </w:p>
        </w:tc>
        <w:tc>
          <w:tcPr>
            <w:tcW w:w="792" w:type="dxa"/>
          </w:tcPr>
          <w:p w14:paraId="14CA60FA" w14:textId="77777777" w:rsidR="00C7480F" w:rsidRPr="00156CD9" w:rsidRDefault="00C7480F" w:rsidP="00F74FB0">
            <w:pPr>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908" w:type="dxa"/>
          </w:tcPr>
          <w:p w14:paraId="32F72605" w14:textId="77777777" w:rsidR="00C7480F" w:rsidRPr="00156CD9" w:rsidRDefault="00C7480F"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.201</w:t>
            </w:r>
          </w:p>
        </w:tc>
      </w:tr>
      <w:tr w:rsidR="00890140" w:rsidRPr="00156CD9" w14:paraId="5C134C48" w14:textId="77777777" w:rsidTr="00890140">
        <w:tc>
          <w:tcPr>
            <w:tcW w:w="1696" w:type="dxa"/>
            <w:vMerge/>
          </w:tcPr>
          <w:p w14:paraId="48DECA17" w14:textId="77777777" w:rsidR="00C7480F" w:rsidRPr="00156CD9" w:rsidRDefault="00C7480F" w:rsidP="00B60CFC">
            <w:pPr>
              <w:jc w:val="both"/>
              <w:rPr>
                <w:rFonts w:ascii="Times New Roman" w:hAnsi="Times New Roman" w:cs="Times New Roman"/>
                <w:sz w:val="24"/>
                <w:szCs w:val="24"/>
              </w:rPr>
            </w:pPr>
          </w:p>
        </w:tc>
        <w:tc>
          <w:tcPr>
            <w:tcW w:w="2268" w:type="dxa"/>
          </w:tcPr>
          <w:p w14:paraId="25FBBA1C"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30 minutes–1 hour</w:t>
            </w:r>
          </w:p>
        </w:tc>
        <w:tc>
          <w:tcPr>
            <w:tcW w:w="993" w:type="dxa"/>
          </w:tcPr>
          <w:p w14:paraId="451F9146" w14:textId="644143ED"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1.9% (</w:t>
            </w:r>
            <w:r w:rsidR="00C7480F" w:rsidRPr="00156CD9">
              <w:rPr>
                <w:rFonts w:ascii="Times New Roman" w:hAnsi="Times New Roman" w:cs="Times New Roman"/>
                <w:sz w:val="24"/>
                <w:szCs w:val="24"/>
              </w:rPr>
              <w:t>2</w:t>
            </w:r>
            <w:r>
              <w:rPr>
                <w:rFonts w:ascii="Times New Roman" w:hAnsi="Times New Roman" w:cs="Times New Roman"/>
                <w:sz w:val="24"/>
                <w:szCs w:val="24"/>
              </w:rPr>
              <w:t>)</w:t>
            </w:r>
          </w:p>
        </w:tc>
        <w:tc>
          <w:tcPr>
            <w:tcW w:w="992" w:type="dxa"/>
          </w:tcPr>
          <w:p w14:paraId="671500BF" w14:textId="0D6A5FAC"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98.1% (</w:t>
            </w:r>
            <w:r w:rsidR="00C7480F" w:rsidRPr="00156CD9">
              <w:rPr>
                <w:rFonts w:ascii="Times New Roman" w:hAnsi="Times New Roman" w:cs="Times New Roman"/>
                <w:sz w:val="24"/>
                <w:szCs w:val="24"/>
              </w:rPr>
              <w:t>100</w:t>
            </w:r>
            <w:r>
              <w:rPr>
                <w:rFonts w:ascii="Times New Roman" w:hAnsi="Times New Roman" w:cs="Times New Roman"/>
                <w:sz w:val="24"/>
                <w:szCs w:val="24"/>
              </w:rPr>
              <w:t>)</w:t>
            </w:r>
          </w:p>
        </w:tc>
        <w:tc>
          <w:tcPr>
            <w:tcW w:w="709" w:type="dxa"/>
          </w:tcPr>
          <w:p w14:paraId="2BCA82D1" w14:textId="77777777" w:rsidR="00C7480F" w:rsidRPr="00156CD9" w:rsidRDefault="00C7480F" w:rsidP="00F74FB0">
            <w:pPr>
              <w:jc w:val="center"/>
              <w:rPr>
                <w:rFonts w:ascii="Times New Roman" w:hAnsi="Times New Roman" w:cs="Times New Roman"/>
                <w:sz w:val="24"/>
                <w:szCs w:val="24"/>
              </w:rPr>
            </w:pPr>
          </w:p>
        </w:tc>
        <w:tc>
          <w:tcPr>
            <w:tcW w:w="992" w:type="dxa"/>
          </w:tcPr>
          <w:p w14:paraId="13096731" w14:textId="77777777" w:rsidR="00C7480F" w:rsidRPr="00156CD9" w:rsidRDefault="00C7480F" w:rsidP="00F74FB0">
            <w:pPr>
              <w:jc w:val="center"/>
              <w:rPr>
                <w:rFonts w:ascii="Times New Roman" w:hAnsi="Times New Roman" w:cs="Times New Roman"/>
                <w:sz w:val="24"/>
                <w:szCs w:val="24"/>
              </w:rPr>
            </w:pPr>
          </w:p>
        </w:tc>
        <w:tc>
          <w:tcPr>
            <w:tcW w:w="792" w:type="dxa"/>
          </w:tcPr>
          <w:p w14:paraId="6AC87F6A" w14:textId="77777777" w:rsidR="00C7480F" w:rsidRPr="00156CD9" w:rsidRDefault="00C7480F" w:rsidP="00F74FB0">
            <w:pPr>
              <w:jc w:val="center"/>
              <w:rPr>
                <w:rFonts w:ascii="Times New Roman" w:hAnsi="Times New Roman" w:cs="Times New Roman"/>
                <w:sz w:val="24"/>
                <w:szCs w:val="24"/>
              </w:rPr>
            </w:pPr>
          </w:p>
        </w:tc>
        <w:tc>
          <w:tcPr>
            <w:tcW w:w="908" w:type="dxa"/>
          </w:tcPr>
          <w:p w14:paraId="28CD03B0" w14:textId="77777777" w:rsidR="00C7480F" w:rsidRPr="00156CD9" w:rsidRDefault="00C7480F" w:rsidP="00F74FB0">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.344</w:t>
            </w:r>
          </w:p>
        </w:tc>
      </w:tr>
      <w:tr w:rsidR="00890140" w:rsidRPr="00156CD9" w14:paraId="0BE0C17A" w14:textId="77777777" w:rsidTr="00890140">
        <w:tc>
          <w:tcPr>
            <w:tcW w:w="1696" w:type="dxa"/>
            <w:vMerge/>
          </w:tcPr>
          <w:p w14:paraId="6B623BB9" w14:textId="77777777" w:rsidR="00C7480F" w:rsidRPr="00156CD9" w:rsidRDefault="00C7480F" w:rsidP="00B60CFC">
            <w:pPr>
              <w:jc w:val="both"/>
              <w:rPr>
                <w:rFonts w:ascii="Times New Roman" w:hAnsi="Times New Roman" w:cs="Times New Roman"/>
                <w:sz w:val="24"/>
                <w:szCs w:val="24"/>
              </w:rPr>
            </w:pPr>
          </w:p>
        </w:tc>
        <w:tc>
          <w:tcPr>
            <w:tcW w:w="2268" w:type="dxa"/>
          </w:tcPr>
          <w:p w14:paraId="329A12AE"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More than 1 hour</w:t>
            </w:r>
          </w:p>
        </w:tc>
        <w:tc>
          <w:tcPr>
            <w:tcW w:w="993" w:type="dxa"/>
          </w:tcPr>
          <w:p w14:paraId="5BCB7B65" w14:textId="4FCD5FA6"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28.6%(</w:t>
            </w:r>
            <w:r w:rsidR="00C7480F" w:rsidRPr="00156CD9">
              <w:rPr>
                <w:rFonts w:ascii="Times New Roman" w:hAnsi="Times New Roman" w:cs="Times New Roman"/>
                <w:sz w:val="24"/>
                <w:szCs w:val="24"/>
              </w:rPr>
              <w:t>4</w:t>
            </w:r>
            <w:r>
              <w:rPr>
                <w:rFonts w:ascii="Times New Roman" w:hAnsi="Times New Roman" w:cs="Times New Roman"/>
                <w:sz w:val="24"/>
                <w:szCs w:val="24"/>
              </w:rPr>
              <w:t>)</w:t>
            </w:r>
          </w:p>
        </w:tc>
        <w:tc>
          <w:tcPr>
            <w:tcW w:w="992" w:type="dxa"/>
          </w:tcPr>
          <w:p w14:paraId="2849B7E5" w14:textId="3AB6FB40" w:rsidR="00C7480F" w:rsidRPr="00156CD9" w:rsidRDefault="00C31DE1" w:rsidP="00F74FB0">
            <w:pPr>
              <w:ind w:left="60" w:right="60"/>
              <w:jc w:val="center"/>
              <w:rPr>
                <w:rFonts w:ascii="Times New Roman" w:hAnsi="Times New Roman" w:cs="Times New Roman"/>
                <w:sz w:val="24"/>
                <w:szCs w:val="24"/>
              </w:rPr>
            </w:pPr>
            <w:r>
              <w:rPr>
                <w:rFonts w:ascii="Times New Roman" w:hAnsi="Times New Roman" w:cs="Times New Roman"/>
                <w:sz w:val="24"/>
                <w:szCs w:val="24"/>
              </w:rPr>
              <w:t>71.4%(</w:t>
            </w:r>
            <w:r w:rsidR="00C7480F" w:rsidRPr="00156CD9">
              <w:rPr>
                <w:rFonts w:ascii="Times New Roman" w:hAnsi="Times New Roman" w:cs="Times New Roman"/>
                <w:sz w:val="24"/>
                <w:szCs w:val="24"/>
              </w:rPr>
              <w:t>10</w:t>
            </w:r>
            <w:r>
              <w:rPr>
                <w:rFonts w:ascii="Times New Roman" w:hAnsi="Times New Roman" w:cs="Times New Roman"/>
                <w:sz w:val="24"/>
                <w:szCs w:val="24"/>
              </w:rPr>
              <w:t>)</w:t>
            </w:r>
          </w:p>
        </w:tc>
        <w:tc>
          <w:tcPr>
            <w:tcW w:w="709" w:type="dxa"/>
          </w:tcPr>
          <w:p w14:paraId="2F209CBE" w14:textId="77777777" w:rsidR="00C7480F" w:rsidRPr="00156CD9" w:rsidRDefault="00C7480F" w:rsidP="00F74FB0">
            <w:pPr>
              <w:jc w:val="center"/>
              <w:rPr>
                <w:rFonts w:ascii="Times New Roman" w:hAnsi="Times New Roman" w:cs="Times New Roman"/>
                <w:sz w:val="24"/>
                <w:szCs w:val="24"/>
              </w:rPr>
            </w:pPr>
          </w:p>
        </w:tc>
        <w:tc>
          <w:tcPr>
            <w:tcW w:w="992" w:type="dxa"/>
          </w:tcPr>
          <w:p w14:paraId="1129E29E" w14:textId="77777777" w:rsidR="00C7480F" w:rsidRPr="00156CD9" w:rsidRDefault="00C7480F" w:rsidP="00F74FB0">
            <w:pPr>
              <w:jc w:val="center"/>
              <w:rPr>
                <w:rFonts w:ascii="Times New Roman" w:hAnsi="Times New Roman" w:cs="Times New Roman"/>
                <w:sz w:val="24"/>
                <w:szCs w:val="24"/>
              </w:rPr>
            </w:pPr>
          </w:p>
        </w:tc>
        <w:tc>
          <w:tcPr>
            <w:tcW w:w="792" w:type="dxa"/>
          </w:tcPr>
          <w:p w14:paraId="0EE786B7" w14:textId="77777777" w:rsidR="00C7480F" w:rsidRPr="00156CD9" w:rsidRDefault="00C7480F" w:rsidP="00F74FB0">
            <w:pPr>
              <w:jc w:val="center"/>
              <w:rPr>
                <w:rFonts w:ascii="Times New Roman" w:hAnsi="Times New Roman" w:cs="Times New Roman"/>
                <w:sz w:val="24"/>
                <w:szCs w:val="24"/>
              </w:rPr>
            </w:pPr>
          </w:p>
        </w:tc>
        <w:tc>
          <w:tcPr>
            <w:tcW w:w="908" w:type="dxa"/>
          </w:tcPr>
          <w:p w14:paraId="6327E09D" w14:textId="77777777" w:rsidR="00C7480F" w:rsidRPr="00156CD9" w:rsidRDefault="00C7480F" w:rsidP="00F74FB0">
            <w:pPr>
              <w:jc w:val="center"/>
              <w:rPr>
                <w:rFonts w:ascii="Times New Roman" w:hAnsi="Times New Roman" w:cs="Times New Roman"/>
                <w:sz w:val="24"/>
                <w:szCs w:val="24"/>
              </w:rPr>
            </w:pPr>
          </w:p>
        </w:tc>
      </w:tr>
    </w:tbl>
    <w:p w14:paraId="37E16B05" w14:textId="77777777" w:rsidR="00B60CFC" w:rsidRDefault="00B60CFC" w:rsidP="00B60CFC">
      <w:pPr>
        <w:spacing w:line="360" w:lineRule="auto"/>
        <w:jc w:val="both"/>
        <w:rPr>
          <w:rFonts w:ascii="Times New Roman" w:hAnsi="Times New Roman" w:cs="Times New Roman"/>
          <w:sz w:val="24"/>
          <w:szCs w:val="24"/>
        </w:rPr>
      </w:pPr>
    </w:p>
    <w:p w14:paraId="73CF3BA0" w14:textId="22334467" w:rsidR="006C41D9" w:rsidRDefault="006C41D9" w:rsidP="00B60CFC">
      <w:pPr>
        <w:pStyle w:val="ListParagraph"/>
        <w:numPr>
          <w:ilvl w:val="0"/>
          <w:numId w:val="19"/>
        </w:numPr>
        <w:spacing w:line="360" w:lineRule="auto"/>
        <w:jc w:val="both"/>
        <w:rPr>
          <w:rFonts w:ascii="Times New Roman" w:hAnsi="Times New Roman" w:cs="Times New Roman"/>
          <w:b/>
          <w:sz w:val="24"/>
          <w:szCs w:val="24"/>
        </w:rPr>
      </w:pPr>
      <w:r w:rsidRPr="006C41D9">
        <w:rPr>
          <w:rFonts w:ascii="Times New Roman" w:hAnsi="Times New Roman" w:cs="Times New Roman"/>
          <w:b/>
          <w:sz w:val="24"/>
          <w:szCs w:val="24"/>
        </w:rPr>
        <w:t>Tests of association and Effect size (Completion of 2YL immunization)</w:t>
      </w:r>
    </w:p>
    <w:p w14:paraId="45E5DC6D" w14:textId="33945A7D" w:rsidR="00E50449" w:rsidRDefault="006C41D9" w:rsidP="00732497">
      <w:pPr>
        <w:spacing w:line="360" w:lineRule="auto"/>
        <w:jc w:val="both"/>
        <w:rPr>
          <w:rFonts w:ascii="Times New Roman" w:hAnsi="Times New Roman" w:cs="Times New Roman"/>
          <w:sz w:val="24"/>
          <w:szCs w:val="24"/>
        </w:rPr>
      </w:pPr>
      <w:r w:rsidRPr="006C41D9">
        <w:rPr>
          <w:rFonts w:ascii="Times New Roman" w:hAnsi="Times New Roman" w:cs="Times New Roman"/>
          <w:sz w:val="24"/>
          <w:szCs w:val="24"/>
        </w:rPr>
        <w:t xml:space="preserve">The results showed that availability of immunization services was significantly associated with 2YL immunization completion (X² = 238.606, p = 0.000). The Eta value (0.452) indicates a strong association, implying that the availability of immunization services greatly influences completion of second-year immunizations. The distance to the nearest health facility was also found to be statistically significant (X² = 12.993, p = 0.011). The Eta coefficient (0.091), though relatively small, indicates a weak-to-moderate relationship. The time required to reach an immunization site shows a significant relationship with 2YL immunization completion (X² = 17.899, p = 0.001). The Eta coefficient (0.240) reflects a moderate association. Furthermore, gender differences in </w:t>
      </w:r>
      <w:r w:rsidR="00732497" w:rsidRPr="006C41D9">
        <w:rPr>
          <w:rFonts w:ascii="Times New Roman" w:hAnsi="Times New Roman" w:cs="Times New Roman"/>
          <w:sz w:val="24"/>
          <w:szCs w:val="24"/>
        </w:rPr>
        <w:t xml:space="preserve">completion rates were not statistically significant (X² = 5.189, p = 0.075). Educational level demonstrated a highly significant relationship with 2YL immunization completion (X² = 63.275, p = 0.000). Respondents with tertiary education had the highest completion rate. The Eta coefficient (0.261) indicates a moderate relationship, suggesting that education plays a crucial role in ensuring immunization completion. The relationship between the respondent and the child was not significantly associated with immunization completion (X² = 7.883, p = 0.247). Household income level showed a highly significant relationship with completion of 2YL immunization (X² </w:t>
      </w:r>
      <w:r w:rsidR="00732497" w:rsidRPr="006C41D9">
        <w:rPr>
          <w:rFonts w:ascii="Times New Roman" w:hAnsi="Times New Roman" w:cs="Times New Roman"/>
          <w:sz w:val="24"/>
          <w:szCs w:val="24"/>
        </w:rPr>
        <w:lastRenderedPageBreak/>
        <w:t xml:space="preserve">= 67.052, p = 0.000). Respondents from medium-income households had much higher completion rates compared to those from low-income households. The Eta value (0.334) indicates a strong association. Also, awareness of the need for immunization in the second year of life shows the strongest and most significant relationship with completion (X² = 279.417, p = 0.000). Respondents who were aware that a child requires immunization between 12–24 months recorded very high completion rates. The Eta value (4.25) signifies an extremely strong association. </w:t>
      </w:r>
      <w:r w:rsidR="002C0DC9">
        <w:rPr>
          <w:rFonts w:ascii="Times New Roman" w:hAnsi="Times New Roman" w:cs="Times New Roman"/>
          <w:sz w:val="24"/>
          <w:szCs w:val="24"/>
        </w:rPr>
        <w:t>See table 7</w:t>
      </w:r>
      <w:r w:rsidR="00732497">
        <w:rPr>
          <w:rFonts w:ascii="Times New Roman" w:hAnsi="Times New Roman" w:cs="Times New Roman"/>
          <w:sz w:val="24"/>
          <w:szCs w:val="24"/>
        </w:rPr>
        <w:t>.</w:t>
      </w:r>
    </w:p>
    <w:p w14:paraId="5D603A0F" w14:textId="77777777" w:rsidR="00B23632" w:rsidRDefault="00B23632" w:rsidP="00732497">
      <w:pPr>
        <w:spacing w:line="360" w:lineRule="auto"/>
        <w:jc w:val="both"/>
        <w:rPr>
          <w:rFonts w:ascii="Times New Roman" w:hAnsi="Times New Roman" w:cs="Times New Roman"/>
          <w:sz w:val="24"/>
          <w:szCs w:val="24"/>
        </w:rPr>
      </w:pPr>
    </w:p>
    <w:p w14:paraId="030EDB17" w14:textId="1A9CB491" w:rsidR="00732497" w:rsidRDefault="00732497" w:rsidP="00732497">
      <w:pPr>
        <w:spacing w:line="360" w:lineRule="auto"/>
        <w:jc w:val="both"/>
        <w:rPr>
          <w:rFonts w:ascii="Times New Roman" w:hAnsi="Times New Roman" w:cs="Times New Roman"/>
          <w:sz w:val="24"/>
          <w:szCs w:val="24"/>
        </w:rPr>
      </w:pPr>
      <w:r w:rsidRPr="00156CD9">
        <w:rPr>
          <w:rFonts w:ascii="Times New Roman" w:hAnsi="Times New Roman" w:cs="Times New Roman"/>
          <w:sz w:val="24"/>
          <w:szCs w:val="24"/>
        </w:rPr>
        <w:t xml:space="preserve">Table </w:t>
      </w:r>
      <w:r w:rsidR="002C0DC9">
        <w:rPr>
          <w:rFonts w:ascii="Times New Roman" w:hAnsi="Times New Roman" w:cs="Times New Roman"/>
          <w:sz w:val="24"/>
          <w:szCs w:val="24"/>
        </w:rPr>
        <w:t>7</w:t>
      </w:r>
      <w:r>
        <w:rPr>
          <w:rFonts w:ascii="Times New Roman" w:hAnsi="Times New Roman" w:cs="Times New Roman"/>
          <w:sz w:val="24"/>
          <w:szCs w:val="24"/>
        </w:rPr>
        <w:t xml:space="preserve">: </w:t>
      </w:r>
      <w:r w:rsidRPr="00156CD9">
        <w:rPr>
          <w:rFonts w:ascii="Times New Roman" w:hAnsi="Times New Roman" w:cs="Times New Roman"/>
          <w:sz w:val="24"/>
          <w:szCs w:val="24"/>
        </w:rPr>
        <w:t xml:space="preserve">Chi-square </w:t>
      </w:r>
      <w:r>
        <w:rPr>
          <w:rFonts w:ascii="Times New Roman" w:hAnsi="Times New Roman" w:cs="Times New Roman"/>
          <w:sz w:val="24"/>
          <w:szCs w:val="24"/>
        </w:rPr>
        <w:t xml:space="preserve">and Eta-square statistic </w:t>
      </w:r>
      <w:r w:rsidRPr="00156CD9">
        <w:rPr>
          <w:rFonts w:ascii="Times New Roman" w:hAnsi="Times New Roman" w:cs="Times New Roman"/>
          <w:sz w:val="24"/>
          <w:szCs w:val="24"/>
        </w:rPr>
        <w:t xml:space="preserve">analysis showing factors associated with completion of second year of life immunization </w:t>
      </w:r>
    </w:p>
    <w:tbl>
      <w:tblPr>
        <w:tblStyle w:val="TableGrid"/>
        <w:tblW w:w="0" w:type="auto"/>
        <w:tblInd w:w="-714" w:type="dxa"/>
        <w:tblLook w:val="04A0" w:firstRow="1" w:lastRow="0" w:firstColumn="1" w:lastColumn="0" w:noHBand="0" w:noVBand="1"/>
      </w:tblPr>
      <w:tblGrid>
        <w:gridCol w:w="2410"/>
        <w:gridCol w:w="1754"/>
        <w:gridCol w:w="1068"/>
        <w:gridCol w:w="843"/>
        <w:gridCol w:w="776"/>
        <w:gridCol w:w="589"/>
        <w:gridCol w:w="996"/>
        <w:gridCol w:w="837"/>
        <w:gridCol w:w="791"/>
      </w:tblGrid>
      <w:tr w:rsidR="008F0F95" w:rsidRPr="00156CD9" w14:paraId="7EA00E50" w14:textId="77777777" w:rsidTr="00106FA4">
        <w:tc>
          <w:tcPr>
            <w:tcW w:w="4164" w:type="dxa"/>
            <w:gridSpan w:val="2"/>
          </w:tcPr>
          <w:p w14:paraId="70708E5C" w14:textId="60C61013" w:rsidR="008F0F95" w:rsidRPr="00156CD9" w:rsidRDefault="008F0F95" w:rsidP="008F0F95">
            <w:pPr>
              <w:jc w:val="center"/>
              <w:rPr>
                <w:rFonts w:ascii="Times New Roman" w:hAnsi="Times New Roman" w:cs="Times New Roman"/>
                <w:b/>
                <w:sz w:val="24"/>
                <w:szCs w:val="24"/>
              </w:rPr>
            </w:pPr>
            <w:r>
              <w:rPr>
                <w:rFonts w:ascii="Times New Roman" w:hAnsi="Times New Roman" w:cs="Times New Roman"/>
                <w:b/>
                <w:sz w:val="24"/>
                <w:szCs w:val="24"/>
              </w:rPr>
              <w:t>Variable (Completion of 2YL immunization)</w:t>
            </w:r>
          </w:p>
        </w:tc>
        <w:tc>
          <w:tcPr>
            <w:tcW w:w="2687" w:type="dxa"/>
            <w:gridSpan w:val="3"/>
          </w:tcPr>
          <w:p w14:paraId="3F811F2B" w14:textId="36ACB57A" w:rsidR="008F0F95" w:rsidRPr="00156CD9" w:rsidRDefault="008F0F95" w:rsidP="008F0F95">
            <w:pPr>
              <w:jc w:val="center"/>
              <w:rPr>
                <w:rFonts w:ascii="Times New Roman" w:hAnsi="Times New Roman" w:cs="Times New Roman"/>
                <w:b/>
                <w:sz w:val="24"/>
                <w:szCs w:val="24"/>
              </w:rPr>
            </w:pPr>
            <w:r>
              <w:rPr>
                <w:rFonts w:ascii="Times New Roman" w:hAnsi="Times New Roman" w:cs="Times New Roman"/>
                <w:b/>
                <w:sz w:val="24"/>
                <w:szCs w:val="24"/>
              </w:rPr>
              <w:t>Frequency (Count)</w:t>
            </w:r>
          </w:p>
        </w:tc>
        <w:tc>
          <w:tcPr>
            <w:tcW w:w="3213" w:type="dxa"/>
            <w:gridSpan w:val="4"/>
          </w:tcPr>
          <w:p w14:paraId="64A3E549" w14:textId="0B07ABBF" w:rsidR="008F0F95" w:rsidRPr="00156CD9" w:rsidRDefault="008F0F95" w:rsidP="008F0F95">
            <w:pPr>
              <w:jc w:val="center"/>
              <w:rPr>
                <w:rFonts w:ascii="Times New Roman" w:hAnsi="Times New Roman" w:cs="Times New Roman"/>
                <w:b/>
                <w:sz w:val="24"/>
                <w:szCs w:val="24"/>
              </w:rPr>
            </w:pPr>
            <w:r>
              <w:rPr>
                <w:rFonts w:ascii="Times New Roman" w:hAnsi="Times New Roman" w:cs="Times New Roman"/>
                <w:b/>
                <w:sz w:val="24"/>
                <w:szCs w:val="24"/>
              </w:rPr>
              <w:t>Statistical Parameters</w:t>
            </w:r>
          </w:p>
        </w:tc>
      </w:tr>
      <w:tr w:rsidR="008F0F95" w:rsidRPr="00156CD9" w14:paraId="009873CC" w14:textId="77777777" w:rsidTr="00C7480F">
        <w:tc>
          <w:tcPr>
            <w:tcW w:w="2410" w:type="dxa"/>
          </w:tcPr>
          <w:p w14:paraId="5D52095F" w14:textId="63C0A0D6" w:rsidR="008F0F95" w:rsidRPr="00156CD9" w:rsidRDefault="008F0F95" w:rsidP="00C7480F">
            <w:pPr>
              <w:jc w:val="center"/>
              <w:rPr>
                <w:rFonts w:ascii="Times New Roman" w:hAnsi="Times New Roman" w:cs="Times New Roman"/>
                <w:b/>
                <w:sz w:val="24"/>
                <w:szCs w:val="24"/>
              </w:rPr>
            </w:pPr>
            <w:r>
              <w:rPr>
                <w:rFonts w:ascii="Times New Roman" w:hAnsi="Times New Roman" w:cs="Times New Roman"/>
                <w:b/>
                <w:sz w:val="24"/>
                <w:szCs w:val="24"/>
              </w:rPr>
              <w:t>Factor</w:t>
            </w:r>
          </w:p>
        </w:tc>
        <w:tc>
          <w:tcPr>
            <w:tcW w:w="1754" w:type="dxa"/>
          </w:tcPr>
          <w:p w14:paraId="2F3E7A86" w14:textId="231AEDA4" w:rsidR="008F0F95" w:rsidRPr="00156CD9" w:rsidRDefault="008F0F95" w:rsidP="00C7480F">
            <w:pPr>
              <w:jc w:val="center"/>
              <w:rPr>
                <w:rFonts w:ascii="Times New Roman" w:hAnsi="Times New Roman" w:cs="Times New Roman"/>
                <w:b/>
                <w:sz w:val="24"/>
                <w:szCs w:val="24"/>
              </w:rPr>
            </w:pPr>
            <w:r>
              <w:rPr>
                <w:rFonts w:ascii="Times New Roman" w:hAnsi="Times New Roman" w:cs="Times New Roman"/>
                <w:b/>
                <w:sz w:val="24"/>
                <w:szCs w:val="24"/>
              </w:rPr>
              <w:t>Characteristic</w:t>
            </w:r>
          </w:p>
        </w:tc>
        <w:tc>
          <w:tcPr>
            <w:tcW w:w="1068" w:type="dxa"/>
          </w:tcPr>
          <w:p w14:paraId="0AEF2792" w14:textId="7909168C" w:rsidR="008F0F95" w:rsidRPr="00156CD9" w:rsidRDefault="008F0F95" w:rsidP="00C7480F">
            <w:pPr>
              <w:jc w:val="center"/>
              <w:rPr>
                <w:rFonts w:ascii="Times New Roman" w:hAnsi="Times New Roman" w:cs="Times New Roman"/>
                <w:b/>
                <w:sz w:val="24"/>
                <w:szCs w:val="24"/>
              </w:rPr>
            </w:pPr>
            <w:r w:rsidRPr="00156CD9">
              <w:rPr>
                <w:rFonts w:ascii="Times New Roman" w:hAnsi="Times New Roman" w:cs="Times New Roman"/>
                <w:b/>
                <w:sz w:val="24"/>
                <w:szCs w:val="24"/>
              </w:rPr>
              <w:t>Yes</w:t>
            </w:r>
          </w:p>
        </w:tc>
        <w:tc>
          <w:tcPr>
            <w:tcW w:w="843" w:type="dxa"/>
          </w:tcPr>
          <w:p w14:paraId="13CDCB0F" w14:textId="77777777" w:rsidR="008F0F95" w:rsidRPr="00156CD9" w:rsidRDefault="008F0F95" w:rsidP="00C7480F">
            <w:pPr>
              <w:jc w:val="center"/>
              <w:rPr>
                <w:rFonts w:ascii="Times New Roman" w:hAnsi="Times New Roman" w:cs="Times New Roman"/>
                <w:b/>
                <w:sz w:val="24"/>
                <w:szCs w:val="24"/>
              </w:rPr>
            </w:pPr>
            <w:r w:rsidRPr="00156CD9">
              <w:rPr>
                <w:rFonts w:ascii="Times New Roman" w:hAnsi="Times New Roman" w:cs="Times New Roman"/>
                <w:b/>
                <w:sz w:val="24"/>
                <w:szCs w:val="24"/>
              </w:rPr>
              <w:t>No</w:t>
            </w:r>
          </w:p>
        </w:tc>
        <w:tc>
          <w:tcPr>
            <w:tcW w:w="776" w:type="dxa"/>
            <w:vAlign w:val="bottom"/>
          </w:tcPr>
          <w:p w14:paraId="58F3A8B5" w14:textId="77777777" w:rsidR="008F0F95" w:rsidRPr="008F0F95" w:rsidRDefault="008F0F95" w:rsidP="00C7480F">
            <w:pPr>
              <w:ind w:left="60" w:right="60"/>
              <w:jc w:val="center"/>
              <w:rPr>
                <w:rFonts w:ascii="Times New Roman" w:hAnsi="Times New Roman" w:cs="Times New Roman"/>
                <w:b/>
                <w:sz w:val="24"/>
                <w:szCs w:val="24"/>
              </w:rPr>
            </w:pPr>
            <w:r w:rsidRPr="008F0F95">
              <w:rPr>
                <w:rFonts w:ascii="Times New Roman" w:hAnsi="Times New Roman" w:cs="Times New Roman"/>
                <w:b/>
                <w:sz w:val="24"/>
                <w:szCs w:val="24"/>
              </w:rPr>
              <w:t>Not sure</w:t>
            </w:r>
          </w:p>
        </w:tc>
        <w:tc>
          <w:tcPr>
            <w:tcW w:w="589" w:type="dxa"/>
          </w:tcPr>
          <w:p w14:paraId="169C12AE" w14:textId="7914E014" w:rsidR="008F0F95" w:rsidRPr="00156CD9" w:rsidRDefault="008F0F95" w:rsidP="00C7480F">
            <w:pPr>
              <w:jc w:val="center"/>
              <w:rPr>
                <w:rFonts w:ascii="Times New Roman" w:hAnsi="Times New Roman" w:cs="Times New Roman"/>
                <w:b/>
                <w:sz w:val="24"/>
                <w:szCs w:val="24"/>
              </w:rPr>
            </w:pPr>
            <w:proofErr w:type="spellStart"/>
            <w:r>
              <w:rPr>
                <w:rFonts w:ascii="Times New Roman" w:hAnsi="Times New Roman" w:cs="Times New Roman"/>
                <w:b/>
                <w:sz w:val="24"/>
                <w:szCs w:val="24"/>
              </w:rPr>
              <w:t>d</w:t>
            </w:r>
            <w:r w:rsidRPr="00156CD9">
              <w:rPr>
                <w:rFonts w:ascii="Times New Roman" w:hAnsi="Times New Roman" w:cs="Times New Roman"/>
                <w:b/>
                <w:sz w:val="24"/>
                <w:szCs w:val="24"/>
              </w:rPr>
              <w:t>f</w:t>
            </w:r>
            <w:proofErr w:type="spellEnd"/>
          </w:p>
        </w:tc>
        <w:tc>
          <w:tcPr>
            <w:tcW w:w="996" w:type="dxa"/>
          </w:tcPr>
          <w:p w14:paraId="7C855867" w14:textId="77777777" w:rsidR="008F0F95" w:rsidRPr="00156CD9" w:rsidRDefault="008F0F95" w:rsidP="00C7480F">
            <w:pPr>
              <w:jc w:val="center"/>
              <w:rPr>
                <w:rFonts w:ascii="Times New Roman" w:hAnsi="Times New Roman" w:cs="Times New Roman"/>
                <w:b/>
                <w:sz w:val="24"/>
                <w:szCs w:val="24"/>
              </w:rPr>
            </w:pPr>
            <w:r w:rsidRPr="00156CD9">
              <w:rPr>
                <w:rFonts w:ascii="Times New Roman" w:hAnsi="Times New Roman" w:cs="Times New Roman"/>
                <w:b/>
                <w:sz w:val="24"/>
                <w:szCs w:val="24"/>
              </w:rPr>
              <w:t>X</w:t>
            </w:r>
            <w:r w:rsidRPr="00156CD9">
              <w:rPr>
                <w:rFonts w:ascii="Times New Roman" w:hAnsi="Times New Roman" w:cs="Times New Roman"/>
                <w:b/>
                <w:sz w:val="24"/>
                <w:szCs w:val="24"/>
                <w:vertAlign w:val="superscript"/>
              </w:rPr>
              <w:t>2</w:t>
            </w:r>
          </w:p>
        </w:tc>
        <w:tc>
          <w:tcPr>
            <w:tcW w:w="837" w:type="dxa"/>
          </w:tcPr>
          <w:p w14:paraId="229D544A" w14:textId="77777777" w:rsidR="008F0F95" w:rsidRPr="00156CD9" w:rsidRDefault="008F0F95" w:rsidP="00C7480F">
            <w:pPr>
              <w:jc w:val="center"/>
              <w:rPr>
                <w:rFonts w:ascii="Times New Roman" w:hAnsi="Times New Roman" w:cs="Times New Roman"/>
                <w:b/>
                <w:sz w:val="24"/>
                <w:szCs w:val="24"/>
              </w:rPr>
            </w:pPr>
            <w:r w:rsidRPr="00156CD9">
              <w:rPr>
                <w:rFonts w:ascii="Times New Roman" w:hAnsi="Times New Roman" w:cs="Times New Roman"/>
                <w:b/>
                <w:sz w:val="24"/>
                <w:szCs w:val="24"/>
              </w:rPr>
              <w:t>P-value</w:t>
            </w:r>
          </w:p>
        </w:tc>
        <w:tc>
          <w:tcPr>
            <w:tcW w:w="791" w:type="dxa"/>
          </w:tcPr>
          <w:p w14:paraId="08B771E1" w14:textId="498B8412" w:rsidR="008F0F95" w:rsidRPr="00156CD9" w:rsidRDefault="008F0F95" w:rsidP="00C7480F">
            <w:pPr>
              <w:jc w:val="center"/>
              <w:rPr>
                <w:rFonts w:ascii="Times New Roman" w:hAnsi="Times New Roman" w:cs="Times New Roman"/>
                <w:b/>
                <w:sz w:val="24"/>
                <w:szCs w:val="24"/>
              </w:rPr>
            </w:pPr>
            <w:r w:rsidRPr="00156CD9">
              <w:rPr>
                <w:rFonts w:ascii="Times New Roman" w:hAnsi="Times New Roman" w:cs="Times New Roman"/>
                <w:b/>
                <w:sz w:val="24"/>
                <w:szCs w:val="24"/>
              </w:rPr>
              <w:t>Eta</w:t>
            </w:r>
            <w:r w:rsidRPr="008F0F95">
              <w:rPr>
                <w:rFonts w:ascii="Times New Roman" w:hAnsi="Times New Roman" w:cs="Times New Roman"/>
                <w:b/>
                <w:sz w:val="24"/>
                <w:szCs w:val="24"/>
                <w:vertAlign w:val="superscript"/>
              </w:rPr>
              <w:t>2</w:t>
            </w:r>
          </w:p>
        </w:tc>
      </w:tr>
      <w:tr w:rsidR="00C7480F" w:rsidRPr="00156CD9" w14:paraId="28FBC97D" w14:textId="77777777" w:rsidTr="00C7480F">
        <w:tc>
          <w:tcPr>
            <w:tcW w:w="2410" w:type="dxa"/>
            <w:vMerge w:val="restart"/>
          </w:tcPr>
          <w:p w14:paraId="739F0F48"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Are immunization services for children aged 12–24 months available in your area?</w:t>
            </w:r>
          </w:p>
        </w:tc>
        <w:tc>
          <w:tcPr>
            <w:tcW w:w="1754" w:type="dxa"/>
          </w:tcPr>
          <w:p w14:paraId="381A2383" w14:textId="5D8B4C75" w:rsidR="00C7480F" w:rsidRPr="00156CD9" w:rsidRDefault="00C7480F" w:rsidP="00C7480F">
            <w:pPr>
              <w:ind w:left="60" w:right="60"/>
              <w:rPr>
                <w:rFonts w:ascii="Times New Roman" w:hAnsi="Times New Roman" w:cs="Times New Roman"/>
                <w:sz w:val="24"/>
                <w:szCs w:val="24"/>
              </w:rPr>
            </w:pPr>
            <w:r>
              <w:rPr>
                <w:rFonts w:ascii="Times New Roman" w:hAnsi="Times New Roman" w:cs="Times New Roman"/>
                <w:sz w:val="24"/>
                <w:szCs w:val="24"/>
              </w:rPr>
              <w:t>No</w:t>
            </w:r>
          </w:p>
        </w:tc>
        <w:tc>
          <w:tcPr>
            <w:tcW w:w="1068" w:type="dxa"/>
          </w:tcPr>
          <w:p w14:paraId="5DD11C40"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w:t>
            </w:r>
          </w:p>
        </w:tc>
        <w:tc>
          <w:tcPr>
            <w:tcW w:w="843" w:type="dxa"/>
          </w:tcPr>
          <w:p w14:paraId="3A359DE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123</w:t>
            </w:r>
          </w:p>
        </w:tc>
        <w:tc>
          <w:tcPr>
            <w:tcW w:w="776" w:type="dxa"/>
          </w:tcPr>
          <w:p w14:paraId="35F7EB9B"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589" w:type="dxa"/>
          </w:tcPr>
          <w:p w14:paraId="03166BBC"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4</w:t>
            </w:r>
          </w:p>
        </w:tc>
        <w:tc>
          <w:tcPr>
            <w:tcW w:w="996" w:type="dxa"/>
          </w:tcPr>
          <w:p w14:paraId="0E2FB748"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238.606</w:t>
            </w:r>
          </w:p>
        </w:tc>
        <w:tc>
          <w:tcPr>
            <w:tcW w:w="837" w:type="dxa"/>
          </w:tcPr>
          <w:p w14:paraId="57971089"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0.000</w:t>
            </w:r>
          </w:p>
        </w:tc>
        <w:tc>
          <w:tcPr>
            <w:tcW w:w="791" w:type="dxa"/>
          </w:tcPr>
          <w:p w14:paraId="59623E45"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.452</w:t>
            </w:r>
          </w:p>
        </w:tc>
      </w:tr>
      <w:tr w:rsidR="00C7480F" w:rsidRPr="00156CD9" w14:paraId="05FDC185" w14:textId="77777777" w:rsidTr="00C7480F">
        <w:tc>
          <w:tcPr>
            <w:tcW w:w="2410" w:type="dxa"/>
            <w:vMerge/>
          </w:tcPr>
          <w:p w14:paraId="5E6D93E1" w14:textId="77777777" w:rsidR="00C7480F" w:rsidRPr="00156CD9" w:rsidRDefault="00C7480F" w:rsidP="00106FA4">
            <w:pPr>
              <w:jc w:val="both"/>
              <w:rPr>
                <w:rFonts w:ascii="Times New Roman" w:hAnsi="Times New Roman" w:cs="Times New Roman"/>
                <w:sz w:val="24"/>
                <w:szCs w:val="24"/>
              </w:rPr>
            </w:pPr>
          </w:p>
        </w:tc>
        <w:tc>
          <w:tcPr>
            <w:tcW w:w="1754" w:type="dxa"/>
          </w:tcPr>
          <w:p w14:paraId="2CCF05EB"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Yes</w:t>
            </w:r>
          </w:p>
        </w:tc>
        <w:tc>
          <w:tcPr>
            <w:tcW w:w="1068" w:type="dxa"/>
          </w:tcPr>
          <w:p w14:paraId="1D22C06B"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137</w:t>
            </w:r>
          </w:p>
        </w:tc>
        <w:tc>
          <w:tcPr>
            <w:tcW w:w="843" w:type="dxa"/>
          </w:tcPr>
          <w:p w14:paraId="593C9D9D"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17</w:t>
            </w:r>
          </w:p>
        </w:tc>
        <w:tc>
          <w:tcPr>
            <w:tcW w:w="776" w:type="dxa"/>
          </w:tcPr>
          <w:p w14:paraId="05777A9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26</w:t>
            </w:r>
          </w:p>
        </w:tc>
        <w:tc>
          <w:tcPr>
            <w:tcW w:w="589" w:type="dxa"/>
          </w:tcPr>
          <w:p w14:paraId="53A68B35" w14:textId="77777777" w:rsidR="00C7480F" w:rsidRPr="00156CD9" w:rsidRDefault="00C7480F" w:rsidP="00C7480F">
            <w:pPr>
              <w:jc w:val="center"/>
              <w:rPr>
                <w:rFonts w:ascii="Times New Roman" w:hAnsi="Times New Roman" w:cs="Times New Roman"/>
                <w:sz w:val="24"/>
                <w:szCs w:val="24"/>
              </w:rPr>
            </w:pPr>
          </w:p>
        </w:tc>
        <w:tc>
          <w:tcPr>
            <w:tcW w:w="996" w:type="dxa"/>
          </w:tcPr>
          <w:p w14:paraId="37374B5E" w14:textId="77777777" w:rsidR="00C7480F" w:rsidRPr="00156CD9" w:rsidRDefault="00C7480F" w:rsidP="00C7480F">
            <w:pPr>
              <w:jc w:val="center"/>
              <w:rPr>
                <w:rFonts w:ascii="Times New Roman" w:hAnsi="Times New Roman" w:cs="Times New Roman"/>
                <w:sz w:val="24"/>
                <w:szCs w:val="24"/>
              </w:rPr>
            </w:pPr>
          </w:p>
        </w:tc>
        <w:tc>
          <w:tcPr>
            <w:tcW w:w="837" w:type="dxa"/>
          </w:tcPr>
          <w:p w14:paraId="5F532A31" w14:textId="77777777" w:rsidR="00C7480F" w:rsidRPr="00156CD9" w:rsidRDefault="00C7480F" w:rsidP="00C7480F">
            <w:pPr>
              <w:jc w:val="center"/>
              <w:rPr>
                <w:rFonts w:ascii="Times New Roman" w:hAnsi="Times New Roman" w:cs="Times New Roman"/>
                <w:sz w:val="24"/>
                <w:szCs w:val="24"/>
              </w:rPr>
            </w:pPr>
          </w:p>
        </w:tc>
        <w:tc>
          <w:tcPr>
            <w:tcW w:w="791" w:type="dxa"/>
          </w:tcPr>
          <w:p w14:paraId="148679DD" w14:textId="77777777" w:rsidR="00C7480F" w:rsidRPr="00156CD9" w:rsidRDefault="00C7480F" w:rsidP="00C7480F">
            <w:pPr>
              <w:jc w:val="center"/>
              <w:rPr>
                <w:rFonts w:ascii="Times New Roman" w:hAnsi="Times New Roman" w:cs="Times New Roman"/>
                <w:sz w:val="24"/>
                <w:szCs w:val="24"/>
              </w:rPr>
            </w:pPr>
          </w:p>
        </w:tc>
      </w:tr>
      <w:tr w:rsidR="00C7480F" w:rsidRPr="00156CD9" w14:paraId="1F78AA34" w14:textId="77777777" w:rsidTr="00C7480F">
        <w:tc>
          <w:tcPr>
            <w:tcW w:w="2410" w:type="dxa"/>
            <w:vMerge/>
          </w:tcPr>
          <w:p w14:paraId="72F5C190" w14:textId="77777777" w:rsidR="00C7480F" w:rsidRPr="00156CD9" w:rsidRDefault="00C7480F" w:rsidP="00106FA4">
            <w:pPr>
              <w:jc w:val="both"/>
              <w:rPr>
                <w:rFonts w:ascii="Times New Roman" w:hAnsi="Times New Roman" w:cs="Times New Roman"/>
                <w:sz w:val="24"/>
                <w:szCs w:val="24"/>
              </w:rPr>
            </w:pPr>
          </w:p>
        </w:tc>
        <w:tc>
          <w:tcPr>
            <w:tcW w:w="1754" w:type="dxa"/>
          </w:tcPr>
          <w:p w14:paraId="590F9EA2"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Not sure</w:t>
            </w:r>
          </w:p>
        </w:tc>
        <w:tc>
          <w:tcPr>
            <w:tcW w:w="1068" w:type="dxa"/>
          </w:tcPr>
          <w:p w14:paraId="4745874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w:t>
            </w:r>
          </w:p>
        </w:tc>
        <w:tc>
          <w:tcPr>
            <w:tcW w:w="843" w:type="dxa"/>
          </w:tcPr>
          <w:p w14:paraId="516404F0"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w:t>
            </w:r>
          </w:p>
        </w:tc>
        <w:tc>
          <w:tcPr>
            <w:tcW w:w="776" w:type="dxa"/>
          </w:tcPr>
          <w:p w14:paraId="051E49F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w:t>
            </w:r>
          </w:p>
        </w:tc>
        <w:tc>
          <w:tcPr>
            <w:tcW w:w="589" w:type="dxa"/>
          </w:tcPr>
          <w:p w14:paraId="7608A6AD" w14:textId="77777777" w:rsidR="00C7480F" w:rsidRPr="00156CD9" w:rsidRDefault="00C7480F" w:rsidP="00C7480F">
            <w:pPr>
              <w:jc w:val="center"/>
              <w:rPr>
                <w:rFonts w:ascii="Times New Roman" w:hAnsi="Times New Roman" w:cs="Times New Roman"/>
                <w:sz w:val="24"/>
                <w:szCs w:val="24"/>
              </w:rPr>
            </w:pPr>
          </w:p>
        </w:tc>
        <w:tc>
          <w:tcPr>
            <w:tcW w:w="996" w:type="dxa"/>
          </w:tcPr>
          <w:p w14:paraId="44EF3727" w14:textId="77777777" w:rsidR="00C7480F" w:rsidRPr="00156CD9" w:rsidRDefault="00C7480F" w:rsidP="00C7480F">
            <w:pPr>
              <w:jc w:val="center"/>
              <w:rPr>
                <w:rFonts w:ascii="Times New Roman" w:hAnsi="Times New Roman" w:cs="Times New Roman"/>
                <w:sz w:val="24"/>
                <w:szCs w:val="24"/>
              </w:rPr>
            </w:pPr>
          </w:p>
        </w:tc>
        <w:tc>
          <w:tcPr>
            <w:tcW w:w="837" w:type="dxa"/>
          </w:tcPr>
          <w:p w14:paraId="2823BA32" w14:textId="77777777" w:rsidR="00C7480F" w:rsidRPr="00156CD9" w:rsidRDefault="00C7480F" w:rsidP="00C7480F">
            <w:pPr>
              <w:jc w:val="center"/>
              <w:rPr>
                <w:rFonts w:ascii="Times New Roman" w:hAnsi="Times New Roman" w:cs="Times New Roman"/>
                <w:sz w:val="24"/>
                <w:szCs w:val="24"/>
              </w:rPr>
            </w:pPr>
          </w:p>
        </w:tc>
        <w:tc>
          <w:tcPr>
            <w:tcW w:w="791" w:type="dxa"/>
          </w:tcPr>
          <w:p w14:paraId="7DAAE0A2" w14:textId="77777777" w:rsidR="00C7480F" w:rsidRPr="00156CD9" w:rsidRDefault="00C7480F" w:rsidP="00C7480F">
            <w:pPr>
              <w:jc w:val="center"/>
              <w:rPr>
                <w:rFonts w:ascii="Times New Roman" w:hAnsi="Times New Roman" w:cs="Times New Roman"/>
                <w:sz w:val="24"/>
                <w:szCs w:val="24"/>
              </w:rPr>
            </w:pPr>
          </w:p>
        </w:tc>
      </w:tr>
      <w:tr w:rsidR="00C7480F" w:rsidRPr="00156CD9" w14:paraId="104A8051" w14:textId="77777777" w:rsidTr="00C7480F">
        <w:tc>
          <w:tcPr>
            <w:tcW w:w="2410" w:type="dxa"/>
            <w:vMerge w:val="restart"/>
          </w:tcPr>
          <w:p w14:paraId="73265066"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How far is the nearest health facility that offers child immunization?</w:t>
            </w:r>
          </w:p>
        </w:tc>
        <w:tc>
          <w:tcPr>
            <w:tcW w:w="1754" w:type="dxa"/>
          </w:tcPr>
          <w:p w14:paraId="1FE74C26"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Less than 2 km</w:t>
            </w:r>
          </w:p>
        </w:tc>
        <w:tc>
          <w:tcPr>
            <w:tcW w:w="1068" w:type="dxa"/>
          </w:tcPr>
          <w:p w14:paraId="0761014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56</w:t>
            </w:r>
          </w:p>
        </w:tc>
        <w:tc>
          <w:tcPr>
            <w:tcW w:w="843" w:type="dxa"/>
          </w:tcPr>
          <w:p w14:paraId="2F7AF8D4"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w:t>
            </w:r>
          </w:p>
        </w:tc>
        <w:tc>
          <w:tcPr>
            <w:tcW w:w="776" w:type="dxa"/>
          </w:tcPr>
          <w:p w14:paraId="1BA8B668"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14</w:t>
            </w:r>
          </w:p>
        </w:tc>
        <w:tc>
          <w:tcPr>
            <w:tcW w:w="589" w:type="dxa"/>
          </w:tcPr>
          <w:p w14:paraId="326A8202"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4</w:t>
            </w:r>
          </w:p>
        </w:tc>
        <w:tc>
          <w:tcPr>
            <w:tcW w:w="996" w:type="dxa"/>
          </w:tcPr>
          <w:p w14:paraId="3B0A527B"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12.993</w:t>
            </w:r>
          </w:p>
        </w:tc>
        <w:tc>
          <w:tcPr>
            <w:tcW w:w="837" w:type="dxa"/>
          </w:tcPr>
          <w:p w14:paraId="160B04AA"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.011</w:t>
            </w:r>
          </w:p>
        </w:tc>
        <w:tc>
          <w:tcPr>
            <w:tcW w:w="791" w:type="dxa"/>
          </w:tcPr>
          <w:p w14:paraId="3FBEA847"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.091</w:t>
            </w:r>
          </w:p>
        </w:tc>
      </w:tr>
      <w:tr w:rsidR="00C7480F" w:rsidRPr="00156CD9" w14:paraId="0A13F101" w14:textId="77777777" w:rsidTr="00C7480F">
        <w:tc>
          <w:tcPr>
            <w:tcW w:w="2410" w:type="dxa"/>
            <w:vMerge/>
          </w:tcPr>
          <w:p w14:paraId="152952B5" w14:textId="77777777" w:rsidR="00C7480F" w:rsidRPr="00156CD9" w:rsidRDefault="00C7480F" w:rsidP="00106FA4">
            <w:pPr>
              <w:jc w:val="both"/>
              <w:rPr>
                <w:rFonts w:ascii="Times New Roman" w:hAnsi="Times New Roman" w:cs="Times New Roman"/>
                <w:sz w:val="24"/>
                <w:szCs w:val="24"/>
              </w:rPr>
            </w:pPr>
          </w:p>
        </w:tc>
        <w:tc>
          <w:tcPr>
            <w:tcW w:w="1754" w:type="dxa"/>
          </w:tcPr>
          <w:p w14:paraId="6D56B4D4"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2–5 km</w:t>
            </w:r>
          </w:p>
        </w:tc>
        <w:tc>
          <w:tcPr>
            <w:tcW w:w="1068" w:type="dxa"/>
          </w:tcPr>
          <w:p w14:paraId="3264295E"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83</w:t>
            </w:r>
          </w:p>
        </w:tc>
        <w:tc>
          <w:tcPr>
            <w:tcW w:w="843" w:type="dxa"/>
          </w:tcPr>
          <w:p w14:paraId="4793DAD5"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w:t>
            </w:r>
          </w:p>
        </w:tc>
        <w:tc>
          <w:tcPr>
            <w:tcW w:w="776" w:type="dxa"/>
          </w:tcPr>
          <w:p w14:paraId="0E3EF57F"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18</w:t>
            </w:r>
          </w:p>
        </w:tc>
        <w:tc>
          <w:tcPr>
            <w:tcW w:w="589" w:type="dxa"/>
          </w:tcPr>
          <w:p w14:paraId="205CD3FE" w14:textId="77777777" w:rsidR="00C7480F" w:rsidRPr="00156CD9" w:rsidRDefault="00C7480F" w:rsidP="00C7480F">
            <w:pPr>
              <w:jc w:val="center"/>
              <w:rPr>
                <w:rFonts w:ascii="Times New Roman" w:hAnsi="Times New Roman" w:cs="Times New Roman"/>
                <w:sz w:val="24"/>
                <w:szCs w:val="24"/>
              </w:rPr>
            </w:pPr>
          </w:p>
        </w:tc>
        <w:tc>
          <w:tcPr>
            <w:tcW w:w="996" w:type="dxa"/>
          </w:tcPr>
          <w:p w14:paraId="243D7C5C" w14:textId="77777777" w:rsidR="00C7480F" w:rsidRPr="00156CD9" w:rsidRDefault="00C7480F" w:rsidP="00C7480F">
            <w:pPr>
              <w:jc w:val="center"/>
              <w:rPr>
                <w:rFonts w:ascii="Times New Roman" w:hAnsi="Times New Roman" w:cs="Times New Roman"/>
                <w:sz w:val="24"/>
                <w:szCs w:val="24"/>
              </w:rPr>
            </w:pPr>
          </w:p>
        </w:tc>
        <w:tc>
          <w:tcPr>
            <w:tcW w:w="837" w:type="dxa"/>
          </w:tcPr>
          <w:p w14:paraId="65D89B07" w14:textId="77777777" w:rsidR="00C7480F" w:rsidRPr="00156CD9" w:rsidRDefault="00C7480F" w:rsidP="00C7480F">
            <w:pPr>
              <w:jc w:val="center"/>
              <w:rPr>
                <w:rFonts w:ascii="Times New Roman" w:hAnsi="Times New Roman" w:cs="Times New Roman"/>
                <w:sz w:val="24"/>
                <w:szCs w:val="24"/>
              </w:rPr>
            </w:pPr>
          </w:p>
        </w:tc>
        <w:tc>
          <w:tcPr>
            <w:tcW w:w="791" w:type="dxa"/>
          </w:tcPr>
          <w:p w14:paraId="41C051EE" w14:textId="77777777" w:rsidR="00C7480F" w:rsidRPr="00156CD9" w:rsidRDefault="00C7480F" w:rsidP="00C7480F">
            <w:pPr>
              <w:jc w:val="center"/>
              <w:rPr>
                <w:rFonts w:ascii="Times New Roman" w:hAnsi="Times New Roman" w:cs="Times New Roman"/>
                <w:sz w:val="24"/>
                <w:szCs w:val="24"/>
              </w:rPr>
            </w:pPr>
          </w:p>
        </w:tc>
      </w:tr>
      <w:tr w:rsidR="00C7480F" w:rsidRPr="00156CD9" w14:paraId="20C7F68C" w14:textId="77777777" w:rsidTr="00C7480F">
        <w:tc>
          <w:tcPr>
            <w:tcW w:w="2410" w:type="dxa"/>
            <w:vMerge/>
          </w:tcPr>
          <w:p w14:paraId="3A11692A" w14:textId="77777777" w:rsidR="00C7480F" w:rsidRPr="00156CD9" w:rsidRDefault="00C7480F" w:rsidP="00106FA4">
            <w:pPr>
              <w:jc w:val="both"/>
              <w:rPr>
                <w:rFonts w:ascii="Times New Roman" w:hAnsi="Times New Roman" w:cs="Times New Roman"/>
                <w:sz w:val="24"/>
                <w:szCs w:val="24"/>
              </w:rPr>
            </w:pPr>
          </w:p>
        </w:tc>
        <w:tc>
          <w:tcPr>
            <w:tcW w:w="1754" w:type="dxa"/>
          </w:tcPr>
          <w:p w14:paraId="48FC33C5"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More than 5 km</w:t>
            </w:r>
          </w:p>
        </w:tc>
        <w:tc>
          <w:tcPr>
            <w:tcW w:w="1068" w:type="dxa"/>
          </w:tcPr>
          <w:p w14:paraId="0E5AD94C"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w:t>
            </w:r>
          </w:p>
        </w:tc>
        <w:tc>
          <w:tcPr>
            <w:tcW w:w="843" w:type="dxa"/>
          </w:tcPr>
          <w:p w14:paraId="4E4EEC1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w:t>
            </w:r>
          </w:p>
        </w:tc>
        <w:tc>
          <w:tcPr>
            <w:tcW w:w="776" w:type="dxa"/>
          </w:tcPr>
          <w:p w14:paraId="44C3D9A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589" w:type="dxa"/>
          </w:tcPr>
          <w:p w14:paraId="28822826" w14:textId="77777777" w:rsidR="00C7480F" w:rsidRPr="00156CD9" w:rsidRDefault="00C7480F" w:rsidP="00C7480F">
            <w:pPr>
              <w:jc w:val="center"/>
              <w:rPr>
                <w:rFonts w:ascii="Times New Roman" w:hAnsi="Times New Roman" w:cs="Times New Roman"/>
                <w:sz w:val="24"/>
                <w:szCs w:val="24"/>
              </w:rPr>
            </w:pPr>
          </w:p>
        </w:tc>
        <w:tc>
          <w:tcPr>
            <w:tcW w:w="996" w:type="dxa"/>
          </w:tcPr>
          <w:p w14:paraId="244B0808" w14:textId="77777777" w:rsidR="00C7480F" w:rsidRPr="00156CD9" w:rsidRDefault="00C7480F" w:rsidP="00C7480F">
            <w:pPr>
              <w:jc w:val="center"/>
              <w:rPr>
                <w:rFonts w:ascii="Times New Roman" w:hAnsi="Times New Roman" w:cs="Times New Roman"/>
                <w:sz w:val="24"/>
                <w:szCs w:val="24"/>
              </w:rPr>
            </w:pPr>
          </w:p>
        </w:tc>
        <w:tc>
          <w:tcPr>
            <w:tcW w:w="837" w:type="dxa"/>
          </w:tcPr>
          <w:p w14:paraId="6D7FE6A8" w14:textId="77777777" w:rsidR="00C7480F" w:rsidRPr="00156CD9" w:rsidRDefault="00C7480F" w:rsidP="00C7480F">
            <w:pPr>
              <w:jc w:val="center"/>
              <w:rPr>
                <w:rFonts w:ascii="Times New Roman" w:hAnsi="Times New Roman" w:cs="Times New Roman"/>
                <w:sz w:val="24"/>
                <w:szCs w:val="24"/>
              </w:rPr>
            </w:pPr>
          </w:p>
        </w:tc>
        <w:tc>
          <w:tcPr>
            <w:tcW w:w="791" w:type="dxa"/>
          </w:tcPr>
          <w:p w14:paraId="5EC0AD5F" w14:textId="77777777" w:rsidR="00C7480F" w:rsidRPr="00156CD9" w:rsidRDefault="00C7480F" w:rsidP="00C7480F">
            <w:pPr>
              <w:jc w:val="center"/>
              <w:rPr>
                <w:rFonts w:ascii="Times New Roman" w:hAnsi="Times New Roman" w:cs="Times New Roman"/>
                <w:sz w:val="24"/>
                <w:szCs w:val="24"/>
              </w:rPr>
            </w:pPr>
          </w:p>
        </w:tc>
      </w:tr>
      <w:tr w:rsidR="00C7480F" w:rsidRPr="00156CD9" w14:paraId="3D8B2549" w14:textId="77777777" w:rsidTr="00C7480F">
        <w:tc>
          <w:tcPr>
            <w:tcW w:w="2410" w:type="dxa"/>
            <w:vMerge w:val="restart"/>
          </w:tcPr>
          <w:p w14:paraId="324A14F4"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How long does it take to reach the immunization site?</w:t>
            </w:r>
          </w:p>
        </w:tc>
        <w:tc>
          <w:tcPr>
            <w:tcW w:w="1754" w:type="dxa"/>
          </w:tcPr>
          <w:p w14:paraId="5F12A20A"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Less than 30 minutes</w:t>
            </w:r>
          </w:p>
        </w:tc>
        <w:tc>
          <w:tcPr>
            <w:tcW w:w="1068" w:type="dxa"/>
          </w:tcPr>
          <w:p w14:paraId="68DF4BD2"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60</w:t>
            </w:r>
          </w:p>
        </w:tc>
        <w:tc>
          <w:tcPr>
            <w:tcW w:w="843" w:type="dxa"/>
          </w:tcPr>
          <w:p w14:paraId="596CB09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w:t>
            </w:r>
          </w:p>
        </w:tc>
        <w:tc>
          <w:tcPr>
            <w:tcW w:w="776" w:type="dxa"/>
          </w:tcPr>
          <w:p w14:paraId="39BFBA58"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w:t>
            </w:r>
          </w:p>
        </w:tc>
        <w:tc>
          <w:tcPr>
            <w:tcW w:w="589" w:type="dxa"/>
          </w:tcPr>
          <w:p w14:paraId="0B5C96DE"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4</w:t>
            </w:r>
          </w:p>
        </w:tc>
        <w:tc>
          <w:tcPr>
            <w:tcW w:w="996" w:type="dxa"/>
          </w:tcPr>
          <w:p w14:paraId="7A146E67"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17.899</w:t>
            </w:r>
          </w:p>
        </w:tc>
        <w:tc>
          <w:tcPr>
            <w:tcW w:w="837" w:type="dxa"/>
          </w:tcPr>
          <w:p w14:paraId="7CDC689D"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.001</w:t>
            </w:r>
          </w:p>
        </w:tc>
        <w:tc>
          <w:tcPr>
            <w:tcW w:w="791" w:type="dxa"/>
          </w:tcPr>
          <w:p w14:paraId="2EA65156" w14:textId="4CEECA8F"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.240</w:t>
            </w:r>
          </w:p>
        </w:tc>
      </w:tr>
      <w:tr w:rsidR="00C7480F" w:rsidRPr="00156CD9" w14:paraId="738FCABD" w14:textId="77777777" w:rsidTr="00C7480F">
        <w:tc>
          <w:tcPr>
            <w:tcW w:w="2410" w:type="dxa"/>
            <w:vMerge/>
          </w:tcPr>
          <w:p w14:paraId="1E224194" w14:textId="77777777" w:rsidR="00C7480F" w:rsidRPr="00156CD9" w:rsidRDefault="00C7480F" w:rsidP="00106FA4">
            <w:pPr>
              <w:jc w:val="both"/>
              <w:rPr>
                <w:rFonts w:ascii="Times New Roman" w:hAnsi="Times New Roman" w:cs="Times New Roman"/>
                <w:sz w:val="24"/>
                <w:szCs w:val="24"/>
              </w:rPr>
            </w:pPr>
          </w:p>
        </w:tc>
        <w:tc>
          <w:tcPr>
            <w:tcW w:w="1754" w:type="dxa"/>
          </w:tcPr>
          <w:p w14:paraId="233A9F5D"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30 minutes–1 hour</w:t>
            </w:r>
          </w:p>
        </w:tc>
        <w:tc>
          <w:tcPr>
            <w:tcW w:w="1068" w:type="dxa"/>
          </w:tcPr>
          <w:p w14:paraId="1B00690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80</w:t>
            </w:r>
          </w:p>
        </w:tc>
        <w:tc>
          <w:tcPr>
            <w:tcW w:w="843" w:type="dxa"/>
          </w:tcPr>
          <w:p w14:paraId="79CA453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7</w:t>
            </w:r>
          </w:p>
        </w:tc>
        <w:tc>
          <w:tcPr>
            <w:tcW w:w="776" w:type="dxa"/>
          </w:tcPr>
          <w:p w14:paraId="5FCE9C6F"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14</w:t>
            </w:r>
          </w:p>
        </w:tc>
        <w:tc>
          <w:tcPr>
            <w:tcW w:w="589" w:type="dxa"/>
          </w:tcPr>
          <w:p w14:paraId="14542A90" w14:textId="77777777" w:rsidR="00C7480F" w:rsidRPr="00156CD9" w:rsidRDefault="00C7480F" w:rsidP="00C7480F">
            <w:pPr>
              <w:jc w:val="center"/>
              <w:rPr>
                <w:rFonts w:ascii="Times New Roman" w:hAnsi="Times New Roman" w:cs="Times New Roman"/>
                <w:sz w:val="24"/>
                <w:szCs w:val="24"/>
              </w:rPr>
            </w:pPr>
          </w:p>
        </w:tc>
        <w:tc>
          <w:tcPr>
            <w:tcW w:w="996" w:type="dxa"/>
          </w:tcPr>
          <w:p w14:paraId="7BF1A0CA" w14:textId="77777777" w:rsidR="00C7480F" w:rsidRPr="00156CD9" w:rsidRDefault="00C7480F" w:rsidP="00C7480F">
            <w:pPr>
              <w:jc w:val="center"/>
              <w:rPr>
                <w:rFonts w:ascii="Times New Roman" w:hAnsi="Times New Roman" w:cs="Times New Roman"/>
                <w:sz w:val="24"/>
                <w:szCs w:val="24"/>
              </w:rPr>
            </w:pPr>
          </w:p>
        </w:tc>
        <w:tc>
          <w:tcPr>
            <w:tcW w:w="837" w:type="dxa"/>
          </w:tcPr>
          <w:p w14:paraId="7FB25459" w14:textId="77777777" w:rsidR="00C7480F" w:rsidRPr="00156CD9" w:rsidRDefault="00C7480F" w:rsidP="00C7480F">
            <w:pPr>
              <w:jc w:val="center"/>
              <w:rPr>
                <w:rFonts w:ascii="Times New Roman" w:hAnsi="Times New Roman" w:cs="Times New Roman"/>
                <w:sz w:val="24"/>
                <w:szCs w:val="24"/>
              </w:rPr>
            </w:pPr>
          </w:p>
        </w:tc>
        <w:tc>
          <w:tcPr>
            <w:tcW w:w="791" w:type="dxa"/>
          </w:tcPr>
          <w:p w14:paraId="775ADAFB" w14:textId="77777777" w:rsidR="00C7480F" w:rsidRPr="00156CD9" w:rsidRDefault="00C7480F" w:rsidP="00C7480F">
            <w:pPr>
              <w:jc w:val="center"/>
              <w:rPr>
                <w:rFonts w:ascii="Times New Roman" w:hAnsi="Times New Roman" w:cs="Times New Roman"/>
                <w:sz w:val="24"/>
                <w:szCs w:val="24"/>
              </w:rPr>
            </w:pPr>
          </w:p>
        </w:tc>
      </w:tr>
      <w:tr w:rsidR="00C7480F" w:rsidRPr="00156CD9" w14:paraId="29FA2E8E" w14:textId="77777777" w:rsidTr="00C7480F">
        <w:tc>
          <w:tcPr>
            <w:tcW w:w="2410" w:type="dxa"/>
            <w:vMerge/>
          </w:tcPr>
          <w:p w14:paraId="6E61A2BA" w14:textId="77777777" w:rsidR="00C7480F" w:rsidRPr="00156CD9" w:rsidRDefault="00C7480F" w:rsidP="00106FA4">
            <w:pPr>
              <w:jc w:val="both"/>
              <w:rPr>
                <w:rFonts w:ascii="Times New Roman" w:hAnsi="Times New Roman" w:cs="Times New Roman"/>
                <w:sz w:val="24"/>
                <w:szCs w:val="24"/>
              </w:rPr>
            </w:pPr>
          </w:p>
        </w:tc>
        <w:tc>
          <w:tcPr>
            <w:tcW w:w="1754" w:type="dxa"/>
          </w:tcPr>
          <w:p w14:paraId="32ACB354"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More than 1 hour</w:t>
            </w:r>
          </w:p>
        </w:tc>
        <w:tc>
          <w:tcPr>
            <w:tcW w:w="1068" w:type="dxa"/>
          </w:tcPr>
          <w:p w14:paraId="26687DCD"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w:t>
            </w:r>
          </w:p>
        </w:tc>
        <w:tc>
          <w:tcPr>
            <w:tcW w:w="843" w:type="dxa"/>
          </w:tcPr>
          <w:p w14:paraId="11AEE49D"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w:t>
            </w:r>
          </w:p>
        </w:tc>
        <w:tc>
          <w:tcPr>
            <w:tcW w:w="776" w:type="dxa"/>
          </w:tcPr>
          <w:p w14:paraId="7D8504EB"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w:t>
            </w:r>
          </w:p>
        </w:tc>
        <w:tc>
          <w:tcPr>
            <w:tcW w:w="589" w:type="dxa"/>
          </w:tcPr>
          <w:p w14:paraId="731A99D0" w14:textId="77777777" w:rsidR="00C7480F" w:rsidRPr="00156CD9" w:rsidRDefault="00C7480F" w:rsidP="00C7480F">
            <w:pPr>
              <w:jc w:val="center"/>
              <w:rPr>
                <w:rFonts w:ascii="Times New Roman" w:hAnsi="Times New Roman" w:cs="Times New Roman"/>
                <w:sz w:val="24"/>
                <w:szCs w:val="24"/>
              </w:rPr>
            </w:pPr>
          </w:p>
        </w:tc>
        <w:tc>
          <w:tcPr>
            <w:tcW w:w="996" w:type="dxa"/>
          </w:tcPr>
          <w:p w14:paraId="5E8BB6DF" w14:textId="77777777" w:rsidR="00C7480F" w:rsidRPr="00156CD9" w:rsidRDefault="00C7480F" w:rsidP="00C7480F">
            <w:pPr>
              <w:jc w:val="center"/>
              <w:rPr>
                <w:rFonts w:ascii="Times New Roman" w:hAnsi="Times New Roman" w:cs="Times New Roman"/>
                <w:sz w:val="24"/>
                <w:szCs w:val="24"/>
              </w:rPr>
            </w:pPr>
          </w:p>
        </w:tc>
        <w:tc>
          <w:tcPr>
            <w:tcW w:w="837" w:type="dxa"/>
          </w:tcPr>
          <w:p w14:paraId="30F38206" w14:textId="77777777" w:rsidR="00C7480F" w:rsidRPr="00156CD9" w:rsidRDefault="00C7480F" w:rsidP="00C7480F">
            <w:pPr>
              <w:jc w:val="center"/>
              <w:rPr>
                <w:rFonts w:ascii="Times New Roman" w:hAnsi="Times New Roman" w:cs="Times New Roman"/>
                <w:sz w:val="24"/>
                <w:szCs w:val="24"/>
              </w:rPr>
            </w:pPr>
          </w:p>
        </w:tc>
        <w:tc>
          <w:tcPr>
            <w:tcW w:w="791" w:type="dxa"/>
          </w:tcPr>
          <w:p w14:paraId="08CFE112" w14:textId="77777777" w:rsidR="00C7480F" w:rsidRPr="00156CD9" w:rsidRDefault="00C7480F" w:rsidP="00C7480F">
            <w:pPr>
              <w:ind w:left="60" w:right="60"/>
              <w:jc w:val="center"/>
              <w:rPr>
                <w:rFonts w:ascii="Times New Roman" w:hAnsi="Times New Roman" w:cs="Times New Roman"/>
                <w:sz w:val="24"/>
                <w:szCs w:val="24"/>
              </w:rPr>
            </w:pPr>
          </w:p>
        </w:tc>
      </w:tr>
      <w:tr w:rsidR="00C7480F" w:rsidRPr="00156CD9" w14:paraId="64B67F01" w14:textId="77777777" w:rsidTr="00C7480F">
        <w:tc>
          <w:tcPr>
            <w:tcW w:w="2410" w:type="dxa"/>
            <w:vMerge w:val="restart"/>
          </w:tcPr>
          <w:p w14:paraId="7DD8CE35"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Gender</w:t>
            </w:r>
          </w:p>
        </w:tc>
        <w:tc>
          <w:tcPr>
            <w:tcW w:w="1754" w:type="dxa"/>
          </w:tcPr>
          <w:p w14:paraId="016BB22E"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Male</w:t>
            </w:r>
          </w:p>
        </w:tc>
        <w:tc>
          <w:tcPr>
            <w:tcW w:w="1068" w:type="dxa"/>
          </w:tcPr>
          <w:p w14:paraId="1B9F49FB"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58</w:t>
            </w:r>
          </w:p>
        </w:tc>
        <w:tc>
          <w:tcPr>
            <w:tcW w:w="843" w:type="dxa"/>
          </w:tcPr>
          <w:p w14:paraId="48E5EFA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52</w:t>
            </w:r>
          </w:p>
        </w:tc>
        <w:tc>
          <w:tcPr>
            <w:tcW w:w="776" w:type="dxa"/>
          </w:tcPr>
          <w:p w14:paraId="382804B1"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7</w:t>
            </w:r>
          </w:p>
        </w:tc>
        <w:tc>
          <w:tcPr>
            <w:tcW w:w="589" w:type="dxa"/>
          </w:tcPr>
          <w:p w14:paraId="7248D7CF"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w:t>
            </w:r>
          </w:p>
        </w:tc>
        <w:tc>
          <w:tcPr>
            <w:tcW w:w="996" w:type="dxa"/>
          </w:tcPr>
          <w:p w14:paraId="6F8C1469"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5.189</w:t>
            </w:r>
          </w:p>
        </w:tc>
        <w:tc>
          <w:tcPr>
            <w:tcW w:w="837" w:type="dxa"/>
          </w:tcPr>
          <w:p w14:paraId="6BF7F5DB"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.075</w:t>
            </w:r>
          </w:p>
        </w:tc>
        <w:tc>
          <w:tcPr>
            <w:tcW w:w="791" w:type="dxa"/>
          </w:tcPr>
          <w:p w14:paraId="229FBA30"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.121</w:t>
            </w:r>
          </w:p>
        </w:tc>
      </w:tr>
      <w:tr w:rsidR="00C7480F" w:rsidRPr="00156CD9" w14:paraId="48F3BB7A" w14:textId="77777777" w:rsidTr="00C7480F">
        <w:tc>
          <w:tcPr>
            <w:tcW w:w="2410" w:type="dxa"/>
            <w:vMerge/>
          </w:tcPr>
          <w:p w14:paraId="483332B6" w14:textId="77777777" w:rsidR="00C7480F" w:rsidRPr="00156CD9" w:rsidRDefault="00C7480F" w:rsidP="00106FA4">
            <w:pPr>
              <w:jc w:val="both"/>
              <w:rPr>
                <w:rFonts w:ascii="Times New Roman" w:hAnsi="Times New Roman" w:cs="Times New Roman"/>
                <w:sz w:val="24"/>
                <w:szCs w:val="24"/>
              </w:rPr>
            </w:pPr>
          </w:p>
        </w:tc>
        <w:tc>
          <w:tcPr>
            <w:tcW w:w="1754" w:type="dxa"/>
          </w:tcPr>
          <w:p w14:paraId="6F2D58CA"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Female</w:t>
            </w:r>
          </w:p>
        </w:tc>
        <w:tc>
          <w:tcPr>
            <w:tcW w:w="1068" w:type="dxa"/>
          </w:tcPr>
          <w:p w14:paraId="39B43412"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90</w:t>
            </w:r>
          </w:p>
        </w:tc>
        <w:tc>
          <w:tcPr>
            <w:tcW w:w="843" w:type="dxa"/>
          </w:tcPr>
          <w:p w14:paraId="513E659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116</w:t>
            </w:r>
          </w:p>
        </w:tc>
        <w:tc>
          <w:tcPr>
            <w:tcW w:w="776" w:type="dxa"/>
          </w:tcPr>
          <w:p w14:paraId="61CC1D88"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27</w:t>
            </w:r>
          </w:p>
        </w:tc>
        <w:tc>
          <w:tcPr>
            <w:tcW w:w="589" w:type="dxa"/>
          </w:tcPr>
          <w:p w14:paraId="6E95D5C7" w14:textId="77777777" w:rsidR="00C7480F" w:rsidRPr="00156CD9" w:rsidRDefault="00C7480F" w:rsidP="00C7480F">
            <w:pPr>
              <w:jc w:val="center"/>
              <w:rPr>
                <w:rFonts w:ascii="Times New Roman" w:hAnsi="Times New Roman" w:cs="Times New Roman"/>
                <w:sz w:val="24"/>
                <w:szCs w:val="24"/>
              </w:rPr>
            </w:pPr>
          </w:p>
        </w:tc>
        <w:tc>
          <w:tcPr>
            <w:tcW w:w="996" w:type="dxa"/>
          </w:tcPr>
          <w:p w14:paraId="0537184D" w14:textId="77777777" w:rsidR="00C7480F" w:rsidRPr="00156CD9" w:rsidRDefault="00C7480F" w:rsidP="00C7480F">
            <w:pPr>
              <w:jc w:val="center"/>
              <w:rPr>
                <w:rFonts w:ascii="Times New Roman" w:hAnsi="Times New Roman" w:cs="Times New Roman"/>
                <w:sz w:val="24"/>
                <w:szCs w:val="24"/>
              </w:rPr>
            </w:pPr>
          </w:p>
        </w:tc>
        <w:tc>
          <w:tcPr>
            <w:tcW w:w="837" w:type="dxa"/>
          </w:tcPr>
          <w:p w14:paraId="2DABEFC1" w14:textId="77777777" w:rsidR="00C7480F" w:rsidRPr="00156CD9" w:rsidRDefault="00C7480F" w:rsidP="00C7480F">
            <w:pPr>
              <w:jc w:val="center"/>
              <w:rPr>
                <w:rFonts w:ascii="Times New Roman" w:hAnsi="Times New Roman" w:cs="Times New Roman"/>
                <w:sz w:val="24"/>
                <w:szCs w:val="24"/>
              </w:rPr>
            </w:pPr>
          </w:p>
        </w:tc>
        <w:tc>
          <w:tcPr>
            <w:tcW w:w="791" w:type="dxa"/>
          </w:tcPr>
          <w:p w14:paraId="38199847" w14:textId="77777777" w:rsidR="00C7480F" w:rsidRPr="00156CD9" w:rsidRDefault="00C7480F" w:rsidP="00C7480F">
            <w:pPr>
              <w:jc w:val="center"/>
              <w:rPr>
                <w:rFonts w:ascii="Times New Roman" w:hAnsi="Times New Roman" w:cs="Times New Roman"/>
                <w:sz w:val="24"/>
                <w:szCs w:val="24"/>
              </w:rPr>
            </w:pPr>
          </w:p>
        </w:tc>
      </w:tr>
      <w:tr w:rsidR="00C7480F" w:rsidRPr="00156CD9" w14:paraId="04DDC90A" w14:textId="77777777" w:rsidTr="00C7480F">
        <w:tc>
          <w:tcPr>
            <w:tcW w:w="2410" w:type="dxa"/>
            <w:vMerge w:val="restart"/>
          </w:tcPr>
          <w:p w14:paraId="496C0F70"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Educational level</w:t>
            </w:r>
          </w:p>
        </w:tc>
        <w:tc>
          <w:tcPr>
            <w:tcW w:w="1754" w:type="dxa"/>
          </w:tcPr>
          <w:p w14:paraId="5199068A"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No formal education</w:t>
            </w:r>
          </w:p>
        </w:tc>
        <w:tc>
          <w:tcPr>
            <w:tcW w:w="1068" w:type="dxa"/>
          </w:tcPr>
          <w:p w14:paraId="769CC794"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61</w:t>
            </w:r>
          </w:p>
        </w:tc>
        <w:tc>
          <w:tcPr>
            <w:tcW w:w="843" w:type="dxa"/>
          </w:tcPr>
          <w:p w14:paraId="77A164BC"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122</w:t>
            </w:r>
          </w:p>
        </w:tc>
        <w:tc>
          <w:tcPr>
            <w:tcW w:w="776" w:type="dxa"/>
          </w:tcPr>
          <w:p w14:paraId="05A276C3"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14</w:t>
            </w:r>
          </w:p>
        </w:tc>
        <w:tc>
          <w:tcPr>
            <w:tcW w:w="589" w:type="dxa"/>
          </w:tcPr>
          <w:p w14:paraId="44B2D10F"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6</w:t>
            </w:r>
          </w:p>
        </w:tc>
        <w:tc>
          <w:tcPr>
            <w:tcW w:w="996" w:type="dxa"/>
          </w:tcPr>
          <w:p w14:paraId="1B0B0B76"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63.275</w:t>
            </w:r>
          </w:p>
        </w:tc>
        <w:tc>
          <w:tcPr>
            <w:tcW w:w="837" w:type="dxa"/>
          </w:tcPr>
          <w:p w14:paraId="11C36DA2"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0.000</w:t>
            </w:r>
          </w:p>
        </w:tc>
        <w:tc>
          <w:tcPr>
            <w:tcW w:w="791" w:type="dxa"/>
          </w:tcPr>
          <w:p w14:paraId="1151A96F"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.261</w:t>
            </w:r>
          </w:p>
        </w:tc>
      </w:tr>
      <w:tr w:rsidR="00C7480F" w:rsidRPr="00156CD9" w14:paraId="6405DF5C" w14:textId="77777777" w:rsidTr="00C7480F">
        <w:tc>
          <w:tcPr>
            <w:tcW w:w="2410" w:type="dxa"/>
            <w:vMerge/>
          </w:tcPr>
          <w:p w14:paraId="4B764392" w14:textId="77777777" w:rsidR="00C7480F" w:rsidRPr="00156CD9" w:rsidRDefault="00C7480F" w:rsidP="00106FA4">
            <w:pPr>
              <w:jc w:val="both"/>
              <w:rPr>
                <w:rFonts w:ascii="Times New Roman" w:hAnsi="Times New Roman" w:cs="Times New Roman"/>
                <w:sz w:val="24"/>
                <w:szCs w:val="24"/>
              </w:rPr>
            </w:pPr>
          </w:p>
        </w:tc>
        <w:tc>
          <w:tcPr>
            <w:tcW w:w="1754" w:type="dxa"/>
          </w:tcPr>
          <w:p w14:paraId="130B280F"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Primary</w:t>
            </w:r>
          </w:p>
        </w:tc>
        <w:tc>
          <w:tcPr>
            <w:tcW w:w="1068" w:type="dxa"/>
          </w:tcPr>
          <w:p w14:paraId="2E0C9022"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w:t>
            </w:r>
          </w:p>
        </w:tc>
        <w:tc>
          <w:tcPr>
            <w:tcW w:w="843" w:type="dxa"/>
          </w:tcPr>
          <w:p w14:paraId="3302232C"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23</w:t>
            </w:r>
          </w:p>
        </w:tc>
        <w:tc>
          <w:tcPr>
            <w:tcW w:w="776" w:type="dxa"/>
          </w:tcPr>
          <w:p w14:paraId="740C1903"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w:t>
            </w:r>
          </w:p>
        </w:tc>
        <w:tc>
          <w:tcPr>
            <w:tcW w:w="589" w:type="dxa"/>
          </w:tcPr>
          <w:p w14:paraId="0F28739E" w14:textId="77777777" w:rsidR="00C7480F" w:rsidRPr="00156CD9" w:rsidRDefault="00C7480F" w:rsidP="00C7480F">
            <w:pPr>
              <w:jc w:val="center"/>
              <w:rPr>
                <w:rFonts w:ascii="Times New Roman" w:hAnsi="Times New Roman" w:cs="Times New Roman"/>
                <w:sz w:val="24"/>
                <w:szCs w:val="24"/>
              </w:rPr>
            </w:pPr>
          </w:p>
        </w:tc>
        <w:tc>
          <w:tcPr>
            <w:tcW w:w="996" w:type="dxa"/>
          </w:tcPr>
          <w:p w14:paraId="1DE81AB0" w14:textId="77777777" w:rsidR="00C7480F" w:rsidRPr="00156CD9" w:rsidRDefault="00C7480F" w:rsidP="00C7480F">
            <w:pPr>
              <w:jc w:val="center"/>
              <w:rPr>
                <w:rFonts w:ascii="Times New Roman" w:hAnsi="Times New Roman" w:cs="Times New Roman"/>
                <w:sz w:val="24"/>
                <w:szCs w:val="24"/>
              </w:rPr>
            </w:pPr>
          </w:p>
        </w:tc>
        <w:tc>
          <w:tcPr>
            <w:tcW w:w="837" w:type="dxa"/>
          </w:tcPr>
          <w:p w14:paraId="6C54A4CE" w14:textId="77777777" w:rsidR="00C7480F" w:rsidRPr="00156CD9" w:rsidRDefault="00C7480F" w:rsidP="00C7480F">
            <w:pPr>
              <w:jc w:val="center"/>
              <w:rPr>
                <w:rFonts w:ascii="Times New Roman" w:hAnsi="Times New Roman" w:cs="Times New Roman"/>
                <w:sz w:val="24"/>
                <w:szCs w:val="24"/>
              </w:rPr>
            </w:pPr>
          </w:p>
        </w:tc>
        <w:tc>
          <w:tcPr>
            <w:tcW w:w="791" w:type="dxa"/>
          </w:tcPr>
          <w:p w14:paraId="06436EFF" w14:textId="77777777" w:rsidR="00C7480F" w:rsidRPr="00156CD9" w:rsidRDefault="00C7480F" w:rsidP="00C7480F">
            <w:pPr>
              <w:ind w:left="60" w:right="60"/>
              <w:jc w:val="center"/>
              <w:rPr>
                <w:rFonts w:ascii="Times New Roman" w:hAnsi="Times New Roman" w:cs="Times New Roman"/>
                <w:sz w:val="24"/>
                <w:szCs w:val="24"/>
              </w:rPr>
            </w:pPr>
          </w:p>
        </w:tc>
      </w:tr>
      <w:tr w:rsidR="00C7480F" w:rsidRPr="00156CD9" w14:paraId="178B1774" w14:textId="77777777" w:rsidTr="00C7480F">
        <w:tc>
          <w:tcPr>
            <w:tcW w:w="2410" w:type="dxa"/>
            <w:vMerge/>
          </w:tcPr>
          <w:p w14:paraId="5056CB80" w14:textId="77777777" w:rsidR="00C7480F" w:rsidRPr="00156CD9" w:rsidRDefault="00C7480F" w:rsidP="00106FA4">
            <w:pPr>
              <w:jc w:val="both"/>
              <w:rPr>
                <w:rFonts w:ascii="Times New Roman" w:hAnsi="Times New Roman" w:cs="Times New Roman"/>
                <w:sz w:val="24"/>
                <w:szCs w:val="24"/>
              </w:rPr>
            </w:pPr>
          </w:p>
        </w:tc>
        <w:tc>
          <w:tcPr>
            <w:tcW w:w="1754" w:type="dxa"/>
          </w:tcPr>
          <w:p w14:paraId="2CC9C9BD"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Secondary</w:t>
            </w:r>
          </w:p>
        </w:tc>
        <w:tc>
          <w:tcPr>
            <w:tcW w:w="1068" w:type="dxa"/>
          </w:tcPr>
          <w:p w14:paraId="544D2223"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48</w:t>
            </w:r>
          </w:p>
        </w:tc>
        <w:tc>
          <w:tcPr>
            <w:tcW w:w="843" w:type="dxa"/>
          </w:tcPr>
          <w:p w14:paraId="2E2387AF"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21</w:t>
            </w:r>
          </w:p>
        </w:tc>
        <w:tc>
          <w:tcPr>
            <w:tcW w:w="776" w:type="dxa"/>
          </w:tcPr>
          <w:p w14:paraId="24191EC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w:t>
            </w:r>
          </w:p>
        </w:tc>
        <w:tc>
          <w:tcPr>
            <w:tcW w:w="589" w:type="dxa"/>
          </w:tcPr>
          <w:p w14:paraId="72BEF988" w14:textId="77777777" w:rsidR="00C7480F" w:rsidRPr="00156CD9" w:rsidRDefault="00C7480F" w:rsidP="00C7480F">
            <w:pPr>
              <w:jc w:val="center"/>
              <w:rPr>
                <w:rFonts w:ascii="Times New Roman" w:hAnsi="Times New Roman" w:cs="Times New Roman"/>
                <w:sz w:val="24"/>
                <w:szCs w:val="24"/>
              </w:rPr>
            </w:pPr>
          </w:p>
        </w:tc>
        <w:tc>
          <w:tcPr>
            <w:tcW w:w="996" w:type="dxa"/>
          </w:tcPr>
          <w:p w14:paraId="2377C18E" w14:textId="77777777" w:rsidR="00C7480F" w:rsidRPr="00156CD9" w:rsidRDefault="00C7480F" w:rsidP="00C7480F">
            <w:pPr>
              <w:jc w:val="center"/>
              <w:rPr>
                <w:rFonts w:ascii="Times New Roman" w:hAnsi="Times New Roman" w:cs="Times New Roman"/>
                <w:sz w:val="24"/>
                <w:szCs w:val="24"/>
              </w:rPr>
            </w:pPr>
          </w:p>
        </w:tc>
        <w:tc>
          <w:tcPr>
            <w:tcW w:w="837" w:type="dxa"/>
          </w:tcPr>
          <w:p w14:paraId="444934D6" w14:textId="77777777" w:rsidR="00C7480F" w:rsidRPr="00156CD9" w:rsidRDefault="00C7480F" w:rsidP="00C7480F">
            <w:pPr>
              <w:jc w:val="center"/>
              <w:rPr>
                <w:rFonts w:ascii="Times New Roman" w:hAnsi="Times New Roman" w:cs="Times New Roman"/>
                <w:sz w:val="24"/>
                <w:szCs w:val="24"/>
              </w:rPr>
            </w:pPr>
          </w:p>
        </w:tc>
        <w:tc>
          <w:tcPr>
            <w:tcW w:w="791" w:type="dxa"/>
          </w:tcPr>
          <w:p w14:paraId="477CBDD3" w14:textId="77777777" w:rsidR="00C7480F" w:rsidRPr="00156CD9" w:rsidRDefault="00C7480F" w:rsidP="00C7480F">
            <w:pPr>
              <w:ind w:left="60" w:right="60"/>
              <w:jc w:val="center"/>
              <w:rPr>
                <w:rFonts w:ascii="Times New Roman" w:hAnsi="Times New Roman" w:cs="Times New Roman"/>
                <w:sz w:val="24"/>
                <w:szCs w:val="24"/>
              </w:rPr>
            </w:pPr>
          </w:p>
        </w:tc>
      </w:tr>
      <w:tr w:rsidR="00C7480F" w:rsidRPr="00156CD9" w14:paraId="056E0AB2" w14:textId="77777777" w:rsidTr="00C7480F">
        <w:tc>
          <w:tcPr>
            <w:tcW w:w="2410" w:type="dxa"/>
            <w:vMerge/>
          </w:tcPr>
          <w:p w14:paraId="4E0F81C6" w14:textId="77777777" w:rsidR="00C7480F" w:rsidRPr="00156CD9" w:rsidRDefault="00C7480F" w:rsidP="00106FA4">
            <w:pPr>
              <w:jc w:val="both"/>
              <w:rPr>
                <w:rFonts w:ascii="Times New Roman" w:hAnsi="Times New Roman" w:cs="Times New Roman"/>
                <w:sz w:val="24"/>
                <w:szCs w:val="24"/>
              </w:rPr>
            </w:pPr>
          </w:p>
        </w:tc>
        <w:tc>
          <w:tcPr>
            <w:tcW w:w="1754" w:type="dxa"/>
          </w:tcPr>
          <w:p w14:paraId="43F27174"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Tertiary</w:t>
            </w:r>
          </w:p>
        </w:tc>
        <w:tc>
          <w:tcPr>
            <w:tcW w:w="1068" w:type="dxa"/>
          </w:tcPr>
          <w:p w14:paraId="46F757E4"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29</w:t>
            </w:r>
          </w:p>
        </w:tc>
        <w:tc>
          <w:tcPr>
            <w:tcW w:w="843" w:type="dxa"/>
          </w:tcPr>
          <w:p w14:paraId="19F39D1F"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w:t>
            </w:r>
          </w:p>
        </w:tc>
        <w:tc>
          <w:tcPr>
            <w:tcW w:w="776" w:type="dxa"/>
          </w:tcPr>
          <w:p w14:paraId="31DF7931"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w:t>
            </w:r>
          </w:p>
        </w:tc>
        <w:tc>
          <w:tcPr>
            <w:tcW w:w="589" w:type="dxa"/>
          </w:tcPr>
          <w:p w14:paraId="653918DA" w14:textId="77777777" w:rsidR="00C7480F" w:rsidRPr="00156CD9" w:rsidRDefault="00C7480F" w:rsidP="00C7480F">
            <w:pPr>
              <w:jc w:val="center"/>
              <w:rPr>
                <w:rFonts w:ascii="Times New Roman" w:hAnsi="Times New Roman" w:cs="Times New Roman"/>
                <w:sz w:val="24"/>
                <w:szCs w:val="24"/>
              </w:rPr>
            </w:pPr>
          </w:p>
        </w:tc>
        <w:tc>
          <w:tcPr>
            <w:tcW w:w="996" w:type="dxa"/>
          </w:tcPr>
          <w:p w14:paraId="5A7B4B0B" w14:textId="77777777" w:rsidR="00C7480F" w:rsidRPr="00156CD9" w:rsidRDefault="00C7480F" w:rsidP="00C7480F">
            <w:pPr>
              <w:jc w:val="center"/>
              <w:rPr>
                <w:rFonts w:ascii="Times New Roman" w:hAnsi="Times New Roman" w:cs="Times New Roman"/>
                <w:sz w:val="24"/>
                <w:szCs w:val="24"/>
              </w:rPr>
            </w:pPr>
          </w:p>
        </w:tc>
        <w:tc>
          <w:tcPr>
            <w:tcW w:w="837" w:type="dxa"/>
          </w:tcPr>
          <w:p w14:paraId="46FADBC2" w14:textId="77777777" w:rsidR="00C7480F" w:rsidRPr="00156CD9" w:rsidRDefault="00C7480F" w:rsidP="00C7480F">
            <w:pPr>
              <w:jc w:val="center"/>
              <w:rPr>
                <w:rFonts w:ascii="Times New Roman" w:hAnsi="Times New Roman" w:cs="Times New Roman"/>
                <w:sz w:val="24"/>
                <w:szCs w:val="24"/>
              </w:rPr>
            </w:pPr>
          </w:p>
        </w:tc>
        <w:tc>
          <w:tcPr>
            <w:tcW w:w="791" w:type="dxa"/>
          </w:tcPr>
          <w:p w14:paraId="20CD777F" w14:textId="77777777" w:rsidR="00C7480F" w:rsidRPr="00156CD9" w:rsidRDefault="00C7480F" w:rsidP="00C7480F">
            <w:pPr>
              <w:ind w:left="60" w:right="60"/>
              <w:jc w:val="center"/>
              <w:rPr>
                <w:rFonts w:ascii="Times New Roman" w:hAnsi="Times New Roman" w:cs="Times New Roman"/>
                <w:sz w:val="24"/>
                <w:szCs w:val="24"/>
              </w:rPr>
            </w:pPr>
          </w:p>
        </w:tc>
      </w:tr>
      <w:tr w:rsidR="00C7480F" w:rsidRPr="00156CD9" w14:paraId="78CC8930" w14:textId="77777777" w:rsidTr="00C7480F">
        <w:tc>
          <w:tcPr>
            <w:tcW w:w="2410" w:type="dxa"/>
            <w:vMerge w:val="restart"/>
          </w:tcPr>
          <w:p w14:paraId="699D140C"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Relationship to child</w:t>
            </w:r>
          </w:p>
        </w:tc>
        <w:tc>
          <w:tcPr>
            <w:tcW w:w="1754" w:type="dxa"/>
          </w:tcPr>
          <w:p w14:paraId="4A16F1D7"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Mother</w:t>
            </w:r>
          </w:p>
        </w:tc>
        <w:tc>
          <w:tcPr>
            <w:tcW w:w="1068" w:type="dxa"/>
          </w:tcPr>
          <w:p w14:paraId="6D48AB01"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90</w:t>
            </w:r>
          </w:p>
        </w:tc>
        <w:tc>
          <w:tcPr>
            <w:tcW w:w="843" w:type="dxa"/>
          </w:tcPr>
          <w:p w14:paraId="17D546C4"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96</w:t>
            </w:r>
          </w:p>
        </w:tc>
        <w:tc>
          <w:tcPr>
            <w:tcW w:w="776" w:type="dxa"/>
          </w:tcPr>
          <w:p w14:paraId="6C089B5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24</w:t>
            </w:r>
          </w:p>
        </w:tc>
        <w:tc>
          <w:tcPr>
            <w:tcW w:w="589" w:type="dxa"/>
          </w:tcPr>
          <w:p w14:paraId="213CB6D8"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6</w:t>
            </w:r>
          </w:p>
        </w:tc>
        <w:tc>
          <w:tcPr>
            <w:tcW w:w="996" w:type="dxa"/>
          </w:tcPr>
          <w:p w14:paraId="313F4CB8"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7.883</w:t>
            </w:r>
          </w:p>
        </w:tc>
        <w:tc>
          <w:tcPr>
            <w:tcW w:w="837" w:type="dxa"/>
          </w:tcPr>
          <w:p w14:paraId="646EF6EC"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.247</w:t>
            </w:r>
          </w:p>
        </w:tc>
        <w:tc>
          <w:tcPr>
            <w:tcW w:w="791" w:type="dxa"/>
          </w:tcPr>
          <w:p w14:paraId="1003B1E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.124</w:t>
            </w:r>
          </w:p>
        </w:tc>
      </w:tr>
      <w:tr w:rsidR="00C7480F" w:rsidRPr="00156CD9" w14:paraId="1AA522C9" w14:textId="77777777" w:rsidTr="00C7480F">
        <w:tc>
          <w:tcPr>
            <w:tcW w:w="2410" w:type="dxa"/>
            <w:vMerge/>
          </w:tcPr>
          <w:p w14:paraId="59B7DEF6" w14:textId="77777777" w:rsidR="00C7480F" w:rsidRPr="00156CD9" w:rsidRDefault="00C7480F" w:rsidP="00106FA4">
            <w:pPr>
              <w:jc w:val="both"/>
              <w:rPr>
                <w:rFonts w:ascii="Times New Roman" w:hAnsi="Times New Roman" w:cs="Times New Roman"/>
                <w:sz w:val="24"/>
                <w:szCs w:val="24"/>
              </w:rPr>
            </w:pPr>
          </w:p>
        </w:tc>
        <w:tc>
          <w:tcPr>
            <w:tcW w:w="1754" w:type="dxa"/>
          </w:tcPr>
          <w:p w14:paraId="7DF16C30"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Father</w:t>
            </w:r>
          </w:p>
        </w:tc>
        <w:tc>
          <w:tcPr>
            <w:tcW w:w="1068" w:type="dxa"/>
          </w:tcPr>
          <w:p w14:paraId="31D07210"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w:t>
            </w:r>
          </w:p>
        </w:tc>
        <w:tc>
          <w:tcPr>
            <w:tcW w:w="843" w:type="dxa"/>
          </w:tcPr>
          <w:p w14:paraId="24B496C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w:t>
            </w:r>
          </w:p>
        </w:tc>
        <w:tc>
          <w:tcPr>
            <w:tcW w:w="776" w:type="dxa"/>
          </w:tcPr>
          <w:p w14:paraId="3F08DDEE"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589" w:type="dxa"/>
          </w:tcPr>
          <w:p w14:paraId="5236CF8C" w14:textId="77777777" w:rsidR="00C7480F" w:rsidRPr="00156CD9" w:rsidRDefault="00C7480F" w:rsidP="00C7480F">
            <w:pPr>
              <w:jc w:val="center"/>
              <w:rPr>
                <w:rFonts w:ascii="Times New Roman" w:hAnsi="Times New Roman" w:cs="Times New Roman"/>
                <w:sz w:val="24"/>
                <w:szCs w:val="24"/>
              </w:rPr>
            </w:pPr>
          </w:p>
        </w:tc>
        <w:tc>
          <w:tcPr>
            <w:tcW w:w="996" w:type="dxa"/>
          </w:tcPr>
          <w:p w14:paraId="1BC510C4" w14:textId="77777777" w:rsidR="00C7480F" w:rsidRPr="00156CD9" w:rsidRDefault="00C7480F" w:rsidP="00C7480F">
            <w:pPr>
              <w:jc w:val="center"/>
              <w:rPr>
                <w:rFonts w:ascii="Times New Roman" w:hAnsi="Times New Roman" w:cs="Times New Roman"/>
                <w:sz w:val="24"/>
                <w:szCs w:val="24"/>
              </w:rPr>
            </w:pPr>
          </w:p>
        </w:tc>
        <w:tc>
          <w:tcPr>
            <w:tcW w:w="837" w:type="dxa"/>
          </w:tcPr>
          <w:p w14:paraId="7221000C" w14:textId="77777777" w:rsidR="00C7480F" w:rsidRPr="00156CD9" w:rsidRDefault="00C7480F" w:rsidP="00C7480F">
            <w:pPr>
              <w:jc w:val="center"/>
              <w:rPr>
                <w:rFonts w:ascii="Times New Roman" w:hAnsi="Times New Roman" w:cs="Times New Roman"/>
                <w:sz w:val="24"/>
                <w:szCs w:val="24"/>
              </w:rPr>
            </w:pPr>
          </w:p>
        </w:tc>
        <w:tc>
          <w:tcPr>
            <w:tcW w:w="791" w:type="dxa"/>
          </w:tcPr>
          <w:p w14:paraId="770BCC2F" w14:textId="77777777" w:rsidR="00C7480F" w:rsidRPr="00156CD9" w:rsidRDefault="00C7480F" w:rsidP="00C7480F">
            <w:pPr>
              <w:jc w:val="center"/>
              <w:rPr>
                <w:rFonts w:ascii="Times New Roman" w:hAnsi="Times New Roman" w:cs="Times New Roman"/>
                <w:sz w:val="24"/>
                <w:szCs w:val="24"/>
              </w:rPr>
            </w:pPr>
          </w:p>
        </w:tc>
      </w:tr>
      <w:tr w:rsidR="00C7480F" w:rsidRPr="00156CD9" w14:paraId="1C449370" w14:textId="77777777" w:rsidTr="00C7480F">
        <w:tc>
          <w:tcPr>
            <w:tcW w:w="2410" w:type="dxa"/>
            <w:vMerge/>
          </w:tcPr>
          <w:p w14:paraId="4C34284D" w14:textId="77777777" w:rsidR="00C7480F" w:rsidRPr="00156CD9" w:rsidRDefault="00C7480F" w:rsidP="00106FA4">
            <w:pPr>
              <w:jc w:val="both"/>
              <w:rPr>
                <w:rFonts w:ascii="Times New Roman" w:hAnsi="Times New Roman" w:cs="Times New Roman"/>
                <w:sz w:val="24"/>
                <w:szCs w:val="24"/>
              </w:rPr>
            </w:pPr>
          </w:p>
        </w:tc>
        <w:tc>
          <w:tcPr>
            <w:tcW w:w="1754" w:type="dxa"/>
          </w:tcPr>
          <w:p w14:paraId="07FADD0E"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Guardian</w:t>
            </w:r>
          </w:p>
        </w:tc>
        <w:tc>
          <w:tcPr>
            <w:tcW w:w="1068" w:type="dxa"/>
          </w:tcPr>
          <w:p w14:paraId="3DFF15B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45</w:t>
            </w:r>
          </w:p>
        </w:tc>
        <w:tc>
          <w:tcPr>
            <w:tcW w:w="843" w:type="dxa"/>
          </w:tcPr>
          <w:p w14:paraId="7DF0C6B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60</w:t>
            </w:r>
          </w:p>
        </w:tc>
        <w:tc>
          <w:tcPr>
            <w:tcW w:w="776" w:type="dxa"/>
          </w:tcPr>
          <w:p w14:paraId="19049EB8"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w:t>
            </w:r>
          </w:p>
        </w:tc>
        <w:tc>
          <w:tcPr>
            <w:tcW w:w="589" w:type="dxa"/>
          </w:tcPr>
          <w:p w14:paraId="6149C7E4" w14:textId="77777777" w:rsidR="00C7480F" w:rsidRPr="00156CD9" w:rsidRDefault="00C7480F" w:rsidP="00C7480F">
            <w:pPr>
              <w:jc w:val="center"/>
              <w:rPr>
                <w:rFonts w:ascii="Times New Roman" w:hAnsi="Times New Roman" w:cs="Times New Roman"/>
                <w:sz w:val="24"/>
                <w:szCs w:val="24"/>
              </w:rPr>
            </w:pPr>
          </w:p>
        </w:tc>
        <w:tc>
          <w:tcPr>
            <w:tcW w:w="996" w:type="dxa"/>
          </w:tcPr>
          <w:p w14:paraId="668667DE" w14:textId="77777777" w:rsidR="00C7480F" w:rsidRPr="00156CD9" w:rsidRDefault="00C7480F" w:rsidP="00C7480F">
            <w:pPr>
              <w:jc w:val="center"/>
              <w:rPr>
                <w:rFonts w:ascii="Times New Roman" w:hAnsi="Times New Roman" w:cs="Times New Roman"/>
                <w:sz w:val="24"/>
                <w:szCs w:val="24"/>
              </w:rPr>
            </w:pPr>
          </w:p>
        </w:tc>
        <w:tc>
          <w:tcPr>
            <w:tcW w:w="837" w:type="dxa"/>
          </w:tcPr>
          <w:p w14:paraId="4D4B9B05" w14:textId="77777777" w:rsidR="00C7480F" w:rsidRPr="00156CD9" w:rsidRDefault="00C7480F" w:rsidP="00C7480F">
            <w:pPr>
              <w:jc w:val="center"/>
              <w:rPr>
                <w:rFonts w:ascii="Times New Roman" w:hAnsi="Times New Roman" w:cs="Times New Roman"/>
                <w:sz w:val="24"/>
                <w:szCs w:val="24"/>
              </w:rPr>
            </w:pPr>
          </w:p>
        </w:tc>
        <w:tc>
          <w:tcPr>
            <w:tcW w:w="791" w:type="dxa"/>
          </w:tcPr>
          <w:p w14:paraId="6886F3D1" w14:textId="77777777" w:rsidR="00C7480F" w:rsidRPr="00156CD9" w:rsidRDefault="00C7480F" w:rsidP="00C7480F">
            <w:pPr>
              <w:ind w:left="60" w:right="60"/>
              <w:jc w:val="center"/>
              <w:rPr>
                <w:rFonts w:ascii="Times New Roman" w:hAnsi="Times New Roman" w:cs="Times New Roman"/>
                <w:sz w:val="24"/>
                <w:szCs w:val="24"/>
              </w:rPr>
            </w:pPr>
          </w:p>
        </w:tc>
      </w:tr>
      <w:tr w:rsidR="00C7480F" w:rsidRPr="00156CD9" w14:paraId="7179FFE7" w14:textId="77777777" w:rsidTr="00C7480F">
        <w:tc>
          <w:tcPr>
            <w:tcW w:w="2410" w:type="dxa"/>
            <w:vMerge/>
          </w:tcPr>
          <w:p w14:paraId="0DD8E27E" w14:textId="77777777" w:rsidR="00C7480F" w:rsidRPr="00156CD9" w:rsidRDefault="00C7480F" w:rsidP="00106FA4">
            <w:pPr>
              <w:jc w:val="both"/>
              <w:rPr>
                <w:rFonts w:ascii="Times New Roman" w:hAnsi="Times New Roman" w:cs="Times New Roman"/>
                <w:sz w:val="24"/>
                <w:szCs w:val="24"/>
              </w:rPr>
            </w:pPr>
          </w:p>
        </w:tc>
        <w:tc>
          <w:tcPr>
            <w:tcW w:w="1754" w:type="dxa"/>
          </w:tcPr>
          <w:p w14:paraId="5475B518"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Other</w:t>
            </w:r>
          </w:p>
        </w:tc>
        <w:tc>
          <w:tcPr>
            <w:tcW w:w="1068" w:type="dxa"/>
          </w:tcPr>
          <w:p w14:paraId="42B131D6"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843" w:type="dxa"/>
          </w:tcPr>
          <w:p w14:paraId="22D1A999"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w:t>
            </w:r>
          </w:p>
        </w:tc>
        <w:tc>
          <w:tcPr>
            <w:tcW w:w="776" w:type="dxa"/>
          </w:tcPr>
          <w:p w14:paraId="606417AA"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589" w:type="dxa"/>
          </w:tcPr>
          <w:p w14:paraId="7AECC0BA" w14:textId="77777777" w:rsidR="00C7480F" w:rsidRPr="00156CD9" w:rsidRDefault="00C7480F" w:rsidP="00C7480F">
            <w:pPr>
              <w:jc w:val="center"/>
              <w:rPr>
                <w:rFonts w:ascii="Times New Roman" w:hAnsi="Times New Roman" w:cs="Times New Roman"/>
                <w:sz w:val="24"/>
                <w:szCs w:val="24"/>
              </w:rPr>
            </w:pPr>
          </w:p>
        </w:tc>
        <w:tc>
          <w:tcPr>
            <w:tcW w:w="996" w:type="dxa"/>
          </w:tcPr>
          <w:p w14:paraId="67AA95F4" w14:textId="77777777" w:rsidR="00C7480F" w:rsidRPr="00156CD9" w:rsidRDefault="00C7480F" w:rsidP="00C7480F">
            <w:pPr>
              <w:jc w:val="center"/>
              <w:rPr>
                <w:rFonts w:ascii="Times New Roman" w:hAnsi="Times New Roman" w:cs="Times New Roman"/>
                <w:sz w:val="24"/>
                <w:szCs w:val="24"/>
              </w:rPr>
            </w:pPr>
          </w:p>
        </w:tc>
        <w:tc>
          <w:tcPr>
            <w:tcW w:w="837" w:type="dxa"/>
          </w:tcPr>
          <w:p w14:paraId="1647B18C" w14:textId="77777777" w:rsidR="00C7480F" w:rsidRPr="00156CD9" w:rsidRDefault="00C7480F" w:rsidP="00C7480F">
            <w:pPr>
              <w:jc w:val="center"/>
              <w:rPr>
                <w:rFonts w:ascii="Times New Roman" w:hAnsi="Times New Roman" w:cs="Times New Roman"/>
                <w:sz w:val="24"/>
                <w:szCs w:val="24"/>
              </w:rPr>
            </w:pPr>
          </w:p>
        </w:tc>
        <w:tc>
          <w:tcPr>
            <w:tcW w:w="791" w:type="dxa"/>
          </w:tcPr>
          <w:p w14:paraId="5772FDA8" w14:textId="77777777" w:rsidR="00C7480F" w:rsidRPr="00156CD9" w:rsidRDefault="00C7480F" w:rsidP="00C7480F">
            <w:pPr>
              <w:ind w:left="60" w:right="60"/>
              <w:jc w:val="center"/>
              <w:rPr>
                <w:rFonts w:ascii="Times New Roman" w:hAnsi="Times New Roman" w:cs="Times New Roman"/>
                <w:sz w:val="24"/>
                <w:szCs w:val="24"/>
              </w:rPr>
            </w:pPr>
          </w:p>
        </w:tc>
      </w:tr>
      <w:tr w:rsidR="00C7480F" w:rsidRPr="00156CD9" w14:paraId="06D02EB2" w14:textId="77777777" w:rsidTr="00C7480F">
        <w:tc>
          <w:tcPr>
            <w:tcW w:w="2410" w:type="dxa"/>
            <w:vMerge w:val="restart"/>
          </w:tcPr>
          <w:p w14:paraId="705B3401"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Household income level</w:t>
            </w:r>
          </w:p>
        </w:tc>
        <w:tc>
          <w:tcPr>
            <w:tcW w:w="1754" w:type="dxa"/>
          </w:tcPr>
          <w:p w14:paraId="75E70A90"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Low</w:t>
            </w:r>
          </w:p>
        </w:tc>
        <w:tc>
          <w:tcPr>
            <w:tcW w:w="1068" w:type="dxa"/>
          </w:tcPr>
          <w:p w14:paraId="3B8D2E6C"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42</w:t>
            </w:r>
          </w:p>
        </w:tc>
        <w:tc>
          <w:tcPr>
            <w:tcW w:w="843" w:type="dxa"/>
          </w:tcPr>
          <w:p w14:paraId="323AC5AB"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125</w:t>
            </w:r>
          </w:p>
        </w:tc>
        <w:tc>
          <w:tcPr>
            <w:tcW w:w="776" w:type="dxa"/>
          </w:tcPr>
          <w:p w14:paraId="13BE0232"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19</w:t>
            </w:r>
          </w:p>
        </w:tc>
        <w:tc>
          <w:tcPr>
            <w:tcW w:w="589" w:type="dxa"/>
          </w:tcPr>
          <w:p w14:paraId="7B67002B"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w:t>
            </w:r>
          </w:p>
        </w:tc>
        <w:tc>
          <w:tcPr>
            <w:tcW w:w="996" w:type="dxa"/>
          </w:tcPr>
          <w:p w14:paraId="397E60D1"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67.052</w:t>
            </w:r>
          </w:p>
        </w:tc>
        <w:tc>
          <w:tcPr>
            <w:tcW w:w="837" w:type="dxa"/>
          </w:tcPr>
          <w:p w14:paraId="4054FAAE"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791" w:type="dxa"/>
          </w:tcPr>
          <w:p w14:paraId="1721CD5D" w14:textId="7FDDBF84"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.334</w:t>
            </w:r>
          </w:p>
        </w:tc>
      </w:tr>
      <w:tr w:rsidR="00C7480F" w:rsidRPr="00156CD9" w14:paraId="5601AFD3" w14:textId="77777777" w:rsidTr="00C7480F">
        <w:tc>
          <w:tcPr>
            <w:tcW w:w="2410" w:type="dxa"/>
            <w:vMerge/>
          </w:tcPr>
          <w:p w14:paraId="7B9C2832" w14:textId="77777777" w:rsidR="00C7480F" w:rsidRPr="00156CD9" w:rsidRDefault="00C7480F" w:rsidP="00106FA4">
            <w:pPr>
              <w:jc w:val="both"/>
              <w:rPr>
                <w:rFonts w:ascii="Times New Roman" w:hAnsi="Times New Roman" w:cs="Times New Roman"/>
                <w:sz w:val="24"/>
                <w:szCs w:val="24"/>
              </w:rPr>
            </w:pPr>
          </w:p>
        </w:tc>
        <w:tc>
          <w:tcPr>
            <w:tcW w:w="1754" w:type="dxa"/>
          </w:tcPr>
          <w:p w14:paraId="30BEF595" w14:textId="77777777" w:rsidR="00C7480F" w:rsidRPr="00156CD9" w:rsidRDefault="00C7480F" w:rsidP="00C7480F">
            <w:pPr>
              <w:ind w:left="60" w:right="60"/>
              <w:rPr>
                <w:rFonts w:ascii="Times New Roman" w:hAnsi="Times New Roman" w:cs="Times New Roman"/>
                <w:sz w:val="24"/>
                <w:szCs w:val="24"/>
              </w:rPr>
            </w:pPr>
            <w:r w:rsidRPr="00156CD9">
              <w:rPr>
                <w:rFonts w:ascii="Times New Roman" w:hAnsi="Times New Roman" w:cs="Times New Roman"/>
                <w:sz w:val="24"/>
                <w:szCs w:val="24"/>
              </w:rPr>
              <w:t>Medium</w:t>
            </w:r>
          </w:p>
        </w:tc>
        <w:tc>
          <w:tcPr>
            <w:tcW w:w="1068" w:type="dxa"/>
          </w:tcPr>
          <w:p w14:paraId="28E032DE"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106</w:t>
            </w:r>
          </w:p>
        </w:tc>
        <w:tc>
          <w:tcPr>
            <w:tcW w:w="843" w:type="dxa"/>
          </w:tcPr>
          <w:p w14:paraId="3C0C2B0B"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43</w:t>
            </w:r>
          </w:p>
        </w:tc>
        <w:tc>
          <w:tcPr>
            <w:tcW w:w="776" w:type="dxa"/>
          </w:tcPr>
          <w:p w14:paraId="39DC07E8" w14:textId="77777777" w:rsidR="00C7480F" w:rsidRPr="00156CD9" w:rsidRDefault="00C7480F"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15</w:t>
            </w:r>
          </w:p>
        </w:tc>
        <w:tc>
          <w:tcPr>
            <w:tcW w:w="589" w:type="dxa"/>
          </w:tcPr>
          <w:p w14:paraId="492830FD" w14:textId="77777777" w:rsidR="00C7480F" w:rsidRPr="00156CD9" w:rsidRDefault="00C7480F" w:rsidP="00C7480F">
            <w:pPr>
              <w:jc w:val="center"/>
              <w:rPr>
                <w:rFonts w:ascii="Times New Roman" w:hAnsi="Times New Roman" w:cs="Times New Roman"/>
                <w:sz w:val="24"/>
                <w:szCs w:val="24"/>
              </w:rPr>
            </w:pPr>
          </w:p>
        </w:tc>
        <w:tc>
          <w:tcPr>
            <w:tcW w:w="996" w:type="dxa"/>
          </w:tcPr>
          <w:p w14:paraId="25EC2E5B" w14:textId="77777777" w:rsidR="00C7480F" w:rsidRPr="00156CD9" w:rsidRDefault="00C7480F" w:rsidP="00C7480F">
            <w:pPr>
              <w:jc w:val="center"/>
              <w:rPr>
                <w:rFonts w:ascii="Times New Roman" w:hAnsi="Times New Roman" w:cs="Times New Roman"/>
                <w:sz w:val="24"/>
                <w:szCs w:val="24"/>
              </w:rPr>
            </w:pPr>
          </w:p>
        </w:tc>
        <w:tc>
          <w:tcPr>
            <w:tcW w:w="837" w:type="dxa"/>
          </w:tcPr>
          <w:p w14:paraId="70BB27BB" w14:textId="77777777" w:rsidR="00C7480F" w:rsidRPr="00156CD9" w:rsidRDefault="00C7480F" w:rsidP="00C7480F">
            <w:pPr>
              <w:jc w:val="center"/>
              <w:rPr>
                <w:rFonts w:ascii="Times New Roman" w:hAnsi="Times New Roman" w:cs="Times New Roman"/>
                <w:sz w:val="24"/>
                <w:szCs w:val="24"/>
              </w:rPr>
            </w:pPr>
          </w:p>
        </w:tc>
        <w:tc>
          <w:tcPr>
            <w:tcW w:w="791" w:type="dxa"/>
          </w:tcPr>
          <w:p w14:paraId="56F0267F" w14:textId="77777777" w:rsidR="00C7480F" w:rsidRPr="00156CD9" w:rsidRDefault="00C7480F" w:rsidP="00C7480F">
            <w:pPr>
              <w:jc w:val="center"/>
              <w:rPr>
                <w:rFonts w:ascii="Times New Roman" w:hAnsi="Times New Roman" w:cs="Times New Roman"/>
                <w:sz w:val="24"/>
                <w:szCs w:val="24"/>
              </w:rPr>
            </w:pPr>
          </w:p>
        </w:tc>
      </w:tr>
      <w:tr w:rsidR="00C7480F" w:rsidRPr="00156CD9" w14:paraId="179194AD" w14:textId="77777777" w:rsidTr="00C7480F">
        <w:tc>
          <w:tcPr>
            <w:tcW w:w="2410" w:type="dxa"/>
            <w:vMerge w:val="restart"/>
          </w:tcPr>
          <w:p w14:paraId="19C31BC1" w14:textId="77777777" w:rsidR="00C7480F" w:rsidRPr="00156CD9" w:rsidRDefault="00C7480F" w:rsidP="00C7480F">
            <w:pPr>
              <w:autoSpaceDE w:val="0"/>
              <w:autoSpaceDN w:val="0"/>
              <w:adjustRightInd w:val="0"/>
              <w:ind w:left="60" w:right="60"/>
              <w:rPr>
                <w:rFonts w:ascii="Times New Roman" w:hAnsi="Times New Roman" w:cs="Times New Roman"/>
                <w:sz w:val="24"/>
                <w:szCs w:val="24"/>
              </w:rPr>
            </w:pPr>
            <w:r w:rsidRPr="00156CD9">
              <w:rPr>
                <w:rFonts w:ascii="Times New Roman" w:hAnsi="Times New Roman" w:cs="Times New Roman"/>
                <w:sz w:val="24"/>
                <w:szCs w:val="24"/>
              </w:rPr>
              <w:t>Are you aware that a child requires immunization in the second year of life (12–24 months)?</w:t>
            </w:r>
          </w:p>
        </w:tc>
        <w:tc>
          <w:tcPr>
            <w:tcW w:w="1754" w:type="dxa"/>
          </w:tcPr>
          <w:p w14:paraId="6D0C7661" w14:textId="77777777" w:rsidR="00C7480F" w:rsidRPr="00156CD9" w:rsidRDefault="00C7480F" w:rsidP="00C7480F">
            <w:pPr>
              <w:autoSpaceDE w:val="0"/>
              <w:autoSpaceDN w:val="0"/>
              <w:adjustRightInd w:val="0"/>
              <w:ind w:left="60" w:right="60"/>
              <w:rPr>
                <w:rFonts w:ascii="Times New Roman" w:hAnsi="Times New Roman" w:cs="Times New Roman"/>
                <w:sz w:val="24"/>
                <w:szCs w:val="24"/>
              </w:rPr>
            </w:pPr>
            <w:r w:rsidRPr="00156CD9">
              <w:rPr>
                <w:rFonts w:ascii="Times New Roman" w:hAnsi="Times New Roman" w:cs="Times New Roman"/>
                <w:sz w:val="24"/>
                <w:szCs w:val="24"/>
              </w:rPr>
              <w:t>No</w:t>
            </w:r>
          </w:p>
        </w:tc>
        <w:tc>
          <w:tcPr>
            <w:tcW w:w="1068" w:type="dxa"/>
          </w:tcPr>
          <w:p w14:paraId="12265B15" w14:textId="77777777" w:rsidR="00C7480F" w:rsidRPr="00156CD9" w:rsidRDefault="00C7480F" w:rsidP="00C7480F">
            <w:pPr>
              <w:autoSpaceDE w:val="0"/>
              <w:autoSpaceDN w:val="0"/>
              <w:adjustRightInd w:val="0"/>
              <w:ind w:left="60" w:right="60"/>
              <w:jc w:val="center"/>
              <w:rPr>
                <w:rFonts w:ascii="Times New Roman" w:hAnsi="Times New Roman" w:cs="Times New Roman"/>
                <w:sz w:val="24"/>
                <w:szCs w:val="24"/>
              </w:rPr>
            </w:pPr>
            <w:r w:rsidRPr="00156CD9">
              <w:rPr>
                <w:rFonts w:ascii="Times New Roman" w:hAnsi="Times New Roman" w:cs="Times New Roman"/>
                <w:sz w:val="24"/>
                <w:szCs w:val="24"/>
              </w:rPr>
              <w:t>3</w:t>
            </w:r>
          </w:p>
        </w:tc>
        <w:tc>
          <w:tcPr>
            <w:tcW w:w="843" w:type="dxa"/>
          </w:tcPr>
          <w:p w14:paraId="6480E136" w14:textId="77777777" w:rsidR="00C7480F" w:rsidRPr="00156CD9" w:rsidRDefault="00C7480F" w:rsidP="00C7480F">
            <w:pPr>
              <w:autoSpaceDE w:val="0"/>
              <w:autoSpaceDN w:val="0"/>
              <w:adjustRightInd w:val="0"/>
              <w:ind w:left="60" w:right="60"/>
              <w:jc w:val="center"/>
              <w:rPr>
                <w:rFonts w:ascii="Times New Roman" w:hAnsi="Times New Roman" w:cs="Times New Roman"/>
                <w:sz w:val="24"/>
                <w:szCs w:val="24"/>
              </w:rPr>
            </w:pPr>
            <w:r w:rsidRPr="00156CD9">
              <w:rPr>
                <w:rFonts w:ascii="Times New Roman" w:hAnsi="Times New Roman" w:cs="Times New Roman"/>
                <w:sz w:val="24"/>
                <w:szCs w:val="24"/>
              </w:rPr>
              <w:t>152</w:t>
            </w:r>
          </w:p>
        </w:tc>
        <w:tc>
          <w:tcPr>
            <w:tcW w:w="776" w:type="dxa"/>
          </w:tcPr>
          <w:p w14:paraId="3F4CB161" w14:textId="77777777" w:rsidR="00C7480F" w:rsidRPr="00156CD9" w:rsidRDefault="00C7480F" w:rsidP="00C7480F">
            <w:pPr>
              <w:jc w:val="center"/>
              <w:rPr>
                <w:rFonts w:ascii="Times New Roman" w:hAnsi="Times New Roman" w:cs="Times New Roman"/>
                <w:sz w:val="24"/>
                <w:szCs w:val="24"/>
              </w:rPr>
            </w:pPr>
          </w:p>
        </w:tc>
        <w:tc>
          <w:tcPr>
            <w:tcW w:w="589" w:type="dxa"/>
          </w:tcPr>
          <w:p w14:paraId="7C3DAB21"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w:t>
            </w:r>
          </w:p>
        </w:tc>
        <w:tc>
          <w:tcPr>
            <w:tcW w:w="996" w:type="dxa"/>
          </w:tcPr>
          <w:p w14:paraId="64DB0979"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279.417</w:t>
            </w:r>
          </w:p>
        </w:tc>
        <w:tc>
          <w:tcPr>
            <w:tcW w:w="837" w:type="dxa"/>
          </w:tcPr>
          <w:p w14:paraId="420743CB"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0.000</w:t>
            </w:r>
          </w:p>
        </w:tc>
        <w:tc>
          <w:tcPr>
            <w:tcW w:w="791" w:type="dxa"/>
          </w:tcPr>
          <w:p w14:paraId="2BC09E9C"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4.25</w:t>
            </w:r>
          </w:p>
        </w:tc>
      </w:tr>
      <w:tr w:rsidR="00C7480F" w:rsidRPr="00156CD9" w14:paraId="52D8A4DF" w14:textId="77777777" w:rsidTr="00C7480F">
        <w:tc>
          <w:tcPr>
            <w:tcW w:w="2410" w:type="dxa"/>
            <w:vMerge/>
          </w:tcPr>
          <w:p w14:paraId="470167B2" w14:textId="77777777" w:rsidR="00C7480F" w:rsidRPr="00156CD9" w:rsidRDefault="00C7480F" w:rsidP="00106FA4">
            <w:pPr>
              <w:autoSpaceDE w:val="0"/>
              <w:autoSpaceDN w:val="0"/>
              <w:adjustRightInd w:val="0"/>
              <w:jc w:val="both"/>
              <w:rPr>
                <w:rFonts w:ascii="Times New Roman" w:hAnsi="Times New Roman" w:cs="Times New Roman"/>
                <w:sz w:val="24"/>
                <w:szCs w:val="24"/>
              </w:rPr>
            </w:pPr>
          </w:p>
        </w:tc>
        <w:tc>
          <w:tcPr>
            <w:tcW w:w="1754" w:type="dxa"/>
          </w:tcPr>
          <w:p w14:paraId="1BF3F002" w14:textId="77777777" w:rsidR="00C7480F" w:rsidRPr="00156CD9" w:rsidRDefault="00C7480F" w:rsidP="00C7480F">
            <w:pPr>
              <w:autoSpaceDE w:val="0"/>
              <w:autoSpaceDN w:val="0"/>
              <w:adjustRightInd w:val="0"/>
              <w:ind w:left="60" w:right="60"/>
              <w:rPr>
                <w:rFonts w:ascii="Times New Roman" w:hAnsi="Times New Roman" w:cs="Times New Roman"/>
                <w:sz w:val="24"/>
                <w:szCs w:val="24"/>
              </w:rPr>
            </w:pPr>
            <w:r w:rsidRPr="00156CD9">
              <w:rPr>
                <w:rFonts w:ascii="Times New Roman" w:hAnsi="Times New Roman" w:cs="Times New Roman"/>
                <w:sz w:val="24"/>
                <w:szCs w:val="24"/>
              </w:rPr>
              <w:t>Yes</w:t>
            </w:r>
          </w:p>
        </w:tc>
        <w:tc>
          <w:tcPr>
            <w:tcW w:w="1068" w:type="dxa"/>
          </w:tcPr>
          <w:p w14:paraId="784B361E" w14:textId="77777777" w:rsidR="00C7480F" w:rsidRPr="00156CD9" w:rsidRDefault="00C7480F" w:rsidP="00C7480F">
            <w:pPr>
              <w:autoSpaceDE w:val="0"/>
              <w:autoSpaceDN w:val="0"/>
              <w:adjustRightInd w:val="0"/>
              <w:ind w:left="60" w:right="60"/>
              <w:jc w:val="center"/>
              <w:rPr>
                <w:rFonts w:ascii="Times New Roman" w:hAnsi="Times New Roman" w:cs="Times New Roman"/>
                <w:sz w:val="24"/>
                <w:szCs w:val="24"/>
              </w:rPr>
            </w:pPr>
            <w:r w:rsidRPr="00156CD9">
              <w:rPr>
                <w:rFonts w:ascii="Times New Roman" w:hAnsi="Times New Roman" w:cs="Times New Roman"/>
                <w:sz w:val="24"/>
                <w:szCs w:val="24"/>
              </w:rPr>
              <w:t>145</w:t>
            </w:r>
          </w:p>
        </w:tc>
        <w:tc>
          <w:tcPr>
            <w:tcW w:w="843" w:type="dxa"/>
          </w:tcPr>
          <w:p w14:paraId="78682258" w14:textId="77777777" w:rsidR="00C7480F" w:rsidRPr="00156CD9" w:rsidRDefault="00C7480F" w:rsidP="00C7480F">
            <w:pPr>
              <w:autoSpaceDE w:val="0"/>
              <w:autoSpaceDN w:val="0"/>
              <w:adjustRightInd w:val="0"/>
              <w:ind w:left="60" w:right="60"/>
              <w:jc w:val="center"/>
              <w:rPr>
                <w:rFonts w:ascii="Times New Roman" w:hAnsi="Times New Roman" w:cs="Times New Roman"/>
                <w:sz w:val="24"/>
                <w:szCs w:val="24"/>
              </w:rPr>
            </w:pPr>
            <w:r w:rsidRPr="00156CD9">
              <w:rPr>
                <w:rFonts w:ascii="Times New Roman" w:hAnsi="Times New Roman" w:cs="Times New Roman"/>
                <w:sz w:val="24"/>
                <w:szCs w:val="24"/>
              </w:rPr>
              <w:t>16</w:t>
            </w:r>
          </w:p>
        </w:tc>
        <w:tc>
          <w:tcPr>
            <w:tcW w:w="776" w:type="dxa"/>
          </w:tcPr>
          <w:p w14:paraId="4DFA7724" w14:textId="77777777" w:rsidR="00C7480F" w:rsidRPr="00156CD9" w:rsidRDefault="00C7480F" w:rsidP="00C7480F">
            <w:pPr>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589" w:type="dxa"/>
          </w:tcPr>
          <w:p w14:paraId="1CB96C95" w14:textId="77777777" w:rsidR="00C7480F" w:rsidRPr="00156CD9" w:rsidRDefault="00C7480F" w:rsidP="00C7480F">
            <w:pPr>
              <w:jc w:val="center"/>
              <w:rPr>
                <w:rFonts w:ascii="Times New Roman" w:hAnsi="Times New Roman" w:cs="Times New Roman"/>
                <w:sz w:val="24"/>
                <w:szCs w:val="24"/>
              </w:rPr>
            </w:pPr>
          </w:p>
        </w:tc>
        <w:tc>
          <w:tcPr>
            <w:tcW w:w="996" w:type="dxa"/>
          </w:tcPr>
          <w:p w14:paraId="10875511" w14:textId="77777777" w:rsidR="00C7480F" w:rsidRPr="00156CD9" w:rsidRDefault="00C7480F" w:rsidP="00C7480F">
            <w:pPr>
              <w:jc w:val="center"/>
              <w:rPr>
                <w:rFonts w:ascii="Times New Roman" w:hAnsi="Times New Roman" w:cs="Times New Roman"/>
                <w:sz w:val="24"/>
                <w:szCs w:val="24"/>
              </w:rPr>
            </w:pPr>
          </w:p>
        </w:tc>
        <w:tc>
          <w:tcPr>
            <w:tcW w:w="837" w:type="dxa"/>
          </w:tcPr>
          <w:p w14:paraId="32D724D9" w14:textId="77777777" w:rsidR="00C7480F" w:rsidRPr="00156CD9" w:rsidRDefault="00C7480F" w:rsidP="00C7480F">
            <w:pPr>
              <w:jc w:val="center"/>
              <w:rPr>
                <w:rFonts w:ascii="Times New Roman" w:hAnsi="Times New Roman" w:cs="Times New Roman"/>
                <w:sz w:val="24"/>
                <w:szCs w:val="24"/>
              </w:rPr>
            </w:pPr>
          </w:p>
        </w:tc>
        <w:tc>
          <w:tcPr>
            <w:tcW w:w="791" w:type="dxa"/>
          </w:tcPr>
          <w:p w14:paraId="02AD711A" w14:textId="77777777" w:rsidR="00C7480F" w:rsidRPr="00156CD9" w:rsidRDefault="00C7480F" w:rsidP="00C7480F">
            <w:pPr>
              <w:jc w:val="center"/>
              <w:rPr>
                <w:rFonts w:ascii="Times New Roman" w:hAnsi="Times New Roman" w:cs="Times New Roman"/>
                <w:sz w:val="24"/>
                <w:szCs w:val="24"/>
              </w:rPr>
            </w:pPr>
          </w:p>
        </w:tc>
      </w:tr>
    </w:tbl>
    <w:p w14:paraId="76A9D987" w14:textId="77777777" w:rsidR="00732497" w:rsidRPr="00156CD9" w:rsidRDefault="00732497" w:rsidP="00732497">
      <w:pPr>
        <w:spacing w:line="360" w:lineRule="auto"/>
        <w:jc w:val="both"/>
        <w:rPr>
          <w:rFonts w:ascii="Times New Roman" w:hAnsi="Times New Roman" w:cs="Times New Roman"/>
          <w:sz w:val="24"/>
          <w:szCs w:val="24"/>
        </w:rPr>
      </w:pPr>
    </w:p>
    <w:p w14:paraId="5494B10E" w14:textId="77777777" w:rsidR="00B60CFC" w:rsidRDefault="00B60CFC" w:rsidP="00B60CFC">
      <w:pPr>
        <w:autoSpaceDE w:val="0"/>
        <w:autoSpaceDN w:val="0"/>
        <w:adjustRightInd w:val="0"/>
        <w:spacing w:after="0" w:line="360" w:lineRule="auto"/>
        <w:jc w:val="both"/>
        <w:rPr>
          <w:rFonts w:ascii="Times New Roman" w:hAnsi="Times New Roman" w:cs="Times New Roman"/>
          <w:sz w:val="24"/>
          <w:szCs w:val="24"/>
        </w:rPr>
      </w:pPr>
    </w:p>
    <w:p w14:paraId="46BBA80C" w14:textId="02CCC267" w:rsidR="00732497" w:rsidRDefault="00732497" w:rsidP="00732497">
      <w:pPr>
        <w:pStyle w:val="ListParagraph"/>
        <w:numPr>
          <w:ilvl w:val="0"/>
          <w:numId w:val="19"/>
        </w:numPr>
        <w:autoSpaceDE w:val="0"/>
        <w:autoSpaceDN w:val="0"/>
        <w:adjustRightInd w:val="0"/>
        <w:spacing w:after="0" w:line="360" w:lineRule="auto"/>
        <w:jc w:val="both"/>
        <w:rPr>
          <w:rFonts w:ascii="Times New Roman" w:hAnsi="Times New Roman" w:cs="Times New Roman"/>
          <w:b/>
          <w:sz w:val="24"/>
          <w:szCs w:val="24"/>
        </w:rPr>
      </w:pPr>
      <w:r w:rsidRPr="00732497">
        <w:rPr>
          <w:rFonts w:ascii="Times New Roman" w:hAnsi="Times New Roman" w:cs="Times New Roman"/>
          <w:b/>
          <w:sz w:val="24"/>
          <w:szCs w:val="24"/>
        </w:rPr>
        <w:t>Multiple Logistic R</w:t>
      </w:r>
      <w:r>
        <w:rPr>
          <w:rFonts w:ascii="Times New Roman" w:hAnsi="Times New Roman" w:cs="Times New Roman"/>
          <w:b/>
          <w:sz w:val="24"/>
          <w:szCs w:val="24"/>
        </w:rPr>
        <w:t>egression (Factors vs Completion of 2YL immunization)</w:t>
      </w:r>
    </w:p>
    <w:p w14:paraId="56719623" w14:textId="531CA855" w:rsidR="00732497" w:rsidRDefault="00732497" w:rsidP="00732497">
      <w:pPr>
        <w:spacing w:line="360" w:lineRule="auto"/>
        <w:jc w:val="both"/>
        <w:rPr>
          <w:rFonts w:ascii="Times New Roman" w:hAnsi="Times New Roman" w:cs="Times New Roman"/>
          <w:sz w:val="24"/>
          <w:szCs w:val="24"/>
        </w:rPr>
      </w:pPr>
      <w:r w:rsidRPr="00732497">
        <w:rPr>
          <w:rFonts w:ascii="Times New Roman" w:hAnsi="Times New Roman" w:cs="Times New Roman"/>
          <w:sz w:val="24"/>
          <w:szCs w:val="24"/>
        </w:rPr>
        <w:t>The results of the Logistic Regression on factors associated with completion of the 2YL immunization showed that gender was not statistically significant with completion of 2YL immunization. (P = 0.140; 95% CI=0.755–7.307). also, level of education was not significantly associated (P = 0.891). similarly, occupation was not a significant predictor of 2YL immunization completion. The relationship to the child was significantly associated with 2YL immunization completion. Income level shows a significant relationship with 2YL immunization completion. Respondents from low-income households had a significantly lower likelihood of completing the schedule (</w:t>
      </w:r>
      <w:proofErr w:type="spellStart"/>
      <w:r w:rsidRPr="00732497">
        <w:rPr>
          <w:rFonts w:ascii="Times New Roman" w:hAnsi="Times New Roman" w:cs="Times New Roman"/>
          <w:sz w:val="24"/>
          <w:szCs w:val="24"/>
        </w:rPr>
        <w:t>Exp</w:t>
      </w:r>
      <w:proofErr w:type="spellEnd"/>
      <w:r w:rsidR="008F0F95">
        <w:rPr>
          <w:rFonts w:ascii="Times New Roman" w:hAnsi="Times New Roman" w:cs="Times New Roman"/>
          <w:sz w:val="24"/>
          <w:szCs w:val="24"/>
        </w:rPr>
        <w:t xml:space="preserve"> </w:t>
      </w:r>
      <w:r w:rsidRPr="00732497">
        <w:rPr>
          <w:rFonts w:ascii="Times New Roman" w:hAnsi="Times New Roman" w:cs="Times New Roman"/>
          <w:sz w:val="24"/>
          <w:szCs w:val="24"/>
        </w:rPr>
        <w:t xml:space="preserve">(B) = 0.334, p = 0.034) compared to those from medium-income.  </w:t>
      </w:r>
      <w:r w:rsidR="002C0DC9">
        <w:rPr>
          <w:rFonts w:ascii="Times New Roman" w:hAnsi="Times New Roman" w:cs="Times New Roman"/>
          <w:sz w:val="24"/>
          <w:szCs w:val="24"/>
        </w:rPr>
        <w:t>See table 8</w:t>
      </w:r>
      <w:r>
        <w:rPr>
          <w:rFonts w:ascii="Times New Roman" w:hAnsi="Times New Roman" w:cs="Times New Roman"/>
          <w:sz w:val="24"/>
          <w:szCs w:val="24"/>
        </w:rPr>
        <w:t>.</w:t>
      </w:r>
    </w:p>
    <w:p w14:paraId="02009328" w14:textId="77777777" w:rsidR="00C7480F" w:rsidRDefault="00C7480F" w:rsidP="00732497">
      <w:pPr>
        <w:spacing w:line="360" w:lineRule="auto"/>
        <w:jc w:val="both"/>
        <w:rPr>
          <w:rFonts w:ascii="Times New Roman" w:hAnsi="Times New Roman" w:cs="Times New Roman"/>
          <w:sz w:val="24"/>
          <w:szCs w:val="24"/>
        </w:rPr>
      </w:pPr>
    </w:p>
    <w:p w14:paraId="6759532E" w14:textId="7728F911" w:rsidR="00B60CFC" w:rsidRPr="00156CD9" w:rsidRDefault="00B60CFC" w:rsidP="0073249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w:t>
      </w:r>
      <w:r w:rsidR="002C0DC9">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156CD9">
        <w:rPr>
          <w:rFonts w:ascii="Times New Roman" w:hAnsi="Times New Roman" w:cs="Times New Roman"/>
          <w:sz w:val="24"/>
          <w:szCs w:val="24"/>
        </w:rPr>
        <w:t xml:space="preserve">Summary of multiple logistic regression analysis showing factors associated with completion of 2YL immunization </w:t>
      </w:r>
    </w:p>
    <w:tbl>
      <w:tblPr>
        <w:tblStyle w:val="TableGrid"/>
        <w:tblW w:w="10467" w:type="dxa"/>
        <w:tblInd w:w="-572" w:type="dxa"/>
        <w:tblLayout w:type="fixed"/>
        <w:tblLook w:val="0000" w:firstRow="0" w:lastRow="0" w:firstColumn="0" w:lastColumn="0" w:noHBand="0" w:noVBand="0"/>
      </w:tblPr>
      <w:tblGrid>
        <w:gridCol w:w="2694"/>
        <w:gridCol w:w="1134"/>
        <w:gridCol w:w="992"/>
        <w:gridCol w:w="850"/>
        <w:gridCol w:w="993"/>
        <w:gridCol w:w="1275"/>
        <w:gridCol w:w="1179"/>
        <w:gridCol w:w="1350"/>
      </w:tblGrid>
      <w:tr w:rsidR="00887EC2" w:rsidRPr="00156CD9" w14:paraId="27A5E2E2" w14:textId="77777777" w:rsidTr="003F3044">
        <w:trPr>
          <w:trHeight w:val="611"/>
        </w:trPr>
        <w:tc>
          <w:tcPr>
            <w:tcW w:w="2694" w:type="dxa"/>
          </w:tcPr>
          <w:p w14:paraId="63A71F27" w14:textId="37DBF48D" w:rsidR="00887EC2" w:rsidRPr="00156CD9" w:rsidRDefault="00887EC2" w:rsidP="00C7480F">
            <w:pPr>
              <w:ind w:left="60" w:right="60"/>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7773" w:type="dxa"/>
            <w:gridSpan w:val="7"/>
          </w:tcPr>
          <w:p w14:paraId="6202FCB7" w14:textId="6D60DBC5" w:rsidR="00887EC2" w:rsidRPr="00156CD9" w:rsidRDefault="00887EC2" w:rsidP="00C7480F">
            <w:pPr>
              <w:ind w:left="60" w:right="60"/>
              <w:jc w:val="center"/>
              <w:rPr>
                <w:rFonts w:ascii="Times New Roman" w:hAnsi="Times New Roman" w:cs="Times New Roman"/>
                <w:b/>
                <w:sz w:val="24"/>
                <w:szCs w:val="24"/>
              </w:rPr>
            </w:pPr>
            <w:r>
              <w:rPr>
                <w:rFonts w:ascii="Times New Roman" w:hAnsi="Times New Roman" w:cs="Times New Roman"/>
                <w:b/>
                <w:sz w:val="24"/>
                <w:szCs w:val="24"/>
              </w:rPr>
              <w:t>Statistical Parameters</w:t>
            </w:r>
          </w:p>
        </w:tc>
      </w:tr>
      <w:tr w:rsidR="00B60CFC" w:rsidRPr="00156CD9" w14:paraId="1CC3A285" w14:textId="77777777" w:rsidTr="00C7480F">
        <w:trPr>
          <w:trHeight w:val="611"/>
        </w:trPr>
        <w:tc>
          <w:tcPr>
            <w:tcW w:w="2694" w:type="dxa"/>
            <w:vMerge w:val="restart"/>
          </w:tcPr>
          <w:p w14:paraId="68D8F788" w14:textId="77777777" w:rsidR="00B60CFC" w:rsidRPr="00156CD9" w:rsidRDefault="00B60CFC" w:rsidP="00C7480F">
            <w:pPr>
              <w:ind w:left="60" w:right="60"/>
              <w:jc w:val="center"/>
              <w:rPr>
                <w:rFonts w:ascii="Times New Roman" w:hAnsi="Times New Roman" w:cs="Times New Roman"/>
                <w:b/>
                <w:sz w:val="24"/>
                <w:szCs w:val="24"/>
              </w:rPr>
            </w:pPr>
            <w:r w:rsidRPr="00156CD9">
              <w:rPr>
                <w:rFonts w:ascii="Times New Roman" w:hAnsi="Times New Roman" w:cs="Times New Roman"/>
                <w:b/>
                <w:sz w:val="24"/>
                <w:szCs w:val="24"/>
              </w:rPr>
              <w:t>Did you complete the entire 2YL immunization schedule?</w:t>
            </w:r>
          </w:p>
        </w:tc>
        <w:tc>
          <w:tcPr>
            <w:tcW w:w="1134" w:type="dxa"/>
            <w:vMerge w:val="restart"/>
          </w:tcPr>
          <w:p w14:paraId="669D04DB" w14:textId="77777777" w:rsidR="00B60CFC" w:rsidRPr="00156CD9" w:rsidRDefault="00B60CFC" w:rsidP="00C7480F">
            <w:pPr>
              <w:ind w:left="60" w:right="60"/>
              <w:jc w:val="center"/>
              <w:rPr>
                <w:rFonts w:ascii="Times New Roman" w:hAnsi="Times New Roman" w:cs="Times New Roman"/>
                <w:b/>
                <w:sz w:val="24"/>
                <w:szCs w:val="24"/>
              </w:rPr>
            </w:pPr>
            <w:r w:rsidRPr="00156CD9">
              <w:rPr>
                <w:rFonts w:ascii="Times New Roman" w:hAnsi="Times New Roman" w:cs="Times New Roman"/>
                <w:b/>
                <w:sz w:val="24"/>
                <w:szCs w:val="24"/>
              </w:rPr>
              <w:t>Std. Error</w:t>
            </w:r>
          </w:p>
        </w:tc>
        <w:tc>
          <w:tcPr>
            <w:tcW w:w="992" w:type="dxa"/>
            <w:vMerge w:val="restart"/>
          </w:tcPr>
          <w:p w14:paraId="6B1A0A18" w14:textId="77777777" w:rsidR="00B60CFC" w:rsidRDefault="00B60CFC" w:rsidP="00C7480F">
            <w:pPr>
              <w:ind w:left="60" w:right="60"/>
              <w:jc w:val="center"/>
              <w:rPr>
                <w:rFonts w:ascii="Times New Roman" w:hAnsi="Times New Roman" w:cs="Times New Roman"/>
                <w:b/>
                <w:sz w:val="24"/>
                <w:szCs w:val="24"/>
              </w:rPr>
            </w:pPr>
            <w:r w:rsidRPr="00156CD9">
              <w:rPr>
                <w:rFonts w:ascii="Times New Roman" w:hAnsi="Times New Roman" w:cs="Times New Roman"/>
                <w:b/>
                <w:sz w:val="24"/>
                <w:szCs w:val="24"/>
              </w:rPr>
              <w:t>Wald</w:t>
            </w:r>
            <w:r w:rsidR="00C7480F">
              <w:rPr>
                <w:rFonts w:ascii="Times New Roman" w:hAnsi="Times New Roman" w:cs="Times New Roman"/>
                <w:b/>
                <w:sz w:val="24"/>
                <w:szCs w:val="24"/>
              </w:rPr>
              <w:t xml:space="preserve"> </w:t>
            </w:r>
          </w:p>
          <w:p w14:paraId="30D02757" w14:textId="77777777" w:rsidR="00C7480F" w:rsidRPr="00156CD9" w:rsidRDefault="00C7480F" w:rsidP="00C7480F">
            <w:pPr>
              <w:ind w:left="60" w:right="60"/>
              <w:jc w:val="center"/>
              <w:rPr>
                <w:rFonts w:ascii="Times New Roman" w:hAnsi="Times New Roman" w:cs="Times New Roman"/>
                <w:b/>
                <w:sz w:val="24"/>
                <w:szCs w:val="24"/>
              </w:rPr>
            </w:pPr>
          </w:p>
        </w:tc>
        <w:tc>
          <w:tcPr>
            <w:tcW w:w="850" w:type="dxa"/>
            <w:vMerge w:val="restart"/>
          </w:tcPr>
          <w:p w14:paraId="3C821005" w14:textId="77777777" w:rsidR="00B60CFC" w:rsidRPr="00156CD9" w:rsidRDefault="00B60CFC" w:rsidP="00C7480F">
            <w:pPr>
              <w:ind w:left="60" w:right="60"/>
              <w:jc w:val="center"/>
              <w:rPr>
                <w:rFonts w:ascii="Times New Roman" w:hAnsi="Times New Roman" w:cs="Times New Roman"/>
                <w:b/>
                <w:sz w:val="24"/>
                <w:szCs w:val="24"/>
              </w:rPr>
            </w:pPr>
            <w:proofErr w:type="spellStart"/>
            <w:r w:rsidRPr="00156CD9">
              <w:rPr>
                <w:rFonts w:ascii="Times New Roman" w:hAnsi="Times New Roman" w:cs="Times New Roman"/>
                <w:b/>
                <w:sz w:val="24"/>
                <w:szCs w:val="24"/>
              </w:rPr>
              <w:t>df</w:t>
            </w:r>
            <w:proofErr w:type="spellEnd"/>
          </w:p>
        </w:tc>
        <w:tc>
          <w:tcPr>
            <w:tcW w:w="993" w:type="dxa"/>
            <w:vMerge w:val="restart"/>
          </w:tcPr>
          <w:p w14:paraId="64AD5A5E" w14:textId="77777777" w:rsidR="00B60CFC" w:rsidRPr="00156CD9" w:rsidRDefault="00B60CFC" w:rsidP="00C7480F">
            <w:pPr>
              <w:ind w:left="60" w:right="60"/>
              <w:jc w:val="center"/>
              <w:rPr>
                <w:rFonts w:ascii="Times New Roman" w:hAnsi="Times New Roman" w:cs="Times New Roman"/>
                <w:b/>
                <w:sz w:val="24"/>
                <w:szCs w:val="24"/>
              </w:rPr>
            </w:pPr>
            <w:r w:rsidRPr="00156CD9">
              <w:rPr>
                <w:rFonts w:ascii="Times New Roman" w:hAnsi="Times New Roman" w:cs="Times New Roman"/>
                <w:b/>
                <w:sz w:val="24"/>
                <w:szCs w:val="24"/>
              </w:rPr>
              <w:t>Sig.</w:t>
            </w:r>
          </w:p>
        </w:tc>
        <w:tc>
          <w:tcPr>
            <w:tcW w:w="1275" w:type="dxa"/>
            <w:vMerge w:val="restart"/>
          </w:tcPr>
          <w:p w14:paraId="6970BE15" w14:textId="77777777" w:rsidR="00B60CFC" w:rsidRPr="00156CD9" w:rsidRDefault="00B60CFC" w:rsidP="00C7480F">
            <w:pPr>
              <w:ind w:left="60" w:right="60"/>
              <w:jc w:val="center"/>
              <w:rPr>
                <w:rFonts w:ascii="Times New Roman" w:hAnsi="Times New Roman" w:cs="Times New Roman"/>
                <w:b/>
                <w:sz w:val="24"/>
                <w:szCs w:val="24"/>
              </w:rPr>
            </w:pPr>
            <w:proofErr w:type="spellStart"/>
            <w:r w:rsidRPr="00156CD9">
              <w:rPr>
                <w:rFonts w:ascii="Times New Roman" w:hAnsi="Times New Roman" w:cs="Times New Roman"/>
                <w:b/>
                <w:sz w:val="24"/>
                <w:szCs w:val="24"/>
              </w:rPr>
              <w:t>Exp</w:t>
            </w:r>
            <w:proofErr w:type="spellEnd"/>
            <w:r w:rsidRPr="00156CD9">
              <w:rPr>
                <w:rFonts w:ascii="Times New Roman" w:hAnsi="Times New Roman" w:cs="Times New Roman"/>
                <w:b/>
                <w:sz w:val="24"/>
                <w:szCs w:val="24"/>
              </w:rPr>
              <w:t>(B)</w:t>
            </w:r>
          </w:p>
        </w:tc>
        <w:tc>
          <w:tcPr>
            <w:tcW w:w="2529" w:type="dxa"/>
            <w:gridSpan w:val="2"/>
          </w:tcPr>
          <w:p w14:paraId="25392816" w14:textId="77777777" w:rsidR="00B60CFC" w:rsidRPr="00156CD9" w:rsidRDefault="00B60CFC" w:rsidP="00C7480F">
            <w:pPr>
              <w:ind w:left="60" w:right="60"/>
              <w:jc w:val="center"/>
              <w:rPr>
                <w:rFonts w:ascii="Times New Roman" w:hAnsi="Times New Roman" w:cs="Times New Roman"/>
                <w:b/>
                <w:sz w:val="24"/>
                <w:szCs w:val="24"/>
              </w:rPr>
            </w:pPr>
            <w:r w:rsidRPr="00156CD9">
              <w:rPr>
                <w:rFonts w:ascii="Times New Roman" w:hAnsi="Times New Roman" w:cs="Times New Roman"/>
                <w:b/>
                <w:sz w:val="24"/>
                <w:szCs w:val="24"/>
              </w:rPr>
              <w:t xml:space="preserve">95% Confidence Interval for </w:t>
            </w:r>
            <w:proofErr w:type="spellStart"/>
            <w:r w:rsidRPr="00156CD9">
              <w:rPr>
                <w:rFonts w:ascii="Times New Roman" w:hAnsi="Times New Roman" w:cs="Times New Roman"/>
                <w:b/>
                <w:sz w:val="24"/>
                <w:szCs w:val="24"/>
              </w:rPr>
              <w:t>Exp</w:t>
            </w:r>
            <w:proofErr w:type="spellEnd"/>
            <w:r w:rsidRPr="00156CD9">
              <w:rPr>
                <w:rFonts w:ascii="Times New Roman" w:hAnsi="Times New Roman" w:cs="Times New Roman"/>
                <w:b/>
                <w:sz w:val="24"/>
                <w:szCs w:val="24"/>
              </w:rPr>
              <w:t>(B)</w:t>
            </w:r>
          </w:p>
        </w:tc>
      </w:tr>
      <w:tr w:rsidR="00B60CFC" w:rsidRPr="00156CD9" w14:paraId="072211E6" w14:textId="77777777" w:rsidTr="00C7480F">
        <w:trPr>
          <w:trHeight w:val="227"/>
        </w:trPr>
        <w:tc>
          <w:tcPr>
            <w:tcW w:w="2694" w:type="dxa"/>
            <w:vMerge/>
          </w:tcPr>
          <w:p w14:paraId="183E8995" w14:textId="61022D23" w:rsidR="00B60CFC" w:rsidRPr="00156CD9" w:rsidRDefault="00B60CFC" w:rsidP="00C7480F">
            <w:pPr>
              <w:jc w:val="center"/>
              <w:rPr>
                <w:rFonts w:ascii="Times New Roman" w:hAnsi="Times New Roman" w:cs="Times New Roman"/>
                <w:sz w:val="24"/>
                <w:szCs w:val="24"/>
              </w:rPr>
            </w:pPr>
          </w:p>
        </w:tc>
        <w:tc>
          <w:tcPr>
            <w:tcW w:w="1134" w:type="dxa"/>
            <w:vMerge/>
          </w:tcPr>
          <w:p w14:paraId="3230D4A0" w14:textId="77777777" w:rsidR="00B60CFC" w:rsidRPr="00156CD9" w:rsidRDefault="00B60CFC" w:rsidP="00C7480F">
            <w:pPr>
              <w:jc w:val="center"/>
              <w:rPr>
                <w:rFonts w:ascii="Times New Roman" w:hAnsi="Times New Roman" w:cs="Times New Roman"/>
                <w:sz w:val="24"/>
                <w:szCs w:val="24"/>
              </w:rPr>
            </w:pPr>
          </w:p>
        </w:tc>
        <w:tc>
          <w:tcPr>
            <w:tcW w:w="992" w:type="dxa"/>
            <w:vMerge/>
          </w:tcPr>
          <w:p w14:paraId="1659BA25" w14:textId="77777777" w:rsidR="00B60CFC" w:rsidRPr="00156CD9" w:rsidRDefault="00B60CFC" w:rsidP="00C7480F">
            <w:pPr>
              <w:jc w:val="center"/>
              <w:rPr>
                <w:rFonts w:ascii="Times New Roman" w:hAnsi="Times New Roman" w:cs="Times New Roman"/>
                <w:sz w:val="24"/>
                <w:szCs w:val="24"/>
              </w:rPr>
            </w:pPr>
          </w:p>
        </w:tc>
        <w:tc>
          <w:tcPr>
            <w:tcW w:w="850" w:type="dxa"/>
            <w:vMerge/>
          </w:tcPr>
          <w:p w14:paraId="0B46E3E1" w14:textId="77777777" w:rsidR="00B60CFC" w:rsidRPr="00156CD9" w:rsidRDefault="00B60CFC" w:rsidP="00C7480F">
            <w:pPr>
              <w:jc w:val="center"/>
              <w:rPr>
                <w:rFonts w:ascii="Times New Roman" w:hAnsi="Times New Roman" w:cs="Times New Roman"/>
                <w:sz w:val="24"/>
                <w:szCs w:val="24"/>
              </w:rPr>
            </w:pPr>
          </w:p>
        </w:tc>
        <w:tc>
          <w:tcPr>
            <w:tcW w:w="993" w:type="dxa"/>
            <w:vMerge/>
          </w:tcPr>
          <w:p w14:paraId="39A0D853" w14:textId="77777777" w:rsidR="00B60CFC" w:rsidRPr="00156CD9" w:rsidRDefault="00B60CFC" w:rsidP="00C7480F">
            <w:pPr>
              <w:jc w:val="center"/>
              <w:rPr>
                <w:rFonts w:ascii="Times New Roman" w:hAnsi="Times New Roman" w:cs="Times New Roman"/>
                <w:sz w:val="24"/>
                <w:szCs w:val="24"/>
              </w:rPr>
            </w:pPr>
          </w:p>
        </w:tc>
        <w:tc>
          <w:tcPr>
            <w:tcW w:w="1275" w:type="dxa"/>
            <w:vMerge/>
          </w:tcPr>
          <w:p w14:paraId="6A97BAB9" w14:textId="77777777" w:rsidR="00B60CFC" w:rsidRPr="00156CD9" w:rsidRDefault="00B60CFC" w:rsidP="00C7480F">
            <w:pPr>
              <w:jc w:val="center"/>
              <w:rPr>
                <w:rFonts w:ascii="Times New Roman" w:hAnsi="Times New Roman" w:cs="Times New Roman"/>
                <w:sz w:val="24"/>
                <w:szCs w:val="24"/>
              </w:rPr>
            </w:pPr>
          </w:p>
        </w:tc>
        <w:tc>
          <w:tcPr>
            <w:tcW w:w="1179" w:type="dxa"/>
          </w:tcPr>
          <w:p w14:paraId="59E32B7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Lower Bound</w:t>
            </w:r>
          </w:p>
        </w:tc>
        <w:tc>
          <w:tcPr>
            <w:tcW w:w="1350" w:type="dxa"/>
          </w:tcPr>
          <w:p w14:paraId="7B0843E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Upper Bound</w:t>
            </w:r>
          </w:p>
        </w:tc>
      </w:tr>
      <w:tr w:rsidR="00B60CFC" w:rsidRPr="00156CD9" w14:paraId="7F548176" w14:textId="77777777" w:rsidTr="00C7480F">
        <w:trPr>
          <w:trHeight w:val="431"/>
        </w:trPr>
        <w:tc>
          <w:tcPr>
            <w:tcW w:w="2694" w:type="dxa"/>
          </w:tcPr>
          <w:p w14:paraId="41154659"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Intercept</w:t>
            </w:r>
          </w:p>
        </w:tc>
        <w:tc>
          <w:tcPr>
            <w:tcW w:w="1134" w:type="dxa"/>
          </w:tcPr>
          <w:p w14:paraId="68389B1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23099.471</w:t>
            </w:r>
          </w:p>
        </w:tc>
        <w:tc>
          <w:tcPr>
            <w:tcW w:w="992" w:type="dxa"/>
          </w:tcPr>
          <w:p w14:paraId="5EA2F4F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2C9C43E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01E5DA2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.998</w:t>
            </w:r>
          </w:p>
        </w:tc>
        <w:tc>
          <w:tcPr>
            <w:tcW w:w="1275" w:type="dxa"/>
          </w:tcPr>
          <w:p w14:paraId="69EEA67D" w14:textId="77777777" w:rsidR="00B60CFC" w:rsidRPr="00156CD9" w:rsidRDefault="00B60CFC" w:rsidP="00C7480F">
            <w:pPr>
              <w:jc w:val="center"/>
              <w:rPr>
                <w:rFonts w:ascii="Times New Roman" w:hAnsi="Times New Roman" w:cs="Times New Roman"/>
                <w:sz w:val="24"/>
                <w:szCs w:val="24"/>
              </w:rPr>
            </w:pPr>
          </w:p>
        </w:tc>
        <w:tc>
          <w:tcPr>
            <w:tcW w:w="1179" w:type="dxa"/>
          </w:tcPr>
          <w:p w14:paraId="0375FC95" w14:textId="77777777" w:rsidR="00B60CFC" w:rsidRPr="00156CD9" w:rsidRDefault="00B60CFC" w:rsidP="00C7480F">
            <w:pPr>
              <w:jc w:val="center"/>
              <w:rPr>
                <w:rFonts w:ascii="Times New Roman" w:hAnsi="Times New Roman" w:cs="Times New Roman"/>
                <w:sz w:val="24"/>
                <w:szCs w:val="24"/>
              </w:rPr>
            </w:pPr>
          </w:p>
        </w:tc>
        <w:tc>
          <w:tcPr>
            <w:tcW w:w="1350" w:type="dxa"/>
          </w:tcPr>
          <w:p w14:paraId="60678B36" w14:textId="77777777" w:rsidR="00B60CFC" w:rsidRPr="00156CD9" w:rsidRDefault="00B60CFC" w:rsidP="00C7480F">
            <w:pPr>
              <w:jc w:val="center"/>
              <w:rPr>
                <w:rFonts w:ascii="Times New Roman" w:hAnsi="Times New Roman" w:cs="Times New Roman"/>
                <w:sz w:val="24"/>
                <w:szCs w:val="24"/>
              </w:rPr>
            </w:pPr>
          </w:p>
        </w:tc>
      </w:tr>
      <w:tr w:rsidR="00B60CFC" w:rsidRPr="00156CD9" w14:paraId="4DDBB2A5" w14:textId="77777777" w:rsidTr="00C7480F">
        <w:trPr>
          <w:trHeight w:val="227"/>
        </w:trPr>
        <w:tc>
          <w:tcPr>
            <w:tcW w:w="2694" w:type="dxa"/>
          </w:tcPr>
          <w:p w14:paraId="67F78CD1"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Male</w:t>
            </w:r>
          </w:p>
        </w:tc>
        <w:tc>
          <w:tcPr>
            <w:tcW w:w="1134" w:type="dxa"/>
          </w:tcPr>
          <w:p w14:paraId="1EE21EF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.579</w:t>
            </w:r>
          </w:p>
        </w:tc>
        <w:tc>
          <w:tcPr>
            <w:tcW w:w="992" w:type="dxa"/>
          </w:tcPr>
          <w:p w14:paraId="63CBD3C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2.176</w:t>
            </w:r>
          </w:p>
        </w:tc>
        <w:tc>
          <w:tcPr>
            <w:tcW w:w="850" w:type="dxa"/>
          </w:tcPr>
          <w:p w14:paraId="1D8893D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1B9DA14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.140</w:t>
            </w:r>
          </w:p>
        </w:tc>
        <w:tc>
          <w:tcPr>
            <w:tcW w:w="1275" w:type="dxa"/>
          </w:tcPr>
          <w:p w14:paraId="09414E1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2.349</w:t>
            </w:r>
          </w:p>
        </w:tc>
        <w:tc>
          <w:tcPr>
            <w:tcW w:w="1179" w:type="dxa"/>
          </w:tcPr>
          <w:p w14:paraId="295E1A7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.755</w:t>
            </w:r>
          </w:p>
        </w:tc>
        <w:tc>
          <w:tcPr>
            <w:tcW w:w="1350" w:type="dxa"/>
          </w:tcPr>
          <w:p w14:paraId="1A29BA4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7.307</w:t>
            </w:r>
          </w:p>
        </w:tc>
      </w:tr>
      <w:tr w:rsidR="00B60CFC" w:rsidRPr="00156CD9" w14:paraId="4B801AD5" w14:textId="77777777" w:rsidTr="00C7480F">
        <w:trPr>
          <w:trHeight w:val="293"/>
        </w:trPr>
        <w:tc>
          <w:tcPr>
            <w:tcW w:w="2694" w:type="dxa"/>
          </w:tcPr>
          <w:p w14:paraId="00614C05"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Female</w:t>
            </w:r>
          </w:p>
        </w:tc>
        <w:tc>
          <w:tcPr>
            <w:tcW w:w="1134" w:type="dxa"/>
          </w:tcPr>
          <w:p w14:paraId="2FAE1AC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992" w:type="dxa"/>
          </w:tcPr>
          <w:p w14:paraId="45454E2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0ED3456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993" w:type="dxa"/>
          </w:tcPr>
          <w:p w14:paraId="5A1AF64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57661A6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179" w:type="dxa"/>
          </w:tcPr>
          <w:p w14:paraId="030F550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350" w:type="dxa"/>
          </w:tcPr>
          <w:p w14:paraId="7E3ED50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r>
      <w:tr w:rsidR="00B60CFC" w:rsidRPr="00156CD9" w14:paraId="0AB3F913" w14:textId="77777777" w:rsidTr="00C7480F">
        <w:trPr>
          <w:trHeight w:val="293"/>
        </w:trPr>
        <w:tc>
          <w:tcPr>
            <w:tcW w:w="2694" w:type="dxa"/>
          </w:tcPr>
          <w:p w14:paraId="0C923652" w14:textId="4AAE4F6F" w:rsidR="00B60CFC" w:rsidRPr="00887EC2" w:rsidRDefault="00887EC2" w:rsidP="00B60CFC">
            <w:pPr>
              <w:ind w:left="60" w:right="60"/>
              <w:jc w:val="both"/>
              <w:rPr>
                <w:rFonts w:ascii="Times New Roman" w:hAnsi="Times New Roman" w:cs="Times New Roman"/>
                <w:b/>
                <w:sz w:val="24"/>
                <w:szCs w:val="24"/>
              </w:rPr>
            </w:pPr>
            <w:r>
              <w:rPr>
                <w:rFonts w:ascii="Times New Roman" w:hAnsi="Times New Roman" w:cs="Times New Roman"/>
                <w:b/>
                <w:sz w:val="24"/>
                <w:szCs w:val="24"/>
              </w:rPr>
              <w:t xml:space="preserve">Level of </w:t>
            </w:r>
            <w:r w:rsidRPr="00887EC2">
              <w:rPr>
                <w:rFonts w:ascii="Times New Roman" w:hAnsi="Times New Roman" w:cs="Times New Roman"/>
                <w:b/>
                <w:sz w:val="24"/>
                <w:szCs w:val="24"/>
              </w:rPr>
              <w:t>Education</w:t>
            </w:r>
          </w:p>
        </w:tc>
        <w:tc>
          <w:tcPr>
            <w:tcW w:w="1134" w:type="dxa"/>
          </w:tcPr>
          <w:p w14:paraId="603AB291" w14:textId="77777777" w:rsidR="00B60CFC" w:rsidRPr="00156CD9" w:rsidRDefault="00B60CFC" w:rsidP="00C7480F">
            <w:pPr>
              <w:ind w:left="60" w:right="60"/>
              <w:jc w:val="center"/>
              <w:rPr>
                <w:rFonts w:ascii="Times New Roman" w:hAnsi="Times New Roman" w:cs="Times New Roman"/>
                <w:sz w:val="24"/>
                <w:szCs w:val="24"/>
              </w:rPr>
            </w:pPr>
          </w:p>
        </w:tc>
        <w:tc>
          <w:tcPr>
            <w:tcW w:w="992" w:type="dxa"/>
          </w:tcPr>
          <w:p w14:paraId="46E14928" w14:textId="77777777" w:rsidR="00B60CFC" w:rsidRPr="00156CD9" w:rsidRDefault="00B60CFC" w:rsidP="00C7480F">
            <w:pPr>
              <w:ind w:left="60" w:right="60"/>
              <w:jc w:val="center"/>
              <w:rPr>
                <w:rFonts w:ascii="Times New Roman" w:hAnsi="Times New Roman" w:cs="Times New Roman"/>
                <w:sz w:val="24"/>
                <w:szCs w:val="24"/>
              </w:rPr>
            </w:pPr>
          </w:p>
        </w:tc>
        <w:tc>
          <w:tcPr>
            <w:tcW w:w="850" w:type="dxa"/>
          </w:tcPr>
          <w:p w14:paraId="4BC04D43" w14:textId="77777777" w:rsidR="00B60CFC" w:rsidRPr="00156CD9" w:rsidRDefault="00B60CFC" w:rsidP="00C7480F">
            <w:pPr>
              <w:ind w:left="60" w:right="60"/>
              <w:jc w:val="center"/>
              <w:rPr>
                <w:rFonts w:ascii="Times New Roman" w:hAnsi="Times New Roman" w:cs="Times New Roman"/>
                <w:sz w:val="24"/>
                <w:szCs w:val="24"/>
              </w:rPr>
            </w:pPr>
          </w:p>
        </w:tc>
        <w:tc>
          <w:tcPr>
            <w:tcW w:w="993" w:type="dxa"/>
          </w:tcPr>
          <w:p w14:paraId="2B60D2FD" w14:textId="77777777" w:rsidR="00B60CFC" w:rsidRPr="00156CD9" w:rsidRDefault="00B60CFC" w:rsidP="00C7480F">
            <w:pPr>
              <w:ind w:left="60" w:right="60"/>
              <w:jc w:val="center"/>
              <w:rPr>
                <w:rFonts w:ascii="Times New Roman" w:hAnsi="Times New Roman" w:cs="Times New Roman"/>
                <w:sz w:val="24"/>
                <w:szCs w:val="24"/>
              </w:rPr>
            </w:pPr>
          </w:p>
        </w:tc>
        <w:tc>
          <w:tcPr>
            <w:tcW w:w="1275" w:type="dxa"/>
          </w:tcPr>
          <w:p w14:paraId="3C8B10F9" w14:textId="77777777" w:rsidR="00B60CFC" w:rsidRPr="00156CD9" w:rsidRDefault="00B60CFC" w:rsidP="00C7480F">
            <w:pPr>
              <w:ind w:left="60" w:right="60"/>
              <w:jc w:val="center"/>
              <w:rPr>
                <w:rFonts w:ascii="Times New Roman" w:hAnsi="Times New Roman" w:cs="Times New Roman"/>
                <w:sz w:val="24"/>
                <w:szCs w:val="24"/>
              </w:rPr>
            </w:pPr>
          </w:p>
        </w:tc>
        <w:tc>
          <w:tcPr>
            <w:tcW w:w="1179" w:type="dxa"/>
          </w:tcPr>
          <w:p w14:paraId="3E16EADC" w14:textId="77777777" w:rsidR="00B60CFC" w:rsidRPr="00156CD9" w:rsidRDefault="00B60CFC" w:rsidP="00C7480F">
            <w:pPr>
              <w:ind w:left="60" w:right="60"/>
              <w:jc w:val="center"/>
              <w:rPr>
                <w:rFonts w:ascii="Times New Roman" w:hAnsi="Times New Roman" w:cs="Times New Roman"/>
                <w:sz w:val="24"/>
                <w:szCs w:val="24"/>
              </w:rPr>
            </w:pPr>
          </w:p>
        </w:tc>
        <w:tc>
          <w:tcPr>
            <w:tcW w:w="1350" w:type="dxa"/>
          </w:tcPr>
          <w:p w14:paraId="103CE1ED" w14:textId="77777777" w:rsidR="00B60CFC" w:rsidRPr="00156CD9" w:rsidRDefault="00B60CFC" w:rsidP="00C7480F">
            <w:pPr>
              <w:ind w:left="60" w:right="60"/>
              <w:jc w:val="center"/>
              <w:rPr>
                <w:rFonts w:ascii="Times New Roman" w:hAnsi="Times New Roman" w:cs="Times New Roman"/>
                <w:sz w:val="24"/>
                <w:szCs w:val="24"/>
              </w:rPr>
            </w:pPr>
          </w:p>
        </w:tc>
      </w:tr>
      <w:tr w:rsidR="00B60CFC" w:rsidRPr="00156CD9" w14:paraId="492ADF25" w14:textId="77777777" w:rsidTr="00C7480F">
        <w:trPr>
          <w:trHeight w:val="407"/>
        </w:trPr>
        <w:tc>
          <w:tcPr>
            <w:tcW w:w="2694" w:type="dxa"/>
          </w:tcPr>
          <w:p w14:paraId="3566F551"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No formal education</w:t>
            </w:r>
          </w:p>
        </w:tc>
        <w:tc>
          <w:tcPr>
            <w:tcW w:w="1134" w:type="dxa"/>
          </w:tcPr>
          <w:p w14:paraId="49DDECB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.862</w:t>
            </w:r>
          </w:p>
        </w:tc>
        <w:tc>
          <w:tcPr>
            <w:tcW w:w="992" w:type="dxa"/>
          </w:tcPr>
          <w:p w14:paraId="61CFA6A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.019</w:t>
            </w:r>
          </w:p>
        </w:tc>
        <w:tc>
          <w:tcPr>
            <w:tcW w:w="850" w:type="dxa"/>
          </w:tcPr>
          <w:p w14:paraId="763899D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7473037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.891</w:t>
            </w:r>
          </w:p>
        </w:tc>
        <w:tc>
          <w:tcPr>
            <w:tcW w:w="1275" w:type="dxa"/>
          </w:tcPr>
          <w:p w14:paraId="7B59640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.888</w:t>
            </w:r>
          </w:p>
        </w:tc>
        <w:tc>
          <w:tcPr>
            <w:tcW w:w="1179" w:type="dxa"/>
          </w:tcPr>
          <w:p w14:paraId="2F5EE1A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.164</w:t>
            </w:r>
          </w:p>
        </w:tc>
        <w:tc>
          <w:tcPr>
            <w:tcW w:w="1350" w:type="dxa"/>
          </w:tcPr>
          <w:p w14:paraId="66042C7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4.812</w:t>
            </w:r>
          </w:p>
        </w:tc>
      </w:tr>
      <w:tr w:rsidR="00B60CFC" w:rsidRPr="00156CD9" w14:paraId="4084AAE0" w14:textId="77777777" w:rsidTr="00C7480F">
        <w:trPr>
          <w:trHeight w:val="271"/>
        </w:trPr>
        <w:tc>
          <w:tcPr>
            <w:tcW w:w="2694" w:type="dxa"/>
          </w:tcPr>
          <w:p w14:paraId="0CBF6955"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Primary</w:t>
            </w:r>
          </w:p>
        </w:tc>
        <w:tc>
          <w:tcPr>
            <w:tcW w:w="1134" w:type="dxa"/>
          </w:tcPr>
          <w:p w14:paraId="2638A20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1.094</w:t>
            </w:r>
          </w:p>
        </w:tc>
        <w:tc>
          <w:tcPr>
            <w:tcW w:w="992" w:type="dxa"/>
          </w:tcPr>
          <w:p w14:paraId="65AC5FD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.094</w:t>
            </w:r>
          </w:p>
        </w:tc>
        <w:tc>
          <w:tcPr>
            <w:tcW w:w="850" w:type="dxa"/>
          </w:tcPr>
          <w:p w14:paraId="20E6E7D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555930A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.759</w:t>
            </w:r>
          </w:p>
        </w:tc>
        <w:tc>
          <w:tcPr>
            <w:tcW w:w="1275" w:type="dxa"/>
          </w:tcPr>
          <w:p w14:paraId="59AC085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1.398</w:t>
            </w:r>
          </w:p>
        </w:tc>
        <w:tc>
          <w:tcPr>
            <w:tcW w:w="1179" w:type="dxa"/>
          </w:tcPr>
          <w:p w14:paraId="37C9397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.164</w:t>
            </w:r>
          </w:p>
        </w:tc>
        <w:tc>
          <w:tcPr>
            <w:tcW w:w="1350" w:type="dxa"/>
          </w:tcPr>
          <w:p w14:paraId="3DAD683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11.932</w:t>
            </w:r>
          </w:p>
        </w:tc>
      </w:tr>
      <w:tr w:rsidR="00B60CFC" w:rsidRPr="00156CD9" w14:paraId="51B3DEA7" w14:textId="77777777" w:rsidTr="00C7480F">
        <w:trPr>
          <w:trHeight w:val="375"/>
        </w:trPr>
        <w:tc>
          <w:tcPr>
            <w:tcW w:w="2694" w:type="dxa"/>
          </w:tcPr>
          <w:p w14:paraId="3C9C2E7D"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Secondary</w:t>
            </w:r>
          </w:p>
        </w:tc>
        <w:tc>
          <w:tcPr>
            <w:tcW w:w="1134" w:type="dxa"/>
          </w:tcPr>
          <w:p w14:paraId="4EB0467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.892</w:t>
            </w:r>
          </w:p>
        </w:tc>
        <w:tc>
          <w:tcPr>
            <w:tcW w:w="992" w:type="dxa"/>
          </w:tcPr>
          <w:p w14:paraId="5B8BB03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.008</w:t>
            </w:r>
          </w:p>
        </w:tc>
        <w:tc>
          <w:tcPr>
            <w:tcW w:w="850" w:type="dxa"/>
          </w:tcPr>
          <w:p w14:paraId="18F3692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4D14A6D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.928</w:t>
            </w:r>
          </w:p>
        </w:tc>
        <w:tc>
          <w:tcPr>
            <w:tcW w:w="1275" w:type="dxa"/>
          </w:tcPr>
          <w:p w14:paraId="2C52A65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.922</w:t>
            </w:r>
          </w:p>
        </w:tc>
        <w:tc>
          <w:tcPr>
            <w:tcW w:w="1179" w:type="dxa"/>
          </w:tcPr>
          <w:p w14:paraId="79C3E53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.161</w:t>
            </w:r>
          </w:p>
        </w:tc>
        <w:tc>
          <w:tcPr>
            <w:tcW w:w="1350" w:type="dxa"/>
          </w:tcPr>
          <w:p w14:paraId="6B3E579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5.294</w:t>
            </w:r>
          </w:p>
        </w:tc>
      </w:tr>
      <w:tr w:rsidR="00B60CFC" w:rsidRPr="00156CD9" w14:paraId="02B0B571" w14:textId="77777777" w:rsidTr="00C7480F">
        <w:trPr>
          <w:trHeight w:val="125"/>
        </w:trPr>
        <w:tc>
          <w:tcPr>
            <w:tcW w:w="2694" w:type="dxa"/>
          </w:tcPr>
          <w:p w14:paraId="7C71848E"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Tertiary</w:t>
            </w:r>
          </w:p>
        </w:tc>
        <w:tc>
          <w:tcPr>
            <w:tcW w:w="1134" w:type="dxa"/>
          </w:tcPr>
          <w:p w14:paraId="29F73E4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992" w:type="dxa"/>
          </w:tcPr>
          <w:p w14:paraId="0D1C61C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14E046D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993" w:type="dxa"/>
          </w:tcPr>
          <w:p w14:paraId="7B0B8D3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053627C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179" w:type="dxa"/>
          </w:tcPr>
          <w:p w14:paraId="09A146E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350" w:type="dxa"/>
          </w:tcPr>
          <w:p w14:paraId="0B2AC41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r>
      <w:tr w:rsidR="00887EC2" w:rsidRPr="00156CD9" w14:paraId="61A6685D" w14:textId="77777777" w:rsidTr="00C7480F">
        <w:trPr>
          <w:trHeight w:val="216"/>
        </w:trPr>
        <w:tc>
          <w:tcPr>
            <w:tcW w:w="2694" w:type="dxa"/>
          </w:tcPr>
          <w:p w14:paraId="408B6568" w14:textId="47FE9C0A" w:rsidR="00887EC2" w:rsidRPr="00887EC2" w:rsidRDefault="00887EC2" w:rsidP="00B60CFC">
            <w:pPr>
              <w:ind w:left="60" w:right="60"/>
              <w:jc w:val="both"/>
              <w:rPr>
                <w:rFonts w:ascii="Times New Roman" w:hAnsi="Times New Roman" w:cs="Times New Roman"/>
                <w:b/>
                <w:sz w:val="24"/>
                <w:szCs w:val="24"/>
              </w:rPr>
            </w:pPr>
            <w:r w:rsidRPr="00887EC2">
              <w:rPr>
                <w:rFonts w:ascii="Times New Roman" w:hAnsi="Times New Roman" w:cs="Times New Roman"/>
                <w:b/>
                <w:sz w:val="24"/>
                <w:szCs w:val="24"/>
              </w:rPr>
              <w:t>Occupation</w:t>
            </w:r>
          </w:p>
        </w:tc>
        <w:tc>
          <w:tcPr>
            <w:tcW w:w="1134" w:type="dxa"/>
          </w:tcPr>
          <w:p w14:paraId="3EBE0B44" w14:textId="77777777" w:rsidR="00887EC2" w:rsidRPr="00156CD9" w:rsidRDefault="00887EC2" w:rsidP="00C7480F">
            <w:pPr>
              <w:ind w:left="60" w:right="60"/>
              <w:jc w:val="center"/>
              <w:rPr>
                <w:rFonts w:ascii="Times New Roman" w:hAnsi="Times New Roman" w:cs="Times New Roman"/>
                <w:sz w:val="24"/>
                <w:szCs w:val="24"/>
              </w:rPr>
            </w:pPr>
          </w:p>
        </w:tc>
        <w:tc>
          <w:tcPr>
            <w:tcW w:w="992" w:type="dxa"/>
          </w:tcPr>
          <w:p w14:paraId="1BC30A4B" w14:textId="77777777" w:rsidR="00887EC2" w:rsidRPr="00156CD9" w:rsidRDefault="00887EC2" w:rsidP="00C7480F">
            <w:pPr>
              <w:ind w:left="60" w:right="60"/>
              <w:jc w:val="center"/>
              <w:rPr>
                <w:rFonts w:ascii="Times New Roman" w:hAnsi="Times New Roman" w:cs="Times New Roman"/>
                <w:sz w:val="24"/>
                <w:szCs w:val="24"/>
              </w:rPr>
            </w:pPr>
          </w:p>
        </w:tc>
        <w:tc>
          <w:tcPr>
            <w:tcW w:w="850" w:type="dxa"/>
          </w:tcPr>
          <w:p w14:paraId="246EA9E0" w14:textId="77777777" w:rsidR="00887EC2" w:rsidRPr="00156CD9" w:rsidRDefault="00887EC2" w:rsidP="00C7480F">
            <w:pPr>
              <w:ind w:left="60" w:right="60"/>
              <w:jc w:val="center"/>
              <w:rPr>
                <w:rFonts w:ascii="Times New Roman" w:hAnsi="Times New Roman" w:cs="Times New Roman"/>
                <w:sz w:val="24"/>
                <w:szCs w:val="24"/>
              </w:rPr>
            </w:pPr>
          </w:p>
        </w:tc>
        <w:tc>
          <w:tcPr>
            <w:tcW w:w="993" w:type="dxa"/>
          </w:tcPr>
          <w:p w14:paraId="4477CCEB" w14:textId="77777777" w:rsidR="00887EC2" w:rsidRPr="00156CD9" w:rsidRDefault="00887EC2" w:rsidP="00C7480F">
            <w:pPr>
              <w:ind w:left="60" w:right="60"/>
              <w:jc w:val="center"/>
              <w:rPr>
                <w:rFonts w:ascii="Times New Roman" w:hAnsi="Times New Roman" w:cs="Times New Roman"/>
                <w:sz w:val="24"/>
                <w:szCs w:val="24"/>
              </w:rPr>
            </w:pPr>
          </w:p>
        </w:tc>
        <w:tc>
          <w:tcPr>
            <w:tcW w:w="1275" w:type="dxa"/>
          </w:tcPr>
          <w:p w14:paraId="42FD2558" w14:textId="77777777" w:rsidR="00887EC2" w:rsidRPr="00156CD9" w:rsidRDefault="00887EC2" w:rsidP="00C7480F">
            <w:pPr>
              <w:ind w:left="60" w:right="60"/>
              <w:jc w:val="center"/>
              <w:rPr>
                <w:rFonts w:ascii="Times New Roman" w:hAnsi="Times New Roman" w:cs="Times New Roman"/>
                <w:sz w:val="24"/>
                <w:szCs w:val="24"/>
              </w:rPr>
            </w:pPr>
          </w:p>
        </w:tc>
        <w:tc>
          <w:tcPr>
            <w:tcW w:w="1179" w:type="dxa"/>
          </w:tcPr>
          <w:p w14:paraId="048E6FDF" w14:textId="77777777" w:rsidR="00887EC2" w:rsidRPr="00156CD9" w:rsidRDefault="00887EC2" w:rsidP="00C7480F">
            <w:pPr>
              <w:ind w:left="60" w:right="60"/>
              <w:jc w:val="center"/>
              <w:rPr>
                <w:rFonts w:ascii="Times New Roman" w:hAnsi="Times New Roman" w:cs="Times New Roman"/>
                <w:sz w:val="24"/>
                <w:szCs w:val="24"/>
              </w:rPr>
            </w:pPr>
          </w:p>
        </w:tc>
        <w:tc>
          <w:tcPr>
            <w:tcW w:w="1350" w:type="dxa"/>
          </w:tcPr>
          <w:p w14:paraId="67667BC0" w14:textId="77777777" w:rsidR="00887EC2" w:rsidRPr="00156CD9" w:rsidRDefault="00887EC2" w:rsidP="00C7480F">
            <w:pPr>
              <w:ind w:left="60" w:right="60"/>
              <w:jc w:val="center"/>
              <w:rPr>
                <w:rFonts w:ascii="Times New Roman" w:hAnsi="Times New Roman" w:cs="Times New Roman"/>
                <w:sz w:val="24"/>
                <w:szCs w:val="24"/>
              </w:rPr>
            </w:pPr>
          </w:p>
        </w:tc>
      </w:tr>
      <w:tr w:rsidR="00B60CFC" w:rsidRPr="00156CD9" w14:paraId="2897A5CD" w14:textId="77777777" w:rsidTr="00C7480F">
        <w:trPr>
          <w:trHeight w:val="216"/>
        </w:trPr>
        <w:tc>
          <w:tcPr>
            <w:tcW w:w="2694" w:type="dxa"/>
          </w:tcPr>
          <w:p w14:paraId="502D6DCB"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[Occupation=Business]</w:t>
            </w:r>
          </w:p>
        </w:tc>
        <w:tc>
          <w:tcPr>
            <w:tcW w:w="1134" w:type="dxa"/>
          </w:tcPr>
          <w:p w14:paraId="79D9D1F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1.130</w:t>
            </w:r>
          </w:p>
        </w:tc>
        <w:tc>
          <w:tcPr>
            <w:tcW w:w="992" w:type="dxa"/>
          </w:tcPr>
          <w:p w14:paraId="345A1EE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1.153</w:t>
            </w:r>
          </w:p>
        </w:tc>
        <w:tc>
          <w:tcPr>
            <w:tcW w:w="850" w:type="dxa"/>
          </w:tcPr>
          <w:p w14:paraId="0060096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7F54FEC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.283</w:t>
            </w:r>
          </w:p>
        </w:tc>
        <w:tc>
          <w:tcPr>
            <w:tcW w:w="1275" w:type="dxa"/>
          </w:tcPr>
          <w:p w14:paraId="7ABEA34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.297</w:t>
            </w:r>
          </w:p>
        </w:tc>
        <w:tc>
          <w:tcPr>
            <w:tcW w:w="1179" w:type="dxa"/>
          </w:tcPr>
          <w:p w14:paraId="7E8BEA8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.032</w:t>
            </w:r>
          </w:p>
        </w:tc>
        <w:tc>
          <w:tcPr>
            <w:tcW w:w="1350" w:type="dxa"/>
          </w:tcPr>
          <w:p w14:paraId="58B165B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2.722</w:t>
            </w:r>
          </w:p>
        </w:tc>
      </w:tr>
      <w:tr w:rsidR="00B60CFC" w:rsidRPr="00156CD9" w14:paraId="1D210BBE" w14:textId="77777777" w:rsidTr="00C7480F">
        <w:trPr>
          <w:trHeight w:val="305"/>
        </w:trPr>
        <w:tc>
          <w:tcPr>
            <w:tcW w:w="2694" w:type="dxa"/>
          </w:tcPr>
          <w:p w14:paraId="5CC0632A"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[Occupation=Civil Servant]</w:t>
            </w:r>
          </w:p>
        </w:tc>
        <w:tc>
          <w:tcPr>
            <w:tcW w:w="1134" w:type="dxa"/>
          </w:tcPr>
          <w:p w14:paraId="5BA93D3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5646.640</w:t>
            </w:r>
          </w:p>
        </w:tc>
        <w:tc>
          <w:tcPr>
            <w:tcW w:w="992" w:type="dxa"/>
          </w:tcPr>
          <w:p w14:paraId="069E439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0093E52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44CBC9B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.998</w:t>
            </w:r>
          </w:p>
        </w:tc>
        <w:tc>
          <w:tcPr>
            <w:tcW w:w="1275" w:type="dxa"/>
          </w:tcPr>
          <w:p w14:paraId="5906273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15404911.147</w:t>
            </w:r>
          </w:p>
        </w:tc>
        <w:tc>
          <w:tcPr>
            <w:tcW w:w="1179" w:type="dxa"/>
          </w:tcPr>
          <w:p w14:paraId="5C1AE44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350" w:type="dxa"/>
          </w:tcPr>
          <w:p w14:paraId="0EB3A72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r w:rsidRPr="00156CD9">
              <w:rPr>
                <w:rFonts w:ascii="Times New Roman" w:hAnsi="Times New Roman" w:cs="Times New Roman"/>
                <w:sz w:val="24"/>
                <w:szCs w:val="24"/>
                <w:vertAlign w:val="superscript"/>
              </w:rPr>
              <w:t>c</w:t>
            </w:r>
          </w:p>
        </w:tc>
      </w:tr>
      <w:tr w:rsidR="00B60CFC" w:rsidRPr="00156CD9" w14:paraId="7D966AAD" w14:textId="77777777" w:rsidTr="00C7480F">
        <w:trPr>
          <w:trHeight w:val="619"/>
        </w:trPr>
        <w:tc>
          <w:tcPr>
            <w:tcW w:w="2694" w:type="dxa"/>
          </w:tcPr>
          <w:p w14:paraId="17CC39D0"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[Occupation=Driver]</w:t>
            </w:r>
          </w:p>
        </w:tc>
        <w:tc>
          <w:tcPr>
            <w:tcW w:w="1134" w:type="dxa"/>
          </w:tcPr>
          <w:p w14:paraId="10D2A67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9166.322</w:t>
            </w:r>
          </w:p>
        </w:tc>
        <w:tc>
          <w:tcPr>
            <w:tcW w:w="992" w:type="dxa"/>
          </w:tcPr>
          <w:p w14:paraId="7C49357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1F95EBD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558501C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.999</w:t>
            </w:r>
          </w:p>
        </w:tc>
        <w:tc>
          <w:tcPr>
            <w:tcW w:w="1275" w:type="dxa"/>
          </w:tcPr>
          <w:p w14:paraId="6AA1058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17565788.275</w:t>
            </w:r>
          </w:p>
        </w:tc>
        <w:tc>
          <w:tcPr>
            <w:tcW w:w="1179" w:type="dxa"/>
          </w:tcPr>
          <w:p w14:paraId="3E5D0F2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350" w:type="dxa"/>
          </w:tcPr>
          <w:p w14:paraId="131A936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r w:rsidRPr="00156CD9">
              <w:rPr>
                <w:rFonts w:ascii="Times New Roman" w:hAnsi="Times New Roman" w:cs="Times New Roman"/>
                <w:sz w:val="24"/>
                <w:szCs w:val="24"/>
                <w:vertAlign w:val="superscript"/>
              </w:rPr>
              <w:t>c</w:t>
            </w:r>
          </w:p>
        </w:tc>
      </w:tr>
      <w:tr w:rsidR="00B60CFC" w:rsidRPr="00156CD9" w14:paraId="3CBAAFD1" w14:textId="77777777" w:rsidTr="00C7480F">
        <w:trPr>
          <w:trHeight w:val="243"/>
        </w:trPr>
        <w:tc>
          <w:tcPr>
            <w:tcW w:w="2694" w:type="dxa"/>
          </w:tcPr>
          <w:p w14:paraId="0E8763E4"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[Occupation=Farmer]</w:t>
            </w:r>
          </w:p>
        </w:tc>
        <w:tc>
          <w:tcPr>
            <w:tcW w:w="1134" w:type="dxa"/>
          </w:tcPr>
          <w:p w14:paraId="7B0FCAD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1.373</w:t>
            </w:r>
          </w:p>
        </w:tc>
        <w:tc>
          <w:tcPr>
            <w:tcW w:w="992" w:type="dxa"/>
          </w:tcPr>
          <w:p w14:paraId="27E4751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1.086</w:t>
            </w:r>
          </w:p>
        </w:tc>
        <w:tc>
          <w:tcPr>
            <w:tcW w:w="850" w:type="dxa"/>
          </w:tcPr>
          <w:p w14:paraId="026DB49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45B5397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.297</w:t>
            </w:r>
          </w:p>
        </w:tc>
        <w:tc>
          <w:tcPr>
            <w:tcW w:w="1275" w:type="dxa"/>
          </w:tcPr>
          <w:p w14:paraId="546AE18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.239</w:t>
            </w:r>
          </w:p>
        </w:tc>
        <w:tc>
          <w:tcPr>
            <w:tcW w:w="1179" w:type="dxa"/>
          </w:tcPr>
          <w:p w14:paraId="2359D6B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.016</w:t>
            </w:r>
          </w:p>
        </w:tc>
        <w:tc>
          <w:tcPr>
            <w:tcW w:w="1350" w:type="dxa"/>
          </w:tcPr>
          <w:p w14:paraId="488F4E4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3.524</w:t>
            </w:r>
          </w:p>
        </w:tc>
      </w:tr>
      <w:tr w:rsidR="00B60CFC" w:rsidRPr="00156CD9" w14:paraId="320E0F88" w14:textId="77777777" w:rsidTr="00C7480F">
        <w:trPr>
          <w:trHeight w:val="205"/>
        </w:trPr>
        <w:tc>
          <w:tcPr>
            <w:tcW w:w="2694" w:type="dxa"/>
          </w:tcPr>
          <w:p w14:paraId="60F7BD57"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[Occupation=Hair dresser]</w:t>
            </w:r>
          </w:p>
        </w:tc>
        <w:tc>
          <w:tcPr>
            <w:tcW w:w="1134" w:type="dxa"/>
          </w:tcPr>
          <w:p w14:paraId="1B27995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9166.322</w:t>
            </w:r>
          </w:p>
        </w:tc>
        <w:tc>
          <w:tcPr>
            <w:tcW w:w="992" w:type="dxa"/>
          </w:tcPr>
          <w:p w14:paraId="59322CD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74EF219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14E7ECB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.998</w:t>
            </w:r>
          </w:p>
        </w:tc>
        <w:tc>
          <w:tcPr>
            <w:tcW w:w="1275" w:type="dxa"/>
          </w:tcPr>
          <w:p w14:paraId="2070893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122788873.514</w:t>
            </w:r>
          </w:p>
        </w:tc>
        <w:tc>
          <w:tcPr>
            <w:tcW w:w="1179" w:type="dxa"/>
          </w:tcPr>
          <w:p w14:paraId="184DA67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350" w:type="dxa"/>
          </w:tcPr>
          <w:p w14:paraId="75F779F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r w:rsidRPr="00156CD9">
              <w:rPr>
                <w:rFonts w:ascii="Times New Roman" w:hAnsi="Times New Roman" w:cs="Times New Roman"/>
                <w:sz w:val="24"/>
                <w:szCs w:val="24"/>
                <w:vertAlign w:val="superscript"/>
              </w:rPr>
              <w:t>c</w:t>
            </w:r>
          </w:p>
        </w:tc>
      </w:tr>
      <w:tr w:rsidR="00B60CFC" w:rsidRPr="00156CD9" w14:paraId="4C3FBC79" w14:textId="77777777" w:rsidTr="00C7480F">
        <w:trPr>
          <w:trHeight w:val="130"/>
        </w:trPr>
        <w:tc>
          <w:tcPr>
            <w:tcW w:w="2694" w:type="dxa"/>
          </w:tcPr>
          <w:p w14:paraId="6076AD58"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[Occupation=Health worker]</w:t>
            </w:r>
          </w:p>
        </w:tc>
        <w:tc>
          <w:tcPr>
            <w:tcW w:w="1134" w:type="dxa"/>
          </w:tcPr>
          <w:p w14:paraId="43E4FA1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12493.366</w:t>
            </w:r>
          </w:p>
        </w:tc>
        <w:tc>
          <w:tcPr>
            <w:tcW w:w="992" w:type="dxa"/>
          </w:tcPr>
          <w:p w14:paraId="425BE8A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5AF9186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2129D0B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.999</w:t>
            </w:r>
          </w:p>
        </w:tc>
        <w:tc>
          <w:tcPr>
            <w:tcW w:w="1275" w:type="dxa"/>
          </w:tcPr>
          <w:p w14:paraId="5C38667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13644720.877</w:t>
            </w:r>
          </w:p>
        </w:tc>
        <w:tc>
          <w:tcPr>
            <w:tcW w:w="1179" w:type="dxa"/>
          </w:tcPr>
          <w:p w14:paraId="7ABF3A8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350" w:type="dxa"/>
          </w:tcPr>
          <w:p w14:paraId="1535CE8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r w:rsidRPr="00156CD9">
              <w:rPr>
                <w:rFonts w:ascii="Times New Roman" w:hAnsi="Times New Roman" w:cs="Times New Roman"/>
                <w:sz w:val="24"/>
                <w:szCs w:val="24"/>
                <w:vertAlign w:val="superscript"/>
              </w:rPr>
              <w:t>c</w:t>
            </w:r>
          </w:p>
        </w:tc>
      </w:tr>
      <w:tr w:rsidR="00B60CFC" w:rsidRPr="00156CD9" w14:paraId="39D226AD" w14:textId="77777777" w:rsidTr="00C7480F">
        <w:trPr>
          <w:trHeight w:val="77"/>
        </w:trPr>
        <w:tc>
          <w:tcPr>
            <w:tcW w:w="2694" w:type="dxa"/>
          </w:tcPr>
          <w:p w14:paraId="442E3BBC"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[Occupation=House wife]</w:t>
            </w:r>
          </w:p>
        </w:tc>
        <w:tc>
          <w:tcPr>
            <w:tcW w:w="1134" w:type="dxa"/>
          </w:tcPr>
          <w:p w14:paraId="3CB6639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1.352</w:t>
            </w:r>
          </w:p>
        </w:tc>
        <w:tc>
          <w:tcPr>
            <w:tcW w:w="992" w:type="dxa"/>
          </w:tcPr>
          <w:p w14:paraId="3C17EFA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1.207</w:t>
            </w:r>
          </w:p>
        </w:tc>
        <w:tc>
          <w:tcPr>
            <w:tcW w:w="850" w:type="dxa"/>
          </w:tcPr>
          <w:p w14:paraId="7D5191F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3D588DD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.272</w:t>
            </w:r>
          </w:p>
        </w:tc>
        <w:tc>
          <w:tcPr>
            <w:tcW w:w="1275" w:type="dxa"/>
          </w:tcPr>
          <w:p w14:paraId="0946291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.226</w:t>
            </w:r>
          </w:p>
        </w:tc>
        <w:tc>
          <w:tcPr>
            <w:tcW w:w="1179" w:type="dxa"/>
          </w:tcPr>
          <w:p w14:paraId="63A2B20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.016</w:t>
            </w:r>
          </w:p>
        </w:tc>
        <w:tc>
          <w:tcPr>
            <w:tcW w:w="1350" w:type="dxa"/>
          </w:tcPr>
          <w:p w14:paraId="7395184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3.206</w:t>
            </w:r>
          </w:p>
        </w:tc>
      </w:tr>
      <w:tr w:rsidR="00B60CFC" w:rsidRPr="00156CD9" w14:paraId="3FC34330" w14:textId="77777777" w:rsidTr="00C7480F">
        <w:trPr>
          <w:trHeight w:val="129"/>
        </w:trPr>
        <w:tc>
          <w:tcPr>
            <w:tcW w:w="2694" w:type="dxa"/>
          </w:tcPr>
          <w:p w14:paraId="4E22997B"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lastRenderedPageBreak/>
              <w:t>[Occupation=Self employed]</w:t>
            </w:r>
          </w:p>
        </w:tc>
        <w:tc>
          <w:tcPr>
            <w:tcW w:w="1134" w:type="dxa"/>
          </w:tcPr>
          <w:p w14:paraId="2066ED5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1.473</w:t>
            </w:r>
          </w:p>
        </w:tc>
        <w:tc>
          <w:tcPr>
            <w:tcW w:w="992" w:type="dxa"/>
          </w:tcPr>
          <w:p w14:paraId="27ABB41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.837</w:t>
            </w:r>
          </w:p>
        </w:tc>
        <w:tc>
          <w:tcPr>
            <w:tcW w:w="850" w:type="dxa"/>
          </w:tcPr>
          <w:p w14:paraId="0127B00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6A985A0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.360</w:t>
            </w:r>
          </w:p>
        </w:tc>
        <w:tc>
          <w:tcPr>
            <w:tcW w:w="1275" w:type="dxa"/>
          </w:tcPr>
          <w:p w14:paraId="71C195F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.260</w:t>
            </w:r>
          </w:p>
        </w:tc>
        <w:tc>
          <w:tcPr>
            <w:tcW w:w="1179" w:type="dxa"/>
          </w:tcPr>
          <w:p w14:paraId="2AA2A2C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.014</w:t>
            </w:r>
          </w:p>
        </w:tc>
        <w:tc>
          <w:tcPr>
            <w:tcW w:w="1350" w:type="dxa"/>
          </w:tcPr>
          <w:p w14:paraId="3C4BB74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4.660</w:t>
            </w:r>
          </w:p>
        </w:tc>
      </w:tr>
      <w:tr w:rsidR="00B60CFC" w:rsidRPr="00156CD9" w14:paraId="30FFF904" w14:textId="77777777" w:rsidTr="00C7480F">
        <w:trPr>
          <w:trHeight w:val="181"/>
        </w:trPr>
        <w:tc>
          <w:tcPr>
            <w:tcW w:w="2694" w:type="dxa"/>
          </w:tcPr>
          <w:p w14:paraId="40F54FD8"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[Occupation=Student]</w:t>
            </w:r>
          </w:p>
        </w:tc>
        <w:tc>
          <w:tcPr>
            <w:tcW w:w="1134" w:type="dxa"/>
          </w:tcPr>
          <w:p w14:paraId="1E04EF4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6188.610</w:t>
            </w:r>
          </w:p>
        </w:tc>
        <w:tc>
          <w:tcPr>
            <w:tcW w:w="992" w:type="dxa"/>
          </w:tcPr>
          <w:p w14:paraId="3E5C608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78EF8D1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190526E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.998</w:t>
            </w:r>
          </w:p>
        </w:tc>
        <w:tc>
          <w:tcPr>
            <w:tcW w:w="1275" w:type="dxa"/>
          </w:tcPr>
          <w:p w14:paraId="75B1C9D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12651853.754</w:t>
            </w:r>
          </w:p>
        </w:tc>
        <w:tc>
          <w:tcPr>
            <w:tcW w:w="1179" w:type="dxa"/>
          </w:tcPr>
          <w:p w14:paraId="40988B0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350" w:type="dxa"/>
          </w:tcPr>
          <w:p w14:paraId="371B650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r w:rsidRPr="00156CD9">
              <w:rPr>
                <w:rFonts w:ascii="Times New Roman" w:hAnsi="Times New Roman" w:cs="Times New Roman"/>
                <w:sz w:val="24"/>
                <w:szCs w:val="24"/>
                <w:vertAlign w:val="superscript"/>
              </w:rPr>
              <w:t>c</w:t>
            </w:r>
          </w:p>
        </w:tc>
      </w:tr>
      <w:tr w:rsidR="00B60CFC" w:rsidRPr="00156CD9" w14:paraId="5C7B1D23" w14:textId="77777777" w:rsidTr="00C7480F">
        <w:trPr>
          <w:trHeight w:val="261"/>
        </w:trPr>
        <w:tc>
          <w:tcPr>
            <w:tcW w:w="2694" w:type="dxa"/>
          </w:tcPr>
          <w:p w14:paraId="6700D3C2"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[Occupation=Tailor]</w:t>
            </w:r>
          </w:p>
        </w:tc>
        <w:tc>
          <w:tcPr>
            <w:tcW w:w="1134" w:type="dxa"/>
          </w:tcPr>
          <w:p w14:paraId="25C8BA5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1.317</w:t>
            </w:r>
          </w:p>
        </w:tc>
        <w:tc>
          <w:tcPr>
            <w:tcW w:w="992" w:type="dxa"/>
          </w:tcPr>
          <w:p w14:paraId="20A1F8B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3.346</w:t>
            </w:r>
          </w:p>
        </w:tc>
        <w:tc>
          <w:tcPr>
            <w:tcW w:w="850" w:type="dxa"/>
          </w:tcPr>
          <w:p w14:paraId="00CF858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34419DD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.067</w:t>
            </w:r>
          </w:p>
        </w:tc>
        <w:tc>
          <w:tcPr>
            <w:tcW w:w="1275" w:type="dxa"/>
          </w:tcPr>
          <w:p w14:paraId="54507A1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.090</w:t>
            </w:r>
          </w:p>
        </w:tc>
        <w:tc>
          <w:tcPr>
            <w:tcW w:w="1179" w:type="dxa"/>
          </w:tcPr>
          <w:p w14:paraId="2E6808C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.007</w:t>
            </w:r>
          </w:p>
        </w:tc>
        <w:tc>
          <w:tcPr>
            <w:tcW w:w="1350" w:type="dxa"/>
          </w:tcPr>
          <w:p w14:paraId="682487D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1.188</w:t>
            </w:r>
          </w:p>
        </w:tc>
      </w:tr>
      <w:tr w:rsidR="00B60CFC" w:rsidRPr="00156CD9" w14:paraId="26F65839" w14:textId="77777777" w:rsidTr="00C7480F">
        <w:trPr>
          <w:trHeight w:val="351"/>
        </w:trPr>
        <w:tc>
          <w:tcPr>
            <w:tcW w:w="2694" w:type="dxa"/>
          </w:tcPr>
          <w:p w14:paraId="7A19BB1A"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[Occupation=Teacher]</w:t>
            </w:r>
          </w:p>
        </w:tc>
        <w:tc>
          <w:tcPr>
            <w:tcW w:w="1134" w:type="dxa"/>
          </w:tcPr>
          <w:p w14:paraId="482BCA2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992" w:type="dxa"/>
          </w:tcPr>
          <w:p w14:paraId="52F7482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7398086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993" w:type="dxa"/>
          </w:tcPr>
          <w:p w14:paraId="2A86A05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09C23CD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179" w:type="dxa"/>
          </w:tcPr>
          <w:p w14:paraId="7BA4DB0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350" w:type="dxa"/>
          </w:tcPr>
          <w:p w14:paraId="7E7343A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r>
      <w:tr w:rsidR="00B60CFC" w:rsidRPr="00156CD9" w14:paraId="7E312001" w14:textId="77777777" w:rsidTr="00C7480F">
        <w:trPr>
          <w:trHeight w:val="257"/>
        </w:trPr>
        <w:tc>
          <w:tcPr>
            <w:tcW w:w="2694" w:type="dxa"/>
          </w:tcPr>
          <w:p w14:paraId="53A3495D" w14:textId="77777777" w:rsidR="00B60CFC" w:rsidRPr="00887EC2" w:rsidRDefault="00B60CFC" w:rsidP="00B60CFC">
            <w:pPr>
              <w:ind w:left="60" w:right="60"/>
              <w:jc w:val="both"/>
              <w:rPr>
                <w:rFonts w:ascii="Times New Roman" w:hAnsi="Times New Roman" w:cs="Times New Roman"/>
                <w:b/>
                <w:sz w:val="24"/>
                <w:szCs w:val="24"/>
              </w:rPr>
            </w:pPr>
            <w:r w:rsidRPr="00887EC2">
              <w:rPr>
                <w:rFonts w:ascii="Times New Roman" w:hAnsi="Times New Roman" w:cs="Times New Roman"/>
                <w:b/>
                <w:sz w:val="24"/>
                <w:szCs w:val="24"/>
              </w:rPr>
              <w:t xml:space="preserve">Relationship to child </w:t>
            </w:r>
          </w:p>
        </w:tc>
        <w:tc>
          <w:tcPr>
            <w:tcW w:w="1134" w:type="dxa"/>
          </w:tcPr>
          <w:p w14:paraId="3A4259A4" w14:textId="77777777" w:rsidR="00B60CFC" w:rsidRPr="00156CD9" w:rsidRDefault="00B60CFC" w:rsidP="00C7480F">
            <w:pPr>
              <w:ind w:left="60" w:right="60"/>
              <w:jc w:val="center"/>
              <w:rPr>
                <w:rFonts w:ascii="Times New Roman" w:hAnsi="Times New Roman" w:cs="Times New Roman"/>
                <w:sz w:val="24"/>
                <w:szCs w:val="24"/>
              </w:rPr>
            </w:pPr>
          </w:p>
        </w:tc>
        <w:tc>
          <w:tcPr>
            <w:tcW w:w="992" w:type="dxa"/>
          </w:tcPr>
          <w:p w14:paraId="1E75AECA" w14:textId="77777777" w:rsidR="00B60CFC" w:rsidRPr="00156CD9" w:rsidRDefault="00B60CFC" w:rsidP="00C7480F">
            <w:pPr>
              <w:ind w:left="60" w:right="60"/>
              <w:jc w:val="center"/>
              <w:rPr>
                <w:rFonts w:ascii="Times New Roman" w:hAnsi="Times New Roman" w:cs="Times New Roman"/>
                <w:sz w:val="24"/>
                <w:szCs w:val="24"/>
              </w:rPr>
            </w:pPr>
          </w:p>
        </w:tc>
        <w:tc>
          <w:tcPr>
            <w:tcW w:w="850" w:type="dxa"/>
          </w:tcPr>
          <w:p w14:paraId="23BF366E" w14:textId="77777777" w:rsidR="00B60CFC" w:rsidRPr="00156CD9" w:rsidRDefault="00B60CFC" w:rsidP="00C7480F">
            <w:pPr>
              <w:ind w:left="60" w:right="60"/>
              <w:jc w:val="center"/>
              <w:rPr>
                <w:rFonts w:ascii="Times New Roman" w:hAnsi="Times New Roman" w:cs="Times New Roman"/>
                <w:sz w:val="24"/>
                <w:szCs w:val="24"/>
              </w:rPr>
            </w:pPr>
          </w:p>
        </w:tc>
        <w:tc>
          <w:tcPr>
            <w:tcW w:w="993" w:type="dxa"/>
          </w:tcPr>
          <w:p w14:paraId="7997D287" w14:textId="77777777" w:rsidR="00B60CFC" w:rsidRPr="00156CD9" w:rsidRDefault="00B60CFC" w:rsidP="00C7480F">
            <w:pPr>
              <w:ind w:left="60" w:right="60"/>
              <w:jc w:val="center"/>
              <w:rPr>
                <w:rFonts w:ascii="Times New Roman" w:hAnsi="Times New Roman" w:cs="Times New Roman"/>
                <w:sz w:val="24"/>
                <w:szCs w:val="24"/>
              </w:rPr>
            </w:pPr>
          </w:p>
        </w:tc>
        <w:tc>
          <w:tcPr>
            <w:tcW w:w="1275" w:type="dxa"/>
          </w:tcPr>
          <w:p w14:paraId="50748A91" w14:textId="77777777" w:rsidR="00B60CFC" w:rsidRPr="00156CD9" w:rsidRDefault="00B60CFC" w:rsidP="00C7480F">
            <w:pPr>
              <w:ind w:left="60" w:right="60"/>
              <w:jc w:val="center"/>
              <w:rPr>
                <w:rFonts w:ascii="Times New Roman" w:hAnsi="Times New Roman" w:cs="Times New Roman"/>
                <w:sz w:val="24"/>
                <w:szCs w:val="24"/>
              </w:rPr>
            </w:pPr>
          </w:p>
        </w:tc>
        <w:tc>
          <w:tcPr>
            <w:tcW w:w="1179" w:type="dxa"/>
          </w:tcPr>
          <w:p w14:paraId="21F4AA87" w14:textId="77777777" w:rsidR="00B60CFC" w:rsidRPr="00156CD9" w:rsidRDefault="00B60CFC" w:rsidP="00C7480F">
            <w:pPr>
              <w:ind w:left="60" w:right="60"/>
              <w:jc w:val="center"/>
              <w:rPr>
                <w:rFonts w:ascii="Times New Roman" w:hAnsi="Times New Roman" w:cs="Times New Roman"/>
                <w:sz w:val="24"/>
                <w:szCs w:val="24"/>
              </w:rPr>
            </w:pPr>
          </w:p>
        </w:tc>
        <w:tc>
          <w:tcPr>
            <w:tcW w:w="1350" w:type="dxa"/>
          </w:tcPr>
          <w:p w14:paraId="423ECC51" w14:textId="77777777" w:rsidR="00B60CFC" w:rsidRPr="00156CD9" w:rsidRDefault="00B60CFC" w:rsidP="00C7480F">
            <w:pPr>
              <w:ind w:left="60" w:right="60"/>
              <w:jc w:val="center"/>
              <w:rPr>
                <w:rFonts w:ascii="Times New Roman" w:hAnsi="Times New Roman" w:cs="Times New Roman"/>
                <w:sz w:val="24"/>
                <w:szCs w:val="24"/>
              </w:rPr>
            </w:pPr>
          </w:p>
        </w:tc>
      </w:tr>
      <w:tr w:rsidR="00B60CFC" w:rsidRPr="00156CD9" w14:paraId="3B4FAD68" w14:textId="77777777" w:rsidTr="00C7480F">
        <w:trPr>
          <w:trHeight w:val="800"/>
        </w:trPr>
        <w:tc>
          <w:tcPr>
            <w:tcW w:w="2694" w:type="dxa"/>
          </w:tcPr>
          <w:p w14:paraId="3DA5CBBC"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Mother</w:t>
            </w:r>
          </w:p>
        </w:tc>
        <w:tc>
          <w:tcPr>
            <w:tcW w:w="1134" w:type="dxa"/>
          </w:tcPr>
          <w:p w14:paraId="1C85D16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.561</w:t>
            </w:r>
          </w:p>
        </w:tc>
        <w:tc>
          <w:tcPr>
            <w:tcW w:w="992" w:type="dxa"/>
          </w:tcPr>
          <w:p w14:paraId="54C00C2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2668.726</w:t>
            </w:r>
          </w:p>
        </w:tc>
        <w:tc>
          <w:tcPr>
            <w:tcW w:w="850" w:type="dxa"/>
          </w:tcPr>
          <w:p w14:paraId="66A0026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2389CE8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275" w:type="dxa"/>
          </w:tcPr>
          <w:p w14:paraId="78C54DC9"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3877803215709.172</w:t>
            </w:r>
          </w:p>
        </w:tc>
        <w:tc>
          <w:tcPr>
            <w:tcW w:w="1179" w:type="dxa"/>
          </w:tcPr>
          <w:p w14:paraId="4446071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1291148335422.785</w:t>
            </w:r>
          </w:p>
        </w:tc>
        <w:tc>
          <w:tcPr>
            <w:tcW w:w="1350" w:type="dxa"/>
          </w:tcPr>
          <w:p w14:paraId="4D89D22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11646498986377.447</w:t>
            </w:r>
          </w:p>
        </w:tc>
      </w:tr>
      <w:tr w:rsidR="00B60CFC" w:rsidRPr="00156CD9" w14:paraId="79BAB2F2" w14:textId="77777777" w:rsidTr="00C7480F">
        <w:trPr>
          <w:trHeight w:val="1239"/>
        </w:trPr>
        <w:tc>
          <w:tcPr>
            <w:tcW w:w="2694" w:type="dxa"/>
          </w:tcPr>
          <w:p w14:paraId="7ABC520F"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Father</w:t>
            </w:r>
          </w:p>
        </w:tc>
        <w:tc>
          <w:tcPr>
            <w:tcW w:w="1134" w:type="dxa"/>
          </w:tcPr>
          <w:p w14:paraId="25A4FD2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1.253</w:t>
            </w:r>
          </w:p>
        </w:tc>
        <w:tc>
          <w:tcPr>
            <w:tcW w:w="992" w:type="dxa"/>
          </w:tcPr>
          <w:p w14:paraId="459012F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566.803</w:t>
            </w:r>
          </w:p>
        </w:tc>
        <w:tc>
          <w:tcPr>
            <w:tcW w:w="850" w:type="dxa"/>
          </w:tcPr>
          <w:p w14:paraId="4333584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23CD920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275" w:type="dxa"/>
          </w:tcPr>
          <w:p w14:paraId="2066E26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9053464725529.568</w:t>
            </w:r>
          </w:p>
        </w:tc>
        <w:tc>
          <w:tcPr>
            <w:tcW w:w="1179" w:type="dxa"/>
          </w:tcPr>
          <w:p w14:paraId="2608E33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776505267109.087</w:t>
            </w:r>
          </w:p>
        </w:tc>
        <w:tc>
          <w:tcPr>
            <w:tcW w:w="1350" w:type="dxa"/>
          </w:tcPr>
          <w:p w14:paraId="3E024FC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105556558349646.480</w:t>
            </w:r>
          </w:p>
        </w:tc>
      </w:tr>
      <w:tr w:rsidR="00B60CFC" w:rsidRPr="00156CD9" w14:paraId="1571D8F8" w14:textId="77777777" w:rsidTr="00C7480F">
        <w:trPr>
          <w:trHeight w:val="928"/>
        </w:trPr>
        <w:tc>
          <w:tcPr>
            <w:tcW w:w="2694" w:type="dxa"/>
          </w:tcPr>
          <w:p w14:paraId="0A6FD638"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Guardian</w:t>
            </w:r>
          </w:p>
        </w:tc>
        <w:tc>
          <w:tcPr>
            <w:tcW w:w="1134" w:type="dxa"/>
          </w:tcPr>
          <w:p w14:paraId="7F79CFD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992" w:type="dxa"/>
          </w:tcPr>
          <w:p w14:paraId="7F26B54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0B0661A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0EDD284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555FC34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6189815396086.412</w:t>
            </w:r>
          </w:p>
        </w:tc>
        <w:tc>
          <w:tcPr>
            <w:tcW w:w="1179" w:type="dxa"/>
          </w:tcPr>
          <w:p w14:paraId="55D3423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6189815396086.412</w:t>
            </w:r>
          </w:p>
        </w:tc>
        <w:tc>
          <w:tcPr>
            <w:tcW w:w="1350" w:type="dxa"/>
          </w:tcPr>
          <w:p w14:paraId="249F7C5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6189815396086.412</w:t>
            </w:r>
          </w:p>
        </w:tc>
      </w:tr>
      <w:tr w:rsidR="00B60CFC" w:rsidRPr="00156CD9" w14:paraId="08BE50B8" w14:textId="77777777" w:rsidTr="00C7480F">
        <w:trPr>
          <w:trHeight w:val="122"/>
        </w:trPr>
        <w:tc>
          <w:tcPr>
            <w:tcW w:w="2694" w:type="dxa"/>
          </w:tcPr>
          <w:p w14:paraId="4B9D60E2" w14:textId="77777777" w:rsidR="00B60CFC" w:rsidRPr="00156CD9" w:rsidRDefault="00B60CFC" w:rsidP="00B60CFC">
            <w:pPr>
              <w:ind w:left="60" w:right="60"/>
              <w:jc w:val="both"/>
              <w:rPr>
                <w:rFonts w:ascii="Times New Roman" w:hAnsi="Times New Roman" w:cs="Times New Roman"/>
                <w:sz w:val="24"/>
                <w:szCs w:val="24"/>
              </w:rPr>
            </w:pPr>
            <w:r w:rsidRPr="00156CD9">
              <w:rPr>
                <w:rFonts w:ascii="Times New Roman" w:hAnsi="Times New Roman" w:cs="Times New Roman"/>
                <w:sz w:val="24"/>
                <w:szCs w:val="24"/>
              </w:rPr>
              <w:t>Other</w:t>
            </w:r>
          </w:p>
        </w:tc>
        <w:tc>
          <w:tcPr>
            <w:tcW w:w="1134" w:type="dxa"/>
          </w:tcPr>
          <w:p w14:paraId="6F9AA02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992" w:type="dxa"/>
          </w:tcPr>
          <w:p w14:paraId="19FFFC0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0C73461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993" w:type="dxa"/>
          </w:tcPr>
          <w:p w14:paraId="3D53F19D"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5868DC0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179" w:type="dxa"/>
          </w:tcPr>
          <w:p w14:paraId="49CE5AD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350" w:type="dxa"/>
          </w:tcPr>
          <w:p w14:paraId="0C7F3FC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r>
      <w:tr w:rsidR="00887EC2" w:rsidRPr="00156CD9" w14:paraId="43AB189B" w14:textId="77777777" w:rsidTr="00C7480F">
        <w:trPr>
          <w:trHeight w:val="495"/>
        </w:trPr>
        <w:tc>
          <w:tcPr>
            <w:tcW w:w="2694" w:type="dxa"/>
          </w:tcPr>
          <w:p w14:paraId="6073A02D" w14:textId="15DBBD77" w:rsidR="00887EC2" w:rsidRPr="00887EC2" w:rsidRDefault="00887EC2" w:rsidP="00B60CFC">
            <w:pPr>
              <w:ind w:left="60" w:right="60"/>
              <w:jc w:val="both"/>
              <w:rPr>
                <w:rFonts w:ascii="Times New Roman" w:hAnsi="Times New Roman" w:cs="Times New Roman"/>
                <w:b/>
                <w:sz w:val="24"/>
                <w:szCs w:val="24"/>
              </w:rPr>
            </w:pPr>
            <w:r w:rsidRPr="00887EC2">
              <w:rPr>
                <w:rFonts w:ascii="Times New Roman" w:hAnsi="Times New Roman" w:cs="Times New Roman"/>
                <w:b/>
                <w:sz w:val="24"/>
                <w:szCs w:val="24"/>
              </w:rPr>
              <w:t>Household income</w:t>
            </w:r>
          </w:p>
        </w:tc>
        <w:tc>
          <w:tcPr>
            <w:tcW w:w="1134" w:type="dxa"/>
          </w:tcPr>
          <w:p w14:paraId="4ED4C766" w14:textId="77777777" w:rsidR="00887EC2" w:rsidRPr="00156CD9" w:rsidRDefault="00887EC2" w:rsidP="00C7480F">
            <w:pPr>
              <w:ind w:left="60" w:right="60"/>
              <w:jc w:val="center"/>
              <w:rPr>
                <w:rFonts w:ascii="Times New Roman" w:hAnsi="Times New Roman" w:cs="Times New Roman"/>
                <w:sz w:val="24"/>
                <w:szCs w:val="24"/>
              </w:rPr>
            </w:pPr>
          </w:p>
        </w:tc>
        <w:tc>
          <w:tcPr>
            <w:tcW w:w="992" w:type="dxa"/>
          </w:tcPr>
          <w:p w14:paraId="53F260DB" w14:textId="77777777" w:rsidR="00887EC2" w:rsidRPr="00156CD9" w:rsidRDefault="00887EC2" w:rsidP="00C7480F">
            <w:pPr>
              <w:ind w:left="60" w:right="60"/>
              <w:jc w:val="center"/>
              <w:rPr>
                <w:rFonts w:ascii="Times New Roman" w:hAnsi="Times New Roman" w:cs="Times New Roman"/>
                <w:sz w:val="24"/>
                <w:szCs w:val="24"/>
              </w:rPr>
            </w:pPr>
          </w:p>
        </w:tc>
        <w:tc>
          <w:tcPr>
            <w:tcW w:w="850" w:type="dxa"/>
          </w:tcPr>
          <w:p w14:paraId="147A925E" w14:textId="77777777" w:rsidR="00887EC2" w:rsidRPr="00156CD9" w:rsidRDefault="00887EC2" w:rsidP="00C7480F">
            <w:pPr>
              <w:ind w:left="60" w:right="60"/>
              <w:jc w:val="center"/>
              <w:rPr>
                <w:rFonts w:ascii="Times New Roman" w:hAnsi="Times New Roman" w:cs="Times New Roman"/>
                <w:sz w:val="24"/>
                <w:szCs w:val="24"/>
              </w:rPr>
            </w:pPr>
          </w:p>
        </w:tc>
        <w:tc>
          <w:tcPr>
            <w:tcW w:w="993" w:type="dxa"/>
          </w:tcPr>
          <w:p w14:paraId="3D4DEDB3" w14:textId="77777777" w:rsidR="00887EC2" w:rsidRPr="00156CD9" w:rsidRDefault="00887EC2" w:rsidP="00C7480F">
            <w:pPr>
              <w:ind w:left="60" w:right="60"/>
              <w:jc w:val="center"/>
              <w:rPr>
                <w:rFonts w:ascii="Times New Roman" w:hAnsi="Times New Roman" w:cs="Times New Roman"/>
                <w:sz w:val="24"/>
                <w:szCs w:val="24"/>
              </w:rPr>
            </w:pPr>
          </w:p>
        </w:tc>
        <w:tc>
          <w:tcPr>
            <w:tcW w:w="1275" w:type="dxa"/>
          </w:tcPr>
          <w:p w14:paraId="71A4C5CA" w14:textId="77777777" w:rsidR="00887EC2" w:rsidRPr="00156CD9" w:rsidRDefault="00887EC2" w:rsidP="00C7480F">
            <w:pPr>
              <w:ind w:left="60" w:right="60"/>
              <w:jc w:val="center"/>
              <w:rPr>
                <w:rFonts w:ascii="Times New Roman" w:hAnsi="Times New Roman" w:cs="Times New Roman"/>
                <w:sz w:val="24"/>
                <w:szCs w:val="24"/>
              </w:rPr>
            </w:pPr>
          </w:p>
        </w:tc>
        <w:tc>
          <w:tcPr>
            <w:tcW w:w="1179" w:type="dxa"/>
          </w:tcPr>
          <w:p w14:paraId="5944C773" w14:textId="77777777" w:rsidR="00887EC2" w:rsidRPr="00156CD9" w:rsidRDefault="00887EC2" w:rsidP="00C7480F">
            <w:pPr>
              <w:ind w:left="60" w:right="60"/>
              <w:jc w:val="center"/>
              <w:rPr>
                <w:rFonts w:ascii="Times New Roman" w:hAnsi="Times New Roman" w:cs="Times New Roman"/>
                <w:sz w:val="24"/>
                <w:szCs w:val="24"/>
              </w:rPr>
            </w:pPr>
          </w:p>
        </w:tc>
        <w:tc>
          <w:tcPr>
            <w:tcW w:w="1350" w:type="dxa"/>
          </w:tcPr>
          <w:p w14:paraId="3EA4645D" w14:textId="77777777" w:rsidR="00887EC2" w:rsidRPr="00156CD9" w:rsidRDefault="00887EC2" w:rsidP="00C7480F">
            <w:pPr>
              <w:ind w:left="60" w:right="60"/>
              <w:jc w:val="center"/>
              <w:rPr>
                <w:rFonts w:ascii="Times New Roman" w:hAnsi="Times New Roman" w:cs="Times New Roman"/>
                <w:sz w:val="24"/>
                <w:szCs w:val="24"/>
              </w:rPr>
            </w:pPr>
          </w:p>
        </w:tc>
      </w:tr>
      <w:tr w:rsidR="00B60CFC" w:rsidRPr="00156CD9" w14:paraId="7BE81042" w14:textId="77777777" w:rsidTr="00C7480F">
        <w:trPr>
          <w:trHeight w:val="495"/>
        </w:trPr>
        <w:tc>
          <w:tcPr>
            <w:tcW w:w="2694" w:type="dxa"/>
          </w:tcPr>
          <w:p w14:paraId="082B68C1"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[Household income level=Low]</w:t>
            </w:r>
          </w:p>
        </w:tc>
        <w:tc>
          <w:tcPr>
            <w:tcW w:w="1134" w:type="dxa"/>
          </w:tcPr>
          <w:p w14:paraId="045E79A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.519</w:t>
            </w:r>
          </w:p>
        </w:tc>
        <w:tc>
          <w:tcPr>
            <w:tcW w:w="992" w:type="dxa"/>
          </w:tcPr>
          <w:p w14:paraId="376D9E5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4.470</w:t>
            </w:r>
          </w:p>
        </w:tc>
        <w:tc>
          <w:tcPr>
            <w:tcW w:w="850" w:type="dxa"/>
          </w:tcPr>
          <w:p w14:paraId="03610D1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3D3FBA6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.034</w:t>
            </w:r>
          </w:p>
        </w:tc>
        <w:tc>
          <w:tcPr>
            <w:tcW w:w="1275" w:type="dxa"/>
          </w:tcPr>
          <w:p w14:paraId="50DF61E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.334</w:t>
            </w:r>
          </w:p>
        </w:tc>
        <w:tc>
          <w:tcPr>
            <w:tcW w:w="1179" w:type="dxa"/>
          </w:tcPr>
          <w:p w14:paraId="24BBBC40"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.121</w:t>
            </w:r>
          </w:p>
        </w:tc>
        <w:tc>
          <w:tcPr>
            <w:tcW w:w="1350" w:type="dxa"/>
          </w:tcPr>
          <w:p w14:paraId="5131BB3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.923</w:t>
            </w:r>
          </w:p>
        </w:tc>
      </w:tr>
      <w:tr w:rsidR="00B60CFC" w:rsidRPr="00156CD9" w14:paraId="432AFD1E" w14:textId="77777777" w:rsidTr="00C7480F">
        <w:trPr>
          <w:trHeight w:val="405"/>
        </w:trPr>
        <w:tc>
          <w:tcPr>
            <w:tcW w:w="2694" w:type="dxa"/>
          </w:tcPr>
          <w:p w14:paraId="10C4A7AB"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[Household income level=Medium]</w:t>
            </w:r>
          </w:p>
        </w:tc>
        <w:tc>
          <w:tcPr>
            <w:tcW w:w="1134" w:type="dxa"/>
          </w:tcPr>
          <w:p w14:paraId="63610FFA"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992" w:type="dxa"/>
          </w:tcPr>
          <w:p w14:paraId="1DAEE74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59EA5EA3"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993" w:type="dxa"/>
          </w:tcPr>
          <w:p w14:paraId="0F3D6BA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4256E637"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179" w:type="dxa"/>
          </w:tcPr>
          <w:p w14:paraId="1ACAA6F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350" w:type="dxa"/>
          </w:tcPr>
          <w:p w14:paraId="6B735905"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r>
      <w:tr w:rsidR="00887EC2" w:rsidRPr="00156CD9" w14:paraId="021AC33E" w14:textId="77777777" w:rsidTr="00887EC2">
        <w:trPr>
          <w:trHeight w:val="506"/>
        </w:trPr>
        <w:tc>
          <w:tcPr>
            <w:tcW w:w="2694" w:type="dxa"/>
          </w:tcPr>
          <w:p w14:paraId="37B4A52B" w14:textId="558CD177" w:rsidR="00887EC2" w:rsidRPr="00425071" w:rsidRDefault="00425071" w:rsidP="00B60CFC">
            <w:pPr>
              <w:ind w:left="60" w:right="60"/>
              <w:jc w:val="both"/>
              <w:rPr>
                <w:rFonts w:ascii="Times New Roman" w:hAnsi="Times New Roman" w:cs="Times New Roman"/>
                <w:b/>
                <w:sz w:val="24"/>
                <w:szCs w:val="24"/>
              </w:rPr>
            </w:pPr>
            <w:r>
              <w:rPr>
                <w:rFonts w:ascii="Times New Roman" w:hAnsi="Times New Roman" w:cs="Times New Roman"/>
                <w:b/>
                <w:sz w:val="24"/>
                <w:szCs w:val="24"/>
              </w:rPr>
              <w:t xml:space="preserve">Awareness of </w:t>
            </w:r>
            <w:r w:rsidR="00887EC2" w:rsidRPr="00425071">
              <w:rPr>
                <w:rFonts w:ascii="Times New Roman" w:hAnsi="Times New Roman" w:cs="Times New Roman"/>
                <w:b/>
                <w:sz w:val="24"/>
                <w:szCs w:val="24"/>
              </w:rPr>
              <w:t>2YL</w:t>
            </w:r>
          </w:p>
        </w:tc>
        <w:tc>
          <w:tcPr>
            <w:tcW w:w="1134" w:type="dxa"/>
          </w:tcPr>
          <w:p w14:paraId="28313E43" w14:textId="77777777" w:rsidR="00887EC2" w:rsidRPr="00156CD9" w:rsidRDefault="00887EC2" w:rsidP="00C7480F">
            <w:pPr>
              <w:ind w:left="60" w:right="60"/>
              <w:jc w:val="center"/>
              <w:rPr>
                <w:rFonts w:ascii="Times New Roman" w:hAnsi="Times New Roman" w:cs="Times New Roman"/>
                <w:sz w:val="24"/>
                <w:szCs w:val="24"/>
              </w:rPr>
            </w:pPr>
          </w:p>
        </w:tc>
        <w:tc>
          <w:tcPr>
            <w:tcW w:w="992" w:type="dxa"/>
          </w:tcPr>
          <w:p w14:paraId="042E4970" w14:textId="77777777" w:rsidR="00887EC2" w:rsidRPr="00156CD9" w:rsidRDefault="00887EC2" w:rsidP="00C7480F">
            <w:pPr>
              <w:ind w:left="60" w:right="60"/>
              <w:jc w:val="center"/>
              <w:rPr>
                <w:rFonts w:ascii="Times New Roman" w:hAnsi="Times New Roman" w:cs="Times New Roman"/>
                <w:sz w:val="24"/>
                <w:szCs w:val="24"/>
              </w:rPr>
            </w:pPr>
          </w:p>
        </w:tc>
        <w:tc>
          <w:tcPr>
            <w:tcW w:w="850" w:type="dxa"/>
          </w:tcPr>
          <w:p w14:paraId="7EC410E5" w14:textId="77777777" w:rsidR="00887EC2" w:rsidRPr="00156CD9" w:rsidRDefault="00887EC2" w:rsidP="00C7480F">
            <w:pPr>
              <w:ind w:left="60" w:right="60"/>
              <w:jc w:val="center"/>
              <w:rPr>
                <w:rFonts w:ascii="Times New Roman" w:hAnsi="Times New Roman" w:cs="Times New Roman"/>
                <w:sz w:val="24"/>
                <w:szCs w:val="24"/>
              </w:rPr>
            </w:pPr>
          </w:p>
        </w:tc>
        <w:tc>
          <w:tcPr>
            <w:tcW w:w="993" w:type="dxa"/>
          </w:tcPr>
          <w:p w14:paraId="42C91EC5" w14:textId="77777777" w:rsidR="00887EC2" w:rsidRPr="00156CD9" w:rsidRDefault="00887EC2" w:rsidP="00C7480F">
            <w:pPr>
              <w:ind w:left="60" w:right="60"/>
              <w:jc w:val="center"/>
              <w:rPr>
                <w:rFonts w:ascii="Times New Roman" w:hAnsi="Times New Roman" w:cs="Times New Roman"/>
                <w:sz w:val="24"/>
                <w:szCs w:val="24"/>
              </w:rPr>
            </w:pPr>
          </w:p>
        </w:tc>
        <w:tc>
          <w:tcPr>
            <w:tcW w:w="1275" w:type="dxa"/>
          </w:tcPr>
          <w:p w14:paraId="38AE55E4" w14:textId="77777777" w:rsidR="00887EC2" w:rsidRPr="00156CD9" w:rsidRDefault="00887EC2" w:rsidP="00C7480F">
            <w:pPr>
              <w:ind w:left="60" w:right="60"/>
              <w:jc w:val="center"/>
              <w:rPr>
                <w:rFonts w:ascii="Times New Roman" w:hAnsi="Times New Roman" w:cs="Times New Roman"/>
                <w:sz w:val="24"/>
                <w:szCs w:val="24"/>
              </w:rPr>
            </w:pPr>
          </w:p>
        </w:tc>
        <w:tc>
          <w:tcPr>
            <w:tcW w:w="1179" w:type="dxa"/>
          </w:tcPr>
          <w:p w14:paraId="1321DC01" w14:textId="77777777" w:rsidR="00887EC2" w:rsidRPr="00156CD9" w:rsidRDefault="00887EC2" w:rsidP="00C7480F">
            <w:pPr>
              <w:ind w:left="60" w:right="60"/>
              <w:jc w:val="center"/>
              <w:rPr>
                <w:rFonts w:ascii="Times New Roman" w:hAnsi="Times New Roman" w:cs="Times New Roman"/>
                <w:sz w:val="24"/>
                <w:szCs w:val="24"/>
              </w:rPr>
            </w:pPr>
          </w:p>
        </w:tc>
        <w:tc>
          <w:tcPr>
            <w:tcW w:w="1350" w:type="dxa"/>
          </w:tcPr>
          <w:p w14:paraId="1501D37B" w14:textId="77777777" w:rsidR="00887EC2" w:rsidRPr="00156CD9" w:rsidRDefault="00887EC2" w:rsidP="00C7480F">
            <w:pPr>
              <w:ind w:left="60" w:right="60"/>
              <w:jc w:val="center"/>
              <w:rPr>
                <w:rFonts w:ascii="Times New Roman" w:hAnsi="Times New Roman" w:cs="Times New Roman"/>
                <w:sz w:val="24"/>
                <w:szCs w:val="24"/>
              </w:rPr>
            </w:pPr>
          </w:p>
        </w:tc>
      </w:tr>
      <w:tr w:rsidR="00B60CFC" w:rsidRPr="00156CD9" w14:paraId="27B5C477" w14:textId="77777777" w:rsidTr="00C7480F">
        <w:trPr>
          <w:trHeight w:val="1477"/>
        </w:trPr>
        <w:tc>
          <w:tcPr>
            <w:tcW w:w="2694" w:type="dxa"/>
          </w:tcPr>
          <w:p w14:paraId="633D3BBE"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[Are you aware that a child requires immunization in the second year of life (12–24 months)?=No]</w:t>
            </w:r>
          </w:p>
        </w:tc>
        <w:tc>
          <w:tcPr>
            <w:tcW w:w="1134" w:type="dxa"/>
          </w:tcPr>
          <w:p w14:paraId="3F29CBA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1653.810</w:t>
            </w:r>
          </w:p>
        </w:tc>
        <w:tc>
          <w:tcPr>
            <w:tcW w:w="992" w:type="dxa"/>
          </w:tcPr>
          <w:p w14:paraId="41779C04"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850" w:type="dxa"/>
          </w:tcPr>
          <w:p w14:paraId="24A91C1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w:t>
            </w:r>
          </w:p>
        </w:tc>
        <w:tc>
          <w:tcPr>
            <w:tcW w:w="993" w:type="dxa"/>
          </w:tcPr>
          <w:p w14:paraId="06A6B77C"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.986</w:t>
            </w:r>
          </w:p>
        </w:tc>
        <w:tc>
          <w:tcPr>
            <w:tcW w:w="1275" w:type="dxa"/>
          </w:tcPr>
          <w:p w14:paraId="44D9B476"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1987140210628.945</w:t>
            </w:r>
          </w:p>
        </w:tc>
        <w:tc>
          <w:tcPr>
            <w:tcW w:w="1179" w:type="dxa"/>
          </w:tcPr>
          <w:p w14:paraId="6EECF758"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.000</w:t>
            </w:r>
          </w:p>
        </w:tc>
        <w:tc>
          <w:tcPr>
            <w:tcW w:w="1350" w:type="dxa"/>
          </w:tcPr>
          <w:p w14:paraId="13D9DB11"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r w:rsidRPr="00156CD9">
              <w:rPr>
                <w:rFonts w:ascii="Times New Roman" w:hAnsi="Times New Roman" w:cs="Times New Roman"/>
                <w:sz w:val="24"/>
                <w:szCs w:val="24"/>
                <w:vertAlign w:val="superscript"/>
              </w:rPr>
              <w:t>c</w:t>
            </w:r>
          </w:p>
        </w:tc>
      </w:tr>
      <w:tr w:rsidR="00B60CFC" w:rsidRPr="00156CD9" w14:paraId="5B2E500B" w14:textId="77777777" w:rsidTr="00C7480F">
        <w:trPr>
          <w:trHeight w:val="1259"/>
        </w:trPr>
        <w:tc>
          <w:tcPr>
            <w:tcW w:w="2694" w:type="dxa"/>
          </w:tcPr>
          <w:p w14:paraId="033EBFEF" w14:textId="77777777" w:rsidR="00B60CFC" w:rsidRPr="00156CD9" w:rsidRDefault="00B60CFC" w:rsidP="00887EC2">
            <w:pPr>
              <w:ind w:left="60" w:right="60"/>
              <w:rPr>
                <w:rFonts w:ascii="Times New Roman" w:hAnsi="Times New Roman" w:cs="Times New Roman"/>
                <w:sz w:val="24"/>
                <w:szCs w:val="24"/>
              </w:rPr>
            </w:pPr>
            <w:r w:rsidRPr="00156CD9">
              <w:rPr>
                <w:rFonts w:ascii="Times New Roman" w:hAnsi="Times New Roman" w:cs="Times New Roman"/>
                <w:sz w:val="24"/>
                <w:szCs w:val="24"/>
              </w:rPr>
              <w:t>[Are you aware that a child requires immunization in the second year of life (12–24 months)?=Yes]</w:t>
            </w:r>
          </w:p>
        </w:tc>
        <w:tc>
          <w:tcPr>
            <w:tcW w:w="1134" w:type="dxa"/>
          </w:tcPr>
          <w:p w14:paraId="1955D7D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992" w:type="dxa"/>
          </w:tcPr>
          <w:p w14:paraId="0D47214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850" w:type="dxa"/>
          </w:tcPr>
          <w:p w14:paraId="7CD4E2DB"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0</w:t>
            </w:r>
          </w:p>
        </w:tc>
        <w:tc>
          <w:tcPr>
            <w:tcW w:w="993" w:type="dxa"/>
          </w:tcPr>
          <w:p w14:paraId="0E0FD6A2"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275" w:type="dxa"/>
          </w:tcPr>
          <w:p w14:paraId="10A9CE0F"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179" w:type="dxa"/>
          </w:tcPr>
          <w:p w14:paraId="5D52DAA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c>
          <w:tcPr>
            <w:tcW w:w="1350" w:type="dxa"/>
          </w:tcPr>
          <w:p w14:paraId="4E9C3F1E" w14:textId="77777777" w:rsidR="00B60CFC" w:rsidRPr="00156CD9" w:rsidRDefault="00B60CFC" w:rsidP="00C7480F">
            <w:pPr>
              <w:ind w:left="60" w:right="60"/>
              <w:jc w:val="center"/>
              <w:rPr>
                <w:rFonts w:ascii="Times New Roman" w:hAnsi="Times New Roman" w:cs="Times New Roman"/>
                <w:sz w:val="24"/>
                <w:szCs w:val="24"/>
              </w:rPr>
            </w:pPr>
            <w:r w:rsidRPr="00156CD9">
              <w:rPr>
                <w:rFonts w:ascii="Times New Roman" w:hAnsi="Times New Roman" w:cs="Times New Roman"/>
                <w:sz w:val="24"/>
                <w:szCs w:val="24"/>
              </w:rPr>
              <w:t>.</w:t>
            </w:r>
          </w:p>
        </w:tc>
      </w:tr>
    </w:tbl>
    <w:p w14:paraId="41E86CBB" w14:textId="77777777" w:rsidR="00786738" w:rsidRDefault="00786738" w:rsidP="000D29BF">
      <w:pPr>
        <w:spacing w:after="100" w:line="360" w:lineRule="auto"/>
        <w:jc w:val="both"/>
        <w:rPr>
          <w:rFonts w:ascii="Times New Roman" w:hAnsi="Times New Roman" w:cs="Times New Roman"/>
          <w:sz w:val="24"/>
          <w:szCs w:val="24"/>
        </w:rPr>
      </w:pPr>
    </w:p>
    <w:p w14:paraId="5F8B788F" w14:textId="2B167DCF" w:rsidR="003F1CE9" w:rsidRDefault="00602F32" w:rsidP="000D29BF">
      <w:pPr>
        <w:spacing w:after="100" w:line="360" w:lineRule="auto"/>
        <w:jc w:val="both"/>
        <w:rPr>
          <w:rFonts w:ascii="Times New Roman" w:eastAsia="Calibri" w:hAnsi="Times New Roman" w:cs="Times New Roman"/>
          <w:b/>
          <w:sz w:val="24"/>
          <w:szCs w:val="24"/>
          <w:u w:val="single"/>
        </w:rPr>
      </w:pPr>
      <w:r w:rsidRPr="00602F32">
        <w:rPr>
          <w:rFonts w:ascii="Times New Roman" w:eastAsia="Calibri" w:hAnsi="Times New Roman" w:cs="Times New Roman"/>
          <w:b/>
          <w:sz w:val="24"/>
          <w:szCs w:val="24"/>
          <w:u w:val="single"/>
        </w:rPr>
        <w:lastRenderedPageBreak/>
        <w:t>Discussion</w:t>
      </w:r>
    </w:p>
    <w:p w14:paraId="11C883D6" w14:textId="1E46196A" w:rsidR="00220FAB" w:rsidRPr="00220FAB" w:rsidRDefault="00220FAB" w:rsidP="000D29BF">
      <w:pPr>
        <w:spacing w:after="100" w:line="360" w:lineRule="auto"/>
        <w:jc w:val="both"/>
        <w:rPr>
          <w:rFonts w:ascii="Times New Roman" w:eastAsia="Calibri" w:hAnsi="Times New Roman" w:cs="Times New Roman"/>
          <w:sz w:val="24"/>
          <w:szCs w:val="24"/>
        </w:rPr>
      </w:pPr>
      <w:r w:rsidRPr="00220FAB">
        <w:rPr>
          <w:rFonts w:ascii="Times New Roman" w:eastAsia="Calibri" w:hAnsi="Times New Roman" w:cs="Times New Roman"/>
          <w:sz w:val="24"/>
          <w:szCs w:val="24"/>
        </w:rPr>
        <w:t xml:space="preserve">We will </w:t>
      </w:r>
      <w:r>
        <w:rPr>
          <w:rFonts w:ascii="Times New Roman" w:eastAsia="Calibri" w:hAnsi="Times New Roman" w:cs="Times New Roman"/>
          <w:sz w:val="24"/>
          <w:szCs w:val="24"/>
        </w:rPr>
        <w:t>present the summary debates on the nascent points concerning 2YL</w:t>
      </w:r>
      <w:r w:rsidR="00AA5912">
        <w:rPr>
          <w:rFonts w:ascii="Times New Roman" w:eastAsia="Calibri" w:hAnsi="Times New Roman" w:cs="Times New Roman"/>
          <w:sz w:val="24"/>
          <w:szCs w:val="24"/>
        </w:rPr>
        <w:t>,</w:t>
      </w:r>
      <w:r>
        <w:rPr>
          <w:rFonts w:ascii="Times New Roman" w:eastAsia="Calibri" w:hAnsi="Times New Roman" w:cs="Times New Roman"/>
          <w:sz w:val="24"/>
          <w:szCs w:val="24"/>
        </w:rPr>
        <w:t xml:space="preserve"> deduced from the </w:t>
      </w:r>
      <w:r w:rsidR="007A18CE">
        <w:rPr>
          <w:rFonts w:ascii="Times New Roman" w:eastAsia="Calibri" w:hAnsi="Times New Roman" w:cs="Times New Roman"/>
          <w:sz w:val="24"/>
          <w:szCs w:val="24"/>
        </w:rPr>
        <w:t>interrogated outcomes of this study</w:t>
      </w:r>
      <w:r w:rsidR="00AA5912">
        <w:rPr>
          <w:rFonts w:ascii="Times New Roman" w:eastAsia="Calibri" w:hAnsi="Times New Roman" w:cs="Times New Roman"/>
          <w:sz w:val="24"/>
          <w:szCs w:val="24"/>
        </w:rPr>
        <w:t>,</w:t>
      </w:r>
      <w:r w:rsidR="007A18CE">
        <w:rPr>
          <w:rFonts w:ascii="Times New Roman" w:eastAsia="Calibri" w:hAnsi="Times New Roman" w:cs="Times New Roman"/>
          <w:sz w:val="24"/>
          <w:szCs w:val="24"/>
        </w:rPr>
        <w:t xml:space="preserve"> u</w:t>
      </w:r>
      <w:r w:rsidR="00AA5912">
        <w:rPr>
          <w:rFonts w:ascii="Times New Roman" w:eastAsia="Calibri" w:hAnsi="Times New Roman" w:cs="Times New Roman"/>
          <w:sz w:val="24"/>
          <w:szCs w:val="24"/>
        </w:rPr>
        <w:t xml:space="preserve">nder the </w:t>
      </w:r>
      <w:r w:rsidR="007A18CE">
        <w:rPr>
          <w:rFonts w:ascii="Times New Roman" w:eastAsia="Calibri" w:hAnsi="Times New Roman" w:cs="Times New Roman"/>
          <w:sz w:val="24"/>
          <w:szCs w:val="24"/>
        </w:rPr>
        <w:t>under listed subheadings</w:t>
      </w:r>
      <w:r w:rsidR="00AA5912">
        <w:rPr>
          <w:rFonts w:ascii="Times New Roman" w:eastAsia="Calibri" w:hAnsi="Times New Roman" w:cs="Times New Roman"/>
          <w:sz w:val="24"/>
          <w:szCs w:val="24"/>
        </w:rPr>
        <w:t>,</w:t>
      </w:r>
      <w:r w:rsidR="007A18CE">
        <w:rPr>
          <w:rFonts w:ascii="Times New Roman" w:eastAsia="Calibri" w:hAnsi="Times New Roman" w:cs="Times New Roman"/>
          <w:sz w:val="24"/>
          <w:szCs w:val="24"/>
        </w:rPr>
        <w:t xml:space="preserve"> which address: common presumptions about 2YL, supportive evidence from previous similar studies, common regulatory frameworks and practices, and evidence based recommendations, respectively.</w:t>
      </w:r>
      <w:r w:rsidR="00E50449">
        <w:rPr>
          <w:rFonts w:ascii="Times New Roman" w:eastAsia="Calibri" w:hAnsi="Times New Roman" w:cs="Times New Roman"/>
          <w:sz w:val="24"/>
          <w:szCs w:val="24"/>
        </w:rPr>
        <w:t xml:space="preserve"> </w:t>
      </w:r>
    </w:p>
    <w:p w14:paraId="565FCC22" w14:textId="51FF4ADC" w:rsidR="00BC707F" w:rsidRPr="00220FAB" w:rsidRDefault="00220FAB" w:rsidP="000D29BF">
      <w:pPr>
        <w:spacing w:after="100" w:line="360" w:lineRule="auto"/>
        <w:jc w:val="both"/>
        <w:rPr>
          <w:rFonts w:ascii="Times New Roman" w:eastAsia="Calibri" w:hAnsi="Times New Roman" w:cs="Times New Roman"/>
          <w:b/>
          <w:sz w:val="24"/>
          <w:szCs w:val="24"/>
        </w:rPr>
      </w:pPr>
      <w:r w:rsidRPr="00220FAB">
        <w:rPr>
          <w:rFonts w:ascii="Times New Roman" w:eastAsia="Calibri" w:hAnsi="Times New Roman" w:cs="Times New Roman"/>
          <w:b/>
          <w:sz w:val="24"/>
          <w:szCs w:val="24"/>
        </w:rPr>
        <w:t>Premise, prospects and platitudes</w:t>
      </w:r>
    </w:p>
    <w:p w14:paraId="547652A0" w14:textId="4E34C230" w:rsidR="00220FAB" w:rsidRDefault="00FE0E94" w:rsidP="000D29BF">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principal premise of </w:t>
      </w:r>
      <w:r w:rsidR="00220FAB">
        <w:rPr>
          <w:rFonts w:ascii="Times New Roman" w:eastAsia="Calibri" w:hAnsi="Times New Roman" w:cs="Times New Roman"/>
          <w:sz w:val="24"/>
          <w:szCs w:val="24"/>
        </w:rPr>
        <w:t xml:space="preserve">Second-year-of-life immunization (2YL) is </w:t>
      </w:r>
      <w:r>
        <w:rPr>
          <w:rFonts w:ascii="Times New Roman" w:eastAsia="Calibri" w:hAnsi="Times New Roman" w:cs="Times New Roman"/>
          <w:sz w:val="24"/>
          <w:szCs w:val="24"/>
        </w:rPr>
        <w:t xml:space="preserve">that it is </w:t>
      </w:r>
      <w:r w:rsidR="002A1D01">
        <w:rPr>
          <w:rFonts w:ascii="Times New Roman" w:eastAsia="Calibri" w:hAnsi="Times New Roman" w:cs="Times New Roman"/>
          <w:sz w:val="24"/>
          <w:szCs w:val="24"/>
        </w:rPr>
        <w:t xml:space="preserve">more commonly considered </w:t>
      </w:r>
      <w:r w:rsidR="00220FAB">
        <w:rPr>
          <w:rFonts w:ascii="Times New Roman" w:eastAsia="Calibri" w:hAnsi="Times New Roman" w:cs="Times New Roman"/>
          <w:sz w:val="24"/>
          <w:szCs w:val="24"/>
        </w:rPr>
        <w:t xml:space="preserve">a critical opportunity </w:t>
      </w:r>
      <w:r w:rsidR="007A18CE">
        <w:rPr>
          <w:rFonts w:ascii="Times New Roman" w:eastAsia="Calibri" w:hAnsi="Times New Roman" w:cs="Times New Roman"/>
          <w:sz w:val="24"/>
          <w:szCs w:val="24"/>
        </w:rPr>
        <w:t>for shorin</w:t>
      </w:r>
      <w:r w:rsidR="00047F5E">
        <w:rPr>
          <w:rFonts w:ascii="Times New Roman" w:eastAsia="Calibri" w:hAnsi="Times New Roman" w:cs="Times New Roman"/>
          <w:sz w:val="24"/>
          <w:szCs w:val="24"/>
        </w:rPr>
        <w:t xml:space="preserve">g up herd immunity, introducing </w:t>
      </w:r>
      <w:r w:rsidR="007A18CE">
        <w:rPr>
          <w:rFonts w:ascii="Times New Roman" w:eastAsia="Calibri" w:hAnsi="Times New Roman" w:cs="Times New Roman"/>
          <w:sz w:val="24"/>
          <w:szCs w:val="24"/>
        </w:rPr>
        <w:t xml:space="preserve">new vaccines, </w:t>
      </w:r>
      <w:r>
        <w:rPr>
          <w:rFonts w:ascii="Times New Roman" w:eastAsia="Calibri" w:hAnsi="Times New Roman" w:cs="Times New Roman"/>
          <w:sz w:val="24"/>
          <w:szCs w:val="24"/>
        </w:rPr>
        <w:t xml:space="preserve">and improving immunization uptake and service delivery, through catchup on missed doses of </w:t>
      </w:r>
      <w:r w:rsidR="00047F5E">
        <w:rPr>
          <w:rFonts w:ascii="Times New Roman" w:eastAsia="Calibri" w:hAnsi="Times New Roman" w:cs="Times New Roman"/>
          <w:sz w:val="24"/>
          <w:szCs w:val="24"/>
        </w:rPr>
        <w:t>routinely scheduled vaccines as well as</w:t>
      </w:r>
      <w:r>
        <w:rPr>
          <w:rFonts w:ascii="Times New Roman" w:eastAsia="Calibri" w:hAnsi="Times New Roman" w:cs="Times New Roman"/>
          <w:sz w:val="24"/>
          <w:szCs w:val="24"/>
        </w:rPr>
        <w:t xml:space="preserve"> missed opportunities for vaccination (MOV’s). </w:t>
      </w:r>
    </w:p>
    <w:p w14:paraId="11CD498D" w14:textId="3A7E4B62" w:rsidR="00047F5E" w:rsidRDefault="00047F5E" w:rsidP="000D29BF">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Consequently, principal among the more common</w:t>
      </w:r>
      <w:r w:rsidR="00C55CC8">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several</w:t>
      </w:r>
      <w:r w:rsidR="00C55CC8">
        <w:rPr>
          <w:rFonts w:ascii="Times New Roman" w:eastAsia="Calibri" w:hAnsi="Times New Roman" w:cs="Times New Roman"/>
          <w:sz w:val="24"/>
          <w:szCs w:val="24"/>
        </w:rPr>
        <w:t>,</w:t>
      </w:r>
      <w:r>
        <w:rPr>
          <w:rFonts w:ascii="Times New Roman" w:eastAsia="Calibri" w:hAnsi="Times New Roman" w:cs="Times New Roman"/>
          <w:sz w:val="24"/>
          <w:szCs w:val="24"/>
        </w:rPr>
        <w:t xml:space="preserve"> themes that impinge upon immunization completion in children under five years of age, for which 2YL is volunteered as a panacea, is t</w:t>
      </w:r>
      <w:r w:rsidR="00C55CC8">
        <w:rPr>
          <w:rFonts w:ascii="Times New Roman" w:eastAsia="Calibri" w:hAnsi="Times New Roman" w:cs="Times New Roman"/>
          <w:sz w:val="24"/>
          <w:szCs w:val="24"/>
        </w:rPr>
        <w:t>he subject of caregiver awareness of the need for immunization of the child, and completion of same, within the appointed time period using the stipulated, internationally recommended</w:t>
      </w:r>
      <w:r w:rsidR="0074005B">
        <w:rPr>
          <w:rFonts w:ascii="Times New Roman" w:eastAsia="Calibri" w:hAnsi="Times New Roman" w:cs="Times New Roman"/>
          <w:sz w:val="24"/>
          <w:szCs w:val="24"/>
        </w:rPr>
        <w:t>,</w:t>
      </w:r>
      <w:r w:rsidR="00C55CC8">
        <w:rPr>
          <w:rFonts w:ascii="Times New Roman" w:eastAsia="Calibri" w:hAnsi="Times New Roman" w:cs="Times New Roman"/>
          <w:sz w:val="24"/>
          <w:szCs w:val="24"/>
        </w:rPr>
        <w:t xml:space="preserve"> and nationally implemented vaccination schedule. To this end, the findings in this study suggest that </w:t>
      </w:r>
      <w:r w:rsidR="00762D95">
        <w:rPr>
          <w:rFonts w:ascii="Times New Roman" w:eastAsia="Calibri" w:hAnsi="Times New Roman" w:cs="Times New Roman"/>
          <w:sz w:val="24"/>
          <w:szCs w:val="24"/>
        </w:rPr>
        <w:t xml:space="preserve">vaccine hesitancy is a significant impediment to optimizing </w:t>
      </w:r>
      <w:r w:rsidR="0070092F">
        <w:rPr>
          <w:rFonts w:ascii="Times New Roman" w:eastAsia="Calibri" w:hAnsi="Times New Roman" w:cs="Times New Roman"/>
          <w:sz w:val="24"/>
          <w:szCs w:val="24"/>
        </w:rPr>
        <w:t xml:space="preserve">routine immunization uptake and immunization completion rates </w:t>
      </w:r>
      <w:r w:rsidR="007329DA">
        <w:rPr>
          <w:rFonts w:ascii="Times New Roman" w:eastAsia="Calibri" w:hAnsi="Times New Roman" w:cs="Times New Roman"/>
          <w:sz w:val="24"/>
          <w:szCs w:val="24"/>
        </w:rPr>
        <w:t xml:space="preserve">among eligible children. </w:t>
      </w:r>
      <w:r w:rsidR="00262B43">
        <w:rPr>
          <w:rFonts w:ascii="Times New Roman" w:eastAsia="Calibri" w:hAnsi="Times New Roman" w:cs="Times New Roman"/>
          <w:sz w:val="24"/>
          <w:szCs w:val="24"/>
        </w:rPr>
        <w:t xml:space="preserve">The prevailing themes in this regard revolved around the following: lack of awareness and poor knowledge on the premise, necessity, importance and requirements for immunization </w:t>
      </w:r>
      <w:r w:rsidR="003C4CA9">
        <w:rPr>
          <w:rFonts w:ascii="Times New Roman" w:eastAsia="Calibri" w:hAnsi="Times New Roman" w:cs="Times New Roman"/>
          <w:sz w:val="24"/>
          <w:szCs w:val="24"/>
        </w:rPr>
        <w:t xml:space="preserve">(especially within </w:t>
      </w:r>
      <w:r w:rsidR="00262B43">
        <w:rPr>
          <w:rFonts w:ascii="Times New Roman" w:eastAsia="Calibri" w:hAnsi="Times New Roman" w:cs="Times New Roman"/>
          <w:sz w:val="24"/>
          <w:szCs w:val="24"/>
        </w:rPr>
        <w:t>the context of 2</w:t>
      </w:r>
      <w:r w:rsidR="003C4CA9">
        <w:rPr>
          <w:rFonts w:ascii="Times New Roman" w:eastAsia="Calibri" w:hAnsi="Times New Roman" w:cs="Times New Roman"/>
          <w:sz w:val="24"/>
          <w:szCs w:val="24"/>
        </w:rPr>
        <w:t>YL), increased</w:t>
      </w:r>
      <w:r w:rsidR="00262B43">
        <w:rPr>
          <w:rFonts w:ascii="Times New Roman" w:eastAsia="Calibri" w:hAnsi="Times New Roman" w:cs="Times New Roman"/>
          <w:sz w:val="24"/>
          <w:szCs w:val="24"/>
        </w:rPr>
        <w:t xml:space="preserve"> number of administrable vaccines, increased number of injectable and fear of negative outcomes</w:t>
      </w:r>
      <w:r w:rsidR="00DB05C8">
        <w:rPr>
          <w:rFonts w:ascii="Times New Roman" w:eastAsia="Calibri" w:hAnsi="Times New Roman" w:cs="Times New Roman"/>
          <w:sz w:val="24"/>
          <w:szCs w:val="24"/>
        </w:rPr>
        <w:t xml:space="preserve"> therefrom (particularly Adverse Events Following Immunization</w:t>
      </w:r>
      <w:r w:rsidR="00822306">
        <w:rPr>
          <w:rFonts w:ascii="Times New Roman" w:eastAsia="Calibri" w:hAnsi="Times New Roman" w:cs="Times New Roman"/>
          <w:sz w:val="24"/>
          <w:szCs w:val="24"/>
        </w:rPr>
        <w:t xml:space="preserve"> - AEFI</w:t>
      </w:r>
      <w:r w:rsidR="00DB05C8">
        <w:rPr>
          <w:rFonts w:ascii="Times New Roman" w:eastAsia="Calibri" w:hAnsi="Times New Roman" w:cs="Times New Roman"/>
          <w:sz w:val="24"/>
          <w:szCs w:val="24"/>
        </w:rPr>
        <w:t xml:space="preserve">). </w:t>
      </w:r>
      <w:r w:rsidR="00A460A0">
        <w:rPr>
          <w:rFonts w:ascii="Times New Roman" w:eastAsia="Calibri" w:hAnsi="Times New Roman" w:cs="Times New Roman"/>
          <w:sz w:val="24"/>
          <w:szCs w:val="24"/>
        </w:rPr>
        <w:t>These findings are in keeping with t</w:t>
      </w:r>
      <w:r w:rsidR="00DB16A2">
        <w:rPr>
          <w:rFonts w:ascii="Times New Roman" w:eastAsia="Calibri" w:hAnsi="Times New Roman" w:cs="Times New Roman"/>
          <w:sz w:val="24"/>
          <w:szCs w:val="24"/>
        </w:rPr>
        <w:t xml:space="preserve">hose of </w:t>
      </w:r>
      <w:proofErr w:type="spellStart"/>
      <w:r w:rsidR="00DB16A2">
        <w:rPr>
          <w:rFonts w:ascii="Times New Roman" w:eastAsia="Calibri" w:hAnsi="Times New Roman" w:cs="Times New Roman"/>
          <w:sz w:val="24"/>
          <w:szCs w:val="24"/>
        </w:rPr>
        <w:t>Ze</w:t>
      </w:r>
      <w:r w:rsidR="003C7CF4">
        <w:rPr>
          <w:rFonts w:ascii="Times New Roman" w:eastAsia="Calibri" w:hAnsi="Times New Roman" w:cs="Times New Roman"/>
          <w:sz w:val="24"/>
          <w:szCs w:val="24"/>
        </w:rPr>
        <w:t>wdie</w:t>
      </w:r>
      <w:proofErr w:type="spellEnd"/>
      <w:r w:rsidR="003C7CF4">
        <w:rPr>
          <w:rFonts w:ascii="Times New Roman" w:eastAsia="Calibri" w:hAnsi="Times New Roman" w:cs="Times New Roman"/>
          <w:sz w:val="24"/>
          <w:szCs w:val="24"/>
        </w:rPr>
        <w:t xml:space="preserve"> et al (2016)</w:t>
      </w:r>
      <w:r w:rsidR="008C28B9">
        <w:rPr>
          <w:rFonts w:ascii="Times New Roman" w:eastAsia="Calibri" w:hAnsi="Times New Roman" w:cs="Times New Roman"/>
          <w:sz w:val="24"/>
          <w:szCs w:val="24"/>
        </w:rPr>
        <w:t xml:space="preserve">, </w:t>
      </w:r>
      <w:proofErr w:type="spellStart"/>
      <w:r w:rsidR="008C28B9">
        <w:rPr>
          <w:rFonts w:ascii="Times New Roman" w:eastAsia="Calibri" w:hAnsi="Times New Roman" w:cs="Times New Roman"/>
          <w:sz w:val="24"/>
          <w:szCs w:val="24"/>
        </w:rPr>
        <w:t>Muluneh</w:t>
      </w:r>
      <w:proofErr w:type="spellEnd"/>
      <w:r w:rsidR="008C28B9">
        <w:rPr>
          <w:rFonts w:ascii="Times New Roman" w:eastAsia="Calibri" w:hAnsi="Times New Roman" w:cs="Times New Roman"/>
          <w:sz w:val="24"/>
          <w:szCs w:val="24"/>
        </w:rPr>
        <w:t xml:space="preserve"> et al (2020),</w:t>
      </w:r>
      <w:r w:rsidR="009E7CC6">
        <w:rPr>
          <w:rFonts w:ascii="Times New Roman" w:eastAsia="Calibri" w:hAnsi="Times New Roman" w:cs="Times New Roman"/>
          <w:sz w:val="24"/>
          <w:szCs w:val="24"/>
        </w:rPr>
        <w:t xml:space="preserve"> Saeed et al</w:t>
      </w:r>
      <w:r w:rsidR="00B62140">
        <w:rPr>
          <w:rFonts w:ascii="Times New Roman" w:eastAsia="Calibri" w:hAnsi="Times New Roman" w:cs="Times New Roman"/>
          <w:sz w:val="24"/>
          <w:szCs w:val="24"/>
        </w:rPr>
        <w:t xml:space="preserve"> (2021),</w:t>
      </w:r>
      <w:r w:rsidR="003C7CF4">
        <w:rPr>
          <w:rFonts w:ascii="Times New Roman" w:eastAsia="Calibri" w:hAnsi="Times New Roman" w:cs="Times New Roman"/>
          <w:sz w:val="24"/>
          <w:szCs w:val="24"/>
        </w:rPr>
        <w:t xml:space="preserve"> </w:t>
      </w:r>
      <w:r w:rsidR="008500AF">
        <w:rPr>
          <w:rFonts w:ascii="Times New Roman" w:eastAsia="Calibri" w:hAnsi="Times New Roman" w:cs="Times New Roman"/>
          <w:sz w:val="24"/>
          <w:szCs w:val="24"/>
        </w:rPr>
        <w:t xml:space="preserve">Abdu et al (2022), </w:t>
      </w:r>
      <w:r w:rsidR="008C28B9">
        <w:rPr>
          <w:rFonts w:ascii="Times New Roman" w:eastAsia="Calibri" w:hAnsi="Times New Roman" w:cs="Times New Roman"/>
          <w:sz w:val="24"/>
          <w:szCs w:val="24"/>
        </w:rPr>
        <w:t xml:space="preserve">and </w:t>
      </w:r>
      <w:proofErr w:type="spellStart"/>
      <w:r w:rsidR="008C28B9">
        <w:rPr>
          <w:rFonts w:ascii="Times New Roman" w:eastAsia="Calibri" w:hAnsi="Times New Roman" w:cs="Times New Roman"/>
          <w:sz w:val="24"/>
          <w:szCs w:val="24"/>
        </w:rPr>
        <w:t>Ullah</w:t>
      </w:r>
      <w:proofErr w:type="spellEnd"/>
      <w:r w:rsidR="008C28B9">
        <w:rPr>
          <w:rFonts w:ascii="Times New Roman" w:eastAsia="Calibri" w:hAnsi="Times New Roman" w:cs="Times New Roman"/>
          <w:sz w:val="24"/>
          <w:szCs w:val="24"/>
        </w:rPr>
        <w:t xml:space="preserve"> et al (2024) </w:t>
      </w:r>
      <w:r w:rsidR="003C7CF4">
        <w:rPr>
          <w:rFonts w:ascii="Times New Roman" w:eastAsia="Calibri" w:hAnsi="Times New Roman" w:cs="Times New Roman"/>
          <w:sz w:val="24"/>
          <w:szCs w:val="24"/>
        </w:rPr>
        <w:t>in their studies</w:t>
      </w:r>
      <w:r w:rsidR="00DB16A2">
        <w:rPr>
          <w:rFonts w:ascii="Times New Roman" w:eastAsia="Calibri" w:hAnsi="Times New Roman" w:cs="Times New Roman"/>
          <w:sz w:val="24"/>
          <w:szCs w:val="24"/>
        </w:rPr>
        <w:t xml:space="preserve"> in Ethiopia</w:t>
      </w:r>
      <w:r w:rsidR="009A5714">
        <w:rPr>
          <w:rFonts w:ascii="Times New Roman" w:eastAsia="Calibri" w:hAnsi="Times New Roman" w:cs="Times New Roman"/>
          <w:sz w:val="24"/>
          <w:szCs w:val="24"/>
        </w:rPr>
        <w:t xml:space="preserve">, </w:t>
      </w:r>
      <w:r w:rsidR="00256580">
        <w:rPr>
          <w:rFonts w:ascii="Times New Roman" w:eastAsia="Calibri" w:hAnsi="Times New Roman" w:cs="Times New Roman"/>
          <w:sz w:val="24"/>
          <w:szCs w:val="24"/>
        </w:rPr>
        <w:t xml:space="preserve">Eritrea, </w:t>
      </w:r>
      <w:r w:rsidR="003C7CF4">
        <w:rPr>
          <w:rFonts w:ascii="Times New Roman" w:eastAsia="Calibri" w:hAnsi="Times New Roman" w:cs="Times New Roman"/>
          <w:sz w:val="24"/>
          <w:szCs w:val="24"/>
        </w:rPr>
        <w:t xml:space="preserve">and Pakistan, </w:t>
      </w:r>
      <w:r w:rsidR="00DB16A2">
        <w:rPr>
          <w:rFonts w:ascii="Times New Roman" w:eastAsia="Calibri" w:hAnsi="Times New Roman" w:cs="Times New Roman"/>
          <w:sz w:val="24"/>
          <w:szCs w:val="24"/>
        </w:rPr>
        <w:t>when they submit that lack of</w:t>
      </w:r>
      <w:r w:rsidR="008500AF">
        <w:rPr>
          <w:rFonts w:ascii="Times New Roman" w:eastAsia="Calibri" w:hAnsi="Times New Roman" w:cs="Times New Roman"/>
          <w:sz w:val="24"/>
          <w:szCs w:val="24"/>
        </w:rPr>
        <w:t>, and/or poor</w:t>
      </w:r>
      <w:r w:rsidR="00DB16A2">
        <w:rPr>
          <w:rFonts w:ascii="Times New Roman" w:eastAsia="Calibri" w:hAnsi="Times New Roman" w:cs="Times New Roman"/>
          <w:sz w:val="24"/>
          <w:szCs w:val="24"/>
        </w:rPr>
        <w:t xml:space="preserve"> </w:t>
      </w:r>
      <w:r w:rsidR="003C7CF4">
        <w:rPr>
          <w:rFonts w:ascii="Times New Roman" w:eastAsia="Calibri" w:hAnsi="Times New Roman" w:cs="Times New Roman"/>
          <w:sz w:val="24"/>
          <w:szCs w:val="24"/>
        </w:rPr>
        <w:t>parental knowledge and in</w:t>
      </w:r>
      <w:r w:rsidR="00DB16A2">
        <w:rPr>
          <w:rFonts w:ascii="Times New Roman" w:eastAsia="Calibri" w:hAnsi="Times New Roman" w:cs="Times New Roman"/>
          <w:sz w:val="24"/>
          <w:szCs w:val="24"/>
        </w:rPr>
        <w:t>appropriate information on vaccines</w:t>
      </w:r>
      <w:r w:rsidR="003C7CF4">
        <w:rPr>
          <w:rFonts w:ascii="Times New Roman" w:eastAsia="Calibri" w:hAnsi="Times New Roman" w:cs="Times New Roman"/>
          <w:sz w:val="24"/>
          <w:szCs w:val="24"/>
        </w:rPr>
        <w:t xml:space="preserve">, </w:t>
      </w:r>
      <w:r w:rsidR="008500AF">
        <w:rPr>
          <w:rFonts w:ascii="Times New Roman" w:eastAsia="Calibri" w:hAnsi="Times New Roman" w:cs="Times New Roman"/>
          <w:sz w:val="24"/>
          <w:szCs w:val="24"/>
        </w:rPr>
        <w:t xml:space="preserve">vaccination, vaccination outcomes and complications therefrom, </w:t>
      </w:r>
      <w:r w:rsidR="003C7CF4">
        <w:rPr>
          <w:rFonts w:ascii="Times New Roman" w:eastAsia="Calibri" w:hAnsi="Times New Roman" w:cs="Times New Roman"/>
          <w:sz w:val="24"/>
          <w:szCs w:val="24"/>
        </w:rPr>
        <w:t xml:space="preserve">as well as poor parental attitude and maternal counselling </w:t>
      </w:r>
      <w:r w:rsidR="008500AF">
        <w:rPr>
          <w:rFonts w:ascii="Times New Roman" w:eastAsia="Calibri" w:hAnsi="Times New Roman" w:cs="Times New Roman"/>
          <w:sz w:val="24"/>
          <w:szCs w:val="24"/>
        </w:rPr>
        <w:t xml:space="preserve">(pre and post-vaccination) </w:t>
      </w:r>
      <w:r w:rsidR="003C7CF4">
        <w:rPr>
          <w:rFonts w:ascii="Times New Roman" w:eastAsia="Calibri" w:hAnsi="Times New Roman" w:cs="Times New Roman"/>
          <w:sz w:val="24"/>
          <w:szCs w:val="24"/>
        </w:rPr>
        <w:t xml:space="preserve">were critical determinants of immunization </w:t>
      </w:r>
      <w:r w:rsidR="00B62140">
        <w:rPr>
          <w:rFonts w:ascii="Times New Roman" w:eastAsia="Calibri" w:hAnsi="Times New Roman" w:cs="Times New Roman"/>
          <w:sz w:val="24"/>
          <w:szCs w:val="24"/>
        </w:rPr>
        <w:t xml:space="preserve">outcomes and </w:t>
      </w:r>
      <w:r w:rsidR="003C7CF4">
        <w:rPr>
          <w:rFonts w:ascii="Times New Roman" w:eastAsia="Calibri" w:hAnsi="Times New Roman" w:cs="Times New Roman"/>
          <w:sz w:val="24"/>
          <w:szCs w:val="24"/>
        </w:rPr>
        <w:t>completion among eligible children (</w:t>
      </w:r>
      <w:proofErr w:type="spellStart"/>
      <w:r w:rsidR="003C7CF4">
        <w:rPr>
          <w:rFonts w:ascii="Times New Roman" w:eastAsia="Calibri" w:hAnsi="Times New Roman" w:cs="Times New Roman"/>
          <w:sz w:val="24"/>
          <w:szCs w:val="24"/>
        </w:rPr>
        <w:t>Zewdi</w:t>
      </w:r>
      <w:r w:rsidR="00DB16A2">
        <w:rPr>
          <w:rFonts w:ascii="Times New Roman" w:eastAsia="Calibri" w:hAnsi="Times New Roman" w:cs="Times New Roman"/>
          <w:sz w:val="24"/>
          <w:szCs w:val="24"/>
        </w:rPr>
        <w:t>e</w:t>
      </w:r>
      <w:proofErr w:type="spellEnd"/>
      <w:r w:rsidR="00DB16A2">
        <w:rPr>
          <w:rFonts w:ascii="Times New Roman" w:eastAsia="Calibri" w:hAnsi="Times New Roman" w:cs="Times New Roman"/>
          <w:sz w:val="24"/>
          <w:szCs w:val="24"/>
        </w:rPr>
        <w:t xml:space="preserve"> et al, 2016</w:t>
      </w:r>
      <w:r w:rsidR="003C7CF4">
        <w:rPr>
          <w:rFonts w:ascii="Times New Roman" w:eastAsia="Calibri" w:hAnsi="Times New Roman" w:cs="Times New Roman"/>
          <w:sz w:val="24"/>
          <w:szCs w:val="24"/>
        </w:rPr>
        <w:t xml:space="preserve">; </w:t>
      </w:r>
      <w:proofErr w:type="spellStart"/>
      <w:r w:rsidR="008C28B9">
        <w:rPr>
          <w:rFonts w:ascii="Times New Roman" w:eastAsia="Calibri" w:hAnsi="Times New Roman" w:cs="Times New Roman"/>
          <w:sz w:val="24"/>
          <w:szCs w:val="24"/>
        </w:rPr>
        <w:t>Muluneh</w:t>
      </w:r>
      <w:proofErr w:type="spellEnd"/>
      <w:r w:rsidR="008C28B9">
        <w:rPr>
          <w:rFonts w:ascii="Times New Roman" w:eastAsia="Calibri" w:hAnsi="Times New Roman" w:cs="Times New Roman"/>
          <w:sz w:val="24"/>
          <w:szCs w:val="24"/>
        </w:rPr>
        <w:t xml:space="preserve"> et al, 2020; </w:t>
      </w:r>
      <w:r w:rsidR="003C7CF4">
        <w:rPr>
          <w:rFonts w:ascii="Times New Roman" w:eastAsia="Calibri" w:hAnsi="Times New Roman" w:cs="Times New Roman"/>
          <w:sz w:val="24"/>
          <w:szCs w:val="24"/>
        </w:rPr>
        <w:t xml:space="preserve">Saeed et al, 2021; </w:t>
      </w:r>
      <w:r w:rsidR="008500AF">
        <w:rPr>
          <w:rFonts w:ascii="Times New Roman" w:eastAsia="Calibri" w:hAnsi="Times New Roman" w:cs="Times New Roman"/>
          <w:sz w:val="24"/>
          <w:szCs w:val="24"/>
        </w:rPr>
        <w:t xml:space="preserve">Abdu et al, 2022; </w:t>
      </w:r>
      <w:proofErr w:type="spellStart"/>
      <w:r w:rsidR="003C7CF4">
        <w:rPr>
          <w:rFonts w:ascii="Times New Roman" w:eastAsia="Calibri" w:hAnsi="Times New Roman" w:cs="Times New Roman"/>
          <w:sz w:val="24"/>
          <w:szCs w:val="24"/>
        </w:rPr>
        <w:t>Ullah</w:t>
      </w:r>
      <w:proofErr w:type="spellEnd"/>
      <w:r w:rsidR="003C7CF4">
        <w:rPr>
          <w:rFonts w:ascii="Times New Roman" w:eastAsia="Calibri" w:hAnsi="Times New Roman" w:cs="Times New Roman"/>
          <w:sz w:val="24"/>
          <w:szCs w:val="24"/>
        </w:rPr>
        <w:t xml:space="preserve"> et al 2024</w:t>
      </w:r>
      <w:r w:rsidR="00DB16A2">
        <w:rPr>
          <w:rFonts w:ascii="Times New Roman" w:eastAsia="Calibri" w:hAnsi="Times New Roman" w:cs="Times New Roman"/>
          <w:sz w:val="24"/>
          <w:szCs w:val="24"/>
        </w:rPr>
        <w:t>)</w:t>
      </w:r>
      <w:r w:rsidR="003C7CF4">
        <w:rPr>
          <w:rFonts w:ascii="Times New Roman" w:eastAsia="Calibri" w:hAnsi="Times New Roman" w:cs="Times New Roman"/>
          <w:sz w:val="24"/>
          <w:szCs w:val="24"/>
        </w:rPr>
        <w:t>.</w:t>
      </w:r>
    </w:p>
    <w:p w14:paraId="590A79E3" w14:textId="7086F3B0" w:rsidR="00047F5E" w:rsidRPr="00D63B4C" w:rsidRDefault="00047F5E" w:rsidP="000D29BF">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Furthermore, vaccine hesitancy is noted to by contingent upon a number of sociocultural factors th</w:t>
      </w:r>
      <w:r w:rsidR="00C55CC8">
        <w:rPr>
          <w:rFonts w:ascii="Times New Roman" w:eastAsia="Calibri" w:hAnsi="Times New Roman" w:cs="Times New Roman"/>
          <w:sz w:val="24"/>
          <w:szCs w:val="24"/>
        </w:rPr>
        <w:t xml:space="preserve">at ignite, fuel and propagate myths, </w:t>
      </w:r>
      <w:r>
        <w:rPr>
          <w:rFonts w:ascii="Times New Roman" w:eastAsia="Calibri" w:hAnsi="Times New Roman" w:cs="Times New Roman"/>
          <w:sz w:val="24"/>
          <w:szCs w:val="24"/>
        </w:rPr>
        <w:t xml:space="preserve">misconceptions </w:t>
      </w:r>
      <w:r w:rsidR="00C55CC8">
        <w:rPr>
          <w:rFonts w:ascii="Times New Roman" w:eastAsia="Calibri" w:hAnsi="Times New Roman" w:cs="Times New Roman"/>
          <w:sz w:val="24"/>
          <w:szCs w:val="24"/>
        </w:rPr>
        <w:t xml:space="preserve">and cultural restrictions </w:t>
      </w:r>
      <w:r w:rsidR="00DB16A2">
        <w:rPr>
          <w:rFonts w:ascii="Times New Roman" w:eastAsia="Calibri" w:hAnsi="Times New Roman" w:cs="Times New Roman"/>
          <w:sz w:val="24"/>
          <w:szCs w:val="24"/>
        </w:rPr>
        <w:t>about immunization</w:t>
      </w:r>
      <w:r w:rsidR="00B62140">
        <w:rPr>
          <w:rFonts w:ascii="Times New Roman" w:eastAsia="Calibri" w:hAnsi="Times New Roman" w:cs="Times New Roman"/>
          <w:sz w:val="24"/>
          <w:szCs w:val="24"/>
        </w:rPr>
        <w:t xml:space="preserve">, </w:t>
      </w:r>
      <w:r w:rsidR="00B62140">
        <w:rPr>
          <w:rFonts w:ascii="Times New Roman" w:eastAsia="Calibri" w:hAnsi="Times New Roman" w:cs="Times New Roman"/>
          <w:sz w:val="24"/>
          <w:szCs w:val="24"/>
        </w:rPr>
        <w:lastRenderedPageBreak/>
        <w:t xml:space="preserve">inclusive of local </w:t>
      </w:r>
      <w:r w:rsidR="00910A16">
        <w:rPr>
          <w:rFonts w:ascii="Times New Roman" w:eastAsia="Calibri" w:hAnsi="Times New Roman" w:cs="Times New Roman"/>
          <w:sz w:val="24"/>
          <w:szCs w:val="24"/>
        </w:rPr>
        <w:t xml:space="preserve">cultural/religious </w:t>
      </w:r>
      <w:r w:rsidR="00B62140">
        <w:rPr>
          <w:rFonts w:ascii="Times New Roman" w:eastAsia="Calibri" w:hAnsi="Times New Roman" w:cs="Times New Roman"/>
          <w:sz w:val="24"/>
          <w:szCs w:val="24"/>
        </w:rPr>
        <w:t xml:space="preserve">practices that prescribe seclusion of the mother and child during the first few days and/or weeks following confinement at birth (until and after the naming ceremony – which often takes place on the seventh day of life), the </w:t>
      </w:r>
      <w:r w:rsidR="00910A16">
        <w:rPr>
          <w:rFonts w:ascii="Times New Roman" w:eastAsia="Calibri" w:hAnsi="Times New Roman" w:cs="Times New Roman"/>
          <w:sz w:val="24"/>
          <w:szCs w:val="24"/>
        </w:rPr>
        <w:t xml:space="preserve">view by certain groups that vaccines are foreign and thus harmful to the child (especially those requiring administration via injections), </w:t>
      </w:r>
      <w:r w:rsidR="0046188D">
        <w:rPr>
          <w:rFonts w:ascii="Times New Roman" w:eastAsia="Calibri" w:hAnsi="Times New Roman" w:cs="Times New Roman"/>
          <w:sz w:val="24"/>
          <w:szCs w:val="24"/>
        </w:rPr>
        <w:t>the necessity for nursing mothers to be accompanied by a male family member during immunization sessions or that nursing mothers not leave th</w:t>
      </w:r>
      <w:r w:rsidR="00822306">
        <w:rPr>
          <w:rFonts w:ascii="Times New Roman" w:eastAsia="Calibri" w:hAnsi="Times New Roman" w:cs="Times New Roman"/>
          <w:sz w:val="24"/>
          <w:szCs w:val="24"/>
        </w:rPr>
        <w:t xml:space="preserve">e house without their husbands. </w:t>
      </w:r>
      <w:r w:rsidR="00DB16A2">
        <w:rPr>
          <w:rFonts w:ascii="Times New Roman" w:eastAsia="Calibri" w:hAnsi="Times New Roman" w:cs="Times New Roman"/>
          <w:sz w:val="24"/>
          <w:szCs w:val="24"/>
        </w:rPr>
        <w:t>These findings are in keeping with those of Taylor et al (2016)</w:t>
      </w:r>
      <w:r w:rsidR="00D85708">
        <w:rPr>
          <w:rFonts w:ascii="Times New Roman" w:eastAsia="Calibri" w:hAnsi="Times New Roman" w:cs="Times New Roman"/>
          <w:sz w:val="24"/>
          <w:szCs w:val="24"/>
        </w:rPr>
        <w:t xml:space="preserve">, </w:t>
      </w:r>
      <w:r w:rsidR="00E92716">
        <w:rPr>
          <w:rFonts w:ascii="Times New Roman" w:eastAsia="Calibri" w:hAnsi="Times New Roman" w:cs="Times New Roman"/>
          <w:sz w:val="24"/>
          <w:szCs w:val="24"/>
        </w:rPr>
        <w:t xml:space="preserve">Helps et al (2019); </w:t>
      </w:r>
      <w:r w:rsidR="00D85708">
        <w:rPr>
          <w:rFonts w:ascii="Times New Roman" w:eastAsia="Calibri" w:hAnsi="Times New Roman" w:cs="Times New Roman"/>
          <w:sz w:val="24"/>
          <w:szCs w:val="24"/>
        </w:rPr>
        <w:t xml:space="preserve">Butt et al (2020), </w:t>
      </w:r>
      <w:proofErr w:type="spellStart"/>
      <w:r w:rsidR="00D85708">
        <w:rPr>
          <w:rFonts w:ascii="Times New Roman" w:eastAsia="Calibri" w:hAnsi="Times New Roman" w:cs="Times New Roman"/>
          <w:sz w:val="24"/>
          <w:szCs w:val="24"/>
        </w:rPr>
        <w:t>Muluneh</w:t>
      </w:r>
      <w:proofErr w:type="spellEnd"/>
      <w:r w:rsidR="00D85708">
        <w:rPr>
          <w:rFonts w:ascii="Times New Roman" w:eastAsia="Calibri" w:hAnsi="Times New Roman" w:cs="Times New Roman"/>
          <w:sz w:val="24"/>
          <w:szCs w:val="24"/>
        </w:rPr>
        <w:t xml:space="preserve"> et al (2020), and </w:t>
      </w:r>
      <w:proofErr w:type="spellStart"/>
      <w:r w:rsidR="00D85708">
        <w:rPr>
          <w:rFonts w:ascii="Times New Roman" w:eastAsia="Calibri" w:hAnsi="Times New Roman" w:cs="Times New Roman"/>
          <w:sz w:val="24"/>
          <w:szCs w:val="24"/>
        </w:rPr>
        <w:t>Ullah</w:t>
      </w:r>
      <w:proofErr w:type="spellEnd"/>
      <w:r w:rsidR="00D85708">
        <w:rPr>
          <w:rFonts w:ascii="Times New Roman" w:eastAsia="Calibri" w:hAnsi="Times New Roman" w:cs="Times New Roman"/>
          <w:sz w:val="24"/>
          <w:szCs w:val="24"/>
        </w:rPr>
        <w:t xml:space="preserve"> et al (2024)</w:t>
      </w:r>
      <w:r w:rsidR="00DB16A2">
        <w:rPr>
          <w:rFonts w:ascii="Times New Roman" w:eastAsia="Calibri" w:hAnsi="Times New Roman" w:cs="Times New Roman"/>
          <w:sz w:val="24"/>
          <w:szCs w:val="24"/>
        </w:rPr>
        <w:t xml:space="preserve"> </w:t>
      </w:r>
      <w:r w:rsidR="00D85708">
        <w:rPr>
          <w:rFonts w:ascii="Times New Roman" w:eastAsia="Calibri" w:hAnsi="Times New Roman" w:cs="Times New Roman"/>
          <w:sz w:val="24"/>
          <w:szCs w:val="24"/>
        </w:rPr>
        <w:t xml:space="preserve">in their </w:t>
      </w:r>
      <w:r w:rsidR="00D63B4C">
        <w:rPr>
          <w:rFonts w:ascii="Times New Roman" w:eastAsia="Calibri" w:hAnsi="Times New Roman" w:cs="Times New Roman"/>
          <w:sz w:val="24"/>
          <w:szCs w:val="24"/>
        </w:rPr>
        <w:t>respective studies in Ethiopia</w:t>
      </w:r>
      <w:r w:rsidR="00E92716">
        <w:rPr>
          <w:rFonts w:ascii="Times New Roman" w:eastAsia="Calibri" w:hAnsi="Times New Roman" w:cs="Times New Roman"/>
          <w:sz w:val="24"/>
          <w:szCs w:val="24"/>
        </w:rPr>
        <w:t>, Australia,</w:t>
      </w:r>
      <w:r w:rsidR="00D63B4C">
        <w:rPr>
          <w:rFonts w:ascii="Times New Roman" w:eastAsia="Calibri" w:hAnsi="Times New Roman" w:cs="Times New Roman"/>
          <w:sz w:val="24"/>
          <w:szCs w:val="24"/>
        </w:rPr>
        <w:t xml:space="preserve"> and Pakistan when they</w:t>
      </w:r>
      <w:r w:rsidR="00DB16A2">
        <w:rPr>
          <w:rFonts w:ascii="Times New Roman" w:eastAsia="Calibri" w:hAnsi="Times New Roman" w:cs="Times New Roman"/>
          <w:sz w:val="24"/>
          <w:szCs w:val="24"/>
        </w:rPr>
        <w:t xml:space="preserve"> posit that </w:t>
      </w:r>
      <w:r w:rsidR="00D63B4C">
        <w:rPr>
          <w:rFonts w:ascii="Times New Roman" w:eastAsia="Calibri" w:hAnsi="Times New Roman" w:cs="Times New Roman"/>
          <w:sz w:val="24"/>
          <w:szCs w:val="24"/>
        </w:rPr>
        <w:t xml:space="preserve">local traditions and </w:t>
      </w:r>
      <w:r w:rsidR="00DB16A2" w:rsidRPr="00D63B4C">
        <w:rPr>
          <w:rFonts w:ascii="Times New Roman" w:eastAsia="Calibri" w:hAnsi="Times New Roman" w:cs="Times New Roman"/>
          <w:sz w:val="24"/>
          <w:szCs w:val="24"/>
        </w:rPr>
        <w:t>cultura</w:t>
      </w:r>
      <w:r w:rsidR="00D63B4C">
        <w:rPr>
          <w:rFonts w:ascii="Times New Roman" w:eastAsia="Calibri" w:hAnsi="Times New Roman" w:cs="Times New Roman"/>
          <w:sz w:val="24"/>
          <w:szCs w:val="24"/>
        </w:rPr>
        <w:t>lly sensitive</w:t>
      </w:r>
      <w:r w:rsidR="00DB16A2" w:rsidRPr="00D63B4C">
        <w:rPr>
          <w:rFonts w:ascii="Times New Roman" w:eastAsia="Calibri" w:hAnsi="Times New Roman" w:cs="Times New Roman"/>
          <w:sz w:val="24"/>
          <w:szCs w:val="24"/>
        </w:rPr>
        <w:t xml:space="preserve"> </w:t>
      </w:r>
      <w:r w:rsidR="00D63B4C">
        <w:rPr>
          <w:rFonts w:ascii="Times New Roman" w:eastAsia="Calibri" w:hAnsi="Times New Roman" w:cs="Times New Roman"/>
          <w:sz w:val="24"/>
          <w:szCs w:val="24"/>
        </w:rPr>
        <w:t xml:space="preserve">norms prevent </w:t>
      </w:r>
      <w:r w:rsidR="008C28B9">
        <w:rPr>
          <w:rFonts w:ascii="Times New Roman" w:eastAsia="Calibri" w:hAnsi="Times New Roman" w:cs="Times New Roman"/>
          <w:sz w:val="24"/>
          <w:szCs w:val="24"/>
        </w:rPr>
        <w:t xml:space="preserve">female </w:t>
      </w:r>
      <w:r w:rsidR="00D63B4C">
        <w:rPr>
          <w:rFonts w:ascii="Times New Roman" w:eastAsia="Calibri" w:hAnsi="Times New Roman" w:cs="Times New Roman"/>
          <w:sz w:val="24"/>
          <w:szCs w:val="24"/>
        </w:rPr>
        <w:t xml:space="preserve">caregivers from exercising autonomy concerning decisions and </w:t>
      </w:r>
      <w:r w:rsidR="008C28B9">
        <w:rPr>
          <w:rFonts w:ascii="Times New Roman" w:eastAsia="Calibri" w:hAnsi="Times New Roman" w:cs="Times New Roman"/>
          <w:sz w:val="24"/>
          <w:szCs w:val="24"/>
        </w:rPr>
        <w:t xml:space="preserve">activities centered around vaccination of their wards, with resultant poor child immunization outcomes and attendant indices </w:t>
      </w:r>
      <w:r w:rsidR="00822306" w:rsidRPr="00D63B4C">
        <w:rPr>
          <w:rFonts w:ascii="Times New Roman" w:eastAsia="Calibri" w:hAnsi="Times New Roman" w:cs="Times New Roman"/>
          <w:sz w:val="24"/>
          <w:szCs w:val="24"/>
        </w:rPr>
        <w:t>(</w:t>
      </w:r>
      <w:r w:rsidR="00D85708" w:rsidRPr="00D63B4C">
        <w:rPr>
          <w:rFonts w:ascii="Times New Roman" w:eastAsia="Calibri" w:hAnsi="Times New Roman" w:cs="Times New Roman"/>
          <w:sz w:val="24"/>
          <w:szCs w:val="24"/>
        </w:rPr>
        <w:t xml:space="preserve">Taylor et al, 2016; </w:t>
      </w:r>
      <w:r w:rsidR="00E92716">
        <w:rPr>
          <w:rFonts w:ascii="Times New Roman" w:eastAsia="Calibri" w:hAnsi="Times New Roman" w:cs="Times New Roman"/>
          <w:sz w:val="24"/>
          <w:szCs w:val="24"/>
        </w:rPr>
        <w:t xml:space="preserve">Helps et al, 2019; </w:t>
      </w:r>
      <w:r w:rsidR="00822306" w:rsidRPr="00D63B4C">
        <w:rPr>
          <w:rFonts w:ascii="Times New Roman" w:eastAsia="Calibri" w:hAnsi="Times New Roman" w:cs="Times New Roman"/>
          <w:sz w:val="24"/>
          <w:szCs w:val="24"/>
        </w:rPr>
        <w:t>Butt et al, 2020</w:t>
      </w:r>
      <w:r w:rsidR="00D85708" w:rsidRPr="00D63B4C">
        <w:rPr>
          <w:rFonts w:ascii="Times New Roman" w:eastAsia="Calibri" w:hAnsi="Times New Roman" w:cs="Times New Roman"/>
          <w:sz w:val="24"/>
          <w:szCs w:val="24"/>
        </w:rPr>
        <w:t xml:space="preserve">; </w:t>
      </w:r>
      <w:proofErr w:type="spellStart"/>
      <w:r w:rsidR="00D85708" w:rsidRPr="00D63B4C">
        <w:rPr>
          <w:rFonts w:ascii="Times New Roman" w:eastAsia="Calibri" w:hAnsi="Times New Roman" w:cs="Times New Roman"/>
          <w:sz w:val="24"/>
          <w:szCs w:val="24"/>
        </w:rPr>
        <w:t>Muluneh</w:t>
      </w:r>
      <w:proofErr w:type="spellEnd"/>
      <w:r w:rsidR="00D85708" w:rsidRPr="00D63B4C">
        <w:rPr>
          <w:rFonts w:ascii="Times New Roman" w:eastAsia="Calibri" w:hAnsi="Times New Roman" w:cs="Times New Roman"/>
          <w:sz w:val="24"/>
          <w:szCs w:val="24"/>
        </w:rPr>
        <w:t xml:space="preserve"> et al, 2020; </w:t>
      </w:r>
      <w:proofErr w:type="spellStart"/>
      <w:r w:rsidR="00D85708" w:rsidRPr="00D63B4C">
        <w:rPr>
          <w:rFonts w:ascii="Times New Roman" w:eastAsia="Calibri" w:hAnsi="Times New Roman" w:cs="Times New Roman"/>
          <w:sz w:val="24"/>
          <w:szCs w:val="24"/>
        </w:rPr>
        <w:t>Ullah</w:t>
      </w:r>
      <w:proofErr w:type="spellEnd"/>
      <w:r w:rsidR="00D85708" w:rsidRPr="00D63B4C">
        <w:rPr>
          <w:rFonts w:ascii="Times New Roman" w:eastAsia="Calibri" w:hAnsi="Times New Roman" w:cs="Times New Roman"/>
          <w:sz w:val="24"/>
          <w:szCs w:val="24"/>
        </w:rPr>
        <w:t xml:space="preserve"> et al, 2024</w:t>
      </w:r>
      <w:r w:rsidR="00822306" w:rsidRPr="00D63B4C">
        <w:rPr>
          <w:rFonts w:ascii="Times New Roman" w:eastAsia="Calibri" w:hAnsi="Times New Roman" w:cs="Times New Roman"/>
          <w:sz w:val="24"/>
          <w:szCs w:val="24"/>
        </w:rPr>
        <w:t>)</w:t>
      </w:r>
      <w:r w:rsidR="00DB16A2" w:rsidRPr="00D63B4C">
        <w:rPr>
          <w:rFonts w:ascii="Times New Roman" w:eastAsia="Calibri" w:hAnsi="Times New Roman" w:cs="Times New Roman"/>
          <w:sz w:val="24"/>
          <w:szCs w:val="24"/>
        </w:rPr>
        <w:t>.</w:t>
      </w:r>
    </w:p>
    <w:p w14:paraId="0DE2B123" w14:textId="071722B5" w:rsidR="00B90AF6" w:rsidRDefault="008C28B9" w:rsidP="000D29BF">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consonance with the foregoing, it is pertinent to note that access to and utilization of </w:t>
      </w:r>
      <w:r w:rsidR="00093523">
        <w:rPr>
          <w:rFonts w:ascii="Times New Roman" w:eastAsia="Calibri" w:hAnsi="Times New Roman" w:cs="Times New Roman"/>
          <w:sz w:val="24"/>
          <w:szCs w:val="24"/>
        </w:rPr>
        <w:t xml:space="preserve">immunization services further complicate this already taciturn picture via pressure on fledging and decadent health systems epitomized and characterized by nonexistent and or dilapidated infrastructure, unavailable or irregular immunization services, poor immunization services and immunization service delivery occasioned by poor scheduling of </w:t>
      </w:r>
      <w:r w:rsidR="00B936BB">
        <w:rPr>
          <w:rFonts w:ascii="Times New Roman" w:eastAsia="Calibri" w:hAnsi="Times New Roman" w:cs="Times New Roman"/>
          <w:sz w:val="24"/>
          <w:szCs w:val="24"/>
        </w:rPr>
        <w:t xml:space="preserve">immunization sessions, </w:t>
      </w:r>
      <w:r w:rsidR="00093523">
        <w:rPr>
          <w:rFonts w:ascii="Times New Roman" w:eastAsia="Calibri" w:hAnsi="Times New Roman" w:cs="Times New Roman"/>
          <w:sz w:val="24"/>
          <w:szCs w:val="24"/>
        </w:rPr>
        <w:t xml:space="preserve">overcrowding at service delivery points, </w:t>
      </w:r>
      <w:r w:rsidR="00B936BB">
        <w:rPr>
          <w:rFonts w:ascii="Times New Roman" w:eastAsia="Calibri" w:hAnsi="Times New Roman" w:cs="Times New Roman"/>
          <w:sz w:val="24"/>
          <w:szCs w:val="24"/>
        </w:rPr>
        <w:t xml:space="preserve">long waiting times, </w:t>
      </w:r>
      <w:r w:rsidR="00093523">
        <w:rPr>
          <w:rFonts w:ascii="Times New Roman" w:eastAsia="Calibri" w:hAnsi="Times New Roman" w:cs="Times New Roman"/>
          <w:sz w:val="24"/>
          <w:szCs w:val="24"/>
        </w:rPr>
        <w:t xml:space="preserve">poor </w:t>
      </w:r>
      <w:r w:rsidR="00B936BB">
        <w:rPr>
          <w:rFonts w:ascii="Times New Roman" w:eastAsia="Calibri" w:hAnsi="Times New Roman" w:cs="Times New Roman"/>
          <w:sz w:val="24"/>
          <w:szCs w:val="24"/>
        </w:rPr>
        <w:t xml:space="preserve">immunization record keeping, as well as poor </w:t>
      </w:r>
      <w:r w:rsidR="00093523">
        <w:rPr>
          <w:rFonts w:ascii="Times New Roman" w:eastAsia="Calibri" w:hAnsi="Times New Roman" w:cs="Times New Roman"/>
          <w:sz w:val="24"/>
          <w:szCs w:val="24"/>
        </w:rPr>
        <w:t xml:space="preserve">patient </w:t>
      </w:r>
      <w:r w:rsidR="00B936BB">
        <w:rPr>
          <w:rFonts w:ascii="Times New Roman" w:eastAsia="Calibri" w:hAnsi="Times New Roman" w:cs="Times New Roman"/>
          <w:sz w:val="24"/>
          <w:szCs w:val="24"/>
        </w:rPr>
        <w:t xml:space="preserve">counselling and </w:t>
      </w:r>
      <w:r w:rsidR="00093523">
        <w:rPr>
          <w:rFonts w:ascii="Times New Roman" w:eastAsia="Calibri" w:hAnsi="Times New Roman" w:cs="Times New Roman"/>
          <w:sz w:val="24"/>
          <w:szCs w:val="24"/>
        </w:rPr>
        <w:t>follow up</w:t>
      </w:r>
      <w:r w:rsidR="00B936BB">
        <w:rPr>
          <w:rFonts w:ascii="Times New Roman" w:eastAsia="Calibri" w:hAnsi="Times New Roman" w:cs="Times New Roman"/>
          <w:sz w:val="24"/>
          <w:szCs w:val="24"/>
        </w:rPr>
        <w:t xml:space="preserve">. Consequently, the findings in this study suggest that </w:t>
      </w:r>
      <w:r w:rsidR="000056FD">
        <w:rPr>
          <w:rFonts w:ascii="Times New Roman" w:eastAsia="Calibri" w:hAnsi="Times New Roman" w:cs="Times New Roman"/>
          <w:sz w:val="24"/>
          <w:szCs w:val="24"/>
        </w:rPr>
        <w:t xml:space="preserve">unavailability, poor access to, and/or under utilization of immunization services are at the center of service delivery impediments to appropriate, full and complete immunization of eligible children. These findings are corroborated by those of </w:t>
      </w:r>
      <w:r w:rsidR="008500AF">
        <w:rPr>
          <w:rFonts w:ascii="Times New Roman" w:eastAsia="Calibri" w:hAnsi="Times New Roman" w:cs="Times New Roman"/>
          <w:sz w:val="24"/>
          <w:szCs w:val="24"/>
        </w:rPr>
        <w:t xml:space="preserve">Sally et al (2017), </w:t>
      </w:r>
      <w:proofErr w:type="spellStart"/>
      <w:r w:rsidR="00E92716">
        <w:rPr>
          <w:rFonts w:ascii="Times New Roman" w:eastAsia="Calibri" w:hAnsi="Times New Roman" w:cs="Times New Roman"/>
          <w:sz w:val="24"/>
          <w:szCs w:val="24"/>
        </w:rPr>
        <w:t>Sukirman</w:t>
      </w:r>
      <w:proofErr w:type="spellEnd"/>
      <w:r w:rsidR="00E92716">
        <w:rPr>
          <w:rFonts w:ascii="Times New Roman" w:eastAsia="Calibri" w:hAnsi="Times New Roman" w:cs="Times New Roman"/>
          <w:sz w:val="24"/>
          <w:szCs w:val="24"/>
        </w:rPr>
        <w:t xml:space="preserve"> et al (2017), </w:t>
      </w:r>
      <w:proofErr w:type="spellStart"/>
      <w:r w:rsidR="00E92716">
        <w:rPr>
          <w:rFonts w:ascii="Times New Roman" w:eastAsia="Calibri" w:hAnsi="Times New Roman" w:cs="Times New Roman"/>
          <w:sz w:val="24"/>
          <w:szCs w:val="24"/>
        </w:rPr>
        <w:t>Haq</w:t>
      </w:r>
      <w:proofErr w:type="spellEnd"/>
      <w:r w:rsidR="00E92716">
        <w:rPr>
          <w:rFonts w:ascii="Times New Roman" w:eastAsia="Calibri" w:hAnsi="Times New Roman" w:cs="Times New Roman"/>
          <w:sz w:val="24"/>
          <w:szCs w:val="24"/>
        </w:rPr>
        <w:t xml:space="preserve"> et al (2019), </w:t>
      </w:r>
      <w:proofErr w:type="spellStart"/>
      <w:r w:rsidR="000056FD">
        <w:rPr>
          <w:rFonts w:ascii="Times New Roman" w:eastAsia="Calibri" w:hAnsi="Times New Roman" w:cs="Times New Roman"/>
          <w:sz w:val="24"/>
          <w:szCs w:val="24"/>
        </w:rPr>
        <w:t>Muluneh</w:t>
      </w:r>
      <w:proofErr w:type="spellEnd"/>
      <w:r w:rsidR="000056FD">
        <w:rPr>
          <w:rFonts w:ascii="Times New Roman" w:eastAsia="Calibri" w:hAnsi="Times New Roman" w:cs="Times New Roman"/>
          <w:sz w:val="24"/>
          <w:szCs w:val="24"/>
        </w:rPr>
        <w:t xml:space="preserve"> et al (2020)</w:t>
      </w:r>
      <w:r w:rsidR="00B21D17">
        <w:rPr>
          <w:rFonts w:ascii="Times New Roman" w:eastAsia="Calibri" w:hAnsi="Times New Roman" w:cs="Times New Roman"/>
          <w:sz w:val="24"/>
          <w:szCs w:val="24"/>
        </w:rPr>
        <w:t xml:space="preserve">, </w:t>
      </w:r>
      <w:proofErr w:type="spellStart"/>
      <w:r w:rsidR="00B21D17">
        <w:rPr>
          <w:rFonts w:ascii="Times New Roman" w:eastAsia="Calibri" w:hAnsi="Times New Roman" w:cs="Times New Roman"/>
          <w:sz w:val="24"/>
          <w:szCs w:val="24"/>
        </w:rPr>
        <w:t>Powelson</w:t>
      </w:r>
      <w:proofErr w:type="spellEnd"/>
      <w:r w:rsidR="00B21D17">
        <w:rPr>
          <w:rFonts w:ascii="Times New Roman" w:eastAsia="Calibri" w:hAnsi="Times New Roman" w:cs="Times New Roman"/>
          <w:sz w:val="24"/>
          <w:szCs w:val="24"/>
        </w:rPr>
        <w:t xml:space="preserve"> et al (2022),</w:t>
      </w:r>
      <w:r w:rsidR="000056FD">
        <w:rPr>
          <w:rFonts w:ascii="Times New Roman" w:eastAsia="Calibri" w:hAnsi="Times New Roman" w:cs="Times New Roman"/>
          <w:sz w:val="24"/>
          <w:szCs w:val="24"/>
        </w:rPr>
        <w:t xml:space="preserve"> and </w:t>
      </w:r>
      <w:proofErr w:type="spellStart"/>
      <w:r w:rsidR="000056FD">
        <w:rPr>
          <w:rFonts w:ascii="Times New Roman" w:eastAsia="Calibri" w:hAnsi="Times New Roman" w:cs="Times New Roman"/>
          <w:sz w:val="24"/>
          <w:szCs w:val="24"/>
        </w:rPr>
        <w:t>Ullah</w:t>
      </w:r>
      <w:proofErr w:type="spellEnd"/>
      <w:r w:rsidR="000056FD">
        <w:rPr>
          <w:rFonts w:ascii="Times New Roman" w:eastAsia="Calibri" w:hAnsi="Times New Roman" w:cs="Times New Roman"/>
          <w:sz w:val="24"/>
          <w:szCs w:val="24"/>
        </w:rPr>
        <w:t xml:space="preserve"> et al (2024) in their studies in </w:t>
      </w:r>
      <w:r w:rsidR="008500AF">
        <w:rPr>
          <w:rFonts w:ascii="Times New Roman" w:eastAsia="Calibri" w:hAnsi="Times New Roman" w:cs="Times New Roman"/>
          <w:sz w:val="24"/>
          <w:szCs w:val="24"/>
        </w:rPr>
        <w:t xml:space="preserve">Ghana, </w:t>
      </w:r>
      <w:r w:rsidR="00E92716">
        <w:rPr>
          <w:rFonts w:ascii="Times New Roman" w:eastAsia="Calibri" w:hAnsi="Times New Roman" w:cs="Times New Roman"/>
          <w:sz w:val="24"/>
          <w:szCs w:val="24"/>
        </w:rPr>
        <w:t xml:space="preserve">Indonesia, </w:t>
      </w:r>
      <w:r w:rsidR="000056FD">
        <w:rPr>
          <w:rFonts w:ascii="Times New Roman" w:eastAsia="Calibri" w:hAnsi="Times New Roman" w:cs="Times New Roman"/>
          <w:sz w:val="24"/>
          <w:szCs w:val="24"/>
        </w:rPr>
        <w:t>Ethiopia</w:t>
      </w:r>
      <w:r w:rsidR="00B21D17">
        <w:rPr>
          <w:rFonts w:ascii="Times New Roman" w:eastAsia="Calibri" w:hAnsi="Times New Roman" w:cs="Times New Roman"/>
          <w:sz w:val="24"/>
          <w:szCs w:val="24"/>
        </w:rPr>
        <w:t>, Mozambique</w:t>
      </w:r>
      <w:r w:rsidR="000056FD">
        <w:rPr>
          <w:rFonts w:ascii="Times New Roman" w:eastAsia="Calibri" w:hAnsi="Times New Roman" w:cs="Times New Roman"/>
          <w:sz w:val="24"/>
          <w:szCs w:val="24"/>
        </w:rPr>
        <w:t xml:space="preserve"> and Pakistan</w:t>
      </w:r>
      <w:r w:rsidR="0007424E">
        <w:rPr>
          <w:rFonts w:ascii="Times New Roman" w:eastAsia="Calibri" w:hAnsi="Times New Roman" w:cs="Times New Roman"/>
          <w:sz w:val="24"/>
          <w:szCs w:val="24"/>
        </w:rPr>
        <w:t xml:space="preserve">, respectively, </w:t>
      </w:r>
      <w:r w:rsidR="000056FD">
        <w:rPr>
          <w:rFonts w:ascii="Times New Roman" w:eastAsia="Calibri" w:hAnsi="Times New Roman" w:cs="Times New Roman"/>
          <w:sz w:val="24"/>
          <w:szCs w:val="24"/>
        </w:rPr>
        <w:t xml:space="preserve">when they volunteer that </w:t>
      </w:r>
      <w:r w:rsidR="00325DB6">
        <w:rPr>
          <w:rFonts w:ascii="Times New Roman" w:eastAsia="Calibri" w:hAnsi="Times New Roman" w:cs="Times New Roman"/>
          <w:sz w:val="24"/>
          <w:szCs w:val="24"/>
        </w:rPr>
        <w:t xml:space="preserve">poor and </w:t>
      </w:r>
      <w:r w:rsidR="000056FD">
        <w:rPr>
          <w:rFonts w:ascii="Times New Roman" w:eastAsia="Calibri" w:hAnsi="Times New Roman" w:cs="Times New Roman"/>
          <w:sz w:val="24"/>
          <w:szCs w:val="24"/>
        </w:rPr>
        <w:t>irregular scheduling of immunization sessions</w:t>
      </w:r>
      <w:r w:rsidR="00325DB6">
        <w:rPr>
          <w:rFonts w:ascii="Times New Roman" w:eastAsia="Calibri" w:hAnsi="Times New Roman" w:cs="Times New Roman"/>
          <w:sz w:val="24"/>
          <w:szCs w:val="24"/>
        </w:rPr>
        <w:t xml:space="preserve"> (fixed post, mobile, and outreach sessions)</w:t>
      </w:r>
      <w:r w:rsidR="000056FD">
        <w:rPr>
          <w:rFonts w:ascii="Times New Roman" w:eastAsia="Calibri" w:hAnsi="Times New Roman" w:cs="Times New Roman"/>
          <w:sz w:val="24"/>
          <w:szCs w:val="24"/>
        </w:rPr>
        <w:t xml:space="preserve">, </w:t>
      </w:r>
      <w:r w:rsidR="00325DB6">
        <w:rPr>
          <w:rFonts w:ascii="Times New Roman" w:eastAsia="Calibri" w:hAnsi="Times New Roman" w:cs="Times New Roman"/>
          <w:sz w:val="24"/>
          <w:szCs w:val="24"/>
        </w:rPr>
        <w:t xml:space="preserve">time wasted during appointments due to long waiting times and overcrowding, </w:t>
      </w:r>
      <w:r w:rsidR="00F90089">
        <w:rPr>
          <w:rFonts w:ascii="Times New Roman" w:eastAsia="Calibri" w:hAnsi="Times New Roman" w:cs="Times New Roman"/>
          <w:sz w:val="24"/>
          <w:szCs w:val="24"/>
        </w:rPr>
        <w:t xml:space="preserve">poor patient follow up in respect of immunization appointments, </w:t>
      </w:r>
      <w:r w:rsidR="00D32E0F">
        <w:rPr>
          <w:rFonts w:ascii="Times New Roman" w:eastAsia="Calibri" w:hAnsi="Times New Roman" w:cs="Times New Roman"/>
          <w:sz w:val="24"/>
          <w:szCs w:val="24"/>
        </w:rPr>
        <w:t xml:space="preserve">deficits in appropriate immunization service delivery exemplified by vaccine stock outs and poor immunization staff attitude, and </w:t>
      </w:r>
      <w:r w:rsidR="00EA6FD2">
        <w:rPr>
          <w:rFonts w:ascii="Times New Roman" w:eastAsia="Calibri" w:hAnsi="Times New Roman" w:cs="Times New Roman"/>
          <w:sz w:val="24"/>
          <w:szCs w:val="24"/>
        </w:rPr>
        <w:t>difficulties in gaining access to the health facility</w:t>
      </w:r>
      <w:r w:rsidR="00C6597A">
        <w:rPr>
          <w:rFonts w:ascii="Times New Roman" w:eastAsia="Calibri" w:hAnsi="Times New Roman" w:cs="Times New Roman"/>
          <w:sz w:val="24"/>
          <w:szCs w:val="24"/>
        </w:rPr>
        <w:t xml:space="preserve"> occasioned by</w:t>
      </w:r>
      <w:r w:rsidR="00FE5B9B">
        <w:rPr>
          <w:rFonts w:ascii="Times New Roman" w:eastAsia="Calibri" w:hAnsi="Times New Roman" w:cs="Times New Roman"/>
          <w:sz w:val="24"/>
          <w:szCs w:val="24"/>
        </w:rPr>
        <w:t xml:space="preserve"> poor roads and other infrastructure</w:t>
      </w:r>
      <w:r w:rsidR="00F90089">
        <w:rPr>
          <w:rFonts w:ascii="Times New Roman" w:eastAsia="Calibri" w:hAnsi="Times New Roman" w:cs="Times New Roman"/>
          <w:sz w:val="24"/>
          <w:szCs w:val="24"/>
        </w:rPr>
        <w:t xml:space="preserve">, </w:t>
      </w:r>
      <w:r w:rsidR="00D32E0F">
        <w:rPr>
          <w:rFonts w:ascii="Times New Roman" w:eastAsia="Calibri" w:hAnsi="Times New Roman" w:cs="Times New Roman"/>
          <w:sz w:val="24"/>
          <w:szCs w:val="24"/>
        </w:rPr>
        <w:t xml:space="preserve">were veritable and significant contributors to suboptimal immunization outcomes </w:t>
      </w:r>
      <w:r w:rsidR="00D32E0F">
        <w:rPr>
          <w:rFonts w:ascii="Times New Roman" w:eastAsia="Calibri" w:hAnsi="Times New Roman" w:cs="Times New Roman"/>
          <w:sz w:val="24"/>
          <w:szCs w:val="24"/>
        </w:rPr>
        <w:lastRenderedPageBreak/>
        <w:t>in eligible populations (</w:t>
      </w:r>
      <w:r w:rsidR="00E92716">
        <w:rPr>
          <w:rFonts w:ascii="Times New Roman" w:eastAsia="Calibri" w:hAnsi="Times New Roman" w:cs="Times New Roman"/>
          <w:sz w:val="24"/>
          <w:szCs w:val="24"/>
        </w:rPr>
        <w:t xml:space="preserve">Sally et al, 2017; </w:t>
      </w:r>
      <w:proofErr w:type="spellStart"/>
      <w:r w:rsidR="00E92716">
        <w:rPr>
          <w:rFonts w:ascii="Times New Roman" w:eastAsia="Calibri" w:hAnsi="Times New Roman" w:cs="Times New Roman"/>
          <w:sz w:val="24"/>
          <w:szCs w:val="24"/>
        </w:rPr>
        <w:t>Sukirman</w:t>
      </w:r>
      <w:proofErr w:type="spellEnd"/>
      <w:r w:rsidR="00E92716">
        <w:rPr>
          <w:rFonts w:ascii="Times New Roman" w:eastAsia="Calibri" w:hAnsi="Times New Roman" w:cs="Times New Roman"/>
          <w:sz w:val="24"/>
          <w:szCs w:val="24"/>
        </w:rPr>
        <w:t xml:space="preserve"> et al, 2017; </w:t>
      </w:r>
      <w:proofErr w:type="spellStart"/>
      <w:r w:rsidR="00E92716">
        <w:rPr>
          <w:rFonts w:ascii="Times New Roman" w:eastAsia="Calibri" w:hAnsi="Times New Roman" w:cs="Times New Roman"/>
          <w:sz w:val="24"/>
          <w:szCs w:val="24"/>
        </w:rPr>
        <w:t>Haq</w:t>
      </w:r>
      <w:proofErr w:type="spellEnd"/>
      <w:r w:rsidR="00E92716">
        <w:rPr>
          <w:rFonts w:ascii="Times New Roman" w:eastAsia="Calibri" w:hAnsi="Times New Roman" w:cs="Times New Roman"/>
          <w:sz w:val="24"/>
          <w:szCs w:val="24"/>
        </w:rPr>
        <w:t xml:space="preserve"> et al, 2019; </w:t>
      </w:r>
      <w:proofErr w:type="spellStart"/>
      <w:r w:rsidR="00D32E0F">
        <w:rPr>
          <w:rFonts w:ascii="Times New Roman" w:eastAsia="Calibri" w:hAnsi="Times New Roman" w:cs="Times New Roman"/>
          <w:sz w:val="24"/>
          <w:szCs w:val="24"/>
        </w:rPr>
        <w:t>Muluneh</w:t>
      </w:r>
      <w:proofErr w:type="spellEnd"/>
      <w:r w:rsidR="00D32E0F">
        <w:rPr>
          <w:rFonts w:ascii="Times New Roman" w:eastAsia="Calibri" w:hAnsi="Times New Roman" w:cs="Times New Roman"/>
          <w:sz w:val="24"/>
          <w:szCs w:val="24"/>
        </w:rPr>
        <w:t xml:space="preserve"> et al, 2020; </w:t>
      </w:r>
      <w:proofErr w:type="spellStart"/>
      <w:r w:rsidR="00D32E0F">
        <w:rPr>
          <w:rFonts w:ascii="Times New Roman" w:eastAsia="Calibri" w:hAnsi="Times New Roman" w:cs="Times New Roman"/>
          <w:sz w:val="24"/>
          <w:szCs w:val="24"/>
        </w:rPr>
        <w:t>Powelson</w:t>
      </w:r>
      <w:proofErr w:type="spellEnd"/>
      <w:r w:rsidR="00D32E0F">
        <w:rPr>
          <w:rFonts w:ascii="Times New Roman" w:eastAsia="Calibri" w:hAnsi="Times New Roman" w:cs="Times New Roman"/>
          <w:sz w:val="24"/>
          <w:szCs w:val="24"/>
        </w:rPr>
        <w:t xml:space="preserve"> et al, 2022; </w:t>
      </w:r>
      <w:proofErr w:type="spellStart"/>
      <w:r w:rsidR="00D32E0F">
        <w:rPr>
          <w:rFonts w:ascii="Times New Roman" w:eastAsia="Calibri" w:hAnsi="Times New Roman" w:cs="Times New Roman"/>
          <w:sz w:val="24"/>
          <w:szCs w:val="24"/>
        </w:rPr>
        <w:t>Ullah</w:t>
      </w:r>
      <w:proofErr w:type="spellEnd"/>
      <w:r w:rsidR="00D32E0F">
        <w:rPr>
          <w:rFonts w:ascii="Times New Roman" w:eastAsia="Calibri" w:hAnsi="Times New Roman" w:cs="Times New Roman"/>
          <w:sz w:val="24"/>
          <w:szCs w:val="24"/>
        </w:rPr>
        <w:t xml:space="preserve"> et al, 2024).</w:t>
      </w:r>
    </w:p>
    <w:p w14:paraId="3D2BB1E0" w14:textId="39831E40" w:rsidR="00456AE0" w:rsidRDefault="00FE0E94" w:rsidP="000D29BF">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Also, whereas the paramount presumptive prospect is that 2YL will improve immunization coverage </w:t>
      </w:r>
      <w:r w:rsidR="00205A9E">
        <w:rPr>
          <w:rFonts w:ascii="Times New Roman" w:eastAsia="Calibri" w:hAnsi="Times New Roman" w:cs="Times New Roman"/>
          <w:sz w:val="24"/>
          <w:szCs w:val="24"/>
        </w:rPr>
        <w:t xml:space="preserve">and completion </w:t>
      </w:r>
      <w:r>
        <w:rPr>
          <w:rFonts w:ascii="Times New Roman" w:eastAsia="Calibri" w:hAnsi="Times New Roman" w:cs="Times New Roman"/>
          <w:sz w:val="24"/>
          <w:szCs w:val="24"/>
        </w:rPr>
        <w:t xml:space="preserve">among target groups, </w:t>
      </w:r>
      <w:r w:rsidR="00205A9E">
        <w:rPr>
          <w:rFonts w:ascii="Times New Roman" w:eastAsia="Calibri" w:hAnsi="Times New Roman" w:cs="Times New Roman"/>
          <w:sz w:val="24"/>
          <w:szCs w:val="24"/>
        </w:rPr>
        <w:t xml:space="preserve">reduce total default, compliment catchup immunization, and aid convergence of essential child health services, immunization (as with all other health related activity) is not a strait jacketed exercise or proposition. </w:t>
      </w:r>
      <w:r w:rsidR="00B90AF6">
        <w:rPr>
          <w:rFonts w:ascii="Times New Roman" w:eastAsia="Calibri" w:hAnsi="Times New Roman" w:cs="Times New Roman"/>
          <w:sz w:val="24"/>
          <w:szCs w:val="24"/>
        </w:rPr>
        <w:t>Therefore, it is pertinent to consider the subjects of immunization completion as against immunization coverage rates within the ambits of immunization default and noncompliance, immunization record keeping</w:t>
      </w:r>
      <w:r w:rsidR="00D62ABF">
        <w:rPr>
          <w:rFonts w:ascii="Times New Roman" w:eastAsia="Calibri" w:hAnsi="Times New Roman" w:cs="Times New Roman"/>
          <w:sz w:val="24"/>
          <w:szCs w:val="24"/>
        </w:rPr>
        <w:t>, c</w:t>
      </w:r>
      <w:r w:rsidR="004F40FF">
        <w:rPr>
          <w:rFonts w:ascii="Times New Roman" w:eastAsia="Calibri" w:hAnsi="Times New Roman" w:cs="Times New Roman"/>
          <w:sz w:val="24"/>
          <w:szCs w:val="24"/>
        </w:rPr>
        <w:t>onvergence of immunization</w:t>
      </w:r>
      <w:r w:rsidR="00D62ABF">
        <w:rPr>
          <w:rFonts w:ascii="Times New Roman" w:eastAsia="Calibri" w:hAnsi="Times New Roman" w:cs="Times New Roman"/>
          <w:sz w:val="24"/>
          <w:szCs w:val="24"/>
        </w:rPr>
        <w:t xml:space="preserve"> with other maternal and child health services, disease epidemics, pandemics, and the engaging </w:t>
      </w:r>
      <w:r w:rsidR="00C87260">
        <w:rPr>
          <w:rFonts w:ascii="Times New Roman" w:eastAsia="Calibri" w:hAnsi="Times New Roman" w:cs="Times New Roman"/>
          <w:sz w:val="24"/>
          <w:szCs w:val="24"/>
        </w:rPr>
        <w:t>bagger of emerging and re-emerging diseases. With respect to the foregoing, therefore, the finding</w:t>
      </w:r>
      <w:r w:rsidR="000F3B30">
        <w:rPr>
          <w:rFonts w:ascii="Times New Roman" w:eastAsia="Calibri" w:hAnsi="Times New Roman" w:cs="Times New Roman"/>
          <w:sz w:val="24"/>
          <w:szCs w:val="24"/>
        </w:rPr>
        <w:t xml:space="preserve">s in this study suggest that, immunization dropout, default, and non-compliance (significantly influenced by </w:t>
      </w:r>
      <w:r w:rsidR="00821816">
        <w:rPr>
          <w:rFonts w:ascii="Times New Roman" w:eastAsia="Calibri" w:hAnsi="Times New Roman" w:cs="Times New Roman"/>
          <w:sz w:val="24"/>
          <w:szCs w:val="24"/>
        </w:rPr>
        <w:t xml:space="preserve">religion and caregiver education), child illness due to outbreaks of vaccine preventable diseases as well as other </w:t>
      </w:r>
      <w:r w:rsidR="00ED4757">
        <w:rPr>
          <w:rFonts w:ascii="Times New Roman" w:eastAsia="Calibri" w:hAnsi="Times New Roman" w:cs="Times New Roman"/>
          <w:sz w:val="24"/>
          <w:szCs w:val="24"/>
        </w:rPr>
        <w:t>common</w:t>
      </w:r>
      <w:r w:rsidR="00784662">
        <w:rPr>
          <w:rFonts w:ascii="Times New Roman" w:eastAsia="Calibri" w:hAnsi="Times New Roman" w:cs="Times New Roman"/>
          <w:sz w:val="24"/>
          <w:szCs w:val="24"/>
        </w:rPr>
        <w:t xml:space="preserve"> diseases, </w:t>
      </w:r>
      <w:r w:rsidR="00821816">
        <w:rPr>
          <w:rFonts w:ascii="Times New Roman" w:eastAsia="Calibri" w:hAnsi="Times New Roman" w:cs="Times New Roman"/>
          <w:sz w:val="24"/>
          <w:szCs w:val="24"/>
        </w:rPr>
        <w:t>disease epidemics and pandemics</w:t>
      </w:r>
      <w:r w:rsidR="00B76256">
        <w:rPr>
          <w:rFonts w:ascii="Times New Roman" w:eastAsia="Calibri" w:hAnsi="Times New Roman" w:cs="Times New Roman"/>
          <w:sz w:val="24"/>
          <w:szCs w:val="24"/>
        </w:rPr>
        <w:t xml:space="preserve"> (including emerging and re-emerging diseases)</w:t>
      </w:r>
      <w:r w:rsidR="00821816">
        <w:rPr>
          <w:rFonts w:ascii="Times New Roman" w:eastAsia="Calibri" w:hAnsi="Times New Roman" w:cs="Times New Roman"/>
          <w:sz w:val="24"/>
          <w:szCs w:val="24"/>
        </w:rPr>
        <w:t xml:space="preserve">, </w:t>
      </w:r>
      <w:r w:rsidR="00B76256">
        <w:rPr>
          <w:rFonts w:ascii="Times New Roman" w:eastAsia="Calibri" w:hAnsi="Times New Roman" w:cs="Times New Roman"/>
          <w:sz w:val="24"/>
          <w:szCs w:val="24"/>
        </w:rPr>
        <w:t xml:space="preserve">and poor immunization record keeping (lost immunization cards) were mainly responsible for deficient immunization completion and poor immunization coverage rates </w:t>
      </w:r>
      <w:r w:rsidR="00456AE0">
        <w:rPr>
          <w:rFonts w:ascii="Times New Roman" w:eastAsia="Calibri" w:hAnsi="Times New Roman" w:cs="Times New Roman"/>
          <w:sz w:val="24"/>
          <w:szCs w:val="24"/>
        </w:rPr>
        <w:t>when i</w:t>
      </w:r>
      <w:r w:rsidR="00784662">
        <w:rPr>
          <w:rFonts w:ascii="Times New Roman" w:eastAsia="Calibri" w:hAnsi="Times New Roman" w:cs="Times New Roman"/>
          <w:sz w:val="24"/>
          <w:szCs w:val="24"/>
        </w:rPr>
        <w:t xml:space="preserve">mmunization </w:t>
      </w:r>
      <w:r w:rsidR="00B76256">
        <w:rPr>
          <w:rFonts w:ascii="Times New Roman" w:eastAsia="Calibri" w:hAnsi="Times New Roman" w:cs="Times New Roman"/>
          <w:sz w:val="24"/>
          <w:szCs w:val="24"/>
        </w:rPr>
        <w:t>in the second year of life</w:t>
      </w:r>
      <w:r w:rsidR="00784662">
        <w:rPr>
          <w:rFonts w:ascii="Times New Roman" w:eastAsia="Calibri" w:hAnsi="Times New Roman" w:cs="Times New Roman"/>
          <w:sz w:val="24"/>
          <w:szCs w:val="24"/>
        </w:rPr>
        <w:t>, is considered</w:t>
      </w:r>
      <w:r w:rsidR="00B76256">
        <w:rPr>
          <w:rFonts w:ascii="Times New Roman" w:eastAsia="Calibri" w:hAnsi="Times New Roman" w:cs="Times New Roman"/>
          <w:sz w:val="24"/>
          <w:szCs w:val="24"/>
        </w:rPr>
        <w:t xml:space="preserve">. </w:t>
      </w:r>
      <w:r w:rsidR="00784662">
        <w:rPr>
          <w:rFonts w:ascii="Times New Roman" w:eastAsia="Calibri" w:hAnsi="Times New Roman" w:cs="Times New Roman"/>
          <w:sz w:val="24"/>
          <w:szCs w:val="24"/>
        </w:rPr>
        <w:t xml:space="preserve">Consequently, the studies by Moss et al (2016), </w:t>
      </w:r>
      <w:r w:rsidR="0007424E">
        <w:rPr>
          <w:rFonts w:ascii="Times New Roman" w:eastAsia="Calibri" w:hAnsi="Times New Roman" w:cs="Times New Roman"/>
          <w:sz w:val="24"/>
          <w:szCs w:val="24"/>
        </w:rPr>
        <w:t xml:space="preserve">Sally et al (2017), </w:t>
      </w:r>
      <w:proofErr w:type="spellStart"/>
      <w:r w:rsidR="0007424E">
        <w:rPr>
          <w:rFonts w:ascii="Times New Roman" w:eastAsia="Calibri" w:hAnsi="Times New Roman" w:cs="Times New Roman"/>
          <w:sz w:val="24"/>
          <w:szCs w:val="24"/>
        </w:rPr>
        <w:t>Sedain</w:t>
      </w:r>
      <w:proofErr w:type="spellEnd"/>
      <w:r w:rsidR="0007424E">
        <w:rPr>
          <w:rFonts w:ascii="Times New Roman" w:eastAsia="Calibri" w:hAnsi="Times New Roman" w:cs="Times New Roman"/>
          <w:sz w:val="24"/>
          <w:szCs w:val="24"/>
        </w:rPr>
        <w:t xml:space="preserve"> et al (2018), </w:t>
      </w:r>
      <w:proofErr w:type="spellStart"/>
      <w:r w:rsidR="00784662">
        <w:rPr>
          <w:rFonts w:ascii="Times New Roman" w:eastAsia="Calibri" w:hAnsi="Times New Roman" w:cs="Times New Roman"/>
          <w:sz w:val="24"/>
          <w:szCs w:val="24"/>
        </w:rPr>
        <w:t>Mekonnen</w:t>
      </w:r>
      <w:proofErr w:type="spellEnd"/>
      <w:r w:rsidR="00784662">
        <w:rPr>
          <w:rFonts w:ascii="Times New Roman" w:eastAsia="Calibri" w:hAnsi="Times New Roman" w:cs="Times New Roman"/>
          <w:sz w:val="24"/>
          <w:szCs w:val="24"/>
        </w:rPr>
        <w:t xml:space="preserve"> et al (2019), </w:t>
      </w:r>
      <w:r w:rsidR="0007424E">
        <w:rPr>
          <w:rFonts w:ascii="Times New Roman" w:eastAsia="Calibri" w:hAnsi="Times New Roman" w:cs="Times New Roman"/>
          <w:sz w:val="24"/>
          <w:szCs w:val="24"/>
        </w:rPr>
        <w:t xml:space="preserve">Hansen et al (2020), </w:t>
      </w:r>
      <w:proofErr w:type="spellStart"/>
      <w:r w:rsidR="00784662">
        <w:rPr>
          <w:rFonts w:ascii="Times New Roman" w:eastAsia="Calibri" w:hAnsi="Times New Roman" w:cs="Times New Roman"/>
          <w:sz w:val="24"/>
          <w:szCs w:val="24"/>
        </w:rPr>
        <w:t>Muluneh</w:t>
      </w:r>
      <w:proofErr w:type="spellEnd"/>
      <w:r w:rsidR="00784662">
        <w:rPr>
          <w:rFonts w:ascii="Times New Roman" w:eastAsia="Calibri" w:hAnsi="Times New Roman" w:cs="Times New Roman"/>
          <w:sz w:val="24"/>
          <w:szCs w:val="24"/>
        </w:rPr>
        <w:t xml:space="preserve"> et al (2020), </w:t>
      </w:r>
      <w:proofErr w:type="spellStart"/>
      <w:r w:rsidR="00A24FE3">
        <w:rPr>
          <w:rFonts w:ascii="Times New Roman" w:eastAsia="Calibri" w:hAnsi="Times New Roman" w:cs="Times New Roman"/>
          <w:sz w:val="24"/>
          <w:szCs w:val="24"/>
        </w:rPr>
        <w:t>Umer</w:t>
      </w:r>
      <w:proofErr w:type="spellEnd"/>
      <w:r w:rsidR="00A24FE3">
        <w:rPr>
          <w:rFonts w:ascii="Times New Roman" w:eastAsia="Calibri" w:hAnsi="Times New Roman" w:cs="Times New Roman"/>
          <w:sz w:val="24"/>
          <w:szCs w:val="24"/>
        </w:rPr>
        <w:t xml:space="preserve"> et al (</w:t>
      </w:r>
      <w:r w:rsidR="00FC06DA">
        <w:rPr>
          <w:rFonts w:ascii="Times New Roman" w:eastAsia="Calibri" w:hAnsi="Times New Roman" w:cs="Times New Roman"/>
          <w:sz w:val="24"/>
          <w:szCs w:val="24"/>
        </w:rPr>
        <w:t>2020</w:t>
      </w:r>
      <w:r w:rsidR="00A24FE3">
        <w:rPr>
          <w:rFonts w:ascii="Times New Roman" w:eastAsia="Calibri" w:hAnsi="Times New Roman" w:cs="Times New Roman"/>
          <w:sz w:val="24"/>
          <w:szCs w:val="24"/>
        </w:rPr>
        <w:t>)</w:t>
      </w:r>
      <w:r w:rsidR="002C096C">
        <w:rPr>
          <w:rFonts w:ascii="Times New Roman" w:eastAsia="Calibri" w:hAnsi="Times New Roman" w:cs="Times New Roman"/>
          <w:sz w:val="24"/>
          <w:szCs w:val="24"/>
        </w:rPr>
        <w:t xml:space="preserve">, </w:t>
      </w:r>
      <w:proofErr w:type="spellStart"/>
      <w:r w:rsidR="00A24FE3">
        <w:rPr>
          <w:rFonts w:ascii="Times New Roman" w:eastAsia="Calibri" w:hAnsi="Times New Roman" w:cs="Times New Roman"/>
          <w:sz w:val="24"/>
          <w:szCs w:val="24"/>
        </w:rPr>
        <w:t>Kayembe-Ntumba</w:t>
      </w:r>
      <w:proofErr w:type="spellEnd"/>
      <w:r w:rsidR="00A24FE3">
        <w:rPr>
          <w:rFonts w:ascii="Times New Roman" w:eastAsia="Calibri" w:hAnsi="Times New Roman" w:cs="Times New Roman"/>
          <w:sz w:val="24"/>
          <w:szCs w:val="24"/>
        </w:rPr>
        <w:t xml:space="preserve"> et al (2022), </w:t>
      </w:r>
      <w:r w:rsidR="00FC06DA">
        <w:rPr>
          <w:rFonts w:ascii="Times New Roman" w:eastAsia="Calibri" w:hAnsi="Times New Roman" w:cs="Times New Roman"/>
          <w:sz w:val="24"/>
          <w:szCs w:val="24"/>
        </w:rPr>
        <w:t xml:space="preserve">and </w:t>
      </w:r>
      <w:proofErr w:type="spellStart"/>
      <w:r w:rsidR="00E92716">
        <w:rPr>
          <w:rFonts w:ascii="Times New Roman" w:eastAsia="Calibri" w:hAnsi="Times New Roman" w:cs="Times New Roman"/>
          <w:sz w:val="24"/>
          <w:szCs w:val="24"/>
        </w:rPr>
        <w:t>Ullah</w:t>
      </w:r>
      <w:proofErr w:type="spellEnd"/>
      <w:r w:rsidR="00E92716">
        <w:rPr>
          <w:rFonts w:ascii="Times New Roman" w:eastAsia="Calibri" w:hAnsi="Times New Roman" w:cs="Times New Roman"/>
          <w:sz w:val="24"/>
          <w:szCs w:val="24"/>
        </w:rPr>
        <w:t xml:space="preserve"> et al (2022</w:t>
      </w:r>
      <w:r w:rsidR="00784662">
        <w:rPr>
          <w:rFonts w:ascii="Times New Roman" w:eastAsia="Calibri" w:hAnsi="Times New Roman" w:cs="Times New Roman"/>
          <w:sz w:val="24"/>
          <w:szCs w:val="24"/>
        </w:rPr>
        <w:t xml:space="preserve">), in </w:t>
      </w:r>
      <w:r w:rsidR="00A24FE3">
        <w:rPr>
          <w:rFonts w:ascii="Times New Roman" w:eastAsia="Calibri" w:hAnsi="Times New Roman" w:cs="Times New Roman"/>
          <w:sz w:val="24"/>
          <w:szCs w:val="24"/>
        </w:rPr>
        <w:t xml:space="preserve">the Democratic Republic of Congo, </w:t>
      </w:r>
      <w:r w:rsidR="00E92716">
        <w:rPr>
          <w:rFonts w:ascii="Times New Roman" w:eastAsia="Calibri" w:hAnsi="Times New Roman" w:cs="Times New Roman"/>
          <w:sz w:val="24"/>
          <w:szCs w:val="24"/>
        </w:rPr>
        <w:t xml:space="preserve">Ghana, </w:t>
      </w:r>
      <w:r w:rsidR="00784662">
        <w:rPr>
          <w:rFonts w:ascii="Times New Roman" w:eastAsia="Calibri" w:hAnsi="Times New Roman" w:cs="Times New Roman"/>
          <w:sz w:val="24"/>
          <w:szCs w:val="24"/>
        </w:rPr>
        <w:t xml:space="preserve">Ethiopia, </w:t>
      </w:r>
      <w:r w:rsidR="0007424E">
        <w:rPr>
          <w:rFonts w:ascii="Times New Roman" w:eastAsia="Calibri" w:hAnsi="Times New Roman" w:cs="Times New Roman"/>
          <w:sz w:val="24"/>
          <w:szCs w:val="24"/>
        </w:rPr>
        <w:t>Nepal, and Pakistan corroborate this position when they aver that</w:t>
      </w:r>
      <w:r w:rsidR="00784662">
        <w:rPr>
          <w:rFonts w:ascii="Times New Roman" w:eastAsia="Calibri" w:hAnsi="Times New Roman" w:cs="Times New Roman"/>
          <w:sz w:val="24"/>
          <w:szCs w:val="24"/>
        </w:rPr>
        <w:t xml:space="preserve"> </w:t>
      </w:r>
      <w:r w:rsidR="00D73312">
        <w:rPr>
          <w:rFonts w:ascii="Times New Roman" w:eastAsia="Calibri" w:hAnsi="Times New Roman" w:cs="Times New Roman"/>
          <w:sz w:val="24"/>
          <w:szCs w:val="24"/>
        </w:rPr>
        <w:t xml:space="preserve">non-compliance due to </w:t>
      </w:r>
      <w:r w:rsidR="00404D1C">
        <w:rPr>
          <w:rFonts w:ascii="Times New Roman" w:eastAsia="Calibri" w:hAnsi="Times New Roman" w:cs="Times New Roman"/>
          <w:sz w:val="24"/>
          <w:szCs w:val="24"/>
        </w:rPr>
        <w:t xml:space="preserve">poor </w:t>
      </w:r>
      <w:r w:rsidR="0007424E">
        <w:rPr>
          <w:rFonts w:ascii="Times New Roman" w:eastAsia="Calibri" w:hAnsi="Times New Roman" w:cs="Times New Roman"/>
          <w:sz w:val="24"/>
          <w:szCs w:val="24"/>
        </w:rPr>
        <w:t xml:space="preserve">caregiver prioritization of child immunization and adherence to stipulated routine immunization schedules, </w:t>
      </w:r>
      <w:r w:rsidR="00D73312">
        <w:rPr>
          <w:rFonts w:ascii="Times New Roman" w:eastAsia="Calibri" w:hAnsi="Times New Roman" w:cs="Times New Roman"/>
          <w:sz w:val="24"/>
          <w:szCs w:val="24"/>
        </w:rPr>
        <w:t xml:space="preserve">immunization default due to </w:t>
      </w:r>
      <w:r w:rsidR="00404D1C">
        <w:rPr>
          <w:rFonts w:ascii="Times New Roman" w:eastAsia="Calibri" w:hAnsi="Times New Roman" w:cs="Times New Roman"/>
          <w:sz w:val="24"/>
          <w:szCs w:val="24"/>
        </w:rPr>
        <w:t xml:space="preserve">non-compliance during </w:t>
      </w:r>
      <w:r w:rsidR="00D73312">
        <w:rPr>
          <w:rFonts w:ascii="Times New Roman" w:eastAsia="Calibri" w:hAnsi="Times New Roman" w:cs="Times New Roman"/>
          <w:sz w:val="24"/>
          <w:szCs w:val="24"/>
        </w:rPr>
        <w:t xml:space="preserve">episodes of common childhood illnesses such as diarrhea, </w:t>
      </w:r>
      <w:r w:rsidR="00C72076">
        <w:rPr>
          <w:rFonts w:ascii="Times New Roman" w:eastAsia="Calibri" w:hAnsi="Times New Roman" w:cs="Times New Roman"/>
          <w:sz w:val="24"/>
          <w:szCs w:val="24"/>
        </w:rPr>
        <w:t xml:space="preserve">and </w:t>
      </w:r>
      <w:r w:rsidR="00FC06DA">
        <w:rPr>
          <w:rFonts w:ascii="Times New Roman" w:eastAsia="Calibri" w:hAnsi="Times New Roman" w:cs="Times New Roman"/>
          <w:sz w:val="24"/>
          <w:szCs w:val="24"/>
        </w:rPr>
        <w:t xml:space="preserve">pneumonia, </w:t>
      </w:r>
      <w:r w:rsidR="00C72076">
        <w:rPr>
          <w:rFonts w:ascii="Times New Roman" w:eastAsia="Calibri" w:hAnsi="Times New Roman" w:cs="Times New Roman"/>
          <w:sz w:val="24"/>
          <w:szCs w:val="24"/>
        </w:rPr>
        <w:t xml:space="preserve">epidemic prone diseases such as measles, as well as during pandemics such as the </w:t>
      </w:r>
      <w:r w:rsidR="005231BD">
        <w:rPr>
          <w:rFonts w:ascii="Times New Roman" w:eastAsia="Calibri" w:hAnsi="Times New Roman" w:cs="Times New Roman"/>
          <w:sz w:val="24"/>
          <w:szCs w:val="24"/>
        </w:rPr>
        <w:t xml:space="preserve">recent </w:t>
      </w:r>
      <w:r w:rsidR="00C72076">
        <w:rPr>
          <w:rFonts w:ascii="Times New Roman" w:eastAsia="Calibri" w:hAnsi="Times New Roman" w:cs="Times New Roman"/>
          <w:sz w:val="24"/>
          <w:szCs w:val="24"/>
        </w:rPr>
        <w:t xml:space="preserve">COVID-19 pandemic, </w:t>
      </w:r>
      <w:r w:rsidR="00E32F6A">
        <w:rPr>
          <w:rFonts w:ascii="Times New Roman" w:eastAsia="Calibri" w:hAnsi="Times New Roman" w:cs="Times New Roman"/>
          <w:sz w:val="24"/>
          <w:szCs w:val="24"/>
        </w:rPr>
        <w:t xml:space="preserve">were central to </w:t>
      </w:r>
      <w:r w:rsidR="004143DB">
        <w:rPr>
          <w:rFonts w:ascii="Times New Roman" w:eastAsia="Calibri" w:hAnsi="Times New Roman" w:cs="Times New Roman"/>
          <w:sz w:val="24"/>
          <w:szCs w:val="24"/>
        </w:rPr>
        <w:t xml:space="preserve">deficits in immunization completion and suboptimal coverage rates. Other volunteered complicit propositions include </w:t>
      </w:r>
      <w:r w:rsidR="003D7791">
        <w:rPr>
          <w:rFonts w:ascii="Times New Roman" w:eastAsia="Calibri" w:hAnsi="Times New Roman" w:cs="Times New Roman"/>
          <w:sz w:val="24"/>
          <w:szCs w:val="24"/>
        </w:rPr>
        <w:t>improper or missing entries in, carelessness regarding care of, and/or misplacement of, child vaccination cards, as well as t</w:t>
      </w:r>
      <w:r w:rsidR="0073260B">
        <w:rPr>
          <w:rFonts w:ascii="Times New Roman" w:eastAsia="Calibri" w:hAnsi="Times New Roman" w:cs="Times New Roman"/>
          <w:sz w:val="24"/>
          <w:szCs w:val="24"/>
        </w:rPr>
        <w:t xml:space="preserve">ask shifting in respect of attendance at child routine immunization sessions due to poor time management, carelessness, and </w:t>
      </w:r>
      <w:r w:rsidR="00456AE0">
        <w:rPr>
          <w:rFonts w:ascii="Times New Roman" w:eastAsia="Calibri" w:hAnsi="Times New Roman" w:cs="Times New Roman"/>
          <w:sz w:val="24"/>
          <w:szCs w:val="24"/>
        </w:rPr>
        <w:t xml:space="preserve">personal </w:t>
      </w:r>
      <w:r w:rsidR="00F162B9">
        <w:rPr>
          <w:rFonts w:ascii="Times New Roman" w:eastAsia="Calibri" w:hAnsi="Times New Roman" w:cs="Times New Roman"/>
          <w:sz w:val="24"/>
          <w:szCs w:val="24"/>
        </w:rPr>
        <w:t>competing interests</w:t>
      </w:r>
      <w:r w:rsidR="00456AE0">
        <w:rPr>
          <w:rFonts w:ascii="Times New Roman" w:eastAsia="Calibri" w:hAnsi="Times New Roman" w:cs="Times New Roman"/>
          <w:sz w:val="24"/>
          <w:szCs w:val="24"/>
        </w:rPr>
        <w:t xml:space="preserve"> (Moss et al, 2016; Sally et al, 2017; </w:t>
      </w:r>
      <w:proofErr w:type="spellStart"/>
      <w:r w:rsidR="00456AE0">
        <w:rPr>
          <w:rFonts w:ascii="Times New Roman" w:eastAsia="Calibri" w:hAnsi="Times New Roman" w:cs="Times New Roman"/>
          <w:sz w:val="24"/>
          <w:szCs w:val="24"/>
        </w:rPr>
        <w:t>Sedain</w:t>
      </w:r>
      <w:proofErr w:type="spellEnd"/>
      <w:r w:rsidR="00456AE0">
        <w:rPr>
          <w:rFonts w:ascii="Times New Roman" w:eastAsia="Calibri" w:hAnsi="Times New Roman" w:cs="Times New Roman"/>
          <w:sz w:val="24"/>
          <w:szCs w:val="24"/>
        </w:rPr>
        <w:t xml:space="preserve"> et al, 2018; </w:t>
      </w:r>
      <w:proofErr w:type="spellStart"/>
      <w:r w:rsidR="00456AE0">
        <w:rPr>
          <w:rFonts w:ascii="Times New Roman" w:eastAsia="Calibri" w:hAnsi="Times New Roman" w:cs="Times New Roman"/>
          <w:sz w:val="24"/>
          <w:szCs w:val="24"/>
        </w:rPr>
        <w:t>Mekonnen</w:t>
      </w:r>
      <w:proofErr w:type="spellEnd"/>
      <w:r w:rsidR="00456AE0">
        <w:rPr>
          <w:rFonts w:ascii="Times New Roman" w:eastAsia="Calibri" w:hAnsi="Times New Roman" w:cs="Times New Roman"/>
          <w:sz w:val="24"/>
          <w:szCs w:val="24"/>
        </w:rPr>
        <w:t xml:space="preserve"> et al, 2019; Hansen et al, 2020; </w:t>
      </w:r>
      <w:proofErr w:type="spellStart"/>
      <w:r w:rsidR="00456AE0">
        <w:rPr>
          <w:rFonts w:ascii="Times New Roman" w:eastAsia="Calibri" w:hAnsi="Times New Roman" w:cs="Times New Roman"/>
          <w:sz w:val="24"/>
          <w:szCs w:val="24"/>
        </w:rPr>
        <w:t>Muluneh</w:t>
      </w:r>
      <w:proofErr w:type="spellEnd"/>
      <w:r w:rsidR="002A4517">
        <w:rPr>
          <w:rFonts w:ascii="Times New Roman" w:eastAsia="Calibri" w:hAnsi="Times New Roman" w:cs="Times New Roman"/>
          <w:sz w:val="24"/>
          <w:szCs w:val="24"/>
        </w:rPr>
        <w:t xml:space="preserve"> et al, 2020; </w:t>
      </w:r>
      <w:proofErr w:type="spellStart"/>
      <w:r w:rsidR="002A4517">
        <w:rPr>
          <w:rFonts w:ascii="Times New Roman" w:eastAsia="Calibri" w:hAnsi="Times New Roman" w:cs="Times New Roman"/>
          <w:sz w:val="24"/>
          <w:szCs w:val="24"/>
        </w:rPr>
        <w:t>Umer</w:t>
      </w:r>
      <w:proofErr w:type="spellEnd"/>
      <w:r w:rsidR="002A4517">
        <w:rPr>
          <w:rFonts w:ascii="Times New Roman" w:eastAsia="Calibri" w:hAnsi="Times New Roman" w:cs="Times New Roman"/>
          <w:sz w:val="24"/>
          <w:szCs w:val="24"/>
        </w:rPr>
        <w:t xml:space="preserve"> et al, 2020</w:t>
      </w:r>
      <w:r w:rsidR="002C096C">
        <w:rPr>
          <w:rFonts w:ascii="Times New Roman" w:eastAsia="Calibri" w:hAnsi="Times New Roman" w:cs="Times New Roman"/>
          <w:sz w:val="24"/>
          <w:szCs w:val="24"/>
        </w:rPr>
        <w:t xml:space="preserve">; </w:t>
      </w:r>
      <w:proofErr w:type="spellStart"/>
      <w:r w:rsidR="00A24FE3">
        <w:rPr>
          <w:rFonts w:ascii="Times New Roman" w:eastAsia="Calibri" w:hAnsi="Times New Roman" w:cs="Times New Roman"/>
          <w:sz w:val="24"/>
          <w:szCs w:val="24"/>
        </w:rPr>
        <w:t>Kayembe-Ntumba</w:t>
      </w:r>
      <w:proofErr w:type="spellEnd"/>
      <w:r w:rsidR="00A24FE3">
        <w:rPr>
          <w:rFonts w:ascii="Times New Roman" w:eastAsia="Calibri" w:hAnsi="Times New Roman" w:cs="Times New Roman"/>
          <w:sz w:val="24"/>
          <w:szCs w:val="24"/>
        </w:rPr>
        <w:t xml:space="preserve"> et al, 2022,</w:t>
      </w:r>
      <w:r w:rsidR="00A24FE3" w:rsidRPr="00A24FE3">
        <w:rPr>
          <w:rFonts w:ascii="Times New Roman" w:eastAsia="Calibri" w:hAnsi="Times New Roman" w:cs="Times New Roman"/>
          <w:sz w:val="24"/>
          <w:szCs w:val="24"/>
        </w:rPr>
        <w:t xml:space="preserve"> </w:t>
      </w:r>
      <w:proofErr w:type="spellStart"/>
      <w:r w:rsidR="00A24FE3">
        <w:rPr>
          <w:rFonts w:ascii="Times New Roman" w:eastAsia="Calibri" w:hAnsi="Times New Roman" w:cs="Times New Roman"/>
          <w:sz w:val="24"/>
          <w:szCs w:val="24"/>
        </w:rPr>
        <w:t>Ullah</w:t>
      </w:r>
      <w:proofErr w:type="spellEnd"/>
      <w:r w:rsidR="00A24FE3">
        <w:rPr>
          <w:rFonts w:ascii="Times New Roman" w:eastAsia="Calibri" w:hAnsi="Times New Roman" w:cs="Times New Roman"/>
          <w:sz w:val="24"/>
          <w:szCs w:val="24"/>
        </w:rPr>
        <w:t xml:space="preserve"> et al, 2022</w:t>
      </w:r>
      <w:r w:rsidR="00456AE0">
        <w:rPr>
          <w:rFonts w:ascii="Times New Roman" w:eastAsia="Calibri" w:hAnsi="Times New Roman" w:cs="Times New Roman"/>
          <w:sz w:val="24"/>
          <w:szCs w:val="24"/>
        </w:rPr>
        <w:t xml:space="preserve">).  </w:t>
      </w:r>
    </w:p>
    <w:p w14:paraId="1A1EC260" w14:textId="77777777" w:rsidR="005566D9" w:rsidRPr="00A24FE3" w:rsidRDefault="005566D9" w:rsidP="000D29BF">
      <w:pPr>
        <w:spacing w:after="100" w:line="360" w:lineRule="auto"/>
        <w:jc w:val="both"/>
        <w:rPr>
          <w:rFonts w:ascii="Times New Roman" w:eastAsia="Calibri" w:hAnsi="Times New Roman" w:cs="Times New Roman"/>
          <w:sz w:val="24"/>
          <w:szCs w:val="24"/>
        </w:rPr>
      </w:pPr>
    </w:p>
    <w:p w14:paraId="4EEF6B96" w14:textId="7684F751" w:rsidR="00220FAB" w:rsidRDefault="00220FAB" w:rsidP="000D29BF">
      <w:pPr>
        <w:spacing w:after="100" w:line="360" w:lineRule="auto"/>
        <w:jc w:val="both"/>
        <w:rPr>
          <w:rFonts w:ascii="Times New Roman" w:eastAsia="Calibri" w:hAnsi="Times New Roman" w:cs="Times New Roman"/>
          <w:b/>
          <w:sz w:val="24"/>
          <w:szCs w:val="24"/>
        </w:rPr>
      </w:pPr>
      <w:r w:rsidRPr="00220FAB">
        <w:rPr>
          <w:rFonts w:ascii="Times New Roman" w:eastAsia="Calibri" w:hAnsi="Times New Roman" w:cs="Times New Roman"/>
          <w:b/>
          <w:sz w:val="24"/>
          <w:szCs w:val="24"/>
        </w:rPr>
        <w:lastRenderedPageBreak/>
        <w:t>Comparative Bridgepoint’s</w:t>
      </w:r>
    </w:p>
    <w:p w14:paraId="29139333" w14:textId="5B5D0D62" w:rsidR="005566D9" w:rsidRDefault="00456AE0" w:rsidP="00D15DEE">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foregoing </w:t>
      </w:r>
      <w:r w:rsidR="00311D66">
        <w:rPr>
          <w:rFonts w:ascii="Times New Roman" w:eastAsia="Calibri" w:hAnsi="Times New Roman" w:cs="Times New Roman"/>
          <w:sz w:val="24"/>
          <w:szCs w:val="24"/>
        </w:rPr>
        <w:t>treatise summarily presupposes that t</w:t>
      </w:r>
      <w:r>
        <w:rPr>
          <w:rFonts w:ascii="Times New Roman" w:eastAsia="Calibri" w:hAnsi="Times New Roman" w:cs="Times New Roman"/>
          <w:sz w:val="24"/>
          <w:szCs w:val="24"/>
        </w:rPr>
        <w:t xml:space="preserve">he overriding platitude upon which 2YL resonates is that catchup vaccination can be provided through the common and regular channels for routine immunization without recourse to increased costs in terms of time, personnel and material. However, healthcare is an ever evolving discipline with new innovations which are not only niche specific but cost dependent, with the costs transcending development and introduction of new vaccines, ever increasing personnel </w:t>
      </w:r>
      <w:r w:rsidR="00311D66">
        <w:rPr>
          <w:rFonts w:ascii="Times New Roman" w:eastAsia="Calibri" w:hAnsi="Times New Roman" w:cs="Times New Roman"/>
          <w:sz w:val="24"/>
          <w:szCs w:val="24"/>
        </w:rPr>
        <w:t xml:space="preserve">costs (inclusive of recurrent and </w:t>
      </w:r>
      <w:r>
        <w:rPr>
          <w:rFonts w:ascii="Times New Roman" w:eastAsia="Calibri" w:hAnsi="Times New Roman" w:cs="Times New Roman"/>
          <w:sz w:val="24"/>
          <w:szCs w:val="24"/>
        </w:rPr>
        <w:t>training costs</w:t>
      </w:r>
      <w:r w:rsidR="00311D66">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prevailing local financial and economic circumstances. </w:t>
      </w:r>
      <w:r w:rsidR="00311D66">
        <w:rPr>
          <w:rFonts w:ascii="Times New Roman" w:eastAsia="Calibri" w:hAnsi="Times New Roman" w:cs="Times New Roman"/>
          <w:sz w:val="24"/>
          <w:szCs w:val="24"/>
        </w:rPr>
        <w:t xml:space="preserve">To this end, it is noted that </w:t>
      </w:r>
      <w:r w:rsidR="00984CC7">
        <w:rPr>
          <w:rFonts w:ascii="Times New Roman" w:eastAsia="Calibri" w:hAnsi="Times New Roman" w:cs="Times New Roman"/>
          <w:sz w:val="24"/>
          <w:szCs w:val="24"/>
        </w:rPr>
        <w:t>the local economy and econom</w:t>
      </w:r>
      <w:r w:rsidR="00110816">
        <w:rPr>
          <w:rFonts w:ascii="Times New Roman" w:eastAsia="Calibri" w:hAnsi="Times New Roman" w:cs="Times New Roman"/>
          <w:sz w:val="24"/>
          <w:szCs w:val="24"/>
        </w:rPr>
        <w:t xml:space="preserve">ic climate which impinges upon </w:t>
      </w:r>
      <w:r w:rsidR="00984CC7">
        <w:rPr>
          <w:rFonts w:ascii="Times New Roman" w:eastAsia="Calibri" w:hAnsi="Times New Roman" w:cs="Times New Roman"/>
          <w:sz w:val="24"/>
          <w:szCs w:val="24"/>
        </w:rPr>
        <w:t xml:space="preserve">and is determined in turn by opportunities for employment (and </w:t>
      </w:r>
      <w:r w:rsidR="00E83BA9">
        <w:rPr>
          <w:rFonts w:ascii="Times New Roman" w:eastAsia="Calibri" w:hAnsi="Times New Roman" w:cs="Times New Roman"/>
          <w:sz w:val="24"/>
          <w:szCs w:val="24"/>
        </w:rPr>
        <w:t>remaining employed), the markets, wealth quintiles and income, budgets (including the healthcare budget), capital infrastructural investments</w:t>
      </w:r>
      <w:r w:rsidR="00127C9D">
        <w:rPr>
          <w:rFonts w:ascii="Times New Roman" w:eastAsia="Calibri" w:hAnsi="Times New Roman" w:cs="Times New Roman"/>
          <w:sz w:val="24"/>
          <w:szCs w:val="24"/>
        </w:rPr>
        <w:t xml:space="preserve"> (including foreign direct investments</w:t>
      </w:r>
      <w:r w:rsidR="003F7F0E">
        <w:rPr>
          <w:rFonts w:ascii="Times New Roman" w:eastAsia="Calibri" w:hAnsi="Times New Roman" w:cs="Times New Roman"/>
          <w:sz w:val="24"/>
          <w:szCs w:val="24"/>
        </w:rPr>
        <w:t xml:space="preserve"> and investments </w:t>
      </w:r>
      <w:r w:rsidR="00EB65DF">
        <w:rPr>
          <w:rFonts w:ascii="Times New Roman" w:eastAsia="Calibri" w:hAnsi="Times New Roman" w:cs="Times New Roman"/>
          <w:sz w:val="24"/>
          <w:szCs w:val="24"/>
        </w:rPr>
        <w:t xml:space="preserve">in </w:t>
      </w:r>
      <w:r w:rsidR="003F7F0E">
        <w:rPr>
          <w:rFonts w:ascii="Times New Roman" w:eastAsia="Calibri" w:hAnsi="Times New Roman" w:cs="Times New Roman"/>
          <w:sz w:val="24"/>
          <w:szCs w:val="24"/>
        </w:rPr>
        <w:t>housing, local health facilities, and utilities</w:t>
      </w:r>
      <w:r w:rsidR="00127C9D">
        <w:rPr>
          <w:rFonts w:ascii="Times New Roman" w:eastAsia="Calibri" w:hAnsi="Times New Roman" w:cs="Times New Roman"/>
          <w:sz w:val="24"/>
          <w:szCs w:val="24"/>
        </w:rPr>
        <w:t>)</w:t>
      </w:r>
      <w:r w:rsidR="00E83BA9">
        <w:rPr>
          <w:rFonts w:ascii="Times New Roman" w:eastAsia="Calibri" w:hAnsi="Times New Roman" w:cs="Times New Roman"/>
          <w:sz w:val="24"/>
          <w:szCs w:val="24"/>
        </w:rPr>
        <w:t xml:space="preserve">, </w:t>
      </w:r>
      <w:r w:rsidR="00127C9D">
        <w:rPr>
          <w:rFonts w:ascii="Times New Roman" w:eastAsia="Calibri" w:hAnsi="Times New Roman" w:cs="Times New Roman"/>
          <w:sz w:val="24"/>
          <w:szCs w:val="24"/>
        </w:rPr>
        <w:t xml:space="preserve">available finance and </w:t>
      </w:r>
      <w:r w:rsidR="00E83BA9">
        <w:rPr>
          <w:rFonts w:ascii="Times New Roman" w:eastAsia="Calibri" w:hAnsi="Times New Roman" w:cs="Times New Roman"/>
          <w:sz w:val="24"/>
          <w:szCs w:val="24"/>
        </w:rPr>
        <w:t>financing</w:t>
      </w:r>
      <w:r w:rsidR="00127C9D">
        <w:rPr>
          <w:rFonts w:ascii="Times New Roman" w:eastAsia="Calibri" w:hAnsi="Times New Roman" w:cs="Times New Roman"/>
          <w:sz w:val="24"/>
          <w:szCs w:val="24"/>
        </w:rPr>
        <w:t xml:space="preserve"> mechanisms</w:t>
      </w:r>
      <w:r w:rsidR="00E83BA9">
        <w:rPr>
          <w:rFonts w:ascii="Times New Roman" w:eastAsia="Calibri" w:hAnsi="Times New Roman" w:cs="Times New Roman"/>
          <w:sz w:val="24"/>
          <w:szCs w:val="24"/>
        </w:rPr>
        <w:t xml:space="preserve"> (including </w:t>
      </w:r>
      <w:r w:rsidR="00127C9D">
        <w:rPr>
          <w:rFonts w:ascii="Times New Roman" w:eastAsia="Calibri" w:hAnsi="Times New Roman" w:cs="Times New Roman"/>
          <w:sz w:val="24"/>
          <w:szCs w:val="24"/>
        </w:rPr>
        <w:t>program financing</w:t>
      </w:r>
      <w:r w:rsidR="00EB65DF">
        <w:rPr>
          <w:rFonts w:ascii="Times New Roman" w:eastAsia="Calibri" w:hAnsi="Times New Roman" w:cs="Times New Roman"/>
          <w:sz w:val="24"/>
          <w:szCs w:val="24"/>
        </w:rPr>
        <w:t xml:space="preserve"> and </w:t>
      </w:r>
      <w:r w:rsidR="00127C9D">
        <w:rPr>
          <w:rFonts w:ascii="Times New Roman" w:eastAsia="Calibri" w:hAnsi="Times New Roman" w:cs="Times New Roman"/>
          <w:sz w:val="24"/>
          <w:szCs w:val="24"/>
        </w:rPr>
        <w:t>health insurance), cost and cost drivers</w:t>
      </w:r>
      <w:r w:rsidR="003F7F0E">
        <w:rPr>
          <w:rFonts w:ascii="Times New Roman" w:eastAsia="Calibri" w:hAnsi="Times New Roman" w:cs="Times New Roman"/>
          <w:sz w:val="24"/>
          <w:szCs w:val="24"/>
        </w:rPr>
        <w:t xml:space="preserve"> (including personnel costs and cost of locally produced, and imported, hospital consumables)</w:t>
      </w:r>
      <w:r w:rsidR="00127C9D">
        <w:rPr>
          <w:rFonts w:ascii="Times New Roman" w:eastAsia="Calibri" w:hAnsi="Times New Roman" w:cs="Times New Roman"/>
          <w:sz w:val="24"/>
          <w:szCs w:val="24"/>
        </w:rPr>
        <w:t xml:space="preserve">, as well as </w:t>
      </w:r>
      <w:r w:rsidR="003F7F0E">
        <w:rPr>
          <w:rFonts w:ascii="Times New Roman" w:eastAsia="Calibri" w:hAnsi="Times New Roman" w:cs="Times New Roman"/>
          <w:sz w:val="24"/>
          <w:szCs w:val="24"/>
        </w:rPr>
        <w:t xml:space="preserve">service delivery contingent upon demand and supply within the context of the extant level of technological development. </w:t>
      </w:r>
    </w:p>
    <w:p w14:paraId="697538D7" w14:textId="2F70FF0E" w:rsidR="00156FDD" w:rsidRPr="00F9138F" w:rsidRDefault="00EB65DF" w:rsidP="00D15DEE">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line with the foregoing, the findings in this study suggest that caregiver </w:t>
      </w:r>
      <w:r w:rsidR="0076758F">
        <w:rPr>
          <w:rFonts w:ascii="Times New Roman" w:eastAsia="Calibri" w:hAnsi="Times New Roman" w:cs="Times New Roman"/>
          <w:sz w:val="24"/>
          <w:szCs w:val="24"/>
        </w:rPr>
        <w:t xml:space="preserve">awareness and knowledge of 2YL, number of children under five years of age, caregiver relationship with child, caregiver </w:t>
      </w:r>
      <w:r>
        <w:rPr>
          <w:rFonts w:ascii="Times New Roman" w:eastAsia="Calibri" w:hAnsi="Times New Roman" w:cs="Times New Roman"/>
          <w:sz w:val="24"/>
          <w:szCs w:val="24"/>
        </w:rPr>
        <w:t xml:space="preserve">occupation and employment status, </w:t>
      </w:r>
      <w:r w:rsidR="0076758F">
        <w:rPr>
          <w:rFonts w:ascii="Times New Roman" w:eastAsia="Calibri" w:hAnsi="Times New Roman" w:cs="Times New Roman"/>
          <w:sz w:val="24"/>
          <w:szCs w:val="24"/>
        </w:rPr>
        <w:t xml:space="preserve">caregiver level of education, household </w:t>
      </w:r>
      <w:r>
        <w:rPr>
          <w:rFonts w:ascii="Times New Roman" w:eastAsia="Calibri" w:hAnsi="Times New Roman" w:cs="Times New Roman"/>
          <w:sz w:val="24"/>
          <w:szCs w:val="24"/>
        </w:rPr>
        <w:t xml:space="preserve">income levels, </w:t>
      </w:r>
      <w:r w:rsidR="00634099">
        <w:rPr>
          <w:rFonts w:ascii="Times New Roman" w:eastAsia="Calibri" w:hAnsi="Times New Roman" w:cs="Times New Roman"/>
          <w:sz w:val="24"/>
          <w:szCs w:val="24"/>
        </w:rPr>
        <w:t xml:space="preserve">caregiver </w:t>
      </w:r>
      <w:r>
        <w:rPr>
          <w:rFonts w:ascii="Times New Roman" w:eastAsia="Calibri" w:hAnsi="Times New Roman" w:cs="Times New Roman"/>
          <w:sz w:val="24"/>
          <w:szCs w:val="24"/>
        </w:rPr>
        <w:t xml:space="preserve">locale </w:t>
      </w:r>
      <w:r w:rsidR="000B5290">
        <w:rPr>
          <w:rFonts w:ascii="Times New Roman" w:eastAsia="Calibri" w:hAnsi="Times New Roman" w:cs="Times New Roman"/>
          <w:sz w:val="24"/>
          <w:szCs w:val="24"/>
        </w:rPr>
        <w:t>and/or residence</w:t>
      </w:r>
      <w:r>
        <w:rPr>
          <w:rFonts w:ascii="Times New Roman" w:eastAsia="Calibri" w:hAnsi="Times New Roman" w:cs="Times New Roman"/>
          <w:sz w:val="24"/>
          <w:szCs w:val="24"/>
        </w:rPr>
        <w:t xml:space="preserve">, </w:t>
      </w:r>
      <w:r w:rsidR="00634099">
        <w:rPr>
          <w:rFonts w:ascii="Times New Roman" w:eastAsia="Calibri" w:hAnsi="Times New Roman" w:cs="Times New Roman"/>
          <w:sz w:val="24"/>
          <w:szCs w:val="24"/>
        </w:rPr>
        <w:t>distance between residence and</w:t>
      </w:r>
      <w:r w:rsidR="000B5290">
        <w:rPr>
          <w:rFonts w:ascii="Times New Roman" w:eastAsia="Calibri" w:hAnsi="Times New Roman" w:cs="Times New Roman"/>
          <w:sz w:val="24"/>
          <w:szCs w:val="24"/>
        </w:rPr>
        <w:t xml:space="preserve"> nearest health facility, mode </w:t>
      </w:r>
      <w:r w:rsidR="00634099">
        <w:rPr>
          <w:rFonts w:ascii="Times New Roman" w:eastAsia="Calibri" w:hAnsi="Times New Roman" w:cs="Times New Roman"/>
          <w:sz w:val="24"/>
          <w:szCs w:val="24"/>
        </w:rPr>
        <w:t xml:space="preserve">of commute </w:t>
      </w:r>
      <w:r w:rsidR="00156FDD">
        <w:rPr>
          <w:rFonts w:ascii="Times New Roman" w:eastAsia="Calibri" w:hAnsi="Times New Roman" w:cs="Times New Roman"/>
          <w:sz w:val="24"/>
          <w:szCs w:val="24"/>
        </w:rPr>
        <w:t xml:space="preserve">between residence and health facility, as well as </w:t>
      </w:r>
      <w:r w:rsidR="000B5290">
        <w:rPr>
          <w:rFonts w:ascii="Times New Roman" w:eastAsia="Calibri" w:hAnsi="Times New Roman" w:cs="Times New Roman"/>
          <w:sz w:val="24"/>
          <w:szCs w:val="24"/>
        </w:rPr>
        <w:t>duration of commute between residence and h</w:t>
      </w:r>
      <w:r w:rsidR="00156FDD">
        <w:rPr>
          <w:rFonts w:ascii="Times New Roman" w:eastAsia="Calibri" w:hAnsi="Times New Roman" w:cs="Times New Roman"/>
          <w:sz w:val="24"/>
          <w:szCs w:val="24"/>
        </w:rPr>
        <w:t>ealth facility a</w:t>
      </w:r>
      <w:r w:rsidR="0076758F">
        <w:rPr>
          <w:rFonts w:ascii="Times New Roman" w:eastAsia="Calibri" w:hAnsi="Times New Roman" w:cs="Times New Roman"/>
          <w:sz w:val="24"/>
          <w:szCs w:val="24"/>
        </w:rPr>
        <w:t>re significant determinants of immunization completion and coverage rates</w:t>
      </w:r>
      <w:r w:rsidR="005566D9">
        <w:rPr>
          <w:rFonts w:ascii="Times New Roman" w:eastAsia="Calibri" w:hAnsi="Times New Roman" w:cs="Times New Roman"/>
          <w:sz w:val="24"/>
          <w:szCs w:val="24"/>
        </w:rPr>
        <w:t>, in the second year of life,</w:t>
      </w:r>
      <w:r w:rsidR="0076758F">
        <w:rPr>
          <w:rFonts w:ascii="Times New Roman" w:eastAsia="Calibri" w:hAnsi="Times New Roman" w:cs="Times New Roman"/>
          <w:sz w:val="24"/>
          <w:szCs w:val="24"/>
        </w:rPr>
        <w:t xml:space="preserve"> in this clime.</w:t>
      </w:r>
      <w:r w:rsidR="00156FDD">
        <w:rPr>
          <w:rFonts w:ascii="Times New Roman" w:eastAsia="Calibri" w:hAnsi="Times New Roman" w:cs="Times New Roman"/>
          <w:sz w:val="24"/>
          <w:szCs w:val="24"/>
        </w:rPr>
        <w:t xml:space="preserve"> Th</w:t>
      </w:r>
      <w:r w:rsidR="00B70FEE">
        <w:rPr>
          <w:rFonts w:ascii="Times New Roman" w:eastAsia="Calibri" w:hAnsi="Times New Roman" w:cs="Times New Roman"/>
          <w:sz w:val="24"/>
          <w:szCs w:val="24"/>
        </w:rPr>
        <w:t xml:space="preserve">ese </w:t>
      </w:r>
      <w:r w:rsidR="00156FDD">
        <w:rPr>
          <w:rFonts w:ascii="Times New Roman" w:eastAsia="Calibri" w:hAnsi="Times New Roman" w:cs="Times New Roman"/>
          <w:sz w:val="24"/>
          <w:szCs w:val="24"/>
        </w:rPr>
        <w:t>Bridgepoint’s</w:t>
      </w:r>
      <w:r w:rsidR="009A5714">
        <w:rPr>
          <w:rFonts w:ascii="Times New Roman" w:eastAsia="Calibri" w:hAnsi="Times New Roman" w:cs="Times New Roman"/>
          <w:sz w:val="24"/>
          <w:szCs w:val="24"/>
        </w:rPr>
        <w:t>, most of which are cross cutting,</w:t>
      </w:r>
      <w:r w:rsidR="00156FDD">
        <w:rPr>
          <w:rFonts w:ascii="Times New Roman" w:eastAsia="Calibri" w:hAnsi="Times New Roman" w:cs="Times New Roman"/>
          <w:sz w:val="24"/>
          <w:szCs w:val="24"/>
        </w:rPr>
        <w:t xml:space="preserve"> are corroborated by </w:t>
      </w:r>
      <w:r w:rsidR="005566D9">
        <w:rPr>
          <w:rFonts w:ascii="Times New Roman" w:eastAsia="Calibri" w:hAnsi="Times New Roman" w:cs="Times New Roman"/>
          <w:sz w:val="24"/>
          <w:szCs w:val="24"/>
        </w:rPr>
        <w:t xml:space="preserve">results from several </w:t>
      </w:r>
      <w:r w:rsidR="00E4679C">
        <w:rPr>
          <w:rFonts w:ascii="Times New Roman" w:eastAsia="Calibri" w:hAnsi="Times New Roman" w:cs="Times New Roman"/>
          <w:sz w:val="24"/>
          <w:szCs w:val="24"/>
        </w:rPr>
        <w:t xml:space="preserve">separate </w:t>
      </w:r>
      <w:r w:rsidR="00156FDD">
        <w:rPr>
          <w:rFonts w:ascii="Times New Roman" w:eastAsia="Calibri" w:hAnsi="Times New Roman" w:cs="Times New Roman"/>
          <w:sz w:val="24"/>
          <w:szCs w:val="24"/>
        </w:rPr>
        <w:t xml:space="preserve">studies in </w:t>
      </w:r>
      <w:r w:rsidR="002A4517">
        <w:rPr>
          <w:rFonts w:ascii="Times New Roman" w:eastAsia="Calibri" w:hAnsi="Times New Roman" w:cs="Times New Roman"/>
          <w:sz w:val="24"/>
          <w:szCs w:val="24"/>
        </w:rPr>
        <w:t xml:space="preserve">Ghana, </w:t>
      </w:r>
      <w:r w:rsidR="00E4679C">
        <w:rPr>
          <w:rFonts w:ascii="Times New Roman" w:eastAsia="Calibri" w:hAnsi="Times New Roman" w:cs="Times New Roman"/>
          <w:sz w:val="24"/>
          <w:szCs w:val="24"/>
        </w:rPr>
        <w:t xml:space="preserve">Ethiopia, </w:t>
      </w:r>
      <w:r w:rsidR="002A4517">
        <w:rPr>
          <w:rFonts w:ascii="Times New Roman" w:eastAsia="Calibri" w:hAnsi="Times New Roman" w:cs="Times New Roman"/>
          <w:sz w:val="24"/>
          <w:szCs w:val="24"/>
        </w:rPr>
        <w:t xml:space="preserve">Malaysia, Mozambique, Nepal, and </w:t>
      </w:r>
      <w:r w:rsidR="00A24FE3">
        <w:rPr>
          <w:rFonts w:ascii="Times New Roman" w:eastAsia="Calibri" w:hAnsi="Times New Roman" w:cs="Times New Roman"/>
          <w:sz w:val="24"/>
          <w:szCs w:val="24"/>
        </w:rPr>
        <w:t xml:space="preserve">Pakistan </w:t>
      </w:r>
      <w:r w:rsidR="00E4679C">
        <w:rPr>
          <w:rFonts w:ascii="Times New Roman" w:eastAsia="Calibri" w:hAnsi="Times New Roman" w:cs="Times New Roman"/>
          <w:sz w:val="24"/>
          <w:szCs w:val="24"/>
        </w:rPr>
        <w:t xml:space="preserve">by </w:t>
      </w:r>
      <w:r w:rsidR="002A4517">
        <w:rPr>
          <w:rFonts w:ascii="Times New Roman" w:eastAsia="Calibri" w:hAnsi="Times New Roman" w:cs="Times New Roman"/>
          <w:sz w:val="24"/>
          <w:szCs w:val="24"/>
        </w:rPr>
        <w:t xml:space="preserve">Taylor et al (2016), </w:t>
      </w:r>
      <w:proofErr w:type="spellStart"/>
      <w:r w:rsidR="00E4679C">
        <w:rPr>
          <w:rFonts w:ascii="Times New Roman" w:eastAsia="Calibri" w:hAnsi="Times New Roman" w:cs="Times New Roman"/>
          <w:sz w:val="24"/>
          <w:szCs w:val="24"/>
        </w:rPr>
        <w:t>Zewdie</w:t>
      </w:r>
      <w:proofErr w:type="spellEnd"/>
      <w:r w:rsidR="00E4679C">
        <w:rPr>
          <w:rFonts w:ascii="Times New Roman" w:eastAsia="Calibri" w:hAnsi="Times New Roman" w:cs="Times New Roman"/>
          <w:sz w:val="24"/>
          <w:szCs w:val="24"/>
        </w:rPr>
        <w:t xml:space="preserve"> et al (2016)</w:t>
      </w:r>
      <w:r w:rsidR="00A24FE3">
        <w:rPr>
          <w:rFonts w:ascii="Times New Roman" w:eastAsia="Calibri" w:hAnsi="Times New Roman" w:cs="Times New Roman"/>
          <w:sz w:val="24"/>
          <w:szCs w:val="24"/>
        </w:rPr>
        <w:t xml:space="preserve">, </w:t>
      </w:r>
      <w:r w:rsidR="002A4517">
        <w:rPr>
          <w:rFonts w:ascii="Times New Roman" w:eastAsia="Calibri" w:hAnsi="Times New Roman" w:cs="Times New Roman"/>
          <w:sz w:val="24"/>
          <w:szCs w:val="24"/>
        </w:rPr>
        <w:t xml:space="preserve">Sally et al (2017), Krishna et al (2019), </w:t>
      </w:r>
      <w:r w:rsidR="00A24FE3">
        <w:rPr>
          <w:rFonts w:ascii="Times New Roman" w:eastAsia="Calibri" w:hAnsi="Times New Roman" w:cs="Times New Roman"/>
          <w:sz w:val="24"/>
          <w:szCs w:val="24"/>
        </w:rPr>
        <w:t xml:space="preserve">Saeed et al (2021), </w:t>
      </w:r>
      <w:proofErr w:type="spellStart"/>
      <w:r w:rsidR="00462A8C">
        <w:rPr>
          <w:rFonts w:ascii="Times New Roman" w:eastAsia="Calibri" w:hAnsi="Times New Roman" w:cs="Times New Roman"/>
          <w:sz w:val="24"/>
          <w:szCs w:val="24"/>
        </w:rPr>
        <w:t>Tha</w:t>
      </w:r>
      <w:r w:rsidR="002A4517">
        <w:rPr>
          <w:rFonts w:ascii="Times New Roman" w:eastAsia="Calibri" w:hAnsi="Times New Roman" w:cs="Times New Roman"/>
          <w:sz w:val="24"/>
          <w:szCs w:val="24"/>
        </w:rPr>
        <w:t>pa</w:t>
      </w:r>
      <w:proofErr w:type="spellEnd"/>
      <w:r w:rsidR="002A4517">
        <w:rPr>
          <w:rFonts w:ascii="Times New Roman" w:eastAsia="Calibri" w:hAnsi="Times New Roman" w:cs="Times New Roman"/>
          <w:sz w:val="24"/>
          <w:szCs w:val="24"/>
        </w:rPr>
        <w:t xml:space="preserve"> et al (2021), and </w:t>
      </w:r>
      <w:proofErr w:type="spellStart"/>
      <w:r w:rsidR="002A4517">
        <w:rPr>
          <w:rFonts w:ascii="Times New Roman" w:eastAsia="Calibri" w:hAnsi="Times New Roman" w:cs="Times New Roman"/>
          <w:sz w:val="24"/>
          <w:szCs w:val="24"/>
        </w:rPr>
        <w:t>Powelson</w:t>
      </w:r>
      <w:proofErr w:type="spellEnd"/>
      <w:r w:rsidR="002A4517">
        <w:rPr>
          <w:rFonts w:ascii="Times New Roman" w:eastAsia="Calibri" w:hAnsi="Times New Roman" w:cs="Times New Roman"/>
          <w:sz w:val="24"/>
          <w:szCs w:val="24"/>
        </w:rPr>
        <w:t xml:space="preserve"> et al (2022)</w:t>
      </w:r>
      <w:r w:rsidR="009A5714">
        <w:rPr>
          <w:rFonts w:ascii="Times New Roman" w:eastAsia="Calibri" w:hAnsi="Times New Roman" w:cs="Times New Roman"/>
          <w:sz w:val="24"/>
          <w:szCs w:val="24"/>
        </w:rPr>
        <w:t xml:space="preserve"> when they submit that </w:t>
      </w:r>
      <w:r w:rsidR="008661A4">
        <w:rPr>
          <w:rFonts w:ascii="Times New Roman" w:eastAsia="Calibri" w:hAnsi="Times New Roman" w:cs="Times New Roman"/>
          <w:sz w:val="24"/>
          <w:szCs w:val="24"/>
        </w:rPr>
        <w:t xml:space="preserve">maternal education, residence, occupation, employment, and household income were veritable contributors to immunization completion and coverage. Thus, higher maternal education, urban residence, formal vocations and employment, and household income above the poverty line were noted to significantly contribute to positive </w:t>
      </w:r>
      <w:r w:rsidR="00CF196B">
        <w:rPr>
          <w:rFonts w:ascii="Times New Roman" w:eastAsia="Calibri" w:hAnsi="Times New Roman" w:cs="Times New Roman"/>
          <w:sz w:val="24"/>
          <w:szCs w:val="24"/>
        </w:rPr>
        <w:t xml:space="preserve">routine immunization outcomes in respect of immunization completion and coverage. Furthermore, improved access to </w:t>
      </w:r>
      <w:r w:rsidR="00CF196B">
        <w:rPr>
          <w:rFonts w:ascii="Times New Roman" w:eastAsia="Calibri" w:hAnsi="Times New Roman" w:cs="Times New Roman"/>
          <w:sz w:val="24"/>
          <w:szCs w:val="24"/>
        </w:rPr>
        <w:lastRenderedPageBreak/>
        <w:t>immunization services arising from convenient mode of transport to the health facility, low cost and reduced time of travel between the res</w:t>
      </w:r>
      <w:r w:rsidR="00D15DEE">
        <w:rPr>
          <w:rFonts w:ascii="Times New Roman" w:eastAsia="Calibri" w:hAnsi="Times New Roman" w:cs="Times New Roman"/>
          <w:sz w:val="24"/>
          <w:szCs w:val="24"/>
        </w:rPr>
        <w:t xml:space="preserve">idence and the health facility as well as the nascent social relationship between the caregiver and the child did make for better immunization completion and coverage outcomes among eligible children in the second year of life (Taylor et al, 2016); </w:t>
      </w:r>
      <w:proofErr w:type="spellStart"/>
      <w:r w:rsidR="00D15DEE">
        <w:rPr>
          <w:rFonts w:ascii="Times New Roman" w:eastAsia="Calibri" w:hAnsi="Times New Roman" w:cs="Times New Roman"/>
          <w:sz w:val="24"/>
          <w:szCs w:val="24"/>
        </w:rPr>
        <w:t>Zewdie</w:t>
      </w:r>
      <w:proofErr w:type="spellEnd"/>
      <w:r w:rsidR="00D15DEE">
        <w:rPr>
          <w:rFonts w:ascii="Times New Roman" w:eastAsia="Calibri" w:hAnsi="Times New Roman" w:cs="Times New Roman"/>
          <w:sz w:val="24"/>
          <w:szCs w:val="24"/>
        </w:rPr>
        <w:t xml:space="preserve"> et al, 2016; Sally et al, 2017; Krishna et a</w:t>
      </w:r>
      <w:r w:rsidR="00C87F8E">
        <w:rPr>
          <w:rFonts w:ascii="Times New Roman" w:eastAsia="Calibri" w:hAnsi="Times New Roman" w:cs="Times New Roman"/>
          <w:sz w:val="24"/>
          <w:szCs w:val="24"/>
        </w:rPr>
        <w:t xml:space="preserve">l, 2019; Saeed et al, 2021; </w:t>
      </w:r>
      <w:proofErr w:type="spellStart"/>
      <w:r w:rsidR="00C87F8E">
        <w:rPr>
          <w:rFonts w:ascii="Times New Roman" w:eastAsia="Calibri" w:hAnsi="Times New Roman" w:cs="Times New Roman"/>
          <w:sz w:val="24"/>
          <w:szCs w:val="24"/>
        </w:rPr>
        <w:t>Tha</w:t>
      </w:r>
      <w:r w:rsidR="00D15DEE">
        <w:rPr>
          <w:rFonts w:ascii="Times New Roman" w:eastAsia="Calibri" w:hAnsi="Times New Roman" w:cs="Times New Roman"/>
          <w:sz w:val="24"/>
          <w:szCs w:val="24"/>
        </w:rPr>
        <w:t>pa</w:t>
      </w:r>
      <w:proofErr w:type="spellEnd"/>
      <w:r w:rsidR="00D15DEE">
        <w:rPr>
          <w:rFonts w:ascii="Times New Roman" w:eastAsia="Calibri" w:hAnsi="Times New Roman" w:cs="Times New Roman"/>
          <w:sz w:val="24"/>
          <w:szCs w:val="24"/>
        </w:rPr>
        <w:t xml:space="preserve"> et al, 2021; </w:t>
      </w:r>
      <w:proofErr w:type="spellStart"/>
      <w:r w:rsidR="00D15DEE">
        <w:rPr>
          <w:rFonts w:ascii="Times New Roman" w:eastAsia="Calibri" w:hAnsi="Times New Roman" w:cs="Times New Roman"/>
          <w:sz w:val="24"/>
          <w:szCs w:val="24"/>
        </w:rPr>
        <w:t>Powelson</w:t>
      </w:r>
      <w:proofErr w:type="spellEnd"/>
      <w:r w:rsidR="00D15DEE">
        <w:rPr>
          <w:rFonts w:ascii="Times New Roman" w:eastAsia="Calibri" w:hAnsi="Times New Roman" w:cs="Times New Roman"/>
          <w:sz w:val="24"/>
          <w:szCs w:val="24"/>
        </w:rPr>
        <w:t xml:space="preserve"> et al,2022).</w:t>
      </w:r>
    </w:p>
    <w:p w14:paraId="4B6B5AD6" w14:textId="3239234B" w:rsidR="00220FAB" w:rsidRPr="00796669" w:rsidRDefault="00220FAB" w:rsidP="00796669">
      <w:pPr>
        <w:spacing w:after="100" w:line="360" w:lineRule="auto"/>
        <w:jc w:val="both"/>
        <w:rPr>
          <w:rFonts w:ascii="Times New Roman" w:eastAsia="Calibri" w:hAnsi="Times New Roman" w:cs="Times New Roman"/>
          <w:b/>
          <w:sz w:val="24"/>
          <w:szCs w:val="24"/>
        </w:rPr>
      </w:pPr>
      <w:r w:rsidRPr="00220FAB">
        <w:rPr>
          <w:rFonts w:ascii="Times New Roman" w:eastAsia="Calibri" w:hAnsi="Times New Roman" w:cs="Times New Roman"/>
          <w:b/>
          <w:sz w:val="24"/>
          <w:szCs w:val="24"/>
        </w:rPr>
        <w:t>Notarized transitions and transformations</w:t>
      </w:r>
    </w:p>
    <w:p w14:paraId="53BAEDB8" w14:textId="6C61C85A" w:rsidR="00D660CC" w:rsidRPr="005566D9" w:rsidRDefault="005566D9" w:rsidP="005566D9">
      <w:pPr>
        <w:spacing w:after="1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a follow-up and addendum to the above, it is noted that a critical, and seemingly, over riding determinant of routine immunization uptake</w:t>
      </w:r>
      <w:r w:rsidR="00B7077E">
        <w:rPr>
          <w:rFonts w:ascii="Times New Roman" w:eastAsia="Calibri" w:hAnsi="Times New Roman" w:cs="Times New Roman"/>
          <w:sz w:val="24"/>
          <w:szCs w:val="24"/>
        </w:rPr>
        <w:t xml:space="preserve">, </w:t>
      </w:r>
      <w:r w:rsidR="00B7077E">
        <w:rPr>
          <w:rFonts w:ascii="Times New Roman" w:eastAsia="Calibri" w:hAnsi="Times New Roman" w:cs="Times New Roman"/>
          <w:sz w:val="24"/>
          <w:szCs w:val="24"/>
        </w:rPr>
        <w:t>inclusive of the decision to vaccinate or not</w:t>
      </w:r>
      <w:r w:rsidR="00D7493B">
        <w:rPr>
          <w:rFonts w:ascii="Times New Roman" w:eastAsia="Calibri" w:hAnsi="Times New Roman" w:cs="Times New Roman"/>
          <w:sz w:val="24"/>
          <w:szCs w:val="24"/>
        </w:rPr>
        <w:t>,</w:t>
      </w:r>
      <w:r w:rsidR="00B7077E">
        <w:rPr>
          <w:rFonts w:ascii="Times New Roman" w:eastAsia="Calibri" w:hAnsi="Times New Roman" w:cs="Times New Roman"/>
          <w:sz w:val="24"/>
          <w:szCs w:val="24"/>
        </w:rPr>
        <w:t xml:space="preserve"> and the determination to follow through until completion,</w:t>
      </w:r>
      <w:r>
        <w:rPr>
          <w:rFonts w:ascii="Times New Roman" w:eastAsia="Calibri" w:hAnsi="Times New Roman" w:cs="Times New Roman"/>
          <w:sz w:val="24"/>
          <w:szCs w:val="24"/>
        </w:rPr>
        <w:t xml:space="preserve"> is par</w:t>
      </w:r>
      <w:r w:rsidR="00B7077E">
        <w:rPr>
          <w:rFonts w:ascii="Times New Roman" w:eastAsia="Calibri" w:hAnsi="Times New Roman" w:cs="Times New Roman"/>
          <w:sz w:val="24"/>
          <w:szCs w:val="24"/>
        </w:rPr>
        <w:t>ental or caregiver preferences</w:t>
      </w:r>
      <w:r w:rsidR="00857C31">
        <w:rPr>
          <w:rFonts w:ascii="Times New Roman" w:eastAsia="Calibri" w:hAnsi="Times New Roman" w:cs="Times New Roman"/>
          <w:sz w:val="24"/>
          <w:szCs w:val="24"/>
        </w:rPr>
        <w:t xml:space="preserve"> (</w:t>
      </w:r>
      <w:proofErr w:type="spellStart"/>
      <w:r w:rsidR="00857C31">
        <w:rPr>
          <w:rFonts w:ascii="Times New Roman" w:eastAsia="Calibri" w:hAnsi="Times New Roman" w:cs="Times New Roman"/>
          <w:sz w:val="24"/>
          <w:szCs w:val="24"/>
        </w:rPr>
        <w:t>zimet</w:t>
      </w:r>
      <w:proofErr w:type="spellEnd"/>
      <w:r w:rsidR="00857C31">
        <w:rPr>
          <w:rFonts w:ascii="Times New Roman" w:eastAsia="Calibri" w:hAnsi="Times New Roman" w:cs="Times New Roman"/>
          <w:sz w:val="24"/>
          <w:szCs w:val="24"/>
        </w:rPr>
        <w:t xml:space="preserve"> et al, 2025)</w:t>
      </w:r>
      <w:r w:rsidR="00B7077E">
        <w:rPr>
          <w:rFonts w:ascii="Times New Roman" w:eastAsia="Calibri" w:hAnsi="Times New Roman" w:cs="Times New Roman"/>
          <w:sz w:val="24"/>
          <w:szCs w:val="24"/>
        </w:rPr>
        <w:t>. To this end</w:t>
      </w:r>
      <w:r w:rsidR="00857C31">
        <w:rPr>
          <w:rFonts w:ascii="Times New Roman" w:eastAsia="Calibri" w:hAnsi="Times New Roman" w:cs="Times New Roman"/>
          <w:sz w:val="24"/>
          <w:szCs w:val="24"/>
        </w:rPr>
        <w:t>,</w:t>
      </w:r>
      <w:r w:rsidR="00B7077E">
        <w:rPr>
          <w:rFonts w:ascii="Times New Roman" w:eastAsia="Calibri" w:hAnsi="Times New Roman" w:cs="Times New Roman"/>
          <w:sz w:val="24"/>
          <w:szCs w:val="24"/>
        </w:rPr>
        <w:t xml:space="preserve"> </w:t>
      </w:r>
      <w:r>
        <w:rPr>
          <w:rFonts w:ascii="Times New Roman" w:eastAsia="Calibri" w:hAnsi="Times New Roman" w:cs="Times New Roman"/>
          <w:sz w:val="24"/>
          <w:szCs w:val="24"/>
        </w:rPr>
        <w:t>several authorities</w:t>
      </w:r>
      <w:r w:rsidR="00B7077E">
        <w:rPr>
          <w:rFonts w:ascii="Times New Roman" w:eastAsia="Calibri" w:hAnsi="Times New Roman" w:cs="Times New Roman"/>
          <w:sz w:val="24"/>
          <w:szCs w:val="24"/>
        </w:rPr>
        <w:t xml:space="preserve"> have proposed the development, e</w:t>
      </w:r>
      <w:r w:rsidR="00B23632">
        <w:rPr>
          <w:rFonts w:ascii="Times New Roman" w:eastAsia="Calibri" w:hAnsi="Times New Roman" w:cs="Times New Roman"/>
          <w:sz w:val="24"/>
          <w:szCs w:val="24"/>
        </w:rPr>
        <w:t xml:space="preserve">nactment and implementation of </w:t>
      </w:r>
      <w:r w:rsidR="00B7077E">
        <w:rPr>
          <w:rFonts w:ascii="Times New Roman" w:eastAsia="Calibri" w:hAnsi="Times New Roman" w:cs="Times New Roman"/>
          <w:sz w:val="24"/>
          <w:szCs w:val="24"/>
        </w:rPr>
        <w:t>vaccination p</w:t>
      </w:r>
      <w:r w:rsidR="00B7077E">
        <w:rPr>
          <w:rFonts w:ascii="Times New Roman" w:eastAsia="Calibri" w:hAnsi="Times New Roman" w:cs="Times New Roman"/>
          <w:sz w:val="24"/>
          <w:szCs w:val="24"/>
        </w:rPr>
        <w:t>olicy</w:t>
      </w:r>
      <w:r w:rsidR="00857C31">
        <w:rPr>
          <w:rFonts w:ascii="Times New Roman" w:eastAsia="Calibri" w:hAnsi="Times New Roman" w:cs="Times New Roman"/>
          <w:sz w:val="24"/>
          <w:szCs w:val="24"/>
        </w:rPr>
        <w:t>, and/or policies, related</w:t>
      </w:r>
      <w:r w:rsidR="00B7077E">
        <w:rPr>
          <w:rFonts w:ascii="Times New Roman" w:eastAsia="Calibri" w:hAnsi="Times New Roman" w:cs="Times New Roman"/>
          <w:sz w:val="24"/>
          <w:szCs w:val="24"/>
        </w:rPr>
        <w:t xml:space="preserve"> to school e</w:t>
      </w:r>
      <w:r w:rsidR="00B23632">
        <w:rPr>
          <w:rFonts w:ascii="Times New Roman" w:eastAsia="Calibri" w:hAnsi="Times New Roman" w:cs="Times New Roman"/>
          <w:sz w:val="24"/>
          <w:szCs w:val="24"/>
        </w:rPr>
        <w:t xml:space="preserve">ntry as a means to ensuring adequate uptake of routine immunization, as well as improved immunization completion, and optimum routine immunization coverage rates. </w:t>
      </w:r>
      <w:r w:rsidR="00857C31">
        <w:rPr>
          <w:rFonts w:ascii="Times New Roman" w:eastAsia="Calibri" w:hAnsi="Times New Roman" w:cs="Times New Roman"/>
          <w:sz w:val="24"/>
          <w:szCs w:val="24"/>
        </w:rPr>
        <w:t>The primal thrust being that all eligible children should be fully vaccinated (as of date) prior to admission i</w:t>
      </w:r>
      <w:r w:rsidR="00D7493B">
        <w:rPr>
          <w:rFonts w:ascii="Times New Roman" w:eastAsia="Calibri" w:hAnsi="Times New Roman" w:cs="Times New Roman"/>
          <w:sz w:val="24"/>
          <w:szCs w:val="24"/>
        </w:rPr>
        <w:t>nto any educational institution, as appropriate and recommended for age (Moss et al, 2016; Larson et al, 2024).</w:t>
      </w:r>
    </w:p>
    <w:p w14:paraId="585B8145" w14:textId="147F23BC" w:rsidR="00220FAB" w:rsidRDefault="00220FAB" w:rsidP="003264B3">
      <w:pPr>
        <w:spacing w:after="100" w:line="360" w:lineRule="auto"/>
        <w:jc w:val="both"/>
        <w:rPr>
          <w:rFonts w:ascii="Times New Roman" w:eastAsia="Calibri" w:hAnsi="Times New Roman" w:cs="Times New Roman"/>
          <w:b/>
          <w:sz w:val="24"/>
          <w:szCs w:val="24"/>
        </w:rPr>
      </w:pPr>
      <w:r w:rsidRPr="00220FAB">
        <w:rPr>
          <w:rFonts w:ascii="Times New Roman" w:eastAsia="Calibri" w:hAnsi="Times New Roman" w:cs="Times New Roman"/>
          <w:b/>
          <w:sz w:val="24"/>
          <w:szCs w:val="24"/>
        </w:rPr>
        <w:t>The redoubt</w:t>
      </w:r>
    </w:p>
    <w:p w14:paraId="2505D072" w14:textId="0091D33D" w:rsidR="003C4CA9" w:rsidRDefault="00D7493B" w:rsidP="003264B3">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Lastly, whereas m</w:t>
      </w:r>
      <w:r w:rsidR="003C4CA9">
        <w:rPr>
          <w:rFonts w:ascii="Times New Roman" w:hAnsi="Times New Roman" w:cs="Times New Roman"/>
          <w:sz w:val="24"/>
          <w:szCs w:val="24"/>
        </w:rPr>
        <w:t xml:space="preserve">issed opportunities for vaccination </w:t>
      </w:r>
      <w:r>
        <w:rPr>
          <w:rFonts w:ascii="Times New Roman" w:hAnsi="Times New Roman" w:cs="Times New Roman"/>
          <w:sz w:val="24"/>
          <w:szCs w:val="24"/>
        </w:rPr>
        <w:t xml:space="preserve">(MOV’s) </w:t>
      </w:r>
      <w:r w:rsidR="003C4CA9">
        <w:rPr>
          <w:rFonts w:ascii="Times New Roman" w:hAnsi="Times New Roman" w:cs="Times New Roman"/>
          <w:sz w:val="24"/>
          <w:szCs w:val="24"/>
        </w:rPr>
        <w:t>are quite common and are principally considered to be significant in the, often undulating, relationship between immuniza</w:t>
      </w:r>
      <w:r>
        <w:rPr>
          <w:rFonts w:ascii="Times New Roman" w:hAnsi="Times New Roman" w:cs="Times New Roman"/>
          <w:sz w:val="24"/>
          <w:szCs w:val="24"/>
        </w:rPr>
        <w:t xml:space="preserve">tion uptake and completion, second year of life immunization (2YL) </w:t>
      </w:r>
      <w:r w:rsidR="00693337">
        <w:rPr>
          <w:rFonts w:ascii="Times New Roman" w:hAnsi="Times New Roman" w:cs="Times New Roman"/>
          <w:sz w:val="24"/>
          <w:szCs w:val="24"/>
        </w:rPr>
        <w:t>gives ample opportunity for optimizing immunization coverage and outcomes in eligible children</w:t>
      </w:r>
      <w:r>
        <w:rPr>
          <w:rFonts w:ascii="Times New Roman" w:hAnsi="Times New Roman" w:cs="Times New Roman"/>
          <w:sz w:val="24"/>
          <w:szCs w:val="24"/>
        </w:rPr>
        <w:t xml:space="preserve">, and </w:t>
      </w:r>
      <w:r w:rsidR="00722832">
        <w:rPr>
          <w:rFonts w:ascii="Times New Roman" w:hAnsi="Times New Roman" w:cs="Times New Roman"/>
          <w:sz w:val="24"/>
          <w:szCs w:val="24"/>
        </w:rPr>
        <w:t>that vaccine hesitancy, immunization default, vaccination dropout, and the need for caregivers to avail themselves of the opportunity for vaccination of their wards with relevant vaccine antigens</w:t>
      </w:r>
      <w:r w:rsidR="00CA4588">
        <w:rPr>
          <w:rFonts w:ascii="Times New Roman" w:hAnsi="Times New Roman" w:cs="Times New Roman"/>
          <w:sz w:val="24"/>
          <w:szCs w:val="24"/>
        </w:rPr>
        <w:t>, play significant roles in the negative a</w:t>
      </w:r>
      <w:r w:rsidR="005D6716">
        <w:rPr>
          <w:rFonts w:ascii="Times New Roman" w:hAnsi="Times New Roman" w:cs="Times New Roman"/>
          <w:sz w:val="24"/>
          <w:szCs w:val="24"/>
        </w:rPr>
        <w:t>nd positive outcomes, thereof. However, t</w:t>
      </w:r>
      <w:r w:rsidR="00CA4588">
        <w:rPr>
          <w:rFonts w:ascii="Times New Roman" w:hAnsi="Times New Roman" w:cs="Times New Roman"/>
          <w:sz w:val="24"/>
          <w:szCs w:val="24"/>
        </w:rPr>
        <w:t>he concept of 2YL further complicates the picture through the introduction of new vaccines whilst simultaneously extending the time frame within which immunization can be completed. Thus, whereas the introduction of new vaccines within 2YL improves and increases the range of primary protection, it further deepens the conflict of interest among caregivers concerning immunization.</w:t>
      </w:r>
    </w:p>
    <w:p w14:paraId="6C8A8DB4" w14:textId="089F502A" w:rsidR="003264B3" w:rsidRPr="003264B3" w:rsidRDefault="005D6716" w:rsidP="003264B3">
      <w:pPr>
        <w:spacing w:after="100" w:line="360" w:lineRule="auto"/>
        <w:jc w:val="both"/>
        <w:rPr>
          <w:rFonts w:ascii="Times New Roman" w:eastAsia="Calibri" w:hAnsi="Times New Roman" w:cs="Times New Roman"/>
          <w:b/>
          <w:sz w:val="24"/>
          <w:szCs w:val="24"/>
        </w:rPr>
      </w:pPr>
      <w:r>
        <w:rPr>
          <w:rFonts w:ascii="Times New Roman" w:hAnsi="Times New Roman" w:cs="Times New Roman"/>
          <w:sz w:val="24"/>
          <w:szCs w:val="24"/>
        </w:rPr>
        <w:t>Furthermore, whereas h</w:t>
      </w:r>
      <w:r w:rsidR="00CD6D0F" w:rsidRPr="006C41D9">
        <w:rPr>
          <w:rFonts w:ascii="Times New Roman" w:hAnsi="Times New Roman" w:cs="Times New Roman"/>
          <w:sz w:val="24"/>
          <w:szCs w:val="24"/>
        </w:rPr>
        <w:t>igher-income households may have better access to healthcare services, media, and educational resources that promote health awareness</w:t>
      </w:r>
      <w:r>
        <w:rPr>
          <w:rFonts w:ascii="Times New Roman" w:hAnsi="Times New Roman" w:cs="Times New Roman"/>
          <w:sz w:val="24"/>
          <w:szCs w:val="24"/>
        </w:rPr>
        <w:t xml:space="preserve"> and decision modeling, the </w:t>
      </w:r>
      <w:r>
        <w:rPr>
          <w:rFonts w:ascii="Times New Roman" w:hAnsi="Times New Roman" w:cs="Times New Roman"/>
          <w:sz w:val="24"/>
          <w:szCs w:val="24"/>
        </w:rPr>
        <w:lastRenderedPageBreak/>
        <w:t xml:space="preserve">myriad inequities in the distribution, </w:t>
      </w:r>
      <w:r w:rsidR="004462D7">
        <w:rPr>
          <w:rFonts w:ascii="Times New Roman" w:hAnsi="Times New Roman" w:cs="Times New Roman"/>
          <w:sz w:val="24"/>
          <w:szCs w:val="24"/>
        </w:rPr>
        <w:t>delivery, access</w:t>
      </w:r>
      <w:r>
        <w:rPr>
          <w:rFonts w:ascii="Times New Roman" w:hAnsi="Times New Roman" w:cs="Times New Roman"/>
          <w:sz w:val="24"/>
          <w:szCs w:val="24"/>
        </w:rPr>
        <w:t>, and utilization of immunization se</w:t>
      </w:r>
      <w:r w:rsidR="000E7DF4">
        <w:rPr>
          <w:rFonts w:ascii="Times New Roman" w:hAnsi="Times New Roman" w:cs="Times New Roman"/>
          <w:sz w:val="24"/>
          <w:szCs w:val="24"/>
        </w:rPr>
        <w:t>rvices, in this clime, simply makes achieving set goals quite difficult and engaging. Therefore, simply earning above the poverty line does not summarily translate to being able to afford and ensure full and complete immunization of eligible children under any given caregiver a guaranteed outcome.</w:t>
      </w:r>
    </w:p>
    <w:p w14:paraId="22ADD74B" w14:textId="77777777" w:rsidR="00C133C2" w:rsidRPr="003F6318" w:rsidRDefault="00C133C2" w:rsidP="00C133C2">
      <w:pPr>
        <w:spacing w:line="360" w:lineRule="auto"/>
        <w:rPr>
          <w:rFonts w:ascii="Times New Roman" w:hAnsi="Times New Roman" w:cs="Times New Roman"/>
          <w:b/>
          <w:sz w:val="24"/>
          <w:szCs w:val="24"/>
          <w:u w:val="single"/>
        </w:rPr>
      </w:pPr>
      <w:r w:rsidRPr="003F6318">
        <w:rPr>
          <w:rFonts w:ascii="Times New Roman" w:hAnsi="Times New Roman" w:cs="Times New Roman"/>
          <w:b/>
          <w:sz w:val="24"/>
          <w:szCs w:val="24"/>
          <w:u w:val="single"/>
        </w:rPr>
        <w:t>Limitation</w:t>
      </w:r>
      <w:r>
        <w:rPr>
          <w:rFonts w:ascii="Times New Roman" w:hAnsi="Times New Roman" w:cs="Times New Roman"/>
          <w:b/>
          <w:sz w:val="24"/>
          <w:szCs w:val="24"/>
          <w:u w:val="single"/>
        </w:rPr>
        <w:t>s</w:t>
      </w:r>
    </w:p>
    <w:p w14:paraId="02292401" w14:textId="7EFF7BEB" w:rsidR="00C133C2" w:rsidRPr="00032EA0" w:rsidRDefault="00C133C2" w:rsidP="007F3A7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affected by a number of limitations, principal among which were:</w:t>
      </w:r>
    </w:p>
    <w:p w14:paraId="7F56DFF9" w14:textId="77777777" w:rsidR="00C133C2" w:rsidRDefault="00C133C2" w:rsidP="007F3A7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data for the study was subject to recall bias.</w:t>
      </w:r>
    </w:p>
    <w:p w14:paraId="42DB5AB5" w14:textId="77777777" w:rsidR="00C133C2" w:rsidRDefault="00C133C2" w:rsidP="007F3A7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Any possible causes affecting uptake were probably subjective as the recipients of the vaccine were not involved in decision making concerning uptake of the vaccine.</w:t>
      </w:r>
    </w:p>
    <w:p w14:paraId="4CE25A45" w14:textId="5342BB13" w:rsidR="00C133C2" w:rsidRPr="007F3A78" w:rsidRDefault="00C133C2" w:rsidP="007F3A7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subject of heterogeneity is circumspect as the sample size is considerably small to effect such a conclusion.</w:t>
      </w:r>
    </w:p>
    <w:p w14:paraId="048D8712" w14:textId="77777777" w:rsidR="00C133C2" w:rsidRPr="0054195D" w:rsidRDefault="00C133C2" w:rsidP="007F3A78">
      <w:pPr>
        <w:spacing w:line="360" w:lineRule="auto"/>
        <w:outlineLvl w:val="0"/>
        <w:rPr>
          <w:rFonts w:ascii="Times New Roman" w:hAnsi="Times New Roman" w:cs="Times New Roman"/>
          <w:b/>
          <w:sz w:val="24"/>
          <w:szCs w:val="24"/>
          <w:u w:val="single"/>
        </w:rPr>
      </w:pPr>
      <w:r w:rsidRPr="0054195D">
        <w:rPr>
          <w:rFonts w:ascii="Times New Roman" w:hAnsi="Times New Roman" w:cs="Times New Roman"/>
          <w:b/>
          <w:sz w:val="24"/>
          <w:szCs w:val="24"/>
          <w:u w:val="single"/>
        </w:rPr>
        <w:t>Conclusion and Recommendations</w:t>
      </w:r>
    </w:p>
    <w:p w14:paraId="448362DA" w14:textId="7FD9A829" w:rsidR="00C133C2" w:rsidRPr="00DF0672" w:rsidRDefault="00C133C2" w:rsidP="007F3A78">
      <w:pPr>
        <w:spacing w:line="360" w:lineRule="auto"/>
        <w:jc w:val="both"/>
        <w:rPr>
          <w:sz w:val="24"/>
          <w:szCs w:val="24"/>
        </w:rPr>
      </w:pPr>
      <w:r w:rsidRPr="00DF0672">
        <w:rPr>
          <w:rFonts w:ascii="Times New Roman" w:hAnsi="Times New Roman" w:cs="Times New Roman"/>
          <w:sz w:val="24"/>
          <w:szCs w:val="24"/>
        </w:rPr>
        <w:t>The aforementioned limitations, notwithstanding, we submit that the findings of</w:t>
      </w:r>
      <w:r w:rsidR="007F3A78">
        <w:rPr>
          <w:rFonts w:ascii="Times New Roman" w:hAnsi="Times New Roman" w:cs="Times New Roman"/>
          <w:sz w:val="24"/>
          <w:szCs w:val="24"/>
        </w:rPr>
        <w:t xml:space="preserve"> this study </w:t>
      </w:r>
      <w:r w:rsidR="00CA7F67">
        <w:rPr>
          <w:rFonts w:ascii="Times New Roman" w:hAnsi="Times New Roman" w:cs="Times New Roman"/>
          <w:sz w:val="24"/>
          <w:szCs w:val="24"/>
        </w:rPr>
        <w:t xml:space="preserve">emphasize the importance of 2YL as a significant panacea to complete immunization of children aged under </w:t>
      </w:r>
      <w:r w:rsidR="00B169D2">
        <w:rPr>
          <w:rFonts w:ascii="Times New Roman" w:hAnsi="Times New Roman" w:cs="Times New Roman"/>
          <w:sz w:val="24"/>
          <w:szCs w:val="24"/>
        </w:rPr>
        <w:t xml:space="preserve">two years. We further posit that the findings </w:t>
      </w:r>
      <w:r w:rsidR="007F3A78">
        <w:rPr>
          <w:rFonts w:ascii="Times New Roman" w:hAnsi="Times New Roman" w:cs="Times New Roman"/>
          <w:sz w:val="24"/>
          <w:szCs w:val="24"/>
        </w:rPr>
        <w:t>can support the develop</w:t>
      </w:r>
      <w:r w:rsidRPr="00DF0672">
        <w:rPr>
          <w:rFonts w:ascii="Times New Roman" w:hAnsi="Times New Roman" w:cs="Times New Roman"/>
          <w:sz w:val="24"/>
          <w:szCs w:val="24"/>
        </w:rPr>
        <w:t>ment and implement</w:t>
      </w:r>
      <w:r w:rsidR="007F3A78">
        <w:rPr>
          <w:rFonts w:ascii="Times New Roman" w:hAnsi="Times New Roman" w:cs="Times New Roman"/>
          <w:sz w:val="24"/>
          <w:szCs w:val="24"/>
        </w:rPr>
        <w:t>ation of actionable</w:t>
      </w:r>
      <w:r w:rsidRPr="00DF0672">
        <w:rPr>
          <w:rFonts w:ascii="Times New Roman" w:hAnsi="Times New Roman" w:cs="Times New Roman"/>
          <w:sz w:val="24"/>
          <w:szCs w:val="24"/>
        </w:rPr>
        <w:t xml:space="preserve"> programs for the vaccination of target group</w:t>
      </w:r>
      <w:r w:rsidR="007F3A78">
        <w:rPr>
          <w:rFonts w:ascii="Times New Roman" w:hAnsi="Times New Roman" w:cs="Times New Roman"/>
          <w:sz w:val="24"/>
          <w:szCs w:val="24"/>
        </w:rPr>
        <w:t>s with a view to shoring up routine immunization completion rates</w:t>
      </w:r>
      <w:r w:rsidRPr="00DF0672">
        <w:rPr>
          <w:rFonts w:ascii="Times New Roman" w:hAnsi="Times New Roman" w:cs="Times New Roman"/>
          <w:sz w:val="24"/>
          <w:szCs w:val="24"/>
        </w:rPr>
        <w:t xml:space="preserve">, </w:t>
      </w:r>
      <w:r w:rsidR="007F3A78">
        <w:rPr>
          <w:rFonts w:ascii="Times New Roman" w:hAnsi="Times New Roman" w:cs="Times New Roman"/>
          <w:sz w:val="24"/>
          <w:szCs w:val="24"/>
        </w:rPr>
        <w:t>in the short</w:t>
      </w:r>
      <w:r w:rsidR="00CA7F67">
        <w:rPr>
          <w:rFonts w:ascii="Times New Roman" w:hAnsi="Times New Roman" w:cs="Times New Roman"/>
          <w:sz w:val="24"/>
          <w:szCs w:val="24"/>
        </w:rPr>
        <w:t>,</w:t>
      </w:r>
      <w:r w:rsidR="007F3A78">
        <w:rPr>
          <w:rFonts w:ascii="Times New Roman" w:hAnsi="Times New Roman" w:cs="Times New Roman"/>
          <w:sz w:val="24"/>
          <w:szCs w:val="24"/>
        </w:rPr>
        <w:t xml:space="preserve"> medium and long terms</w:t>
      </w:r>
      <w:r w:rsidR="00CA7F67">
        <w:rPr>
          <w:rFonts w:ascii="Times New Roman" w:hAnsi="Times New Roman" w:cs="Times New Roman"/>
          <w:sz w:val="24"/>
          <w:szCs w:val="24"/>
        </w:rPr>
        <w:t>, as well as give impetus for the development and operationalization of relevant, niche specific financing mechanisms for routine immunization, in this clime</w:t>
      </w:r>
      <w:r w:rsidRPr="00DF0672">
        <w:rPr>
          <w:rFonts w:ascii="Times New Roman" w:hAnsi="Times New Roman" w:cs="Times New Roman"/>
          <w:sz w:val="24"/>
          <w:szCs w:val="24"/>
        </w:rPr>
        <w:t xml:space="preserve">. </w:t>
      </w:r>
    </w:p>
    <w:p w14:paraId="7F743090" w14:textId="77777777" w:rsidR="00C133C2" w:rsidRPr="00DF0672" w:rsidRDefault="00C133C2" w:rsidP="007F3A78">
      <w:pPr>
        <w:spacing w:line="360" w:lineRule="auto"/>
        <w:outlineLvl w:val="0"/>
        <w:rPr>
          <w:rFonts w:ascii="Times New Roman" w:hAnsi="Times New Roman" w:cs="Times New Roman"/>
          <w:b/>
          <w:sz w:val="24"/>
          <w:szCs w:val="24"/>
          <w:u w:val="single"/>
        </w:rPr>
      </w:pPr>
      <w:r w:rsidRPr="00DF0672">
        <w:rPr>
          <w:rFonts w:ascii="Times New Roman" w:hAnsi="Times New Roman" w:cs="Times New Roman"/>
          <w:b/>
          <w:sz w:val="24"/>
          <w:szCs w:val="24"/>
          <w:u w:val="single"/>
        </w:rPr>
        <w:t>Declaration of competing interests</w:t>
      </w:r>
    </w:p>
    <w:p w14:paraId="541D0D26" w14:textId="2C24B3AB" w:rsidR="00B169D2" w:rsidRDefault="00C133C2" w:rsidP="007F3A78">
      <w:pPr>
        <w:spacing w:line="360" w:lineRule="auto"/>
        <w:jc w:val="both"/>
        <w:rPr>
          <w:rFonts w:ascii="Times New Roman" w:hAnsi="Times New Roman" w:cs="Times New Roman"/>
          <w:sz w:val="24"/>
          <w:szCs w:val="24"/>
        </w:rPr>
      </w:pPr>
      <w:r w:rsidRPr="00DF0672">
        <w:rPr>
          <w:rFonts w:ascii="Times New Roman" w:hAnsi="Times New Roman" w:cs="Times New Roman"/>
          <w:sz w:val="24"/>
          <w:szCs w:val="24"/>
        </w:rPr>
        <w:t>The authors declare that there are no competing interests, of any nature, that ha</w:t>
      </w:r>
      <w:r>
        <w:rPr>
          <w:rFonts w:ascii="Times New Roman" w:hAnsi="Times New Roman" w:cs="Times New Roman"/>
          <w:sz w:val="24"/>
          <w:szCs w:val="24"/>
        </w:rPr>
        <w:t>ve influenced</w:t>
      </w:r>
      <w:r w:rsidRPr="00DF0672">
        <w:rPr>
          <w:rFonts w:ascii="Times New Roman" w:hAnsi="Times New Roman" w:cs="Times New Roman"/>
          <w:sz w:val="24"/>
          <w:szCs w:val="24"/>
        </w:rPr>
        <w:t xml:space="preserve"> or appeared to influence the findings in this work. Lastly, it is pertinent to note that the declared views ar</w:t>
      </w:r>
      <w:r w:rsidR="007F3A78">
        <w:rPr>
          <w:rFonts w:ascii="Times New Roman" w:hAnsi="Times New Roman" w:cs="Times New Roman"/>
          <w:sz w:val="24"/>
          <w:szCs w:val="24"/>
        </w:rPr>
        <w:t>e entirely those of the authors.</w:t>
      </w:r>
    </w:p>
    <w:p w14:paraId="4A70ABB2" w14:textId="77777777" w:rsidR="00B169D2" w:rsidRDefault="00B169D2" w:rsidP="00B169D2">
      <w:pPr>
        <w:spacing w:after="100" w:line="360" w:lineRule="auto"/>
        <w:jc w:val="both"/>
        <w:rPr>
          <w:rFonts w:ascii="Times New Roman" w:eastAsia="Calibri" w:hAnsi="Times New Roman" w:cs="Times New Roman"/>
          <w:b/>
          <w:sz w:val="24"/>
          <w:szCs w:val="24"/>
          <w:u w:val="single"/>
        </w:rPr>
      </w:pPr>
      <w:r w:rsidRPr="00263B80">
        <w:rPr>
          <w:rFonts w:ascii="Times New Roman" w:eastAsia="Calibri" w:hAnsi="Times New Roman" w:cs="Times New Roman"/>
          <w:b/>
          <w:sz w:val="24"/>
          <w:szCs w:val="24"/>
          <w:u w:val="single"/>
        </w:rPr>
        <w:t>References</w:t>
      </w:r>
    </w:p>
    <w:p w14:paraId="71D92E8D" w14:textId="1F390394" w:rsidR="00B73217" w:rsidRDefault="00B73217" w:rsidP="005A0AB4">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Abdu N, </w:t>
      </w:r>
      <w:proofErr w:type="spellStart"/>
      <w:r>
        <w:rPr>
          <w:rFonts w:ascii="Times New Roman" w:eastAsia="Calibri" w:hAnsi="Times New Roman" w:cs="Times New Roman"/>
          <w:sz w:val="24"/>
          <w:szCs w:val="24"/>
        </w:rPr>
        <w:t>Mosazghi</w:t>
      </w:r>
      <w:proofErr w:type="spellEnd"/>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Yehdego</w:t>
      </w:r>
      <w:proofErr w:type="spellEnd"/>
      <w:r>
        <w:rPr>
          <w:rFonts w:ascii="Times New Roman" w:eastAsia="Calibri" w:hAnsi="Times New Roman" w:cs="Times New Roman"/>
          <w:sz w:val="24"/>
          <w:szCs w:val="24"/>
        </w:rPr>
        <w:t xml:space="preserve"> T, </w:t>
      </w:r>
      <w:proofErr w:type="spellStart"/>
      <w:r>
        <w:rPr>
          <w:rFonts w:ascii="Times New Roman" w:eastAsia="Calibri" w:hAnsi="Times New Roman" w:cs="Times New Roman"/>
          <w:sz w:val="24"/>
          <w:szCs w:val="24"/>
        </w:rPr>
        <w:t>Tesfamariam</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EH,</w:t>
      </w:r>
      <w:r w:rsidR="00CE428D">
        <w:rPr>
          <w:rFonts w:ascii="Times New Roman" w:eastAsia="Calibri" w:hAnsi="Times New Roman" w:cs="Times New Roman"/>
          <w:sz w:val="24"/>
          <w:szCs w:val="24"/>
        </w:rPr>
        <w:t>Russom</w:t>
      </w:r>
      <w:proofErr w:type="spellEnd"/>
      <w:proofErr w:type="gramEnd"/>
      <w:r w:rsidR="00CE428D">
        <w:rPr>
          <w:rFonts w:ascii="Times New Roman" w:eastAsia="Calibri" w:hAnsi="Times New Roman" w:cs="Times New Roman"/>
          <w:sz w:val="24"/>
          <w:szCs w:val="24"/>
        </w:rPr>
        <w:t xml:space="preserve"> M. (2022). Knowledge and perceptions of nurse practitioners on adverse events following immunization and barriers to reporting in the Central Region, Eritrea: a cross-sectional study. Drug Healthcare Patient Safety; 14: 125-34.</w:t>
      </w:r>
    </w:p>
    <w:p w14:paraId="246782DE" w14:textId="6CD57942" w:rsidR="00AA5912" w:rsidRPr="00C87F8E" w:rsidRDefault="00AA5912" w:rsidP="00C87F8E">
      <w:pPr>
        <w:numPr>
          <w:ilvl w:val="0"/>
          <w:numId w:val="1"/>
        </w:numPr>
        <w:spacing w:after="200" w:line="360" w:lineRule="auto"/>
        <w:contextualSpacing/>
        <w:jc w:val="both"/>
        <w:rPr>
          <w:rFonts w:ascii="Times New Roman" w:eastAsia="Calibri" w:hAnsi="Times New Roman" w:cs="Times New Roman"/>
          <w:sz w:val="24"/>
          <w:szCs w:val="24"/>
        </w:rPr>
      </w:pPr>
      <w:proofErr w:type="spellStart"/>
      <w:r w:rsidRPr="00C87F8E">
        <w:rPr>
          <w:rFonts w:ascii="Times New Roman" w:eastAsia="Calibri" w:hAnsi="Times New Roman" w:cs="Times New Roman"/>
          <w:sz w:val="24"/>
          <w:szCs w:val="24"/>
        </w:rPr>
        <w:lastRenderedPageBreak/>
        <w:t>Biset</w:t>
      </w:r>
      <w:proofErr w:type="spellEnd"/>
      <w:r w:rsidRPr="00C87F8E">
        <w:rPr>
          <w:rFonts w:ascii="Times New Roman" w:eastAsia="Calibri" w:hAnsi="Times New Roman" w:cs="Times New Roman"/>
          <w:sz w:val="24"/>
          <w:szCs w:val="24"/>
        </w:rPr>
        <w:t xml:space="preserve"> G, </w:t>
      </w:r>
      <w:proofErr w:type="spellStart"/>
      <w:r w:rsidRPr="00C87F8E">
        <w:rPr>
          <w:rFonts w:ascii="Times New Roman" w:eastAsia="Calibri" w:hAnsi="Times New Roman" w:cs="Times New Roman"/>
          <w:sz w:val="24"/>
          <w:szCs w:val="24"/>
        </w:rPr>
        <w:t>Woday</w:t>
      </w:r>
      <w:proofErr w:type="spellEnd"/>
      <w:r w:rsidRPr="00C87F8E">
        <w:rPr>
          <w:rFonts w:ascii="Times New Roman" w:eastAsia="Calibri" w:hAnsi="Times New Roman" w:cs="Times New Roman"/>
          <w:sz w:val="24"/>
          <w:szCs w:val="24"/>
        </w:rPr>
        <w:t xml:space="preserve"> A, </w:t>
      </w:r>
      <w:proofErr w:type="spellStart"/>
      <w:r w:rsidRPr="00C87F8E">
        <w:rPr>
          <w:rFonts w:ascii="Times New Roman" w:eastAsia="Calibri" w:hAnsi="Times New Roman" w:cs="Times New Roman"/>
          <w:sz w:val="24"/>
          <w:szCs w:val="24"/>
        </w:rPr>
        <w:t>Mihret</w:t>
      </w:r>
      <w:proofErr w:type="spellEnd"/>
      <w:r w:rsidRPr="00C87F8E">
        <w:rPr>
          <w:rFonts w:ascii="Times New Roman" w:eastAsia="Calibri" w:hAnsi="Times New Roman" w:cs="Times New Roman"/>
          <w:sz w:val="24"/>
          <w:szCs w:val="24"/>
        </w:rPr>
        <w:t xml:space="preserve"> S, </w:t>
      </w:r>
      <w:proofErr w:type="spellStart"/>
      <w:r w:rsidRPr="00C87F8E">
        <w:rPr>
          <w:rFonts w:ascii="Times New Roman" w:eastAsia="Calibri" w:hAnsi="Times New Roman" w:cs="Times New Roman"/>
          <w:sz w:val="24"/>
          <w:szCs w:val="24"/>
        </w:rPr>
        <w:t>Tsihay</w:t>
      </w:r>
      <w:proofErr w:type="spellEnd"/>
      <w:r w:rsidRPr="00C87F8E">
        <w:rPr>
          <w:rFonts w:ascii="Times New Roman" w:eastAsia="Calibri" w:hAnsi="Times New Roman" w:cs="Times New Roman"/>
          <w:sz w:val="24"/>
          <w:szCs w:val="24"/>
        </w:rPr>
        <w:t xml:space="preserve"> N (2021) Full immunization coverage and associated factors among children age 12 – 23 months in Ethiopia: systematic review and meta-analysis of observational studies</w:t>
      </w:r>
      <w:r w:rsidR="001D00B9" w:rsidRPr="00C87F8E">
        <w:rPr>
          <w:rFonts w:ascii="Times New Roman" w:eastAsia="Calibri" w:hAnsi="Times New Roman" w:cs="Times New Roman"/>
          <w:sz w:val="24"/>
          <w:szCs w:val="24"/>
        </w:rPr>
        <w:t xml:space="preserve">. Human vaccines and immunotherapies; 17(7): 2326 – 2335. </w:t>
      </w:r>
      <w:hyperlink r:id="rId10" w:history="1">
        <w:r w:rsidR="001D00B9" w:rsidRPr="00C87F8E">
          <w:rPr>
            <w:rStyle w:val="Hyperlink"/>
            <w:rFonts w:ascii="Times New Roman" w:eastAsia="Calibri" w:hAnsi="Times New Roman" w:cs="Times New Roman"/>
            <w:sz w:val="24"/>
            <w:szCs w:val="24"/>
          </w:rPr>
          <w:t>https://doi.org/10.1080/21645515.2020.1870392</w:t>
        </w:r>
      </w:hyperlink>
      <w:r w:rsidR="001D00B9" w:rsidRPr="00C87F8E">
        <w:rPr>
          <w:rFonts w:ascii="Times New Roman" w:eastAsia="Calibri" w:hAnsi="Times New Roman" w:cs="Times New Roman"/>
          <w:sz w:val="24"/>
          <w:szCs w:val="24"/>
        </w:rPr>
        <w:t xml:space="preserve">. </w:t>
      </w:r>
    </w:p>
    <w:p w14:paraId="7E46F180" w14:textId="3382B132" w:rsidR="00CE428D" w:rsidRPr="00C87F8E" w:rsidRDefault="00CE428D" w:rsidP="00C87F8E">
      <w:pPr>
        <w:widowControl w:val="0"/>
        <w:numPr>
          <w:ilvl w:val="0"/>
          <w:numId w:val="1"/>
        </w:numPr>
        <w:tabs>
          <w:tab w:val="left" w:pos="220"/>
          <w:tab w:val="left" w:pos="720"/>
        </w:tabs>
        <w:autoSpaceDE w:val="0"/>
        <w:autoSpaceDN w:val="0"/>
        <w:adjustRightInd w:val="0"/>
        <w:spacing w:after="213" w:line="360" w:lineRule="auto"/>
        <w:jc w:val="both"/>
        <w:rPr>
          <w:rFonts w:ascii="Times New Roman" w:eastAsiaTheme="minorHAnsi" w:hAnsi="Times New Roman" w:cs="Times New Roman"/>
          <w:color w:val="000000"/>
          <w:sz w:val="24"/>
          <w:szCs w:val="24"/>
          <w:lang w:val="en-GB" w:eastAsia="en-US"/>
        </w:rPr>
      </w:pPr>
      <w:r w:rsidRPr="00C87F8E">
        <w:rPr>
          <w:rFonts w:ascii="Times New Roman" w:eastAsiaTheme="minorHAnsi" w:hAnsi="Times New Roman" w:cs="Times New Roman"/>
          <w:color w:val="000000"/>
          <w:sz w:val="24"/>
          <w:szCs w:val="24"/>
          <w:lang w:val="en-GB" w:eastAsia="en-US"/>
        </w:rPr>
        <w:t xml:space="preserve">Butt M, Mohammed R, Butt E, Butt S, Xiang J. (2020). Why have immunization efforts in Pakistan Failed to achieve global standards of vaccination uptake and infectious disease </w:t>
      </w:r>
      <w:r w:rsidR="00C87F8E" w:rsidRPr="00C87F8E">
        <w:rPr>
          <w:rFonts w:ascii="Times New Roman" w:eastAsiaTheme="minorHAnsi" w:hAnsi="Times New Roman" w:cs="Times New Roman"/>
          <w:color w:val="000000"/>
          <w:sz w:val="24"/>
          <w:szCs w:val="24"/>
          <w:lang w:val="en-GB" w:eastAsia="en-US"/>
        </w:rPr>
        <w:t>control? Risk Management Healthcare Policy.; 13: 111 -24.</w:t>
      </w:r>
    </w:p>
    <w:p w14:paraId="76705B82" w14:textId="6D520DE8" w:rsidR="005A0AB4" w:rsidRPr="00C87F8E" w:rsidRDefault="005A0AB4" w:rsidP="00C87F8E">
      <w:pPr>
        <w:widowControl w:val="0"/>
        <w:numPr>
          <w:ilvl w:val="0"/>
          <w:numId w:val="1"/>
        </w:numPr>
        <w:tabs>
          <w:tab w:val="left" w:pos="220"/>
          <w:tab w:val="left" w:pos="720"/>
        </w:tabs>
        <w:autoSpaceDE w:val="0"/>
        <w:autoSpaceDN w:val="0"/>
        <w:adjustRightInd w:val="0"/>
        <w:spacing w:after="213" w:line="360" w:lineRule="auto"/>
        <w:jc w:val="both"/>
        <w:rPr>
          <w:rFonts w:ascii="Times New Roman" w:eastAsiaTheme="minorHAnsi" w:hAnsi="Times New Roman" w:cs="Times New Roman"/>
          <w:color w:val="000000"/>
          <w:sz w:val="24"/>
          <w:szCs w:val="24"/>
          <w:lang w:val="en-GB" w:eastAsia="en-US"/>
        </w:rPr>
      </w:pPr>
      <w:proofErr w:type="spellStart"/>
      <w:r w:rsidRPr="00C87F8E">
        <w:rPr>
          <w:rFonts w:ascii="Times New Roman" w:eastAsiaTheme="minorHAnsi" w:hAnsi="Times New Roman" w:cs="Times New Roman"/>
          <w:color w:val="000000"/>
          <w:sz w:val="24"/>
          <w:szCs w:val="24"/>
          <w:lang w:val="en-GB" w:eastAsia="en-US"/>
        </w:rPr>
        <w:t>Girmay</w:t>
      </w:r>
      <w:proofErr w:type="spellEnd"/>
      <w:r w:rsidRPr="00C87F8E">
        <w:rPr>
          <w:rFonts w:ascii="Times New Roman" w:eastAsiaTheme="minorHAnsi" w:hAnsi="Times New Roman" w:cs="Times New Roman"/>
          <w:color w:val="000000"/>
          <w:sz w:val="24"/>
          <w:szCs w:val="24"/>
          <w:lang w:val="en-GB" w:eastAsia="en-US"/>
        </w:rPr>
        <w:t xml:space="preserve"> A, </w:t>
      </w:r>
      <w:proofErr w:type="spellStart"/>
      <w:r w:rsidRPr="00C87F8E">
        <w:rPr>
          <w:rFonts w:ascii="Times New Roman" w:eastAsiaTheme="minorHAnsi" w:hAnsi="Times New Roman" w:cs="Times New Roman"/>
          <w:color w:val="000000"/>
          <w:sz w:val="24"/>
          <w:szCs w:val="24"/>
          <w:lang w:val="en-GB" w:eastAsia="en-US"/>
        </w:rPr>
        <w:t>Dadi</w:t>
      </w:r>
      <w:proofErr w:type="spellEnd"/>
      <w:r w:rsidRPr="00C87F8E">
        <w:rPr>
          <w:rFonts w:ascii="Times New Roman" w:eastAsiaTheme="minorHAnsi" w:hAnsi="Times New Roman" w:cs="Times New Roman"/>
          <w:color w:val="000000"/>
          <w:sz w:val="24"/>
          <w:szCs w:val="24"/>
          <w:lang w:val="en-GB" w:eastAsia="en-US"/>
        </w:rPr>
        <w:t xml:space="preserve"> AF (2019). Full immunization coverage and associated factors among children aged 12-23 months in the hard-to-reach areas of Ethiopia. International Journal of Pediatrics;2019. doi:</w:t>
      </w:r>
      <w:r w:rsidRPr="00C87F8E">
        <w:rPr>
          <w:rFonts w:ascii="Times New Roman" w:eastAsiaTheme="minorHAnsi" w:hAnsi="Times New Roman" w:cs="Times New Roman"/>
          <w:color w:val="00006D"/>
          <w:sz w:val="24"/>
          <w:szCs w:val="24"/>
          <w:lang w:val="en-GB" w:eastAsia="en-US"/>
        </w:rPr>
        <w:t>10.1155/2019/ 1924941</w:t>
      </w:r>
      <w:r w:rsidRPr="00C87F8E">
        <w:rPr>
          <w:rFonts w:ascii="Times New Roman" w:eastAsiaTheme="minorHAnsi" w:hAnsi="Times New Roman" w:cs="Times New Roman"/>
          <w:color w:val="000000"/>
          <w:sz w:val="24"/>
          <w:szCs w:val="24"/>
          <w:lang w:val="en-GB" w:eastAsia="en-US"/>
        </w:rPr>
        <w:t xml:space="preserve">. </w:t>
      </w:r>
      <w:r w:rsidRPr="00C87F8E">
        <w:rPr>
          <w:rFonts w:ascii="MS Mincho" w:eastAsia="MS Mincho" w:hAnsi="MS Mincho" w:cs="MS Mincho"/>
          <w:color w:val="000000"/>
          <w:sz w:val="24"/>
          <w:szCs w:val="24"/>
          <w:lang w:val="en-GB" w:eastAsia="en-US"/>
        </w:rPr>
        <w:t> </w:t>
      </w:r>
    </w:p>
    <w:p w14:paraId="31A79C6C" w14:textId="3916C104" w:rsidR="00DD3D0F" w:rsidRDefault="00DD3D0F" w:rsidP="00C87F8E">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Francis MR, </w:t>
      </w:r>
      <w:proofErr w:type="spellStart"/>
      <w:r>
        <w:rPr>
          <w:rFonts w:ascii="Times New Roman" w:eastAsia="Calibri" w:hAnsi="Times New Roman" w:cs="Times New Roman"/>
          <w:sz w:val="24"/>
          <w:szCs w:val="24"/>
        </w:rPr>
        <w:t>Nuorti</w:t>
      </w:r>
      <w:proofErr w:type="spellEnd"/>
      <w:r>
        <w:rPr>
          <w:rFonts w:ascii="Times New Roman" w:eastAsia="Calibri" w:hAnsi="Times New Roman" w:cs="Times New Roman"/>
          <w:sz w:val="24"/>
          <w:szCs w:val="24"/>
        </w:rPr>
        <w:t xml:space="preserve"> JP, </w:t>
      </w:r>
      <w:proofErr w:type="spellStart"/>
      <w:r>
        <w:rPr>
          <w:rFonts w:ascii="Times New Roman" w:eastAsia="Calibri" w:hAnsi="Times New Roman" w:cs="Times New Roman"/>
          <w:sz w:val="24"/>
          <w:szCs w:val="24"/>
        </w:rPr>
        <w:t>Lume-Sandt</w:t>
      </w:r>
      <w:proofErr w:type="spellEnd"/>
      <w:r>
        <w:rPr>
          <w:rFonts w:ascii="Times New Roman" w:eastAsia="Calibri" w:hAnsi="Times New Roman" w:cs="Times New Roman"/>
          <w:sz w:val="24"/>
          <w:szCs w:val="24"/>
        </w:rPr>
        <w:t xml:space="preserve"> K, </w:t>
      </w:r>
      <w:proofErr w:type="spellStart"/>
      <w:r>
        <w:rPr>
          <w:rFonts w:ascii="Times New Roman" w:eastAsia="Calibri" w:hAnsi="Times New Roman" w:cs="Times New Roman"/>
          <w:sz w:val="24"/>
          <w:szCs w:val="24"/>
        </w:rPr>
        <w:t>Kompithra</w:t>
      </w:r>
      <w:proofErr w:type="spellEnd"/>
      <w:r>
        <w:rPr>
          <w:rFonts w:ascii="Times New Roman" w:eastAsia="Calibri" w:hAnsi="Times New Roman" w:cs="Times New Roman"/>
          <w:sz w:val="24"/>
          <w:szCs w:val="24"/>
        </w:rPr>
        <w:t xml:space="preserve"> RZ, </w:t>
      </w:r>
      <w:proofErr w:type="spellStart"/>
      <w:r>
        <w:rPr>
          <w:rFonts w:ascii="Times New Roman" w:eastAsia="Calibri" w:hAnsi="Times New Roman" w:cs="Times New Roman"/>
          <w:sz w:val="24"/>
          <w:szCs w:val="24"/>
        </w:rPr>
        <w:t>Balraj</w:t>
      </w:r>
      <w:proofErr w:type="spellEnd"/>
      <w:r>
        <w:rPr>
          <w:rFonts w:ascii="Times New Roman" w:eastAsia="Calibri" w:hAnsi="Times New Roman" w:cs="Times New Roman"/>
          <w:sz w:val="24"/>
          <w:szCs w:val="24"/>
        </w:rPr>
        <w:t xml:space="preserve"> V, Kang G, Mohan VR (2021). Vaccination coverage and the factors influencing routine childhood vaccination up</w:t>
      </w:r>
      <w:r w:rsidR="005A0AB4">
        <w:rPr>
          <w:rFonts w:ascii="Times New Roman" w:eastAsia="Calibri" w:hAnsi="Times New Roman" w:cs="Times New Roman"/>
          <w:sz w:val="24"/>
          <w:szCs w:val="24"/>
        </w:rPr>
        <w:t>t</w:t>
      </w:r>
      <w:r>
        <w:rPr>
          <w:rFonts w:ascii="Times New Roman" w:eastAsia="Calibri" w:hAnsi="Times New Roman" w:cs="Times New Roman"/>
          <w:sz w:val="24"/>
          <w:szCs w:val="24"/>
        </w:rPr>
        <w:t xml:space="preserve">ake among communities experiencing disadvantages in </w:t>
      </w:r>
      <w:proofErr w:type="spellStart"/>
      <w:r>
        <w:rPr>
          <w:rFonts w:ascii="Times New Roman" w:eastAsia="Calibri" w:hAnsi="Times New Roman" w:cs="Times New Roman"/>
          <w:sz w:val="24"/>
          <w:szCs w:val="24"/>
        </w:rPr>
        <w:t>vellore</w:t>
      </w:r>
      <w:proofErr w:type="spellEnd"/>
      <w:r>
        <w:rPr>
          <w:rFonts w:ascii="Times New Roman" w:eastAsia="Calibri" w:hAnsi="Times New Roman" w:cs="Times New Roman"/>
          <w:sz w:val="24"/>
          <w:szCs w:val="24"/>
        </w:rPr>
        <w:t xml:space="preserve">, southern India: a mixed methods study. BMC Public Health; 21: 1807. </w:t>
      </w:r>
      <w:hyperlink r:id="rId11" w:history="1">
        <w:r w:rsidR="005A0AB4" w:rsidRPr="00BD10B7">
          <w:rPr>
            <w:rStyle w:val="Hyperlink"/>
            <w:rFonts w:ascii="Times New Roman" w:eastAsia="Calibri" w:hAnsi="Times New Roman" w:cs="Times New Roman"/>
            <w:sz w:val="24"/>
            <w:szCs w:val="24"/>
          </w:rPr>
          <w:t>https://doi.org/10.1186/s12889-021-1181-8</w:t>
        </w:r>
      </w:hyperlink>
      <w:r w:rsidR="005A0AB4">
        <w:rPr>
          <w:rFonts w:ascii="Times New Roman" w:eastAsia="Calibri" w:hAnsi="Times New Roman" w:cs="Times New Roman"/>
          <w:sz w:val="24"/>
          <w:szCs w:val="24"/>
        </w:rPr>
        <w:t xml:space="preserve">. </w:t>
      </w:r>
    </w:p>
    <w:p w14:paraId="5F77989D" w14:textId="77777777" w:rsidR="00B169D2" w:rsidRPr="00263B80" w:rsidRDefault="00B169D2" w:rsidP="005A0AB4">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Frenkel</w:t>
      </w:r>
      <w:proofErr w:type="spellEnd"/>
      <w:r>
        <w:rPr>
          <w:rFonts w:ascii="Times New Roman" w:eastAsia="Calibri" w:hAnsi="Times New Roman" w:cs="Times New Roman"/>
          <w:sz w:val="24"/>
          <w:szCs w:val="24"/>
        </w:rPr>
        <w:t xml:space="preserve"> LD </w:t>
      </w:r>
      <w:r w:rsidRPr="00772DE3">
        <w:rPr>
          <w:rFonts w:ascii="Times New Roman" w:eastAsia="Calibri" w:hAnsi="Times New Roman" w:cs="Times New Roman"/>
          <w:sz w:val="24"/>
          <w:szCs w:val="24"/>
        </w:rPr>
        <w:t xml:space="preserve">(2018). Infectious diseases as a cause of global childhood mortality and morbidity; Progress in recognition, prevention, and treatment. Advanced Pediatrics Research.5: </w:t>
      </w:r>
      <w:r>
        <w:rPr>
          <w:rFonts w:ascii="Times New Roman" w:eastAsia="Calibri" w:hAnsi="Times New Roman" w:cs="Times New Roman"/>
          <w:sz w:val="24"/>
          <w:szCs w:val="24"/>
        </w:rPr>
        <w:t xml:space="preserve">14. </w:t>
      </w:r>
      <w:proofErr w:type="spellStart"/>
      <w:r>
        <w:rPr>
          <w:rFonts w:ascii="Times New Roman" w:eastAsia="Calibri" w:hAnsi="Times New Roman" w:cs="Times New Roman"/>
          <w:sz w:val="24"/>
          <w:szCs w:val="24"/>
        </w:rPr>
        <w:t>Doi</w:t>
      </w:r>
      <w:proofErr w:type="spellEnd"/>
      <w:r>
        <w:rPr>
          <w:rFonts w:ascii="Times New Roman" w:eastAsia="Calibri" w:hAnsi="Times New Roman" w:cs="Times New Roman"/>
          <w:sz w:val="24"/>
          <w:szCs w:val="24"/>
        </w:rPr>
        <w:t xml:space="preserve">: 10:24105/apr.2018.5.14. </w:t>
      </w:r>
    </w:p>
    <w:p w14:paraId="0A26ADC8" w14:textId="5B91D743" w:rsidR="00B169D2" w:rsidRPr="00263B80" w:rsidRDefault="00B169D2" w:rsidP="007212FA">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Hanson CM, </w:t>
      </w:r>
      <w:proofErr w:type="spellStart"/>
      <w:r>
        <w:rPr>
          <w:rFonts w:ascii="Times New Roman" w:eastAsia="Calibri" w:hAnsi="Times New Roman" w:cs="Times New Roman"/>
          <w:sz w:val="24"/>
          <w:szCs w:val="24"/>
        </w:rPr>
        <w:t>Mirza</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Kumaplay</w:t>
      </w:r>
      <w:proofErr w:type="spellEnd"/>
      <w:r>
        <w:rPr>
          <w:rFonts w:ascii="Times New Roman" w:eastAsia="Calibri" w:hAnsi="Times New Roman" w:cs="Times New Roman"/>
          <w:sz w:val="24"/>
          <w:szCs w:val="24"/>
        </w:rPr>
        <w:t xml:space="preserve"> R, </w:t>
      </w:r>
      <w:proofErr w:type="spellStart"/>
      <w:r>
        <w:rPr>
          <w:rFonts w:ascii="Times New Roman" w:eastAsia="Calibri" w:hAnsi="Times New Roman" w:cs="Times New Roman"/>
          <w:sz w:val="24"/>
          <w:szCs w:val="24"/>
        </w:rPr>
        <w:t>Ogbuanu</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Kezala</w:t>
      </w:r>
      <w:proofErr w:type="spellEnd"/>
      <w:r>
        <w:rPr>
          <w:rFonts w:ascii="Times New Roman" w:eastAsia="Calibri" w:hAnsi="Times New Roman" w:cs="Times New Roman"/>
          <w:sz w:val="24"/>
          <w:szCs w:val="24"/>
        </w:rPr>
        <w:t xml:space="preserve"> R, </w:t>
      </w:r>
      <w:proofErr w:type="spellStart"/>
      <w:r>
        <w:rPr>
          <w:rFonts w:ascii="Times New Roman" w:eastAsia="Calibri" w:hAnsi="Times New Roman" w:cs="Times New Roman"/>
          <w:sz w:val="24"/>
          <w:szCs w:val="24"/>
        </w:rPr>
        <w:t>Nandy</w:t>
      </w:r>
      <w:proofErr w:type="spellEnd"/>
      <w:r>
        <w:rPr>
          <w:rFonts w:ascii="Times New Roman" w:eastAsia="Calibri" w:hAnsi="Times New Roman" w:cs="Times New Roman"/>
          <w:sz w:val="24"/>
          <w:szCs w:val="24"/>
        </w:rPr>
        <w:t xml:space="preserve"> R (2018). Enhancing immunization during second year of life by reducing missed opportunities for vaccination in 46 countries. Vaccines. </w:t>
      </w:r>
      <w:hyperlink r:id="rId12" w:history="1">
        <w:r w:rsidRPr="00012C1E">
          <w:rPr>
            <w:rStyle w:val="Hyperlink"/>
            <w:rFonts w:ascii="Times New Roman" w:eastAsia="Calibri" w:hAnsi="Times New Roman" w:cs="Times New Roman"/>
            <w:sz w:val="24"/>
            <w:szCs w:val="24"/>
          </w:rPr>
          <w:t>https://doi.org/10.1016/j.vaccine2018.04.070</w:t>
        </w:r>
      </w:hyperlink>
      <w:r>
        <w:rPr>
          <w:rFonts w:ascii="Times New Roman" w:eastAsia="Calibri" w:hAnsi="Times New Roman" w:cs="Times New Roman"/>
          <w:sz w:val="24"/>
          <w:szCs w:val="24"/>
        </w:rPr>
        <w:t xml:space="preserve">. </w:t>
      </w:r>
    </w:p>
    <w:p w14:paraId="7ECD6BF5" w14:textId="29B38619" w:rsidR="00B73217" w:rsidRDefault="00B73217" w:rsidP="007212FA">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Haq</w:t>
      </w:r>
      <w:proofErr w:type="spellEnd"/>
      <w:r>
        <w:rPr>
          <w:rFonts w:ascii="Times New Roman" w:hAnsi="Times New Roman" w:cs="Times New Roman"/>
          <w:sz w:val="24"/>
          <w:szCs w:val="24"/>
        </w:rPr>
        <w:t xml:space="preserve"> Z, Shaikh BT, Tran N, </w:t>
      </w:r>
      <w:proofErr w:type="spellStart"/>
      <w:r>
        <w:rPr>
          <w:rFonts w:ascii="Times New Roman" w:hAnsi="Times New Roman" w:cs="Times New Roman"/>
          <w:sz w:val="24"/>
          <w:szCs w:val="24"/>
        </w:rPr>
        <w:t>Hafeez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GhaffarA</w:t>
      </w:r>
      <w:proofErr w:type="spellEnd"/>
      <w:r>
        <w:rPr>
          <w:rFonts w:ascii="Times New Roman" w:hAnsi="Times New Roman" w:cs="Times New Roman"/>
          <w:sz w:val="24"/>
          <w:szCs w:val="24"/>
        </w:rPr>
        <w:t xml:space="preserve">. (2019). System within systems: challenges and opportunities for the expanded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immunization in Pakistan. Health Research Policy </w:t>
      </w:r>
      <w:proofErr w:type="spellStart"/>
      <w:r>
        <w:rPr>
          <w:rFonts w:ascii="Times New Roman" w:hAnsi="Times New Roman" w:cs="Times New Roman"/>
          <w:sz w:val="24"/>
          <w:szCs w:val="24"/>
        </w:rPr>
        <w:t>Sytems</w:t>
      </w:r>
      <w:proofErr w:type="spellEnd"/>
      <w:r>
        <w:rPr>
          <w:rFonts w:ascii="Times New Roman" w:hAnsi="Times New Roman" w:cs="Times New Roman"/>
          <w:sz w:val="24"/>
          <w:szCs w:val="24"/>
        </w:rPr>
        <w:t>; 17: 51.</w:t>
      </w:r>
    </w:p>
    <w:p w14:paraId="0427A7F0" w14:textId="50441542" w:rsidR="00675A17" w:rsidRDefault="00675A17" w:rsidP="007212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Krishna D, </w:t>
      </w:r>
      <w:proofErr w:type="spellStart"/>
      <w:r>
        <w:rPr>
          <w:rFonts w:ascii="Times New Roman" w:hAnsi="Times New Roman" w:cs="Times New Roman"/>
          <w:sz w:val="24"/>
          <w:szCs w:val="24"/>
        </w:rPr>
        <w:t>MohdZulkefli</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Md</w:t>
      </w:r>
      <w:proofErr w:type="spellEnd"/>
      <w:r>
        <w:rPr>
          <w:rFonts w:ascii="Times New Roman" w:hAnsi="Times New Roman" w:cs="Times New Roman"/>
          <w:sz w:val="24"/>
          <w:szCs w:val="24"/>
        </w:rPr>
        <w:t xml:space="preserve"> Said S, Mahmud A. (2019). Sociodemographic and healthcare factors in determining immunization defaulters among preschool children in </w:t>
      </w:r>
      <w:proofErr w:type="spellStart"/>
      <w:r>
        <w:rPr>
          <w:rFonts w:ascii="Times New Roman" w:hAnsi="Times New Roman" w:cs="Times New Roman"/>
          <w:sz w:val="24"/>
          <w:szCs w:val="24"/>
        </w:rPr>
        <w:t>Petaling</w:t>
      </w:r>
      <w:proofErr w:type="spellEnd"/>
      <w:r>
        <w:rPr>
          <w:rFonts w:ascii="Times New Roman" w:hAnsi="Times New Roman" w:cs="Times New Roman"/>
          <w:sz w:val="24"/>
          <w:szCs w:val="24"/>
        </w:rPr>
        <w:t xml:space="preserve"> District, Selangor: a cross sectional study in Malaysia. BMC Public Health; 19: 1275.</w:t>
      </w:r>
    </w:p>
    <w:p w14:paraId="641F0D4B" w14:textId="05EA6844" w:rsidR="007212FA" w:rsidRPr="007212FA" w:rsidRDefault="007212FA" w:rsidP="007212FA">
      <w:pPr>
        <w:pStyle w:val="ListParagraph"/>
        <w:numPr>
          <w:ilvl w:val="0"/>
          <w:numId w:val="1"/>
        </w:numPr>
        <w:spacing w:line="360" w:lineRule="auto"/>
        <w:jc w:val="both"/>
        <w:rPr>
          <w:rFonts w:ascii="Times New Roman" w:hAnsi="Times New Roman" w:cs="Times New Roman"/>
          <w:sz w:val="24"/>
          <w:szCs w:val="24"/>
        </w:rPr>
      </w:pPr>
      <w:r w:rsidRPr="007212FA">
        <w:rPr>
          <w:rFonts w:ascii="Times New Roman" w:hAnsi="Times New Roman" w:cs="Times New Roman"/>
          <w:sz w:val="24"/>
          <w:szCs w:val="24"/>
        </w:rPr>
        <w:lastRenderedPageBreak/>
        <w:t xml:space="preserve">Larson, A., Minnick, D. R., Choudhury, S., &amp; Hughes IV, R. (2024). School-Entry Vaccine Policies: States’ Responses </w:t>
      </w:r>
      <w:proofErr w:type="gramStart"/>
      <w:r w:rsidRPr="007212FA">
        <w:rPr>
          <w:rFonts w:ascii="Times New Roman" w:hAnsi="Times New Roman" w:cs="Times New Roman"/>
          <w:sz w:val="24"/>
          <w:szCs w:val="24"/>
        </w:rPr>
        <w:t>To</w:t>
      </w:r>
      <w:proofErr w:type="gramEnd"/>
      <w:r w:rsidRPr="007212FA">
        <w:rPr>
          <w:rFonts w:ascii="Times New Roman" w:hAnsi="Times New Roman" w:cs="Times New Roman"/>
          <w:sz w:val="24"/>
          <w:szCs w:val="24"/>
        </w:rPr>
        <w:t xml:space="preserve"> Federal Recommendations Varied From Swift To Substantially Delayed. </w:t>
      </w:r>
      <w:r w:rsidRPr="007212FA">
        <w:rPr>
          <w:rFonts w:ascii="Times New Roman" w:hAnsi="Times New Roman" w:cs="Times New Roman"/>
          <w:i/>
          <w:sz w:val="24"/>
          <w:szCs w:val="24"/>
        </w:rPr>
        <w:t>Children’s Health</w:t>
      </w:r>
      <w:r w:rsidRPr="007212FA">
        <w:rPr>
          <w:rFonts w:ascii="Times New Roman" w:hAnsi="Times New Roman" w:cs="Times New Roman"/>
          <w:sz w:val="24"/>
          <w:szCs w:val="24"/>
        </w:rPr>
        <w:t>, 43(11): 1 – 8.</w:t>
      </w:r>
    </w:p>
    <w:p w14:paraId="2629BA33" w14:textId="0305B98D" w:rsidR="007212FA" w:rsidRPr="007212FA" w:rsidRDefault="007212FA" w:rsidP="007212FA">
      <w:pPr>
        <w:pStyle w:val="ListParagraph"/>
        <w:numPr>
          <w:ilvl w:val="0"/>
          <w:numId w:val="1"/>
        </w:numPr>
        <w:spacing w:line="360" w:lineRule="auto"/>
        <w:jc w:val="both"/>
        <w:rPr>
          <w:rFonts w:ascii="Times New Roman" w:hAnsi="Times New Roman" w:cs="Times New Roman"/>
          <w:sz w:val="24"/>
          <w:szCs w:val="24"/>
        </w:rPr>
      </w:pPr>
      <w:proofErr w:type="spellStart"/>
      <w:r w:rsidRPr="007212FA">
        <w:rPr>
          <w:rFonts w:ascii="Times New Roman" w:hAnsi="Times New Roman" w:cs="Times New Roman"/>
          <w:sz w:val="24"/>
          <w:szCs w:val="24"/>
        </w:rPr>
        <w:t>Magadzire</w:t>
      </w:r>
      <w:proofErr w:type="spellEnd"/>
      <w:r w:rsidRPr="007212FA">
        <w:rPr>
          <w:rFonts w:ascii="Times New Roman" w:hAnsi="Times New Roman" w:cs="Times New Roman"/>
          <w:sz w:val="24"/>
          <w:szCs w:val="24"/>
        </w:rPr>
        <w:t xml:space="preserve">, B. P., Joao, G., Bechtel, R., </w:t>
      </w:r>
      <w:proofErr w:type="spellStart"/>
      <w:r w:rsidRPr="007212FA">
        <w:rPr>
          <w:rFonts w:ascii="Times New Roman" w:hAnsi="Times New Roman" w:cs="Times New Roman"/>
          <w:sz w:val="24"/>
          <w:szCs w:val="24"/>
        </w:rPr>
        <w:t>Matsinhe</w:t>
      </w:r>
      <w:proofErr w:type="spellEnd"/>
      <w:r w:rsidRPr="007212FA">
        <w:rPr>
          <w:rFonts w:ascii="Times New Roman" w:hAnsi="Times New Roman" w:cs="Times New Roman"/>
          <w:sz w:val="24"/>
          <w:szCs w:val="24"/>
        </w:rPr>
        <w:t xml:space="preserve">, G., </w:t>
      </w:r>
      <w:proofErr w:type="spellStart"/>
      <w:r w:rsidRPr="007212FA">
        <w:rPr>
          <w:rFonts w:ascii="Times New Roman" w:hAnsi="Times New Roman" w:cs="Times New Roman"/>
          <w:sz w:val="24"/>
          <w:szCs w:val="24"/>
        </w:rPr>
        <w:t>Lochlainn</w:t>
      </w:r>
      <w:proofErr w:type="spellEnd"/>
      <w:r w:rsidRPr="007212FA">
        <w:rPr>
          <w:rFonts w:ascii="Times New Roman" w:hAnsi="Times New Roman" w:cs="Times New Roman"/>
          <w:sz w:val="24"/>
          <w:szCs w:val="24"/>
        </w:rPr>
        <w:t xml:space="preserve">, L. N., &amp; </w:t>
      </w:r>
      <w:proofErr w:type="spellStart"/>
      <w:r w:rsidRPr="007212FA">
        <w:rPr>
          <w:rFonts w:ascii="Times New Roman" w:hAnsi="Times New Roman" w:cs="Times New Roman"/>
          <w:sz w:val="24"/>
          <w:szCs w:val="24"/>
        </w:rPr>
        <w:t>Ogbuanu</w:t>
      </w:r>
      <w:proofErr w:type="spellEnd"/>
      <w:r w:rsidRPr="007212FA">
        <w:rPr>
          <w:rFonts w:ascii="Times New Roman" w:hAnsi="Times New Roman" w:cs="Times New Roman"/>
          <w:sz w:val="24"/>
          <w:szCs w:val="24"/>
        </w:rPr>
        <w:t xml:space="preserve">, I. U. (2020). Reducing missed opportunities for vaccination in Mozambique: findings from a cross-sectional assessment conducted in 2017. </w:t>
      </w:r>
      <w:r w:rsidRPr="007212FA">
        <w:rPr>
          <w:rFonts w:ascii="Times New Roman" w:hAnsi="Times New Roman" w:cs="Times New Roman"/>
          <w:i/>
          <w:sz w:val="24"/>
          <w:szCs w:val="24"/>
        </w:rPr>
        <w:t>British Medical Journal Open</w:t>
      </w:r>
      <w:r w:rsidRPr="007212FA">
        <w:rPr>
          <w:rFonts w:ascii="Times New Roman" w:hAnsi="Times New Roman" w:cs="Times New Roman"/>
          <w:sz w:val="24"/>
          <w:szCs w:val="24"/>
        </w:rPr>
        <w:t>, 11: 1 – 10.</w:t>
      </w:r>
    </w:p>
    <w:p w14:paraId="74B8C981" w14:textId="3D774A3B" w:rsidR="00AA5912" w:rsidRPr="00AA5912" w:rsidRDefault="00AA5912" w:rsidP="007212FA">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Mborigaba</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Nderu</w:t>
      </w:r>
      <w:proofErr w:type="spellEnd"/>
      <w:r>
        <w:rPr>
          <w:rFonts w:ascii="Times New Roman" w:eastAsia="Calibri" w:hAnsi="Times New Roman" w:cs="Times New Roman"/>
          <w:sz w:val="24"/>
          <w:szCs w:val="24"/>
        </w:rPr>
        <w:t xml:space="preserve"> D, Chen S, </w:t>
      </w:r>
      <w:proofErr w:type="spellStart"/>
      <w:r>
        <w:rPr>
          <w:rFonts w:ascii="Times New Roman" w:eastAsia="Calibri" w:hAnsi="Times New Roman" w:cs="Times New Roman"/>
          <w:sz w:val="24"/>
          <w:szCs w:val="24"/>
        </w:rPr>
        <w:t>Denkinger</w:t>
      </w:r>
      <w:proofErr w:type="spellEnd"/>
      <w:r>
        <w:rPr>
          <w:rFonts w:ascii="Times New Roman" w:eastAsia="Calibri" w:hAnsi="Times New Roman" w:cs="Times New Roman"/>
          <w:sz w:val="24"/>
          <w:szCs w:val="24"/>
        </w:rPr>
        <w:t xml:space="preserve"> C, </w:t>
      </w:r>
      <w:proofErr w:type="spellStart"/>
      <w:r>
        <w:rPr>
          <w:rFonts w:ascii="Times New Roman" w:eastAsia="Calibri" w:hAnsi="Times New Roman" w:cs="Times New Roman"/>
          <w:sz w:val="24"/>
          <w:szCs w:val="24"/>
        </w:rPr>
        <w:t>Geldsetzer</w:t>
      </w:r>
      <w:proofErr w:type="spellEnd"/>
      <w:r>
        <w:rPr>
          <w:rFonts w:ascii="Times New Roman" w:eastAsia="Calibri" w:hAnsi="Times New Roman" w:cs="Times New Roman"/>
          <w:sz w:val="24"/>
          <w:szCs w:val="24"/>
        </w:rPr>
        <w:t xml:space="preserve"> S, McMahon S, </w:t>
      </w:r>
      <w:proofErr w:type="spellStart"/>
      <w:r>
        <w:rPr>
          <w:rFonts w:ascii="Times New Roman" w:eastAsia="Calibri" w:hAnsi="Times New Roman" w:cs="Times New Roman"/>
          <w:sz w:val="24"/>
          <w:szCs w:val="24"/>
        </w:rPr>
        <w:t>Banighausen</w:t>
      </w:r>
      <w:proofErr w:type="spellEnd"/>
      <w:r>
        <w:rPr>
          <w:rFonts w:ascii="Times New Roman" w:eastAsia="Calibri" w:hAnsi="Times New Roman" w:cs="Times New Roman"/>
          <w:sz w:val="24"/>
          <w:szCs w:val="24"/>
        </w:rPr>
        <w:t xml:space="preserve"> T (2021). Childhood vaccine uptake in Africa: threats, challenges, and opportunities. Journal of Global Health Reports; 5: e2021080.</w:t>
      </w:r>
    </w:p>
    <w:p w14:paraId="1CF58B36" w14:textId="6C6EEF1A" w:rsidR="00C87F8E" w:rsidRDefault="00C87F8E" w:rsidP="00675A17">
      <w:pPr>
        <w:numPr>
          <w:ilvl w:val="0"/>
          <w:numId w:val="1"/>
        </w:numPr>
        <w:spacing w:after="200" w:line="360"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Mekonnen</w:t>
      </w:r>
      <w:proofErr w:type="spellEnd"/>
      <w:r>
        <w:rPr>
          <w:rFonts w:ascii="Times New Roman" w:eastAsia="Calibri" w:hAnsi="Times New Roman" w:cs="Times New Roman"/>
          <w:sz w:val="24"/>
          <w:szCs w:val="24"/>
        </w:rPr>
        <w:t xml:space="preserve"> AG, </w:t>
      </w:r>
      <w:proofErr w:type="spellStart"/>
      <w:r>
        <w:rPr>
          <w:rFonts w:ascii="Times New Roman" w:eastAsia="Calibri" w:hAnsi="Times New Roman" w:cs="Times New Roman"/>
          <w:sz w:val="24"/>
          <w:szCs w:val="24"/>
        </w:rPr>
        <w:t>Bayleyegn</w:t>
      </w:r>
      <w:proofErr w:type="spellEnd"/>
      <w:r>
        <w:rPr>
          <w:rFonts w:ascii="Times New Roman" w:eastAsia="Calibri" w:hAnsi="Times New Roman" w:cs="Times New Roman"/>
          <w:sz w:val="24"/>
          <w:szCs w:val="24"/>
        </w:rPr>
        <w:t xml:space="preserve"> AD, </w:t>
      </w:r>
      <w:proofErr w:type="spellStart"/>
      <w:r>
        <w:rPr>
          <w:rFonts w:ascii="Times New Roman" w:eastAsia="Calibri" w:hAnsi="Times New Roman" w:cs="Times New Roman"/>
          <w:sz w:val="24"/>
          <w:szCs w:val="24"/>
        </w:rPr>
        <w:t>Ayele</w:t>
      </w:r>
      <w:proofErr w:type="spellEnd"/>
      <w:r>
        <w:rPr>
          <w:rFonts w:ascii="Times New Roman" w:eastAsia="Calibri" w:hAnsi="Times New Roman" w:cs="Times New Roman"/>
          <w:sz w:val="24"/>
          <w:szCs w:val="24"/>
        </w:rPr>
        <w:t xml:space="preserve"> ET. (2019). Immunization coverage of 12 – 23 months old children and its associated </w:t>
      </w:r>
      <w:proofErr w:type="spellStart"/>
      <w:r>
        <w:rPr>
          <w:rFonts w:ascii="Times New Roman" w:eastAsia="Calibri" w:hAnsi="Times New Roman" w:cs="Times New Roman"/>
          <w:sz w:val="24"/>
          <w:szCs w:val="24"/>
        </w:rPr>
        <w:t>factorsin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Minjar-Shenkora</w:t>
      </w:r>
      <w:proofErr w:type="spellEnd"/>
      <w:r>
        <w:rPr>
          <w:rFonts w:ascii="Times New Roman" w:eastAsia="Calibri" w:hAnsi="Times New Roman" w:cs="Times New Roman"/>
          <w:sz w:val="24"/>
          <w:szCs w:val="24"/>
        </w:rPr>
        <w:t xml:space="preserve"> district, Ethiopia; a community based study</w:t>
      </w:r>
      <w:r w:rsidR="00675A17">
        <w:rPr>
          <w:rFonts w:ascii="Times New Roman" w:eastAsia="Calibri" w:hAnsi="Times New Roman" w:cs="Times New Roman"/>
          <w:sz w:val="24"/>
          <w:szCs w:val="24"/>
        </w:rPr>
        <w:t xml:space="preserve">. </w:t>
      </w:r>
      <w:proofErr w:type="spellStart"/>
      <w:r w:rsidR="00675A17">
        <w:rPr>
          <w:rFonts w:ascii="Times New Roman" w:eastAsia="Calibri" w:hAnsi="Times New Roman" w:cs="Times New Roman"/>
          <w:sz w:val="24"/>
          <w:szCs w:val="24"/>
        </w:rPr>
        <w:t>BMCPeadiatrics</w:t>
      </w:r>
      <w:proofErr w:type="spellEnd"/>
      <w:r w:rsidR="00675A17">
        <w:rPr>
          <w:rFonts w:ascii="Times New Roman" w:eastAsia="Calibri" w:hAnsi="Times New Roman" w:cs="Times New Roman"/>
          <w:sz w:val="24"/>
          <w:szCs w:val="24"/>
        </w:rPr>
        <w:t>; 19(1): 198.</w:t>
      </w:r>
    </w:p>
    <w:p w14:paraId="71735642" w14:textId="7864A383" w:rsidR="00F74FB0" w:rsidRDefault="00F74FB0" w:rsidP="00675A17">
      <w:pPr>
        <w:numPr>
          <w:ilvl w:val="0"/>
          <w:numId w:val="1"/>
        </w:numPr>
        <w:spacing w:after="20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MICS/NICS, Nigeria (2021). Nigeria 2021 Multiple Indicator Cluster Survey (MICS) &amp; National Indicator Cluster Survey (NICS). National Bureau for Statistics, National Primary Healthcare Development agency &amp; Partners. https://www.unicef.org.</w:t>
      </w:r>
    </w:p>
    <w:p w14:paraId="42937D55" w14:textId="77777777" w:rsidR="007212FA" w:rsidRPr="007212FA" w:rsidRDefault="007212FA" w:rsidP="00675A17">
      <w:pPr>
        <w:pStyle w:val="ListParagraph"/>
        <w:numPr>
          <w:ilvl w:val="0"/>
          <w:numId w:val="1"/>
        </w:numPr>
        <w:spacing w:line="360" w:lineRule="auto"/>
        <w:rPr>
          <w:rFonts w:ascii="Times New Roman" w:hAnsi="Times New Roman" w:cs="Times New Roman"/>
          <w:sz w:val="24"/>
          <w:szCs w:val="24"/>
        </w:rPr>
      </w:pPr>
      <w:r w:rsidRPr="007212FA">
        <w:rPr>
          <w:rFonts w:ascii="Times New Roman" w:hAnsi="Times New Roman" w:cs="Times New Roman"/>
          <w:sz w:val="24"/>
          <w:szCs w:val="24"/>
        </w:rPr>
        <w:t xml:space="preserve">Moss, J. L., Reiter, P. L., Truong, Y. K., </w:t>
      </w:r>
      <w:proofErr w:type="spellStart"/>
      <w:r w:rsidRPr="007212FA">
        <w:rPr>
          <w:rFonts w:ascii="Times New Roman" w:hAnsi="Times New Roman" w:cs="Times New Roman"/>
          <w:sz w:val="24"/>
          <w:szCs w:val="24"/>
        </w:rPr>
        <w:t>Rimer</w:t>
      </w:r>
      <w:proofErr w:type="spellEnd"/>
      <w:r w:rsidRPr="007212FA">
        <w:rPr>
          <w:rFonts w:ascii="Times New Roman" w:hAnsi="Times New Roman" w:cs="Times New Roman"/>
          <w:sz w:val="24"/>
          <w:szCs w:val="24"/>
        </w:rPr>
        <w:t>, B. K., &amp; Brewer, N. T. (20160. School Entry Requirements and Coverage of Non-</w:t>
      </w:r>
      <w:proofErr w:type="gramStart"/>
      <w:r w:rsidRPr="007212FA">
        <w:rPr>
          <w:rFonts w:ascii="Times New Roman" w:hAnsi="Times New Roman" w:cs="Times New Roman"/>
          <w:sz w:val="24"/>
          <w:szCs w:val="24"/>
        </w:rPr>
        <w:t>targeted</w:t>
      </w:r>
      <w:proofErr w:type="gramEnd"/>
      <w:r w:rsidRPr="007212FA">
        <w:rPr>
          <w:rFonts w:ascii="Times New Roman" w:hAnsi="Times New Roman" w:cs="Times New Roman"/>
          <w:sz w:val="24"/>
          <w:szCs w:val="24"/>
        </w:rPr>
        <w:t xml:space="preserve"> Adolescent Vaccines. </w:t>
      </w:r>
      <w:r w:rsidRPr="007212FA">
        <w:rPr>
          <w:rFonts w:ascii="Times New Roman" w:hAnsi="Times New Roman" w:cs="Times New Roman"/>
          <w:i/>
          <w:sz w:val="24"/>
          <w:szCs w:val="24"/>
        </w:rPr>
        <w:t>Pediatrics</w:t>
      </w:r>
      <w:r w:rsidRPr="007212FA">
        <w:rPr>
          <w:rFonts w:ascii="Times New Roman" w:hAnsi="Times New Roman" w:cs="Times New Roman"/>
          <w:sz w:val="24"/>
          <w:szCs w:val="24"/>
        </w:rPr>
        <w:t>, 138(6): 1 – 10.</w:t>
      </w:r>
    </w:p>
    <w:p w14:paraId="2AB45431" w14:textId="77777777" w:rsidR="007212FA" w:rsidRPr="007212FA" w:rsidRDefault="007212FA" w:rsidP="007212FA">
      <w:pPr>
        <w:pStyle w:val="ListParagraph"/>
        <w:numPr>
          <w:ilvl w:val="0"/>
          <w:numId w:val="1"/>
        </w:numPr>
        <w:spacing w:line="360" w:lineRule="auto"/>
        <w:jc w:val="both"/>
        <w:rPr>
          <w:rFonts w:ascii="Times New Roman" w:hAnsi="Times New Roman" w:cs="Times New Roman"/>
          <w:sz w:val="24"/>
          <w:szCs w:val="24"/>
        </w:rPr>
      </w:pPr>
      <w:proofErr w:type="spellStart"/>
      <w:r w:rsidRPr="007212FA">
        <w:rPr>
          <w:rFonts w:ascii="Times New Roman" w:hAnsi="Times New Roman" w:cs="Times New Roman"/>
          <w:sz w:val="24"/>
          <w:szCs w:val="24"/>
        </w:rPr>
        <w:t>Muluneh</w:t>
      </w:r>
      <w:proofErr w:type="spellEnd"/>
      <w:r w:rsidRPr="007212FA">
        <w:rPr>
          <w:rFonts w:ascii="Times New Roman" w:hAnsi="Times New Roman" w:cs="Times New Roman"/>
          <w:sz w:val="24"/>
          <w:szCs w:val="24"/>
        </w:rPr>
        <w:t xml:space="preserve">, F., </w:t>
      </w:r>
      <w:proofErr w:type="spellStart"/>
      <w:r w:rsidRPr="007212FA">
        <w:rPr>
          <w:rFonts w:ascii="Times New Roman" w:hAnsi="Times New Roman" w:cs="Times New Roman"/>
          <w:sz w:val="24"/>
          <w:szCs w:val="24"/>
        </w:rPr>
        <w:t>Wubetu</w:t>
      </w:r>
      <w:proofErr w:type="spellEnd"/>
      <w:r w:rsidRPr="007212FA">
        <w:rPr>
          <w:rFonts w:ascii="Times New Roman" w:hAnsi="Times New Roman" w:cs="Times New Roman"/>
          <w:sz w:val="24"/>
          <w:szCs w:val="24"/>
        </w:rPr>
        <w:t xml:space="preserve">, M., &amp; Abate, A. (2020). Missed Opportunity for Routine Immunization and Its Associated Factors in </w:t>
      </w:r>
      <w:proofErr w:type="spellStart"/>
      <w:r w:rsidRPr="007212FA">
        <w:rPr>
          <w:rFonts w:ascii="Times New Roman" w:hAnsi="Times New Roman" w:cs="Times New Roman"/>
          <w:sz w:val="24"/>
          <w:szCs w:val="24"/>
        </w:rPr>
        <w:t>Gozamen</w:t>
      </w:r>
      <w:proofErr w:type="spellEnd"/>
      <w:r w:rsidRPr="007212FA">
        <w:rPr>
          <w:rFonts w:ascii="Times New Roman" w:hAnsi="Times New Roman" w:cs="Times New Roman"/>
          <w:sz w:val="24"/>
          <w:szCs w:val="24"/>
        </w:rPr>
        <w:t xml:space="preserve"> District Health Centers, Northwestern Ethiopia. </w:t>
      </w:r>
      <w:r w:rsidRPr="007212FA">
        <w:rPr>
          <w:rFonts w:ascii="Times New Roman" w:hAnsi="Times New Roman" w:cs="Times New Roman"/>
          <w:i/>
          <w:sz w:val="24"/>
          <w:szCs w:val="24"/>
        </w:rPr>
        <w:t>Global Pediatric Health</w:t>
      </w:r>
      <w:r w:rsidRPr="007212FA">
        <w:rPr>
          <w:rFonts w:ascii="Times New Roman" w:hAnsi="Times New Roman" w:cs="Times New Roman"/>
          <w:sz w:val="24"/>
          <w:szCs w:val="24"/>
        </w:rPr>
        <w:t>, 7: 1 – 7.</w:t>
      </w:r>
    </w:p>
    <w:p w14:paraId="08E596F8" w14:textId="4FF1D3EE" w:rsidR="00B169D2" w:rsidRPr="007212FA" w:rsidRDefault="00B169D2" w:rsidP="007212FA">
      <w:pPr>
        <w:numPr>
          <w:ilvl w:val="0"/>
          <w:numId w:val="1"/>
        </w:numPr>
        <w:spacing w:after="200" w:line="360" w:lineRule="auto"/>
        <w:contextualSpacing/>
        <w:jc w:val="both"/>
        <w:rPr>
          <w:rFonts w:ascii="Times New Roman" w:eastAsia="Calibri" w:hAnsi="Times New Roman" w:cs="Times New Roman"/>
          <w:sz w:val="24"/>
          <w:szCs w:val="24"/>
        </w:rPr>
      </w:pPr>
      <w:r w:rsidRPr="007212FA">
        <w:rPr>
          <w:rFonts w:ascii="Times New Roman" w:eastAsia="Calibri" w:hAnsi="Times New Roman" w:cs="Times New Roman"/>
          <w:sz w:val="24"/>
          <w:szCs w:val="24"/>
        </w:rPr>
        <w:t xml:space="preserve">Nandi A, and </w:t>
      </w:r>
      <w:proofErr w:type="spellStart"/>
      <w:r w:rsidRPr="007212FA">
        <w:rPr>
          <w:rFonts w:ascii="Times New Roman" w:eastAsia="Calibri" w:hAnsi="Times New Roman" w:cs="Times New Roman"/>
          <w:sz w:val="24"/>
          <w:szCs w:val="24"/>
        </w:rPr>
        <w:t>Shet</w:t>
      </w:r>
      <w:proofErr w:type="spellEnd"/>
      <w:r w:rsidRPr="007212FA">
        <w:rPr>
          <w:rFonts w:ascii="Times New Roman" w:eastAsia="Calibri" w:hAnsi="Times New Roman" w:cs="Times New Roman"/>
          <w:sz w:val="24"/>
          <w:szCs w:val="24"/>
        </w:rPr>
        <w:t xml:space="preserve"> A (2020). Why vaccines matter: understanding the broader health, economic, and child development benefits of routine vaccination. Human Vaccines and </w:t>
      </w:r>
      <w:proofErr w:type="spellStart"/>
      <w:r w:rsidRPr="007212FA">
        <w:rPr>
          <w:rFonts w:ascii="Times New Roman" w:eastAsia="Calibri" w:hAnsi="Times New Roman" w:cs="Times New Roman"/>
          <w:sz w:val="24"/>
          <w:szCs w:val="24"/>
        </w:rPr>
        <w:t>Immunotherapeutics</w:t>
      </w:r>
      <w:proofErr w:type="spellEnd"/>
      <w:r w:rsidRPr="007212FA">
        <w:rPr>
          <w:rFonts w:ascii="Times New Roman" w:eastAsia="Calibri" w:hAnsi="Times New Roman" w:cs="Times New Roman"/>
          <w:sz w:val="24"/>
          <w:szCs w:val="24"/>
        </w:rPr>
        <w:t>, 16(8)1900 – 1904.</w:t>
      </w:r>
    </w:p>
    <w:p w14:paraId="6ADD5C3E" w14:textId="132E790C" w:rsidR="00B169D2" w:rsidRPr="00263B80" w:rsidRDefault="00B169D2" w:rsidP="00B169D2">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Nyaku</w:t>
      </w:r>
      <w:proofErr w:type="spellEnd"/>
      <w:r>
        <w:rPr>
          <w:rFonts w:ascii="Times New Roman" w:eastAsia="Calibri" w:hAnsi="Times New Roman" w:cs="Times New Roman"/>
          <w:sz w:val="24"/>
          <w:szCs w:val="24"/>
        </w:rPr>
        <w:t xml:space="preserve"> M, Wardle M, </w:t>
      </w:r>
      <w:proofErr w:type="spellStart"/>
      <w:r>
        <w:rPr>
          <w:rFonts w:ascii="Times New Roman" w:eastAsia="Calibri" w:hAnsi="Times New Roman" w:cs="Times New Roman"/>
          <w:sz w:val="24"/>
          <w:szCs w:val="24"/>
        </w:rPr>
        <w:t>Eng</w:t>
      </w:r>
      <w:proofErr w:type="spellEnd"/>
      <w:r>
        <w:rPr>
          <w:rFonts w:ascii="Times New Roman" w:eastAsia="Calibri" w:hAnsi="Times New Roman" w:cs="Times New Roman"/>
          <w:sz w:val="24"/>
          <w:szCs w:val="24"/>
        </w:rPr>
        <w:t xml:space="preserve"> JV, </w:t>
      </w:r>
      <w:proofErr w:type="spellStart"/>
      <w:r>
        <w:rPr>
          <w:rFonts w:ascii="Times New Roman" w:eastAsia="Calibri" w:hAnsi="Times New Roman" w:cs="Times New Roman"/>
          <w:sz w:val="24"/>
          <w:szCs w:val="24"/>
        </w:rPr>
        <w:t>Ametewee</w:t>
      </w:r>
      <w:proofErr w:type="spellEnd"/>
      <w:r>
        <w:rPr>
          <w:rFonts w:ascii="Times New Roman" w:eastAsia="Calibri" w:hAnsi="Times New Roman" w:cs="Times New Roman"/>
          <w:sz w:val="24"/>
          <w:szCs w:val="24"/>
        </w:rPr>
        <w:t xml:space="preserve"> L, </w:t>
      </w:r>
      <w:proofErr w:type="spellStart"/>
      <w:r>
        <w:rPr>
          <w:rFonts w:ascii="Times New Roman" w:eastAsia="Calibri" w:hAnsi="Times New Roman" w:cs="Times New Roman"/>
          <w:sz w:val="24"/>
          <w:szCs w:val="24"/>
        </w:rPr>
        <w:t>Bonsu</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Opare</w:t>
      </w:r>
      <w:proofErr w:type="spellEnd"/>
      <w:r>
        <w:rPr>
          <w:rFonts w:ascii="Times New Roman" w:eastAsia="Calibri" w:hAnsi="Times New Roman" w:cs="Times New Roman"/>
          <w:sz w:val="24"/>
          <w:szCs w:val="24"/>
        </w:rPr>
        <w:t xml:space="preserve"> JKL, Conklin L (</w:t>
      </w:r>
      <w:r w:rsidRPr="002A0AF1">
        <w:rPr>
          <w:rFonts w:ascii="Times New Roman" w:eastAsia="Calibri" w:hAnsi="Times New Roman" w:cs="Times New Roman"/>
          <w:sz w:val="24"/>
          <w:szCs w:val="24"/>
        </w:rPr>
        <w:t>2017</w:t>
      </w:r>
      <w:r>
        <w:rPr>
          <w:rFonts w:ascii="Times New Roman" w:eastAsia="Calibri" w:hAnsi="Times New Roman" w:cs="Times New Roman"/>
          <w:sz w:val="24"/>
          <w:szCs w:val="24"/>
        </w:rPr>
        <w:t>)</w:t>
      </w:r>
      <w:r w:rsidRPr="002A0AF1">
        <w:rPr>
          <w:rFonts w:ascii="Times New Roman" w:eastAsia="Calibri" w:hAnsi="Times New Roman" w:cs="Times New Roman"/>
          <w:sz w:val="24"/>
          <w:szCs w:val="24"/>
        </w:rPr>
        <w:t xml:space="preserve">. Immunization delivery in the second year of life in Ghana: the need for a multi-faceted approach. Pan African Medical Journal, 27(3):4 – 12. </w:t>
      </w:r>
      <w:hyperlink r:id="rId13" w:history="1">
        <w:r w:rsidRPr="007A4CFA">
          <w:rPr>
            <w:rStyle w:val="Hyperlink"/>
            <w:rFonts w:ascii="Times New Roman" w:eastAsia="Calibri" w:hAnsi="Times New Roman" w:cs="Times New Roman"/>
            <w:sz w:val="24"/>
            <w:szCs w:val="24"/>
          </w:rPr>
          <w:t>https://doi.org/10.11604/pamj.supp.2017.27.3.12182</w:t>
        </w:r>
      </w:hyperlink>
      <w:r>
        <w:rPr>
          <w:rFonts w:ascii="Times New Roman" w:eastAsia="Calibri" w:hAnsi="Times New Roman" w:cs="Times New Roman"/>
          <w:sz w:val="24"/>
          <w:szCs w:val="24"/>
        </w:rPr>
        <w:t xml:space="preserve">. </w:t>
      </w:r>
    </w:p>
    <w:p w14:paraId="37D48E3A" w14:textId="70611059" w:rsidR="00C87F8E" w:rsidRDefault="00C87F8E" w:rsidP="00462A8C">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Powelson</w:t>
      </w:r>
      <w:proofErr w:type="spellEnd"/>
      <w:r>
        <w:rPr>
          <w:rFonts w:ascii="Times New Roman" w:eastAsia="Calibri" w:hAnsi="Times New Roman" w:cs="Times New Roman"/>
          <w:sz w:val="24"/>
          <w:szCs w:val="24"/>
        </w:rPr>
        <w:t xml:space="preserve"> J, </w:t>
      </w:r>
      <w:proofErr w:type="spellStart"/>
      <w:r>
        <w:rPr>
          <w:rFonts w:ascii="Times New Roman" w:eastAsia="Calibri" w:hAnsi="Times New Roman" w:cs="Times New Roman"/>
          <w:sz w:val="24"/>
          <w:szCs w:val="24"/>
        </w:rPr>
        <w:t>Magadzire</w:t>
      </w:r>
      <w:proofErr w:type="spellEnd"/>
      <w:r>
        <w:rPr>
          <w:rFonts w:ascii="Times New Roman" w:eastAsia="Calibri" w:hAnsi="Times New Roman" w:cs="Times New Roman"/>
          <w:sz w:val="24"/>
          <w:szCs w:val="24"/>
        </w:rPr>
        <w:t xml:space="preserve"> BP, </w:t>
      </w:r>
      <w:proofErr w:type="spellStart"/>
      <w:r>
        <w:rPr>
          <w:rFonts w:ascii="Times New Roman" w:eastAsia="Calibri" w:hAnsi="Times New Roman" w:cs="Times New Roman"/>
          <w:sz w:val="24"/>
          <w:szCs w:val="24"/>
        </w:rPr>
        <w:t>Draiva</w:t>
      </w:r>
      <w:proofErr w:type="spellEnd"/>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Denno</w:t>
      </w:r>
      <w:proofErr w:type="spellEnd"/>
      <w:r>
        <w:rPr>
          <w:rFonts w:ascii="Times New Roman" w:eastAsia="Calibri" w:hAnsi="Times New Roman" w:cs="Times New Roman"/>
          <w:sz w:val="24"/>
          <w:szCs w:val="24"/>
        </w:rPr>
        <w:t xml:space="preserve"> D, </w:t>
      </w:r>
      <w:proofErr w:type="spellStart"/>
      <w:r>
        <w:rPr>
          <w:rFonts w:ascii="Times New Roman" w:eastAsia="Calibri" w:hAnsi="Times New Roman" w:cs="Times New Roman"/>
          <w:sz w:val="24"/>
          <w:szCs w:val="24"/>
        </w:rPr>
        <w:t>Ibraimo</w:t>
      </w:r>
      <w:proofErr w:type="spellEnd"/>
      <w:r>
        <w:rPr>
          <w:rFonts w:ascii="Times New Roman" w:eastAsia="Calibri" w:hAnsi="Times New Roman" w:cs="Times New Roman"/>
          <w:sz w:val="24"/>
          <w:szCs w:val="24"/>
        </w:rPr>
        <w:t xml:space="preserve"> A, </w:t>
      </w:r>
      <w:proofErr w:type="spellStart"/>
      <w:r>
        <w:rPr>
          <w:rFonts w:ascii="Times New Roman" w:eastAsia="Calibri" w:hAnsi="Times New Roman" w:cs="Times New Roman"/>
          <w:sz w:val="24"/>
          <w:szCs w:val="24"/>
        </w:rPr>
        <w:t>Benate</w:t>
      </w:r>
      <w:proofErr w:type="spellEnd"/>
      <w:r>
        <w:rPr>
          <w:rFonts w:ascii="Times New Roman" w:eastAsia="Calibri" w:hAnsi="Times New Roman" w:cs="Times New Roman"/>
          <w:sz w:val="24"/>
          <w:szCs w:val="24"/>
        </w:rPr>
        <w:t xml:space="preserve"> BBL, et al. (2022). Determinants of immunization dropout among children under the age of 2 in </w:t>
      </w:r>
      <w:proofErr w:type="spellStart"/>
      <w:r>
        <w:rPr>
          <w:rFonts w:ascii="Times New Roman" w:eastAsia="Calibri" w:hAnsi="Times New Roman" w:cs="Times New Roman"/>
          <w:sz w:val="24"/>
          <w:szCs w:val="24"/>
        </w:rPr>
        <w:t>Zambezia</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province, Mozambique; a community based participatory research </w:t>
      </w:r>
      <w:proofErr w:type="spellStart"/>
      <w:r>
        <w:rPr>
          <w:rFonts w:ascii="Times New Roman" w:eastAsia="Calibri" w:hAnsi="Times New Roman" w:cs="Times New Roman"/>
          <w:sz w:val="24"/>
          <w:szCs w:val="24"/>
        </w:rPr>
        <w:t>studyusing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photovoice</w:t>
      </w:r>
      <w:proofErr w:type="spellEnd"/>
      <w:r>
        <w:rPr>
          <w:rFonts w:ascii="Times New Roman" w:eastAsia="Calibri" w:hAnsi="Times New Roman" w:cs="Times New Roman"/>
          <w:sz w:val="24"/>
          <w:szCs w:val="24"/>
        </w:rPr>
        <w:t>. BMJ Open; 12(3): e057245.</w:t>
      </w:r>
    </w:p>
    <w:p w14:paraId="4928A08C" w14:textId="7291F976" w:rsidR="00B169D2" w:rsidRDefault="00B169D2" w:rsidP="00462A8C">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Rodrigues CMC, and </w:t>
      </w:r>
      <w:proofErr w:type="spellStart"/>
      <w:r>
        <w:rPr>
          <w:rFonts w:ascii="Times New Roman" w:eastAsia="Calibri" w:hAnsi="Times New Roman" w:cs="Times New Roman"/>
          <w:sz w:val="24"/>
          <w:szCs w:val="24"/>
        </w:rPr>
        <w:t>PlotkinS</w:t>
      </w:r>
      <w:proofErr w:type="spellEnd"/>
      <w:r>
        <w:rPr>
          <w:rFonts w:ascii="Times New Roman" w:eastAsia="Calibri" w:hAnsi="Times New Roman" w:cs="Times New Roman"/>
          <w:sz w:val="24"/>
          <w:szCs w:val="24"/>
        </w:rPr>
        <w:t xml:space="preserve"> A (</w:t>
      </w:r>
      <w:r w:rsidRPr="002A0AF1">
        <w:rPr>
          <w:rFonts w:ascii="Times New Roman" w:eastAsia="Calibri" w:hAnsi="Times New Roman" w:cs="Times New Roman"/>
          <w:sz w:val="24"/>
          <w:szCs w:val="24"/>
        </w:rPr>
        <w:t>2020</w:t>
      </w:r>
      <w:r>
        <w:rPr>
          <w:rFonts w:ascii="Times New Roman" w:eastAsia="Calibri" w:hAnsi="Times New Roman" w:cs="Times New Roman"/>
          <w:sz w:val="24"/>
          <w:szCs w:val="24"/>
        </w:rPr>
        <w:t>)</w:t>
      </w:r>
      <w:r w:rsidRPr="002A0AF1">
        <w:rPr>
          <w:rFonts w:ascii="Times New Roman" w:eastAsia="Calibri" w:hAnsi="Times New Roman" w:cs="Times New Roman"/>
          <w:sz w:val="24"/>
          <w:szCs w:val="24"/>
        </w:rPr>
        <w:t>. Impact of vaccines; health, economic and social perspectives. Frontiers in Microbiology, 11(1526):1 – 15.</w:t>
      </w:r>
    </w:p>
    <w:p w14:paraId="21C44049" w14:textId="31A94CE6" w:rsidR="00462A8C" w:rsidRDefault="00462A8C" w:rsidP="00462A8C">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Saeed R, Hashmi I. (2021). Pakistan ranks third globally with the most unvaccinated children; is the impact of parental perception and attitude on immunization an essential contributing factor to an unsuccessful vaccination coverage? </w:t>
      </w:r>
      <w:proofErr w:type="spellStart"/>
      <w:r>
        <w:rPr>
          <w:rFonts w:ascii="Times New Roman" w:eastAsia="Calibri" w:hAnsi="Times New Roman" w:cs="Times New Roman"/>
          <w:sz w:val="24"/>
          <w:szCs w:val="24"/>
        </w:rPr>
        <w:t>Cureus</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19</w:t>
      </w:r>
      <w:r w:rsidR="00CE428D">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proofErr w:type="gramEnd"/>
      <w:r>
        <w:rPr>
          <w:rFonts w:ascii="Times New Roman" w:eastAsia="Calibri" w:hAnsi="Times New Roman" w:cs="Times New Roman"/>
          <w:sz w:val="24"/>
          <w:szCs w:val="24"/>
        </w:rPr>
        <w:t xml:space="preserve">1975. </w:t>
      </w:r>
    </w:p>
    <w:p w14:paraId="694B1529" w14:textId="6B3C2AE8" w:rsidR="00CE428D" w:rsidRDefault="00CE428D" w:rsidP="00462A8C">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Sally ET, </w:t>
      </w:r>
      <w:proofErr w:type="spellStart"/>
      <w:r>
        <w:rPr>
          <w:rFonts w:ascii="Times New Roman" w:eastAsia="Calibri" w:hAnsi="Times New Roman" w:cs="Times New Roman"/>
          <w:sz w:val="24"/>
          <w:szCs w:val="24"/>
        </w:rPr>
        <w:t>Kenu</w:t>
      </w:r>
      <w:proofErr w:type="spellEnd"/>
      <w:r>
        <w:rPr>
          <w:rFonts w:ascii="Times New Roman" w:eastAsia="Calibri" w:hAnsi="Times New Roman" w:cs="Times New Roman"/>
          <w:sz w:val="24"/>
          <w:szCs w:val="24"/>
        </w:rPr>
        <w:t xml:space="preserve"> E. (2017). Evaluation of access and utilization of EPI services amongst children 12 – 23 months in </w:t>
      </w:r>
      <w:proofErr w:type="spellStart"/>
      <w:r>
        <w:rPr>
          <w:rFonts w:ascii="Times New Roman" w:eastAsia="Calibri" w:hAnsi="Times New Roman" w:cs="Times New Roman"/>
          <w:sz w:val="24"/>
          <w:szCs w:val="24"/>
        </w:rPr>
        <w:t>wahu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Afram</w:t>
      </w:r>
      <w:proofErr w:type="spellEnd"/>
      <w:r>
        <w:rPr>
          <w:rFonts w:ascii="Times New Roman" w:eastAsia="Calibri" w:hAnsi="Times New Roman" w:cs="Times New Roman"/>
          <w:sz w:val="24"/>
          <w:szCs w:val="24"/>
        </w:rPr>
        <w:t xml:space="preserve"> Plains, Eastern region, Ghana. Pan African Medical Journal; 28: 238.</w:t>
      </w:r>
    </w:p>
    <w:p w14:paraId="5EF069AE" w14:textId="73B023CF" w:rsidR="00675A17" w:rsidRDefault="00D57632" w:rsidP="00462A8C">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Sedain</w:t>
      </w:r>
      <w:proofErr w:type="spellEnd"/>
      <w:r>
        <w:rPr>
          <w:rFonts w:ascii="Times New Roman" w:eastAsia="Calibri" w:hAnsi="Times New Roman" w:cs="Times New Roman"/>
          <w:sz w:val="24"/>
          <w:szCs w:val="24"/>
        </w:rPr>
        <w:t xml:space="preserve"> B. (2018). Mortality patterns of adolescent and youth in SAARC countries: findings from the global of disease. Nepal Population Journal.; 18(17): 141-50.</w:t>
      </w:r>
    </w:p>
    <w:p w14:paraId="36A3F599" w14:textId="4A4716B5" w:rsidR="00B169D2" w:rsidRDefault="00B169D2" w:rsidP="00462A8C">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Tchoualeu</w:t>
      </w:r>
      <w:proofErr w:type="spellEnd"/>
      <w:r>
        <w:rPr>
          <w:rFonts w:ascii="Times New Roman" w:eastAsia="Calibri" w:hAnsi="Times New Roman" w:cs="Times New Roman"/>
          <w:sz w:val="24"/>
          <w:szCs w:val="24"/>
        </w:rPr>
        <w:t xml:space="preserve"> DD, Harvey B, </w:t>
      </w:r>
      <w:proofErr w:type="spellStart"/>
      <w:r>
        <w:rPr>
          <w:rFonts w:ascii="Times New Roman" w:eastAsia="Calibri" w:hAnsi="Times New Roman" w:cs="Times New Roman"/>
          <w:sz w:val="24"/>
          <w:szCs w:val="24"/>
        </w:rPr>
        <w:t>Nyaku</w:t>
      </w:r>
      <w:proofErr w:type="spellEnd"/>
      <w:r>
        <w:rPr>
          <w:rFonts w:ascii="Times New Roman" w:eastAsia="Calibri" w:hAnsi="Times New Roman" w:cs="Times New Roman"/>
          <w:sz w:val="24"/>
          <w:szCs w:val="24"/>
        </w:rPr>
        <w:t xml:space="preserve"> M, </w:t>
      </w:r>
      <w:proofErr w:type="spellStart"/>
      <w:r>
        <w:rPr>
          <w:rFonts w:ascii="Times New Roman" w:eastAsia="Calibri" w:hAnsi="Times New Roman" w:cs="Times New Roman"/>
          <w:sz w:val="24"/>
          <w:szCs w:val="24"/>
        </w:rPr>
        <w:t>Opare</w:t>
      </w:r>
      <w:proofErr w:type="spellEnd"/>
      <w:r>
        <w:rPr>
          <w:rFonts w:ascii="Times New Roman" w:eastAsia="Calibri" w:hAnsi="Times New Roman" w:cs="Times New Roman"/>
          <w:sz w:val="24"/>
          <w:szCs w:val="24"/>
        </w:rPr>
        <w:t xml:space="preserve"> J, </w:t>
      </w:r>
      <w:proofErr w:type="spellStart"/>
      <w:r>
        <w:rPr>
          <w:rFonts w:ascii="Times New Roman" w:eastAsia="Calibri" w:hAnsi="Times New Roman" w:cs="Times New Roman"/>
          <w:sz w:val="24"/>
          <w:szCs w:val="24"/>
        </w:rPr>
        <w:t>Traicoff</w:t>
      </w:r>
      <w:proofErr w:type="spellEnd"/>
      <w:r>
        <w:rPr>
          <w:rFonts w:ascii="Times New Roman" w:eastAsia="Calibri" w:hAnsi="Times New Roman" w:cs="Times New Roman"/>
          <w:sz w:val="24"/>
          <w:szCs w:val="24"/>
        </w:rPr>
        <w:t xml:space="preserve"> D, </w:t>
      </w:r>
      <w:proofErr w:type="spellStart"/>
      <w:r>
        <w:rPr>
          <w:rFonts w:ascii="Times New Roman" w:eastAsia="Calibri" w:hAnsi="Times New Roman" w:cs="Times New Roman"/>
          <w:sz w:val="24"/>
          <w:szCs w:val="24"/>
        </w:rPr>
        <w:t>Bonsu</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Quaye</w:t>
      </w:r>
      <w:proofErr w:type="spellEnd"/>
      <w:r>
        <w:rPr>
          <w:rFonts w:ascii="Times New Roman" w:eastAsia="Calibri" w:hAnsi="Times New Roman" w:cs="Times New Roman"/>
          <w:sz w:val="24"/>
          <w:szCs w:val="24"/>
        </w:rPr>
        <w:t xml:space="preserve"> P, and </w:t>
      </w:r>
      <w:proofErr w:type="spellStart"/>
      <w:r>
        <w:rPr>
          <w:rFonts w:ascii="Times New Roman" w:eastAsia="Calibri" w:hAnsi="Times New Roman" w:cs="Times New Roman"/>
          <w:sz w:val="24"/>
          <w:szCs w:val="24"/>
        </w:rPr>
        <w:t>Sandhua</w:t>
      </w:r>
      <w:proofErr w:type="spellEnd"/>
      <w:r>
        <w:rPr>
          <w:rFonts w:ascii="Times New Roman" w:eastAsia="Calibri" w:hAnsi="Times New Roman" w:cs="Times New Roman"/>
          <w:sz w:val="24"/>
          <w:szCs w:val="24"/>
        </w:rPr>
        <w:t xml:space="preserve"> HS (</w:t>
      </w:r>
      <w:r w:rsidRPr="002A0AF1">
        <w:rPr>
          <w:rFonts w:ascii="Times New Roman" w:eastAsia="Calibri" w:hAnsi="Times New Roman" w:cs="Times New Roman"/>
          <w:sz w:val="24"/>
          <w:szCs w:val="24"/>
        </w:rPr>
        <w:t>2021</w:t>
      </w:r>
      <w:r>
        <w:rPr>
          <w:rFonts w:ascii="Times New Roman" w:eastAsia="Calibri" w:hAnsi="Times New Roman" w:cs="Times New Roman"/>
          <w:sz w:val="24"/>
          <w:szCs w:val="24"/>
        </w:rPr>
        <w:t>)</w:t>
      </w:r>
      <w:r w:rsidRPr="002A0AF1">
        <w:rPr>
          <w:rFonts w:ascii="Times New Roman" w:eastAsia="Calibri" w:hAnsi="Times New Roman" w:cs="Times New Roman"/>
          <w:sz w:val="24"/>
          <w:szCs w:val="24"/>
        </w:rPr>
        <w:t>. Evaluation of the impact of immunization second year of life training interventions on health care workers in Ghana. Global Health: Science and Practice, 9(3):498 – 507.</w:t>
      </w:r>
    </w:p>
    <w:p w14:paraId="4B11C726" w14:textId="10BADAF8" w:rsidR="00B169D2" w:rsidRPr="00772DE3" w:rsidRDefault="00B169D2" w:rsidP="00B73217">
      <w:pPr>
        <w:numPr>
          <w:ilvl w:val="0"/>
          <w:numId w:val="1"/>
        </w:numPr>
        <w:spacing w:after="200" w:line="360"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Tesema</w:t>
      </w:r>
      <w:proofErr w:type="spellEnd"/>
      <w:r>
        <w:rPr>
          <w:rFonts w:ascii="Times New Roman" w:eastAsia="Calibri" w:hAnsi="Times New Roman" w:cs="Times New Roman"/>
          <w:sz w:val="24"/>
          <w:szCs w:val="24"/>
        </w:rPr>
        <w:t xml:space="preserve"> GA, </w:t>
      </w:r>
      <w:proofErr w:type="spellStart"/>
      <w:r>
        <w:rPr>
          <w:rFonts w:ascii="Times New Roman" w:eastAsia="Calibri" w:hAnsi="Times New Roman" w:cs="Times New Roman"/>
          <w:sz w:val="24"/>
          <w:szCs w:val="24"/>
        </w:rPr>
        <w:t>Teshale</w:t>
      </w:r>
      <w:proofErr w:type="spellEnd"/>
      <w:r>
        <w:rPr>
          <w:rFonts w:ascii="Times New Roman" w:eastAsia="Calibri" w:hAnsi="Times New Roman" w:cs="Times New Roman"/>
          <w:sz w:val="24"/>
          <w:szCs w:val="24"/>
        </w:rPr>
        <w:t xml:space="preserve"> AB, </w:t>
      </w:r>
      <w:proofErr w:type="spellStart"/>
      <w:r>
        <w:rPr>
          <w:rFonts w:ascii="Times New Roman" w:eastAsia="Calibri" w:hAnsi="Times New Roman" w:cs="Times New Roman"/>
          <w:sz w:val="24"/>
          <w:szCs w:val="24"/>
        </w:rPr>
        <w:t>Tessema</w:t>
      </w:r>
      <w:proofErr w:type="spellEnd"/>
      <w:r>
        <w:rPr>
          <w:rFonts w:ascii="Times New Roman" w:eastAsia="Calibri" w:hAnsi="Times New Roman" w:cs="Times New Roman"/>
          <w:sz w:val="24"/>
          <w:szCs w:val="24"/>
        </w:rPr>
        <w:t xml:space="preserve"> ZT </w:t>
      </w:r>
      <w:r w:rsidRPr="00772DE3">
        <w:rPr>
          <w:rFonts w:ascii="Times New Roman" w:eastAsia="Calibri" w:hAnsi="Times New Roman" w:cs="Times New Roman"/>
          <w:sz w:val="24"/>
          <w:szCs w:val="24"/>
        </w:rPr>
        <w:t xml:space="preserve">(2021). Incidence and predictors of under-five mortality in East Africa using multilevel </w:t>
      </w:r>
      <w:proofErr w:type="spellStart"/>
      <w:r w:rsidRPr="00772DE3">
        <w:rPr>
          <w:rFonts w:ascii="Times New Roman" w:eastAsia="Calibri" w:hAnsi="Times New Roman" w:cs="Times New Roman"/>
          <w:sz w:val="24"/>
          <w:szCs w:val="24"/>
        </w:rPr>
        <w:t>Weibull</w:t>
      </w:r>
      <w:proofErr w:type="spellEnd"/>
      <w:r w:rsidRPr="00772DE3">
        <w:rPr>
          <w:rFonts w:ascii="Times New Roman" w:eastAsia="Calibri" w:hAnsi="Times New Roman" w:cs="Times New Roman"/>
          <w:sz w:val="24"/>
          <w:szCs w:val="24"/>
        </w:rPr>
        <w:t xml:space="preserve"> regression modeling</w:t>
      </w:r>
      <w:r>
        <w:rPr>
          <w:rFonts w:ascii="Times New Roman" w:eastAsia="Calibri" w:hAnsi="Times New Roman" w:cs="Times New Roman"/>
          <w:sz w:val="24"/>
          <w:szCs w:val="24"/>
        </w:rPr>
        <w:t>. Archives of Public Health, 79</w:t>
      </w:r>
      <w:r w:rsidRPr="00772DE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72DE3">
        <w:rPr>
          <w:rFonts w:ascii="Times New Roman" w:eastAsia="Calibri" w:hAnsi="Times New Roman" w:cs="Times New Roman"/>
          <w:sz w:val="24"/>
          <w:szCs w:val="24"/>
        </w:rPr>
        <w:t>pp. 1 – 3.</w:t>
      </w:r>
    </w:p>
    <w:p w14:paraId="7FEC67FA" w14:textId="4631C440" w:rsidR="005A0AB4" w:rsidRPr="005A0AB4" w:rsidRDefault="005A0AB4" w:rsidP="00B73217">
      <w:pPr>
        <w:widowControl w:val="0"/>
        <w:numPr>
          <w:ilvl w:val="0"/>
          <w:numId w:val="1"/>
        </w:numPr>
        <w:tabs>
          <w:tab w:val="left" w:pos="220"/>
          <w:tab w:val="left" w:pos="720"/>
        </w:tabs>
        <w:autoSpaceDE w:val="0"/>
        <w:autoSpaceDN w:val="0"/>
        <w:adjustRightInd w:val="0"/>
        <w:spacing w:after="213" w:line="360" w:lineRule="auto"/>
        <w:rPr>
          <w:rFonts w:ascii="Times" w:eastAsiaTheme="minorHAnsi" w:hAnsi="Times" w:cs="Times"/>
          <w:color w:val="000000"/>
          <w:sz w:val="24"/>
          <w:szCs w:val="24"/>
          <w:lang w:val="en-GB" w:eastAsia="en-US"/>
        </w:rPr>
      </w:pPr>
      <w:proofErr w:type="spellStart"/>
      <w:r w:rsidRPr="005A0AB4">
        <w:rPr>
          <w:rFonts w:ascii="Times" w:eastAsiaTheme="minorHAnsi" w:hAnsi="Times" w:cs="Times"/>
          <w:color w:val="000000"/>
          <w:sz w:val="24"/>
          <w:szCs w:val="24"/>
          <w:lang w:val="en-GB" w:eastAsia="en-US"/>
        </w:rPr>
        <w:t>Tesfaye</w:t>
      </w:r>
      <w:proofErr w:type="spellEnd"/>
      <w:r w:rsidRPr="005A0AB4">
        <w:rPr>
          <w:rFonts w:ascii="Times" w:eastAsiaTheme="minorHAnsi" w:hAnsi="Times" w:cs="Times"/>
          <w:color w:val="000000"/>
          <w:sz w:val="24"/>
          <w:szCs w:val="24"/>
          <w:lang w:val="en-GB" w:eastAsia="en-US"/>
        </w:rPr>
        <w:t xml:space="preserve"> TD, </w:t>
      </w:r>
      <w:proofErr w:type="spellStart"/>
      <w:r w:rsidRPr="005A0AB4">
        <w:rPr>
          <w:rFonts w:ascii="Times" w:eastAsiaTheme="minorHAnsi" w:hAnsi="Times" w:cs="Times"/>
          <w:color w:val="000000"/>
          <w:sz w:val="24"/>
          <w:szCs w:val="24"/>
          <w:lang w:val="en-GB" w:eastAsia="en-US"/>
        </w:rPr>
        <w:t>Temesgen</w:t>
      </w:r>
      <w:proofErr w:type="spellEnd"/>
      <w:r w:rsidRPr="005A0AB4">
        <w:rPr>
          <w:rFonts w:ascii="Times" w:eastAsiaTheme="minorHAnsi" w:hAnsi="Times" w:cs="Times"/>
          <w:color w:val="000000"/>
          <w:sz w:val="24"/>
          <w:szCs w:val="24"/>
          <w:lang w:val="en-GB" w:eastAsia="en-US"/>
        </w:rPr>
        <w:t xml:space="preserve"> WA, </w:t>
      </w:r>
      <w:proofErr w:type="spellStart"/>
      <w:r w:rsidRPr="005A0AB4">
        <w:rPr>
          <w:rFonts w:ascii="Times" w:eastAsiaTheme="minorHAnsi" w:hAnsi="Times" w:cs="Times"/>
          <w:color w:val="000000"/>
          <w:sz w:val="24"/>
          <w:szCs w:val="24"/>
          <w:lang w:val="en-GB" w:eastAsia="en-US"/>
        </w:rPr>
        <w:t>Kasa</w:t>
      </w:r>
      <w:proofErr w:type="spellEnd"/>
      <w:r w:rsidRPr="005A0AB4">
        <w:rPr>
          <w:rFonts w:ascii="Times" w:eastAsiaTheme="minorHAnsi" w:hAnsi="Times" w:cs="Times"/>
          <w:color w:val="000000"/>
          <w:sz w:val="24"/>
          <w:szCs w:val="24"/>
          <w:lang w:val="en-GB" w:eastAsia="en-US"/>
        </w:rPr>
        <w:t xml:space="preserve"> AS</w:t>
      </w:r>
      <w:r>
        <w:rPr>
          <w:rFonts w:ascii="Times" w:eastAsiaTheme="minorHAnsi" w:hAnsi="Times" w:cs="Times"/>
          <w:color w:val="000000"/>
          <w:sz w:val="24"/>
          <w:szCs w:val="24"/>
          <w:lang w:val="en-GB" w:eastAsia="en-US"/>
        </w:rPr>
        <w:t xml:space="preserve"> (2018)</w:t>
      </w:r>
      <w:r w:rsidRPr="005A0AB4">
        <w:rPr>
          <w:rFonts w:ascii="Times" w:eastAsiaTheme="minorHAnsi" w:hAnsi="Times" w:cs="Times"/>
          <w:color w:val="000000"/>
          <w:sz w:val="24"/>
          <w:szCs w:val="24"/>
          <w:lang w:val="en-GB" w:eastAsia="en-US"/>
        </w:rPr>
        <w:t>. Vaccination coverage and associated factors among children aged 12–23 months in Northwest Ethiopia. Hum</w:t>
      </w:r>
      <w:r>
        <w:rPr>
          <w:rFonts w:ascii="Times" w:eastAsiaTheme="minorHAnsi" w:hAnsi="Times" w:cs="Times"/>
          <w:color w:val="000000"/>
          <w:sz w:val="24"/>
          <w:szCs w:val="24"/>
          <w:lang w:val="en-GB" w:eastAsia="en-US"/>
        </w:rPr>
        <w:t>an Vaccines Immuno-Therapeutics</w:t>
      </w:r>
      <w:r w:rsidRPr="005A0AB4">
        <w:rPr>
          <w:rFonts w:ascii="Times" w:eastAsiaTheme="minorHAnsi" w:hAnsi="Times" w:cs="Times"/>
          <w:color w:val="000000"/>
          <w:sz w:val="24"/>
          <w:szCs w:val="24"/>
          <w:lang w:val="en-GB" w:eastAsia="en-US"/>
        </w:rPr>
        <w:t>;14(10):2348–54. doi:</w:t>
      </w:r>
      <w:r w:rsidRPr="005A0AB4">
        <w:rPr>
          <w:rFonts w:ascii="Times" w:eastAsiaTheme="minorHAnsi" w:hAnsi="Times" w:cs="Times"/>
          <w:color w:val="00006D"/>
          <w:sz w:val="24"/>
          <w:szCs w:val="24"/>
          <w:lang w:val="en-GB" w:eastAsia="en-US"/>
        </w:rPr>
        <w:t>10.1080/21645515.2018.1502528</w:t>
      </w:r>
      <w:r w:rsidRPr="005A0AB4">
        <w:rPr>
          <w:rFonts w:ascii="Times" w:eastAsiaTheme="minorHAnsi" w:hAnsi="Times" w:cs="Times"/>
          <w:color w:val="000000"/>
          <w:sz w:val="24"/>
          <w:szCs w:val="24"/>
          <w:lang w:val="en-GB" w:eastAsia="en-US"/>
        </w:rPr>
        <w:t xml:space="preserve">. </w:t>
      </w:r>
      <w:r w:rsidRPr="005A0AB4">
        <w:rPr>
          <w:rFonts w:ascii="MS Mincho" w:eastAsia="MS Mincho" w:hAnsi="MS Mincho" w:cs="MS Mincho"/>
          <w:color w:val="000000"/>
          <w:sz w:val="24"/>
          <w:szCs w:val="24"/>
          <w:lang w:val="en-GB" w:eastAsia="en-US"/>
        </w:rPr>
        <w:t> </w:t>
      </w:r>
    </w:p>
    <w:p w14:paraId="475AAED7" w14:textId="5BA7A719" w:rsidR="00D57632" w:rsidRDefault="00D57632" w:rsidP="00B73217">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Thapa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Adhikary</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Faruquee</w:t>
      </w:r>
      <w:proofErr w:type="spellEnd"/>
      <w:r>
        <w:rPr>
          <w:rFonts w:ascii="Times New Roman" w:hAnsi="Times New Roman" w:cs="Times New Roman"/>
          <w:sz w:val="24"/>
          <w:szCs w:val="24"/>
        </w:rPr>
        <w:t xml:space="preserve"> MH, </w:t>
      </w:r>
      <w:proofErr w:type="spellStart"/>
      <w:r>
        <w:rPr>
          <w:rFonts w:ascii="Times New Roman" w:hAnsi="Times New Roman" w:cs="Times New Roman"/>
          <w:sz w:val="24"/>
          <w:szCs w:val="24"/>
        </w:rPr>
        <w:t>Suwal</w:t>
      </w:r>
      <w:proofErr w:type="spellEnd"/>
      <w:r>
        <w:rPr>
          <w:rFonts w:ascii="Times New Roman" w:hAnsi="Times New Roman" w:cs="Times New Roman"/>
          <w:sz w:val="24"/>
          <w:szCs w:val="24"/>
        </w:rPr>
        <w:t xml:space="preserve"> BR. (2021). Associated factors for dropout of first vs third doses of diphtheria tetanus pertussis (DPT) vaccination in Nepal. Advanced Preventive Medicine;2021: 1-9.</w:t>
      </w:r>
    </w:p>
    <w:p w14:paraId="2CFDDD5B" w14:textId="2051D7B8" w:rsidR="00462A8C" w:rsidRDefault="00462A8C" w:rsidP="00B73217">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Ullah</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Saleem</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Ishaq</w:t>
      </w:r>
      <w:proofErr w:type="spellEnd"/>
      <w:r>
        <w:rPr>
          <w:rFonts w:ascii="Times New Roman" w:hAnsi="Times New Roman" w:cs="Times New Roman"/>
          <w:sz w:val="24"/>
          <w:szCs w:val="24"/>
        </w:rPr>
        <w:t xml:space="preserve"> M, Ali </w:t>
      </w:r>
      <w:proofErr w:type="spellStart"/>
      <w:r>
        <w:rPr>
          <w:rFonts w:ascii="Times New Roman" w:hAnsi="Times New Roman" w:cs="Times New Roman"/>
          <w:sz w:val="24"/>
          <w:szCs w:val="24"/>
        </w:rPr>
        <w:t>Khattak</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Majeed</w:t>
      </w:r>
      <w:proofErr w:type="spellEnd"/>
      <w:r>
        <w:rPr>
          <w:rFonts w:ascii="Times New Roman" w:hAnsi="Times New Roman" w:cs="Times New Roman"/>
          <w:sz w:val="24"/>
          <w:szCs w:val="24"/>
        </w:rPr>
        <w:t xml:space="preserve"> F. </w:t>
      </w:r>
      <w:r w:rsidR="00B73217">
        <w:rPr>
          <w:rFonts w:ascii="Times New Roman" w:hAnsi="Times New Roman" w:cs="Times New Roman"/>
          <w:sz w:val="24"/>
          <w:szCs w:val="24"/>
        </w:rPr>
        <w:t xml:space="preserve">(2022). </w:t>
      </w:r>
      <w:r>
        <w:rPr>
          <w:rFonts w:ascii="Times New Roman" w:hAnsi="Times New Roman" w:cs="Times New Roman"/>
          <w:sz w:val="24"/>
          <w:szCs w:val="24"/>
        </w:rPr>
        <w:t>Effects of the COVID-19 pandemic on the uptake of routine immunization vaccines</w:t>
      </w:r>
      <w:r w:rsidR="00B73217">
        <w:rPr>
          <w:rFonts w:ascii="Times New Roman" w:hAnsi="Times New Roman" w:cs="Times New Roman"/>
          <w:sz w:val="24"/>
          <w:szCs w:val="24"/>
        </w:rPr>
        <w:t xml:space="preserve"> in Swat district in Pakistan. Avicenna; 2: 11.</w:t>
      </w:r>
    </w:p>
    <w:p w14:paraId="528C7E84" w14:textId="4D3591C2" w:rsidR="00723361" w:rsidRPr="00723361" w:rsidRDefault="00723361" w:rsidP="00675A17">
      <w:pPr>
        <w:pStyle w:val="ListParagraph"/>
        <w:numPr>
          <w:ilvl w:val="0"/>
          <w:numId w:val="1"/>
        </w:numPr>
        <w:spacing w:line="360" w:lineRule="auto"/>
        <w:rPr>
          <w:rFonts w:ascii="Times New Roman" w:hAnsi="Times New Roman" w:cs="Times New Roman"/>
          <w:sz w:val="24"/>
          <w:szCs w:val="24"/>
        </w:rPr>
      </w:pPr>
      <w:proofErr w:type="spellStart"/>
      <w:r w:rsidRPr="00723361">
        <w:rPr>
          <w:rFonts w:ascii="Times New Roman" w:hAnsi="Times New Roman" w:cs="Times New Roman"/>
          <w:sz w:val="24"/>
          <w:szCs w:val="24"/>
        </w:rPr>
        <w:lastRenderedPageBreak/>
        <w:t>Ullah</w:t>
      </w:r>
      <w:proofErr w:type="spellEnd"/>
      <w:r w:rsidRPr="00723361">
        <w:rPr>
          <w:rFonts w:ascii="Times New Roman" w:hAnsi="Times New Roman" w:cs="Times New Roman"/>
          <w:sz w:val="24"/>
          <w:szCs w:val="24"/>
        </w:rPr>
        <w:t xml:space="preserve">, K., </w:t>
      </w:r>
      <w:proofErr w:type="spellStart"/>
      <w:r w:rsidRPr="00723361">
        <w:rPr>
          <w:rFonts w:ascii="Times New Roman" w:hAnsi="Times New Roman" w:cs="Times New Roman"/>
          <w:sz w:val="24"/>
          <w:szCs w:val="24"/>
        </w:rPr>
        <w:t>Saleem</w:t>
      </w:r>
      <w:proofErr w:type="spellEnd"/>
      <w:r w:rsidRPr="00723361">
        <w:rPr>
          <w:rFonts w:ascii="Times New Roman" w:hAnsi="Times New Roman" w:cs="Times New Roman"/>
          <w:sz w:val="24"/>
          <w:szCs w:val="24"/>
        </w:rPr>
        <w:t xml:space="preserve">, J., </w:t>
      </w:r>
      <w:proofErr w:type="spellStart"/>
      <w:r w:rsidRPr="00723361">
        <w:rPr>
          <w:rFonts w:ascii="Times New Roman" w:hAnsi="Times New Roman" w:cs="Times New Roman"/>
          <w:sz w:val="24"/>
          <w:szCs w:val="24"/>
        </w:rPr>
        <w:t>Zakar</w:t>
      </w:r>
      <w:proofErr w:type="spellEnd"/>
      <w:r w:rsidRPr="00723361">
        <w:rPr>
          <w:rFonts w:ascii="Times New Roman" w:hAnsi="Times New Roman" w:cs="Times New Roman"/>
          <w:sz w:val="24"/>
          <w:szCs w:val="24"/>
        </w:rPr>
        <w:t xml:space="preserve">, R., </w:t>
      </w:r>
      <w:proofErr w:type="spellStart"/>
      <w:r w:rsidRPr="00723361">
        <w:rPr>
          <w:rFonts w:ascii="Times New Roman" w:hAnsi="Times New Roman" w:cs="Times New Roman"/>
          <w:sz w:val="24"/>
          <w:szCs w:val="24"/>
        </w:rPr>
        <w:t>Ishaq</w:t>
      </w:r>
      <w:proofErr w:type="spellEnd"/>
      <w:r w:rsidRPr="00723361">
        <w:rPr>
          <w:rFonts w:ascii="Times New Roman" w:hAnsi="Times New Roman" w:cs="Times New Roman"/>
          <w:sz w:val="24"/>
          <w:szCs w:val="24"/>
        </w:rPr>
        <w:t xml:space="preserve">, M., </w:t>
      </w:r>
      <w:proofErr w:type="spellStart"/>
      <w:r w:rsidRPr="00723361">
        <w:rPr>
          <w:rFonts w:ascii="Times New Roman" w:hAnsi="Times New Roman" w:cs="Times New Roman"/>
          <w:sz w:val="24"/>
          <w:szCs w:val="24"/>
        </w:rPr>
        <w:t>Khattak</w:t>
      </w:r>
      <w:proofErr w:type="spellEnd"/>
      <w:r w:rsidRPr="00723361">
        <w:rPr>
          <w:rFonts w:ascii="Times New Roman" w:hAnsi="Times New Roman" w:cs="Times New Roman"/>
          <w:sz w:val="24"/>
          <w:szCs w:val="24"/>
        </w:rPr>
        <w:t xml:space="preserve">, F. A., </w:t>
      </w:r>
      <w:proofErr w:type="spellStart"/>
      <w:r w:rsidRPr="00723361">
        <w:rPr>
          <w:rFonts w:ascii="Times New Roman" w:hAnsi="Times New Roman" w:cs="Times New Roman"/>
          <w:sz w:val="24"/>
          <w:szCs w:val="24"/>
        </w:rPr>
        <w:t>Majeed</w:t>
      </w:r>
      <w:proofErr w:type="spellEnd"/>
      <w:r w:rsidRPr="00723361">
        <w:rPr>
          <w:rFonts w:ascii="Times New Roman" w:hAnsi="Times New Roman" w:cs="Times New Roman"/>
          <w:sz w:val="24"/>
          <w:szCs w:val="24"/>
        </w:rPr>
        <w:t xml:space="preserve">, F., </w:t>
      </w:r>
      <w:proofErr w:type="spellStart"/>
      <w:r w:rsidRPr="00723361">
        <w:rPr>
          <w:rFonts w:ascii="Times New Roman" w:hAnsi="Times New Roman" w:cs="Times New Roman"/>
          <w:sz w:val="24"/>
          <w:szCs w:val="24"/>
        </w:rPr>
        <w:t>Sadiqa</w:t>
      </w:r>
      <w:proofErr w:type="spellEnd"/>
      <w:r w:rsidRPr="00723361">
        <w:rPr>
          <w:rFonts w:ascii="Times New Roman" w:hAnsi="Times New Roman" w:cs="Times New Roman"/>
          <w:sz w:val="24"/>
          <w:szCs w:val="24"/>
        </w:rPr>
        <w:t xml:space="preserve">, H. A., &amp; Fischer, F. (2024).  Exploring the reasons for defaulting from childhood immunization: a qualitative study in Pakistan. </w:t>
      </w:r>
      <w:r w:rsidRPr="00723361">
        <w:rPr>
          <w:rFonts w:ascii="Times New Roman" w:hAnsi="Times New Roman" w:cs="Times New Roman"/>
          <w:i/>
          <w:sz w:val="24"/>
          <w:szCs w:val="24"/>
        </w:rPr>
        <w:t>Biomedical Central Public Health</w:t>
      </w:r>
      <w:r w:rsidRPr="00723361">
        <w:rPr>
          <w:rFonts w:ascii="Times New Roman" w:hAnsi="Times New Roman" w:cs="Times New Roman"/>
          <w:sz w:val="24"/>
          <w:szCs w:val="24"/>
        </w:rPr>
        <w:t>. 24: 408 – 418.</w:t>
      </w:r>
    </w:p>
    <w:p w14:paraId="76D7ADC8" w14:textId="1D41E62A" w:rsidR="00675A17" w:rsidRPr="00675A17" w:rsidRDefault="00675A17" w:rsidP="00675A17">
      <w:pPr>
        <w:widowControl w:val="0"/>
        <w:numPr>
          <w:ilvl w:val="0"/>
          <w:numId w:val="1"/>
        </w:numPr>
        <w:tabs>
          <w:tab w:val="left" w:pos="220"/>
          <w:tab w:val="left" w:pos="720"/>
        </w:tabs>
        <w:autoSpaceDE w:val="0"/>
        <w:autoSpaceDN w:val="0"/>
        <w:adjustRightInd w:val="0"/>
        <w:spacing w:after="213" w:line="360" w:lineRule="auto"/>
        <w:rPr>
          <w:rFonts w:ascii="Times" w:eastAsiaTheme="minorHAnsi" w:hAnsi="Times" w:cs="Times"/>
          <w:color w:val="000000"/>
          <w:sz w:val="24"/>
          <w:szCs w:val="24"/>
          <w:lang w:val="en-GB" w:eastAsia="en-US"/>
        </w:rPr>
      </w:pPr>
      <w:proofErr w:type="spellStart"/>
      <w:r>
        <w:rPr>
          <w:rFonts w:ascii="Times" w:eastAsiaTheme="minorHAnsi" w:hAnsi="Times" w:cs="Times"/>
          <w:color w:val="000000"/>
          <w:sz w:val="24"/>
          <w:szCs w:val="24"/>
          <w:lang w:val="en-GB" w:eastAsia="en-US"/>
        </w:rPr>
        <w:t>Umer</w:t>
      </w:r>
      <w:proofErr w:type="spellEnd"/>
      <w:r>
        <w:rPr>
          <w:rFonts w:ascii="Times" w:eastAsiaTheme="minorHAnsi" w:hAnsi="Times" w:cs="Times"/>
          <w:color w:val="000000"/>
          <w:sz w:val="24"/>
          <w:szCs w:val="24"/>
          <w:lang w:val="en-GB" w:eastAsia="en-US"/>
        </w:rPr>
        <w:t xml:space="preserve"> MF, </w:t>
      </w:r>
      <w:proofErr w:type="spellStart"/>
      <w:r>
        <w:rPr>
          <w:rFonts w:ascii="Times" w:eastAsiaTheme="minorHAnsi" w:hAnsi="Times" w:cs="Times"/>
          <w:color w:val="000000"/>
          <w:sz w:val="24"/>
          <w:szCs w:val="24"/>
          <w:lang w:val="en-GB" w:eastAsia="en-US"/>
        </w:rPr>
        <w:t>Zofeen</w:t>
      </w:r>
      <w:proofErr w:type="spellEnd"/>
      <w:r>
        <w:rPr>
          <w:rFonts w:ascii="Times" w:eastAsiaTheme="minorHAnsi" w:hAnsi="Times" w:cs="Times"/>
          <w:color w:val="000000"/>
          <w:sz w:val="24"/>
          <w:szCs w:val="24"/>
          <w:lang w:val="en-GB" w:eastAsia="en-US"/>
        </w:rPr>
        <w:t xml:space="preserve"> S, Hu W, Qi X, Zhuang g. (2020). Spatiotemporal clustering analysis of Expanded program on Immunization (EPI) vaccination coverage in Pakistan. Science Report; 10 (1): 10980.</w:t>
      </w:r>
    </w:p>
    <w:p w14:paraId="0411CB1C" w14:textId="0E318142" w:rsidR="00B169D2" w:rsidRPr="005A0AB4" w:rsidRDefault="00B169D2" w:rsidP="00675A17">
      <w:pPr>
        <w:widowControl w:val="0"/>
        <w:numPr>
          <w:ilvl w:val="0"/>
          <w:numId w:val="1"/>
        </w:numPr>
        <w:tabs>
          <w:tab w:val="left" w:pos="220"/>
          <w:tab w:val="left" w:pos="720"/>
        </w:tabs>
        <w:autoSpaceDE w:val="0"/>
        <w:autoSpaceDN w:val="0"/>
        <w:adjustRightInd w:val="0"/>
        <w:spacing w:after="213" w:line="360" w:lineRule="auto"/>
        <w:rPr>
          <w:rFonts w:ascii="Times" w:eastAsiaTheme="minorHAnsi" w:hAnsi="Times" w:cs="Times"/>
          <w:color w:val="000000"/>
          <w:sz w:val="24"/>
          <w:szCs w:val="24"/>
          <w:lang w:val="en-GB" w:eastAsia="en-US"/>
        </w:rPr>
      </w:pPr>
      <w:proofErr w:type="spellStart"/>
      <w:r w:rsidRPr="00723361">
        <w:rPr>
          <w:rFonts w:ascii="Times New Roman" w:eastAsia="Calibri" w:hAnsi="Times New Roman" w:cs="Times New Roman"/>
          <w:sz w:val="24"/>
          <w:szCs w:val="24"/>
        </w:rPr>
        <w:t>Umoke</w:t>
      </w:r>
      <w:proofErr w:type="spellEnd"/>
      <w:r w:rsidRPr="00723361">
        <w:rPr>
          <w:rFonts w:ascii="Times New Roman" w:eastAsia="Calibri" w:hAnsi="Times New Roman" w:cs="Times New Roman"/>
          <w:sz w:val="24"/>
          <w:szCs w:val="24"/>
        </w:rPr>
        <w:t xml:space="preserve"> PCI, </w:t>
      </w:r>
      <w:proofErr w:type="spellStart"/>
      <w:r w:rsidRPr="00723361">
        <w:rPr>
          <w:rFonts w:ascii="Times New Roman" w:eastAsia="Calibri" w:hAnsi="Times New Roman" w:cs="Times New Roman"/>
          <w:sz w:val="24"/>
          <w:szCs w:val="24"/>
        </w:rPr>
        <w:t>Umoke</w:t>
      </w:r>
      <w:proofErr w:type="spellEnd"/>
      <w:r w:rsidRPr="00723361">
        <w:rPr>
          <w:rFonts w:ascii="Times New Roman" w:eastAsia="Calibri" w:hAnsi="Times New Roman" w:cs="Times New Roman"/>
          <w:sz w:val="24"/>
          <w:szCs w:val="24"/>
        </w:rPr>
        <w:t xml:space="preserve"> MJ, </w:t>
      </w:r>
      <w:proofErr w:type="spellStart"/>
      <w:r w:rsidRPr="00723361">
        <w:rPr>
          <w:rFonts w:ascii="Times New Roman" w:eastAsia="Calibri" w:hAnsi="Times New Roman" w:cs="Times New Roman"/>
          <w:sz w:val="24"/>
          <w:szCs w:val="24"/>
        </w:rPr>
        <w:t>Nwalieji</w:t>
      </w:r>
      <w:proofErr w:type="spellEnd"/>
      <w:r w:rsidRPr="00723361">
        <w:rPr>
          <w:rFonts w:ascii="Times New Roman" w:eastAsia="Calibri" w:hAnsi="Times New Roman" w:cs="Times New Roman"/>
          <w:sz w:val="24"/>
          <w:szCs w:val="24"/>
        </w:rPr>
        <w:t xml:space="preserve"> CA, </w:t>
      </w:r>
      <w:proofErr w:type="spellStart"/>
      <w:r w:rsidRPr="00723361">
        <w:rPr>
          <w:rFonts w:ascii="Times New Roman" w:eastAsia="Calibri" w:hAnsi="Times New Roman" w:cs="Times New Roman"/>
          <w:sz w:val="24"/>
          <w:szCs w:val="24"/>
        </w:rPr>
        <w:t>Igwe</w:t>
      </w:r>
      <w:proofErr w:type="spellEnd"/>
      <w:r w:rsidRPr="00723361">
        <w:rPr>
          <w:rFonts w:ascii="Times New Roman" w:eastAsia="Calibri" w:hAnsi="Times New Roman" w:cs="Times New Roman"/>
          <w:sz w:val="24"/>
          <w:szCs w:val="24"/>
        </w:rPr>
        <w:t xml:space="preserve"> FO, </w:t>
      </w:r>
      <w:proofErr w:type="spellStart"/>
      <w:r w:rsidRPr="00723361">
        <w:rPr>
          <w:rFonts w:ascii="Times New Roman" w:eastAsia="Calibri" w:hAnsi="Times New Roman" w:cs="Times New Roman"/>
          <w:sz w:val="24"/>
          <w:szCs w:val="24"/>
        </w:rPr>
        <w:t>Umoke</w:t>
      </w:r>
      <w:proofErr w:type="spellEnd"/>
      <w:r w:rsidRPr="00723361">
        <w:rPr>
          <w:rFonts w:ascii="Times New Roman" w:eastAsia="Calibri" w:hAnsi="Times New Roman" w:cs="Times New Roman"/>
          <w:sz w:val="24"/>
          <w:szCs w:val="24"/>
        </w:rPr>
        <w:t xml:space="preserve"> UG, </w:t>
      </w:r>
      <w:proofErr w:type="spellStart"/>
      <w:r w:rsidRPr="00723361">
        <w:rPr>
          <w:rFonts w:ascii="Times New Roman" w:eastAsia="Calibri" w:hAnsi="Times New Roman" w:cs="Times New Roman"/>
          <w:sz w:val="24"/>
          <w:szCs w:val="24"/>
        </w:rPr>
        <w:t>Onwe</w:t>
      </w:r>
      <w:proofErr w:type="spellEnd"/>
      <w:r w:rsidRPr="00723361">
        <w:rPr>
          <w:rFonts w:ascii="Times New Roman" w:eastAsia="Calibri" w:hAnsi="Times New Roman" w:cs="Times New Roman"/>
          <w:sz w:val="24"/>
          <w:szCs w:val="24"/>
        </w:rPr>
        <w:t xml:space="preserve"> RN, </w:t>
      </w:r>
      <w:proofErr w:type="spellStart"/>
      <w:r w:rsidRPr="00723361">
        <w:rPr>
          <w:rFonts w:ascii="Times New Roman" w:eastAsia="Calibri" w:hAnsi="Times New Roman" w:cs="Times New Roman"/>
          <w:sz w:val="24"/>
          <w:szCs w:val="24"/>
        </w:rPr>
        <w:t>Nwazunku</w:t>
      </w:r>
      <w:proofErr w:type="spellEnd"/>
      <w:r w:rsidRPr="00723361">
        <w:rPr>
          <w:rFonts w:ascii="Times New Roman" w:eastAsia="Calibri" w:hAnsi="Times New Roman" w:cs="Times New Roman"/>
          <w:sz w:val="24"/>
          <w:szCs w:val="24"/>
        </w:rPr>
        <w:t xml:space="preserve"> AA, </w:t>
      </w:r>
      <w:proofErr w:type="spellStart"/>
      <w:r w:rsidRPr="00723361">
        <w:rPr>
          <w:rFonts w:ascii="Times New Roman" w:eastAsia="Calibri" w:hAnsi="Times New Roman" w:cs="Times New Roman"/>
          <w:sz w:val="24"/>
          <w:szCs w:val="24"/>
        </w:rPr>
        <w:t>Nwafor</w:t>
      </w:r>
      <w:proofErr w:type="spellEnd"/>
      <w:r w:rsidRPr="00723361">
        <w:rPr>
          <w:rFonts w:ascii="Times New Roman" w:eastAsia="Calibri" w:hAnsi="Times New Roman" w:cs="Times New Roman"/>
          <w:sz w:val="24"/>
          <w:szCs w:val="24"/>
        </w:rPr>
        <w:t xml:space="preserve"> IE, </w:t>
      </w:r>
      <w:proofErr w:type="spellStart"/>
      <w:r w:rsidRPr="00723361">
        <w:rPr>
          <w:rFonts w:ascii="Times New Roman" w:eastAsia="Calibri" w:hAnsi="Times New Roman" w:cs="Times New Roman"/>
          <w:sz w:val="24"/>
          <w:szCs w:val="24"/>
        </w:rPr>
        <w:t>Chukwu</w:t>
      </w:r>
      <w:proofErr w:type="spellEnd"/>
      <w:r w:rsidRPr="00723361">
        <w:rPr>
          <w:rFonts w:ascii="Times New Roman" w:eastAsia="Calibri" w:hAnsi="Times New Roman" w:cs="Times New Roman"/>
          <w:sz w:val="24"/>
          <w:szCs w:val="24"/>
        </w:rPr>
        <w:t xml:space="preserve"> OJ, </w:t>
      </w:r>
      <w:proofErr w:type="spellStart"/>
      <w:r w:rsidRPr="00723361">
        <w:rPr>
          <w:rFonts w:ascii="Times New Roman" w:eastAsia="Calibri" w:hAnsi="Times New Roman" w:cs="Times New Roman"/>
          <w:sz w:val="24"/>
          <w:szCs w:val="24"/>
        </w:rPr>
        <w:t>Eyo</w:t>
      </w:r>
      <w:proofErr w:type="spellEnd"/>
      <w:r w:rsidRPr="00723361">
        <w:rPr>
          <w:rFonts w:ascii="Times New Roman" w:eastAsia="Calibri" w:hAnsi="Times New Roman" w:cs="Times New Roman"/>
          <w:sz w:val="24"/>
          <w:szCs w:val="24"/>
        </w:rPr>
        <w:t xml:space="preserve"> N, </w:t>
      </w:r>
      <w:proofErr w:type="spellStart"/>
      <w:proofErr w:type="gramStart"/>
      <w:r w:rsidRPr="00723361">
        <w:rPr>
          <w:rFonts w:ascii="Times New Roman" w:eastAsia="Calibri" w:hAnsi="Times New Roman" w:cs="Times New Roman"/>
          <w:sz w:val="24"/>
          <w:szCs w:val="24"/>
        </w:rPr>
        <w:t>UgwuA</w:t>
      </w:r>
      <w:proofErr w:type="spellEnd"/>
      <w:r w:rsidRPr="00723361">
        <w:rPr>
          <w:rFonts w:ascii="Times New Roman" w:eastAsia="Calibri" w:hAnsi="Times New Roman" w:cs="Times New Roman"/>
          <w:sz w:val="24"/>
          <w:szCs w:val="24"/>
        </w:rPr>
        <w:t xml:space="preserve"> ,</w:t>
      </w:r>
      <w:proofErr w:type="gramEnd"/>
      <w:r w:rsidRPr="00723361">
        <w:rPr>
          <w:rFonts w:ascii="Times New Roman" w:eastAsia="Calibri" w:hAnsi="Times New Roman" w:cs="Times New Roman"/>
          <w:sz w:val="24"/>
          <w:szCs w:val="24"/>
        </w:rPr>
        <w:t xml:space="preserve"> </w:t>
      </w:r>
      <w:proofErr w:type="spellStart"/>
      <w:r w:rsidRPr="00723361">
        <w:rPr>
          <w:rFonts w:ascii="Times New Roman" w:eastAsia="Calibri" w:hAnsi="Times New Roman" w:cs="Times New Roman"/>
          <w:sz w:val="24"/>
          <w:szCs w:val="24"/>
        </w:rPr>
        <w:t>Ogbonnaya</w:t>
      </w:r>
      <w:proofErr w:type="spellEnd"/>
      <w:r w:rsidRPr="00723361">
        <w:rPr>
          <w:rFonts w:ascii="Times New Roman" w:eastAsia="Calibri" w:hAnsi="Times New Roman" w:cs="Times New Roman"/>
          <w:sz w:val="24"/>
          <w:szCs w:val="24"/>
        </w:rPr>
        <w:t xml:space="preserve"> K, </w:t>
      </w:r>
      <w:proofErr w:type="spellStart"/>
      <w:r w:rsidRPr="00723361">
        <w:rPr>
          <w:rFonts w:ascii="Times New Roman" w:eastAsia="Calibri" w:hAnsi="Times New Roman" w:cs="Times New Roman"/>
          <w:sz w:val="24"/>
          <w:szCs w:val="24"/>
        </w:rPr>
        <w:t>Okeke</w:t>
      </w:r>
      <w:proofErr w:type="spellEnd"/>
      <w:r w:rsidRPr="00723361">
        <w:rPr>
          <w:rFonts w:ascii="Times New Roman" w:eastAsia="Calibri" w:hAnsi="Times New Roman" w:cs="Times New Roman"/>
          <w:sz w:val="24"/>
          <w:szCs w:val="24"/>
        </w:rPr>
        <w:t xml:space="preserve"> E, Eke D (2021). Investigating Factors Associated with Immunization</w:t>
      </w:r>
      <w:r w:rsidRPr="005A0AB4">
        <w:rPr>
          <w:rFonts w:ascii="Times New Roman" w:eastAsia="Calibri" w:hAnsi="Times New Roman" w:cs="Times New Roman"/>
          <w:sz w:val="24"/>
          <w:szCs w:val="24"/>
        </w:rPr>
        <w:t xml:space="preserve"> Incompletion of Children Under Five in </w:t>
      </w:r>
      <w:proofErr w:type="spellStart"/>
      <w:r w:rsidRPr="005A0AB4">
        <w:rPr>
          <w:rFonts w:ascii="Times New Roman" w:eastAsia="Calibri" w:hAnsi="Times New Roman" w:cs="Times New Roman"/>
          <w:sz w:val="24"/>
          <w:szCs w:val="24"/>
        </w:rPr>
        <w:t>Ebonyi</w:t>
      </w:r>
      <w:proofErr w:type="spellEnd"/>
      <w:r w:rsidRPr="005A0AB4">
        <w:rPr>
          <w:rFonts w:ascii="Times New Roman" w:eastAsia="Calibri" w:hAnsi="Times New Roman" w:cs="Times New Roman"/>
          <w:sz w:val="24"/>
          <w:szCs w:val="24"/>
        </w:rPr>
        <w:t xml:space="preserve"> State, Southeast Nigeria: Implication for Policy Dialogue. Global Pediatric Health, 8,1 –18.</w:t>
      </w:r>
    </w:p>
    <w:p w14:paraId="39A99D88" w14:textId="77777777" w:rsidR="00B169D2" w:rsidRDefault="00B169D2" w:rsidP="00462A8C">
      <w:pPr>
        <w:numPr>
          <w:ilvl w:val="0"/>
          <w:numId w:val="1"/>
        </w:numPr>
        <w:spacing w:after="200"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Wagstaff</w:t>
      </w:r>
      <w:proofErr w:type="spellEnd"/>
      <w:r>
        <w:rPr>
          <w:rFonts w:ascii="Times New Roman" w:eastAsia="Calibri" w:hAnsi="Times New Roman" w:cs="Times New Roman"/>
          <w:sz w:val="24"/>
          <w:szCs w:val="24"/>
        </w:rPr>
        <w:t xml:space="preserve">, A, Flores, G, </w:t>
      </w:r>
      <w:proofErr w:type="spellStart"/>
      <w:r>
        <w:rPr>
          <w:rFonts w:ascii="Times New Roman" w:eastAsia="Calibri" w:hAnsi="Times New Roman" w:cs="Times New Roman"/>
          <w:sz w:val="24"/>
          <w:szCs w:val="24"/>
        </w:rPr>
        <w:t>Smitz</w:t>
      </w:r>
      <w:proofErr w:type="spellEnd"/>
      <w:r>
        <w:rPr>
          <w:rFonts w:ascii="Times New Roman" w:eastAsia="Calibri" w:hAnsi="Times New Roman" w:cs="Times New Roman"/>
          <w:sz w:val="24"/>
          <w:szCs w:val="24"/>
        </w:rPr>
        <w:t xml:space="preserve">, MF, Hsu, J, </w:t>
      </w:r>
      <w:proofErr w:type="spellStart"/>
      <w:r>
        <w:rPr>
          <w:rFonts w:ascii="Times New Roman" w:eastAsia="Calibri" w:hAnsi="Times New Roman" w:cs="Times New Roman"/>
          <w:sz w:val="24"/>
          <w:szCs w:val="24"/>
        </w:rPr>
        <w:t>Chepynoga</w:t>
      </w:r>
      <w:proofErr w:type="spellEnd"/>
      <w:r>
        <w:rPr>
          <w:rFonts w:ascii="Times New Roman" w:eastAsia="Calibri" w:hAnsi="Times New Roman" w:cs="Times New Roman"/>
          <w:sz w:val="24"/>
          <w:szCs w:val="24"/>
        </w:rPr>
        <w:t xml:space="preserve">, K, </w:t>
      </w:r>
      <w:proofErr w:type="spellStart"/>
      <w:r>
        <w:rPr>
          <w:rFonts w:ascii="Times New Roman" w:eastAsia="Calibri" w:hAnsi="Times New Roman" w:cs="Times New Roman"/>
          <w:sz w:val="24"/>
          <w:szCs w:val="24"/>
        </w:rPr>
        <w:t>Eozenou</w:t>
      </w:r>
      <w:proofErr w:type="spellEnd"/>
      <w:r>
        <w:rPr>
          <w:rFonts w:ascii="Times New Roman" w:eastAsia="Calibri" w:hAnsi="Times New Roman" w:cs="Times New Roman"/>
          <w:sz w:val="24"/>
          <w:szCs w:val="24"/>
        </w:rPr>
        <w:t>, P (</w:t>
      </w:r>
      <w:r w:rsidRPr="003461F1">
        <w:rPr>
          <w:rFonts w:ascii="Times New Roman" w:eastAsia="Calibri" w:hAnsi="Times New Roman" w:cs="Times New Roman"/>
          <w:sz w:val="24"/>
          <w:szCs w:val="24"/>
        </w:rPr>
        <w:t>2018</w:t>
      </w:r>
      <w:r>
        <w:rPr>
          <w:rFonts w:ascii="Times New Roman" w:eastAsia="Calibri" w:hAnsi="Times New Roman" w:cs="Times New Roman"/>
          <w:sz w:val="24"/>
          <w:szCs w:val="24"/>
        </w:rPr>
        <w:t>)</w:t>
      </w:r>
      <w:r w:rsidRPr="003461F1">
        <w:rPr>
          <w:rFonts w:ascii="Times New Roman" w:eastAsia="Calibri" w:hAnsi="Times New Roman" w:cs="Times New Roman"/>
          <w:sz w:val="24"/>
          <w:szCs w:val="24"/>
        </w:rPr>
        <w:t xml:space="preserve">. Progress on impoverishing health spending in 122 countries: a retrospective observational study. Lancet Global Health, </w:t>
      </w:r>
      <w:proofErr w:type="gramStart"/>
      <w:r w:rsidRPr="003461F1">
        <w:rPr>
          <w:rFonts w:ascii="Times New Roman" w:eastAsia="Calibri" w:hAnsi="Times New Roman" w:cs="Times New Roman"/>
          <w:sz w:val="24"/>
          <w:szCs w:val="24"/>
        </w:rPr>
        <w:t>6:e</w:t>
      </w:r>
      <w:proofErr w:type="gramEnd"/>
      <w:r w:rsidRPr="003461F1">
        <w:rPr>
          <w:rFonts w:ascii="Times New Roman" w:eastAsia="Calibri" w:hAnsi="Times New Roman" w:cs="Times New Roman"/>
          <w:sz w:val="24"/>
          <w:szCs w:val="24"/>
        </w:rPr>
        <w:t>180 –192. https://doi.org/10.1016/S2214-109X(17)30486-2</w:t>
      </w:r>
    </w:p>
    <w:p w14:paraId="3B0D3243" w14:textId="77777777" w:rsidR="00B169D2" w:rsidRDefault="00B169D2" w:rsidP="00462A8C">
      <w:pPr>
        <w:numPr>
          <w:ilvl w:val="0"/>
          <w:numId w:val="1"/>
        </w:numPr>
        <w:spacing w:after="200" w:line="360" w:lineRule="auto"/>
        <w:contextualSpacing/>
        <w:jc w:val="both"/>
        <w:rPr>
          <w:rFonts w:ascii="Times New Roman" w:eastAsia="Calibri" w:hAnsi="Times New Roman" w:cs="Times New Roman"/>
          <w:sz w:val="24"/>
          <w:szCs w:val="24"/>
        </w:rPr>
      </w:pPr>
      <w:r w:rsidRPr="003461F1">
        <w:rPr>
          <w:rFonts w:ascii="Times New Roman" w:eastAsia="Calibri" w:hAnsi="Times New Roman" w:cs="Times New Roman"/>
          <w:sz w:val="24"/>
          <w:szCs w:val="24"/>
        </w:rPr>
        <w:t xml:space="preserve">World Health Organization (WHO). (2018). Establishing and Strengthening Immunization in the Second Year of Life: Practices for Vaccination </w:t>
      </w:r>
      <w:r>
        <w:rPr>
          <w:rFonts w:ascii="Times New Roman" w:eastAsia="Calibri" w:hAnsi="Times New Roman" w:cs="Times New Roman"/>
          <w:sz w:val="24"/>
          <w:szCs w:val="24"/>
        </w:rPr>
        <w:t>B</w:t>
      </w:r>
      <w:r w:rsidRPr="003461F1">
        <w:rPr>
          <w:rFonts w:ascii="Times New Roman" w:eastAsia="Calibri" w:hAnsi="Times New Roman" w:cs="Times New Roman"/>
          <w:sz w:val="24"/>
          <w:szCs w:val="24"/>
        </w:rPr>
        <w:t xml:space="preserve">eyond Infancy. </w:t>
      </w:r>
      <w:hyperlink r:id="rId14" w:history="1">
        <w:r w:rsidRPr="00012C1E">
          <w:rPr>
            <w:rStyle w:val="Hyperlink"/>
            <w:rFonts w:ascii="Times New Roman" w:eastAsia="Calibri" w:hAnsi="Times New Roman" w:cs="Times New Roman"/>
            <w:sz w:val="24"/>
            <w:szCs w:val="24"/>
          </w:rPr>
          <w:t>https://www.who.int/immunization/programmes_systems/policies_ strategies/2YL/en/</w:t>
        </w:r>
      </w:hyperlink>
      <w:r>
        <w:rPr>
          <w:rFonts w:ascii="Times New Roman" w:eastAsia="Calibri" w:hAnsi="Times New Roman" w:cs="Times New Roman"/>
          <w:sz w:val="24"/>
          <w:szCs w:val="24"/>
        </w:rPr>
        <w:t xml:space="preserve">  </w:t>
      </w:r>
    </w:p>
    <w:p w14:paraId="044E159A" w14:textId="77777777" w:rsidR="00B169D2" w:rsidRPr="00772DE3" w:rsidRDefault="00B169D2" w:rsidP="00462A8C">
      <w:pPr>
        <w:numPr>
          <w:ilvl w:val="0"/>
          <w:numId w:val="1"/>
        </w:numPr>
        <w:spacing w:after="200" w:line="360" w:lineRule="auto"/>
        <w:contextualSpacing/>
        <w:jc w:val="both"/>
        <w:rPr>
          <w:rFonts w:ascii="Times New Roman" w:eastAsia="Calibri" w:hAnsi="Times New Roman" w:cs="Times New Roman"/>
          <w:sz w:val="24"/>
          <w:szCs w:val="24"/>
        </w:rPr>
      </w:pPr>
      <w:r w:rsidRPr="00772DE3">
        <w:rPr>
          <w:rFonts w:ascii="Times New Roman" w:eastAsia="Calibri" w:hAnsi="Times New Roman" w:cs="Times New Roman"/>
          <w:sz w:val="24"/>
          <w:szCs w:val="24"/>
        </w:rPr>
        <w:t xml:space="preserve">World Health Organization. Immunization coverage. WHO fact sheet 2019. </w:t>
      </w:r>
      <w:hyperlink r:id="rId15" w:history="1">
        <w:r w:rsidRPr="00772DE3">
          <w:rPr>
            <w:rFonts w:ascii="Times New Roman" w:eastAsia="Calibri" w:hAnsi="Times New Roman" w:cs="Times New Roman"/>
            <w:color w:val="0000FF"/>
            <w:sz w:val="24"/>
            <w:szCs w:val="24"/>
            <w:u w:val="single"/>
          </w:rPr>
          <w:t>https://www.who.int/news-room/fact-sheets/detail/immunization-coverage</w:t>
        </w:r>
      </w:hyperlink>
      <w:r w:rsidRPr="00772DE3">
        <w:rPr>
          <w:rFonts w:ascii="Times New Roman" w:eastAsia="Calibri" w:hAnsi="Times New Roman" w:cs="Times New Roman"/>
          <w:sz w:val="24"/>
          <w:szCs w:val="24"/>
        </w:rPr>
        <w:t>.</w:t>
      </w:r>
    </w:p>
    <w:p w14:paraId="429F5F94" w14:textId="77777777" w:rsidR="00B169D2" w:rsidRPr="00772DE3" w:rsidRDefault="00B169D2" w:rsidP="00462A8C">
      <w:pPr>
        <w:numPr>
          <w:ilvl w:val="0"/>
          <w:numId w:val="1"/>
        </w:numPr>
        <w:spacing w:after="200" w:line="360" w:lineRule="auto"/>
        <w:contextualSpacing/>
        <w:jc w:val="both"/>
        <w:rPr>
          <w:rFonts w:ascii="Times New Roman" w:eastAsia="Calibri" w:hAnsi="Times New Roman" w:cs="Times New Roman"/>
          <w:sz w:val="24"/>
          <w:szCs w:val="24"/>
        </w:rPr>
      </w:pPr>
      <w:r w:rsidRPr="00772DE3">
        <w:rPr>
          <w:rFonts w:ascii="Times New Roman" w:eastAsia="Calibri" w:hAnsi="Times New Roman" w:cs="Times New Roman"/>
          <w:sz w:val="24"/>
          <w:szCs w:val="24"/>
        </w:rPr>
        <w:t xml:space="preserve">WHO and UNICEF. Estimates of immunization coverage 2018 revision. WHO and UNICEF estimates of national immunization coverage. Updated 2019; 1 – 30. </w:t>
      </w:r>
      <w:hyperlink r:id="rId16" w:history="1">
        <w:r w:rsidRPr="00012C1E">
          <w:rPr>
            <w:rStyle w:val="Hyperlink"/>
            <w:rFonts w:ascii="Times New Roman" w:eastAsia="Calibri" w:hAnsi="Times New Roman" w:cs="Times New Roman"/>
            <w:sz w:val="24"/>
            <w:szCs w:val="24"/>
          </w:rPr>
          <w:t>https://www.google.com/url</w:t>
        </w:r>
      </w:hyperlink>
      <w:r>
        <w:rPr>
          <w:rFonts w:ascii="Times New Roman" w:eastAsia="Calibri" w:hAnsi="Times New Roman" w:cs="Times New Roman"/>
          <w:sz w:val="24"/>
          <w:szCs w:val="24"/>
        </w:rPr>
        <w:t xml:space="preserve"> </w:t>
      </w:r>
    </w:p>
    <w:p w14:paraId="7722982A" w14:textId="77777777" w:rsidR="00B169D2" w:rsidRPr="00B73217" w:rsidRDefault="00B169D2" w:rsidP="00B73217">
      <w:pPr>
        <w:numPr>
          <w:ilvl w:val="0"/>
          <w:numId w:val="1"/>
        </w:numPr>
        <w:spacing w:after="200" w:line="360" w:lineRule="auto"/>
        <w:contextualSpacing/>
        <w:jc w:val="both"/>
        <w:rPr>
          <w:rFonts w:ascii="Times New Roman" w:eastAsia="Calibri" w:hAnsi="Times New Roman" w:cs="Times New Roman"/>
          <w:sz w:val="24"/>
          <w:szCs w:val="24"/>
        </w:rPr>
      </w:pPr>
      <w:proofErr w:type="spellStart"/>
      <w:r w:rsidRPr="00B73217">
        <w:rPr>
          <w:rFonts w:ascii="Times New Roman" w:eastAsia="Calibri" w:hAnsi="Times New Roman" w:cs="Times New Roman"/>
          <w:sz w:val="24"/>
          <w:szCs w:val="24"/>
        </w:rPr>
        <w:t>Woyessa</w:t>
      </w:r>
      <w:proofErr w:type="spellEnd"/>
      <w:r w:rsidRPr="00B73217">
        <w:rPr>
          <w:rFonts w:ascii="Times New Roman" w:eastAsia="Calibri" w:hAnsi="Times New Roman" w:cs="Times New Roman"/>
          <w:sz w:val="24"/>
          <w:szCs w:val="24"/>
        </w:rPr>
        <w:t xml:space="preserve">, AB, Shah, MP, </w:t>
      </w:r>
      <w:proofErr w:type="spellStart"/>
      <w:r w:rsidRPr="00B73217">
        <w:rPr>
          <w:rFonts w:ascii="Times New Roman" w:eastAsia="Calibri" w:hAnsi="Times New Roman" w:cs="Times New Roman"/>
          <w:sz w:val="24"/>
          <w:szCs w:val="24"/>
        </w:rPr>
        <w:t>Azmeraye</w:t>
      </w:r>
      <w:proofErr w:type="spellEnd"/>
      <w:r w:rsidRPr="00B73217">
        <w:rPr>
          <w:rFonts w:ascii="Times New Roman" w:eastAsia="Calibri" w:hAnsi="Times New Roman" w:cs="Times New Roman"/>
          <w:sz w:val="24"/>
          <w:szCs w:val="24"/>
        </w:rPr>
        <w:t xml:space="preserve">, BM, Pan, J, </w:t>
      </w:r>
      <w:proofErr w:type="spellStart"/>
      <w:r w:rsidRPr="00B73217">
        <w:rPr>
          <w:rFonts w:ascii="Times New Roman" w:eastAsia="Calibri" w:hAnsi="Times New Roman" w:cs="Times New Roman"/>
          <w:sz w:val="24"/>
          <w:szCs w:val="24"/>
        </w:rPr>
        <w:t>Lisanwork</w:t>
      </w:r>
      <w:proofErr w:type="spellEnd"/>
      <w:r w:rsidRPr="00B73217">
        <w:rPr>
          <w:rFonts w:ascii="Times New Roman" w:eastAsia="Calibri" w:hAnsi="Times New Roman" w:cs="Times New Roman"/>
          <w:sz w:val="24"/>
          <w:szCs w:val="24"/>
        </w:rPr>
        <w:t xml:space="preserve">, L, </w:t>
      </w:r>
      <w:proofErr w:type="spellStart"/>
      <w:r w:rsidRPr="00B73217">
        <w:rPr>
          <w:rFonts w:ascii="Times New Roman" w:eastAsia="Calibri" w:hAnsi="Times New Roman" w:cs="Times New Roman"/>
          <w:sz w:val="24"/>
          <w:szCs w:val="24"/>
        </w:rPr>
        <w:t>Yimer</w:t>
      </w:r>
      <w:proofErr w:type="spellEnd"/>
      <w:r w:rsidRPr="00B73217">
        <w:rPr>
          <w:rFonts w:ascii="Times New Roman" w:eastAsia="Calibri" w:hAnsi="Times New Roman" w:cs="Times New Roman"/>
          <w:sz w:val="24"/>
          <w:szCs w:val="24"/>
        </w:rPr>
        <w:t xml:space="preserve">, G, Wang, S, </w:t>
      </w:r>
      <w:proofErr w:type="spellStart"/>
      <w:r w:rsidRPr="00B73217">
        <w:rPr>
          <w:rFonts w:ascii="Times New Roman" w:eastAsia="Calibri" w:hAnsi="Times New Roman" w:cs="Times New Roman"/>
          <w:sz w:val="24"/>
          <w:szCs w:val="24"/>
        </w:rPr>
        <w:t>Nuorti</w:t>
      </w:r>
      <w:proofErr w:type="spellEnd"/>
      <w:r w:rsidRPr="00B73217">
        <w:rPr>
          <w:rFonts w:ascii="Times New Roman" w:eastAsia="Calibri" w:hAnsi="Times New Roman" w:cs="Times New Roman"/>
          <w:sz w:val="24"/>
          <w:szCs w:val="24"/>
        </w:rPr>
        <w:t xml:space="preserve">, JP, </w:t>
      </w:r>
      <w:proofErr w:type="spellStart"/>
      <w:r w:rsidRPr="00B73217">
        <w:rPr>
          <w:rFonts w:ascii="Times New Roman" w:eastAsia="Calibri" w:hAnsi="Times New Roman" w:cs="Times New Roman"/>
          <w:sz w:val="24"/>
          <w:szCs w:val="24"/>
        </w:rPr>
        <w:t>Artama</w:t>
      </w:r>
      <w:proofErr w:type="spellEnd"/>
      <w:r w:rsidRPr="00B73217">
        <w:rPr>
          <w:rFonts w:ascii="Times New Roman" w:eastAsia="Calibri" w:hAnsi="Times New Roman" w:cs="Times New Roman"/>
          <w:sz w:val="24"/>
          <w:szCs w:val="24"/>
        </w:rPr>
        <w:t xml:space="preserve">, M, </w:t>
      </w:r>
      <w:proofErr w:type="spellStart"/>
      <w:r w:rsidRPr="00B73217">
        <w:rPr>
          <w:rFonts w:ascii="Times New Roman" w:eastAsia="Calibri" w:hAnsi="Times New Roman" w:cs="Times New Roman"/>
          <w:sz w:val="24"/>
          <w:szCs w:val="24"/>
        </w:rPr>
        <w:t>Matanock</w:t>
      </w:r>
      <w:proofErr w:type="spellEnd"/>
      <w:r w:rsidRPr="00B73217">
        <w:rPr>
          <w:rFonts w:ascii="Times New Roman" w:eastAsia="Calibri" w:hAnsi="Times New Roman" w:cs="Times New Roman"/>
          <w:sz w:val="24"/>
          <w:szCs w:val="24"/>
        </w:rPr>
        <w:t xml:space="preserve">, AM, An, Q, Samuel, P, </w:t>
      </w:r>
      <w:proofErr w:type="spellStart"/>
      <w:r w:rsidRPr="00B73217">
        <w:rPr>
          <w:rFonts w:ascii="Times New Roman" w:eastAsia="Calibri" w:hAnsi="Times New Roman" w:cs="Times New Roman"/>
          <w:sz w:val="24"/>
          <w:szCs w:val="24"/>
        </w:rPr>
        <w:t>Tolera</w:t>
      </w:r>
      <w:proofErr w:type="spellEnd"/>
      <w:r w:rsidRPr="00B73217">
        <w:rPr>
          <w:rFonts w:ascii="Times New Roman" w:eastAsia="Calibri" w:hAnsi="Times New Roman" w:cs="Times New Roman"/>
          <w:sz w:val="24"/>
          <w:szCs w:val="24"/>
        </w:rPr>
        <w:t xml:space="preserve">, B, </w:t>
      </w:r>
      <w:proofErr w:type="spellStart"/>
      <w:r w:rsidRPr="00B73217">
        <w:rPr>
          <w:rFonts w:ascii="Times New Roman" w:eastAsia="Calibri" w:hAnsi="Times New Roman" w:cs="Times New Roman"/>
          <w:sz w:val="24"/>
          <w:szCs w:val="24"/>
        </w:rPr>
        <w:t>Kenate</w:t>
      </w:r>
      <w:proofErr w:type="spellEnd"/>
      <w:r w:rsidRPr="00B73217">
        <w:rPr>
          <w:rFonts w:ascii="Times New Roman" w:eastAsia="Calibri" w:hAnsi="Times New Roman" w:cs="Times New Roman"/>
          <w:sz w:val="24"/>
          <w:szCs w:val="24"/>
        </w:rPr>
        <w:t xml:space="preserve">, B, </w:t>
      </w:r>
      <w:proofErr w:type="spellStart"/>
      <w:r w:rsidRPr="00B73217">
        <w:rPr>
          <w:rFonts w:ascii="Times New Roman" w:eastAsia="Calibri" w:hAnsi="Times New Roman" w:cs="Times New Roman"/>
          <w:sz w:val="24"/>
          <w:szCs w:val="24"/>
        </w:rPr>
        <w:t>Bekele</w:t>
      </w:r>
      <w:proofErr w:type="spellEnd"/>
      <w:r w:rsidRPr="00B73217">
        <w:rPr>
          <w:rFonts w:ascii="Times New Roman" w:eastAsia="Calibri" w:hAnsi="Times New Roman" w:cs="Times New Roman"/>
          <w:sz w:val="24"/>
          <w:szCs w:val="24"/>
        </w:rPr>
        <w:t xml:space="preserve">, A, </w:t>
      </w:r>
      <w:proofErr w:type="spellStart"/>
      <w:r w:rsidRPr="00B73217">
        <w:rPr>
          <w:rFonts w:ascii="Times New Roman" w:eastAsia="Calibri" w:hAnsi="Times New Roman" w:cs="Times New Roman"/>
          <w:sz w:val="24"/>
          <w:szCs w:val="24"/>
        </w:rPr>
        <w:t>Deti</w:t>
      </w:r>
      <w:proofErr w:type="spellEnd"/>
      <w:r w:rsidRPr="00B73217">
        <w:rPr>
          <w:rFonts w:ascii="Times New Roman" w:eastAsia="Calibri" w:hAnsi="Times New Roman" w:cs="Times New Roman"/>
          <w:sz w:val="24"/>
          <w:szCs w:val="24"/>
        </w:rPr>
        <w:t xml:space="preserve">, T, Wako, G, </w:t>
      </w:r>
      <w:proofErr w:type="spellStart"/>
      <w:r w:rsidRPr="00B73217">
        <w:rPr>
          <w:rFonts w:ascii="Times New Roman" w:eastAsia="Calibri" w:hAnsi="Times New Roman" w:cs="Times New Roman"/>
          <w:sz w:val="24"/>
          <w:szCs w:val="24"/>
        </w:rPr>
        <w:t>Shiferaw</w:t>
      </w:r>
      <w:proofErr w:type="spellEnd"/>
      <w:r w:rsidRPr="00B73217">
        <w:rPr>
          <w:rFonts w:ascii="Times New Roman" w:eastAsia="Calibri" w:hAnsi="Times New Roman" w:cs="Times New Roman"/>
          <w:sz w:val="24"/>
          <w:szCs w:val="24"/>
        </w:rPr>
        <w:t xml:space="preserve">, A, </w:t>
      </w:r>
      <w:proofErr w:type="spellStart"/>
      <w:r w:rsidRPr="00B73217">
        <w:rPr>
          <w:rFonts w:ascii="Times New Roman" w:eastAsia="Calibri" w:hAnsi="Times New Roman" w:cs="Times New Roman"/>
          <w:sz w:val="24"/>
          <w:szCs w:val="24"/>
        </w:rPr>
        <w:t>Tefera</w:t>
      </w:r>
      <w:proofErr w:type="spellEnd"/>
      <w:r w:rsidRPr="00B73217">
        <w:rPr>
          <w:rFonts w:ascii="Times New Roman" w:eastAsia="Calibri" w:hAnsi="Times New Roman" w:cs="Times New Roman"/>
          <w:sz w:val="24"/>
          <w:szCs w:val="24"/>
        </w:rPr>
        <w:t xml:space="preserve">, YL, </w:t>
      </w:r>
      <w:proofErr w:type="spellStart"/>
      <w:r w:rsidRPr="00B73217">
        <w:rPr>
          <w:rFonts w:ascii="Times New Roman" w:eastAsia="Calibri" w:hAnsi="Times New Roman" w:cs="Times New Roman"/>
          <w:sz w:val="24"/>
          <w:szCs w:val="24"/>
        </w:rPr>
        <w:t>Kokebie</w:t>
      </w:r>
      <w:proofErr w:type="spellEnd"/>
      <w:r w:rsidRPr="00B73217">
        <w:rPr>
          <w:rFonts w:ascii="Times New Roman" w:eastAsia="Calibri" w:hAnsi="Times New Roman" w:cs="Times New Roman"/>
          <w:sz w:val="24"/>
          <w:szCs w:val="24"/>
        </w:rPr>
        <w:t xml:space="preserve">, MA, </w:t>
      </w:r>
      <w:proofErr w:type="spellStart"/>
      <w:r w:rsidRPr="00B73217">
        <w:rPr>
          <w:rFonts w:ascii="Times New Roman" w:eastAsia="Calibri" w:hAnsi="Times New Roman" w:cs="Times New Roman"/>
          <w:sz w:val="24"/>
          <w:szCs w:val="24"/>
        </w:rPr>
        <w:t>Anbessie</w:t>
      </w:r>
      <w:proofErr w:type="spellEnd"/>
      <w:r w:rsidRPr="00B73217">
        <w:rPr>
          <w:rFonts w:ascii="Times New Roman" w:eastAsia="Calibri" w:hAnsi="Times New Roman" w:cs="Times New Roman"/>
          <w:sz w:val="24"/>
          <w:szCs w:val="24"/>
        </w:rPr>
        <w:t xml:space="preserve">, TB, </w:t>
      </w:r>
      <w:proofErr w:type="spellStart"/>
      <w:r w:rsidRPr="00B73217">
        <w:rPr>
          <w:rFonts w:ascii="Times New Roman" w:eastAsia="Calibri" w:hAnsi="Times New Roman" w:cs="Times New Roman"/>
          <w:sz w:val="24"/>
          <w:szCs w:val="24"/>
        </w:rPr>
        <w:t>Wubie</w:t>
      </w:r>
      <w:proofErr w:type="spellEnd"/>
      <w:r w:rsidRPr="00B73217">
        <w:rPr>
          <w:rFonts w:ascii="Times New Roman" w:eastAsia="Calibri" w:hAnsi="Times New Roman" w:cs="Times New Roman"/>
          <w:sz w:val="24"/>
          <w:szCs w:val="24"/>
        </w:rPr>
        <w:t xml:space="preserve">, HT, Wallace, A, and </w:t>
      </w:r>
      <w:proofErr w:type="spellStart"/>
      <w:r w:rsidRPr="00B73217">
        <w:rPr>
          <w:rFonts w:ascii="Times New Roman" w:eastAsia="Calibri" w:hAnsi="Times New Roman" w:cs="Times New Roman"/>
          <w:sz w:val="24"/>
          <w:szCs w:val="24"/>
        </w:rPr>
        <w:t>Sugerman</w:t>
      </w:r>
      <w:proofErr w:type="spellEnd"/>
      <w:r w:rsidRPr="00B73217">
        <w:rPr>
          <w:rFonts w:ascii="Times New Roman" w:eastAsia="Calibri" w:hAnsi="Times New Roman" w:cs="Times New Roman"/>
          <w:sz w:val="24"/>
          <w:szCs w:val="24"/>
        </w:rPr>
        <w:t xml:space="preserve">, CE (2021). Factors associated with uptake of routine measles-containing vaccine doses among young children, Oromia regional state, Ethiopia. Vaccines, 12(762): 1 – 17. </w:t>
      </w:r>
      <w:hyperlink r:id="rId17" w:history="1">
        <w:r w:rsidRPr="00B73217">
          <w:rPr>
            <w:rStyle w:val="Hyperlink"/>
            <w:rFonts w:ascii="Times New Roman" w:eastAsia="Calibri" w:hAnsi="Times New Roman" w:cs="Times New Roman"/>
            <w:sz w:val="24"/>
            <w:szCs w:val="24"/>
          </w:rPr>
          <w:t>https://doi.org/10.3390/vaccines12070762</w:t>
        </w:r>
      </w:hyperlink>
      <w:r w:rsidRPr="00B73217">
        <w:rPr>
          <w:rFonts w:ascii="Times New Roman" w:eastAsia="Calibri" w:hAnsi="Times New Roman" w:cs="Times New Roman"/>
          <w:sz w:val="24"/>
          <w:szCs w:val="24"/>
        </w:rPr>
        <w:t xml:space="preserve"> </w:t>
      </w:r>
    </w:p>
    <w:p w14:paraId="0A27B6E6" w14:textId="77777777" w:rsidR="00723361" w:rsidRPr="00B73217" w:rsidRDefault="00723361" w:rsidP="00B73217">
      <w:pPr>
        <w:pStyle w:val="ListParagraph"/>
        <w:numPr>
          <w:ilvl w:val="0"/>
          <w:numId w:val="1"/>
        </w:numPr>
        <w:spacing w:line="360" w:lineRule="auto"/>
        <w:jc w:val="both"/>
        <w:rPr>
          <w:rFonts w:ascii="Times New Roman" w:hAnsi="Times New Roman" w:cs="Times New Roman"/>
          <w:sz w:val="24"/>
          <w:szCs w:val="24"/>
        </w:rPr>
      </w:pPr>
      <w:proofErr w:type="spellStart"/>
      <w:r w:rsidRPr="00B73217">
        <w:rPr>
          <w:rFonts w:ascii="Times New Roman" w:hAnsi="Times New Roman" w:cs="Times New Roman"/>
          <w:sz w:val="24"/>
          <w:szCs w:val="24"/>
        </w:rPr>
        <w:lastRenderedPageBreak/>
        <w:t>Zimet</w:t>
      </w:r>
      <w:proofErr w:type="spellEnd"/>
      <w:r w:rsidRPr="00B73217">
        <w:rPr>
          <w:rFonts w:ascii="Times New Roman" w:hAnsi="Times New Roman" w:cs="Times New Roman"/>
          <w:sz w:val="24"/>
          <w:szCs w:val="24"/>
        </w:rPr>
        <w:t xml:space="preserve">, G., Lim, E., Matsunaga, M., Liebermann, E., </w:t>
      </w:r>
      <w:proofErr w:type="spellStart"/>
      <w:r w:rsidRPr="00B73217">
        <w:rPr>
          <w:rFonts w:ascii="Times New Roman" w:hAnsi="Times New Roman" w:cs="Times New Roman"/>
          <w:sz w:val="24"/>
          <w:szCs w:val="24"/>
        </w:rPr>
        <w:t>Kornides</w:t>
      </w:r>
      <w:proofErr w:type="spellEnd"/>
      <w:r w:rsidRPr="00B73217">
        <w:rPr>
          <w:rFonts w:ascii="Times New Roman" w:hAnsi="Times New Roman" w:cs="Times New Roman"/>
          <w:sz w:val="24"/>
          <w:szCs w:val="24"/>
        </w:rPr>
        <w:t xml:space="preserve">, M., &amp; Fontenot, H. B. (2025). Early Adolescent Immunization Schedule Preferences: U.S. National Online Survey of Parents of Children Aged 9 – 10 Years. </w:t>
      </w:r>
      <w:r w:rsidRPr="00B73217">
        <w:rPr>
          <w:rFonts w:ascii="Times New Roman" w:hAnsi="Times New Roman" w:cs="Times New Roman"/>
          <w:i/>
          <w:sz w:val="24"/>
          <w:szCs w:val="24"/>
        </w:rPr>
        <w:t>Journal of Adolescent Health</w:t>
      </w:r>
      <w:r w:rsidRPr="00B73217">
        <w:rPr>
          <w:rFonts w:ascii="Times New Roman" w:hAnsi="Times New Roman" w:cs="Times New Roman"/>
          <w:sz w:val="24"/>
          <w:szCs w:val="24"/>
        </w:rPr>
        <w:t>, 77: S14 – S17.</w:t>
      </w:r>
    </w:p>
    <w:p w14:paraId="70F3A2BA" w14:textId="313E08A4" w:rsidR="007212FA" w:rsidRPr="00B73217" w:rsidRDefault="00B73217" w:rsidP="00B73217">
      <w:pPr>
        <w:numPr>
          <w:ilvl w:val="0"/>
          <w:numId w:val="1"/>
        </w:numPr>
        <w:spacing w:after="200" w:line="360" w:lineRule="auto"/>
        <w:contextualSpacing/>
        <w:jc w:val="both"/>
        <w:rPr>
          <w:rFonts w:ascii="Times New Roman" w:eastAsia="Calibri" w:hAnsi="Times New Roman" w:cs="Times New Roman"/>
          <w:sz w:val="24"/>
          <w:szCs w:val="24"/>
        </w:rPr>
      </w:pPr>
      <w:proofErr w:type="spellStart"/>
      <w:r w:rsidRPr="00B73217">
        <w:rPr>
          <w:rFonts w:ascii="Times New Roman" w:eastAsia="Calibri" w:hAnsi="Times New Roman" w:cs="Times New Roman"/>
          <w:sz w:val="24"/>
          <w:szCs w:val="24"/>
        </w:rPr>
        <w:t>Zewdie</w:t>
      </w:r>
      <w:proofErr w:type="spellEnd"/>
      <w:r w:rsidRPr="00B73217">
        <w:rPr>
          <w:rFonts w:ascii="Times New Roman" w:eastAsia="Calibri" w:hAnsi="Times New Roman" w:cs="Times New Roman"/>
          <w:sz w:val="24"/>
          <w:szCs w:val="24"/>
        </w:rPr>
        <w:t xml:space="preserve"> A, </w:t>
      </w:r>
      <w:proofErr w:type="spellStart"/>
      <w:r w:rsidRPr="00B73217">
        <w:rPr>
          <w:rFonts w:ascii="Times New Roman" w:eastAsia="Calibri" w:hAnsi="Times New Roman" w:cs="Times New Roman"/>
          <w:sz w:val="24"/>
          <w:szCs w:val="24"/>
        </w:rPr>
        <w:t>Letebo</w:t>
      </w:r>
      <w:proofErr w:type="spellEnd"/>
      <w:r w:rsidRPr="00B73217">
        <w:rPr>
          <w:rFonts w:ascii="Times New Roman" w:eastAsia="Calibri" w:hAnsi="Times New Roman" w:cs="Times New Roman"/>
          <w:sz w:val="24"/>
          <w:szCs w:val="24"/>
        </w:rPr>
        <w:t xml:space="preserve"> M, </w:t>
      </w:r>
      <w:proofErr w:type="spellStart"/>
      <w:r w:rsidRPr="00B73217">
        <w:rPr>
          <w:rFonts w:ascii="Times New Roman" w:eastAsia="Calibri" w:hAnsi="Times New Roman" w:cs="Times New Roman"/>
          <w:sz w:val="24"/>
          <w:szCs w:val="24"/>
        </w:rPr>
        <w:t>Mekonnen</w:t>
      </w:r>
      <w:proofErr w:type="spellEnd"/>
      <w:r w:rsidRPr="00B73217">
        <w:rPr>
          <w:rFonts w:ascii="Times New Roman" w:eastAsia="Calibri" w:hAnsi="Times New Roman" w:cs="Times New Roman"/>
          <w:sz w:val="24"/>
          <w:szCs w:val="24"/>
        </w:rPr>
        <w:t xml:space="preserve"> T. (2016). Reasons for defaulting </w:t>
      </w:r>
      <w:proofErr w:type="spellStart"/>
      <w:r w:rsidRPr="00B73217">
        <w:rPr>
          <w:rFonts w:ascii="Times New Roman" w:eastAsia="Calibri" w:hAnsi="Times New Roman" w:cs="Times New Roman"/>
          <w:sz w:val="24"/>
          <w:szCs w:val="24"/>
        </w:rPr>
        <w:t>fromchildhood</w:t>
      </w:r>
      <w:proofErr w:type="spellEnd"/>
      <w:r w:rsidRPr="00B73217">
        <w:rPr>
          <w:rFonts w:ascii="Times New Roman" w:eastAsia="Calibri" w:hAnsi="Times New Roman" w:cs="Times New Roman"/>
          <w:sz w:val="24"/>
          <w:szCs w:val="24"/>
        </w:rPr>
        <w:t xml:space="preserve"> immunization program: a qualitative study from </w:t>
      </w:r>
      <w:proofErr w:type="spellStart"/>
      <w:r w:rsidRPr="00B73217">
        <w:rPr>
          <w:rFonts w:ascii="Times New Roman" w:eastAsia="Calibri" w:hAnsi="Times New Roman" w:cs="Times New Roman"/>
          <w:sz w:val="24"/>
          <w:szCs w:val="24"/>
        </w:rPr>
        <w:t>Hadiya</w:t>
      </w:r>
      <w:proofErr w:type="spellEnd"/>
      <w:r w:rsidRPr="00B73217">
        <w:rPr>
          <w:rFonts w:ascii="Times New Roman" w:eastAsia="Calibri" w:hAnsi="Times New Roman" w:cs="Times New Roman"/>
          <w:sz w:val="24"/>
          <w:szCs w:val="24"/>
        </w:rPr>
        <w:t xml:space="preserve"> zone, Southern Ethiopia. BMC Public Health;16: 1240.</w:t>
      </w:r>
    </w:p>
    <w:p w14:paraId="05347694" w14:textId="77777777" w:rsidR="00B169D2" w:rsidRPr="00B73217" w:rsidRDefault="00B169D2" w:rsidP="00B73217">
      <w:pPr>
        <w:spacing w:after="200" w:line="360" w:lineRule="auto"/>
        <w:ind w:left="360"/>
        <w:contextualSpacing/>
        <w:jc w:val="both"/>
        <w:rPr>
          <w:rFonts w:ascii="Times New Roman" w:eastAsia="Calibri" w:hAnsi="Times New Roman" w:cs="Times New Roman"/>
          <w:sz w:val="24"/>
          <w:szCs w:val="24"/>
        </w:rPr>
      </w:pPr>
    </w:p>
    <w:p w14:paraId="48B5ADDC" w14:textId="77777777" w:rsidR="00B169D2" w:rsidRPr="00B73217" w:rsidRDefault="00B169D2" w:rsidP="00B73217">
      <w:pPr>
        <w:spacing w:after="100" w:line="360" w:lineRule="auto"/>
        <w:jc w:val="both"/>
        <w:rPr>
          <w:rFonts w:ascii="Times New Roman" w:eastAsia="Calibri" w:hAnsi="Times New Roman" w:cs="Times New Roman"/>
          <w:b/>
          <w:sz w:val="24"/>
          <w:szCs w:val="24"/>
          <w:u w:val="single"/>
        </w:rPr>
      </w:pPr>
    </w:p>
    <w:p w14:paraId="79D55AE0" w14:textId="77777777" w:rsidR="00B169D2" w:rsidRPr="00B73217" w:rsidRDefault="00B169D2" w:rsidP="00B73217">
      <w:pPr>
        <w:spacing w:line="360" w:lineRule="auto"/>
        <w:jc w:val="both"/>
        <w:rPr>
          <w:rFonts w:ascii="Times New Roman" w:hAnsi="Times New Roman" w:cs="Times New Roman"/>
          <w:sz w:val="24"/>
          <w:szCs w:val="24"/>
        </w:rPr>
        <w:sectPr w:rsidR="00B169D2" w:rsidRPr="00B73217" w:rsidSect="00C133C2">
          <w:pgSz w:w="12240" w:h="15840"/>
          <w:pgMar w:top="1440" w:right="1440" w:bottom="1440" w:left="1440" w:header="720" w:footer="720" w:gutter="0"/>
          <w:cols w:space="720"/>
          <w:docGrid w:linePitch="360"/>
        </w:sectPr>
      </w:pPr>
    </w:p>
    <w:p w14:paraId="53BD267F" w14:textId="043CA597" w:rsidR="000F699D" w:rsidRDefault="000F699D" w:rsidP="004234D4">
      <w:pPr>
        <w:spacing w:after="100" w:line="360" w:lineRule="auto"/>
        <w:jc w:val="both"/>
        <w:rPr>
          <w:rFonts w:ascii="Times New Roman" w:hAnsi="Times New Roman" w:cs="Times New Roman"/>
          <w:sz w:val="24"/>
          <w:szCs w:val="24"/>
        </w:rPr>
      </w:pPr>
    </w:p>
    <w:sectPr w:rsidR="000F699D" w:rsidSect="000B6CA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A5A35" w14:textId="77777777" w:rsidR="00506A4E" w:rsidRDefault="00506A4E" w:rsidP="007570AE">
      <w:pPr>
        <w:spacing w:after="0" w:line="240" w:lineRule="auto"/>
      </w:pPr>
      <w:r>
        <w:separator/>
      </w:r>
    </w:p>
  </w:endnote>
  <w:endnote w:type="continuationSeparator" w:id="0">
    <w:p w14:paraId="71B237CD" w14:textId="77777777" w:rsidR="00506A4E" w:rsidRDefault="00506A4E" w:rsidP="0075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DengXian">
    <w:panose1 w:val="02010600030101010101"/>
    <w:charset w:val="88"/>
    <w:family w:val="auto"/>
    <w:pitch w:val="variable"/>
    <w:sig w:usb0="A10102FF" w:usb1="38CF7CFA" w:usb2="00010016" w:usb3="00000000" w:csb0="0014000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3F7B1" w14:textId="77777777" w:rsidR="00506A4E" w:rsidRDefault="00506A4E" w:rsidP="007570AE">
      <w:pPr>
        <w:spacing w:after="0" w:line="240" w:lineRule="auto"/>
      </w:pPr>
      <w:r>
        <w:separator/>
      </w:r>
    </w:p>
  </w:footnote>
  <w:footnote w:type="continuationSeparator" w:id="0">
    <w:p w14:paraId="7EE5DC92" w14:textId="77777777" w:rsidR="00506A4E" w:rsidRDefault="00506A4E" w:rsidP="007570A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2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F4A0B"/>
    <w:multiLevelType w:val="hybridMultilevel"/>
    <w:tmpl w:val="31D8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2231A"/>
    <w:multiLevelType w:val="hybridMultilevel"/>
    <w:tmpl w:val="5C8A6EE0"/>
    <w:lvl w:ilvl="0" w:tplc="EE829E6E">
      <w:start w:val="8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B70BB"/>
    <w:multiLevelType w:val="hybridMultilevel"/>
    <w:tmpl w:val="EB7E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D60B7"/>
    <w:multiLevelType w:val="hybridMultilevel"/>
    <w:tmpl w:val="4210C8EE"/>
    <w:lvl w:ilvl="0" w:tplc="D9EA7DB6">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95F247C"/>
    <w:multiLevelType w:val="hybridMultilevel"/>
    <w:tmpl w:val="B8C0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92D06"/>
    <w:multiLevelType w:val="multilevel"/>
    <w:tmpl w:val="18A27C84"/>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052E84"/>
    <w:multiLevelType w:val="hybridMultilevel"/>
    <w:tmpl w:val="5C94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231F3"/>
    <w:multiLevelType w:val="hybridMultilevel"/>
    <w:tmpl w:val="B054F622"/>
    <w:lvl w:ilvl="0" w:tplc="805852B8">
      <w:start w:val="8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B93E5F"/>
    <w:multiLevelType w:val="hybridMultilevel"/>
    <w:tmpl w:val="BD28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366C7"/>
    <w:multiLevelType w:val="hybridMultilevel"/>
    <w:tmpl w:val="1922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91D7D"/>
    <w:multiLevelType w:val="hybridMultilevel"/>
    <w:tmpl w:val="5AAE3B6E"/>
    <w:lvl w:ilvl="0" w:tplc="B4083826">
      <w:start w:val="8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2A2E88"/>
    <w:multiLevelType w:val="hybridMultilevel"/>
    <w:tmpl w:val="FB3CB910"/>
    <w:lvl w:ilvl="0" w:tplc="109CA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EF096D"/>
    <w:multiLevelType w:val="hybridMultilevel"/>
    <w:tmpl w:val="54469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1A06D6"/>
    <w:multiLevelType w:val="hybridMultilevel"/>
    <w:tmpl w:val="0E3A4C36"/>
    <w:lvl w:ilvl="0" w:tplc="AD1C7CEC">
      <w:start w:val="8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FD2970"/>
    <w:multiLevelType w:val="hybridMultilevel"/>
    <w:tmpl w:val="3A90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A4DE9"/>
    <w:multiLevelType w:val="hybridMultilevel"/>
    <w:tmpl w:val="D256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B1913"/>
    <w:multiLevelType w:val="hybridMultilevel"/>
    <w:tmpl w:val="27286C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51135C"/>
    <w:multiLevelType w:val="hybridMultilevel"/>
    <w:tmpl w:val="D0AA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20A66"/>
    <w:multiLevelType w:val="hybridMultilevel"/>
    <w:tmpl w:val="FB3CB910"/>
    <w:lvl w:ilvl="0" w:tplc="109CA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0F0838"/>
    <w:multiLevelType w:val="hybridMultilevel"/>
    <w:tmpl w:val="BDD0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0310"/>
    <w:multiLevelType w:val="multilevel"/>
    <w:tmpl w:val="F94A521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5"/>
  </w:num>
  <w:num w:numId="3">
    <w:abstractNumId w:val="21"/>
  </w:num>
  <w:num w:numId="4">
    <w:abstractNumId w:val="3"/>
  </w:num>
  <w:num w:numId="5">
    <w:abstractNumId w:val="20"/>
  </w:num>
  <w:num w:numId="6">
    <w:abstractNumId w:val="9"/>
  </w:num>
  <w:num w:numId="7">
    <w:abstractNumId w:val="16"/>
  </w:num>
  <w:num w:numId="8">
    <w:abstractNumId w:val="4"/>
  </w:num>
  <w:num w:numId="9">
    <w:abstractNumId w:val="10"/>
  </w:num>
  <w:num w:numId="10">
    <w:abstractNumId w:val="7"/>
  </w:num>
  <w:num w:numId="11">
    <w:abstractNumId w:val="5"/>
  </w:num>
  <w:num w:numId="12">
    <w:abstractNumId w:val="18"/>
  </w:num>
  <w:num w:numId="13">
    <w:abstractNumId w:val="11"/>
  </w:num>
  <w:num w:numId="14">
    <w:abstractNumId w:val="2"/>
  </w:num>
  <w:num w:numId="15">
    <w:abstractNumId w:val="8"/>
  </w:num>
  <w:num w:numId="16">
    <w:abstractNumId w:val="14"/>
  </w:num>
  <w:num w:numId="17">
    <w:abstractNumId w:val="0"/>
  </w:num>
  <w:num w:numId="18">
    <w:abstractNumId w:val="6"/>
  </w:num>
  <w:num w:numId="19">
    <w:abstractNumId w:val="19"/>
  </w:num>
  <w:num w:numId="20">
    <w:abstractNumId w:val="12"/>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9D"/>
    <w:rsid w:val="000056FD"/>
    <w:rsid w:val="000212C3"/>
    <w:rsid w:val="0002577E"/>
    <w:rsid w:val="00032EA0"/>
    <w:rsid w:val="000463EE"/>
    <w:rsid w:val="0004782E"/>
    <w:rsid w:val="00047F5E"/>
    <w:rsid w:val="00064BA0"/>
    <w:rsid w:val="00072523"/>
    <w:rsid w:val="0007424E"/>
    <w:rsid w:val="000766A8"/>
    <w:rsid w:val="00093523"/>
    <w:rsid w:val="000A2C8D"/>
    <w:rsid w:val="000A48CA"/>
    <w:rsid w:val="000B5290"/>
    <w:rsid w:val="000B5903"/>
    <w:rsid w:val="000B6CA9"/>
    <w:rsid w:val="000D29BF"/>
    <w:rsid w:val="000E0768"/>
    <w:rsid w:val="000E7DF4"/>
    <w:rsid w:val="000F3B30"/>
    <w:rsid w:val="000F699D"/>
    <w:rsid w:val="001051AA"/>
    <w:rsid w:val="00106FA4"/>
    <w:rsid w:val="00110816"/>
    <w:rsid w:val="00127C9D"/>
    <w:rsid w:val="00143C81"/>
    <w:rsid w:val="00156FDD"/>
    <w:rsid w:val="001B221E"/>
    <w:rsid w:val="001C2240"/>
    <w:rsid w:val="001D00B9"/>
    <w:rsid w:val="001D02B0"/>
    <w:rsid w:val="001E725D"/>
    <w:rsid w:val="00205A9E"/>
    <w:rsid w:val="00220FAB"/>
    <w:rsid w:val="00256580"/>
    <w:rsid w:val="00256B06"/>
    <w:rsid w:val="00257A85"/>
    <w:rsid w:val="00262B43"/>
    <w:rsid w:val="00263B80"/>
    <w:rsid w:val="00273898"/>
    <w:rsid w:val="002A1378"/>
    <w:rsid w:val="002A1D01"/>
    <w:rsid w:val="002A21CE"/>
    <w:rsid w:val="002A4517"/>
    <w:rsid w:val="002B154F"/>
    <w:rsid w:val="002B5BE5"/>
    <w:rsid w:val="002C096C"/>
    <w:rsid w:val="002C0DC9"/>
    <w:rsid w:val="002C6A4B"/>
    <w:rsid w:val="002E137D"/>
    <w:rsid w:val="002E3583"/>
    <w:rsid w:val="002E6D65"/>
    <w:rsid w:val="002F20A0"/>
    <w:rsid w:val="002F3541"/>
    <w:rsid w:val="0030131A"/>
    <w:rsid w:val="00305487"/>
    <w:rsid w:val="00311D66"/>
    <w:rsid w:val="00321C5B"/>
    <w:rsid w:val="00325DB6"/>
    <w:rsid w:val="003264B3"/>
    <w:rsid w:val="00333BAA"/>
    <w:rsid w:val="0036585D"/>
    <w:rsid w:val="00380709"/>
    <w:rsid w:val="00382584"/>
    <w:rsid w:val="00383EB8"/>
    <w:rsid w:val="003840F2"/>
    <w:rsid w:val="00385478"/>
    <w:rsid w:val="003B2800"/>
    <w:rsid w:val="003C4CA9"/>
    <w:rsid w:val="003C7CF4"/>
    <w:rsid w:val="003D7791"/>
    <w:rsid w:val="003E1488"/>
    <w:rsid w:val="003F1CE9"/>
    <w:rsid w:val="003F3044"/>
    <w:rsid w:val="003F7F0E"/>
    <w:rsid w:val="00404D1C"/>
    <w:rsid w:val="004143DB"/>
    <w:rsid w:val="004160EB"/>
    <w:rsid w:val="0042175A"/>
    <w:rsid w:val="004234D4"/>
    <w:rsid w:val="00425071"/>
    <w:rsid w:val="0043051A"/>
    <w:rsid w:val="004335A6"/>
    <w:rsid w:val="004462D7"/>
    <w:rsid w:val="00456AE0"/>
    <w:rsid w:val="0046188D"/>
    <w:rsid w:val="00462A8C"/>
    <w:rsid w:val="00493568"/>
    <w:rsid w:val="004B19F9"/>
    <w:rsid w:val="004C2B36"/>
    <w:rsid w:val="004E2165"/>
    <w:rsid w:val="004E4A48"/>
    <w:rsid w:val="004E4C07"/>
    <w:rsid w:val="004F40FF"/>
    <w:rsid w:val="00506A4E"/>
    <w:rsid w:val="005231BD"/>
    <w:rsid w:val="00525A42"/>
    <w:rsid w:val="00541C77"/>
    <w:rsid w:val="00541E4E"/>
    <w:rsid w:val="00543D31"/>
    <w:rsid w:val="00546966"/>
    <w:rsid w:val="00555909"/>
    <w:rsid w:val="00555E8E"/>
    <w:rsid w:val="005566D9"/>
    <w:rsid w:val="00564F8E"/>
    <w:rsid w:val="00572475"/>
    <w:rsid w:val="005A0AB4"/>
    <w:rsid w:val="005A206D"/>
    <w:rsid w:val="005A5C41"/>
    <w:rsid w:val="005C76C7"/>
    <w:rsid w:val="005D6716"/>
    <w:rsid w:val="005E5D3D"/>
    <w:rsid w:val="00602F32"/>
    <w:rsid w:val="0063142F"/>
    <w:rsid w:val="00634099"/>
    <w:rsid w:val="00636307"/>
    <w:rsid w:val="006417D5"/>
    <w:rsid w:val="00661E93"/>
    <w:rsid w:val="00672857"/>
    <w:rsid w:val="00674F34"/>
    <w:rsid w:val="00675A17"/>
    <w:rsid w:val="00692400"/>
    <w:rsid w:val="00693337"/>
    <w:rsid w:val="006B1F9E"/>
    <w:rsid w:val="006C41D9"/>
    <w:rsid w:val="006D7013"/>
    <w:rsid w:val="006E156C"/>
    <w:rsid w:val="0070092F"/>
    <w:rsid w:val="00715BB1"/>
    <w:rsid w:val="007201BD"/>
    <w:rsid w:val="00721057"/>
    <w:rsid w:val="007212FA"/>
    <w:rsid w:val="00722832"/>
    <w:rsid w:val="00723361"/>
    <w:rsid w:val="00732497"/>
    <w:rsid w:val="0073260B"/>
    <w:rsid w:val="007329DA"/>
    <w:rsid w:val="00733B69"/>
    <w:rsid w:val="0074005B"/>
    <w:rsid w:val="0074062F"/>
    <w:rsid w:val="007570AE"/>
    <w:rsid w:val="00762D95"/>
    <w:rsid w:val="0076758F"/>
    <w:rsid w:val="00784662"/>
    <w:rsid w:val="00786738"/>
    <w:rsid w:val="007938B4"/>
    <w:rsid w:val="00796669"/>
    <w:rsid w:val="007A183A"/>
    <w:rsid w:val="007A18CE"/>
    <w:rsid w:val="007A4A5C"/>
    <w:rsid w:val="007B3C9E"/>
    <w:rsid w:val="007C04A0"/>
    <w:rsid w:val="007C101E"/>
    <w:rsid w:val="007C71B6"/>
    <w:rsid w:val="007F0403"/>
    <w:rsid w:val="007F3A78"/>
    <w:rsid w:val="008139B5"/>
    <w:rsid w:val="00821816"/>
    <w:rsid w:val="00822306"/>
    <w:rsid w:val="008328AD"/>
    <w:rsid w:val="00835E22"/>
    <w:rsid w:val="00845421"/>
    <w:rsid w:val="00845790"/>
    <w:rsid w:val="008500AF"/>
    <w:rsid w:val="0085090B"/>
    <w:rsid w:val="00857C31"/>
    <w:rsid w:val="00862FE9"/>
    <w:rsid w:val="008661A4"/>
    <w:rsid w:val="00874136"/>
    <w:rsid w:val="00887EC2"/>
    <w:rsid w:val="00890140"/>
    <w:rsid w:val="008A115A"/>
    <w:rsid w:val="008A17B1"/>
    <w:rsid w:val="008A6F01"/>
    <w:rsid w:val="008B4E92"/>
    <w:rsid w:val="008C28B9"/>
    <w:rsid w:val="008C7418"/>
    <w:rsid w:val="008D3F99"/>
    <w:rsid w:val="008E422E"/>
    <w:rsid w:val="008F08F2"/>
    <w:rsid w:val="008F0F95"/>
    <w:rsid w:val="00910A16"/>
    <w:rsid w:val="00920320"/>
    <w:rsid w:val="009268D5"/>
    <w:rsid w:val="009346BC"/>
    <w:rsid w:val="00935190"/>
    <w:rsid w:val="0093572F"/>
    <w:rsid w:val="0095418F"/>
    <w:rsid w:val="00984CC7"/>
    <w:rsid w:val="009A30A1"/>
    <w:rsid w:val="009A5714"/>
    <w:rsid w:val="009A731D"/>
    <w:rsid w:val="009C2E1B"/>
    <w:rsid w:val="009E7CC6"/>
    <w:rsid w:val="009F4414"/>
    <w:rsid w:val="00A06368"/>
    <w:rsid w:val="00A13EB0"/>
    <w:rsid w:val="00A24FE3"/>
    <w:rsid w:val="00A42EB0"/>
    <w:rsid w:val="00A460A0"/>
    <w:rsid w:val="00A85594"/>
    <w:rsid w:val="00AA5912"/>
    <w:rsid w:val="00AB4150"/>
    <w:rsid w:val="00AB7376"/>
    <w:rsid w:val="00AD500A"/>
    <w:rsid w:val="00AE2D83"/>
    <w:rsid w:val="00B169D2"/>
    <w:rsid w:val="00B21D17"/>
    <w:rsid w:val="00B23632"/>
    <w:rsid w:val="00B31649"/>
    <w:rsid w:val="00B3213B"/>
    <w:rsid w:val="00B45E18"/>
    <w:rsid w:val="00B60CFC"/>
    <w:rsid w:val="00B62140"/>
    <w:rsid w:val="00B67168"/>
    <w:rsid w:val="00B7077E"/>
    <w:rsid w:val="00B70FEE"/>
    <w:rsid w:val="00B73217"/>
    <w:rsid w:val="00B76256"/>
    <w:rsid w:val="00B903F2"/>
    <w:rsid w:val="00B90AF6"/>
    <w:rsid w:val="00B936BB"/>
    <w:rsid w:val="00BB5286"/>
    <w:rsid w:val="00BC707F"/>
    <w:rsid w:val="00BE7517"/>
    <w:rsid w:val="00BF51C0"/>
    <w:rsid w:val="00C043AC"/>
    <w:rsid w:val="00C133C2"/>
    <w:rsid w:val="00C13CAB"/>
    <w:rsid w:val="00C1582E"/>
    <w:rsid w:val="00C31DE1"/>
    <w:rsid w:val="00C55CC8"/>
    <w:rsid w:val="00C61F83"/>
    <w:rsid w:val="00C6597A"/>
    <w:rsid w:val="00C674D0"/>
    <w:rsid w:val="00C72076"/>
    <w:rsid w:val="00C7316E"/>
    <w:rsid w:val="00C7480F"/>
    <w:rsid w:val="00C76586"/>
    <w:rsid w:val="00C87260"/>
    <w:rsid w:val="00C87F8E"/>
    <w:rsid w:val="00C92006"/>
    <w:rsid w:val="00CA4588"/>
    <w:rsid w:val="00CA7F67"/>
    <w:rsid w:val="00CB6ED4"/>
    <w:rsid w:val="00CC1962"/>
    <w:rsid w:val="00CD1305"/>
    <w:rsid w:val="00CD1F2D"/>
    <w:rsid w:val="00CD6D0F"/>
    <w:rsid w:val="00CE0848"/>
    <w:rsid w:val="00CE428D"/>
    <w:rsid w:val="00CF196B"/>
    <w:rsid w:val="00D106F8"/>
    <w:rsid w:val="00D15DEE"/>
    <w:rsid w:val="00D32E0F"/>
    <w:rsid w:val="00D4610C"/>
    <w:rsid w:val="00D55BB7"/>
    <w:rsid w:val="00D55EA4"/>
    <w:rsid w:val="00D57632"/>
    <w:rsid w:val="00D62ABF"/>
    <w:rsid w:val="00D63767"/>
    <w:rsid w:val="00D63B4C"/>
    <w:rsid w:val="00D660CC"/>
    <w:rsid w:val="00D73312"/>
    <w:rsid w:val="00D7493B"/>
    <w:rsid w:val="00D85708"/>
    <w:rsid w:val="00D93D54"/>
    <w:rsid w:val="00DA557E"/>
    <w:rsid w:val="00DB05C8"/>
    <w:rsid w:val="00DB16A2"/>
    <w:rsid w:val="00DB2A1E"/>
    <w:rsid w:val="00DB5AA7"/>
    <w:rsid w:val="00DC41A4"/>
    <w:rsid w:val="00DD13CA"/>
    <w:rsid w:val="00DD3D0F"/>
    <w:rsid w:val="00E01DCE"/>
    <w:rsid w:val="00E23B4B"/>
    <w:rsid w:val="00E30053"/>
    <w:rsid w:val="00E32F6A"/>
    <w:rsid w:val="00E3477C"/>
    <w:rsid w:val="00E42818"/>
    <w:rsid w:val="00E4679C"/>
    <w:rsid w:val="00E50449"/>
    <w:rsid w:val="00E743EE"/>
    <w:rsid w:val="00E75302"/>
    <w:rsid w:val="00E83BA9"/>
    <w:rsid w:val="00E87610"/>
    <w:rsid w:val="00E92716"/>
    <w:rsid w:val="00EA2AFB"/>
    <w:rsid w:val="00EA3010"/>
    <w:rsid w:val="00EA6FD2"/>
    <w:rsid w:val="00EA7D10"/>
    <w:rsid w:val="00EA7F71"/>
    <w:rsid w:val="00EB64B8"/>
    <w:rsid w:val="00EB65DF"/>
    <w:rsid w:val="00ED4757"/>
    <w:rsid w:val="00F05201"/>
    <w:rsid w:val="00F13B1D"/>
    <w:rsid w:val="00F162B9"/>
    <w:rsid w:val="00F5372B"/>
    <w:rsid w:val="00F74FB0"/>
    <w:rsid w:val="00F751B7"/>
    <w:rsid w:val="00F90089"/>
    <w:rsid w:val="00F9138F"/>
    <w:rsid w:val="00FB3DDF"/>
    <w:rsid w:val="00FC06DA"/>
    <w:rsid w:val="00FC07E2"/>
    <w:rsid w:val="00FC6073"/>
    <w:rsid w:val="00FE00B1"/>
    <w:rsid w:val="00FE0E94"/>
    <w:rsid w:val="00FE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B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9D"/>
    <w:pPr>
      <w:spacing w:after="160" w:line="259" w:lineRule="auto"/>
    </w:pPr>
    <w:rPr>
      <w:rFonts w:eastAsiaTheme="minorEastAsia"/>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B80"/>
    <w:rPr>
      <w:color w:val="0563C1" w:themeColor="hyperlink"/>
      <w:u w:val="single"/>
    </w:rPr>
  </w:style>
  <w:style w:type="character" w:styleId="FollowedHyperlink">
    <w:name w:val="FollowedHyperlink"/>
    <w:basedOn w:val="DefaultParagraphFont"/>
    <w:uiPriority w:val="99"/>
    <w:semiHidden/>
    <w:unhideWhenUsed/>
    <w:rsid w:val="00CE0848"/>
    <w:rPr>
      <w:color w:val="954F72" w:themeColor="followedHyperlink"/>
      <w:u w:val="single"/>
    </w:rPr>
  </w:style>
  <w:style w:type="paragraph" w:styleId="ListParagraph">
    <w:name w:val="List Paragraph"/>
    <w:basedOn w:val="Normal"/>
    <w:uiPriority w:val="34"/>
    <w:qFormat/>
    <w:rsid w:val="00A42EB0"/>
    <w:pPr>
      <w:ind w:left="720"/>
      <w:contextualSpacing/>
    </w:pPr>
    <w:rPr>
      <w:rFonts w:eastAsiaTheme="minorHAnsi"/>
      <w:lang w:eastAsia="en-US"/>
    </w:rPr>
  </w:style>
  <w:style w:type="table" w:styleId="TableGrid">
    <w:name w:val="Table Grid"/>
    <w:basedOn w:val="TableNormal"/>
    <w:uiPriority w:val="39"/>
    <w:rsid w:val="00EA7F7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0AE"/>
    <w:rPr>
      <w:rFonts w:eastAsiaTheme="minorEastAsia"/>
      <w:sz w:val="22"/>
      <w:szCs w:val="22"/>
      <w:lang w:val="en-US" w:eastAsia="zh-CN"/>
    </w:rPr>
  </w:style>
  <w:style w:type="paragraph" w:styleId="Footer">
    <w:name w:val="footer"/>
    <w:basedOn w:val="Normal"/>
    <w:link w:val="FooterChar"/>
    <w:uiPriority w:val="99"/>
    <w:unhideWhenUsed/>
    <w:rsid w:val="0075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0AE"/>
    <w:rPr>
      <w:rFonts w:eastAsiaTheme="minorEastAsia"/>
      <w:sz w:val="22"/>
      <w:szCs w:val="22"/>
      <w:lang w:val="en-US" w:eastAsia="zh-CN"/>
    </w:rPr>
  </w:style>
  <w:style w:type="character" w:customStyle="1" w:styleId="pg-1ff2">
    <w:name w:val="pg-1ff2"/>
    <w:basedOn w:val="DefaultParagraphFont"/>
    <w:rsid w:val="002E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575635">
      <w:bodyDiv w:val="1"/>
      <w:marLeft w:val="0"/>
      <w:marRight w:val="0"/>
      <w:marTop w:val="0"/>
      <w:marBottom w:val="0"/>
      <w:divBdr>
        <w:top w:val="none" w:sz="0" w:space="0" w:color="auto"/>
        <w:left w:val="none" w:sz="0" w:space="0" w:color="auto"/>
        <w:bottom w:val="none" w:sz="0" w:space="0" w:color="auto"/>
        <w:right w:val="none" w:sz="0" w:space="0" w:color="auto"/>
      </w:divBdr>
    </w:div>
    <w:div w:id="1338729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doi.org/10.1186/s12889-021-1181-8" TargetMode="External"/><Relationship Id="rId12" Type="http://schemas.openxmlformats.org/officeDocument/2006/relationships/hyperlink" Target="https://doi.org/10.1016/j.vaccine2018.04.070" TargetMode="External"/><Relationship Id="rId13" Type="http://schemas.openxmlformats.org/officeDocument/2006/relationships/hyperlink" Target="https://doi.org/10.11604/pamj.supp.2017.27.3.12182" TargetMode="External"/><Relationship Id="rId14" Type="http://schemas.openxmlformats.org/officeDocument/2006/relationships/hyperlink" Target="https://www.who.int/immunization/programmes_systems/policies_%20strategies/2YL/en/" TargetMode="External"/><Relationship Id="rId15" Type="http://schemas.openxmlformats.org/officeDocument/2006/relationships/hyperlink" Target="https://www.who.int/news-room/fact-sheets/detail/immunization-coverage" TargetMode="External"/><Relationship Id="rId16" Type="http://schemas.openxmlformats.org/officeDocument/2006/relationships/hyperlink" Target="https://www.google.com/url" TargetMode="External"/><Relationship Id="rId17" Type="http://schemas.openxmlformats.org/officeDocument/2006/relationships/hyperlink" Target="https://doi.org/10.3390/vaccines12070762"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arimobowei_egberipou@yahoo.com" TargetMode="Externa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yperlink" Target="https://doi.org/10.1080/21645515.2020.1870392"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Occupation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Sheet1!$B$5:$B$15</c:f>
              <c:strCache>
                <c:ptCount val="11"/>
                <c:pt idx="0">
                  <c:v>Business</c:v>
                </c:pt>
                <c:pt idx="1">
                  <c:v>Civil Servant</c:v>
                </c:pt>
                <c:pt idx="2">
                  <c:v>Driver</c:v>
                </c:pt>
                <c:pt idx="3">
                  <c:v>Farmer</c:v>
                </c:pt>
                <c:pt idx="4">
                  <c:v>Hair dresser</c:v>
                </c:pt>
                <c:pt idx="5">
                  <c:v>Health worker</c:v>
                </c:pt>
                <c:pt idx="6">
                  <c:v>House wife</c:v>
                </c:pt>
                <c:pt idx="7">
                  <c:v>Self employed</c:v>
                </c:pt>
                <c:pt idx="8">
                  <c:v>Student</c:v>
                </c:pt>
                <c:pt idx="9">
                  <c:v>Tailor</c:v>
                </c:pt>
                <c:pt idx="10">
                  <c:v>Teacher</c:v>
                </c:pt>
              </c:strCache>
            </c:strRef>
          </c:cat>
          <c:val>
            <c:numRef>
              <c:f>Sheet1!$C$5:$C$15</c:f>
              <c:numCache>
                <c:formatCode>General</c:formatCode>
                <c:ptCount val="11"/>
                <c:pt idx="0">
                  <c:v>204.0</c:v>
                </c:pt>
                <c:pt idx="1">
                  <c:v>14.0</c:v>
                </c:pt>
                <c:pt idx="2">
                  <c:v>1.0</c:v>
                </c:pt>
                <c:pt idx="3">
                  <c:v>58.0</c:v>
                </c:pt>
                <c:pt idx="4">
                  <c:v>1.0</c:v>
                </c:pt>
                <c:pt idx="5">
                  <c:v>3.0</c:v>
                </c:pt>
                <c:pt idx="6">
                  <c:v>51.0</c:v>
                </c:pt>
                <c:pt idx="7">
                  <c:v>18.0</c:v>
                </c:pt>
                <c:pt idx="8">
                  <c:v>7.0</c:v>
                </c:pt>
                <c:pt idx="9">
                  <c:v>19.0</c:v>
                </c:pt>
                <c:pt idx="10">
                  <c:v>23.0</c:v>
                </c:pt>
              </c:numCache>
            </c:numRef>
          </c:val>
          <c:extLst xmlns:c16r2="http://schemas.microsoft.com/office/drawing/2015/06/chart">
            <c:ext xmlns:c16="http://schemas.microsoft.com/office/drawing/2014/chart" uri="{C3380CC4-5D6E-409C-BE32-E72D297353CC}">
              <c16:uniqueId val="{00000000-8234-431F-B237-D5F3CFA05ED9}"/>
            </c:ext>
          </c:extLst>
        </c:ser>
        <c:dLbls>
          <c:dLblPos val="outEnd"/>
          <c:showLegendKey val="0"/>
          <c:showVal val="1"/>
          <c:showCatName val="0"/>
          <c:showSerName val="0"/>
          <c:showPercent val="0"/>
          <c:showBubbleSize val="0"/>
        </c:dLbls>
        <c:gapWidth val="219"/>
        <c:overlap val="-27"/>
        <c:axId val="1762872080"/>
        <c:axId val="1630205504"/>
      </c:barChart>
      <c:catAx>
        <c:axId val="176287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630205504"/>
        <c:crosses val="autoZero"/>
        <c:auto val="1"/>
        <c:lblAlgn val="ctr"/>
        <c:lblOffset val="100"/>
        <c:noMultiLvlLbl val="0"/>
      </c:catAx>
      <c:valAx>
        <c:axId val="163020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76287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Source of knowledge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Sheet1!$A$21:$A$25</c:f>
              <c:strCache>
                <c:ptCount val="5"/>
                <c:pt idx="0">
                  <c:v>Health workers</c:v>
                </c:pt>
                <c:pt idx="1">
                  <c:v>Media (TV/Radio)</c:v>
                </c:pt>
                <c:pt idx="2">
                  <c:v>Family/Friends</c:v>
                </c:pt>
                <c:pt idx="3">
                  <c:v>Social media</c:v>
                </c:pt>
                <c:pt idx="4">
                  <c:v>Other</c:v>
                </c:pt>
              </c:strCache>
            </c:strRef>
          </c:cat>
          <c:val>
            <c:numRef>
              <c:f>Sheet1!$C$21:$C$25</c:f>
              <c:numCache>
                <c:formatCode>General</c:formatCode>
                <c:ptCount val="5"/>
                <c:pt idx="0">
                  <c:v>80.2</c:v>
                </c:pt>
                <c:pt idx="1">
                  <c:v>14.4</c:v>
                </c:pt>
                <c:pt idx="2">
                  <c:v>68.3</c:v>
                </c:pt>
                <c:pt idx="3">
                  <c:v>6.9</c:v>
                </c:pt>
                <c:pt idx="4">
                  <c:v>3.5</c:v>
                </c:pt>
              </c:numCache>
            </c:numRef>
          </c:val>
          <c:extLst xmlns:c16r2="http://schemas.microsoft.com/office/drawing/2015/06/chart">
            <c:ext xmlns:c16="http://schemas.microsoft.com/office/drawing/2014/chart" uri="{C3380CC4-5D6E-409C-BE32-E72D297353CC}">
              <c16:uniqueId val="{00000000-7AE5-4CD6-B5B5-F3CFC23B9F2A}"/>
            </c:ext>
          </c:extLst>
        </c:ser>
        <c:dLbls>
          <c:dLblPos val="outEnd"/>
          <c:showLegendKey val="0"/>
          <c:showVal val="1"/>
          <c:showCatName val="0"/>
          <c:showSerName val="0"/>
          <c:showPercent val="0"/>
          <c:showBubbleSize val="0"/>
        </c:dLbls>
        <c:gapWidth val="219"/>
        <c:overlap val="-27"/>
        <c:axId val="1763498304"/>
        <c:axId val="1629874064"/>
      </c:barChart>
      <c:catAx>
        <c:axId val="176349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629874064"/>
        <c:crosses val="autoZero"/>
        <c:auto val="1"/>
        <c:lblAlgn val="ctr"/>
        <c:lblOffset val="100"/>
        <c:noMultiLvlLbl val="0"/>
      </c:catAx>
      <c:valAx>
        <c:axId val="162987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76349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4325</TotalTime>
  <Pages>41</Pages>
  <Words>10887</Words>
  <Characters>62059</Characters>
  <Application>Microsoft Macintosh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2025-05-07T13:46:00Z</dcterms:created>
  <dcterms:modified xsi:type="dcterms:W3CDTF">2025-12-19T22:39:00Z</dcterms:modified>
</cp:coreProperties>
</file>