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06C7" w14:textId="77777777" w:rsidR="00E7496C" w:rsidRDefault="00E7496C" w:rsidP="00DE4A38">
      <w:pPr>
        <w:jc w:val="center"/>
        <w:rPr>
          <w:rFonts w:ascii="Times New Roman" w:eastAsia="Arial" w:hAnsi="Times New Roman" w:cs="Times New Roman"/>
          <w:b/>
          <w:bCs/>
          <w:color w:val="000000"/>
          <w:sz w:val="28"/>
          <w:szCs w:val="28"/>
        </w:rPr>
      </w:pPr>
    </w:p>
    <w:p w14:paraId="19FFCE49" w14:textId="1CBDFFB6" w:rsidR="00E7496C" w:rsidRDefault="00E7496C" w:rsidP="00DE4A38">
      <w:pPr>
        <w:jc w:val="center"/>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 xml:space="preserve">BEYOND </w:t>
      </w:r>
      <w:r w:rsidR="001725FB">
        <w:rPr>
          <w:rFonts w:ascii="Times New Roman" w:eastAsia="Arial" w:hAnsi="Times New Roman" w:cs="Times New Roman"/>
          <w:b/>
          <w:bCs/>
          <w:color w:val="000000"/>
          <w:sz w:val="28"/>
          <w:szCs w:val="28"/>
        </w:rPr>
        <w:t>TEXTBOOK</w:t>
      </w:r>
      <w:r w:rsidR="00A85FB9">
        <w:rPr>
          <w:rFonts w:ascii="Times New Roman" w:eastAsia="Arial" w:hAnsi="Times New Roman" w:cs="Times New Roman"/>
          <w:b/>
          <w:bCs/>
          <w:color w:val="000000"/>
          <w:sz w:val="28"/>
          <w:szCs w:val="28"/>
        </w:rPr>
        <w:t>: E</w:t>
      </w:r>
      <w:r w:rsidR="003F7F5A">
        <w:rPr>
          <w:rFonts w:ascii="Times New Roman" w:eastAsia="Arial" w:hAnsi="Times New Roman" w:cs="Times New Roman"/>
          <w:b/>
          <w:bCs/>
          <w:color w:val="000000"/>
          <w:sz w:val="28"/>
          <w:szCs w:val="28"/>
        </w:rPr>
        <w:t>VALUATING CONCORD CONSORTIUM SIMULATIONS AS A CATALYST</w:t>
      </w:r>
      <w:r w:rsidR="001725FB">
        <w:rPr>
          <w:rFonts w:ascii="Times New Roman" w:eastAsia="Arial" w:hAnsi="Times New Roman" w:cs="Times New Roman"/>
          <w:b/>
          <w:bCs/>
          <w:color w:val="000000"/>
          <w:sz w:val="28"/>
          <w:szCs w:val="28"/>
        </w:rPr>
        <w:t xml:space="preserve"> FOR STUDENT UNDERSTANDING IN CHEMISTRY</w:t>
      </w:r>
    </w:p>
    <w:p w14:paraId="6245FB4A" w14:textId="77777777" w:rsidR="001725FB" w:rsidRPr="00153A69" w:rsidRDefault="001725FB" w:rsidP="00DE4A38">
      <w:pPr>
        <w:jc w:val="center"/>
        <w:rPr>
          <w:rFonts w:ascii="Times New Roman" w:eastAsia="Arial" w:hAnsi="Times New Roman" w:cs="Times New Roman"/>
          <w:b/>
          <w:bCs/>
          <w:color w:val="000000"/>
          <w:sz w:val="28"/>
          <w:szCs w:val="28"/>
        </w:rPr>
      </w:pPr>
    </w:p>
    <w:p w14:paraId="329B213D" w14:textId="77777777" w:rsidR="00DE4A38" w:rsidRPr="00153A69" w:rsidRDefault="00DE4A38" w:rsidP="00DE4A38">
      <w:pPr>
        <w:jc w:val="center"/>
        <w:rPr>
          <w:rFonts w:ascii="Times New Roman" w:eastAsia="Arial" w:hAnsi="Times New Roman" w:cs="Times New Roman"/>
          <w:color w:val="000000"/>
          <w:sz w:val="24"/>
          <w:szCs w:val="24"/>
        </w:rPr>
      </w:pPr>
    </w:p>
    <w:p w14:paraId="0456E3A0" w14:textId="77777777" w:rsidR="00DE4A38" w:rsidRPr="00153A69" w:rsidRDefault="00DE4A38" w:rsidP="00DE4A38">
      <w:pPr>
        <w:rPr>
          <w:rFonts w:ascii="Times New Roman" w:eastAsia="Arial" w:hAnsi="Times New Roman" w:cs="Times New Roman"/>
          <w:b/>
          <w:bCs/>
          <w:color w:val="000000"/>
          <w:sz w:val="28"/>
          <w:szCs w:val="28"/>
        </w:rPr>
      </w:pPr>
      <w:r w:rsidRPr="00153A69">
        <w:rPr>
          <w:rFonts w:ascii="Times New Roman" w:eastAsia="Arial" w:hAnsi="Times New Roman" w:cs="Times New Roman"/>
          <w:b/>
          <w:bCs/>
          <w:color w:val="000000"/>
          <w:sz w:val="28"/>
          <w:szCs w:val="28"/>
        </w:rPr>
        <w:t>ABSTRACT</w:t>
      </w:r>
    </w:p>
    <w:p w14:paraId="14672906" w14:textId="77777777" w:rsidR="00DE4A38" w:rsidRPr="00153A69" w:rsidRDefault="00DE4A38" w:rsidP="00DE4A38">
      <w:pPr>
        <w:rPr>
          <w:rFonts w:ascii="Times New Roman" w:eastAsia="Arial" w:hAnsi="Times New Roman" w:cs="Times New Roman"/>
          <w:color w:val="000000"/>
          <w:sz w:val="24"/>
          <w:szCs w:val="24"/>
        </w:rPr>
      </w:pPr>
    </w:p>
    <w:p w14:paraId="549D91FC" w14:textId="77777777" w:rsidR="00DE4A38" w:rsidRPr="00153A69" w:rsidRDefault="00DE4A38" w:rsidP="006B5370">
      <w:pPr>
        <w:jc w:val="both"/>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Chemistry is often perceived as a frightening subject due to its conceptual nature, particularly in the sub-microscopic realm. Traditional instructional methods frequently struggle to bridge the gap between abstract theory and molecular reality. This study investigated the impact of the Concord Consortium Simulations on the academic performance and learning experiences of Grade 10 students focusing on chemical reactions at San Guillermo National High School.</w:t>
      </w:r>
    </w:p>
    <w:p w14:paraId="3BF66356" w14:textId="77777777" w:rsidR="00DE4A38" w:rsidRPr="00153A69" w:rsidRDefault="00DE4A38" w:rsidP="006B5370">
      <w:pPr>
        <w:jc w:val="both"/>
        <w:rPr>
          <w:rFonts w:ascii="Times New Roman" w:eastAsia="Arial" w:hAnsi="Times New Roman" w:cs="Times New Roman"/>
          <w:color w:val="000000"/>
          <w:sz w:val="24"/>
          <w:szCs w:val="24"/>
        </w:rPr>
      </w:pPr>
    </w:p>
    <w:p w14:paraId="764DBE91" w14:textId="77777777" w:rsidR="00DE4A38" w:rsidRPr="00153A69" w:rsidRDefault="00DE4A38" w:rsidP="006B5370">
      <w:pPr>
        <w:jc w:val="both"/>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A quasi-experimental research design was employed, involving 32 students purposively sampled and divided equally into an experimental group (utilizing simulations) and a control group (traditional instruction). Data collection involved a 30-item multiple-choice pre-test and post-test to measure cognitive gains, supplemented by narrative feedback from the experimental group to capture qualitative insights into the intervention’s efficacy.</w:t>
      </w:r>
    </w:p>
    <w:p w14:paraId="1F94C933" w14:textId="77777777" w:rsidR="00DE4A38" w:rsidRPr="00153A69" w:rsidRDefault="00DE4A38" w:rsidP="006B5370">
      <w:pPr>
        <w:jc w:val="both"/>
        <w:rPr>
          <w:rFonts w:ascii="Times New Roman" w:eastAsia="Arial" w:hAnsi="Times New Roman" w:cs="Times New Roman"/>
          <w:color w:val="000000"/>
          <w:sz w:val="24"/>
          <w:szCs w:val="24"/>
        </w:rPr>
      </w:pPr>
    </w:p>
    <w:p w14:paraId="29F75B35" w14:textId="77777777" w:rsidR="00DE4A38" w:rsidRPr="00153A69" w:rsidRDefault="00DE4A38" w:rsidP="006B5370">
      <w:pPr>
        <w:jc w:val="both"/>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Statistical analysis revealed no significant difference between the groups during the pre-test, establishing a baseline of comparable prior knowledge. However, the post-test results demonstrated a significant increase in the scores of the experimental group compared to the control group. These findings suggest that the integration of digital simulations significantly enhances students' conceptual understanding of chemical reactions. Furthermore, thematic analysis of student narratives identified three core benefits of the intervention: (a) Ease of Understanding, (b) Fun and Interactive Engagement, and (c) Enhanced Visualization of microscopic processes. The study concludes that the Concord Consortium Simulations serve as a potent pedagogical tool, transforming abstract chemical principles into tangible learning experiences. By fostering a more interactive environment, these simulations not only improve assessment outcomes but also address the inherent difficulties of sub-microscopic chemistry. These results advocate for the broader integration of computer-based simulations in the secondary science curriculum to improve overall scientific literacy.</w:t>
      </w:r>
    </w:p>
    <w:p w14:paraId="1172C424" w14:textId="77777777" w:rsidR="00DE4A38" w:rsidRPr="00153A69" w:rsidRDefault="00DE4A38" w:rsidP="006B5370">
      <w:pPr>
        <w:jc w:val="both"/>
        <w:rPr>
          <w:rFonts w:ascii="Times New Roman" w:eastAsia="Arial" w:hAnsi="Times New Roman" w:cs="Times New Roman"/>
          <w:color w:val="000000"/>
          <w:sz w:val="24"/>
          <w:szCs w:val="24"/>
        </w:rPr>
      </w:pPr>
    </w:p>
    <w:p w14:paraId="033E72AA" w14:textId="77777777" w:rsidR="00DE4A38" w:rsidRPr="00153A69" w:rsidRDefault="00DE4A38" w:rsidP="006B5370">
      <w:pPr>
        <w:jc w:val="both"/>
        <w:rPr>
          <w:rFonts w:ascii="Times New Roman" w:eastAsia="Arial" w:hAnsi="Times New Roman" w:cs="Times New Roman"/>
          <w:sz w:val="24"/>
          <w:szCs w:val="24"/>
        </w:rPr>
      </w:pPr>
    </w:p>
    <w:p w14:paraId="09936080"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INTRODUCTION</w:t>
      </w:r>
    </w:p>
    <w:p w14:paraId="75E9B516" w14:textId="77777777" w:rsidR="00DE4A38" w:rsidRDefault="00DE4A38" w:rsidP="006B5370">
      <w:pPr>
        <w:jc w:val="both"/>
        <w:rPr>
          <w:rFonts w:ascii="Times New Roman" w:eastAsia="Arial" w:hAnsi="Times New Roman" w:cs="Times New Roman"/>
          <w:sz w:val="24"/>
          <w:szCs w:val="24"/>
        </w:rPr>
      </w:pPr>
    </w:p>
    <w:p w14:paraId="21D4FBBD" w14:textId="04652BD9"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Chemistry studies the properties of matter and the transformations it undergoes. Its dense content and many difficult-to-understand abstract ideas make the topic challenging to study. One of the main causes of learning challenges and misunderstandings regarding chemistry is said to be students' inability to comprehend the emergent nature of chemicals, their characteristics, and interactions (Tümay ,2016). It requires the capacity to comprehend and connect to the different representation levels (macroscopic, </w:t>
      </w:r>
      <w:r>
        <w:rPr>
          <w:rFonts w:ascii="Times New Roman" w:eastAsia="Arial" w:hAnsi="Times New Roman" w:cs="Times New Roman"/>
          <w:sz w:val="24"/>
          <w:szCs w:val="24"/>
        </w:rPr>
        <w:t>sub-microscopic</w:t>
      </w:r>
      <w:r w:rsidRPr="00153A69">
        <w:rPr>
          <w:rFonts w:ascii="Times New Roman" w:eastAsia="Arial" w:hAnsi="Times New Roman" w:cs="Times New Roman"/>
          <w:sz w:val="24"/>
          <w:szCs w:val="24"/>
        </w:rPr>
        <w:t xml:space="preserve">, and symbolic representations). </w:t>
      </w:r>
    </w:p>
    <w:p w14:paraId="02CA471F"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Although the chemical phenomena may be seen with the naked eye, the answer is often observed at the sub-microscopic view of the particles (Petillion&amp; McNeil, 2020). With limited resources within a classroom setting, such scale cannot be observed. Therefore, students cannot observe or experience the individual particles directly, which makes it challenging to visualize chemical reactions. </w:t>
      </w:r>
    </w:p>
    <w:p w14:paraId="2517325A"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Using media technology based on computers that can support abstract sub-microscopic level visualization is one way to reinforce students' conceptions. Applying science and technology to the learning process will improve student performance on learning outcomes (Irwansyah &amp; Lubab ,2017). </w:t>
      </w:r>
    </w:p>
    <w:p w14:paraId="05F3621F"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Most chemistry misconceptions among students arise from their inability to visualize representation at the sub-microscopic level, using interactive simulations can help in providing this visual for a deeper comprehension of the chemical movement in the submicroscopic level. Animation and simulation are crucial for illustrating the submicroscopic level   (Liu, Lin, Hsu, Hsu &amp; Paas ,2021). Because these simulations are easily accessible and free to use online, they have been widely used in chemistry education. Interactive simulations possess the ability to provide dynamic access to several levels of representation, enabling the visualization of things that are often invisible to the naked eye. (Watson, Dubrovskiy &amp; Peters, 2020).</w:t>
      </w:r>
    </w:p>
    <w:p w14:paraId="6507E4F3"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lastRenderedPageBreak/>
        <w:t>Using PhET Interactive Simulations, another study was conducted at another secondary school in Indonesia to examine conceptual comprehension in chemistry. The simulations were given to the students as they studied chemical equilibrium. Following the class, the Chemical Equilibrium Diagnostic Instrument (CEDI) test was conducted over the course of three weeks, which included two weekly online meetings. After students completed the CEDI exam, they also conducted interviews to find out how the participants felt about using the simulations for their learning. After using these simulations, some misconceptions persisted, according to the research's findings and student interviews revealed that professors encouraged them to learn chemistry by exerting influence and imparting knowledge. (Rahmawati, Zulhipri, Hartanto, Falani, &amp; Iriyadi , 2022).</w:t>
      </w:r>
    </w:p>
    <w:p w14:paraId="7AE72620"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Scientific simulations in the teaching learning process, ultimately in the curriculum can greatly benefit in aiding teaching chemistry and other sciences that need the visualization of unobservable concepts or subject areas wherein there may be a lack of materials. In light of this, further study in the use of simulations in teaching in other subject areas may be conducted to know its effectiveness and implications. Moreover, to further improve on this, training in using such technology may be implemented for its effective use in teaching. </w:t>
      </w:r>
    </w:p>
    <w:p w14:paraId="10AE9064"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The major difference between the current review and the previous reviews in the field is the subject matter. The literature prior to this study focused on other topics but are all within the field of chemistry. Another difference is the simulation source used between the studies. While the studies that have been made commonly use PhET as their main source of simulations that were used to teach, this research uses another source called Concord Consortium (Dou, 2017).</w:t>
      </w:r>
    </w:p>
    <w:p w14:paraId="13E5FC0F"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Concord Consortium offers an online source for STEM learning resources that supported virtual learning experience that involved those that want to study Science and Engineering Practices like data collection and analysis, model-building, and evidence-based argumentation. It contains simulations that can be used to teach complex scientific phenomena. (Nasr ,2020)</w:t>
      </w:r>
    </w:p>
    <w:p w14:paraId="790399F9"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There have been studies conducted with the use of simulations in education, especially in the sciences but the researchers aim to explore its uses in chemistry, particularly chemical reactions within the Philippine educational curriculum using a relatively new source of these simulations.</w:t>
      </w:r>
    </w:p>
    <w:p w14:paraId="1A36CD16"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This study aimed to determine, through the results of the assessment among Grade 10 students, how the intervention of Concord Consortium simulation affects students' conceptual comprehension of chemical processes. </w:t>
      </w:r>
    </w:p>
    <w:p w14:paraId="42467C7A" w14:textId="77777777" w:rsidR="00DE4A38" w:rsidRDefault="00DE4A38" w:rsidP="006B5370">
      <w:pPr>
        <w:jc w:val="both"/>
      </w:pPr>
    </w:p>
    <w:p w14:paraId="51E2A586" w14:textId="77777777" w:rsidR="00DE4A38" w:rsidRPr="00153A69" w:rsidRDefault="00DE4A38" w:rsidP="006B5370">
      <w:pPr>
        <w:pStyle w:val="NormalWeb"/>
        <w:spacing w:before="100" w:after="200" w:afterAutospacing="0"/>
        <w:jc w:val="both"/>
        <w:rPr>
          <w:b/>
          <w:bCs/>
        </w:rPr>
      </w:pPr>
      <w:r w:rsidRPr="00153A69">
        <w:rPr>
          <w:b/>
          <w:bCs/>
        </w:rPr>
        <w:t>Theoretical Framework of the Study</w:t>
      </w:r>
    </w:p>
    <w:p w14:paraId="7EF4ED27"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A type of instruction or training known as simulation-based education seeks to enhance or replace real-life experiences with guided interactions (Gaba, 2004).  Students must exhibit both topic mastery and innovative learning abilities focused on the 4Cs (creativity, critical thinking, communication, and cooperation) in 21st-century learning. The simulation helps the students achieve this content by allowing them to acquire knowledge through hands-on experiences. </w:t>
      </w:r>
    </w:p>
    <w:p w14:paraId="153AEB74"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Technology is being used by educators to address the changing needs of today's students in the classroom. Virtual tools allow both instructor and learner to quickly attain and create knowledge data from any location in the world, in boundaryless learning environments.</w:t>
      </w:r>
    </w:p>
    <w:p w14:paraId="10678567"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 Constructivism is based on the ideas that people actively build on understanding and their experiences shape reality (Western Governor's University, 2020). It is an educational model that people form their own understanding and that learning experiences have an impact on reality. (Elliot at.,2000). Constructivism approach of teaching contradicts traditional education where the learning is teacher centered, student-centered teaching approaches and techniques, which include teachers transmitting knowledge to students passively, are based on constructivist learning theory. (McLeod,2019)</w:t>
      </w:r>
    </w:p>
    <w:p w14:paraId="6E758619" w14:textId="77777777" w:rsidR="00DE4A38" w:rsidRPr="00153A69" w:rsidRDefault="00DE4A38" w:rsidP="006B5370">
      <w:pPr>
        <w:pStyle w:val="NormalWeb"/>
        <w:spacing w:after="200" w:afterAutospacing="0"/>
        <w:jc w:val="both"/>
        <w:rPr>
          <w:b/>
          <w:bCs/>
        </w:rPr>
      </w:pPr>
      <w:r w:rsidRPr="00153A69">
        <w:t>Figure 1 presents the conceptual framework of the study which</w:t>
      </w:r>
      <w:r w:rsidRPr="00153A69">
        <w:rPr>
          <w:rFonts w:eastAsia="Arial"/>
        </w:rPr>
        <w:t xml:space="preserve"> has four (4) columns. This framework served as the roadmap of the study.</w:t>
      </w:r>
      <w:r w:rsidRPr="00153A69">
        <w:rPr>
          <w:b/>
          <w:bCs/>
        </w:rPr>
        <w:t xml:space="preserve"> </w:t>
      </w:r>
    </w:p>
    <w:p w14:paraId="2091C079" w14:textId="77777777" w:rsidR="00DE4A38" w:rsidRDefault="00DE4A38" w:rsidP="006B5370">
      <w:pPr>
        <w:pStyle w:val="NoSpacing"/>
        <w:jc w:val="both"/>
        <w:rPr>
          <w:rFonts w:ascii="Times New Roman" w:eastAsia="Arial" w:hAnsi="Times New Roman"/>
          <w:b/>
          <w:bCs/>
          <w:sz w:val="24"/>
          <w:szCs w:val="24"/>
          <w:lang w:eastAsia="zh-CN"/>
        </w:rPr>
      </w:pPr>
    </w:p>
    <w:p w14:paraId="78E4950D" w14:textId="77777777" w:rsidR="00DE4A38" w:rsidRDefault="00DE4A38" w:rsidP="006B5370">
      <w:pPr>
        <w:pStyle w:val="NoSpacing"/>
        <w:jc w:val="both"/>
        <w:rPr>
          <w:rFonts w:ascii="Times New Roman" w:eastAsia="Arial" w:hAnsi="Times New Roman"/>
          <w:b/>
          <w:bCs/>
          <w:sz w:val="24"/>
          <w:szCs w:val="24"/>
          <w:lang w:eastAsia="zh-CN"/>
        </w:rPr>
      </w:pPr>
    </w:p>
    <w:p w14:paraId="2DA66A70" w14:textId="1291A7F1" w:rsidR="00DE4A38" w:rsidRPr="00153A69" w:rsidRDefault="00DE4A38" w:rsidP="006B5370">
      <w:pPr>
        <w:pStyle w:val="NoSpacing"/>
        <w:jc w:val="both"/>
        <w:rPr>
          <w:rFonts w:ascii="Times New Roman" w:eastAsia="Arial" w:hAnsi="Times New Roman"/>
          <w:b/>
          <w:bCs/>
          <w:sz w:val="24"/>
          <w:szCs w:val="24"/>
          <w:lang w:eastAsia="zh-CN"/>
        </w:rPr>
      </w:pPr>
      <w:r w:rsidRPr="00153A69">
        <w:rPr>
          <w:rFonts w:ascii="Times New Roman" w:eastAsia="Arial" w:hAnsi="Times New Roman"/>
          <w:b/>
          <w:bCs/>
          <w:sz w:val="24"/>
          <w:szCs w:val="24"/>
          <w:lang w:eastAsia="zh-CN"/>
        </w:rPr>
        <w:t xml:space="preserve">Figure 1. </w:t>
      </w:r>
    </w:p>
    <w:p w14:paraId="644E202E" w14:textId="77777777" w:rsidR="00DE4A38" w:rsidRPr="00153A69" w:rsidRDefault="00DE4A38" w:rsidP="006B5370">
      <w:pPr>
        <w:pStyle w:val="NoSpacing"/>
        <w:jc w:val="both"/>
        <w:rPr>
          <w:rFonts w:ascii="Times New Roman" w:eastAsia="Arial" w:hAnsi="Times New Roman"/>
          <w:b/>
          <w:bCs/>
          <w:sz w:val="24"/>
          <w:szCs w:val="24"/>
          <w:lang w:eastAsia="zh-CN"/>
        </w:rPr>
      </w:pPr>
      <w:r w:rsidRPr="00153A69">
        <w:rPr>
          <w:rFonts w:ascii="Times New Roman" w:eastAsia="Arial" w:hAnsi="Times New Roman"/>
          <w:b/>
          <w:bCs/>
          <w:sz w:val="24"/>
          <w:szCs w:val="24"/>
          <w:lang w:eastAsia="zh-CN"/>
        </w:rPr>
        <w:t>Paradigm of the Study</w:t>
      </w:r>
    </w:p>
    <w:p w14:paraId="2FEBE836" w14:textId="1AB1DDB4" w:rsidR="00DE4A38" w:rsidRPr="00DE4A38" w:rsidRDefault="00DE4A38" w:rsidP="006B5370">
      <w:pPr>
        <w:pStyle w:val="NormalWeb"/>
        <w:spacing w:before="100" w:after="200" w:afterAutospacing="0"/>
        <w:jc w:val="both"/>
        <w:rPr>
          <w:rFonts w:eastAsia="Arial"/>
        </w:rPr>
      </w:pPr>
      <w:r w:rsidRPr="00153A69">
        <w:rPr>
          <w:noProof/>
          <w:lang w:val="en-PH" w:eastAsia="en-PH"/>
        </w:rPr>
        <w:lastRenderedPageBreak/>
        <w:drawing>
          <wp:anchor distT="0" distB="0" distL="114300" distR="114300" simplePos="0" relativeHeight="251658240" behindDoc="0" locked="0" layoutInCell="1" allowOverlap="1" wp14:anchorId="08383E7B" wp14:editId="5FFE14CD">
            <wp:simplePos x="0" y="0"/>
            <wp:positionH relativeFrom="column">
              <wp:posOffset>103151</wp:posOffset>
            </wp:positionH>
            <wp:positionV relativeFrom="paragraph">
              <wp:posOffset>173355</wp:posOffset>
            </wp:positionV>
            <wp:extent cx="3716065" cy="1952433"/>
            <wp:effectExtent l="0" t="0" r="0" b="0"/>
            <wp:wrapSquare wrapText="bothSides"/>
            <wp:docPr id="1487255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8524" t="12073" r="8981" b="10873"/>
                    <a:stretch>
                      <a:fillRect/>
                    </a:stretch>
                  </pic:blipFill>
                  <pic:spPr bwMode="auto">
                    <a:xfrm>
                      <a:off x="0" y="0"/>
                      <a:ext cx="3716065" cy="1952433"/>
                    </a:xfrm>
                    <a:prstGeom prst="rect">
                      <a:avLst/>
                    </a:prstGeom>
                    <a:noFill/>
                  </pic:spPr>
                </pic:pic>
              </a:graphicData>
            </a:graphic>
          </wp:anchor>
        </w:drawing>
      </w:r>
      <w:r w:rsidRPr="00153A69">
        <w:t>Figure 1 comprises four columns that represent the variables being studied. The first column includes the participant groupings (control and experimental). The second column includes the conducted assessment prior to the administration of intervention. For the third column, it includes the teaching procedures used for both groups; it indicates that for the control group, there would be no application of the Concord Consortium simulation, while for the experimental group, there would be an application of the Concord Consortium simulation. After this, the narrative responses of the students about their opinion of the intervention of the Concord Consortium and its effects on their learning experience were collected. And for the last column, the post-test was administered to measure the learnings of the students after the application of the intervention, the Concord Consortium Simulations. This served as the study's flow in achieving its objectives.</w:t>
      </w:r>
    </w:p>
    <w:p w14:paraId="168D395C" w14:textId="77777777" w:rsidR="00DE4A38" w:rsidRPr="00153A69" w:rsidRDefault="00DE4A38" w:rsidP="006B5370">
      <w:pPr>
        <w:pStyle w:val="NormalWeb"/>
        <w:jc w:val="both"/>
        <w:rPr>
          <w:b/>
          <w:bCs/>
          <w:color w:val="000000"/>
        </w:rPr>
      </w:pPr>
      <w:r w:rsidRPr="00153A69">
        <w:rPr>
          <w:b/>
          <w:bCs/>
          <w:color w:val="000000"/>
        </w:rPr>
        <w:t>Statement of the Problem</w:t>
      </w:r>
    </w:p>
    <w:p w14:paraId="42DE3BA3" w14:textId="77777777" w:rsidR="00DE4A38" w:rsidRPr="00153A69" w:rsidRDefault="00DE4A38" w:rsidP="006B5370">
      <w:pPr>
        <w:pStyle w:val="NormalWeb"/>
        <w:spacing w:beforeAutospacing="0" w:after="200" w:afterAutospacing="0"/>
        <w:ind w:leftChars="120" w:left="240" w:firstLineChars="309" w:firstLine="742"/>
        <w:jc w:val="both"/>
        <w:rPr>
          <w:color w:val="000000"/>
        </w:rPr>
      </w:pPr>
      <w:r w:rsidRPr="00153A69">
        <w:rPr>
          <w:color w:val="000000"/>
        </w:rPr>
        <w:t xml:space="preserve">The main objective of this investigation is to determine the efficacy of Concord Consortium Simulation approach in the conceptual understanding on Chemical Reaction among Grade 10 STE students at San Guillermo National High School. </w:t>
      </w:r>
      <w:bookmarkStart w:id="0" w:name="_Hlk167967354"/>
      <w:r w:rsidRPr="00153A69">
        <w:rPr>
          <w:color w:val="000000"/>
        </w:rPr>
        <w:t>This research specifically looked for responses to the following questions:</w:t>
      </w:r>
    </w:p>
    <w:p w14:paraId="62A2C56A"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What are the scores for the pre-test of the experimental and control group before the intervention?</w:t>
      </w:r>
    </w:p>
    <w:p w14:paraId="197C4E40"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What are the scores for the post-test of the experimental and control group after the intervention?</w:t>
      </w:r>
    </w:p>
    <w:p w14:paraId="50D29F74"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Is there a significant difference in the pre-test scores between the experimental and control group?</w:t>
      </w:r>
    </w:p>
    <w:p w14:paraId="3B3BF371"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Is there a significant difference in the post-test scores between the experimental and control group?</w:t>
      </w:r>
    </w:p>
    <w:p w14:paraId="05F708C7" w14:textId="77777777" w:rsidR="00DE4A38" w:rsidRPr="00153A69" w:rsidRDefault="00DE4A38" w:rsidP="006B5370">
      <w:pPr>
        <w:pStyle w:val="NormalWeb"/>
        <w:numPr>
          <w:ilvl w:val="0"/>
          <w:numId w:val="1"/>
        </w:numPr>
        <w:tabs>
          <w:tab w:val="left" w:pos="720"/>
        </w:tabs>
        <w:spacing w:beforeAutospacing="0" w:after="200" w:afterAutospacing="0"/>
        <w:ind w:left="720"/>
        <w:jc w:val="both"/>
        <w:rPr>
          <w:rFonts w:eastAsia="Arial"/>
        </w:rPr>
      </w:pPr>
      <w:r w:rsidRPr="00153A69">
        <w:rPr>
          <w:rFonts w:eastAsia="Arial"/>
        </w:rPr>
        <w:t>Is there a significant difference in the pre-test and post-test scores of the experimental group?</w:t>
      </w:r>
    </w:p>
    <w:p w14:paraId="71185BC9"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Is there a significant difference in the pre-test and post-test scores of the contr</w:t>
      </w:r>
      <w:r w:rsidRPr="00153A69">
        <w:rPr>
          <w:color w:val="000000"/>
        </w:rPr>
        <w:t xml:space="preserve">ol </w:t>
      </w:r>
      <w:r w:rsidRPr="00153A69">
        <w:rPr>
          <w:rFonts w:eastAsia="Arial"/>
        </w:rPr>
        <w:t>group?</w:t>
      </w:r>
    </w:p>
    <w:p w14:paraId="4E860F47"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 xml:space="preserve"> </w:t>
      </w:r>
      <w:r w:rsidRPr="00153A69">
        <w:rPr>
          <w:color w:val="000000"/>
        </w:rPr>
        <w:t>How was the respondent’s experience in using Concord Consortium, and what are its perceived effects on learning</w:t>
      </w:r>
      <w:r w:rsidRPr="00153A69">
        <w:rPr>
          <w:rFonts w:eastAsia="Arial"/>
        </w:rPr>
        <w:t>?</w:t>
      </w:r>
    </w:p>
    <w:bookmarkEnd w:id="0"/>
    <w:p w14:paraId="0804E7F2" w14:textId="77777777" w:rsidR="00DE4A38" w:rsidRPr="00153A69" w:rsidRDefault="00DE4A38" w:rsidP="006B5370">
      <w:pPr>
        <w:pStyle w:val="NormalWeb"/>
        <w:spacing w:before="100" w:after="200" w:afterAutospacing="0"/>
        <w:jc w:val="both"/>
      </w:pPr>
      <w:r w:rsidRPr="00153A69">
        <w:rPr>
          <w:b/>
          <w:bCs/>
          <w:color w:val="000000"/>
        </w:rPr>
        <w:t>Scope and Limitations</w:t>
      </w:r>
    </w:p>
    <w:p w14:paraId="3F42D787" w14:textId="77777777" w:rsidR="00DE4A38" w:rsidRPr="00153A69" w:rsidRDefault="00DE4A38" w:rsidP="006B5370">
      <w:pPr>
        <w:jc w:val="both"/>
        <w:rPr>
          <w:rFonts w:ascii="Times New Roman" w:hAnsi="Times New Roman" w:cs="Times New Roman"/>
          <w:sz w:val="24"/>
          <w:szCs w:val="24"/>
        </w:rPr>
      </w:pPr>
      <w:r w:rsidRPr="00153A69">
        <w:rPr>
          <w:rFonts w:ascii="Times New Roman" w:hAnsi="Times New Roman" w:cs="Times New Roman"/>
          <w:sz w:val="24"/>
          <w:szCs w:val="24"/>
        </w:rPr>
        <w:t xml:space="preserve">          This study dealt mainly with the struggles of grade </w:t>
      </w:r>
      <w:r w:rsidRPr="00153A69">
        <w:rPr>
          <w:rFonts w:ascii="Times New Roman" w:hAnsi="Times New Roman" w:cs="Times New Roman"/>
          <w:color w:val="000000"/>
          <w:sz w:val="24"/>
          <w:szCs w:val="24"/>
        </w:rPr>
        <w:t>10 STE students at San Guillermo National High School,</w:t>
      </w:r>
      <w:r w:rsidRPr="00153A69">
        <w:rPr>
          <w:rFonts w:ascii="Times New Roman" w:hAnsi="Times New Roman" w:cs="Times New Roman"/>
          <w:sz w:val="24"/>
          <w:szCs w:val="24"/>
        </w:rPr>
        <w:t xml:space="preserve"> with the subject Chemical Reaction, it sought to know the effectiveness of integration of Concord Consortium, an online simulation that helps us to see a realistic image of a chemical reaction in a molecular level.</w:t>
      </w:r>
    </w:p>
    <w:p w14:paraId="02531AC2" w14:textId="77777777" w:rsidR="00DE4A38" w:rsidRPr="00153A69" w:rsidRDefault="00DE4A38" w:rsidP="006B5370">
      <w:pPr>
        <w:ind w:firstLine="720"/>
        <w:jc w:val="both"/>
        <w:rPr>
          <w:rFonts w:ascii="Times New Roman" w:hAnsi="Times New Roman" w:cs="Times New Roman"/>
          <w:sz w:val="24"/>
          <w:szCs w:val="24"/>
        </w:rPr>
      </w:pPr>
      <w:r w:rsidRPr="00153A69">
        <w:rPr>
          <w:rFonts w:ascii="Times New Roman" w:hAnsi="Times New Roman" w:cs="Times New Roman"/>
          <w:sz w:val="24"/>
          <w:szCs w:val="24"/>
        </w:rPr>
        <w:t xml:space="preserve">The researchers focused on the grade 10 </w:t>
      </w:r>
      <w:r w:rsidRPr="00153A69">
        <w:rPr>
          <w:rFonts w:ascii="Times New Roman" w:hAnsi="Times New Roman" w:cs="Times New Roman"/>
          <w:color w:val="000000"/>
          <w:sz w:val="24"/>
          <w:szCs w:val="24"/>
        </w:rPr>
        <w:t>STE students at San Guillermo National High School as</w:t>
      </w:r>
      <w:r w:rsidRPr="00153A69">
        <w:rPr>
          <w:rFonts w:ascii="Times New Roman" w:hAnsi="Times New Roman" w:cs="Times New Roman"/>
          <w:sz w:val="24"/>
          <w:szCs w:val="24"/>
        </w:rPr>
        <w:t xml:space="preserve"> the subject of the study.</w:t>
      </w:r>
      <w:r w:rsidRPr="00153A69">
        <w:rPr>
          <w:rFonts w:ascii="Times New Roman" w:hAnsi="Times New Roman" w:cs="Times New Roman"/>
        </w:rPr>
        <w:t xml:space="preserve"> </w:t>
      </w:r>
      <w:r w:rsidRPr="00153A69">
        <w:rPr>
          <w:rFonts w:ascii="Times New Roman" w:hAnsi="Times New Roman" w:cs="Times New Roman"/>
          <w:sz w:val="24"/>
          <w:szCs w:val="24"/>
        </w:rPr>
        <w:t xml:space="preserve">Total Population Sampling (TPS) was used in grouping the students based on the gadgets that they had. Additionally, past grade 10 students on the PRMSU-SM Laboratory High School were selected by the researchers to participate in choosing the subject and topic that they found difficult during their studies. The researchers then developed assessment protocols in which the collected data were examined and assessed. Even if the study's objectives were met, certain inevitable limitations exist, one was to find the former grade 10 </w:t>
      </w:r>
      <w:r w:rsidRPr="00153A69">
        <w:rPr>
          <w:rFonts w:ascii="Times New Roman" w:hAnsi="Times New Roman" w:cs="Times New Roman"/>
          <w:color w:val="000000"/>
          <w:sz w:val="24"/>
          <w:szCs w:val="24"/>
        </w:rPr>
        <w:t xml:space="preserve">students at </w:t>
      </w:r>
      <w:r w:rsidRPr="00153A69">
        <w:rPr>
          <w:rFonts w:ascii="Times New Roman" w:hAnsi="Times New Roman" w:cs="Times New Roman"/>
          <w:sz w:val="24"/>
          <w:szCs w:val="24"/>
        </w:rPr>
        <w:t xml:space="preserve">PRMSU-SM Laboratory High School </w:t>
      </w:r>
      <w:r w:rsidRPr="00153A69">
        <w:rPr>
          <w:rFonts w:ascii="Times New Roman" w:hAnsi="Times New Roman" w:cs="Times New Roman"/>
          <w:color w:val="000000"/>
          <w:sz w:val="24"/>
          <w:szCs w:val="24"/>
        </w:rPr>
        <w:t>to g</w:t>
      </w:r>
      <w:r w:rsidRPr="00153A69">
        <w:rPr>
          <w:rFonts w:ascii="Times New Roman" w:hAnsi="Times New Roman" w:cs="Times New Roman"/>
          <w:sz w:val="24"/>
          <w:szCs w:val="24"/>
        </w:rPr>
        <w:t xml:space="preserve">ather the data needed to know their perspective about the subjects in grade 10, and another one was that a sizable portion of the respondents who took part in the preliminary testing might not be able to or might not want to take part in the final round of testing since some of the information required is crucial to the teachers and the school. </w:t>
      </w:r>
    </w:p>
    <w:p w14:paraId="4936273E" w14:textId="77777777" w:rsidR="00DE4A38" w:rsidRPr="00153A69" w:rsidRDefault="00DE4A38" w:rsidP="006B5370">
      <w:pPr>
        <w:jc w:val="both"/>
        <w:rPr>
          <w:rFonts w:ascii="Times New Roman" w:hAnsi="Times New Roman" w:cs="Times New Roman"/>
          <w:b/>
          <w:bCs/>
          <w:sz w:val="24"/>
          <w:szCs w:val="24"/>
        </w:rPr>
      </w:pPr>
    </w:p>
    <w:p w14:paraId="3D8C5A28" w14:textId="77777777" w:rsidR="00DE4A38" w:rsidRPr="00153A69" w:rsidRDefault="00DE4A38" w:rsidP="006B5370">
      <w:pPr>
        <w:jc w:val="both"/>
        <w:rPr>
          <w:rFonts w:ascii="Times New Roman" w:hAnsi="Times New Roman" w:cs="Times New Roman"/>
          <w:b/>
          <w:bCs/>
          <w:sz w:val="24"/>
          <w:szCs w:val="24"/>
        </w:rPr>
      </w:pPr>
      <w:r w:rsidRPr="00153A69">
        <w:rPr>
          <w:rFonts w:ascii="Times New Roman" w:hAnsi="Times New Roman" w:cs="Times New Roman"/>
          <w:b/>
          <w:bCs/>
          <w:sz w:val="24"/>
          <w:szCs w:val="24"/>
        </w:rPr>
        <w:lastRenderedPageBreak/>
        <w:t>Null Hypotheses</w:t>
      </w:r>
    </w:p>
    <w:p w14:paraId="4C6B78D6" w14:textId="77777777" w:rsidR="00DE4A38" w:rsidRPr="00153A69" w:rsidRDefault="00DE4A38" w:rsidP="006B5370">
      <w:pPr>
        <w:jc w:val="both"/>
        <w:rPr>
          <w:rFonts w:ascii="Times New Roman" w:hAnsi="Times New Roman" w:cs="Times New Roman"/>
          <w:sz w:val="24"/>
          <w:szCs w:val="24"/>
        </w:rPr>
      </w:pPr>
      <w:r w:rsidRPr="00153A69">
        <w:rPr>
          <w:rFonts w:ascii="Times New Roman" w:hAnsi="Times New Roman" w:cs="Times New Roman"/>
          <w:b/>
          <w:bCs/>
          <w:sz w:val="24"/>
          <w:szCs w:val="24"/>
        </w:rPr>
        <w:tab/>
      </w:r>
      <w:r w:rsidRPr="00153A69">
        <w:rPr>
          <w:rFonts w:ascii="Times New Roman" w:hAnsi="Times New Roman" w:cs="Times New Roman"/>
          <w:sz w:val="24"/>
          <w:szCs w:val="24"/>
        </w:rPr>
        <w:t>To make the data more vivid, the following hypotheses were tested:</w:t>
      </w:r>
    </w:p>
    <w:p w14:paraId="52078E72" w14:textId="77777777" w:rsidR="00DE4A38" w:rsidRPr="00153A69" w:rsidRDefault="00DE4A38" w:rsidP="006B5370">
      <w:pPr>
        <w:pStyle w:val="NormalWeb"/>
        <w:numPr>
          <w:ilvl w:val="1"/>
          <w:numId w:val="2"/>
        </w:numPr>
        <w:spacing w:after="200"/>
        <w:ind w:left="900"/>
        <w:jc w:val="both"/>
        <w:rPr>
          <w:rFonts w:eastAsia="Arial"/>
        </w:rPr>
      </w:pPr>
      <w:r w:rsidRPr="00153A69">
        <w:rPr>
          <w:rFonts w:eastAsia="Arial"/>
        </w:rPr>
        <w:t>There is no significant difference in the scores of the pre-test between the two groups.</w:t>
      </w:r>
    </w:p>
    <w:p w14:paraId="06F08A0D" w14:textId="77777777" w:rsidR="00DE4A38" w:rsidRPr="00153A69" w:rsidRDefault="00DE4A38" w:rsidP="006B5370">
      <w:pPr>
        <w:pStyle w:val="NormalWeb"/>
        <w:numPr>
          <w:ilvl w:val="1"/>
          <w:numId w:val="2"/>
        </w:numPr>
        <w:spacing w:after="200"/>
        <w:ind w:left="900"/>
        <w:jc w:val="both"/>
        <w:rPr>
          <w:rFonts w:eastAsia="Arial"/>
        </w:rPr>
      </w:pPr>
      <w:r w:rsidRPr="00153A69">
        <w:rPr>
          <w:rFonts w:eastAsia="Arial"/>
        </w:rPr>
        <w:t>There is no significant difference in the scores of the post-test between the two groups.</w:t>
      </w:r>
    </w:p>
    <w:p w14:paraId="54ECD802" w14:textId="77777777" w:rsidR="00DE4A38" w:rsidRPr="00153A69" w:rsidRDefault="00DE4A38" w:rsidP="006B5370">
      <w:pPr>
        <w:pStyle w:val="NormalWeb"/>
        <w:numPr>
          <w:ilvl w:val="1"/>
          <w:numId w:val="2"/>
        </w:numPr>
        <w:spacing w:after="200"/>
        <w:ind w:left="900"/>
        <w:jc w:val="both"/>
        <w:rPr>
          <w:rFonts w:eastAsia="Arial"/>
        </w:rPr>
      </w:pPr>
      <w:r w:rsidRPr="00153A69">
        <w:rPr>
          <w:rFonts w:eastAsia="Arial"/>
        </w:rPr>
        <w:t>There is no significant difference in the scores of both pre-test and post-test of the experimental group.</w:t>
      </w:r>
    </w:p>
    <w:p w14:paraId="1D27A2EA" w14:textId="77777777" w:rsidR="00DE4A38" w:rsidRPr="00153A69" w:rsidRDefault="00DE4A38" w:rsidP="006B5370">
      <w:pPr>
        <w:pStyle w:val="NormalWeb"/>
        <w:numPr>
          <w:ilvl w:val="1"/>
          <w:numId w:val="2"/>
        </w:numPr>
        <w:spacing w:before="100" w:after="200" w:afterAutospacing="0"/>
        <w:ind w:left="900"/>
        <w:jc w:val="both"/>
        <w:rPr>
          <w:rFonts w:eastAsia="Arial"/>
        </w:rPr>
      </w:pPr>
      <w:r w:rsidRPr="00153A69">
        <w:rPr>
          <w:rFonts w:eastAsia="Arial"/>
        </w:rPr>
        <w:t>There is no significant difference in the scores of both pre-test and post-test of the control group.</w:t>
      </w:r>
    </w:p>
    <w:p w14:paraId="649ECB31" w14:textId="77777777" w:rsidR="00DE4A38" w:rsidRPr="00DE4A38" w:rsidRDefault="00DE4A38" w:rsidP="006B5370">
      <w:pPr>
        <w:jc w:val="both"/>
        <w:rPr>
          <w:rFonts w:ascii="Times New Roman" w:eastAsia="Arial" w:hAnsi="Times New Roman" w:cs="Times New Roman"/>
          <w:b/>
          <w:color w:val="000000"/>
          <w:sz w:val="24"/>
          <w:szCs w:val="24"/>
        </w:rPr>
      </w:pPr>
      <w:r w:rsidRPr="00DE4A38">
        <w:rPr>
          <w:rFonts w:ascii="Times New Roman" w:eastAsia="Arial" w:hAnsi="Times New Roman" w:cs="Times New Roman"/>
          <w:b/>
          <w:color w:val="000000"/>
          <w:sz w:val="24"/>
          <w:szCs w:val="24"/>
        </w:rPr>
        <w:t>METHODS</w:t>
      </w:r>
    </w:p>
    <w:p w14:paraId="3AE5F151" w14:textId="77777777" w:rsidR="00DE4A38" w:rsidRPr="00DE4A38" w:rsidRDefault="00DE4A38" w:rsidP="006B5370">
      <w:pPr>
        <w:jc w:val="both"/>
        <w:rPr>
          <w:rFonts w:ascii="Times New Roman" w:eastAsia="Arial" w:hAnsi="Times New Roman" w:cs="Times New Roman"/>
          <w:b/>
          <w:color w:val="000000"/>
          <w:sz w:val="24"/>
          <w:szCs w:val="24"/>
        </w:rPr>
      </w:pPr>
    </w:p>
    <w:p w14:paraId="22677417"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This chapter includes the methods applied which includes the research design, the sampling and respondents, the site description, the instrument used, procedure for data gathering, analysis of data and ethical considerations. </w:t>
      </w:r>
    </w:p>
    <w:p w14:paraId="75DD4AA7"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Research Design</w:t>
      </w:r>
    </w:p>
    <w:p w14:paraId="4585E0A1" w14:textId="77777777" w:rsid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The research utilized the Quasi-experimental design, a pre- and post-test were also used. This is the best design the researchers can use because this study had contrasted the incorporation of the Concord Consortium in explaining chemical reaction to grade 10 STE  students in the San Guillermo National High School.</w:t>
      </w:r>
    </w:p>
    <w:p w14:paraId="15B45762" w14:textId="77777777" w:rsidR="00DE4A38" w:rsidRPr="00DE4A38" w:rsidRDefault="00DE4A38" w:rsidP="006B5370">
      <w:pPr>
        <w:jc w:val="both"/>
        <w:rPr>
          <w:rFonts w:ascii="Times New Roman" w:eastAsia="Arial" w:hAnsi="Times New Roman" w:cs="Times New Roman"/>
          <w:bCs/>
          <w:color w:val="000000"/>
          <w:sz w:val="24"/>
          <w:szCs w:val="24"/>
        </w:rPr>
      </w:pPr>
    </w:p>
    <w:p w14:paraId="3C0752FC"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There were many similarities between the quasi-experiments and the randomized controlled trials. However, since quasi-experiment involves a quasi-sampling which may not involve random assignment of the subjects into the target groups, there are a number of challenges that may be required in designing and implementing the quasi-experiment if the internal validity is an issue (Maciejewski.  2020). </w:t>
      </w:r>
    </w:p>
    <w:p w14:paraId="000766DE"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Quasi-experiments are often employed where random assignment cannot be made: The experimental group is more diverse compared to the control group. One example of a situation where random assignment of participants is not done is the nonequivalent groups design. (Cook and Campbell, 2015). </w:t>
      </w:r>
    </w:p>
    <w:p w14:paraId="3701F38B"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To facilitate the study, the researchers identified and selected Grade 10 STE students in San Guillermo National High School. The researchers then divided the students into two separate groups.  The first group was taught normally as it commonly is with the aid of pictures with the real process of a chemical reaction to enhance the group’s understanding of the concept, while the second group was taught chemical reaction using Concord Consortium. </w:t>
      </w:r>
    </w:p>
    <w:p w14:paraId="60E8EB5F"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The study of Cook &amp; Campbell (2015) provides some of the Quasi-experimental designs and study that can be conducted in many social research settings especially by using the method of splitting the participants and not randomly selecting them, and therefore by adopting the Quasi-experimental research design for this research, this study will be useful and can assist in providing the answer to the identified research problem.</w:t>
      </w:r>
    </w:p>
    <w:p w14:paraId="629A74C0"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Sampling and Respondents</w:t>
      </w:r>
    </w:p>
    <w:p w14:paraId="5A7DD067"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       The respondents of this study were the Grade 10 STE students at San Guillermo National High School S.Y. 2024-2025, with a total of 32 students who had been chosen through purposive sampling technique.</w:t>
      </w:r>
    </w:p>
    <w:p w14:paraId="27B0D36A"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       Purposeful sampling, according to Guarte &amp; Barrios's (2006) study "Communications in Statistics-Simulation and Computation," is the random selection of sample units within the population segment that have the greatest information on the characteristic of interest. The researchers used Total Population Sampling to divide the students into 2 groups. a method where the population as a whole that fits the requirements—such as a certain skill set, experience, etc.—is involved in the research project. In situations when there are very few cases under investigation, total population sampling is frequently employed (Etikan, 2016). The students were grouped into two based on the gadgets they possessed, the experimental group contained students with laptops and a fast internet connection, while those in the control group possessed phones or tablets.</w:t>
      </w:r>
    </w:p>
    <w:p w14:paraId="45AB54BC"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Purposive sampling enhances the rigor and reliability of the study’s data and conclusions by increasing the similarity between the sample and the study’s goals and objectives. (Campbell, 2020).</w:t>
      </w:r>
    </w:p>
    <w:p w14:paraId="14A1AADA" w14:textId="77777777" w:rsidR="00DE4A38" w:rsidRDefault="00DE4A38" w:rsidP="006B5370">
      <w:pPr>
        <w:jc w:val="both"/>
        <w:rPr>
          <w:rFonts w:ascii="Times New Roman" w:eastAsia="Arial" w:hAnsi="Times New Roman" w:cs="Times New Roman"/>
          <w:b/>
          <w:color w:val="000000"/>
          <w:sz w:val="24"/>
          <w:szCs w:val="24"/>
        </w:rPr>
      </w:pPr>
    </w:p>
    <w:p w14:paraId="1EAA3E5E" w14:textId="77777777" w:rsidR="00DE4A38" w:rsidRDefault="00DE4A38" w:rsidP="006B5370">
      <w:pPr>
        <w:jc w:val="both"/>
        <w:rPr>
          <w:rFonts w:ascii="Times New Roman" w:eastAsia="Arial" w:hAnsi="Times New Roman" w:cs="Times New Roman"/>
          <w:b/>
          <w:color w:val="000000"/>
          <w:sz w:val="24"/>
          <w:szCs w:val="24"/>
        </w:rPr>
      </w:pPr>
    </w:p>
    <w:p w14:paraId="76795883" w14:textId="77777777" w:rsidR="00DE4A38" w:rsidRDefault="00DE4A38" w:rsidP="006B5370">
      <w:pPr>
        <w:jc w:val="both"/>
        <w:rPr>
          <w:rFonts w:ascii="Times New Roman" w:eastAsia="Arial" w:hAnsi="Times New Roman" w:cs="Times New Roman"/>
          <w:b/>
          <w:color w:val="000000"/>
          <w:sz w:val="24"/>
          <w:szCs w:val="24"/>
        </w:rPr>
      </w:pPr>
    </w:p>
    <w:p w14:paraId="124385D2" w14:textId="77777777" w:rsidR="00DE4A38" w:rsidRDefault="00DE4A38" w:rsidP="006B5370">
      <w:pPr>
        <w:jc w:val="both"/>
        <w:rPr>
          <w:rFonts w:ascii="Times New Roman" w:eastAsia="Arial" w:hAnsi="Times New Roman" w:cs="Times New Roman"/>
          <w:b/>
          <w:color w:val="000000"/>
          <w:sz w:val="24"/>
          <w:szCs w:val="24"/>
        </w:rPr>
      </w:pPr>
    </w:p>
    <w:p w14:paraId="777DF253" w14:textId="77777777" w:rsidR="00DE4A38" w:rsidRPr="00153A69" w:rsidRDefault="00DE4A38" w:rsidP="006B5370">
      <w:pPr>
        <w:jc w:val="both"/>
        <w:rPr>
          <w:rFonts w:ascii="Times New Roman" w:eastAsia="Arial" w:hAnsi="Times New Roman" w:cs="Times New Roman"/>
          <w:b/>
          <w:color w:val="000000"/>
          <w:sz w:val="24"/>
          <w:szCs w:val="24"/>
        </w:rPr>
      </w:pPr>
    </w:p>
    <w:p w14:paraId="19241762" w14:textId="77777777" w:rsidR="00DE4A38" w:rsidRDefault="00DE4A38" w:rsidP="006B5370">
      <w:pPr>
        <w:jc w:val="both"/>
        <w:rPr>
          <w:rFonts w:ascii="Times New Roman" w:eastAsia="Arial" w:hAnsi="Times New Roman" w:cs="Times New Roman"/>
          <w:b/>
          <w:color w:val="000000"/>
          <w:sz w:val="24"/>
          <w:szCs w:val="24"/>
        </w:rPr>
      </w:pPr>
    </w:p>
    <w:p w14:paraId="7ED1FFCA"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Table1. </w:t>
      </w:r>
    </w:p>
    <w:p w14:paraId="594ED34E"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Frequency &amp; Percentage Distribution of Respondents</w:t>
      </w:r>
    </w:p>
    <w:tbl>
      <w:tblPr>
        <w:tblStyle w:val="TableGrid"/>
        <w:tblpPr w:leftFromText="180" w:rightFromText="180" w:vertAnchor="text" w:horzAnchor="margin" w:tblpY="221"/>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2422"/>
        <w:gridCol w:w="2422"/>
      </w:tblGrid>
      <w:tr w:rsidR="00DE4A38" w:rsidRPr="00153A69" w14:paraId="5FF1EE91" w14:textId="77777777" w:rsidTr="00792ABE">
        <w:trPr>
          <w:trHeight w:val="490"/>
        </w:trPr>
        <w:tc>
          <w:tcPr>
            <w:tcW w:w="2177" w:type="dxa"/>
            <w:tcBorders>
              <w:top w:val="single" w:sz="4" w:space="0" w:color="auto"/>
              <w:bottom w:val="single" w:sz="4" w:space="0" w:color="auto"/>
            </w:tcBorders>
            <w:vAlign w:val="center"/>
          </w:tcPr>
          <w:p w14:paraId="400D38F8"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lastRenderedPageBreak/>
              <w:t>Group</w:t>
            </w:r>
          </w:p>
        </w:tc>
        <w:tc>
          <w:tcPr>
            <w:tcW w:w="2422" w:type="dxa"/>
            <w:tcBorders>
              <w:top w:val="single" w:sz="4" w:space="0" w:color="auto"/>
              <w:bottom w:val="single" w:sz="4" w:space="0" w:color="auto"/>
            </w:tcBorders>
            <w:vAlign w:val="center"/>
          </w:tcPr>
          <w:p w14:paraId="564F4F92"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No. of Students</w:t>
            </w:r>
          </w:p>
        </w:tc>
        <w:tc>
          <w:tcPr>
            <w:tcW w:w="2422" w:type="dxa"/>
            <w:tcBorders>
              <w:top w:val="single" w:sz="4" w:space="0" w:color="auto"/>
              <w:bottom w:val="single" w:sz="4" w:space="0" w:color="auto"/>
            </w:tcBorders>
            <w:vAlign w:val="center"/>
          </w:tcPr>
          <w:p w14:paraId="3BAC66D6"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Percentage</w:t>
            </w:r>
          </w:p>
        </w:tc>
      </w:tr>
      <w:tr w:rsidR="00DE4A38" w:rsidRPr="00153A69" w14:paraId="77105919" w14:textId="77777777" w:rsidTr="00792ABE">
        <w:trPr>
          <w:trHeight w:val="662"/>
        </w:trPr>
        <w:tc>
          <w:tcPr>
            <w:tcW w:w="2177" w:type="dxa"/>
            <w:tcBorders>
              <w:top w:val="single" w:sz="4" w:space="0" w:color="auto"/>
            </w:tcBorders>
            <w:vAlign w:val="center"/>
          </w:tcPr>
          <w:p w14:paraId="5F5A0DCF"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 xml:space="preserve">Control </w:t>
            </w:r>
          </w:p>
        </w:tc>
        <w:tc>
          <w:tcPr>
            <w:tcW w:w="2422" w:type="dxa"/>
            <w:tcBorders>
              <w:top w:val="single" w:sz="4" w:space="0" w:color="auto"/>
            </w:tcBorders>
            <w:vAlign w:val="center"/>
          </w:tcPr>
          <w:p w14:paraId="1CD0B5F0"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16</w:t>
            </w:r>
          </w:p>
        </w:tc>
        <w:tc>
          <w:tcPr>
            <w:tcW w:w="2422" w:type="dxa"/>
            <w:tcBorders>
              <w:top w:val="single" w:sz="4" w:space="0" w:color="auto"/>
            </w:tcBorders>
            <w:vAlign w:val="center"/>
          </w:tcPr>
          <w:p w14:paraId="0DE075B5"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50</w:t>
            </w:r>
          </w:p>
        </w:tc>
      </w:tr>
      <w:tr w:rsidR="00DE4A38" w:rsidRPr="00153A69" w14:paraId="3089E8BE" w14:textId="77777777" w:rsidTr="00792ABE">
        <w:trPr>
          <w:trHeight w:val="671"/>
        </w:trPr>
        <w:tc>
          <w:tcPr>
            <w:tcW w:w="2177" w:type="dxa"/>
            <w:tcBorders>
              <w:bottom w:val="single" w:sz="4" w:space="0" w:color="auto"/>
            </w:tcBorders>
            <w:vAlign w:val="center"/>
          </w:tcPr>
          <w:p w14:paraId="493704B3"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Experimental</w:t>
            </w:r>
          </w:p>
        </w:tc>
        <w:tc>
          <w:tcPr>
            <w:tcW w:w="2422" w:type="dxa"/>
            <w:tcBorders>
              <w:bottom w:val="single" w:sz="4" w:space="0" w:color="auto"/>
            </w:tcBorders>
            <w:vAlign w:val="center"/>
          </w:tcPr>
          <w:p w14:paraId="5EBC212A"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16</w:t>
            </w:r>
          </w:p>
        </w:tc>
        <w:tc>
          <w:tcPr>
            <w:tcW w:w="2422" w:type="dxa"/>
            <w:tcBorders>
              <w:bottom w:val="single" w:sz="4" w:space="0" w:color="auto"/>
            </w:tcBorders>
            <w:vAlign w:val="center"/>
          </w:tcPr>
          <w:p w14:paraId="725135CD"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50</w:t>
            </w:r>
          </w:p>
        </w:tc>
      </w:tr>
      <w:tr w:rsidR="00DE4A38" w:rsidRPr="00153A69" w14:paraId="31DBEEBF" w14:textId="77777777" w:rsidTr="00792ABE">
        <w:trPr>
          <w:trHeight w:val="562"/>
        </w:trPr>
        <w:tc>
          <w:tcPr>
            <w:tcW w:w="2177" w:type="dxa"/>
            <w:tcBorders>
              <w:top w:val="single" w:sz="4" w:space="0" w:color="auto"/>
              <w:bottom w:val="single" w:sz="4" w:space="0" w:color="auto"/>
            </w:tcBorders>
            <w:vAlign w:val="center"/>
          </w:tcPr>
          <w:p w14:paraId="35B290D3"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Total:</w:t>
            </w:r>
          </w:p>
        </w:tc>
        <w:tc>
          <w:tcPr>
            <w:tcW w:w="2422" w:type="dxa"/>
            <w:tcBorders>
              <w:top w:val="single" w:sz="4" w:space="0" w:color="auto"/>
              <w:bottom w:val="single" w:sz="4" w:space="0" w:color="auto"/>
            </w:tcBorders>
            <w:vAlign w:val="center"/>
          </w:tcPr>
          <w:p w14:paraId="1E6AB34A"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32</w:t>
            </w:r>
          </w:p>
        </w:tc>
        <w:tc>
          <w:tcPr>
            <w:tcW w:w="2422" w:type="dxa"/>
            <w:tcBorders>
              <w:top w:val="single" w:sz="4" w:space="0" w:color="auto"/>
              <w:bottom w:val="single" w:sz="4" w:space="0" w:color="auto"/>
            </w:tcBorders>
            <w:vAlign w:val="center"/>
          </w:tcPr>
          <w:p w14:paraId="7E6CE00A"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100</w:t>
            </w:r>
          </w:p>
        </w:tc>
      </w:tr>
    </w:tbl>
    <w:p w14:paraId="5D62ECD4"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The respondents were thirty-two (32) students. They were divided into two (2) groups; namely the control group and the experimental group with each having sixteen (16) respondents. The respondents were the students of grade 10 STE at San Guillermo National High School.</w:t>
      </w:r>
    </w:p>
    <w:p w14:paraId="372459E2" w14:textId="77777777" w:rsidR="00DE4A38" w:rsidRPr="00153A69" w:rsidRDefault="00DE4A38" w:rsidP="006B5370">
      <w:pPr>
        <w:jc w:val="both"/>
        <w:rPr>
          <w:rFonts w:ascii="Times New Roman" w:eastAsia="Arial" w:hAnsi="Times New Roman" w:cs="Times New Roman"/>
          <w:b/>
          <w:bCs/>
          <w:sz w:val="24"/>
          <w:szCs w:val="24"/>
        </w:rPr>
      </w:pPr>
    </w:p>
    <w:p w14:paraId="0898F6EA"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Research Setting</w:t>
      </w:r>
    </w:p>
    <w:p w14:paraId="6F45313E"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This Research was administered at San</w:t>
      </w:r>
      <w:r w:rsidRPr="00153A69">
        <w:rPr>
          <w:rFonts w:ascii="Times New Roman" w:hAnsi="Times New Roman" w:cs="Times New Roman"/>
          <w:color w:val="000000"/>
          <w:sz w:val="24"/>
          <w:szCs w:val="24"/>
        </w:rPr>
        <w:t xml:space="preserve"> Guillermo National High School located at</w:t>
      </w:r>
      <w:r w:rsidRPr="00153A69">
        <w:rPr>
          <w:rFonts w:ascii="Times New Roman" w:eastAsia="Arial" w:hAnsi="Times New Roman" w:cs="Times New Roman"/>
          <w:sz w:val="24"/>
          <w:szCs w:val="24"/>
        </w:rPr>
        <w:t xml:space="preserve"> 103 Laderas St, San Marcelino, Zambales. The respondents were students under the STE program of </w:t>
      </w:r>
      <w:r w:rsidRPr="00153A69">
        <w:rPr>
          <w:rFonts w:ascii="Times New Roman" w:hAnsi="Times New Roman" w:cs="Times New Roman"/>
          <w:color w:val="000000"/>
          <w:sz w:val="24"/>
          <w:szCs w:val="24"/>
        </w:rPr>
        <w:t>San Guillermo National High School</w:t>
      </w:r>
      <w:r w:rsidRPr="00153A69">
        <w:rPr>
          <w:rFonts w:ascii="Times New Roman" w:eastAsia="Arial" w:hAnsi="Times New Roman" w:cs="Times New Roman"/>
          <w:sz w:val="24"/>
          <w:szCs w:val="24"/>
        </w:rPr>
        <w:t>.</w:t>
      </w:r>
    </w:p>
    <w:p w14:paraId="5C24919D" w14:textId="77777777" w:rsidR="00DE4A38" w:rsidRPr="00153A69" w:rsidRDefault="00DE4A38" w:rsidP="006B5370">
      <w:pPr>
        <w:jc w:val="both"/>
        <w:rPr>
          <w:rFonts w:ascii="Times New Roman" w:eastAsia="Arial" w:hAnsi="Times New Roman" w:cs="Times New Roman"/>
          <w:b/>
          <w:color w:val="000000"/>
          <w:sz w:val="24"/>
          <w:szCs w:val="24"/>
        </w:rPr>
      </w:pPr>
    </w:p>
    <w:p w14:paraId="3D6CB923" w14:textId="77777777" w:rsidR="00D85F1E" w:rsidRPr="00153A69" w:rsidRDefault="00D85F1E"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Research Instrument</w:t>
      </w:r>
    </w:p>
    <w:p w14:paraId="0F075846"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To get the appropriate needed data, the researcher conducted a pretest, a lecture period with separate groups, one with and the other without the assistance of simulations and finally a posttest. A quasi-experimental method was used. Two entire classes were employed to collect data for this investigation. In order to teach chemical reactions, one class was taught aided by simulations. The control group received traditional instruction. Individuals were not assigned at random in the quasi-experimental method (Creswell, 2013).</w:t>
      </w:r>
    </w:p>
    <w:p w14:paraId="27D21FC4" w14:textId="77777777" w:rsidR="00D85F1E" w:rsidRPr="00153A69" w:rsidRDefault="00D85F1E" w:rsidP="006B5370">
      <w:pPr>
        <w:jc w:val="both"/>
        <w:rPr>
          <w:rFonts w:ascii="Times New Roman" w:eastAsia="Arial" w:hAnsi="Times New Roman" w:cs="Times New Roman"/>
          <w:b/>
          <w:bCs/>
          <w:sz w:val="24"/>
          <w:szCs w:val="24"/>
        </w:rPr>
      </w:pPr>
    </w:p>
    <w:p w14:paraId="43196DBB" w14:textId="77777777" w:rsidR="00D85F1E" w:rsidRPr="00153A69" w:rsidRDefault="00D85F1E" w:rsidP="006B5370">
      <w:pPr>
        <w:ind w:firstLine="426"/>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Table of Specifications</w:t>
      </w:r>
    </w:p>
    <w:p w14:paraId="41937C5F"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A one-way Table of Specification (TOS) was used to construct the thirty (30) item test. It determined whether the learning outcomes to be tested falls under Analysis or Factual Knowledge.</w:t>
      </w:r>
    </w:p>
    <w:p w14:paraId="52170F65" w14:textId="77777777" w:rsidR="00D85F1E" w:rsidRPr="00153A69" w:rsidRDefault="00D85F1E" w:rsidP="006B5370">
      <w:pPr>
        <w:ind w:left="425"/>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Lesson Proper and Application of Concord Consortium</w:t>
      </w:r>
    </w:p>
    <w:p w14:paraId="59B66916" w14:textId="77777777" w:rsidR="00D85F1E" w:rsidRPr="00153A69" w:rsidRDefault="00D85F1E" w:rsidP="006B5370">
      <w:pPr>
        <w:ind w:firstLine="36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The lesson proper was when the students were taught about chemical reactions. They were separated into two groups, one was taught with the assistance of simulation (experimental) while the other was taught without the assistance of simulations (control). The experimental group had the intervention of Concord Consortium, a virtual learning site that facilitates science and engineering practices such as data gathering and analysis, model construction, and evidence-based reasoning. It includes educational simulations for difficult scientific topics.</w:t>
      </w:r>
    </w:p>
    <w:p w14:paraId="45EA5133" w14:textId="77777777" w:rsidR="00D85F1E" w:rsidRPr="00153A69" w:rsidRDefault="00D85F1E" w:rsidP="006B5370">
      <w:pPr>
        <w:ind w:firstLine="360"/>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 xml:space="preserve">Pretest and Posttest. </w:t>
      </w:r>
      <w:r w:rsidRPr="00153A69">
        <w:rPr>
          <w:rFonts w:ascii="Times New Roman" w:eastAsia="Arial" w:hAnsi="Times New Roman" w:cs="Times New Roman"/>
          <w:sz w:val="24"/>
          <w:szCs w:val="24"/>
        </w:rPr>
        <w:t>The instrument used by the researchers was the Pre-test/Post-test which contained thirty (30) items mainly in the cognitive domain.</w:t>
      </w:r>
    </w:p>
    <w:p w14:paraId="4939F40F" w14:textId="77777777" w:rsidR="00D85F1E" w:rsidRPr="00153A69" w:rsidRDefault="00D85F1E" w:rsidP="006B5370">
      <w:pPr>
        <w:ind w:firstLine="36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The prepared pre-test/post-lest was not subjected to content validation for it was a quiz from Grade 10 Science teacher of President Ramon Magsaysay State University Laboratory High School -San Marcelino Campus. Thus, validity of the test and its alignment to the curriculum is ensured. </w:t>
      </w:r>
    </w:p>
    <w:p w14:paraId="4F54B7D1" w14:textId="77777777" w:rsidR="00D85F1E" w:rsidRPr="00153A69" w:rsidRDefault="00D85F1E" w:rsidP="006B5370">
      <w:pPr>
        <w:ind w:firstLine="36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Short Essay Answer Questionnaire.</w:t>
      </w:r>
      <w:r w:rsidRPr="00153A69">
        <w:rPr>
          <w:rFonts w:ascii="Times New Roman" w:eastAsia="Arial" w:hAnsi="Times New Roman" w:cs="Times New Roman"/>
          <w:sz w:val="24"/>
          <w:szCs w:val="24"/>
        </w:rPr>
        <w:t xml:space="preserve"> The students answered a feedback response sheet to solicit their opinions about the intervention of Concord Consortium and its effects on their learning experience.</w:t>
      </w:r>
    </w:p>
    <w:p w14:paraId="001CBB00" w14:textId="77777777" w:rsidR="00D85F1E" w:rsidRPr="00153A69" w:rsidRDefault="00D85F1E" w:rsidP="006B5370">
      <w:pPr>
        <w:ind w:firstLine="360"/>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 xml:space="preserve">Item Analysis. </w:t>
      </w:r>
      <w:r w:rsidRPr="00153A69">
        <w:rPr>
          <w:rFonts w:ascii="Times New Roman" w:eastAsia="Arial" w:hAnsi="Times New Roman" w:cs="Times New Roman"/>
          <w:sz w:val="24"/>
          <w:szCs w:val="24"/>
        </w:rPr>
        <w:t>The result of the students' post-test was subjected to item analysis to ensure the reliability of the research instrument.</w:t>
      </w:r>
    </w:p>
    <w:p w14:paraId="693E9BF4" w14:textId="77777777" w:rsidR="00D85F1E" w:rsidRPr="00153A69" w:rsidRDefault="00D85F1E" w:rsidP="006B5370">
      <w:pPr>
        <w:ind w:firstLine="360"/>
        <w:jc w:val="both"/>
        <w:rPr>
          <w:rFonts w:ascii="Times New Roman" w:eastAsia="Arial" w:hAnsi="Times New Roman" w:cs="Times New Roman"/>
          <w:b/>
          <w:bCs/>
          <w:sz w:val="24"/>
          <w:szCs w:val="24"/>
        </w:rPr>
      </w:pPr>
    </w:p>
    <w:p w14:paraId="21F1DF3F" w14:textId="77777777" w:rsidR="00D85F1E" w:rsidRPr="00153A69" w:rsidRDefault="00D85F1E" w:rsidP="006B5370">
      <w:pPr>
        <w:ind w:firstLine="360"/>
        <w:jc w:val="both"/>
        <w:rPr>
          <w:rFonts w:ascii="Times New Roman" w:eastAsia="Arial" w:hAnsi="Times New Roman" w:cs="Times New Roman"/>
          <w:b/>
          <w:bCs/>
          <w:sz w:val="24"/>
          <w:szCs w:val="24"/>
        </w:rPr>
      </w:pPr>
      <w:r w:rsidRPr="00153A69">
        <w:rPr>
          <w:rFonts w:ascii="Times New Roman" w:hAnsi="Times New Roman" w:cs="Times New Roman"/>
          <w:b/>
          <w:bCs/>
          <w:sz w:val="24"/>
          <w:szCs w:val="24"/>
        </w:rPr>
        <w:t>Data Gathering Procedure</w:t>
      </w:r>
    </w:p>
    <w:p w14:paraId="570E428F" w14:textId="77777777" w:rsidR="00D85F1E" w:rsidRPr="00153A69" w:rsidRDefault="00D85F1E" w:rsidP="006B5370">
      <w:pPr>
        <w:ind w:firstLine="720"/>
        <w:jc w:val="both"/>
        <w:rPr>
          <w:rFonts w:ascii="Times New Roman" w:eastAsia="Arial" w:hAnsi="Times New Roman" w:cs="Times New Roman"/>
          <w:b/>
          <w:bCs/>
          <w:sz w:val="24"/>
          <w:szCs w:val="24"/>
        </w:rPr>
      </w:pPr>
      <w:r w:rsidRPr="00153A69">
        <w:rPr>
          <w:rFonts w:ascii="Times New Roman" w:eastAsia="Arial" w:hAnsi="Times New Roman" w:cs="Times New Roman"/>
          <w:sz w:val="24"/>
          <w:szCs w:val="24"/>
        </w:rPr>
        <w:t>Figure 3 shows the flowchart of data gathering procedure which has eight (8) phases. This flowchart had guided the study from the validation of the research instrument used up to the writing of the data analysis.</w:t>
      </w:r>
    </w:p>
    <w:p w14:paraId="2C238321" w14:textId="77777777" w:rsidR="00DE4A38" w:rsidRDefault="00DE4A38" w:rsidP="006B5370">
      <w:pPr>
        <w:jc w:val="both"/>
      </w:pPr>
    </w:p>
    <w:p w14:paraId="30023FB9" w14:textId="77777777" w:rsidR="00D85F1E" w:rsidRDefault="00D85F1E" w:rsidP="006B5370">
      <w:pPr>
        <w:jc w:val="both"/>
      </w:pPr>
    </w:p>
    <w:p w14:paraId="59E47C08" w14:textId="77777777" w:rsidR="00D85F1E" w:rsidRDefault="00D85F1E" w:rsidP="006B5370">
      <w:pPr>
        <w:jc w:val="both"/>
      </w:pPr>
    </w:p>
    <w:p w14:paraId="4CEBE9D6" w14:textId="77777777" w:rsidR="00D85F1E" w:rsidRDefault="00D85F1E" w:rsidP="006B5370">
      <w:pPr>
        <w:jc w:val="both"/>
      </w:pPr>
    </w:p>
    <w:p w14:paraId="0A790E1E" w14:textId="77777777" w:rsidR="00D85F1E" w:rsidRDefault="00D85F1E" w:rsidP="006B5370">
      <w:pPr>
        <w:jc w:val="both"/>
      </w:pPr>
    </w:p>
    <w:p w14:paraId="09369065" w14:textId="77777777" w:rsidR="00D85F1E" w:rsidRDefault="00D85F1E" w:rsidP="006B5370">
      <w:pPr>
        <w:jc w:val="both"/>
      </w:pPr>
    </w:p>
    <w:p w14:paraId="097A188A" w14:textId="77777777" w:rsidR="00D85F1E" w:rsidRDefault="00D85F1E" w:rsidP="006B5370">
      <w:pPr>
        <w:jc w:val="both"/>
      </w:pPr>
    </w:p>
    <w:p w14:paraId="67450715" w14:textId="77777777" w:rsidR="00D85F1E" w:rsidRDefault="00D85F1E" w:rsidP="006B5370">
      <w:pPr>
        <w:jc w:val="both"/>
      </w:pPr>
    </w:p>
    <w:p w14:paraId="18983C0E" w14:textId="77777777" w:rsidR="00D85F1E" w:rsidRDefault="00D85F1E" w:rsidP="006B5370">
      <w:pPr>
        <w:jc w:val="both"/>
      </w:pPr>
    </w:p>
    <w:p w14:paraId="1C32C03E" w14:textId="77777777" w:rsidR="00D85F1E" w:rsidRDefault="00D85F1E" w:rsidP="006B5370">
      <w:pPr>
        <w:jc w:val="both"/>
      </w:pPr>
    </w:p>
    <w:p w14:paraId="15FFE609" w14:textId="77777777" w:rsidR="00D85F1E" w:rsidRPr="00153A69" w:rsidRDefault="00D85F1E" w:rsidP="006B5370">
      <w:pPr>
        <w:pStyle w:val="NoSpacing"/>
        <w:jc w:val="both"/>
        <w:rPr>
          <w:rFonts w:ascii="Times New Roman" w:eastAsia="Arial" w:hAnsi="Times New Roman"/>
          <w:b/>
          <w:bCs/>
          <w:sz w:val="24"/>
          <w:szCs w:val="24"/>
          <w:lang w:eastAsia="zh-CN"/>
        </w:rPr>
      </w:pPr>
      <w:r w:rsidRPr="00153A69">
        <w:rPr>
          <w:rFonts w:ascii="Times New Roman" w:eastAsia="Arial" w:hAnsi="Times New Roman"/>
          <w:b/>
          <w:bCs/>
          <w:sz w:val="24"/>
          <w:szCs w:val="24"/>
          <w:lang w:eastAsia="zh-CN"/>
        </w:rPr>
        <w:t xml:space="preserve">Figure 3. </w:t>
      </w:r>
    </w:p>
    <w:p w14:paraId="1528AE3B" w14:textId="77777777" w:rsidR="00D85F1E" w:rsidRPr="00153A69" w:rsidRDefault="00D85F1E" w:rsidP="006B5370">
      <w:pPr>
        <w:pStyle w:val="NoSpacing"/>
        <w:jc w:val="both"/>
        <w:rPr>
          <w:rFonts w:ascii="Times New Roman" w:eastAsia="Arial" w:hAnsi="Times New Roman"/>
          <w:b/>
          <w:bCs/>
          <w:sz w:val="24"/>
          <w:szCs w:val="24"/>
          <w:lang w:eastAsia="zh-CN"/>
        </w:rPr>
      </w:pPr>
      <w:r w:rsidRPr="00153A69">
        <w:rPr>
          <w:rFonts w:ascii="Times New Roman" w:hAnsi="Times New Roman"/>
          <w:noProof/>
        </w:rPr>
        <w:lastRenderedPageBreak/>
        <w:drawing>
          <wp:anchor distT="0" distB="0" distL="114300" distR="114300" simplePos="0" relativeHeight="251660288" behindDoc="0" locked="0" layoutInCell="1" allowOverlap="1" wp14:anchorId="3E6A2744" wp14:editId="0971437C">
            <wp:simplePos x="0" y="0"/>
            <wp:positionH relativeFrom="margin">
              <wp:align>center</wp:align>
            </wp:positionH>
            <wp:positionV relativeFrom="paragraph">
              <wp:posOffset>247163</wp:posOffset>
            </wp:positionV>
            <wp:extent cx="4739640" cy="2905125"/>
            <wp:effectExtent l="0" t="0" r="3810" b="9525"/>
            <wp:wrapTopAndBottom/>
            <wp:docPr id="1761040191" name="Picture 2"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0191" name="Picture 2" descr="A diagram of a proces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9865" t="7064" r="9703" b="16203"/>
                    <a:stretch/>
                  </pic:blipFill>
                  <pic:spPr bwMode="auto">
                    <a:xfrm>
                      <a:off x="0" y="0"/>
                      <a:ext cx="4739640" cy="2905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3A69">
        <w:rPr>
          <w:rFonts w:ascii="Times New Roman" w:eastAsia="Arial" w:hAnsi="Times New Roman"/>
          <w:b/>
          <w:bCs/>
          <w:sz w:val="24"/>
          <w:szCs w:val="24"/>
          <w:lang w:eastAsia="zh-CN"/>
        </w:rPr>
        <w:t>Flowchart of the Data Gathering Procedure</w:t>
      </w:r>
    </w:p>
    <w:p w14:paraId="54B0C16F" w14:textId="77777777" w:rsidR="00D85F1E" w:rsidRPr="00153A69" w:rsidRDefault="00D85F1E" w:rsidP="006B5370">
      <w:pPr>
        <w:ind w:firstLine="720"/>
        <w:jc w:val="both"/>
        <w:rPr>
          <w:rFonts w:ascii="Times New Roman" w:eastAsia="Arial" w:hAnsi="Times New Roman" w:cs="Times New Roman"/>
          <w:b/>
          <w:bCs/>
          <w:sz w:val="24"/>
          <w:szCs w:val="24"/>
        </w:rPr>
      </w:pPr>
    </w:p>
    <w:p w14:paraId="1BF99B6A"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Approval of the Division Office. </w:t>
      </w:r>
      <w:r w:rsidRPr="00153A69">
        <w:rPr>
          <w:rFonts w:ascii="Times New Roman" w:eastAsia="Arial" w:hAnsi="Times New Roman" w:cs="Times New Roman"/>
          <w:sz w:val="24"/>
          <w:szCs w:val="24"/>
        </w:rPr>
        <w:t>Phase 1.  Researchers sought permission from the DepEd Division Office of Zambales to conduct an experiment on 32 Grade 10 students enrolled in the STE (Science, Technology, Engineering) curriculum at the San Guillermo National High School.</w:t>
      </w:r>
    </w:p>
    <w:p w14:paraId="51CBEE0D"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Seeking Permission of Principal and Classroom Adviser.</w:t>
      </w:r>
      <w:r w:rsidRPr="00153A69">
        <w:rPr>
          <w:rFonts w:ascii="Times New Roman" w:eastAsia="Arial" w:hAnsi="Times New Roman" w:cs="Times New Roman"/>
          <w:sz w:val="24"/>
          <w:szCs w:val="24"/>
        </w:rPr>
        <w:t xml:space="preserve"> The researchers sought permission from the principal of San</w:t>
      </w:r>
      <w:r w:rsidRPr="00153A69">
        <w:rPr>
          <w:rFonts w:ascii="Times New Roman" w:hAnsi="Times New Roman" w:cs="Times New Roman"/>
          <w:color w:val="000000"/>
          <w:sz w:val="24"/>
          <w:szCs w:val="24"/>
        </w:rPr>
        <w:t xml:space="preserve"> Guillermo National High School</w:t>
      </w:r>
      <w:r w:rsidRPr="00153A69">
        <w:rPr>
          <w:rFonts w:ascii="Times New Roman" w:eastAsia="Arial" w:hAnsi="Times New Roman" w:cs="Times New Roman"/>
          <w:sz w:val="24"/>
          <w:szCs w:val="24"/>
        </w:rPr>
        <w:t xml:space="preserve"> and the adviser of the class to conduct the experiment on Grade 10 STE students.</w:t>
      </w:r>
    </w:p>
    <w:p w14:paraId="17783993"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Validation of Research Instrument. </w:t>
      </w:r>
      <w:r w:rsidRPr="00153A69">
        <w:rPr>
          <w:rFonts w:ascii="Times New Roman" w:eastAsia="Arial" w:hAnsi="Times New Roman" w:cs="Times New Roman"/>
          <w:sz w:val="24"/>
          <w:szCs w:val="24"/>
        </w:rPr>
        <w:t>The researchers validated the research instruments with the help of the Science teachers and professors of PRMSU San Marcelino Campus. This is to ensure that the instrument is effective in measuring the students knowledge about chemical reactions.</w:t>
      </w:r>
    </w:p>
    <w:p w14:paraId="7A456F80"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Pre-test.</w:t>
      </w:r>
      <w:r w:rsidRPr="00153A69">
        <w:rPr>
          <w:rFonts w:ascii="Times New Roman" w:eastAsia="Arial" w:hAnsi="Times New Roman" w:cs="Times New Roman"/>
          <w:sz w:val="24"/>
          <w:szCs w:val="24"/>
        </w:rPr>
        <w:t xml:space="preserve"> The researchers administered the pre-test prior to the application of intervention when the participants had not yet used the intervention of simulation of Concord Consortium.</w:t>
      </w:r>
    </w:p>
    <w:p w14:paraId="54D37D0E" w14:textId="77777777" w:rsidR="00D85F1E" w:rsidRPr="00153A69" w:rsidRDefault="00D85F1E" w:rsidP="006B5370">
      <w:pPr>
        <w:pStyle w:val="ListParagraph"/>
        <w:numPr>
          <w:ilvl w:val="0"/>
          <w:numId w:val="3"/>
        </w:numPr>
        <w:jc w:val="both"/>
        <w:rPr>
          <w:rFonts w:ascii="Times New Roman" w:hAnsi="Times New Roman" w:cs="Times New Roman"/>
          <w:b/>
          <w:bCs/>
          <w:sz w:val="24"/>
          <w:szCs w:val="24"/>
        </w:rPr>
      </w:pPr>
      <w:r w:rsidRPr="00153A69">
        <w:rPr>
          <w:rFonts w:ascii="Times New Roman" w:eastAsia="Arial" w:hAnsi="Times New Roman" w:cs="Times New Roman"/>
          <w:b/>
          <w:bCs/>
          <w:sz w:val="24"/>
          <w:szCs w:val="24"/>
        </w:rPr>
        <w:t>Application of Intervention.</w:t>
      </w:r>
      <w:r w:rsidRPr="00153A69">
        <w:rPr>
          <w:rFonts w:ascii="Times New Roman" w:eastAsia="Arial" w:hAnsi="Times New Roman" w:cs="Times New Roman"/>
          <w:sz w:val="24"/>
          <w:szCs w:val="24"/>
        </w:rPr>
        <w:t xml:space="preserve"> The researchers then taught both groups about the topic chemical reactions. The researcher taught the control group only through traditional means. Meanwhile, the experimental group used the intervention which means that during their lesson, the researcher used Concord Consortium to aid in their learning.</w:t>
      </w:r>
    </w:p>
    <w:p w14:paraId="50717028"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 Post-test.</w:t>
      </w:r>
      <w:r w:rsidRPr="00153A69">
        <w:rPr>
          <w:rFonts w:ascii="Times New Roman" w:eastAsia="Arial" w:hAnsi="Times New Roman" w:cs="Times New Roman"/>
          <w:sz w:val="24"/>
          <w:szCs w:val="24"/>
        </w:rPr>
        <w:t xml:space="preserve"> The researchers administered the post-test on the same day right after the application of intervention and after the students submit the handout.</w:t>
      </w:r>
    </w:p>
    <w:p w14:paraId="2AE881DA" w14:textId="77777777" w:rsidR="00D85F1E" w:rsidRPr="00153A69" w:rsidRDefault="00D85F1E" w:rsidP="006B5370">
      <w:pPr>
        <w:pStyle w:val="ListParagraph"/>
        <w:numPr>
          <w:ilvl w:val="0"/>
          <w:numId w:val="3"/>
        </w:num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 xml:space="preserve">Narrative Response. </w:t>
      </w:r>
      <w:r w:rsidRPr="00153A69">
        <w:rPr>
          <w:rFonts w:ascii="Times New Roman" w:eastAsia="Arial" w:hAnsi="Times New Roman" w:cs="Times New Roman"/>
          <w:sz w:val="24"/>
          <w:szCs w:val="24"/>
        </w:rPr>
        <w:t>The students answered a feedback response sheet to collect their opinions about the intervention of the Concord Consortium and its effects on their learning experience.</w:t>
      </w:r>
    </w:p>
    <w:p w14:paraId="34CA6170"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Collate Data. </w:t>
      </w:r>
      <w:r w:rsidRPr="00153A69">
        <w:rPr>
          <w:rFonts w:ascii="Times New Roman" w:eastAsia="Arial" w:hAnsi="Times New Roman" w:cs="Times New Roman"/>
          <w:color w:val="000000" w:themeColor="text1"/>
          <w:sz w:val="24"/>
          <w:szCs w:val="24"/>
        </w:rPr>
        <w:t xml:space="preserve">The researchers </w:t>
      </w:r>
      <w:r w:rsidRPr="00153A69">
        <w:rPr>
          <w:rFonts w:ascii="Times New Roman" w:eastAsia="Arial" w:hAnsi="Times New Roman" w:cs="Times New Roman"/>
          <w:color w:val="000000" w:themeColor="text1"/>
          <w:sz w:val="24"/>
          <w:szCs w:val="24"/>
          <w:shd w:val="clear" w:color="auto" w:fill="FFFFFF"/>
        </w:rPr>
        <w:t xml:space="preserve">organized and coded the collected data for analysis. </w:t>
      </w:r>
    </w:p>
    <w:p w14:paraId="5308C5FA" w14:textId="77777777" w:rsidR="00D85F1E" w:rsidRPr="00153A69" w:rsidRDefault="00D85F1E" w:rsidP="006B5370">
      <w:pPr>
        <w:pStyle w:val="ListParagraph"/>
        <w:jc w:val="both"/>
        <w:rPr>
          <w:rFonts w:ascii="Times New Roman" w:hAnsi="Times New Roman" w:cs="Times New Roman"/>
          <w:b/>
          <w:bCs/>
          <w:sz w:val="24"/>
          <w:szCs w:val="24"/>
        </w:rPr>
      </w:pPr>
    </w:p>
    <w:p w14:paraId="129FDBD1" w14:textId="77777777" w:rsidR="00D85F1E" w:rsidRPr="00153A69" w:rsidRDefault="00D85F1E" w:rsidP="006B5370">
      <w:pPr>
        <w:jc w:val="both"/>
        <w:rPr>
          <w:rFonts w:ascii="Times New Roman" w:hAnsi="Times New Roman" w:cs="Times New Roman"/>
          <w:b/>
          <w:bCs/>
          <w:sz w:val="24"/>
          <w:szCs w:val="24"/>
        </w:rPr>
      </w:pPr>
      <w:r w:rsidRPr="00153A69">
        <w:rPr>
          <w:rFonts w:ascii="Times New Roman" w:hAnsi="Times New Roman" w:cs="Times New Roman"/>
          <w:b/>
          <w:bCs/>
          <w:sz w:val="24"/>
          <w:szCs w:val="24"/>
        </w:rPr>
        <w:t>Data Analysis</w:t>
      </w:r>
    </w:p>
    <w:p w14:paraId="19C0AC28"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After administering the tests, the data were organized, summarized, analyzed and interpreted using the following statistical tool. </w:t>
      </w:r>
    </w:p>
    <w:p w14:paraId="0F993C19"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Frequency and Percent Distribution. </w:t>
      </w:r>
      <w:r w:rsidRPr="00153A69">
        <w:rPr>
          <w:rFonts w:ascii="Times New Roman" w:eastAsia="Arial" w:hAnsi="Times New Roman" w:cs="Times New Roman"/>
          <w:sz w:val="24"/>
          <w:szCs w:val="24"/>
        </w:rPr>
        <w:t>This is the measure that was used to calculate the percentage of respondents falling in the appropriate group based on the different assessments that were administered.</w:t>
      </w:r>
    </w:p>
    <w:p w14:paraId="04A33C17"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Mean.</w:t>
      </w:r>
      <w:r w:rsidRPr="00153A69">
        <w:rPr>
          <w:rFonts w:ascii="Times New Roman" w:eastAsia="Arial" w:hAnsi="Times New Roman" w:cs="Times New Roman"/>
          <w:sz w:val="24"/>
          <w:szCs w:val="24"/>
        </w:rPr>
        <w:t xml:space="preserve"> This was used to compare the pre-test and post-test after students used the intervention of the simulations of Concord Consortium for Studying.</w:t>
      </w:r>
    </w:p>
    <w:p w14:paraId="0544E9E5"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Pearson Correlation</w:t>
      </w:r>
      <w:r w:rsidRPr="00153A69">
        <w:rPr>
          <w:rFonts w:ascii="Times New Roman" w:eastAsia="Arial" w:hAnsi="Times New Roman" w:cs="Times New Roman"/>
          <w:sz w:val="24"/>
          <w:szCs w:val="24"/>
        </w:rPr>
        <w:t>. It was used to measure the relationship between two variables, where a high score means there is a high correlation and a score near zero means there is no correlation.</w:t>
      </w:r>
    </w:p>
    <w:p w14:paraId="3FCD97C2" w14:textId="77777777" w:rsidR="00D85F1E" w:rsidRPr="00153A69" w:rsidRDefault="00D85F1E" w:rsidP="006B5370">
      <w:pPr>
        <w:ind w:firstLine="720"/>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Percentage Rating and Descriptors.</w:t>
      </w:r>
      <w:r w:rsidRPr="00153A69">
        <w:rPr>
          <w:rFonts w:ascii="Times New Roman" w:hAnsi="Times New Roman" w:cs="Times New Roman"/>
          <w:color w:val="000000"/>
          <w:sz w:val="24"/>
          <w:szCs w:val="24"/>
        </w:rPr>
        <w:t xml:space="preserve"> The descriptions were based on a Criterion-referenced method, assuming the students had minimal prior knowledge of the subject matter, we set the Percentage rating of 75 and below to be Did not Meet Expectations, 76-81 as Fairly Satisfactory description, 82-89 as Satisfactory, 90-95 as Very Satisfactory, and 96-100 as Outstanding as shown in Table 2 (Davies, &amp; Short 2024). The following formula was used to calculate the percentage rating based on the DepEd Order no. 8 Series of 2015:</w:t>
      </w:r>
    </w:p>
    <w:p w14:paraId="4D43D5B4" w14:textId="77777777" w:rsidR="00D85F1E" w:rsidRPr="00153A69" w:rsidRDefault="00000000" w:rsidP="006B5370">
      <w:pPr>
        <w:ind w:firstLine="720"/>
        <w:jc w:val="both"/>
        <w:rPr>
          <w:rFonts w:ascii="Times New Roman" w:hAnsi="Times New Roman" w:cs="Times New Roman"/>
          <w:color w:val="000000"/>
          <w:sz w:val="24"/>
          <w:szCs w:val="24"/>
        </w:rPr>
      </w:pPr>
      <m:oMathPara>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raw score*50</m:t>
              </m:r>
            </m:num>
            <m:den>
              <m:r>
                <w:rPr>
                  <w:rFonts w:ascii="Cambria Math" w:hAnsi="Cambria Math" w:cs="Times New Roman"/>
                  <w:color w:val="000000"/>
                  <w:sz w:val="24"/>
                  <w:szCs w:val="24"/>
                </w:rPr>
                <m:t>no. of items</m:t>
              </m:r>
            </m:den>
          </m:f>
          <m:r>
            <w:rPr>
              <w:rFonts w:ascii="Cambria Math" w:hAnsi="Cambria Math" w:cs="Times New Roman"/>
              <w:color w:val="000000"/>
              <w:sz w:val="24"/>
              <w:szCs w:val="24"/>
            </w:rPr>
            <m:t>+50</m:t>
          </m:r>
        </m:oMath>
      </m:oMathPara>
    </w:p>
    <w:p w14:paraId="01F8350C" w14:textId="77777777" w:rsidR="003F35D6" w:rsidRDefault="003F35D6" w:rsidP="006B5370">
      <w:pPr>
        <w:jc w:val="both"/>
        <w:rPr>
          <w:rFonts w:ascii="Times New Roman" w:hAnsi="Times New Roman" w:cs="Times New Roman"/>
          <w:b/>
          <w:bCs/>
          <w:color w:val="000000"/>
          <w:sz w:val="24"/>
          <w:szCs w:val="24"/>
        </w:rPr>
        <w:sectPr w:rsidR="003F35D6" w:rsidSect="00DE4A38">
          <w:pgSz w:w="11906" w:h="16838" w:code="9"/>
          <w:pgMar w:top="1083" w:right="607" w:bottom="607" w:left="607" w:header="709" w:footer="709" w:gutter="0"/>
          <w:cols w:space="708"/>
          <w:docGrid w:linePitch="360"/>
        </w:sectPr>
      </w:pPr>
    </w:p>
    <w:p w14:paraId="1AA662DA"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2. </w:t>
      </w:r>
    </w:p>
    <w:p w14:paraId="7C2AF898" w14:textId="77777777" w:rsidR="00D85F1E" w:rsidRPr="00153A69" w:rsidRDefault="00D85F1E" w:rsidP="006B5370">
      <w:pPr>
        <w:ind w:right="-114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Descriptors and Percentage Rating</w:t>
      </w:r>
    </w:p>
    <w:p w14:paraId="178FD04A" w14:textId="77777777" w:rsidR="00D85F1E" w:rsidRPr="00153A69" w:rsidRDefault="00D85F1E" w:rsidP="006B5370">
      <w:pPr>
        <w:ind w:right="-1144"/>
        <w:jc w:val="both"/>
        <w:rPr>
          <w:rFonts w:ascii="Times New Roman" w:hAnsi="Times New Roman" w:cs="Times New Roman"/>
          <w:b/>
          <w:bCs/>
          <w:color w:val="000000"/>
          <w:sz w:val="24"/>
          <w:szCs w:val="24"/>
        </w:rPr>
      </w:pPr>
    </w:p>
    <w:tbl>
      <w:tblPr>
        <w:tblStyle w:val="TableGrid"/>
        <w:tblW w:w="0" w:type="auto"/>
        <w:jc w:val="center"/>
        <w:tblLook w:val="04A0" w:firstRow="1" w:lastRow="0" w:firstColumn="1" w:lastColumn="0" w:noHBand="0" w:noVBand="1"/>
      </w:tblPr>
      <w:tblGrid>
        <w:gridCol w:w="2392"/>
        <w:gridCol w:w="2590"/>
      </w:tblGrid>
      <w:tr w:rsidR="00D85F1E" w:rsidRPr="00153A69" w14:paraId="3C9C19A5" w14:textId="77777777" w:rsidTr="00D85F1E">
        <w:trPr>
          <w:trHeight w:val="20"/>
          <w:jc w:val="center"/>
        </w:trPr>
        <w:tc>
          <w:tcPr>
            <w:tcW w:w="2840" w:type="dxa"/>
            <w:vAlign w:val="center"/>
          </w:tcPr>
          <w:p w14:paraId="03365E1C" w14:textId="77777777" w:rsidR="00D85F1E" w:rsidRPr="00153A69" w:rsidRDefault="00D85F1E" w:rsidP="006B5370">
            <w:pPr>
              <w:pStyle w:val="NoSpacing"/>
              <w:jc w:val="both"/>
              <w:rPr>
                <w:rFonts w:ascii="Times New Roman" w:eastAsia="SimSun" w:hAnsi="Times New Roman"/>
                <w:b/>
                <w:bCs/>
                <w:color w:val="000000"/>
                <w:sz w:val="24"/>
                <w:szCs w:val="24"/>
                <w:lang w:eastAsia="zh-CN"/>
              </w:rPr>
            </w:pPr>
            <w:r w:rsidRPr="00153A69">
              <w:rPr>
                <w:rFonts w:ascii="Times New Roman" w:eastAsia="SimSun" w:hAnsi="Times New Roman"/>
                <w:b/>
                <w:bCs/>
                <w:color w:val="000000"/>
                <w:sz w:val="24"/>
                <w:szCs w:val="24"/>
                <w:lang w:eastAsia="zh-CN"/>
              </w:rPr>
              <w:t>DESCRIPTOR</w:t>
            </w:r>
          </w:p>
        </w:tc>
        <w:tc>
          <w:tcPr>
            <w:tcW w:w="3118" w:type="dxa"/>
            <w:vAlign w:val="center"/>
          </w:tcPr>
          <w:p w14:paraId="57C506A0" w14:textId="77777777" w:rsidR="00D85F1E" w:rsidRPr="00153A69" w:rsidRDefault="00D85F1E" w:rsidP="006B5370">
            <w:pPr>
              <w:pStyle w:val="NoSpacing"/>
              <w:jc w:val="both"/>
              <w:rPr>
                <w:rFonts w:ascii="Times New Roman" w:eastAsia="SimSun" w:hAnsi="Times New Roman"/>
                <w:b/>
                <w:bCs/>
                <w:color w:val="000000"/>
                <w:sz w:val="24"/>
                <w:szCs w:val="24"/>
                <w:lang w:eastAsia="zh-CN"/>
              </w:rPr>
            </w:pPr>
            <w:r w:rsidRPr="00153A69">
              <w:rPr>
                <w:rFonts w:ascii="Times New Roman" w:eastAsia="SimSun" w:hAnsi="Times New Roman"/>
                <w:b/>
                <w:bCs/>
                <w:color w:val="000000"/>
                <w:sz w:val="24"/>
                <w:szCs w:val="24"/>
                <w:lang w:eastAsia="zh-CN"/>
              </w:rPr>
              <w:t>PERCENTAGE RATING</w:t>
            </w:r>
          </w:p>
        </w:tc>
      </w:tr>
      <w:tr w:rsidR="00D85F1E" w:rsidRPr="00153A69" w14:paraId="69FB39EE" w14:textId="77777777" w:rsidTr="00D85F1E">
        <w:trPr>
          <w:jc w:val="center"/>
        </w:trPr>
        <w:tc>
          <w:tcPr>
            <w:tcW w:w="2840" w:type="dxa"/>
            <w:vAlign w:val="center"/>
          </w:tcPr>
          <w:p w14:paraId="4B90A08A"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Did Not Meet Expectation</w:t>
            </w:r>
          </w:p>
        </w:tc>
        <w:tc>
          <w:tcPr>
            <w:tcW w:w="3118" w:type="dxa"/>
            <w:vAlign w:val="center"/>
          </w:tcPr>
          <w:p w14:paraId="066BA08F"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75 and below</w:t>
            </w:r>
          </w:p>
        </w:tc>
      </w:tr>
      <w:tr w:rsidR="00D85F1E" w:rsidRPr="00153A69" w14:paraId="723A5673" w14:textId="77777777" w:rsidTr="00D85F1E">
        <w:trPr>
          <w:jc w:val="center"/>
        </w:trPr>
        <w:tc>
          <w:tcPr>
            <w:tcW w:w="2840" w:type="dxa"/>
            <w:vAlign w:val="center"/>
          </w:tcPr>
          <w:p w14:paraId="65EA5133"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Fairly Satisfactory</w:t>
            </w:r>
          </w:p>
        </w:tc>
        <w:tc>
          <w:tcPr>
            <w:tcW w:w="3118" w:type="dxa"/>
            <w:vAlign w:val="center"/>
          </w:tcPr>
          <w:p w14:paraId="693A0763"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76 – 81</w:t>
            </w:r>
          </w:p>
        </w:tc>
      </w:tr>
      <w:tr w:rsidR="00D85F1E" w:rsidRPr="00153A69" w14:paraId="700DCC50" w14:textId="77777777" w:rsidTr="00D85F1E">
        <w:trPr>
          <w:jc w:val="center"/>
        </w:trPr>
        <w:tc>
          <w:tcPr>
            <w:tcW w:w="2840" w:type="dxa"/>
            <w:vAlign w:val="center"/>
          </w:tcPr>
          <w:p w14:paraId="431372C9"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Satisfactory</w:t>
            </w:r>
          </w:p>
        </w:tc>
        <w:tc>
          <w:tcPr>
            <w:tcW w:w="3118" w:type="dxa"/>
            <w:vAlign w:val="center"/>
          </w:tcPr>
          <w:p w14:paraId="5C277058"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82 – 89</w:t>
            </w:r>
          </w:p>
        </w:tc>
      </w:tr>
      <w:tr w:rsidR="00D85F1E" w:rsidRPr="00153A69" w14:paraId="47DCD699" w14:textId="77777777" w:rsidTr="00D85F1E">
        <w:trPr>
          <w:jc w:val="center"/>
        </w:trPr>
        <w:tc>
          <w:tcPr>
            <w:tcW w:w="2840" w:type="dxa"/>
            <w:vAlign w:val="center"/>
          </w:tcPr>
          <w:p w14:paraId="5C640BED"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Very Satisfactory</w:t>
            </w:r>
          </w:p>
        </w:tc>
        <w:tc>
          <w:tcPr>
            <w:tcW w:w="3118" w:type="dxa"/>
            <w:vAlign w:val="center"/>
          </w:tcPr>
          <w:p w14:paraId="052A6E79"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90 – 95</w:t>
            </w:r>
          </w:p>
        </w:tc>
      </w:tr>
      <w:tr w:rsidR="00D85F1E" w:rsidRPr="00153A69" w14:paraId="08539B22" w14:textId="77777777" w:rsidTr="00D85F1E">
        <w:trPr>
          <w:jc w:val="center"/>
        </w:trPr>
        <w:tc>
          <w:tcPr>
            <w:tcW w:w="2840" w:type="dxa"/>
            <w:vAlign w:val="center"/>
          </w:tcPr>
          <w:p w14:paraId="7E217FB9"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Outstanding</w:t>
            </w:r>
          </w:p>
        </w:tc>
        <w:tc>
          <w:tcPr>
            <w:tcW w:w="3118" w:type="dxa"/>
            <w:vAlign w:val="center"/>
          </w:tcPr>
          <w:p w14:paraId="662DDBBC"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96 - 100</w:t>
            </w:r>
          </w:p>
        </w:tc>
      </w:tr>
    </w:tbl>
    <w:p w14:paraId="0A73270B" w14:textId="77777777" w:rsidR="00D85F1E" w:rsidRPr="00153A69" w:rsidRDefault="00D85F1E" w:rsidP="006B5370">
      <w:pPr>
        <w:ind w:firstLine="720"/>
        <w:jc w:val="both"/>
        <w:rPr>
          <w:rFonts w:ascii="Times New Roman" w:eastAsia="Arial" w:hAnsi="Times New Roman" w:cs="Times New Roman"/>
          <w:sz w:val="24"/>
          <w:szCs w:val="24"/>
        </w:rPr>
      </w:pPr>
    </w:p>
    <w:p w14:paraId="7EAD939B" w14:textId="77777777" w:rsidR="00D85F1E"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Standard Deviation.</w:t>
      </w:r>
      <w:r w:rsidRPr="00153A69">
        <w:rPr>
          <w:rFonts w:ascii="Times New Roman" w:eastAsia="Arial" w:hAnsi="Times New Roman" w:cs="Times New Roman"/>
          <w:sz w:val="24"/>
          <w:szCs w:val="24"/>
        </w:rPr>
        <w:t xml:space="preserve"> It was used to measure how similar (homogeneous) or different (heterogeneous) the class is from the mean.</w:t>
      </w:r>
    </w:p>
    <w:p w14:paraId="28FB295F" w14:textId="77777777" w:rsidR="003F35D6" w:rsidRPr="00153A69" w:rsidRDefault="003F35D6" w:rsidP="006B5370">
      <w:pPr>
        <w:ind w:firstLine="720"/>
        <w:jc w:val="both"/>
        <w:rPr>
          <w:rFonts w:ascii="Times New Roman" w:eastAsia="Arial" w:hAnsi="Times New Roman" w:cs="Times New Roman"/>
          <w:sz w:val="24"/>
          <w:szCs w:val="24"/>
        </w:rPr>
      </w:pPr>
    </w:p>
    <w:p w14:paraId="3A95990A" w14:textId="77777777" w:rsidR="003F35D6" w:rsidRDefault="003F35D6" w:rsidP="006B5370">
      <w:pPr>
        <w:ind w:firstLine="720"/>
        <w:jc w:val="both"/>
        <w:rPr>
          <w:rFonts w:ascii="Times New Roman" w:eastAsia="Arial" w:hAnsi="Times New Roman" w:cs="Times New Roman"/>
          <w:b/>
          <w:bCs/>
          <w:sz w:val="24"/>
          <w:szCs w:val="24"/>
        </w:rPr>
      </w:pPr>
    </w:p>
    <w:p w14:paraId="64048D81" w14:textId="6BC6897E"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T-test.</w:t>
      </w:r>
      <w:r w:rsidRPr="00153A69">
        <w:rPr>
          <w:rFonts w:ascii="Times New Roman" w:eastAsia="Arial" w:hAnsi="Times New Roman" w:cs="Times New Roman"/>
          <w:sz w:val="24"/>
          <w:szCs w:val="24"/>
        </w:rPr>
        <w:t xml:space="preserve"> For verification of statistically significant differences of the different assessments to conclude if there was learning improvement of students’ understanding due to the use of the intervention of simulations of Concord Consortium for Studying.</w:t>
      </w:r>
    </w:p>
    <w:p w14:paraId="1DB572CB"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Thematic Analysis.</w:t>
      </w:r>
      <w:r w:rsidRPr="00153A69">
        <w:rPr>
          <w:rFonts w:ascii="Times New Roman" w:eastAsia="Arial" w:hAnsi="Times New Roman" w:cs="Times New Roman"/>
          <w:sz w:val="24"/>
          <w:szCs w:val="24"/>
        </w:rPr>
        <w:t xml:space="preserve"> This method of analysis was applied to the responses of the open-ended questions.</w:t>
      </w:r>
    </w:p>
    <w:p w14:paraId="5501A2EC"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Variance. </w:t>
      </w:r>
      <w:r w:rsidRPr="00153A69">
        <w:rPr>
          <w:rFonts w:ascii="Times New Roman" w:eastAsia="Arial" w:hAnsi="Times New Roman" w:cs="Times New Roman"/>
          <w:sz w:val="24"/>
          <w:szCs w:val="24"/>
        </w:rPr>
        <w:t>It was used to determine the degree of spreading of the scores of the students in the pretest and post test.</w:t>
      </w:r>
    </w:p>
    <w:p w14:paraId="3AD41505" w14:textId="77777777" w:rsidR="00D85F1E" w:rsidRPr="00153A69" w:rsidRDefault="00D85F1E" w:rsidP="006B5370">
      <w:pPr>
        <w:jc w:val="both"/>
        <w:rPr>
          <w:rFonts w:ascii="Times New Roman" w:hAnsi="Times New Roman" w:cs="Times New Roman"/>
          <w:b/>
          <w:bCs/>
          <w:color w:val="000000"/>
          <w:sz w:val="24"/>
          <w:szCs w:val="24"/>
        </w:rPr>
      </w:pPr>
    </w:p>
    <w:p w14:paraId="2A17BD51" w14:textId="77777777" w:rsidR="003F35D6" w:rsidRDefault="003F35D6" w:rsidP="006B5370">
      <w:pPr>
        <w:jc w:val="both"/>
        <w:rPr>
          <w:rFonts w:ascii="Times New Roman" w:hAnsi="Times New Roman" w:cs="Times New Roman"/>
          <w:b/>
          <w:bCs/>
          <w:color w:val="000000"/>
          <w:sz w:val="24"/>
          <w:szCs w:val="24"/>
        </w:rPr>
        <w:sectPr w:rsidR="003F35D6" w:rsidSect="003F35D6">
          <w:type w:val="continuous"/>
          <w:pgSz w:w="11906" w:h="16838" w:code="9"/>
          <w:pgMar w:top="1083" w:right="607" w:bottom="607" w:left="607" w:header="709" w:footer="709" w:gutter="0"/>
          <w:cols w:num="2" w:space="708"/>
          <w:docGrid w:linePitch="360"/>
        </w:sectPr>
      </w:pPr>
    </w:p>
    <w:p w14:paraId="29600C5F" w14:textId="77777777" w:rsidR="003F35D6" w:rsidRDefault="003F35D6" w:rsidP="006B5370">
      <w:pPr>
        <w:jc w:val="both"/>
        <w:rPr>
          <w:rFonts w:ascii="Times New Roman" w:hAnsi="Times New Roman" w:cs="Times New Roman"/>
          <w:b/>
          <w:bCs/>
          <w:color w:val="000000"/>
          <w:sz w:val="24"/>
          <w:szCs w:val="24"/>
        </w:rPr>
      </w:pPr>
    </w:p>
    <w:p w14:paraId="4F501CD6" w14:textId="77777777" w:rsidR="003F35D6" w:rsidRDefault="003F35D6" w:rsidP="006B5370">
      <w:pPr>
        <w:jc w:val="both"/>
        <w:rPr>
          <w:rFonts w:ascii="Times New Roman" w:hAnsi="Times New Roman" w:cs="Times New Roman"/>
          <w:b/>
          <w:bCs/>
          <w:color w:val="000000"/>
          <w:sz w:val="24"/>
          <w:szCs w:val="24"/>
        </w:rPr>
      </w:pPr>
    </w:p>
    <w:p w14:paraId="7537401F" w14:textId="64C75D38"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Ethical Considerations</w:t>
      </w:r>
    </w:p>
    <w:p w14:paraId="63A3E743"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color w:val="000000"/>
          <w:sz w:val="24"/>
          <w:szCs w:val="24"/>
        </w:rPr>
        <w:tab/>
        <w:t>A number of ethical considerations were taken into account to ensure that the research was done in a proper manner. To guarantee that the respondents would give their complete agreement before the study began, the researchers issued them an official letter. The information provided by the respondents will not be fully published in this research; instead, just the test scores and results will be used to calculate the essential study measures. This is to safeguard the right to anonymity. As not every student enrolled in Grade 10 students at San Guillermo National High School is included in this study, respondents were not required to take part. The responders experienced no harm of any kind.</w:t>
      </w:r>
      <w:r w:rsidRPr="00153A69">
        <w:rPr>
          <w:rFonts w:ascii="Times New Roman" w:hAnsi="Times New Roman" w:cs="Times New Roman"/>
          <w:color w:val="000000"/>
          <w:sz w:val="24"/>
          <w:szCs w:val="24"/>
        </w:rPr>
        <w:tab/>
        <w:t>Additionally, researchers gave responders' dignity first priority. After instruction and testing, researchers safeguarded and maintained the confidentiality of the data they had collected. As per the Republic Act no. 10173, personal information obtained from respondents for other purposes may be utilized for historical, statistical, or scientific purposes. In certain legal instances, the information may be retained for extended periods of time. As long as the regulations allowing their processing also to ensure those sufficient safeguards.</w:t>
      </w:r>
    </w:p>
    <w:p w14:paraId="21EBD4E0" w14:textId="77777777" w:rsidR="00D85F1E" w:rsidRPr="00153A69" w:rsidRDefault="00D85F1E" w:rsidP="006B5370">
      <w:pPr>
        <w:jc w:val="both"/>
        <w:rPr>
          <w:rFonts w:ascii="Times New Roman" w:hAnsi="Times New Roman" w:cs="Times New Roman"/>
          <w:b/>
          <w:bCs/>
          <w:color w:val="000000"/>
          <w:sz w:val="24"/>
          <w:szCs w:val="24"/>
        </w:rPr>
      </w:pPr>
    </w:p>
    <w:p w14:paraId="6F525F8D" w14:textId="77777777" w:rsidR="00D85F1E" w:rsidRDefault="00D85F1E" w:rsidP="006B5370">
      <w:pPr>
        <w:jc w:val="both"/>
        <w:rPr>
          <w:rFonts w:ascii="Times New Roman" w:eastAsia="Arial" w:hAnsi="Times New Roman" w:cs="Times New Roman"/>
          <w:b/>
          <w:color w:val="000000"/>
          <w:sz w:val="24"/>
          <w:szCs w:val="24"/>
        </w:rPr>
      </w:pPr>
      <w:r w:rsidRPr="00153A69">
        <w:rPr>
          <w:rFonts w:ascii="Times New Roman" w:eastAsia="Arial" w:hAnsi="Times New Roman" w:cs="Times New Roman"/>
          <w:b/>
          <w:color w:val="000000"/>
          <w:sz w:val="24"/>
          <w:szCs w:val="24"/>
        </w:rPr>
        <w:t>RESULTS &amp; DISCUSSION</w:t>
      </w:r>
    </w:p>
    <w:p w14:paraId="08800773" w14:textId="77777777" w:rsidR="00D85F1E" w:rsidRPr="00153A69" w:rsidRDefault="00D85F1E" w:rsidP="006B5370">
      <w:pPr>
        <w:jc w:val="both"/>
        <w:rPr>
          <w:rFonts w:ascii="Times New Roman" w:eastAsia="Arial" w:hAnsi="Times New Roman" w:cs="Times New Roman"/>
          <w:b/>
          <w:color w:val="000000"/>
          <w:sz w:val="24"/>
          <w:szCs w:val="24"/>
        </w:rPr>
      </w:pPr>
    </w:p>
    <w:p w14:paraId="46289DAE"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This Chapter presents the findings of the research as well as the interpretation of the data gathered. </w:t>
      </w:r>
    </w:p>
    <w:p w14:paraId="1F3606FC" w14:textId="77777777" w:rsidR="00D85F1E" w:rsidRDefault="00D85F1E"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The pre-test results for the 32 Grade 10 STE students indicated their level of knowledge before undergoing the Concord Consortium's intervention. The pre-test contains thirty (30) questions about chemical reactions. The frequency and percentage distribution of the scores were used to describe them. The descriptions were based on the expected knowledge of the students using positional measures to describe where the values fall in relation to one another (Kaur, Stoltzfus, &amp; Yellapu, 2018). </w:t>
      </w:r>
    </w:p>
    <w:p w14:paraId="11B659F8" w14:textId="77777777" w:rsidR="00D85F1E" w:rsidRDefault="00D85F1E" w:rsidP="006B5370">
      <w:pPr>
        <w:ind w:firstLine="720"/>
        <w:jc w:val="both"/>
        <w:rPr>
          <w:rFonts w:ascii="Times New Roman" w:hAnsi="Times New Roman" w:cs="Times New Roman"/>
          <w:color w:val="000000"/>
          <w:sz w:val="24"/>
          <w:szCs w:val="24"/>
        </w:rPr>
      </w:pPr>
    </w:p>
    <w:p w14:paraId="42FDCFD1" w14:textId="77777777" w:rsidR="001A38C1" w:rsidRDefault="001A38C1" w:rsidP="006B5370">
      <w:pPr>
        <w:ind w:firstLine="720"/>
        <w:jc w:val="both"/>
        <w:rPr>
          <w:rFonts w:ascii="Times New Roman" w:hAnsi="Times New Roman" w:cs="Times New Roman"/>
          <w:color w:val="000000"/>
          <w:sz w:val="24"/>
          <w:szCs w:val="24"/>
        </w:rPr>
      </w:pPr>
    </w:p>
    <w:p w14:paraId="74C39619" w14:textId="77777777" w:rsidR="001A38C1" w:rsidRDefault="001A38C1" w:rsidP="006B5370">
      <w:pPr>
        <w:ind w:firstLine="720"/>
        <w:jc w:val="both"/>
        <w:rPr>
          <w:rFonts w:ascii="Times New Roman" w:hAnsi="Times New Roman" w:cs="Times New Roman"/>
          <w:color w:val="000000"/>
          <w:sz w:val="24"/>
          <w:szCs w:val="24"/>
        </w:rPr>
      </w:pPr>
    </w:p>
    <w:p w14:paraId="661016B8" w14:textId="77777777" w:rsidR="001A38C1" w:rsidRDefault="001A38C1" w:rsidP="006B5370">
      <w:pPr>
        <w:ind w:firstLine="720"/>
        <w:jc w:val="both"/>
        <w:rPr>
          <w:rFonts w:ascii="Times New Roman" w:hAnsi="Times New Roman" w:cs="Times New Roman"/>
          <w:color w:val="000000"/>
          <w:sz w:val="24"/>
          <w:szCs w:val="24"/>
        </w:rPr>
      </w:pPr>
    </w:p>
    <w:p w14:paraId="67419BC9" w14:textId="77777777" w:rsidR="001A38C1" w:rsidRDefault="001A38C1" w:rsidP="006B5370">
      <w:pPr>
        <w:ind w:firstLine="720"/>
        <w:jc w:val="both"/>
        <w:rPr>
          <w:rFonts w:ascii="Times New Roman" w:hAnsi="Times New Roman" w:cs="Times New Roman"/>
          <w:color w:val="000000"/>
          <w:sz w:val="24"/>
          <w:szCs w:val="24"/>
        </w:rPr>
      </w:pPr>
    </w:p>
    <w:p w14:paraId="04575465" w14:textId="77777777" w:rsidR="001A38C1" w:rsidRDefault="001A38C1" w:rsidP="006B5370">
      <w:pPr>
        <w:ind w:firstLine="720"/>
        <w:jc w:val="both"/>
        <w:rPr>
          <w:rFonts w:ascii="Times New Roman" w:hAnsi="Times New Roman" w:cs="Times New Roman"/>
          <w:color w:val="000000"/>
          <w:sz w:val="24"/>
          <w:szCs w:val="24"/>
        </w:rPr>
      </w:pPr>
    </w:p>
    <w:p w14:paraId="24EA8563" w14:textId="77777777" w:rsidR="001A38C1" w:rsidRDefault="001A38C1" w:rsidP="006B5370">
      <w:pPr>
        <w:ind w:firstLine="720"/>
        <w:jc w:val="both"/>
        <w:rPr>
          <w:rFonts w:ascii="Times New Roman" w:hAnsi="Times New Roman" w:cs="Times New Roman"/>
          <w:color w:val="000000"/>
          <w:sz w:val="24"/>
          <w:szCs w:val="24"/>
        </w:rPr>
      </w:pPr>
    </w:p>
    <w:p w14:paraId="75866E2D" w14:textId="77777777" w:rsidR="003F35D6" w:rsidRDefault="003F35D6" w:rsidP="006B5370">
      <w:pPr>
        <w:ind w:firstLine="720"/>
        <w:jc w:val="both"/>
        <w:rPr>
          <w:rFonts w:ascii="Times New Roman" w:hAnsi="Times New Roman" w:cs="Times New Roman"/>
          <w:color w:val="000000"/>
          <w:sz w:val="24"/>
          <w:szCs w:val="24"/>
        </w:rPr>
      </w:pPr>
    </w:p>
    <w:p w14:paraId="748136C8" w14:textId="77777777" w:rsidR="003F35D6" w:rsidRPr="00153A69" w:rsidRDefault="003F35D6" w:rsidP="006B5370">
      <w:pPr>
        <w:ind w:firstLine="720"/>
        <w:jc w:val="both"/>
        <w:rPr>
          <w:rFonts w:ascii="Times New Roman" w:hAnsi="Times New Roman" w:cs="Times New Roman"/>
          <w:color w:val="000000"/>
          <w:sz w:val="24"/>
          <w:szCs w:val="24"/>
        </w:rPr>
      </w:pPr>
    </w:p>
    <w:p w14:paraId="76B6C52A" w14:textId="5322EA2E" w:rsidR="00D85F1E" w:rsidRDefault="00D85F1E" w:rsidP="006B5370">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14:paraId="53F540B2" w14:textId="77777777" w:rsidR="00D85F1E" w:rsidRDefault="00D85F1E" w:rsidP="006B5370">
      <w:pPr>
        <w:jc w:val="both"/>
        <w:rPr>
          <w:rFonts w:ascii="Times New Roman" w:hAnsi="Times New Roman" w:cs="Times New Roman"/>
          <w:color w:val="000000"/>
          <w:sz w:val="24"/>
          <w:szCs w:val="24"/>
        </w:rPr>
      </w:pPr>
    </w:p>
    <w:p w14:paraId="28ECB79D" w14:textId="77777777" w:rsidR="001A38C1" w:rsidRDefault="001A38C1" w:rsidP="006B5370">
      <w:pPr>
        <w:jc w:val="both"/>
        <w:rPr>
          <w:rFonts w:ascii="Times New Roman" w:hAnsi="Times New Roman" w:cs="Times New Roman"/>
          <w:b/>
          <w:bCs/>
          <w:color w:val="000000"/>
          <w:sz w:val="24"/>
          <w:szCs w:val="24"/>
        </w:rPr>
        <w:sectPr w:rsidR="001A38C1" w:rsidSect="003F35D6">
          <w:type w:val="continuous"/>
          <w:pgSz w:w="11906" w:h="16838" w:code="9"/>
          <w:pgMar w:top="1083" w:right="607" w:bottom="607" w:left="607" w:header="709" w:footer="709" w:gutter="0"/>
          <w:cols w:space="708"/>
          <w:docGrid w:linePitch="360"/>
        </w:sectPr>
      </w:pPr>
    </w:p>
    <w:p w14:paraId="5CB6D15F"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3. </w:t>
      </w:r>
    </w:p>
    <w:p w14:paraId="318C284F" w14:textId="77777777" w:rsidR="001A38C1" w:rsidRDefault="00D85F1E" w:rsidP="006B5370">
      <w:pPr>
        <w:ind w:right="-114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 and Percentage Distribution of Pretest</w:t>
      </w:r>
    </w:p>
    <w:p w14:paraId="6C8AFFC0" w14:textId="45E9B331" w:rsidR="00D85F1E" w:rsidRPr="00153A69" w:rsidRDefault="00D85F1E" w:rsidP="006B5370">
      <w:pPr>
        <w:ind w:right="-114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 Scores of Control Group</w:t>
      </w:r>
    </w:p>
    <w:p w14:paraId="2B826B94" w14:textId="77777777" w:rsidR="00D85F1E" w:rsidRPr="00153A69" w:rsidRDefault="00D85F1E" w:rsidP="006B5370">
      <w:pPr>
        <w:jc w:val="both"/>
        <w:rPr>
          <w:rFonts w:ascii="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48"/>
        <w:gridCol w:w="1088"/>
        <w:gridCol w:w="1119"/>
        <w:gridCol w:w="1194"/>
      </w:tblGrid>
      <w:tr w:rsidR="00D85F1E" w:rsidRPr="00153A69" w14:paraId="2A82BD2F" w14:textId="77777777" w:rsidTr="00792ABE">
        <w:trPr>
          <w:jc w:val="center"/>
        </w:trPr>
        <w:tc>
          <w:tcPr>
            <w:tcW w:w="2056" w:type="dxa"/>
            <w:tcBorders>
              <w:top w:val="single" w:sz="4" w:space="0" w:color="auto"/>
              <w:bottom w:val="single" w:sz="4" w:space="0" w:color="auto"/>
            </w:tcBorders>
          </w:tcPr>
          <w:p w14:paraId="4565C5F0"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lastRenderedPageBreak/>
              <w:t>Percent Rating</w:t>
            </w:r>
          </w:p>
        </w:tc>
        <w:tc>
          <w:tcPr>
            <w:tcW w:w="1102" w:type="dxa"/>
            <w:tcBorders>
              <w:top w:val="single" w:sz="4" w:space="0" w:color="auto"/>
              <w:bottom w:val="single" w:sz="4" w:space="0" w:color="auto"/>
            </w:tcBorders>
          </w:tcPr>
          <w:p w14:paraId="6C67525D"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Scores</w:t>
            </w:r>
          </w:p>
        </w:tc>
        <w:tc>
          <w:tcPr>
            <w:tcW w:w="1738" w:type="dxa"/>
            <w:tcBorders>
              <w:top w:val="single" w:sz="4" w:space="0" w:color="auto"/>
              <w:bottom w:val="single" w:sz="4" w:space="0" w:color="auto"/>
            </w:tcBorders>
          </w:tcPr>
          <w:p w14:paraId="52CFB33E"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w:t>
            </w:r>
          </w:p>
        </w:tc>
        <w:tc>
          <w:tcPr>
            <w:tcW w:w="1791" w:type="dxa"/>
            <w:tcBorders>
              <w:top w:val="single" w:sz="4" w:space="0" w:color="auto"/>
              <w:bottom w:val="single" w:sz="4" w:space="0" w:color="auto"/>
            </w:tcBorders>
          </w:tcPr>
          <w:p w14:paraId="051C3C4D"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Percentage</w:t>
            </w:r>
          </w:p>
        </w:tc>
        <w:tc>
          <w:tcPr>
            <w:tcW w:w="1835" w:type="dxa"/>
            <w:tcBorders>
              <w:top w:val="single" w:sz="4" w:space="0" w:color="auto"/>
              <w:bottom w:val="single" w:sz="4" w:space="0" w:color="auto"/>
            </w:tcBorders>
          </w:tcPr>
          <w:p w14:paraId="2742033B"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Description</w:t>
            </w:r>
          </w:p>
        </w:tc>
      </w:tr>
      <w:tr w:rsidR="00D85F1E" w:rsidRPr="00153A69" w14:paraId="44FCB06D" w14:textId="77777777" w:rsidTr="00792ABE">
        <w:trPr>
          <w:jc w:val="center"/>
        </w:trPr>
        <w:tc>
          <w:tcPr>
            <w:tcW w:w="2056" w:type="dxa"/>
            <w:tcBorders>
              <w:top w:val="single" w:sz="4" w:space="0" w:color="auto"/>
            </w:tcBorders>
          </w:tcPr>
          <w:p w14:paraId="74A08A3D"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75 and below </w:t>
            </w:r>
          </w:p>
        </w:tc>
        <w:tc>
          <w:tcPr>
            <w:tcW w:w="1102" w:type="dxa"/>
            <w:tcBorders>
              <w:top w:val="single" w:sz="4" w:space="0" w:color="auto"/>
            </w:tcBorders>
          </w:tcPr>
          <w:p w14:paraId="4DE44204"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 – 15</w:t>
            </w:r>
          </w:p>
        </w:tc>
        <w:tc>
          <w:tcPr>
            <w:tcW w:w="1738" w:type="dxa"/>
            <w:tcBorders>
              <w:top w:val="single" w:sz="4" w:space="0" w:color="auto"/>
            </w:tcBorders>
          </w:tcPr>
          <w:p w14:paraId="48C57708"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11</w:t>
            </w:r>
          </w:p>
        </w:tc>
        <w:tc>
          <w:tcPr>
            <w:tcW w:w="1791" w:type="dxa"/>
            <w:tcBorders>
              <w:top w:val="single" w:sz="4" w:space="0" w:color="auto"/>
            </w:tcBorders>
          </w:tcPr>
          <w:p w14:paraId="5A74571B"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68. 75</w:t>
            </w:r>
          </w:p>
        </w:tc>
        <w:tc>
          <w:tcPr>
            <w:tcW w:w="1835" w:type="dxa"/>
            <w:tcBorders>
              <w:top w:val="single" w:sz="4" w:space="0" w:color="auto"/>
            </w:tcBorders>
          </w:tcPr>
          <w:p w14:paraId="3C3E818C"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Did Not Meet Expectation</w:t>
            </w:r>
          </w:p>
        </w:tc>
      </w:tr>
      <w:tr w:rsidR="00D85F1E" w:rsidRPr="00153A69" w14:paraId="0280101B" w14:textId="77777777" w:rsidTr="00792ABE">
        <w:trPr>
          <w:jc w:val="center"/>
        </w:trPr>
        <w:tc>
          <w:tcPr>
            <w:tcW w:w="2056" w:type="dxa"/>
          </w:tcPr>
          <w:p w14:paraId="2D0913E6"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 76 - 81</w:t>
            </w:r>
          </w:p>
        </w:tc>
        <w:tc>
          <w:tcPr>
            <w:tcW w:w="1102" w:type="dxa"/>
          </w:tcPr>
          <w:p w14:paraId="504D3146"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 – 19</w:t>
            </w:r>
          </w:p>
        </w:tc>
        <w:tc>
          <w:tcPr>
            <w:tcW w:w="1738" w:type="dxa"/>
          </w:tcPr>
          <w:p w14:paraId="3C6838A6"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3</w:t>
            </w:r>
          </w:p>
        </w:tc>
        <w:tc>
          <w:tcPr>
            <w:tcW w:w="1791" w:type="dxa"/>
          </w:tcPr>
          <w:p w14:paraId="05521991"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18.75</w:t>
            </w:r>
          </w:p>
        </w:tc>
        <w:tc>
          <w:tcPr>
            <w:tcW w:w="1835" w:type="dxa"/>
          </w:tcPr>
          <w:p w14:paraId="39AB7A5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Fairly Satisfactory</w:t>
            </w:r>
          </w:p>
        </w:tc>
      </w:tr>
      <w:tr w:rsidR="00D85F1E" w:rsidRPr="00153A69" w14:paraId="36818032" w14:textId="77777777" w:rsidTr="00792ABE">
        <w:trPr>
          <w:jc w:val="center"/>
        </w:trPr>
        <w:tc>
          <w:tcPr>
            <w:tcW w:w="2056" w:type="dxa"/>
            <w:tcBorders>
              <w:bottom w:val="single" w:sz="4" w:space="0" w:color="auto"/>
            </w:tcBorders>
          </w:tcPr>
          <w:p w14:paraId="05F68267"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83 – 89 </w:t>
            </w:r>
          </w:p>
        </w:tc>
        <w:tc>
          <w:tcPr>
            <w:tcW w:w="1102" w:type="dxa"/>
            <w:tcBorders>
              <w:bottom w:val="single" w:sz="4" w:space="0" w:color="auto"/>
            </w:tcBorders>
          </w:tcPr>
          <w:p w14:paraId="5CF54B7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20 – 23</w:t>
            </w:r>
          </w:p>
        </w:tc>
        <w:tc>
          <w:tcPr>
            <w:tcW w:w="1738" w:type="dxa"/>
            <w:tcBorders>
              <w:bottom w:val="single" w:sz="4" w:space="0" w:color="auto"/>
            </w:tcBorders>
          </w:tcPr>
          <w:p w14:paraId="495BE3FD"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w:t>
            </w:r>
          </w:p>
        </w:tc>
        <w:tc>
          <w:tcPr>
            <w:tcW w:w="1791" w:type="dxa"/>
            <w:tcBorders>
              <w:bottom w:val="single" w:sz="4" w:space="0" w:color="auto"/>
            </w:tcBorders>
          </w:tcPr>
          <w:p w14:paraId="6546496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12.5</w:t>
            </w:r>
          </w:p>
        </w:tc>
        <w:tc>
          <w:tcPr>
            <w:tcW w:w="1835" w:type="dxa"/>
            <w:tcBorders>
              <w:bottom w:val="single" w:sz="4" w:space="0" w:color="auto"/>
            </w:tcBorders>
          </w:tcPr>
          <w:p w14:paraId="547C1013"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Satisfactory</w:t>
            </w:r>
          </w:p>
        </w:tc>
      </w:tr>
      <w:tr w:rsidR="00D85F1E" w:rsidRPr="00153A69" w14:paraId="6CD4A415" w14:textId="77777777" w:rsidTr="00792ABE">
        <w:trPr>
          <w:trHeight w:val="485"/>
          <w:jc w:val="center"/>
        </w:trPr>
        <w:tc>
          <w:tcPr>
            <w:tcW w:w="3158" w:type="dxa"/>
            <w:gridSpan w:val="2"/>
            <w:tcBorders>
              <w:bottom w:val="single" w:sz="4" w:space="0" w:color="auto"/>
            </w:tcBorders>
            <w:vAlign w:val="center"/>
          </w:tcPr>
          <w:p w14:paraId="211FC918"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TOTAL:</w:t>
            </w:r>
          </w:p>
        </w:tc>
        <w:tc>
          <w:tcPr>
            <w:tcW w:w="1738" w:type="dxa"/>
            <w:tcBorders>
              <w:bottom w:val="single" w:sz="4" w:space="0" w:color="auto"/>
            </w:tcBorders>
            <w:vAlign w:val="center"/>
          </w:tcPr>
          <w:p w14:paraId="5B7269C5"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16</w:t>
            </w:r>
          </w:p>
        </w:tc>
        <w:tc>
          <w:tcPr>
            <w:tcW w:w="1791" w:type="dxa"/>
            <w:tcBorders>
              <w:bottom w:val="single" w:sz="4" w:space="0" w:color="auto"/>
            </w:tcBorders>
            <w:vAlign w:val="center"/>
          </w:tcPr>
          <w:p w14:paraId="4F50926B"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100%</w:t>
            </w:r>
          </w:p>
        </w:tc>
        <w:tc>
          <w:tcPr>
            <w:tcW w:w="1835" w:type="dxa"/>
            <w:vMerge w:val="restart"/>
            <w:vAlign w:val="center"/>
          </w:tcPr>
          <w:p w14:paraId="610DE344"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Did Not Meet Expectation</w:t>
            </w:r>
          </w:p>
        </w:tc>
      </w:tr>
      <w:tr w:rsidR="00D85F1E" w:rsidRPr="00153A69" w14:paraId="56BB3D2D" w14:textId="77777777" w:rsidTr="00792ABE">
        <w:trPr>
          <w:trHeight w:val="530"/>
          <w:jc w:val="center"/>
        </w:trPr>
        <w:tc>
          <w:tcPr>
            <w:tcW w:w="3158" w:type="dxa"/>
            <w:gridSpan w:val="2"/>
            <w:tcBorders>
              <w:top w:val="single" w:sz="4" w:space="0" w:color="auto"/>
              <w:bottom w:val="single" w:sz="4" w:space="0" w:color="auto"/>
            </w:tcBorders>
            <w:vAlign w:val="center"/>
          </w:tcPr>
          <w:p w14:paraId="34A7A78D"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MEAN:</w:t>
            </w:r>
          </w:p>
        </w:tc>
        <w:tc>
          <w:tcPr>
            <w:tcW w:w="3529" w:type="dxa"/>
            <w:gridSpan w:val="2"/>
            <w:tcBorders>
              <w:top w:val="single" w:sz="4" w:space="0" w:color="auto"/>
              <w:bottom w:val="single" w:sz="4" w:space="0" w:color="auto"/>
            </w:tcBorders>
            <w:vAlign w:val="center"/>
          </w:tcPr>
          <w:p w14:paraId="1ED391A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13.06</w:t>
            </w:r>
          </w:p>
        </w:tc>
        <w:tc>
          <w:tcPr>
            <w:tcW w:w="1835" w:type="dxa"/>
            <w:vMerge/>
            <w:tcBorders>
              <w:bottom w:val="single" w:sz="4" w:space="0" w:color="auto"/>
            </w:tcBorders>
            <w:vAlign w:val="center"/>
          </w:tcPr>
          <w:p w14:paraId="3588A8A9" w14:textId="77777777" w:rsidR="00D85F1E" w:rsidRPr="00153A69" w:rsidRDefault="00D85F1E" w:rsidP="006B5370">
            <w:pPr>
              <w:jc w:val="both"/>
              <w:rPr>
                <w:rFonts w:ascii="Times New Roman" w:hAnsi="Times New Roman" w:cs="Times New Roman"/>
                <w:b/>
                <w:bCs/>
                <w:color w:val="000000"/>
                <w:sz w:val="24"/>
                <w:szCs w:val="24"/>
              </w:rPr>
            </w:pPr>
          </w:p>
        </w:tc>
      </w:tr>
    </w:tbl>
    <w:p w14:paraId="6826C2C2" w14:textId="77777777" w:rsidR="00D85F1E" w:rsidRPr="00153A69" w:rsidRDefault="00D85F1E" w:rsidP="006B5370">
      <w:pPr>
        <w:jc w:val="both"/>
        <w:rPr>
          <w:rFonts w:ascii="Times New Roman" w:hAnsi="Times New Roman" w:cs="Times New Roman"/>
          <w:color w:val="000000"/>
          <w:sz w:val="24"/>
          <w:szCs w:val="24"/>
        </w:rPr>
      </w:pPr>
    </w:p>
    <w:p w14:paraId="6A3D1F61" w14:textId="77777777" w:rsidR="001A38C1" w:rsidRDefault="001A38C1" w:rsidP="006B5370">
      <w:pPr>
        <w:ind w:firstLine="720"/>
        <w:jc w:val="both"/>
        <w:rPr>
          <w:rFonts w:ascii="Times New Roman" w:hAnsi="Times New Roman" w:cs="Times New Roman"/>
          <w:color w:val="000000"/>
          <w:sz w:val="24"/>
          <w:szCs w:val="24"/>
        </w:rPr>
      </w:pPr>
    </w:p>
    <w:p w14:paraId="237C0FFD" w14:textId="540BF830" w:rsidR="001A38C1" w:rsidRDefault="001A38C1"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Table 3 displays the frequency and percentage distribution of the pre-test results attained by the control group students. Out of the total respondents, 12.5% or two (2) students who showed a satisfactory degree of knowledge. A fairly satisfactory degree of understanding was indicated by three (3) students, or 18.75% of the total respondents. Of the total respondents, eleven (11) students, or 68.75% of the total respondents, could not comprehend chemical reactions to the expected level. Based on the results, the overall mean score is 13.0625.. These values are measures to show the frequency, ratios and the distribution of the scores and students.(Kaur, Stoltzfus, &amp; Yellapu, 2018).  These show how most students had not reached the anticipated level of understanding </w:t>
      </w:r>
      <w:r>
        <w:rPr>
          <w:rFonts w:ascii="Times New Roman" w:hAnsi="Times New Roman" w:cs="Times New Roman"/>
          <w:color w:val="000000"/>
          <w:sz w:val="24"/>
          <w:szCs w:val="24"/>
        </w:rPr>
        <w:t>of chemical reactions before the intervention was conducted</w:t>
      </w:r>
    </w:p>
    <w:p w14:paraId="1C4CC745" w14:textId="77777777" w:rsidR="001A38C1" w:rsidRDefault="001A38C1" w:rsidP="006B5370">
      <w:pPr>
        <w:jc w:val="both"/>
        <w:sectPr w:rsidR="001A38C1" w:rsidSect="001A38C1">
          <w:type w:val="continuous"/>
          <w:pgSz w:w="11906" w:h="16838" w:code="9"/>
          <w:pgMar w:top="1083" w:right="607" w:bottom="607" w:left="607" w:header="709" w:footer="709" w:gutter="0"/>
          <w:cols w:num="2" w:space="708"/>
          <w:docGrid w:linePitch="360"/>
        </w:sectPr>
      </w:pPr>
    </w:p>
    <w:p w14:paraId="12F4C50D" w14:textId="77777777" w:rsidR="00D85F1E" w:rsidRDefault="00D85F1E" w:rsidP="006B5370">
      <w:pPr>
        <w:jc w:val="both"/>
      </w:pPr>
    </w:p>
    <w:p w14:paraId="68F31971" w14:textId="77777777" w:rsidR="001A38C1" w:rsidRDefault="001A38C1" w:rsidP="006B5370">
      <w:pPr>
        <w:jc w:val="both"/>
        <w:rPr>
          <w:rFonts w:ascii="Times New Roman" w:hAnsi="Times New Roman" w:cs="Times New Roman"/>
          <w:b/>
          <w:bCs/>
          <w:color w:val="000000"/>
          <w:sz w:val="24"/>
          <w:szCs w:val="24"/>
        </w:rPr>
        <w:sectPr w:rsidR="001A38C1" w:rsidSect="001A38C1">
          <w:type w:val="continuous"/>
          <w:pgSz w:w="11906" w:h="16838" w:code="9"/>
          <w:pgMar w:top="1083" w:right="607" w:bottom="607" w:left="607" w:header="709" w:footer="709" w:gutter="0"/>
          <w:cols w:space="708"/>
          <w:docGrid w:linePitch="360"/>
        </w:sectPr>
      </w:pPr>
    </w:p>
    <w:p w14:paraId="65380049" w14:textId="77777777" w:rsidR="001A38C1" w:rsidRDefault="001A38C1" w:rsidP="006B5370">
      <w:pPr>
        <w:jc w:val="both"/>
        <w:rPr>
          <w:rFonts w:ascii="Times New Roman" w:hAnsi="Times New Roman" w:cs="Times New Roman"/>
          <w:b/>
          <w:bCs/>
          <w:color w:val="000000"/>
          <w:sz w:val="24"/>
          <w:szCs w:val="24"/>
        </w:rPr>
      </w:pPr>
    </w:p>
    <w:p w14:paraId="2324D28B" w14:textId="1B960484"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4. </w:t>
      </w:r>
    </w:p>
    <w:p w14:paraId="56ADD292" w14:textId="77777777" w:rsidR="00D85F1E" w:rsidRPr="00153A69" w:rsidRDefault="00D85F1E" w:rsidP="006B5370">
      <w:pPr>
        <w:ind w:right="-60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 and Percentage Distribution of Pre-test Scores of Experimental Group</w:t>
      </w:r>
    </w:p>
    <w:p w14:paraId="65740E18" w14:textId="77777777" w:rsidR="00D85F1E" w:rsidRPr="00153A69" w:rsidRDefault="00D85F1E" w:rsidP="006B5370">
      <w:pPr>
        <w:ind w:firstLine="720"/>
        <w:jc w:val="both"/>
        <w:rPr>
          <w:rFonts w:ascii="Times New Roman" w:hAnsi="Times New Roman" w:cs="Times New Roman"/>
          <w:b/>
          <w:bCs/>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48"/>
        <w:gridCol w:w="1088"/>
        <w:gridCol w:w="1119"/>
        <w:gridCol w:w="1194"/>
      </w:tblGrid>
      <w:tr w:rsidR="00D85F1E" w:rsidRPr="00153A69" w14:paraId="4FFBA54A" w14:textId="77777777" w:rsidTr="001A38C1">
        <w:trPr>
          <w:jc w:val="center"/>
        </w:trPr>
        <w:tc>
          <w:tcPr>
            <w:tcW w:w="843" w:type="dxa"/>
            <w:tcBorders>
              <w:top w:val="single" w:sz="4" w:space="0" w:color="auto"/>
              <w:bottom w:val="single" w:sz="4" w:space="0" w:color="auto"/>
            </w:tcBorders>
          </w:tcPr>
          <w:p w14:paraId="304D8D81"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Percent Rating</w:t>
            </w:r>
          </w:p>
        </w:tc>
        <w:tc>
          <w:tcPr>
            <w:tcW w:w="748" w:type="dxa"/>
            <w:tcBorders>
              <w:top w:val="single" w:sz="4" w:space="0" w:color="auto"/>
              <w:bottom w:val="single" w:sz="4" w:space="0" w:color="auto"/>
            </w:tcBorders>
          </w:tcPr>
          <w:p w14:paraId="2A3A5F16"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Scores</w:t>
            </w:r>
          </w:p>
        </w:tc>
        <w:tc>
          <w:tcPr>
            <w:tcW w:w="1088" w:type="dxa"/>
            <w:tcBorders>
              <w:top w:val="single" w:sz="4" w:space="0" w:color="auto"/>
              <w:bottom w:val="single" w:sz="4" w:space="0" w:color="auto"/>
            </w:tcBorders>
          </w:tcPr>
          <w:p w14:paraId="1C5EA4F0"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w:t>
            </w:r>
          </w:p>
        </w:tc>
        <w:tc>
          <w:tcPr>
            <w:tcW w:w="1119" w:type="dxa"/>
            <w:tcBorders>
              <w:top w:val="single" w:sz="4" w:space="0" w:color="auto"/>
              <w:bottom w:val="single" w:sz="4" w:space="0" w:color="auto"/>
            </w:tcBorders>
          </w:tcPr>
          <w:p w14:paraId="75EA4BC6"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Percentage</w:t>
            </w:r>
          </w:p>
        </w:tc>
        <w:tc>
          <w:tcPr>
            <w:tcW w:w="1194" w:type="dxa"/>
            <w:tcBorders>
              <w:top w:val="single" w:sz="4" w:space="0" w:color="auto"/>
              <w:bottom w:val="single" w:sz="4" w:space="0" w:color="auto"/>
            </w:tcBorders>
          </w:tcPr>
          <w:p w14:paraId="3869DACC"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Description</w:t>
            </w:r>
          </w:p>
        </w:tc>
      </w:tr>
      <w:tr w:rsidR="00D85F1E" w:rsidRPr="00153A69" w14:paraId="3CEB741D" w14:textId="77777777" w:rsidTr="001A38C1">
        <w:trPr>
          <w:jc w:val="center"/>
        </w:trPr>
        <w:tc>
          <w:tcPr>
            <w:tcW w:w="843" w:type="dxa"/>
            <w:tcBorders>
              <w:top w:val="single" w:sz="4" w:space="0" w:color="auto"/>
            </w:tcBorders>
          </w:tcPr>
          <w:p w14:paraId="0400F847"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75 and below </w:t>
            </w:r>
          </w:p>
        </w:tc>
        <w:tc>
          <w:tcPr>
            <w:tcW w:w="748" w:type="dxa"/>
            <w:tcBorders>
              <w:top w:val="single" w:sz="4" w:space="0" w:color="auto"/>
            </w:tcBorders>
          </w:tcPr>
          <w:p w14:paraId="344180F4"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 – 15</w:t>
            </w:r>
          </w:p>
        </w:tc>
        <w:tc>
          <w:tcPr>
            <w:tcW w:w="1088" w:type="dxa"/>
            <w:tcBorders>
              <w:top w:val="single" w:sz="4" w:space="0" w:color="auto"/>
            </w:tcBorders>
          </w:tcPr>
          <w:p w14:paraId="4FFCDD37"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10</w:t>
            </w:r>
          </w:p>
        </w:tc>
        <w:tc>
          <w:tcPr>
            <w:tcW w:w="1119" w:type="dxa"/>
            <w:tcBorders>
              <w:top w:val="single" w:sz="4" w:space="0" w:color="auto"/>
            </w:tcBorders>
          </w:tcPr>
          <w:p w14:paraId="32BF793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62.5</w:t>
            </w:r>
          </w:p>
        </w:tc>
        <w:tc>
          <w:tcPr>
            <w:tcW w:w="1194" w:type="dxa"/>
            <w:tcBorders>
              <w:top w:val="single" w:sz="4" w:space="0" w:color="auto"/>
            </w:tcBorders>
          </w:tcPr>
          <w:p w14:paraId="769B3FCC"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Did Not Meet Expectation</w:t>
            </w:r>
          </w:p>
        </w:tc>
      </w:tr>
      <w:tr w:rsidR="00D85F1E" w:rsidRPr="00153A69" w14:paraId="37CCBD7E" w14:textId="77777777" w:rsidTr="001A38C1">
        <w:trPr>
          <w:jc w:val="center"/>
        </w:trPr>
        <w:tc>
          <w:tcPr>
            <w:tcW w:w="843" w:type="dxa"/>
          </w:tcPr>
          <w:p w14:paraId="2FD251E1"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76 – 82  </w:t>
            </w:r>
          </w:p>
        </w:tc>
        <w:tc>
          <w:tcPr>
            <w:tcW w:w="748" w:type="dxa"/>
          </w:tcPr>
          <w:p w14:paraId="329BFA4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 – 19</w:t>
            </w:r>
          </w:p>
        </w:tc>
        <w:tc>
          <w:tcPr>
            <w:tcW w:w="1088" w:type="dxa"/>
          </w:tcPr>
          <w:p w14:paraId="24DE6CD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4</w:t>
            </w:r>
          </w:p>
        </w:tc>
        <w:tc>
          <w:tcPr>
            <w:tcW w:w="1119" w:type="dxa"/>
          </w:tcPr>
          <w:p w14:paraId="04011F5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25</w:t>
            </w:r>
          </w:p>
        </w:tc>
        <w:tc>
          <w:tcPr>
            <w:tcW w:w="1194" w:type="dxa"/>
          </w:tcPr>
          <w:p w14:paraId="3A1AF8E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Fairly Satisfactory</w:t>
            </w:r>
          </w:p>
        </w:tc>
      </w:tr>
      <w:tr w:rsidR="00D85F1E" w:rsidRPr="00153A69" w14:paraId="6ABC1FEE" w14:textId="77777777" w:rsidTr="001A38C1">
        <w:trPr>
          <w:jc w:val="center"/>
        </w:trPr>
        <w:tc>
          <w:tcPr>
            <w:tcW w:w="843" w:type="dxa"/>
            <w:tcBorders>
              <w:bottom w:val="single" w:sz="4" w:space="0" w:color="auto"/>
            </w:tcBorders>
          </w:tcPr>
          <w:p w14:paraId="448E6E5A"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83 – 89 </w:t>
            </w:r>
          </w:p>
        </w:tc>
        <w:tc>
          <w:tcPr>
            <w:tcW w:w="748" w:type="dxa"/>
            <w:tcBorders>
              <w:bottom w:val="single" w:sz="4" w:space="0" w:color="auto"/>
            </w:tcBorders>
          </w:tcPr>
          <w:p w14:paraId="272C5BE5"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20 – 23</w:t>
            </w:r>
          </w:p>
        </w:tc>
        <w:tc>
          <w:tcPr>
            <w:tcW w:w="1088" w:type="dxa"/>
            <w:tcBorders>
              <w:bottom w:val="single" w:sz="4" w:space="0" w:color="auto"/>
            </w:tcBorders>
          </w:tcPr>
          <w:p w14:paraId="6BCE3AED"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w:t>
            </w:r>
          </w:p>
        </w:tc>
        <w:tc>
          <w:tcPr>
            <w:tcW w:w="1119" w:type="dxa"/>
            <w:tcBorders>
              <w:bottom w:val="single" w:sz="4" w:space="0" w:color="auto"/>
            </w:tcBorders>
          </w:tcPr>
          <w:p w14:paraId="61B79506"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12.5</w:t>
            </w:r>
          </w:p>
        </w:tc>
        <w:tc>
          <w:tcPr>
            <w:tcW w:w="1194" w:type="dxa"/>
            <w:tcBorders>
              <w:bottom w:val="single" w:sz="4" w:space="0" w:color="auto"/>
            </w:tcBorders>
          </w:tcPr>
          <w:p w14:paraId="5ADCFBFE"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Satisfactory</w:t>
            </w:r>
          </w:p>
        </w:tc>
      </w:tr>
      <w:tr w:rsidR="00D85F1E" w:rsidRPr="00153A69" w14:paraId="7B006057" w14:textId="77777777" w:rsidTr="001A38C1">
        <w:trPr>
          <w:trHeight w:val="530"/>
          <w:jc w:val="center"/>
        </w:trPr>
        <w:tc>
          <w:tcPr>
            <w:tcW w:w="1591" w:type="dxa"/>
            <w:gridSpan w:val="2"/>
            <w:tcBorders>
              <w:bottom w:val="single" w:sz="4" w:space="0" w:color="auto"/>
            </w:tcBorders>
            <w:vAlign w:val="center"/>
          </w:tcPr>
          <w:p w14:paraId="4E21D37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TOTAL:</w:t>
            </w:r>
          </w:p>
        </w:tc>
        <w:tc>
          <w:tcPr>
            <w:tcW w:w="1088" w:type="dxa"/>
            <w:tcBorders>
              <w:bottom w:val="single" w:sz="4" w:space="0" w:color="auto"/>
            </w:tcBorders>
            <w:vAlign w:val="center"/>
          </w:tcPr>
          <w:p w14:paraId="02B951B3"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16</w:t>
            </w:r>
          </w:p>
        </w:tc>
        <w:tc>
          <w:tcPr>
            <w:tcW w:w="1119" w:type="dxa"/>
            <w:tcBorders>
              <w:bottom w:val="single" w:sz="4" w:space="0" w:color="auto"/>
            </w:tcBorders>
            <w:vAlign w:val="center"/>
          </w:tcPr>
          <w:p w14:paraId="1A7FE39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100%</w:t>
            </w:r>
          </w:p>
        </w:tc>
        <w:tc>
          <w:tcPr>
            <w:tcW w:w="1194" w:type="dxa"/>
            <w:vMerge w:val="restart"/>
            <w:vAlign w:val="center"/>
          </w:tcPr>
          <w:p w14:paraId="374C08F5"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Did Not Meet Expectation</w:t>
            </w:r>
          </w:p>
        </w:tc>
      </w:tr>
      <w:tr w:rsidR="00D85F1E" w:rsidRPr="00153A69" w14:paraId="7A292F44" w14:textId="77777777" w:rsidTr="001A38C1">
        <w:trPr>
          <w:trHeight w:val="620"/>
          <w:jc w:val="center"/>
        </w:trPr>
        <w:tc>
          <w:tcPr>
            <w:tcW w:w="1591" w:type="dxa"/>
            <w:gridSpan w:val="2"/>
            <w:tcBorders>
              <w:top w:val="single" w:sz="4" w:space="0" w:color="auto"/>
              <w:bottom w:val="single" w:sz="4" w:space="0" w:color="auto"/>
            </w:tcBorders>
            <w:vAlign w:val="center"/>
          </w:tcPr>
          <w:p w14:paraId="587CD26E"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MEAN:</w:t>
            </w:r>
          </w:p>
        </w:tc>
        <w:tc>
          <w:tcPr>
            <w:tcW w:w="2207" w:type="dxa"/>
            <w:gridSpan w:val="2"/>
            <w:tcBorders>
              <w:top w:val="single" w:sz="4" w:space="0" w:color="auto"/>
              <w:bottom w:val="single" w:sz="4" w:space="0" w:color="auto"/>
            </w:tcBorders>
            <w:vAlign w:val="center"/>
          </w:tcPr>
          <w:p w14:paraId="47A1A44C"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13.31</w:t>
            </w:r>
          </w:p>
        </w:tc>
        <w:tc>
          <w:tcPr>
            <w:tcW w:w="1194" w:type="dxa"/>
            <w:vMerge/>
          </w:tcPr>
          <w:p w14:paraId="1F28C563" w14:textId="77777777" w:rsidR="00D85F1E" w:rsidRPr="00153A69" w:rsidRDefault="00D85F1E" w:rsidP="006B5370">
            <w:pPr>
              <w:jc w:val="both"/>
              <w:rPr>
                <w:rFonts w:ascii="Times New Roman" w:hAnsi="Times New Roman" w:cs="Times New Roman"/>
                <w:b/>
                <w:bCs/>
                <w:color w:val="000000"/>
                <w:sz w:val="24"/>
                <w:szCs w:val="24"/>
              </w:rPr>
            </w:pPr>
          </w:p>
        </w:tc>
      </w:tr>
      <w:tr w:rsidR="001A38C1" w:rsidRPr="00153A69" w14:paraId="44F1AFFA" w14:textId="77777777" w:rsidTr="001A38C1">
        <w:trPr>
          <w:trHeight w:val="620"/>
          <w:jc w:val="center"/>
        </w:trPr>
        <w:tc>
          <w:tcPr>
            <w:tcW w:w="1591" w:type="dxa"/>
            <w:gridSpan w:val="2"/>
            <w:tcBorders>
              <w:top w:val="single" w:sz="4" w:space="0" w:color="auto"/>
              <w:bottom w:val="single" w:sz="4" w:space="0" w:color="auto"/>
            </w:tcBorders>
            <w:vAlign w:val="center"/>
          </w:tcPr>
          <w:p w14:paraId="1B635AAD" w14:textId="77777777" w:rsidR="001A38C1" w:rsidRPr="00153A69" w:rsidRDefault="001A38C1" w:rsidP="006B5370">
            <w:pPr>
              <w:jc w:val="both"/>
              <w:rPr>
                <w:rFonts w:ascii="Times New Roman" w:hAnsi="Times New Roman" w:cs="Times New Roman"/>
                <w:b/>
                <w:bCs/>
                <w:color w:val="000000"/>
                <w:sz w:val="24"/>
                <w:szCs w:val="24"/>
              </w:rPr>
            </w:pPr>
          </w:p>
        </w:tc>
        <w:tc>
          <w:tcPr>
            <w:tcW w:w="2207" w:type="dxa"/>
            <w:gridSpan w:val="2"/>
            <w:tcBorders>
              <w:top w:val="single" w:sz="4" w:space="0" w:color="auto"/>
              <w:bottom w:val="single" w:sz="4" w:space="0" w:color="auto"/>
            </w:tcBorders>
            <w:vAlign w:val="center"/>
          </w:tcPr>
          <w:p w14:paraId="4D9A6BB9" w14:textId="77777777" w:rsidR="001A38C1" w:rsidRPr="00153A69" w:rsidRDefault="001A38C1" w:rsidP="006B5370">
            <w:pPr>
              <w:jc w:val="both"/>
              <w:rPr>
                <w:rFonts w:ascii="Times New Roman" w:hAnsi="Times New Roman" w:cs="Times New Roman"/>
                <w:color w:val="000000"/>
                <w:sz w:val="24"/>
                <w:szCs w:val="24"/>
              </w:rPr>
            </w:pPr>
          </w:p>
        </w:tc>
        <w:tc>
          <w:tcPr>
            <w:tcW w:w="1194" w:type="dxa"/>
            <w:tcBorders>
              <w:bottom w:val="single" w:sz="4" w:space="0" w:color="auto"/>
            </w:tcBorders>
          </w:tcPr>
          <w:p w14:paraId="38237FFC" w14:textId="77777777" w:rsidR="001A38C1" w:rsidRPr="00153A69" w:rsidRDefault="001A38C1" w:rsidP="006B5370">
            <w:pPr>
              <w:jc w:val="both"/>
              <w:rPr>
                <w:rFonts w:ascii="Times New Roman" w:hAnsi="Times New Roman" w:cs="Times New Roman"/>
                <w:b/>
                <w:bCs/>
                <w:color w:val="000000"/>
                <w:sz w:val="24"/>
                <w:szCs w:val="24"/>
              </w:rPr>
            </w:pPr>
          </w:p>
        </w:tc>
      </w:tr>
    </w:tbl>
    <w:p w14:paraId="4F78D1A4" w14:textId="77777777" w:rsidR="001A38C1" w:rsidRDefault="001A38C1" w:rsidP="006B5370">
      <w:pPr>
        <w:ind w:firstLine="720"/>
        <w:jc w:val="both"/>
        <w:rPr>
          <w:rFonts w:ascii="Times New Roman" w:hAnsi="Times New Roman" w:cs="Times New Roman"/>
          <w:color w:val="000000"/>
          <w:sz w:val="24"/>
          <w:szCs w:val="24"/>
        </w:rPr>
      </w:pPr>
    </w:p>
    <w:p w14:paraId="5986F187" w14:textId="306FE389" w:rsidR="001A38C1" w:rsidRPr="00153A69" w:rsidRDefault="001A38C1"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Table 4 shows the frequency and percentage distribution of the pre-test results attained by the experimental group students. Out of the total respondents, 12.5% or two (2) students who showed a satisfactory level of knowledge. Of the students, four (4) showed a reasonably satisfactory level of understanding, accounting for 25%. Ten (10) students, or 62.5 percent of the total respondents, did not comprehend at the expected level. Based on the results, the overall mean score is 13.312. These values are measures to show the frequency, ratios and the distribution of the scores and students.(Kaur, Stoltzfus, &amp; Yellapu, 2018). These demonstrate how most students had not reached the anticipated level of chemical reaction knowledge before the intervention was conducted.</w:t>
      </w:r>
    </w:p>
    <w:p w14:paraId="5123ED79" w14:textId="77777777" w:rsidR="001A38C1" w:rsidRDefault="001A38C1" w:rsidP="006B5370">
      <w:pPr>
        <w:jc w:val="both"/>
        <w:sectPr w:rsidR="001A38C1" w:rsidSect="001A38C1">
          <w:type w:val="continuous"/>
          <w:pgSz w:w="11906" w:h="16838" w:code="9"/>
          <w:pgMar w:top="1083" w:right="607" w:bottom="607" w:left="607" w:header="709" w:footer="709" w:gutter="0"/>
          <w:cols w:num="2" w:space="708"/>
          <w:docGrid w:linePitch="360"/>
        </w:sectPr>
      </w:pPr>
    </w:p>
    <w:p w14:paraId="76AA0B07" w14:textId="77777777" w:rsidR="00D85F1E" w:rsidRDefault="00D85F1E" w:rsidP="006B5370">
      <w:pPr>
        <w:jc w:val="both"/>
      </w:pPr>
    </w:p>
    <w:p w14:paraId="0C715388" w14:textId="77777777" w:rsidR="001A38C1" w:rsidRDefault="001A38C1" w:rsidP="006B5370">
      <w:pPr>
        <w:jc w:val="both"/>
      </w:pPr>
    </w:p>
    <w:p w14:paraId="3A35ACBE" w14:textId="77777777" w:rsidR="001A38C1" w:rsidRDefault="001A38C1" w:rsidP="006B5370">
      <w:pPr>
        <w:jc w:val="both"/>
      </w:pPr>
    </w:p>
    <w:p w14:paraId="4126E0DB" w14:textId="77777777" w:rsidR="001A38C1" w:rsidRDefault="001A38C1" w:rsidP="006B5370">
      <w:pPr>
        <w:jc w:val="both"/>
      </w:pPr>
    </w:p>
    <w:p w14:paraId="3EE3C3BE" w14:textId="77777777" w:rsidR="001A38C1" w:rsidRDefault="001A38C1" w:rsidP="006B5370">
      <w:pPr>
        <w:jc w:val="both"/>
      </w:pPr>
    </w:p>
    <w:p w14:paraId="1E956711" w14:textId="77777777" w:rsidR="001A38C1" w:rsidRDefault="001A38C1" w:rsidP="006B5370">
      <w:pPr>
        <w:jc w:val="both"/>
      </w:pPr>
    </w:p>
    <w:p w14:paraId="5C8AD887" w14:textId="77777777" w:rsidR="001A38C1" w:rsidRDefault="001A38C1" w:rsidP="006B5370">
      <w:pPr>
        <w:jc w:val="both"/>
      </w:pPr>
    </w:p>
    <w:p w14:paraId="346F6BB4" w14:textId="77777777" w:rsidR="001A38C1" w:rsidRDefault="001A38C1" w:rsidP="006B5370">
      <w:pPr>
        <w:jc w:val="both"/>
      </w:pPr>
    </w:p>
    <w:p w14:paraId="20993E4D" w14:textId="77777777" w:rsidR="001A38C1" w:rsidRDefault="001A38C1" w:rsidP="006B5370">
      <w:pPr>
        <w:jc w:val="both"/>
      </w:pPr>
    </w:p>
    <w:p w14:paraId="0E0E2B08" w14:textId="77777777" w:rsidR="001A38C1" w:rsidRDefault="001A38C1" w:rsidP="006B5370">
      <w:pPr>
        <w:jc w:val="both"/>
      </w:pPr>
    </w:p>
    <w:p w14:paraId="14D9FEE1" w14:textId="77777777" w:rsidR="001A38C1" w:rsidRDefault="001A38C1" w:rsidP="006B5370">
      <w:pPr>
        <w:jc w:val="both"/>
      </w:pPr>
    </w:p>
    <w:p w14:paraId="75ED9F66" w14:textId="77777777" w:rsidR="00025F31" w:rsidRDefault="00025F31" w:rsidP="006B5370">
      <w:pPr>
        <w:jc w:val="both"/>
        <w:rPr>
          <w:rFonts w:ascii="Times New Roman" w:hAnsi="Times New Roman" w:cs="Times New Roman"/>
          <w:b/>
          <w:bCs/>
          <w:color w:val="000000"/>
          <w:sz w:val="24"/>
          <w:szCs w:val="24"/>
        </w:rPr>
        <w:sectPr w:rsidR="00025F31" w:rsidSect="001A38C1">
          <w:type w:val="continuous"/>
          <w:pgSz w:w="11906" w:h="16838" w:code="9"/>
          <w:pgMar w:top="1083" w:right="607" w:bottom="607" w:left="607" w:header="709" w:footer="709" w:gutter="0"/>
          <w:cols w:space="708"/>
          <w:docGrid w:linePitch="360"/>
        </w:sectPr>
      </w:pPr>
    </w:p>
    <w:p w14:paraId="11567D53" w14:textId="77777777" w:rsidR="001A38C1" w:rsidRPr="00153A69" w:rsidRDefault="001A38C1"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5. </w:t>
      </w:r>
    </w:p>
    <w:p w14:paraId="3E129698" w14:textId="77777777" w:rsidR="001A38C1" w:rsidRPr="00153A69" w:rsidRDefault="001A38C1"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 and Percentage Distribution of Post-test Scores of Control Group</w:t>
      </w:r>
    </w:p>
    <w:p w14:paraId="6A281CF5" w14:textId="77777777" w:rsidR="001A38C1" w:rsidRPr="00153A69" w:rsidRDefault="001A38C1" w:rsidP="006B5370">
      <w:pPr>
        <w:ind w:firstLine="720"/>
        <w:jc w:val="both"/>
        <w:rPr>
          <w:rFonts w:ascii="Times New Roman" w:hAnsi="Times New Roman" w:cs="Times New Roman"/>
          <w:b/>
          <w:b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48"/>
        <w:gridCol w:w="1088"/>
        <w:gridCol w:w="1119"/>
        <w:gridCol w:w="1194"/>
      </w:tblGrid>
      <w:tr w:rsidR="000E2A98" w:rsidRPr="00153A69" w14:paraId="43803C63" w14:textId="77777777" w:rsidTr="00025F31">
        <w:tc>
          <w:tcPr>
            <w:tcW w:w="2054" w:type="dxa"/>
            <w:tcBorders>
              <w:top w:val="single" w:sz="4" w:space="0" w:color="auto"/>
              <w:bottom w:val="single" w:sz="4" w:space="0" w:color="auto"/>
            </w:tcBorders>
          </w:tcPr>
          <w:p w14:paraId="1FEBD7BF"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Percent Rating</w:t>
            </w:r>
          </w:p>
        </w:tc>
        <w:tc>
          <w:tcPr>
            <w:tcW w:w="1294" w:type="dxa"/>
            <w:tcBorders>
              <w:top w:val="single" w:sz="4" w:space="0" w:color="auto"/>
              <w:bottom w:val="single" w:sz="4" w:space="0" w:color="auto"/>
            </w:tcBorders>
          </w:tcPr>
          <w:p w14:paraId="35C06DB7"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Scores</w:t>
            </w:r>
          </w:p>
        </w:tc>
        <w:tc>
          <w:tcPr>
            <w:tcW w:w="1330" w:type="dxa"/>
            <w:tcBorders>
              <w:top w:val="single" w:sz="4" w:space="0" w:color="auto"/>
              <w:bottom w:val="single" w:sz="4" w:space="0" w:color="auto"/>
            </w:tcBorders>
          </w:tcPr>
          <w:p w14:paraId="323DC938"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Frequency</w:t>
            </w:r>
          </w:p>
        </w:tc>
        <w:tc>
          <w:tcPr>
            <w:tcW w:w="1134" w:type="dxa"/>
            <w:tcBorders>
              <w:top w:val="single" w:sz="4" w:space="0" w:color="auto"/>
              <w:bottom w:val="single" w:sz="4" w:space="0" w:color="auto"/>
            </w:tcBorders>
          </w:tcPr>
          <w:p w14:paraId="075D249E"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Percentage</w:t>
            </w:r>
          </w:p>
        </w:tc>
        <w:tc>
          <w:tcPr>
            <w:tcW w:w="1843" w:type="dxa"/>
            <w:tcBorders>
              <w:top w:val="single" w:sz="4" w:space="0" w:color="auto"/>
              <w:bottom w:val="single" w:sz="4" w:space="0" w:color="auto"/>
            </w:tcBorders>
          </w:tcPr>
          <w:p w14:paraId="1B526883"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Description</w:t>
            </w:r>
          </w:p>
        </w:tc>
      </w:tr>
      <w:tr w:rsidR="000E2A98" w:rsidRPr="00153A69" w14:paraId="55374340" w14:textId="77777777" w:rsidTr="00025F31">
        <w:tc>
          <w:tcPr>
            <w:tcW w:w="2054" w:type="dxa"/>
            <w:tcBorders>
              <w:top w:val="single" w:sz="4" w:space="0" w:color="auto"/>
            </w:tcBorders>
          </w:tcPr>
          <w:p w14:paraId="299970CB"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lastRenderedPageBreak/>
              <w:t xml:space="preserve">75 and below </w:t>
            </w:r>
          </w:p>
        </w:tc>
        <w:tc>
          <w:tcPr>
            <w:tcW w:w="1294" w:type="dxa"/>
            <w:tcBorders>
              <w:top w:val="single" w:sz="4" w:space="0" w:color="auto"/>
            </w:tcBorders>
          </w:tcPr>
          <w:p w14:paraId="7E88D284"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1 - 15</w:t>
            </w:r>
          </w:p>
        </w:tc>
        <w:tc>
          <w:tcPr>
            <w:tcW w:w="1330" w:type="dxa"/>
            <w:tcBorders>
              <w:top w:val="single" w:sz="4" w:space="0" w:color="auto"/>
            </w:tcBorders>
          </w:tcPr>
          <w:p w14:paraId="620109B0"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w:t>
            </w:r>
          </w:p>
        </w:tc>
        <w:tc>
          <w:tcPr>
            <w:tcW w:w="1134" w:type="dxa"/>
            <w:tcBorders>
              <w:top w:val="single" w:sz="4" w:space="0" w:color="auto"/>
            </w:tcBorders>
          </w:tcPr>
          <w:p w14:paraId="5CDD88F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6.25</w:t>
            </w:r>
          </w:p>
        </w:tc>
        <w:tc>
          <w:tcPr>
            <w:tcW w:w="1843" w:type="dxa"/>
            <w:tcBorders>
              <w:top w:val="single" w:sz="4" w:space="0" w:color="auto"/>
            </w:tcBorders>
          </w:tcPr>
          <w:p w14:paraId="39DC5861"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Did Not Meet Expectation</w:t>
            </w:r>
          </w:p>
        </w:tc>
      </w:tr>
      <w:tr w:rsidR="000E2A98" w:rsidRPr="00153A69" w14:paraId="32654FDD" w14:textId="77777777" w:rsidTr="00025F31">
        <w:tc>
          <w:tcPr>
            <w:tcW w:w="2054" w:type="dxa"/>
          </w:tcPr>
          <w:p w14:paraId="441BC910"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 xml:space="preserve">76 – 81 </w:t>
            </w:r>
          </w:p>
        </w:tc>
        <w:tc>
          <w:tcPr>
            <w:tcW w:w="1294" w:type="dxa"/>
          </w:tcPr>
          <w:p w14:paraId="78FD4A58"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16 – 19</w:t>
            </w:r>
          </w:p>
        </w:tc>
        <w:tc>
          <w:tcPr>
            <w:tcW w:w="1330" w:type="dxa"/>
          </w:tcPr>
          <w:p w14:paraId="281A0283"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8</w:t>
            </w:r>
          </w:p>
        </w:tc>
        <w:tc>
          <w:tcPr>
            <w:tcW w:w="1134" w:type="dxa"/>
          </w:tcPr>
          <w:p w14:paraId="08DF2ED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50</w:t>
            </w:r>
          </w:p>
        </w:tc>
        <w:tc>
          <w:tcPr>
            <w:tcW w:w="1843" w:type="dxa"/>
          </w:tcPr>
          <w:p w14:paraId="75149A03"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Fairly Satisfactory</w:t>
            </w:r>
          </w:p>
        </w:tc>
      </w:tr>
      <w:tr w:rsidR="000E2A98" w:rsidRPr="00153A69" w14:paraId="2535734E" w14:textId="77777777" w:rsidTr="00025F31">
        <w:tc>
          <w:tcPr>
            <w:tcW w:w="2054" w:type="dxa"/>
          </w:tcPr>
          <w:p w14:paraId="73B5A4FA"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 xml:space="preserve">82 – 89 </w:t>
            </w:r>
          </w:p>
        </w:tc>
        <w:tc>
          <w:tcPr>
            <w:tcW w:w="1294" w:type="dxa"/>
          </w:tcPr>
          <w:p w14:paraId="1A8706E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20 – 23</w:t>
            </w:r>
          </w:p>
        </w:tc>
        <w:tc>
          <w:tcPr>
            <w:tcW w:w="1330" w:type="dxa"/>
          </w:tcPr>
          <w:p w14:paraId="49209DF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5</w:t>
            </w:r>
          </w:p>
        </w:tc>
        <w:tc>
          <w:tcPr>
            <w:tcW w:w="1134" w:type="dxa"/>
          </w:tcPr>
          <w:p w14:paraId="0358E29A"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31.25</w:t>
            </w:r>
          </w:p>
        </w:tc>
        <w:tc>
          <w:tcPr>
            <w:tcW w:w="1843" w:type="dxa"/>
          </w:tcPr>
          <w:p w14:paraId="03F9E792"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Satisfactory</w:t>
            </w:r>
          </w:p>
        </w:tc>
      </w:tr>
      <w:tr w:rsidR="000E2A98" w:rsidRPr="00153A69" w14:paraId="570562F5" w14:textId="77777777" w:rsidTr="00025F31">
        <w:trPr>
          <w:trHeight w:val="360"/>
        </w:trPr>
        <w:tc>
          <w:tcPr>
            <w:tcW w:w="2054" w:type="dxa"/>
          </w:tcPr>
          <w:p w14:paraId="0E9531B5"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 xml:space="preserve">90 – 95 </w:t>
            </w:r>
          </w:p>
        </w:tc>
        <w:tc>
          <w:tcPr>
            <w:tcW w:w="1294" w:type="dxa"/>
          </w:tcPr>
          <w:p w14:paraId="0CA0B35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24 – 27</w:t>
            </w:r>
          </w:p>
        </w:tc>
        <w:tc>
          <w:tcPr>
            <w:tcW w:w="1330" w:type="dxa"/>
          </w:tcPr>
          <w:p w14:paraId="0C0CC821"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w:t>
            </w:r>
          </w:p>
        </w:tc>
        <w:tc>
          <w:tcPr>
            <w:tcW w:w="1134" w:type="dxa"/>
          </w:tcPr>
          <w:p w14:paraId="61666451"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6.25</w:t>
            </w:r>
          </w:p>
        </w:tc>
        <w:tc>
          <w:tcPr>
            <w:tcW w:w="1843" w:type="dxa"/>
          </w:tcPr>
          <w:p w14:paraId="30235876"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Very Satisfactory</w:t>
            </w:r>
          </w:p>
        </w:tc>
      </w:tr>
      <w:tr w:rsidR="000E2A98" w:rsidRPr="00153A69" w14:paraId="5ECAAC9A" w14:textId="77777777" w:rsidTr="00025F31">
        <w:tc>
          <w:tcPr>
            <w:tcW w:w="2054" w:type="dxa"/>
            <w:tcBorders>
              <w:bottom w:val="single" w:sz="4" w:space="0" w:color="auto"/>
            </w:tcBorders>
          </w:tcPr>
          <w:p w14:paraId="04B244C6"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96 - 100</w:t>
            </w:r>
          </w:p>
        </w:tc>
        <w:tc>
          <w:tcPr>
            <w:tcW w:w="1294" w:type="dxa"/>
            <w:tcBorders>
              <w:bottom w:val="single" w:sz="4" w:space="0" w:color="auto"/>
            </w:tcBorders>
          </w:tcPr>
          <w:p w14:paraId="46050565"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28 - 30</w:t>
            </w:r>
          </w:p>
        </w:tc>
        <w:tc>
          <w:tcPr>
            <w:tcW w:w="1330" w:type="dxa"/>
            <w:tcBorders>
              <w:bottom w:val="single" w:sz="4" w:space="0" w:color="auto"/>
            </w:tcBorders>
          </w:tcPr>
          <w:p w14:paraId="49ACC6A3"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w:t>
            </w:r>
          </w:p>
        </w:tc>
        <w:tc>
          <w:tcPr>
            <w:tcW w:w="1134" w:type="dxa"/>
            <w:tcBorders>
              <w:bottom w:val="single" w:sz="4" w:space="0" w:color="auto"/>
            </w:tcBorders>
          </w:tcPr>
          <w:p w14:paraId="044D37FB"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6.25</w:t>
            </w:r>
          </w:p>
        </w:tc>
        <w:tc>
          <w:tcPr>
            <w:tcW w:w="1843" w:type="dxa"/>
            <w:tcBorders>
              <w:bottom w:val="single" w:sz="4" w:space="0" w:color="auto"/>
            </w:tcBorders>
          </w:tcPr>
          <w:p w14:paraId="216946B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Outstanding</w:t>
            </w:r>
          </w:p>
        </w:tc>
      </w:tr>
      <w:tr w:rsidR="000E2A98" w:rsidRPr="00153A69" w14:paraId="3C08318E" w14:textId="77777777" w:rsidTr="00025F31">
        <w:trPr>
          <w:trHeight w:val="503"/>
        </w:trPr>
        <w:tc>
          <w:tcPr>
            <w:tcW w:w="3348" w:type="dxa"/>
            <w:gridSpan w:val="2"/>
            <w:tcBorders>
              <w:bottom w:val="single" w:sz="4" w:space="0" w:color="auto"/>
            </w:tcBorders>
            <w:vAlign w:val="center"/>
          </w:tcPr>
          <w:p w14:paraId="204C6CC9"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TOTAL</w:t>
            </w:r>
          </w:p>
        </w:tc>
        <w:tc>
          <w:tcPr>
            <w:tcW w:w="1330" w:type="dxa"/>
            <w:tcBorders>
              <w:bottom w:val="single" w:sz="4" w:space="0" w:color="auto"/>
            </w:tcBorders>
            <w:vAlign w:val="center"/>
          </w:tcPr>
          <w:p w14:paraId="2EF61085"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16</w:t>
            </w:r>
          </w:p>
        </w:tc>
        <w:tc>
          <w:tcPr>
            <w:tcW w:w="1134" w:type="dxa"/>
            <w:tcBorders>
              <w:bottom w:val="single" w:sz="4" w:space="0" w:color="auto"/>
            </w:tcBorders>
            <w:vAlign w:val="center"/>
          </w:tcPr>
          <w:p w14:paraId="30E48C51"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100</w:t>
            </w:r>
          </w:p>
        </w:tc>
        <w:tc>
          <w:tcPr>
            <w:tcW w:w="1843" w:type="dxa"/>
            <w:vAlign w:val="center"/>
          </w:tcPr>
          <w:p w14:paraId="4AE7DCA3"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b/>
                <w:bCs/>
                <w:color w:val="000000"/>
              </w:rPr>
              <w:t>Fairly Satisfactory</w:t>
            </w:r>
          </w:p>
        </w:tc>
      </w:tr>
    </w:tbl>
    <w:p w14:paraId="2FCA64EE" w14:textId="7FAC103E" w:rsidR="001A38C1" w:rsidRDefault="001A38C1"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Table 5 reveals the frequency and percentage distribution of the post-test results attained by the control group students.</w:t>
      </w:r>
      <w:r w:rsidRPr="00153A69">
        <w:rPr>
          <w:rFonts w:ascii="Times New Roman" w:hAnsi="Times New Roman" w:cs="Times New Roman"/>
        </w:rPr>
        <w:t xml:space="preserve"> </w:t>
      </w:r>
      <w:r w:rsidRPr="00153A69">
        <w:rPr>
          <w:rFonts w:ascii="Times New Roman" w:hAnsi="Times New Roman" w:cs="Times New Roman"/>
          <w:color w:val="000000"/>
          <w:sz w:val="24"/>
          <w:szCs w:val="24"/>
        </w:rPr>
        <w:t xml:space="preserve">Eight (8) or 50% had a fairly </w:t>
      </w:r>
      <w:r w:rsidRPr="00153A69">
        <w:rPr>
          <w:rFonts w:ascii="Times New Roman" w:hAnsi="Times New Roman" w:cs="Times New Roman"/>
          <w:color w:val="000000"/>
          <w:sz w:val="24"/>
          <w:szCs w:val="24"/>
        </w:rPr>
        <w:t>satisfactory level, five (5) or 31.25% had a satisfactory level, and one (1) or 6.25% had a very satisfactory level. One (1) student, or 6.25%, did not meet the predicted level. One (1) student, or 12.5% of the group, was outstanding. Based on the results, the overall mean score is 19.6875.</w:t>
      </w:r>
      <w:r w:rsidRPr="00153A69">
        <w:rPr>
          <w:rFonts w:ascii="Times New Roman" w:eastAsia="Times New Roman" w:hAnsi="Times New Roman" w:cs="Times New Roman"/>
          <w:sz w:val="24"/>
          <w:szCs w:val="24"/>
          <w:lang w:val="en-PH" w:eastAsia="en-PH"/>
        </w:rPr>
        <w:t xml:space="preserve"> </w:t>
      </w:r>
      <w:r w:rsidRPr="00153A69">
        <w:rPr>
          <w:rFonts w:ascii="Times New Roman" w:hAnsi="Times New Roman" w:cs="Times New Roman"/>
          <w:color w:val="000000"/>
          <w:sz w:val="24"/>
          <w:szCs w:val="24"/>
        </w:rPr>
        <w:t>The results show that the scores were influenced by the content and presentation of the topic and instruction than the students prior knowledge resulting in higher scores compared to their pretest</w:t>
      </w:r>
      <w:r w:rsidRPr="00153A69">
        <w:rPr>
          <w:rFonts w:ascii="Times New Roman" w:eastAsia="Times New Roman" w:hAnsi="Times New Roman" w:cs="Times New Roman"/>
          <w:sz w:val="24"/>
          <w:szCs w:val="24"/>
          <w:lang w:val="en-PH" w:eastAsia="en-PH"/>
        </w:rPr>
        <w:t xml:space="preserve"> </w:t>
      </w:r>
      <w:r w:rsidRPr="00153A69">
        <w:rPr>
          <w:rFonts w:ascii="Times New Roman" w:hAnsi="Times New Roman" w:cs="Times New Roman"/>
          <w:color w:val="000000"/>
          <w:sz w:val="24"/>
          <w:szCs w:val="24"/>
        </w:rPr>
        <w:t xml:space="preserve">(Delucchi, 2014). </w:t>
      </w:r>
      <w:r w:rsidR="000E2A98" w:rsidRPr="00153A69">
        <w:rPr>
          <w:rFonts w:ascii="Times New Roman" w:hAnsi="Times New Roman" w:cs="Times New Roman"/>
          <w:color w:val="000000"/>
          <w:sz w:val="24"/>
          <w:szCs w:val="24"/>
        </w:rPr>
        <w:t>This explains</w:t>
      </w:r>
      <w:r w:rsidRPr="00153A69">
        <w:rPr>
          <w:rFonts w:ascii="Times New Roman" w:hAnsi="Times New Roman" w:cs="Times New Roman"/>
          <w:color w:val="000000"/>
          <w:sz w:val="24"/>
          <w:szCs w:val="24"/>
        </w:rPr>
        <w:t xml:space="preserve"> that after the lesson, most students achieved a fairly satisfactory level and above of understanding of chemical reactions while some did not meet expectations</w:t>
      </w:r>
    </w:p>
    <w:p w14:paraId="5DC9FEC6" w14:textId="77777777" w:rsidR="001A38C1" w:rsidRDefault="001A38C1" w:rsidP="006B5370">
      <w:pPr>
        <w:jc w:val="both"/>
        <w:rPr>
          <w:rFonts w:ascii="Times New Roman" w:hAnsi="Times New Roman" w:cs="Times New Roman"/>
          <w:color w:val="000000"/>
          <w:sz w:val="24"/>
          <w:szCs w:val="24"/>
        </w:rPr>
      </w:pPr>
    </w:p>
    <w:p w14:paraId="3808FE19" w14:textId="77777777" w:rsidR="00025F31" w:rsidRDefault="00025F31" w:rsidP="006B5370">
      <w:pPr>
        <w:jc w:val="both"/>
        <w:rPr>
          <w:rFonts w:ascii="Times New Roman" w:hAnsi="Times New Roman" w:cs="Times New Roman"/>
          <w:b/>
          <w:bCs/>
          <w:color w:val="000000"/>
          <w:sz w:val="24"/>
          <w:szCs w:val="24"/>
        </w:rPr>
        <w:sectPr w:rsidR="00025F31" w:rsidSect="00025F31">
          <w:type w:val="continuous"/>
          <w:pgSz w:w="11906" w:h="16838" w:code="9"/>
          <w:pgMar w:top="1083" w:right="607" w:bottom="607" w:left="607" w:header="709" w:footer="709" w:gutter="0"/>
          <w:cols w:num="2" w:space="708"/>
          <w:docGrid w:linePitch="360"/>
        </w:sectPr>
      </w:pPr>
    </w:p>
    <w:p w14:paraId="0A98F11B" w14:textId="77777777" w:rsidR="00025F31" w:rsidRDefault="00025F31" w:rsidP="006B5370">
      <w:pPr>
        <w:jc w:val="both"/>
        <w:rPr>
          <w:rFonts w:ascii="Times New Roman" w:hAnsi="Times New Roman" w:cs="Times New Roman"/>
          <w:b/>
          <w:bCs/>
          <w:color w:val="000000"/>
          <w:sz w:val="24"/>
          <w:szCs w:val="24"/>
        </w:rPr>
      </w:pPr>
    </w:p>
    <w:p w14:paraId="7980678E" w14:textId="77777777" w:rsidR="00025F31" w:rsidRDefault="00025F31" w:rsidP="006B5370">
      <w:pPr>
        <w:jc w:val="both"/>
        <w:rPr>
          <w:rFonts w:ascii="Times New Roman" w:hAnsi="Times New Roman" w:cs="Times New Roman"/>
          <w:b/>
          <w:bCs/>
          <w:color w:val="000000"/>
          <w:sz w:val="24"/>
          <w:szCs w:val="24"/>
        </w:rPr>
      </w:pPr>
    </w:p>
    <w:p w14:paraId="0098425E" w14:textId="77777777" w:rsidR="00DC160D" w:rsidRDefault="00DC160D" w:rsidP="006B5370">
      <w:pPr>
        <w:jc w:val="both"/>
        <w:rPr>
          <w:rFonts w:ascii="Times New Roman" w:hAnsi="Times New Roman" w:cs="Times New Roman"/>
          <w:b/>
          <w:bCs/>
          <w:color w:val="000000"/>
          <w:sz w:val="24"/>
          <w:szCs w:val="24"/>
        </w:rPr>
      </w:pPr>
    </w:p>
    <w:p w14:paraId="0A9CBF17" w14:textId="77777777" w:rsidR="003F35D6" w:rsidRDefault="003F35D6" w:rsidP="006B5370">
      <w:pPr>
        <w:jc w:val="both"/>
        <w:rPr>
          <w:rFonts w:ascii="Times New Roman" w:hAnsi="Times New Roman" w:cs="Times New Roman"/>
          <w:b/>
          <w:bCs/>
          <w:color w:val="000000"/>
          <w:sz w:val="24"/>
          <w:szCs w:val="24"/>
        </w:rPr>
        <w:sectPr w:rsidR="003F35D6" w:rsidSect="001A38C1">
          <w:type w:val="continuous"/>
          <w:pgSz w:w="11906" w:h="16838" w:code="9"/>
          <w:pgMar w:top="1083" w:right="607" w:bottom="607" w:left="607" w:header="709" w:footer="709" w:gutter="0"/>
          <w:cols w:space="708"/>
          <w:docGrid w:linePitch="360"/>
        </w:sectPr>
      </w:pPr>
    </w:p>
    <w:p w14:paraId="34C16B30" w14:textId="28665966" w:rsidR="001A38C1" w:rsidRPr="00153A69" w:rsidRDefault="001A38C1"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6. </w:t>
      </w:r>
    </w:p>
    <w:p w14:paraId="7B39DA77" w14:textId="77777777" w:rsidR="001A38C1" w:rsidRPr="00153A69" w:rsidRDefault="001A38C1" w:rsidP="006B5370">
      <w:pPr>
        <w:ind w:right="-42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 and Percentage Distribution of Post-test Scores of Experimental Group</w:t>
      </w:r>
    </w:p>
    <w:p w14:paraId="757EF2C0" w14:textId="77777777" w:rsidR="001A38C1" w:rsidRPr="00153A69" w:rsidRDefault="001A38C1" w:rsidP="006B5370">
      <w:pPr>
        <w:ind w:firstLine="720"/>
        <w:jc w:val="both"/>
        <w:rPr>
          <w:rFonts w:ascii="Times New Roman" w:hAnsi="Times New Roman" w:cs="Times New Roman"/>
          <w:b/>
          <w:bCs/>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48"/>
        <w:gridCol w:w="1088"/>
        <w:gridCol w:w="1119"/>
        <w:gridCol w:w="1194"/>
      </w:tblGrid>
      <w:tr w:rsidR="006B5370" w:rsidRPr="00DC160D" w14:paraId="4897E1BC" w14:textId="77777777" w:rsidTr="000E2A98">
        <w:trPr>
          <w:jc w:val="center"/>
        </w:trPr>
        <w:tc>
          <w:tcPr>
            <w:tcW w:w="2054" w:type="dxa"/>
            <w:tcBorders>
              <w:top w:val="single" w:sz="4" w:space="0" w:color="auto"/>
              <w:bottom w:val="single" w:sz="4" w:space="0" w:color="auto"/>
            </w:tcBorders>
          </w:tcPr>
          <w:p w14:paraId="2233A2C4"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Percent Rating</w:t>
            </w:r>
          </w:p>
        </w:tc>
        <w:tc>
          <w:tcPr>
            <w:tcW w:w="1099" w:type="dxa"/>
            <w:tcBorders>
              <w:top w:val="single" w:sz="4" w:space="0" w:color="auto"/>
              <w:bottom w:val="single" w:sz="4" w:space="0" w:color="auto"/>
            </w:tcBorders>
          </w:tcPr>
          <w:p w14:paraId="31F80C26"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Scores</w:t>
            </w:r>
          </w:p>
        </w:tc>
        <w:tc>
          <w:tcPr>
            <w:tcW w:w="1383" w:type="dxa"/>
            <w:tcBorders>
              <w:top w:val="single" w:sz="4" w:space="0" w:color="auto"/>
              <w:bottom w:val="single" w:sz="4" w:space="0" w:color="auto"/>
            </w:tcBorders>
          </w:tcPr>
          <w:p w14:paraId="13F6EA92"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Frequency</w:t>
            </w:r>
          </w:p>
        </w:tc>
        <w:tc>
          <w:tcPr>
            <w:tcW w:w="1351" w:type="dxa"/>
            <w:tcBorders>
              <w:top w:val="single" w:sz="4" w:space="0" w:color="auto"/>
              <w:bottom w:val="single" w:sz="4" w:space="0" w:color="auto"/>
            </w:tcBorders>
          </w:tcPr>
          <w:p w14:paraId="02919193"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Percentage</w:t>
            </w:r>
          </w:p>
        </w:tc>
        <w:tc>
          <w:tcPr>
            <w:tcW w:w="1843" w:type="dxa"/>
            <w:tcBorders>
              <w:top w:val="single" w:sz="4" w:space="0" w:color="auto"/>
              <w:bottom w:val="single" w:sz="4" w:space="0" w:color="auto"/>
            </w:tcBorders>
          </w:tcPr>
          <w:p w14:paraId="258A602A"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Description</w:t>
            </w:r>
          </w:p>
        </w:tc>
      </w:tr>
      <w:tr w:rsidR="006B5370" w:rsidRPr="00DC160D" w14:paraId="3D2CCB10" w14:textId="77777777" w:rsidTr="000E2A98">
        <w:trPr>
          <w:jc w:val="center"/>
        </w:trPr>
        <w:tc>
          <w:tcPr>
            <w:tcW w:w="2054" w:type="dxa"/>
            <w:tcBorders>
              <w:top w:val="single" w:sz="4" w:space="0" w:color="auto"/>
            </w:tcBorders>
          </w:tcPr>
          <w:p w14:paraId="05BBB5CD"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 xml:space="preserve">75 and below </w:t>
            </w:r>
          </w:p>
        </w:tc>
        <w:tc>
          <w:tcPr>
            <w:tcW w:w="1099" w:type="dxa"/>
            <w:tcBorders>
              <w:top w:val="single" w:sz="4" w:space="0" w:color="auto"/>
            </w:tcBorders>
          </w:tcPr>
          <w:p w14:paraId="0D3A3E69"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16 – 19</w:t>
            </w:r>
          </w:p>
        </w:tc>
        <w:tc>
          <w:tcPr>
            <w:tcW w:w="1383" w:type="dxa"/>
            <w:tcBorders>
              <w:top w:val="single" w:sz="4" w:space="0" w:color="auto"/>
            </w:tcBorders>
          </w:tcPr>
          <w:p w14:paraId="0E78F9D2"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4</w:t>
            </w:r>
          </w:p>
        </w:tc>
        <w:tc>
          <w:tcPr>
            <w:tcW w:w="1351" w:type="dxa"/>
            <w:tcBorders>
              <w:top w:val="single" w:sz="4" w:space="0" w:color="auto"/>
            </w:tcBorders>
          </w:tcPr>
          <w:p w14:paraId="52149F31"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25</w:t>
            </w:r>
          </w:p>
        </w:tc>
        <w:tc>
          <w:tcPr>
            <w:tcW w:w="1843" w:type="dxa"/>
            <w:tcBorders>
              <w:top w:val="single" w:sz="4" w:space="0" w:color="auto"/>
            </w:tcBorders>
          </w:tcPr>
          <w:p w14:paraId="7C2BF396"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Fairly Satisfactory</w:t>
            </w:r>
          </w:p>
        </w:tc>
      </w:tr>
      <w:tr w:rsidR="006B5370" w:rsidRPr="00DC160D" w14:paraId="1BC70658" w14:textId="77777777" w:rsidTr="000E2A98">
        <w:trPr>
          <w:jc w:val="center"/>
        </w:trPr>
        <w:tc>
          <w:tcPr>
            <w:tcW w:w="2054" w:type="dxa"/>
          </w:tcPr>
          <w:p w14:paraId="7A76EB2B"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 xml:space="preserve">76 – 89  </w:t>
            </w:r>
          </w:p>
        </w:tc>
        <w:tc>
          <w:tcPr>
            <w:tcW w:w="1099" w:type="dxa"/>
          </w:tcPr>
          <w:p w14:paraId="3F28BFF7"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20 – 23</w:t>
            </w:r>
          </w:p>
        </w:tc>
        <w:tc>
          <w:tcPr>
            <w:tcW w:w="1383" w:type="dxa"/>
          </w:tcPr>
          <w:p w14:paraId="19593D93"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8</w:t>
            </w:r>
          </w:p>
        </w:tc>
        <w:tc>
          <w:tcPr>
            <w:tcW w:w="1351" w:type="dxa"/>
          </w:tcPr>
          <w:p w14:paraId="0F9BF7E3"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5</w:t>
            </w:r>
          </w:p>
        </w:tc>
        <w:tc>
          <w:tcPr>
            <w:tcW w:w="1843" w:type="dxa"/>
          </w:tcPr>
          <w:p w14:paraId="6D817DE1"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Satisfactory</w:t>
            </w:r>
          </w:p>
        </w:tc>
      </w:tr>
      <w:tr w:rsidR="006B5370" w:rsidRPr="00DC160D" w14:paraId="287798F3" w14:textId="77777777" w:rsidTr="000E2A98">
        <w:trPr>
          <w:jc w:val="center"/>
        </w:trPr>
        <w:tc>
          <w:tcPr>
            <w:tcW w:w="2054" w:type="dxa"/>
            <w:tcBorders>
              <w:bottom w:val="single" w:sz="4" w:space="0" w:color="auto"/>
            </w:tcBorders>
          </w:tcPr>
          <w:p w14:paraId="3D4B1D22"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 xml:space="preserve">90 – 95 </w:t>
            </w:r>
          </w:p>
        </w:tc>
        <w:tc>
          <w:tcPr>
            <w:tcW w:w="1099" w:type="dxa"/>
            <w:tcBorders>
              <w:bottom w:val="single" w:sz="4" w:space="0" w:color="auto"/>
            </w:tcBorders>
          </w:tcPr>
          <w:p w14:paraId="05A97FEA"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23 – 27</w:t>
            </w:r>
          </w:p>
        </w:tc>
        <w:tc>
          <w:tcPr>
            <w:tcW w:w="1383" w:type="dxa"/>
            <w:tcBorders>
              <w:bottom w:val="single" w:sz="4" w:space="0" w:color="auto"/>
            </w:tcBorders>
          </w:tcPr>
          <w:p w14:paraId="529CF053"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4</w:t>
            </w:r>
          </w:p>
        </w:tc>
        <w:tc>
          <w:tcPr>
            <w:tcW w:w="1351" w:type="dxa"/>
            <w:tcBorders>
              <w:bottom w:val="single" w:sz="4" w:space="0" w:color="auto"/>
            </w:tcBorders>
          </w:tcPr>
          <w:p w14:paraId="69BC8275"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25</w:t>
            </w:r>
          </w:p>
        </w:tc>
        <w:tc>
          <w:tcPr>
            <w:tcW w:w="1843" w:type="dxa"/>
            <w:tcBorders>
              <w:bottom w:val="single" w:sz="4" w:space="0" w:color="auto"/>
            </w:tcBorders>
          </w:tcPr>
          <w:p w14:paraId="7FE5A854"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Very Satisfactory</w:t>
            </w:r>
          </w:p>
        </w:tc>
      </w:tr>
      <w:tr w:rsidR="001A38C1" w:rsidRPr="00DC160D" w14:paraId="0C38944B" w14:textId="77777777" w:rsidTr="000E2A98">
        <w:trPr>
          <w:trHeight w:val="530"/>
          <w:jc w:val="center"/>
        </w:trPr>
        <w:tc>
          <w:tcPr>
            <w:tcW w:w="3153" w:type="dxa"/>
            <w:gridSpan w:val="2"/>
            <w:tcBorders>
              <w:bottom w:val="single" w:sz="4" w:space="0" w:color="auto"/>
            </w:tcBorders>
            <w:vAlign w:val="center"/>
          </w:tcPr>
          <w:p w14:paraId="0F3374A0"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TOTAL</w:t>
            </w:r>
          </w:p>
        </w:tc>
        <w:tc>
          <w:tcPr>
            <w:tcW w:w="1383" w:type="dxa"/>
            <w:tcBorders>
              <w:bottom w:val="single" w:sz="4" w:space="0" w:color="auto"/>
            </w:tcBorders>
            <w:vAlign w:val="center"/>
          </w:tcPr>
          <w:p w14:paraId="440DE981"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16</w:t>
            </w:r>
          </w:p>
        </w:tc>
        <w:tc>
          <w:tcPr>
            <w:tcW w:w="1351" w:type="dxa"/>
            <w:tcBorders>
              <w:bottom w:val="single" w:sz="4" w:space="0" w:color="auto"/>
            </w:tcBorders>
            <w:vAlign w:val="center"/>
          </w:tcPr>
          <w:p w14:paraId="64C3C95C"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100</w:t>
            </w:r>
          </w:p>
        </w:tc>
        <w:tc>
          <w:tcPr>
            <w:tcW w:w="1843" w:type="dxa"/>
            <w:vMerge w:val="restart"/>
            <w:vAlign w:val="center"/>
          </w:tcPr>
          <w:p w14:paraId="4610C3E9"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b/>
                <w:bCs/>
                <w:color w:val="000000"/>
              </w:rPr>
              <w:t>Satisfactory</w:t>
            </w:r>
          </w:p>
        </w:tc>
      </w:tr>
      <w:tr w:rsidR="001A38C1" w:rsidRPr="00DC160D" w14:paraId="324C3F61" w14:textId="77777777" w:rsidTr="000E2A98">
        <w:trPr>
          <w:trHeight w:val="530"/>
          <w:jc w:val="center"/>
        </w:trPr>
        <w:tc>
          <w:tcPr>
            <w:tcW w:w="3153" w:type="dxa"/>
            <w:gridSpan w:val="2"/>
            <w:tcBorders>
              <w:top w:val="single" w:sz="4" w:space="0" w:color="auto"/>
              <w:bottom w:val="single" w:sz="4" w:space="0" w:color="auto"/>
            </w:tcBorders>
            <w:vAlign w:val="center"/>
          </w:tcPr>
          <w:p w14:paraId="719DC222"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MEAN</w:t>
            </w:r>
          </w:p>
        </w:tc>
        <w:tc>
          <w:tcPr>
            <w:tcW w:w="2734" w:type="dxa"/>
            <w:gridSpan w:val="2"/>
            <w:tcBorders>
              <w:top w:val="single" w:sz="4" w:space="0" w:color="auto"/>
              <w:bottom w:val="single" w:sz="4" w:space="0" w:color="auto"/>
            </w:tcBorders>
            <w:vAlign w:val="center"/>
          </w:tcPr>
          <w:p w14:paraId="4C2D77BB"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21.06</w:t>
            </w:r>
          </w:p>
        </w:tc>
        <w:tc>
          <w:tcPr>
            <w:tcW w:w="1843" w:type="dxa"/>
            <w:vMerge/>
            <w:tcBorders>
              <w:bottom w:val="single" w:sz="4" w:space="0" w:color="auto"/>
            </w:tcBorders>
          </w:tcPr>
          <w:p w14:paraId="075711A3" w14:textId="77777777" w:rsidR="001A38C1" w:rsidRPr="00DC160D" w:rsidRDefault="001A38C1" w:rsidP="006B5370">
            <w:pPr>
              <w:jc w:val="both"/>
              <w:rPr>
                <w:rFonts w:ascii="Times New Roman" w:hAnsi="Times New Roman" w:cs="Times New Roman"/>
                <w:b/>
                <w:bCs/>
                <w:color w:val="000000"/>
              </w:rPr>
            </w:pPr>
          </w:p>
        </w:tc>
      </w:tr>
    </w:tbl>
    <w:p w14:paraId="322849AD" w14:textId="77777777" w:rsidR="001A38C1" w:rsidRPr="00153A69" w:rsidRDefault="001A38C1" w:rsidP="006B5370">
      <w:pPr>
        <w:jc w:val="both"/>
        <w:rPr>
          <w:rFonts w:ascii="Times New Roman" w:hAnsi="Times New Roman" w:cs="Times New Roman"/>
          <w:b/>
          <w:bCs/>
          <w:color w:val="000000"/>
          <w:sz w:val="24"/>
          <w:szCs w:val="24"/>
        </w:rPr>
      </w:pPr>
    </w:p>
    <w:p w14:paraId="7265914C" w14:textId="77777777" w:rsidR="001A38C1" w:rsidRPr="00153A69" w:rsidRDefault="001A38C1"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Table 6 shows the frequency and percentage distribution of the post-test results attained by the experimental group students. There were four (4) or 25% who belonged to fairly satisfactory level, eight (8) or 50% who were at satisfactory level, and four (4) or 25% who attained very satisfactory level. No student fell to has not met the expected level. The results show a mean score of 21.0625 overall. These results demonstrate the positive impact of technology to education in general, making improvements to and making learning more personalized (Escueta, Quan, Nickow, &amp; Oreopoulos, 2017).  These reveal that following the intervention, a sizable majority of students have attained a degree of comprehension of chemical reactions that is satisfactory or higher.</w:t>
      </w:r>
    </w:p>
    <w:p w14:paraId="695E9353" w14:textId="77777777" w:rsidR="00DC160D" w:rsidRDefault="00DC160D" w:rsidP="006B5370">
      <w:pPr>
        <w:jc w:val="both"/>
        <w:rPr>
          <w:rFonts w:ascii="Times New Roman" w:hAnsi="Times New Roman" w:cs="Times New Roman"/>
          <w:b/>
          <w:bCs/>
          <w:color w:val="000000"/>
          <w:sz w:val="24"/>
          <w:szCs w:val="24"/>
        </w:rPr>
      </w:pPr>
    </w:p>
    <w:p w14:paraId="3A5B8AEE" w14:textId="77777777" w:rsidR="003F35D6" w:rsidRDefault="003F35D6" w:rsidP="006B5370">
      <w:pPr>
        <w:jc w:val="both"/>
        <w:rPr>
          <w:rFonts w:ascii="Times New Roman" w:hAnsi="Times New Roman" w:cs="Times New Roman"/>
          <w:b/>
          <w:bCs/>
          <w:color w:val="000000"/>
          <w:sz w:val="24"/>
          <w:szCs w:val="24"/>
        </w:rPr>
        <w:sectPr w:rsidR="003F35D6" w:rsidSect="00DC160D">
          <w:type w:val="continuous"/>
          <w:pgSz w:w="11906" w:h="16838" w:code="9"/>
          <w:pgMar w:top="1083" w:right="607" w:bottom="607" w:left="607" w:header="709" w:footer="709" w:gutter="0"/>
          <w:cols w:num="2" w:space="708"/>
          <w:docGrid w:linePitch="360"/>
        </w:sectPr>
      </w:pPr>
    </w:p>
    <w:p w14:paraId="6DD128E0" w14:textId="26F8ED98" w:rsidR="0003239F" w:rsidRPr="00153A69" w:rsidRDefault="00DC160D"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of the Pre-test and Post-test</w:t>
      </w:r>
    </w:p>
    <w:p w14:paraId="7C438768" w14:textId="77777777" w:rsidR="00DC160D" w:rsidRPr="00153A69" w:rsidRDefault="00DC160D"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7. </w:t>
      </w:r>
    </w:p>
    <w:p w14:paraId="45AE9F56" w14:textId="77777777" w:rsidR="00DC160D" w:rsidRPr="00153A69" w:rsidRDefault="00DC160D"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of the Pre-test Between Control Group and Experimental Group</w:t>
      </w:r>
    </w:p>
    <w:p w14:paraId="57237823" w14:textId="77777777" w:rsidR="00DC160D" w:rsidRPr="00153A69" w:rsidRDefault="00DC160D" w:rsidP="006B5370">
      <w:pPr>
        <w:jc w:val="both"/>
        <w:rPr>
          <w:rFonts w:ascii="Times New Roman" w:hAnsi="Times New Roman" w:cs="Times New Roman"/>
          <w:b/>
          <w:bCs/>
          <w:color w:val="000000"/>
          <w:sz w:val="24"/>
          <w:szCs w:val="24"/>
        </w:rPr>
      </w:pPr>
    </w:p>
    <w:tbl>
      <w:tblPr>
        <w:tblW w:w="3575" w:type="pct"/>
        <w:tblInd w:w="567" w:type="dxa"/>
        <w:tblLook w:val="04A0" w:firstRow="1" w:lastRow="0" w:firstColumn="1" w:lastColumn="0" w:noHBand="0" w:noVBand="1"/>
      </w:tblPr>
      <w:tblGrid>
        <w:gridCol w:w="3228"/>
        <w:gridCol w:w="1983"/>
        <w:gridCol w:w="2542"/>
      </w:tblGrid>
      <w:tr w:rsidR="00DC160D" w:rsidRPr="00153A69" w14:paraId="535F25BA" w14:textId="77777777" w:rsidTr="0003239F">
        <w:trPr>
          <w:trHeight w:val="266"/>
        </w:trPr>
        <w:tc>
          <w:tcPr>
            <w:tcW w:w="2040" w:type="pct"/>
            <w:tcBorders>
              <w:top w:val="single" w:sz="8" w:space="0" w:color="auto"/>
              <w:left w:val="nil"/>
              <w:bottom w:val="single" w:sz="4" w:space="0" w:color="auto"/>
              <w:right w:val="nil"/>
            </w:tcBorders>
            <w:noWrap/>
            <w:vAlign w:val="bottom"/>
            <w:hideMark/>
          </w:tcPr>
          <w:p w14:paraId="06C4C503" w14:textId="77777777" w:rsidR="00DC160D" w:rsidRPr="00153A69" w:rsidRDefault="00DC160D" w:rsidP="006B5370">
            <w:pPr>
              <w:ind w:left="467"/>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c>
          <w:tcPr>
            <w:tcW w:w="1297" w:type="pct"/>
            <w:tcBorders>
              <w:top w:val="single" w:sz="8" w:space="0" w:color="auto"/>
              <w:left w:val="nil"/>
              <w:bottom w:val="single" w:sz="4" w:space="0" w:color="auto"/>
              <w:right w:val="nil"/>
            </w:tcBorders>
            <w:noWrap/>
            <w:vAlign w:val="bottom"/>
            <w:hideMark/>
          </w:tcPr>
          <w:p w14:paraId="45C6C5F4"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Pre – Test Control</w:t>
            </w:r>
          </w:p>
        </w:tc>
        <w:tc>
          <w:tcPr>
            <w:tcW w:w="1663" w:type="pct"/>
            <w:tcBorders>
              <w:top w:val="single" w:sz="8" w:space="0" w:color="auto"/>
              <w:left w:val="nil"/>
              <w:bottom w:val="single" w:sz="4" w:space="0" w:color="auto"/>
              <w:right w:val="nil"/>
            </w:tcBorders>
            <w:noWrap/>
            <w:vAlign w:val="bottom"/>
            <w:hideMark/>
          </w:tcPr>
          <w:p w14:paraId="75A4EE84"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Pre – Test Experimental</w:t>
            </w:r>
          </w:p>
        </w:tc>
      </w:tr>
      <w:tr w:rsidR="00DC160D" w:rsidRPr="00153A69" w14:paraId="2E923344" w14:textId="77777777" w:rsidTr="0003239F">
        <w:trPr>
          <w:trHeight w:val="266"/>
        </w:trPr>
        <w:tc>
          <w:tcPr>
            <w:tcW w:w="2040" w:type="pct"/>
            <w:tcBorders>
              <w:top w:val="nil"/>
              <w:left w:val="nil"/>
              <w:bottom w:val="nil"/>
              <w:right w:val="nil"/>
            </w:tcBorders>
            <w:noWrap/>
            <w:vAlign w:val="bottom"/>
            <w:hideMark/>
          </w:tcPr>
          <w:p w14:paraId="04374071"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Mean</w:t>
            </w:r>
          </w:p>
        </w:tc>
        <w:tc>
          <w:tcPr>
            <w:tcW w:w="1297" w:type="pct"/>
            <w:tcBorders>
              <w:top w:val="nil"/>
              <w:left w:val="nil"/>
              <w:bottom w:val="nil"/>
              <w:right w:val="nil"/>
            </w:tcBorders>
            <w:noWrap/>
            <w:vAlign w:val="bottom"/>
            <w:hideMark/>
          </w:tcPr>
          <w:p w14:paraId="56AFE9CB"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13.0625</w:t>
            </w:r>
          </w:p>
        </w:tc>
        <w:tc>
          <w:tcPr>
            <w:tcW w:w="1663" w:type="pct"/>
            <w:tcBorders>
              <w:top w:val="nil"/>
              <w:left w:val="nil"/>
              <w:bottom w:val="nil"/>
              <w:right w:val="nil"/>
            </w:tcBorders>
            <w:noWrap/>
            <w:vAlign w:val="bottom"/>
            <w:hideMark/>
          </w:tcPr>
          <w:p w14:paraId="35A8FA2C"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13.3125</w:t>
            </w:r>
          </w:p>
        </w:tc>
      </w:tr>
      <w:tr w:rsidR="00DC160D" w:rsidRPr="00153A69" w14:paraId="720DA669" w14:textId="77777777" w:rsidTr="0003239F">
        <w:trPr>
          <w:trHeight w:val="266"/>
        </w:trPr>
        <w:tc>
          <w:tcPr>
            <w:tcW w:w="2040" w:type="pct"/>
            <w:tcBorders>
              <w:top w:val="nil"/>
              <w:left w:val="nil"/>
              <w:bottom w:val="nil"/>
              <w:right w:val="nil"/>
            </w:tcBorders>
            <w:noWrap/>
            <w:vAlign w:val="bottom"/>
            <w:hideMark/>
          </w:tcPr>
          <w:p w14:paraId="39C583E8"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Variance</w:t>
            </w:r>
          </w:p>
        </w:tc>
        <w:tc>
          <w:tcPr>
            <w:tcW w:w="1297" w:type="pct"/>
            <w:tcBorders>
              <w:top w:val="nil"/>
              <w:left w:val="nil"/>
              <w:bottom w:val="nil"/>
              <w:right w:val="nil"/>
            </w:tcBorders>
            <w:noWrap/>
            <w:vAlign w:val="bottom"/>
            <w:hideMark/>
          </w:tcPr>
          <w:p w14:paraId="69622AB4"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22.99583</w:t>
            </w:r>
          </w:p>
        </w:tc>
        <w:tc>
          <w:tcPr>
            <w:tcW w:w="1663" w:type="pct"/>
            <w:tcBorders>
              <w:top w:val="nil"/>
              <w:left w:val="nil"/>
              <w:bottom w:val="nil"/>
              <w:right w:val="nil"/>
            </w:tcBorders>
            <w:noWrap/>
            <w:vAlign w:val="bottom"/>
            <w:hideMark/>
          </w:tcPr>
          <w:p w14:paraId="760D29E8"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19.29583</w:t>
            </w:r>
          </w:p>
        </w:tc>
      </w:tr>
      <w:tr w:rsidR="00DC160D" w:rsidRPr="00153A69" w14:paraId="2F491D1A" w14:textId="77777777" w:rsidTr="0003239F">
        <w:trPr>
          <w:trHeight w:val="266"/>
        </w:trPr>
        <w:tc>
          <w:tcPr>
            <w:tcW w:w="2040" w:type="pct"/>
            <w:tcBorders>
              <w:top w:val="nil"/>
              <w:left w:val="nil"/>
              <w:bottom w:val="nil"/>
              <w:right w:val="nil"/>
            </w:tcBorders>
            <w:noWrap/>
            <w:vAlign w:val="bottom"/>
            <w:hideMark/>
          </w:tcPr>
          <w:p w14:paraId="10B5F12D"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Observations</w:t>
            </w:r>
          </w:p>
        </w:tc>
        <w:tc>
          <w:tcPr>
            <w:tcW w:w="1297" w:type="pct"/>
            <w:tcBorders>
              <w:top w:val="nil"/>
              <w:left w:val="nil"/>
              <w:bottom w:val="nil"/>
              <w:right w:val="nil"/>
            </w:tcBorders>
            <w:noWrap/>
            <w:vAlign w:val="bottom"/>
            <w:hideMark/>
          </w:tcPr>
          <w:p w14:paraId="2EF1F589"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c>
          <w:tcPr>
            <w:tcW w:w="1663" w:type="pct"/>
            <w:tcBorders>
              <w:top w:val="nil"/>
              <w:left w:val="nil"/>
              <w:bottom w:val="nil"/>
              <w:right w:val="nil"/>
            </w:tcBorders>
            <w:noWrap/>
            <w:vAlign w:val="bottom"/>
            <w:hideMark/>
          </w:tcPr>
          <w:p w14:paraId="1365465D"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r>
      <w:tr w:rsidR="00DC160D" w:rsidRPr="00153A69" w14:paraId="4A1247B3" w14:textId="77777777" w:rsidTr="0003239F">
        <w:trPr>
          <w:trHeight w:val="266"/>
        </w:trPr>
        <w:tc>
          <w:tcPr>
            <w:tcW w:w="2040" w:type="pct"/>
            <w:tcBorders>
              <w:top w:val="nil"/>
              <w:left w:val="nil"/>
              <w:bottom w:val="nil"/>
              <w:right w:val="nil"/>
            </w:tcBorders>
            <w:noWrap/>
            <w:vAlign w:val="bottom"/>
            <w:hideMark/>
          </w:tcPr>
          <w:p w14:paraId="22EE3495"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Pearson Correlation</w:t>
            </w:r>
          </w:p>
        </w:tc>
        <w:tc>
          <w:tcPr>
            <w:tcW w:w="1297" w:type="pct"/>
            <w:tcBorders>
              <w:top w:val="nil"/>
              <w:left w:val="nil"/>
              <w:bottom w:val="nil"/>
              <w:right w:val="nil"/>
            </w:tcBorders>
            <w:noWrap/>
            <w:vAlign w:val="bottom"/>
            <w:hideMark/>
          </w:tcPr>
          <w:p w14:paraId="2763EC35"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0.837695</w:t>
            </w:r>
          </w:p>
        </w:tc>
        <w:tc>
          <w:tcPr>
            <w:tcW w:w="1663" w:type="pct"/>
            <w:tcBorders>
              <w:top w:val="nil"/>
              <w:left w:val="nil"/>
              <w:bottom w:val="nil"/>
              <w:right w:val="nil"/>
            </w:tcBorders>
            <w:noWrap/>
            <w:vAlign w:val="bottom"/>
            <w:hideMark/>
          </w:tcPr>
          <w:p w14:paraId="3F6969F2"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782FFBC4" w14:textId="77777777" w:rsidTr="0003239F">
        <w:trPr>
          <w:trHeight w:val="266"/>
        </w:trPr>
        <w:tc>
          <w:tcPr>
            <w:tcW w:w="2040" w:type="pct"/>
            <w:tcBorders>
              <w:top w:val="nil"/>
              <w:left w:val="nil"/>
              <w:bottom w:val="nil"/>
              <w:right w:val="nil"/>
            </w:tcBorders>
            <w:noWrap/>
            <w:vAlign w:val="bottom"/>
            <w:hideMark/>
          </w:tcPr>
          <w:p w14:paraId="3A556F40"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Hypothesized Mean Difference</w:t>
            </w:r>
          </w:p>
        </w:tc>
        <w:tc>
          <w:tcPr>
            <w:tcW w:w="1297" w:type="pct"/>
            <w:tcBorders>
              <w:top w:val="nil"/>
              <w:left w:val="nil"/>
              <w:bottom w:val="nil"/>
              <w:right w:val="nil"/>
            </w:tcBorders>
            <w:noWrap/>
            <w:vAlign w:val="bottom"/>
            <w:hideMark/>
          </w:tcPr>
          <w:p w14:paraId="7A99C031"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w:t>
            </w:r>
          </w:p>
        </w:tc>
        <w:tc>
          <w:tcPr>
            <w:tcW w:w="1663" w:type="pct"/>
            <w:tcBorders>
              <w:top w:val="nil"/>
              <w:left w:val="nil"/>
              <w:bottom w:val="nil"/>
              <w:right w:val="nil"/>
            </w:tcBorders>
            <w:noWrap/>
            <w:vAlign w:val="bottom"/>
            <w:hideMark/>
          </w:tcPr>
          <w:p w14:paraId="776EFEC0"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46BA3F4B" w14:textId="77777777" w:rsidTr="0003239F">
        <w:trPr>
          <w:trHeight w:val="266"/>
        </w:trPr>
        <w:tc>
          <w:tcPr>
            <w:tcW w:w="2040" w:type="pct"/>
            <w:tcBorders>
              <w:top w:val="nil"/>
              <w:left w:val="nil"/>
              <w:bottom w:val="nil"/>
              <w:right w:val="nil"/>
            </w:tcBorders>
            <w:noWrap/>
            <w:vAlign w:val="bottom"/>
            <w:hideMark/>
          </w:tcPr>
          <w:p w14:paraId="63DA7D52"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df</w:t>
            </w:r>
          </w:p>
        </w:tc>
        <w:tc>
          <w:tcPr>
            <w:tcW w:w="1297" w:type="pct"/>
            <w:tcBorders>
              <w:top w:val="nil"/>
              <w:left w:val="nil"/>
              <w:bottom w:val="nil"/>
              <w:right w:val="nil"/>
            </w:tcBorders>
            <w:noWrap/>
            <w:vAlign w:val="bottom"/>
            <w:hideMark/>
          </w:tcPr>
          <w:p w14:paraId="50069B03"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15</w:t>
            </w:r>
          </w:p>
        </w:tc>
        <w:tc>
          <w:tcPr>
            <w:tcW w:w="1663" w:type="pct"/>
            <w:tcBorders>
              <w:top w:val="nil"/>
              <w:left w:val="nil"/>
              <w:bottom w:val="nil"/>
              <w:right w:val="nil"/>
            </w:tcBorders>
            <w:noWrap/>
            <w:vAlign w:val="bottom"/>
            <w:hideMark/>
          </w:tcPr>
          <w:p w14:paraId="2875B555"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79F1917E" w14:textId="77777777" w:rsidTr="0003239F">
        <w:trPr>
          <w:trHeight w:val="266"/>
        </w:trPr>
        <w:tc>
          <w:tcPr>
            <w:tcW w:w="2040" w:type="pct"/>
            <w:tcBorders>
              <w:top w:val="nil"/>
              <w:left w:val="nil"/>
              <w:bottom w:val="nil"/>
              <w:right w:val="nil"/>
            </w:tcBorders>
            <w:noWrap/>
            <w:vAlign w:val="bottom"/>
            <w:hideMark/>
          </w:tcPr>
          <w:p w14:paraId="721AE9AC"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Stat</w:t>
            </w:r>
          </w:p>
        </w:tc>
        <w:tc>
          <w:tcPr>
            <w:tcW w:w="1297" w:type="pct"/>
            <w:tcBorders>
              <w:top w:val="nil"/>
              <w:left w:val="nil"/>
              <w:bottom w:val="nil"/>
              <w:right w:val="nil"/>
            </w:tcBorders>
            <w:noWrap/>
            <w:vAlign w:val="bottom"/>
            <w:hideMark/>
          </w:tcPr>
          <w:p w14:paraId="0D836BFD"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-0.37796</w:t>
            </w:r>
          </w:p>
        </w:tc>
        <w:tc>
          <w:tcPr>
            <w:tcW w:w="1663" w:type="pct"/>
            <w:tcBorders>
              <w:top w:val="nil"/>
              <w:left w:val="nil"/>
              <w:bottom w:val="nil"/>
              <w:right w:val="nil"/>
            </w:tcBorders>
            <w:noWrap/>
            <w:vAlign w:val="bottom"/>
            <w:hideMark/>
          </w:tcPr>
          <w:p w14:paraId="05D2902C"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1A9739DA" w14:textId="77777777" w:rsidTr="0003239F">
        <w:trPr>
          <w:trHeight w:val="266"/>
        </w:trPr>
        <w:tc>
          <w:tcPr>
            <w:tcW w:w="2040" w:type="pct"/>
            <w:tcBorders>
              <w:top w:val="nil"/>
              <w:left w:val="nil"/>
              <w:bottom w:val="nil"/>
              <w:right w:val="nil"/>
            </w:tcBorders>
            <w:noWrap/>
            <w:vAlign w:val="bottom"/>
            <w:hideMark/>
          </w:tcPr>
          <w:p w14:paraId="436780BD"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one-tail</w:t>
            </w:r>
          </w:p>
        </w:tc>
        <w:tc>
          <w:tcPr>
            <w:tcW w:w="1297" w:type="pct"/>
            <w:tcBorders>
              <w:top w:val="nil"/>
              <w:left w:val="nil"/>
              <w:bottom w:val="nil"/>
              <w:right w:val="nil"/>
            </w:tcBorders>
            <w:noWrap/>
            <w:vAlign w:val="bottom"/>
            <w:hideMark/>
          </w:tcPr>
          <w:p w14:paraId="74C2B723"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0.355376</w:t>
            </w:r>
          </w:p>
        </w:tc>
        <w:tc>
          <w:tcPr>
            <w:tcW w:w="1663" w:type="pct"/>
            <w:tcBorders>
              <w:top w:val="nil"/>
              <w:left w:val="nil"/>
              <w:bottom w:val="nil"/>
              <w:right w:val="nil"/>
            </w:tcBorders>
            <w:noWrap/>
            <w:vAlign w:val="bottom"/>
            <w:hideMark/>
          </w:tcPr>
          <w:p w14:paraId="6CF8A9CE"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264CC6E2" w14:textId="77777777" w:rsidTr="0003239F">
        <w:trPr>
          <w:trHeight w:val="266"/>
        </w:trPr>
        <w:tc>
          <w:tcPr>
            <w:tcW w:w="2040" w:type="pct"/>
            <w:tcBorders>
              <w:top w:val="nil"/>
              <w:left w:val="nil"/>
              <w:bottom w:val="nil"/>
              <w:right w:val="nil"/>
            </w:tcBorders>
            <w:noWrap/>
            <w:vAlign w:val="bottom"/>
            <w:hideMark/>
          </w:tcPr>
          <w:p w14:paraId="369316F8"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one-tail</w:t>
            </w:r>
          </w:p>
        </w:tc>
        <w:tc>
          <w:tcPr>
            <w:tcW w:w="1297" w:type="pct"/>
            <w:tcBorders>
              <w:top w:val="nil"/>
              <w:left w:val="nil"/>
              <w:bottom w:val="nil"/>
              <w:right w:val="nil"/>
            </w:tcBorders>
            <w:noWrap/>
            <w:vAlign w:val="bottom"/>
            <w:hideMark/>
          </w:tcPr>
          <w:p w14:paraId="43E4F977"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1.75305</w:t>
            </w:r>
          </w:p>
        </w:tc>
        <w:tc>
          <w:tcPr>
            <w:tcW w:w="1663" w:type="pct"/>
            <w:tcBorders>
              <w:top w:val="nil"/>
              <w:left w:val="nil"/>
              <w:bottom w:val="nil"/>
              <w:right w:val="nil"/>
            </w:tcBorders>
            <w:noWrap/>
            <w:vAlign w:val="bottom"/>
            <w:hideMark/>
          </w:tcPr>
          <w:p w14:paraId="42432E1C"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7FC49721" w14:textId="77777777" w:rsidTr="0003239F">
        <w:trPr>
          <w:trHeight w:val="266"/>
        </w:trPr>
        <w:tc>
          <w:tcPr>
            <w:tcW w:w="2040" w:type="pct"/>
            <w:tcBorders>
              <w:top w:val="nil"/>
              <w:left w:val="nil"/>
              <w:bottom w:val="nil"/>
              <w:right w:val="nil"/>
            </w:tcBorders>
            <w:noWrap/>
            <w:vAlign w:val="bottom"/>
            <w:hideMark/>
          </w:tcPr>
          <w:p w14:paraId="6A76965A"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two-tail</w:t>
            </w:r>
          </w:p>
        </w:tc>
        <w:tc>
          <w:tcPr>
            <w:tcW w:w="1297" w:type="pct"/>
            <w:tcBorders>
              <w:top w:val="nil"/>
              <w:left w:val="nil"/>
              <w:bottom w:val="nil"/>
              <w:right w:val="nil"/>
            </w:tcBorders>
            <w:noWrap/>
            <w:vAlign w:val="bottom"/>
            <w:hideMark/>
          </w:tcPr>
          <w:p w14:paraId="6272FB1F"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0.710752</w:t>
            </w:r>
          </w:p>
        </w:tc>
        <w:tc>
          <w:tcPr>
            <w:tcW w:w="1663" w:type="pct"/>
            <w:tcBorders>
              <w:top w:val="nil"/>
              <w:left w:val="nil"/>
              <w:bottom w:val="nil"/>
              <w:right w:val="nil"/>
            </w:tcBorders>
            <w:noWrap/>
            <w:vAlign w:val="bottom"/>
            <w:hideMark/>
          </w:tcPr>
          <w:p w14:paraId="7018BAD6"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35EB1310" w14:textId="77777777" w:rsidTr="0003239F">
        <w:trPr>
          <w:trHeight w:val="275"/>
        </w:trPr>
        <w:tc>
          <w:tcPr>
            <w:tcW w:w="2040" w:type="pct"/>
            <w:tcBorders>
              <w:top w:val="nil"/>
              <w:left w:val="nil"/>
              <w:bottom w:val="single" w:sz="8" w:space="0" w:color="auto"/>
              <w:right w:val="nil"/>
            </w:tcBorders>
            <w:noWrap/>
            <w:vAlign w:val="bottom"/>
            <w:hideMark/>
          </w:tcPr>
          <w:p w14:paraId="33E6C2B4"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two-tail</w:t>
            </w:r>
          </w:p>
        </w:tc>
        <w:tc>
          <w:tcPr>
            <w:tcW w:w="1297" w:type="pct"/>
            <w:tcBorders>
              <w:top w:val="nil"/>
              <w:left w:val="nil"/>
              <w:bottom w:val="single" w:sz="8" w:space="0" w:color="auto"/>
              <w:right w:val="nil"/>
            </w:tcBorders>
            <w:noWrap/>
            <w:vAlign w:val="bottom"/>
            <w:hideMark/>
          </w:tcPr>
          <w:p w14:paraId="36C834A7"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2.13145</w:t>
            </w:r>
          </w:p>
        </w:tc>
        <w:tc>
          <w:tcPr>
            <w:tcW w:w="1663" w:type="pct"/>
            <w:tcBorders>
              <w:top w:val="nil"/>
              <w:left w:val="nil"/>
              <w:bottom w:val="single" w:sz="8" w:space="0" w:color="auto"/>
              <w:right w:val="nil"/>
            </w:tcBorders>
            <w:noWrap/>
            <w:vAlign w:val="bottom"/>
            <w:hideMark/>
          </w:tcPr>
          <w:p w14:paraId="3998CC86"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r>
    </w:tbl>
    <w:p w14:paraId="3E18A2ED" w14:textId="77777777" w:rsidR="007E6B6D" w:rsidRPr="00153A69" w:rsidRDefault="007E6B6D"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The pre-test mean assessment score of the experimental group (13.31) is marginally above that of the control group (13.06). -0.38 is the computed t-statistic value. A small t-statistic suggests that there is no much of a difference between the means of both groups. The findings show that both groups do not differ statistically </w:t>
      </w:r>
      <w:r w:rsidRPr="00153A69">
        <w:rPr>
          <w:rFonts w:ascii="Times New Roman" w:hAnsi="Times New Roman" w:cs="Times New Roman"/>
          <w:color w:val="000000"/>
          <w:sz w:val="24"/>
          <w:szCs w:val="24"/>
        </w:rPr>
        <w:lastRenderedPageBreak/>
        <w:t>significantly. A P value may indicate that the association between the two effects is statistically significant when there is little variation in the magnitude of the two effects. (Thiese, Ronna, &amp; Ott, 2016). The large p-values and the low mean difference imply that any change between the two groups could be the result of random variation. These results are expected due to the limited prior knowledge of the students before the lesson.</w:t>
      </w:r>
    </w:p>
    <w:p w14:paraId="522F353D" w14:textId="77777777" w:rsidR="007E6B6D" w:rsidRPr="00153A69" w:rsidRDefault="007E6B6D" w:rsidP="006B5370">
      <w:pPr>
        <w:jc w:val="both"/>
        <w:rPr>
          <w:rFonts w:ascii="Times New Roman" w:hAnsi="Times New Roman" w:cs="Times New Roman"/>
          <w:b/>
          <w:bCs/>
          <w:color w:val="000000"/>
          <w:sz w:val="24"/>
          <w:szCs w:val="24"/>
        </w:rPr>
      </w:pPr>
    </w:p>
    <w:p w14:paraId="4BAEF083" w14:textId="77777777" w:rsidR="0003239F" w:rsidRDefault="0003239F" w:rsidP="006B5370">
      <w:pPr>
        <w:jc w:val="both"/>
        <w:rPr>
          <w:rFonts w:ascii="Times New Roman" w:hAnsi="Times New Roman" w:cs="Times New Roman"/>
          <w:b/>
          <w:bCs/>
          <w:color w:val="000000"/>
          <w:sz w:val="24"/>
          <w:szCs w:val="24"/>
        </w:rPr>
        <w:sectPr w:rsidR="0003239F" w:rsidSect="001A38C1">
          <w:type w:val="continuous"/>
          <w:pgSz w:w="11906" w:h="16838" w:code="9"/>
          <w:pgMar w:top="1083" w:right="607" w:bottom="607" w:left="607" w:header="709" w:footer="709" w:gutter="0"/>
          <w:cols w:space="708"/>
          <w:docGrid w:linePitch="360"/>
        </w:sectPr>
      </w:pPr>
    </w:p>
    <w:p w14:paraId="3BF3F7BE" w14:textId="77777777" w:rsidR="0003239F" w:rsidRPr="00153A69" w:rsidRDefault="0003239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8. </w:t>
      </w:r>
    </w:p>
    <w:p w14:paraId="19740EEA" w14:textId="77777777" w:rsidR="0003239F" w:rsidRPr="00153A69" w:rsidRDefault="0003239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of the Post-test in Between Control Group and Experimental Group</w:t>
      </w:r>
    </w:p>
    <w:p w14:paraId="146CE726" w14:textId="77777777" w:rsidR="0003239F" w:rsidRPr="00153A69" w:rsidRDefault="0003239F" w:rsidP="006B5370">
      <w:pPr>
        <w:jc w:val="both"/>
        <w:rPr>
          <w:rFonts w:ascii="Times New Roman" w:hAnsi="Times New Roman" w:cs="Times New Roman"/>
          <w:b/>
          <w:bCs/>
          <w:color w:val="000000"/>
          <w:sz w:val="24"/>
          <w:szCs w:val="24"/>
        </w:rPr>
      </w:pPr>
    </w:p>
    <w:tbl>
      <w:tblPr>
        <w:tblW w:w="3447" w:type="pct"/>
        <w:tblLook w:val="04A0" w:firstRow="1" w:lastRow="0" w:firstColumn="1" w:lastColumn="0" w:noHBand="0" w:noVBand="1"/>
      </w:tblPr>
      <w:tblGrid>
        <w:gridCol w:w="2011"/>
        <w:gridCol w:w="1324"/>
        <w:gridCol w:w="1657"/>
      </w:tblGrid>
      <w:tr w:rsidR="0003239F" w:rsidRPr="00153A69" w14:paraId="26C8BF5F" w14:textId="77777777" w:rsidTr="0003239F">
        <w:trPr>
          <w:trHeight w:val="290"/>
        </w:trPr>
        <w:tc>
          <w:tcPr>
            <w:tcW w:w="2212" w:type="pct"/>
            <w:tcBorders>
              <w:top w:val="single" w:sz="8" w:space="0" w:color="auto"/>
              <w:left w:val="nil"/>
              <w:bottom w:val="single" w:sz="4" w:space="0" w:color="auto"/>
              <w:right w:val="nil"/>
            </w:tcBorders>
            <w:noWrap/>
            <w:vAlign w:val="bottom"/>
            <w:hideMark/>
          </w:tcPr>
          <w:p w14:paraId="30EC62DD"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c>
          <w:tcPr>
            <w:tcW w:w="1880" w:type="pct"/>
            <w:tcBorders>
              <w:top w:val="single" w:sz="8" w:space="0" w:color="auto"/>
              <w:left w:val="nil"/>
              <w:bottom w:val="single" w:sz="4" w:space="0" w:color="auto"/>
              <w:right w:val="nil"/>
            </w:tcBorders>
            <w:noWrap/>
            <w:vAlign w:val="bottom"/>
            <w:hideMark/>
          </w:tcPr>
          <w:p w14:paraId="77998BC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Post – Test Control</w:t>
            </w:r>
          </w:p>
        </w:tc>
        <w:tc>
          <w:tcPr>
            <w:tcW w:w="908" w:type="pct"/>
            <w:tcBorders>
              <w:top w:val="single" w:sz="8" w:space="0" w:color="auto"/>
              <w:left w:val="nil"/>
              <w:bottom w:val="single" w:sz="4" w:space="0" w:color="auto"/>
              <w:right w:val="nil"/>
            </w:tcBorders>
            <w:noWrap/>
            <w:vAlign w:val="bottom"/>
            <w:hideMark/>
          </w:tcPr>
          <w:p w14:paraId="5893524A"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Post – Test Experimental</w:t>
            </w:r>
          </w:p>
        </w:tc>
      </w:tr>
      <w:tr w:rsidR="0003239F" w:rsidRPr="00153A69" w14:paraId="33EC377C" w14:textId="77777777" w:rsidTr="0003239F">
        <w:trPr>
          <w:trHeight w:val="290"/>
        </w:trPr>
        <w:tc>
          <w:tcPr>
            <w:tcW w:w="2212" w:type="pct"/>
            <w:tcBorders>
              <w:top w:val="nil"/>
              <w:left w:val="nil"/>
              <w:bottom w:val="nil"/>
              <w:right w:val="nil"/>
            </w:tcBorders>
            <w:noWrap/>
            <w:vAlign w:val="bottom"/>
            <w:hideMark/>
          </w:tcPr>
          <w:p w14:paraId="7E6254DB"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Mean</w:t>
            </w:r>
          </w:p>
        </w:tc>
        <w:tc>
          <w:tcPr>
            <w:tcW w:w="1880" w:type="pct"/>
            <w:tcBorders>
              <w:top w:val="nil"/>
              <w:left w:val="nil"/>
              <w:bottom w:val="nil"/>
              <w:right w:val="nil"/>
            </w:tcBorders>
            <w:noWrap/>
            <w:vAlign w:val="bottom"/>
            <w:hideMark/>
          </w:tcPr>
          <w:p w14:paraId="1D5E625A"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19.6875</w:t>
            </w:r>
          </w:p>
        </w:tc>
        <w:tc>
          <w:tcPr>
            <w:tcW w:w="908" w:type="pct"/>
            <w:tcBorders>
              <w:top w:val="nil"/>
              <w:left w:val="nil"/>
              <w:bottom w:val="nil"/>
              <w:right w:val="nil"/>
            </w:tcBorders>
            <w:noWrap/>
            <w:vAlign w:val="bottom"/>
            <w:hideMark/>
          </w:tcPr>
          <w:p w14:paraId="48EFD5DC"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21.0625</w:t>
            </w:r>
          </w:p>
        </w:tc>
      </w:tr>
      <w:tr w:rsidR="0003239F" w:rsidRPr="00153A69" w14:paraId="300B3525" w14:textId="77777777" w:rsidTr="0003239F">
        <w:trPr>
          <w:trHeight w:val="290"/>
        </w:trPr>
        <w:tc>
          <w:tcPr>
            <w:tcW w:w="2212" w:type="pct"/>
            <w:tcBorders>
              <w:top w:val="nil"/>
              <w:left w:val="nil"/>
              <w:bottom w:val="nil"/>
              <w:right w:val="nil"/>
            </w:tcBorders>
            <w:noWrap/>
            <w:vAlign w:val="bottom"/>
            <w:hideMark/>
          </w:tcPr>
          <w:p w14:paraId="08194C5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Variance</w:t>
            </w:r>
          </w:p>
        </w:tc>
        <w:tc>
          <w:tcPr>
            <w:tcW w:w="1880" w:type="pct"/>
            <w:tcBorders>
              <w:top w:val="nil"/>
              <w:left w:val="nil"/>
              <w:bottom w:val="nil"/>
              <w:right w:val="nil"/>
            </w:tcBorders>
            <w:noWrap/>
            <w:vAlign w:val="bottom"/>
            <w:hideMark/>
          </w:tcPr>
          <w:p w14:paraId="4D936E1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13.69583</w:t>
            </w:r>
          </w:p>
        </w:tc>
        <w:tc>
          <w:tcPr>
            <w:tcW w:w="908" w:type="pct"/>
            <w:tcBorders>
              <w:top w:val="nil"/>
              <w:left w:val="nil"/>
              <w:bottom w:val="nil"/>
              <w:right w:val="nil"/>
            </w:tcBorders>
            <w:noWrap/>
            <w:vAlign w:val="bottom"/>
            <w:hideMark/>
          </w:tcPr>
          <w:p w14:paraId="2BF34E2F"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8.729167</w:t>
            </w:r>
          </w:p>
        </w:tc>
      </w:tr>
      <w:tr w:rsidR="0003239F" w:rsidRPr="00153A69" w14:paraId="2212C654" w14:textId="77777777" w:rsidTr="0003239F">
        <w:trPr>
          <w:trHeight w:val="290"/>
        </w:trPr>
        <w:tc>
          <w:tcPr>
            <w:tcW w:w="2212" w:type="pct"/>
            <w:tcBorders>
              <w:top w:val="nil"/>
              <w:left w:val="nil"/>
              <w:bottom w:val="nil"/>
              <w:right w:val="nil"/>
            </w:tcBorders>
            <w:noWrap/>
            <w:vAlign w:val="bottom"/>
            <w:hideMark/>
          </w:tcPr>
          <w:p w14:paraId="39029EA3"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Observations</w:t>
            </w:r>
          </w:p>
        </w:tc>
        <w:tc>
          <w:tcPr>
            <w:tcW w:w="1880" w:type="pct"/>
            <w:tcBorders>
              <w:top w:val="nil"/>
              <w:left w:val="nil"/>
              <w:bottom w:val="nil"/>
              <w:right w:val="nil"/>
            </w:tcBorders>
            <w:noWrap/>
            <w:vAlign w:val="bottom"/>
            <w:hideMark/>
          </w:tcPr>
          <w:p w14:paraId="348CB70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c>
          <w:tcPr>
            <w:tcW w:w="908" w:type="pct"/>
            <w:tcBorders>
              <w:top w:val="nil"/>
              <w:left w:val="nil"/>
              <w:bottom w:val="nil"/>
              <w:right w:val="nil"/>
            </w:tcBorders>
            <w:noWrap/>
            <w:vAlign w:val="bottom"/>
            <w:hideMark/>
          </w:tcPr>
          <w:p w14:paraId="1556128F"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r>
      <w:tr w:rsidR="0003239F" w:rsidRPr="00153A69" w14:paraId="1C392328" w14:textId="77777777" w:rsidTr="0003239F">
        <w:trPr>
          <w:trHeight w:val="290"/>
        </w:trPr>
        <w:tc>
          <w:tcPr>
            <w:tcW w:w="2212" w:type="pct"/>
            <w:tcBorders>
              <w:top w:val="nil"/>
              <w:left w:val="nil"/>
              <w:bottom w:val="nil"/>
              <w:right w:val="nil"/>
            </w:tcBorders>
            <w:noWrap/>
            <w:vAlign w:val="bottom"/>
            <w:hideMark/>
          </w:tcPr>
          <w:p w14:paraId="454F37D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Pearson Correlation</w:t>
            </w:r>
          </w:p>
        </w:tc>
        <w:tc>
          <w:tcPr>
            <w:tcW w:w="1880" w:type="pct"/>
            <w:tcBorders>
              <w:top w:val="nil"/>
              <w:left w:val="nil"/>
              <w:bottom w:val="nil"/>
              <w:right w:val="nil"/>
            </w:tcBorders>
            <w:noWrap/>
            <w:vAlign w:val="bottom"/>
            <w:hideMark/>
          </w:tcPr>
          <w:p w14:paraId="0B1E1D35" w14:textId="77777777" w:rsidR="0003239F" w:rsidRPr="00153A69" w:rsidRDefault="0003239F" w:rsidP="006B5370">
            <w:pPr>
              <w:ind w:hanging="71"/>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0.959161</w:t>
            </w:r>
          </w:p>
        </w:tc>
        <w:tc>
          <w:tcPr>
            <w:tcW w:w="908" w:type="pct"/>
            <w:tcBorders>
              <w:top w:val="nil"/>
              <w:left w:val="nil"/>
              <w:bottom w:val="nil"/>
              <w:right w:val="nil"/>
            </w:tcBorders>
            <w:noWrap/>
            <w:vAlign w:val="bottom"/>
            <w:hideMark/>
          </w:tcPr>
          <w:p w14:paraId="1D533586"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1297CD66" w14:textId="77777777" w:rsidTr="0003239F">
        <w:trPr>
          <w:trHeight w:val="290"/>
        </w:trPr>
        <w:tc>
          <w:tcPr>
            <w:tcW w:w="2212" w:type="pct"/>
            <w:tcBorders>
              <w:top w:val="nil"/>
              <w:left w:val="nil"/>
              <w:bottom w:val="nil"/>
              <w:right w:val="nil"/>
            </w:tcBorders>
            <w:noWrap/>
            <w:vAlign w:val="bottom"/>
            <w:hideMark/>
          </w:tcPr>
          <w:p w14:paraId="57068853"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Hypothesized Mean Difference</w:t>
            </w:r>
          </w:p>
        </w:tc>
        <w:tc>
          <w:tcPr>
            <w:tcW w:w="1880" w:type="pct"/>
            <w:tcBorders>
              <w:top w:val="nil"/>
              <w:left w:val="nil"/>
              <w:bottom w:val="nil"/>
              <w:right w:val="nil"/>
            </w:tcBorders>
            <w:noWrap/>
            <w:vAlign w:val="bottom"/>
            <w:hideMark/>
          </w:tcPr>
          <w:p w14:paraId="30A8CD5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w:t>
            </w:r>
          </w:p>
        </w:tc>
        <w:tc>
          <w:tcPr>
            <w:tcW w:w="908" w:type="pct"/>
            <w:tcBorders>
              <w:top w:val="nil"/>
              <w:left w:val="nil"/>
              <w:bottom w:val="nil"/>
              <w:right w:val="nil"/>
            </w:tcBorders>
            <w:noWrap/>
            <w:vAlign w:val="bottom"/>
            <w:hideMark/>
          </w:tcPr>
          <w:p w14:paraId="56DA5FBE"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5A76C26D" w14:textId="77777777" w:rsidTr="0003239F">
        <w:trPr>
          <w:trHeight w:val="290"/>
        </w:trPr>
        <w:tc>
          <w:tcPr>
            <w:tcW w:w="2212" w:type="pct"/>
            <w:tcBorders>
              <w:top w:val="nil"/>
              <w:left w:val="nil"/>
              <w:bottom w:val="nil"/>
              <w:right w:val="nil"/>
            </w:tcBorders>
            <w:noWrap/>
            <w:vAlign w:val="bottom"/>
            <w:hideMark/>
          </w:tcPr>
          <w:p w14:paraId="64AF7F92"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df</w:t>
            </w:r>
          </w:p>
        </w:tc>
        <w:tc>
          <w:tcPr>
            <w:tcW w:w="1880" w:type="pct"/>
            <w:tcBorders>
              <w:top w:val="nil"/>
              <w:left w:val="nil"/>
              <w:bottom w:val="nil"/>
              <w:right w:val="nil"/>
            </w:tcBorders>
            <w:noWrap/>
            <w:vAlign w:val="bottom"/>
            <w:hideMark/>
          </w:tcPr>
          <w:p w14:paraId="3BBDE2C0"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15</w:t>
            </w:r>
          </w:p>
        </w:tc>
        <w:tc>
          <w:tcPr>
            <w:tcW w:w="908" w:type="pct"/>
            <w:tcBorders>
              <w:top w:val="nil"/>
              <w:left w:val="nil"/>
              <w:bottom w:val="nil"/>
              <w:right w:val="nil"/>
            </w:tcBorders>
            <w:noWrap/>
            <w:vAlign w:val="bottom"/>
            <w:hideMark/>
          </w:tcPr>
          <w:p w14:paraId="7EB0AA00"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1E66EDAA" w14:textId="77777777" w:rsidTr="0003239F">
        <w:trPr>
          <w:trHeight w:val="290"/>
        </w:trPr>
        <w:tc>
          <w:tcPr>
            <w:tcW w:w="2212" w:type="pct"/>
            <w:tcBorders>
              <w:top w:val="nil"/>
              <w:left w:val="nil"/>
              <w:bottom w:val="nil"/>
              <w:right w:val="nil"/>
            </w:tcBorders>
            <w:noWrap/>
            <w:vAlign w:val="bottom"/>
            <w:hideMark/>
          </w:tcPr>
          <w:p w14:paraId="190DB654"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Stat</w:t>
            </w:r>
          </w:p>
        </w:tc>
        <w:tc>
          <w:tcPr>
            <w:tcW w:w="1880" w:type="pct"/>
            <w:tcBorders>
              <w:top w:val="nil"/>
              <w:left w:val="nil"/>
              <w:bottom w:val="nil"/>
              <w:right w:val="nil"/>
            </w:tcBorders>
            <w:noWrap/>
            <w:vAlign w:val="bottom"/>
            <w:hideMark/>
          </w:tcPr>
          <w:p w14:paraId="3E18691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-4.5675</w:t>
            </w:r>
          </w:p>
        </w:tc>
        <w:tc>
          <w:tcPr>
            <w:tcW w:w="908" w:type="pct"/>
            <w:tcBorders>
              <w:top w:val="nil"/>
              <w:left w:val="nil"/>
              <w:bottom w:val="nil"/>
              <w:right w:val="nil"/>
            </w:tcBorders>
            <w:noWrap/>
            <w:vAlign w:val="bottom"/>
            <w:hideMark/>
          </w:tcPr>
          <w:p w14:paraId="49856B01"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35E6921C" w14:textId="77777777" w:rsidTr="0003239F">
        <w:trPr>
          <w:trHeight w:val="290"/>
        </w:trPr>
        <w:tc>
          <w:tcPr>
            <w:tcW w:w="2212" w:type="pct"/>
            <w:tcBorders>
              <w:top w:val="nil"/>
              <w:left w:val="nil"/>
              <w:bottom w:val="nil"/>
              <w:right w:val="nil"/>
            </w:tcBorders>
            <w:noWrap/>
            <w:vAlign w:val="bottom"/>
            <w:hideMark/>
          </w:tcPr>
          <w:p w14:paraId="6DB8669A"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one-tail</w:t>
            </w:r>
          </w:p>
        </w:tc>
        <w:tc>
          <w:tcPr>
            <w:tcW w:w="1880" w:type="pct"/>
            <w:tcBorders>
              <w:top w:val="nil"/>
              <w:left w:val="nil"/>
              <w:bottom w:val="nil"/>
              <w:right w:val="nil"/>
            </w:tcBorders>
            <w:noWrap/>
            <w:vAlign w:val="bottom"/>
            <w:hideMark/>
          </w:tcPr>
          <w:p w14:paraId="56450599"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0.000185</w:t>
            </w:r>
          </w:p>
        </w:tc>
        <w:tc>
          <w:tcPr>
            <w:tcW w:w="908" w:type="pct"/>
            <w:tcBorders>
              <w:top w:val="nil"/>
              <w:left w:val="nil"/>
              <w:bottom w:val="nil"/>
              <w:right w:val="nil"/>
            </w:tcBorders>
            <w:noWrap/>
            <w:vAlign w:val="bottom"/>
            <w:hideMark/>
          </w:tcPr>
          <w:p w14:paraId="30F4AEE7"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2CFAC8FF" w14:textId="77777777" w:rsidTr="0003239F">
        <w:trPr>
          <w:trHeight w:val="290"/>
        </w:trPr>
        <w:tc>
          <w:tcPr>
            <w:tcW w:w="2212" w:type="pct"/>
            <w:tcBorders>
              <w:top w:val="nil"/>
              <w:left w:val="nil"/>
              <w:bottom w:val="nil"/>
              <w:right w:val="nil"/>
            </w:tcBorders>
            <w:noWrap/>
            <w:vAlign w:val="bottom"/>
            <w:hideMark/>
          </w:tcPr>
          <w:p w14:paraId="69800CD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one-tail</w:t>
            </w:r>
          </w:p>
        </w:tc>
        <w:tc>
          <w:tcPr>
            <w:tcW w:w="1880" w:type="pct"/>
            <w:tcBorders>
              <w:top w:val="nil"/>
              <w:left w:val="nil"/>
              <w:bottom w:val="nil"/>
              <w:right w:val="nil"/>
            </w:tcBorders>
            <w:noWrap/>
            <w:vAlign w:val="bottom"/>
            <w:hideMark/>
          </w:tcPr>
          <w:p w14:paraId="707A9289"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1.75305</w:t>
            </w:r>
          </w:p>
        </w:tc>
        <w:tc>
          <w:tcPr>
            <w:tcW w:w="908" w:type="pct"/>
            <w:tcBorders>
              <w:top w:val="nil"/>
              <w:left w:val="nil"/>
              <w:bottom w:val="nil"/>
              <w:right w:val="nil"/>
            </w:tcBorders>
            <w:noWrap/>
            <w:vAlign w:val="bottom"/>
            <w:hideMark/>
          </w:tcPr>
          <w:p w14:paraId="29549592"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45E55767" w14:textId="77777777" w:rsidTr="0003239F">
        <w:trPr>
          <w:trHeight w:val="290"/>
        </w:trPr>
        <w:tc>
          <w:tcPr>
            <w:tcW w:w="2212" w:type="pct"/>
            <w:tcBorders>
              <w:top w:val="nil"/>
              <w:left w:val="nil"/>
              <w:bottom w:val="nil"/>
              <w:right w:val="nil"/>
            </w:tcBorders>
            <w:noWrap/>
            <w:vAlign w:val="bottom"/>
            <w:hideMark/>
          </w:tcPr>
          <w:p w14:paraId="2BFDB900"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two-tail</w:t>
            </w:r>
          </w:p>
        </w:tc>
        <w:tc>
          <w:tcPr>
            <w:tcW w:w="1880" w:type="pct"/>
            <w:tcBorders>
              <w:top w:val="nil"/>
              <w:left w:val="nil"/>
              <w:bottom w:val="nil"/>
              <w:right w:val="nil"/>
            </w:tcBorders>
            <w:noWrap/>
            <w:vAlign w:val="bottom"/>
            <w:hideMark/>
          </w:tcPr>
          <w:p w14:paraId="3FAF1116"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0.00037</w:t>
            </w:r>
          </w:p>
        </w:tc>
        <w:tc>
          <w:tcPr>
            <w:tcW w:w="908" w:type="pct"/>
            <w:tcBorders>
              <w:top w:val="nil"/>
              <w:left w:val="nil"/>
              <w:bottom w:val="nil"/>
              <w:right w:val="nil"/>
            </w:tcBorders>
            <w:noWrap/>
            <w:vAlign w:val="bottom"/>
            <w:hideMark/>
          </w:tcPr>
          <w:p w14:paraId="3A2F5BE6"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161BAFE1" w14:textId="77777777" w:rsidTr="0003239F">
        <w:trPr>
          <w:trHeight w:val="300"/>
        </w:trPr>
        <w:tc>
          <w:tcPr>
            <w:tcW w:w="2212" w:type="pct"/>
            <w:tcBorders>
              <w:top w:val="nil"/>
              <w:left w:val="nil"/>
              <w:bottom w:val="single" w:sz="8" w:space="0" w:color="auto"/>
              <w:right w:val="nil"/>
            </w:tcBorders>
            <w:noWrap/>
            <w:vAlign w:val="bottom"/>
            <w:hideMark/>
          </w:tcPr>
          <w:p w14:paraId="0A56E3E3"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two-tail</w:t>
            </w:r>
          </w:p>
        </w:tc>
        <w:tc>
          <w:tcPr>
            <w:tcW w:w="1880" w:type="pct"/>
            <w:tcBorders>
              <w:top w:val="nil"/>
              <w:left w:val="nil"/>
              <w:bottom w:val="single" w:sz="8" w:space="0" w:color="auto"/>
              <w:right w:val="nil"/>
            </w:tcBorders>
            <w:noWrap/>
            <w:vAlign w:val="bottom"/>
            <w:hideMark/>
          </w:tcPr>
          <w:p w14:paraId="42712A4C"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2.13145</w:t>
            </w:r>
          </w:p>
        </w:tc>
        <w:tc>
          <w:tcPr>
            <w:tcW w:w="908" w:type="pct"/>
            <w:tcBorders>
              <w:top w:val="nil"/>
              <w:left w:val="nil"/>
              <w:bottom w:val="single" w:sz="8" w:space="0" w:color="auto"/>
              <w:right w:val="nil"/>
            </w:tcBorders>
            <w:noWrap/>
            <w:vAlign w:val="bottom"/>
            <w:hideMark/>
          </w:tcPr>
          <w:p w14:paraId="0A706D3F"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r>
    </w:tbl>
    <w:p w14:paraId="3F3701BC" w14:textId="77777777" w:rsidR="0003239F" w:rsidRPr="00153A69" w:rsidRDefault="0003239F" w:rsidP="006B5370">
      <w:pPr>
        <w:jc w:val="both"/>
        <w:rPr>
          <w:rFonts w:ascii="Times New Roman" w:hAnsi="Times New Roman" w:cs="Times New Roman"/>
          <w:color w:val="000000"/>
          <w:sz w:val="24"/>
          <w:szCs w:val="24"/>
        </w:rPr>
      </w:pPr>
    </w:p>
    <w:p w14:paraId="3C4A6F93" w14:textId="77777777" w:rsidR="0003239F" w:rsidRPr="00153A69" w:rsidRDefault="0003239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 experimental group's post-test mean assessment score (21.06) is greater than the control group's mean assessment score (19.68). -4.57 is the computed t-statistic value. Both show that the means of the two groups differ from one another. Additionally, the t-statistic's negative value implies that one is less than the other. The results are statistically significant and not the result of chance, according to the low p-value (Thiese, Ronna, &amp; Ott, 2016). As a result, there is a considerable difference between the two groups’ results in their post-test, with the control group's being lower than the experimental group's. This disproves the null hypothesis of having no significant difference in the results of the posttest between the two groups.</w:t>
      </w:r>
    </w:p>
    <w:p w14:paraId="114DAAD5" w14:textId="77777777" w:rsidR="0003239F" w:rsidRDefault="0003239F" w:rsidP="006B5370">
      <w:pPr>
        <w:jc w:val="both"/>
        <w:rPr>
          <w:rFonts w:ascii="Times New Roman" w:hAnsi="Times New Roman" w:cs="Times New Roman"/>
          <w:b/>
          <w:bCs/>
          <w:color w:val="000000"/>
          <w:sz w:val="24"/>
          <w:szCs w:val="24"/>
        </w:rPr>
        <w:sectPr w:rsidR="0003239F" w:rsidSect="0003239F">
          <w:type w:val="continuous"/>
          <w:pgSz w:w="11906" w:h="16838" w:code="9"/>
          <w:pgMar w:top="1083" w:right="607" w:bottom="607" w:left="607" w:header="709" w:footer="709" w:gutter="0"/>
          <w:cols w:num="2" w:space="708"/>
          <w:docGrid w:linePitch="360"/>
        </w:sectPr>
      </w:pPr>
    </w:p>
    <w:p w14:paraId="0EA731EC" w14:textId="77777777" w:rsidR="0003239F" w:rsidRPr="00153A69" w:rsidRDefault="0003239F" w:rsidP="006B5370">
      <w:pPr>
        <w:jc w:val="both"/>
        <w:rPr>
          <w:rFonts w:ascii="Times New Roman" w:hAnsi="Times New Roman" w:cs="Times New Roman"/>
          <w:b/>
          <w:bCs/>
          <w:color w:val="000000"/>
          <w:sz w:val="24"/>
          <w:szCs w:val="24"/>
        </w:rPr>
      </w:pPr>
    </w:p>
    <w:p w14:paraId="4D057240" w14:textId="77777777" w:rsidR="0096665A" w:rsidRDefault="0096665A" w:rsidP="006B5370">
      <w:pPr>
        <w:jc w:val="both"/>
        <w:rPr>
          <w:rFonts w:ascii="Times New Roman" w:hAnsi="Times New Roman" w:cs="Times New Roman"/>
          <w:b/>
          <w:bCs/>
          <w:color w:val="000000"/>
          <w:sz w:val="24"/>
          <w:szCs w:val="24"/>
        </w:rPr>
        <w:sectPr w:rsidR="0096665A" w:rsidSect="001A38C1">
          <w:type w:val="continuous"/>
          <w:pgSz w:w="11906" w:h="16838" w:code="9"/>
          <w:pgMar w:top="1083" w:right="607" w:bottom="607" w:left="607" w:header="709" w:footer="709" w:gutter="0"/>
          <w:cols w:space="708"/>
          <w:docGrid w:linePitch="360"/>
        </w:sectPr>
      </w:pPr>
    </w:p>
    <w:p w14:paraId="3F32E434" w14:textId="77777777" w:rsidR="0003239F" w:rsidRPr="00153A69" w:rsidRDefault="0003239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9. </w:t>
      </w:r>
    </w:p>
    <w:p w14:paraId="1E6984F2" w14:textId="77777777" w:rsidR="0003239F" w:rsidRPr="00153A69" w:rsidRDefault="0003239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in Between Pre – test and Post – test of Control Group</w:t>
      </w:r>
    </w:p>
    <w:p w14:paraId="511DFA86" w14:textId="77777777" w:rsidR="0003239F" w:rsidRPr="00153A69" w:rsidRDefault="0003239F" w:rsidP="006B5370">
      <w:pPr>
        <w:jc w:val="both"/>
        <w:rPr>
          <w:rFonts w:ascii="Times New Roman" w:hAnsi="Times New Roman" w:cs="Times New Roman"/>
          <w:b/>
          <w:bCs/>
          <w:color w:val="000000"/>
          <w:sz w:val="24"/>
          <w:szCs w:val="24"/>
        </w:rPr>
      </w:pPr>
    </w:p>
    <w:tbl>
      <w:tblPr>
        <w:tblW w:w="3644" w:type="pct"/>
        <w:tblLook w:val="04A0" w:firstRow="1" w:lastRow="0" w:firstColumn="1" w:lastColumn="0" w:noHBand="0" w:noVBand="1"/>
      </w:tblPr>
      <w:tblGrid>
        <w:gridCol w:w="2826"/>
        <w:gridCol w:w="1025"/>
        <w:gridCol w:w="1141"/>
      </w:tblGrid>
      <w:tr w:rsidR="0003239F" w:rsidRPr="00153A69" w14:paraId="1CE0A7E1" w14:textId="77777777" w:rsidTr="0003239F">
        <w:trPr>
          <w:trHeight w:val="290"/>
        </w:trPr>
        <w:tc>
          <w:tcPr>
            <w:tcW w:w="2092" w:type="pct"/>
            <w:tcBorders>
              <w:top w:val="single" w:sz="8" w:space="0" w:color="auto"/>
              <w:left w:val="nil"/>
              <w:bottom w:val="single" w:sz="4" w:space="0" w:color="auto"/>
              <w:right w:val="nil"/>
            </w:tcBorders>
            <w:noWrap/>
            <w:vAlign w:val="bottom"/>
            <w:hideMark/>
          </w:tcPr>
          <w:p w14:paraId="0620D2E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c>
          <w:tcPr>
            <w:tcW w:w="1395" w:type="pct"/>
            <w:tcBorders>
              <w:top w:val="single" w:sz="8" w:space="0" w:color="auto"/>
              <w:left w:val="nil"/>
              <w:bottom w:val="single" w:sz="4" w:space="0" w:color="auto"/>
              <w:right w:val="nil"/>
            </w:tcBorders>
            <w:noWrap/>
            <w:vAlign w:val="bottom"/>
            <w:hideMark/>
          </w:tcPr>
          <w:p w14:paraId="3446C04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Pre - Test</w:t>
            </w:r>
          </w:p>
        </w:tc>
        <w:tc>
          <w:tcPr>
            <w:tcW w:w="1512" w:type="pct"/>
            <w:tcBorders>
              <w:top w:val="single" w:sz="8" w:space="0" w:color="auto"/>
              <w:left w:val="nil"/>
              <w:bottom w:val="single" w:sz="4" w:space="0" w:color="auto"/>
              <w:right w:val="nil"/>
            </w:tcBorders>
            <w:noWrap/>
            <w:vAlign w:val="bottom"/>
            <w:hideMark/>
          </w:tcPr>
          <w:p w14:paraId="194C3D84"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Post – Test</w:t>
            </w:r>
          </w:p>
        </w:tc>
      </w:tr>
      <w:tr w:rsidR="0003239F" w:rsidRPr="00153A69" w14:paraId="5B8C6159" w14:textId="77777777" w:rsidTr="0003239F">
        <w:trPr>
          <w:trHeight w:val="290"/>
        </w:trPr>
        <w:tc>
          <w:tcPr>
            <w:tcW w:w="2092" w:type="pct"/>
            <w:tcBorders>
              <w:top w:val="nil"/>
              <w:left w:val="nil"/>
              <w:bottom w:val="nil"/>
              <w:right w:val="nil"/>
            </w:tcBorders>
            <w:noWrap/>
            <w:vAlign w:val="bottom"/>
            <w:hideMark/>
          </w:tcPr>
          <w:p w14:paraId="71951BA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Mean</w:t>
            </w:r>
          </w:p>
        </w:tc>
        <w:tc>
          <w:tcPr>
            <w:tcW w:w="1395" w:type="pct"/>
            <w:tcBorders>
              <w:top w:val="nil"/>
              <w:left w:val="nil"/>
              <w:bottom w:val="nil"/>
              <w:right w:val="nil"/>
            </w:tcBorders>
            <w:noWrap/>
            <w:vAlign w:val="bottom"/>
            <w:hideMark/>
          </w:tcPr>
          <w:p w14:paraId="0053E43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13.0625</w:t>
            </w:r>
          </w:p>
        </w:tc>
        <w:tc>
          <w:tcPr>
            <w:tcW w:w="1512" w:type="pct"/>
            <w:tcBorders>
              <w:top w:val="nil"/>
              <w:left w:val="nil"/>
              <w:bottom w:val="nil"/>
              <w:right w:val="nil"/>
            </w:tcBorders>
            <w:noWrap/>
            <w:vAlign w:val="bottom"/>
            <w:hideMark/>
          </w:tcPr>
          <w:p w14:paraId="2D66CB2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19.6875</w:t>
            </w:r>
          </w:p>
        </w:tc>
      </w:tr>
      <w:tr w:rsidR="0003239F" w:rsidRPr="00153A69" w14:paraId="40A0B224" w14:textId="77777777" w:rsidTr="0003239F">
        <w:trPr>
          <w:trHeight w:val="290"/>
        </w:trPr>
        <w:tc>
          <w:tcPr>
            <w:tcW w:w="2092" w:type="pct"/>
            <w:tcBorders>
              <w:top w:val="nil"/>
              <w:left w:val="nil"/>
              <w:bottom w:val="nil"/>
              <w:right w:val="nil"/>
            </w:tcBorders>
            <w:noWrap/>
            <w:vAlign w:val="bottom"/>
            <w:hideMark/>
          </w:tcPr>
          <w:p w14:paraId="337F74D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Variance</w:t>
            </w:r>
          </w:p>
        </w:tc>
        <w:tc>
          <w:tcPr>
            <w:tcW w:w="1395" w:type="pct"/>
            <w:tcBorders>
              <w:top w:val="nil"/>
              <w:left w:val="nil"/>
              <w:bottom w:val="nil"/>
              <w:right w:val="nil"/>
            </w:tcBorders>
            <w:noWrap/>
            <w:vAlign w:val="bottom"/>
            <w:hideMark/>
          </w:tcPr>
          <w:p w14:paraId="3BB1357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22.99583</w:t>
            </w:r>
          </w:p>
        </w:tc>
        <w:tc>
          <w:tcPr>
            <w:tcW w:w="1512" w:type="pct"/>
            <w:tcBorders>
              <w:top w:val="nil"/>
              <w:left w:val="nil"/>
              <w:bottom w:val="nil"/>
              <w:right w:val="nil"/>
            </w:tcBorders>
            <w:noWrap/>
            <w:vAlign w:val="bottom"/>
            <w:hideMark/>
          </w:tcPr>
          <w:p w14:paraId="185CF14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13.69583</w:t>
            </w:r>
          </w:p>
        </w:tc>
      </w:tr>
      <w:tr w:rsidR="0003239F" w:rsidRPr="00153A69" w14:paraId="70539C2B" w14:textId="77777777" w:rsidTr="0003239F">
        <w:trPr>
          <w:trHeight w:val="290"/>
        </w:trPr>
        <w:tc>
          <w:tcPr>
            <w:tcW w:w="2092" w:type="pct"/>
            <w:tcBorders>
              <w:top w:val="nil"/>
              <w:left w:val="nil"/>
              <w:bottom w:val="nil"/>
              <w:right w:val="nil"/>
            </w:tcBorders>
            <w:noWrap/>
            <w:vAlign w:val="bottom"/>
            <w:hideMark/>
          </w:tcPr>
          <w:p w14:paraId="6FDEF34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Observations</w:t>
            </w:r>
          </w:p>
        </w:tc>
        <w:tc>
          <w:tcPr>
            <w:tcW w:w="1395" w:type="pct"/>
            <w:tcBorders>
              <w:top w:val="nil"/>
              <w:left w:val="nil"/>
              <w:bottom w:val="nil"/>
              <w:right w:val="nil"/>
            </w:tcBorders>
            <w:noWrap/>
            <w:vAlign w:val="bottom"/>
            <w:hideMark/>
          </w:tcPr>
          <w:p w14:paraId="5726FF32"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c>
          <w:tcPr>
            <w:tcW w:w="1512" w:type="pct"/>
            <w:tcBorders>
              <w:top w:val="nil"/>
              <w:left w:val="nil"/>
              <w:bottom w:val="nil"/>
              <w:right w:val="nil"/>
            </w:tcBorders>
            <w:noWrap/>
            <w:vAlign w:val="bottom"/>
            <w:hideMark/>
          </w:tcPr>
          <w:p w14:paraId="0E19014D"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r>
      <w:tr w:rsidR="0003239F" w:rsidRPr="00153A69" w14:paraId="4E536EF6" w14:textId="77777777" w:rsidTr="0003239F">
        <w:trPr>
          <w:trHeight w:val="290"/>
        </w:trPr>
        <w:tc>
          <w:tcPr>
            <w:tcW w:w="2092" w:type="pct"/>
            <w:tcBorders>
              <w:top w:val="nil"/>
              <w:left w:val="nil"/>
              <w:bottom w:val="nil"/>
              <w:right w:val="nil"/>
            </w:tcBorders>
            <w:noWrap/>
            <w:vAlign w:val="bottom"/>
            <w:hideMark/>
          </w:tcPr>
          <w:p w14:paraId="529B1C79"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Pearson Correlation</w:t>
            </w:r>
          </w:p>
        </w:tc>
        <w:tc>
          <w:tcPr>
            <w:tcW w:w="1395" w:type="pct"/>
            <w:tcBorders>
              <w:top w:val="nil"/>
              <w:left w:val="nil"/>
              <w:bottom w:val="nil"/>
              <w:right w:val="nil"/>
            </w:tcBorders>
            <w:noWrap/>
            <w:vAlign w:val="bottom"/>
            <w:hideMark/>
          </w:tcPr>
          <w:p w14:paraId="23A03BBB"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0.974122</w:t>
            </w:r>
          </w:p>
        </w:tc>
        <w:tc>
          <w:tcPr>
            <w:tcW w:w="1512" w:type="pct"/>
            <w:tcBorders>
              <w:top w:val="nil"/>
              <w:left w:val="nil"/>
              <w:bottom w:val="nil"/>
              <w:right w:val="nil"/>
            </w:tcBorders>
            <w:noWrap/>
            <w:vAlign w:val="bottom"/>
            <w:hideMark/>
          </w:tcPr>
          <w:p w14:paraId="55202C61"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675B341F" w14:textId="77777777" w:rsidTr="0003239F">
        <w:trPr>
          <w:trHeight w:val="290"/>
        </w:trPr>
        <w:tc>
          <w:tcPr>
            <w:tcW w:w="2092" w:type="pct"/>
            <w:tcBorders>
              <w:top w:val="nil"/>
              <w:left w:val="nil"/>
              <w:bottom w:val="nil"/>
              <w:right w:val="nil"/>
            </w:tcBorders>
            <w:noWrap/>
            <w:vAlign w:val="bottom"/>
            <w:hideMark/>
          </w:tcPr>
          <w:p w14:paraId="71D4B88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Hypothesized Mean Difference</w:t>
            </w:r>
          </w:p>
        </w:tc>
        <w:tc>
          <w:tcPr>
            <w:tcW w:w="1395" w:type="pct"/>
            <w:tcBorders>
              <w:top w:val="nil"/>
              <w:left w:val="nil"/>
              <w:bottom w:val="nil"/>
              <w:right w:val="nil"/>
            </w:tcBorders>
            <w:noWrap/>
            <w:vAlign w:val="bottom"/>
            <w:hideMark/>
          </w:tcPr>
          <w:p w14:paraId="08B7A86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w:t>
            </w:r>
          </w:p>
        </w:tc>
        <w:tc>
          <w:tcPr>
            <w:tcW w:w="1512" w:type="pct"/>
            <w:tcBorders>
              <w:top w:val="nil"/>
              <w:left w:val="nil"/>
              <w:bottom w:val="nil"/>
              <w:right w:val="nil"/>
            </w:tcBorders>
            <w:noWrap/>
            <w:vAlign w:val="bottom"/>
            <w:hideMark/>
          </w:tcPr>
          <w:p w14:paraId="08C4220E"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77FB000C" w14:textId="77777777" w:rsidTr="0003239F">
        <w:trPr>
          <w:trHeight w:val="290"/>
        </w:trPr>
        <w:tc>
          <w:tcPr>
            <w:tcW w:w="2092" w:type="pct"/>
            <w:tcBorders>
              <w:top w:val="nil"/>
              <w:left w:val="nil"/>
              <w:bottom w:val="nil"/>
              <w:right w:val="nil"/>
            </w:tcBorders>
            <w:noWrap/>
            <w:vAlign w:val="bottom"/>
            <w:hideMark/>
          </w:tcPr>
          <w:p w14:paraId="30EB7C94"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df</w:t>
            </w:r>
          </w:p>
        </w:tc>
        <w:tc>
          <w:tcPr>
            <w:tcW w:w="1395" w:type="pct"/>
            <w:tcBorders>
              <w:top w:val="nil"/>
              <w:left w:val="nil"/>
              <w:bottom w:val="nil"/>
              <w:right w:val="nil"/>
            </w:tcBorders>
            <w:noWrap/>
            <w:vAlign w:val="bottom"/>
            <w:hideMark/>
          </w:tcPr>
          <w:p w14:paraId="5517022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15</w:t>
            </w:r>
          </w:p>
        </w:tc>
        <w:tc>
          <w:tcPr>
            <w:tcW w:w="1512" w:type="pct"/>
            <w:tcBorders>
              <w:top w:val="nil"/>
              <w:left w:val="nil"/>
              <w:bottom w:val="nil"/>
              <w:right w:val="nil"/>
            </w:tcBorders>
            <w:noWrap/>
            <w:vAlign w:val="bottom"/>
            <w:hideMark/>
          </w:tcPr>
          <w:p w14:paraId="6EBA311C"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56EF4827" w14:textId="77777777" w:rsidTr="0003239F">
        <w:trPr>
          <w:trHeight w:val="290"/>
        </w:trPr>
        <w:tc>
          <w:tcPr>
            <w:tcW w:w="2092" w:type="pct"/>
            <w:tcBorders>
              <w:top w:val="nil"/>
              <w:left w:val="nil"/>
              <w:bottom w:val="nil"/>
              <w:right w:val="nil"/>
            </w:tcBorders>
            <w:noWrap/>
            <w:vAlign w:val="bottom"/>
            <w:hideMark/>
          </w:tcPr>
          <w:p w14:paraId="733DB66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Stat</w:t>
            </w:r>
          </w:p>
        </w:tc>
        <w:tc>
          <w:tcPr>
            <w:tcW w:w="1395" w:type="pct"/>
            <w:tcBorders>
              <w:top w:val="nil"/>
              <w:left w:val="nil"/>
              <w:bottom w:val="nil"/>
              <w:right w:val="nil"/>
            </w:tcBorders>
            <w:noWrap/>
            <w:vAlign w:val="bottom"/>
            <w:hideMark/>
          </w:tcPr>
          <w:p w14:paraId="218AA858"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-18.2146</w:t>
            </w:r>
          </w:p>
        </w:tc>
        <w:tc>
          <w:tcPr>
            <w:tcW w:w="1512" w:type="pct"/>
            <w:tcBorders>
              <w:top w:val="nil"/>
              <w:left w:val="nil"/>
              <w:bottom w:val="nil"/>
              <w:right w:val="nil"/>
            </w:tcBorders>
            <w:noWrap/>
            <w:vAlign w:val="bottom"/>
            <w:hideMark/>
          </w:tcPr>
          <w:p w14:paraId="5F68EA3E"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317D770B" w14:textId="77777777" w:rsidTr="0003239F">
        <w:trPr>
          <w:trHeight w:val="290"/>
        </w:trPr>
        <w:tc>
          <w:tcPr>
            <w:tcW w:w="2092" w:type="pct"/>
            <w:tcBorders>
              <w:top w:val="nil"/>
              <w:left w:val="nil"/>
              <w:bottom w:val="nil"/>
              <w:right w:val="nil"/>
            </w:tcBorders>
            <w:noWrap/>
            <w:vAlign w:val="bottom"/>
            <w:hideMark/>
          </w:tcPr>
          <w:p w14:paraId="34AFF522"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one-tail</w:t>
            </w:r>
          </w:p>
        </w:tc>
        <w:tc>
          <w:tcPr>
            <w:tcW w:w="1395" w:type="pct"/>
            <w:tcBorders>
              <w:top w:val="nil"/>
              <w:left w:val="nil"/>
              <w:bottom w:val="nil"/>
              <w:right w:val="nil"/>
            </w:tcBorders>
            <w:noWrap/>
            <w:vAlign w:val="bottom"/>
            <w:hideMark/>
          </w:tcPr>
          <w:p w14:paraId="5D5BE19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6.09E-12</w:t>
            </w:r>
          </w:p>
        </w:tc>
        <w:tc>
          <w:tcPr>
            <w:tcW w:w="1512" w:type="pct"/>
            <w:tcBorders>
              <w:top w:val="nil"/>
              <w:left w:val="nil"/>
              <w:bottom w:val="nil"/>
              <w:right w:val="nil"/>
            </w:tcBorders>
            <w:noWrap/>
            <w:vAlign w:val="bottom"/>
            <w:hideMark/>
          </w:tcPr>
          <w:p w14:paraId="28E9EEDE"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67CE33BB" w14:textId="77777777" w:rsidTr="0003239F">
        <w:trPr>
          <w:trHeight w:val="290"/>
        </w:trPr>
        <w:tc>
          <w:tcPr>
            <w:tcW w:w="2092" w:type="pct"/>
            <w:tcBorders>
              <w:top w:val="nil"/>
              <w:left w:val="nil"/>
              <w:bottom w:val="nil"/>
              <w:right w:val="nil"/>
            </w:tcBorders>
            <w:noWrap/>
            <w:vAlign w:val="bottom"/>
            <w:hideMark/>
          </w:tcPr>
          <w:p w14:paraId="354CA3E8"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one-tail</w:t>
            </w:r>
          </w:p>
        </w:tc>
        <w:tc>
          <w:tcPr>
            <w:tcW w:w="1395" w:type="pct"/>
            <w:tcBorders>
              <w:top w:val="nil"/>
              <w:left w:val="nil"/>
              <w:bottom w:val="nil"/>
              <w:right w:val="nil"/>
            </w:tcBorders>
            <w:noWrap/>
            <w:vAlign w:val="bottom"/>
            <w:hideMark/>
          </w:tcPr>
          <w:p w14:paraId="5838DCFD"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1.75305</w:t>
            </w:r>
          </w:p>
        </w:tc>
        <w:tc>
          <w:tcPr>
            <w:tcW w:w="1512" w:type="pct"/>
            <w:tcBorders>
              <w:top w:val="nil"/>
              <w:left w:val="nil"/>
              <w:bottom w:val="nil"/>
              <w:right w:val="nil"/>
            </w:tcBorders>
            <w:noWrap/>
            <w:vAlign w:val="bottom"/>
            <w:hideMark/>
          </w:tcPr>
          <w:p w14:paraId="1882AA5B"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5F26D87D" w14:textId="77777777" w:rsidTr="0003239F">
        <w:trPr>
          <w:trHeight w:val="290"/>
        </w:trPr>
        <w:tc>
          <w:tcPr>
            <w:tcW w:w="2092" w:type="pct"/>
            <w:tcBorders>
              <w:top w:val="nil"/>
              <w:left w:val="nil"/>
              <w:bottom w:val="nil"/>
              <w:right w:val="nil"/>
            </w:tcBorders>
            <w:noWrap/>
            <w:vAlign w:val="bottom"/>
            <w:hideMark/>
          </w:tcPr>
          <w:p w14:paraId="6CA3827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two-tail</w:t>
            </w:r>
          </w:p>
        </w:tc>
        <w:tc>
          <w:tcPr>
            <w:tcW w:w="1395" w:type="pct"/>
            <w:tcBorders>
              <w:top w:val="nil"/>
              <w:left w:val="nil"/>
              <w:bottom w:val="nil"/>
              <w:right w:val="nil"/>
            </w:tcBorders>
            <w:noWrap/>
            <w:vAlign w:val="bottom"/>
            <w:hideMark/>
          </w:tcPr>
          <w:p w14:paraId="57D21BC0"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1.22E-11</w:t>
            </w:r>
          </w:p>
        </w:tc>
        <w:tc>
          <w:tcPr>
            <w:tcW w:w="1512" w:type="pct"/>
            <w:tcBorders>
              <w:top w:val="nil"/>
              <w:left w:val="nil"/>
              <w:bottom w:val="nil"/>
              <w:right w:val="nil"/>
            </w:tcBorders>
            <w:noWrap/>
            <w:vAlign w:val="bottom"/>
            <w:hideMark/>
          </w:tcPr>
          <w:p w14:paraId="327F77E2"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45B6A332" w14:textId="77777777" w:rsidTr="0003239F">
        <w:trPr>
          <w:trHeight w:val="300"/>
        </w:trPr>
        <w:tc>
          <w:tcPr>
            <w:tcW w:w="2092" w:type="pct"/>
            <w:tcBorders>
              <w:top w:val="nil"/>
              <w:left w:val="nil"/>
              <w:bottom w:val="single" w:sz="8" w:space="0" w:color="auto"/>
              <w:right w:val="nil"/>
            </w:tcBorders>
            <w:noWrap/>
            <w:vAlign w:val="bottom"/>
            <w:hideMark/>
          </w:tcPr>
          <w:p w14:paraId="704C26DF"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two-tail</w:t>
            </w:r>
          </w:p>
        </w:tc>
        <w:tc>
          <w:tcPr>
            <w:tcW w:w="1395" w:type="pct"/>
            <w:tcBorders>
              <w:top w:val="nil"/>
              <w:left w:val="nil"/>
              <w:bottom w:val="single" w:sz="8" w:space="0" w:color="auto"/>
              <w:right w:val="nil"/>
            </w:tcBorders>
            <w:noWrap/>
            <w:vAlign w:val="bottom"/>
            <w:hideMark/>
          </w:tcPr>
          <w:p w14:paraId="347C35B2"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2.13145</w:t>
            </w:r>
          </w:p>
        </w:tc>
        <w:tc>
          <w:tcPr>
            <w:tcW w:w="1512" w:type="pct"/>
            <w:tcBorders>
              <w:top w:val="nil"/>
              <w:left w:val="nil"/>
              <w:bottom w:val="single" w:sz="8" w:space="0" w:color="auto"/>
              <w:right w:val="nil"/>
            </w:tcBorders>
            <w:noWrap/>
            <w:vAlign w:val="bottom"/>
            <w:hideMark/>
          </w:tcPr>
          <w:p w14:paraId="1C24AABC"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r>
    </w:tbl>
    <w:p w14:paraId="0A9F9826" w14:textId="77777777" w:rsidR="0003239F" w:rsidRPr="00153A69" w:rsidRDefault="0003239F" w:rsidP="006B5370">
      <w:pPr>
        <w:ind w:firstLine="720"/>
        <w:jc w:val="both"/>
        <w:rPr>
          <w:rFonts w:ascii="Times New Roman" w:hAnsi="Times New Roman" w:cs="Times New Roman"/>
          <w:color w:val="000000"/>
          <w:sz w:val="24"/>
          <w:szCs w:val="24"/>
        </w:rPr>
      </w:pPr>
    </w:p>
    <w:p w14:paraId="279C9B42" w14:textId="629B07BB" w:rsidR="0003239F"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 pre-test mean assessment score (13.06) is below the control group's post-test (19.69). According to the t-statistic (-18.21), a negative difference in their means can be observed, indicating that the former is lower than the latter. Overall, the results point to an improvement, with the post-test scores being above the pre-test results. The hypothesis that those who did well on the pre-test will do well on the post-test following class is supported by the high correlation value, which indicates a strong correlation between the findings. (Schober, Boer, &amp; Schwarte, 2018).</w:t>
      </w:r>
    </w:p>
    <w:p w14:paraId="5B1A8A3C" w14:textId="77777777" w:rsidR="00E63BDA" w:rsidRDefault="00E63BDA" w:rsidP="006B5370">
      <w:pPr>
        <w:ind w:firstLine="720"/>
        <w:jc w:val="both"/>
        <w:rPr>
          <w:rFonts w:ascii="Times New Roman" w:hAnsi="Times New Roman" w:cs="Times New Roman"/>
          <w:color w:val="000000"/>
          <w:sz w:val="24"/>
          <w:szCs w:val="24"/>
        </w:rPr>
        <w:sectPr w:rsidR="00E63BDA" w:rsidSect="00E63BDA">
          <w:type w:val="continuous"/>
          <w:pgSz w:w="11906" w:h="16838" w:code="9"/>
          <w:pgMar w:top="1083" w:right="607" w:bottom="607" w:left="607" w:header="709" w:footer="709" w:gutter="0"/>
          <w:cols w:num="2" w:space="708"/>
          <w:docGrid w:linePitch="360"/>
        </w:sectPr>
      </w:pPr>
    </w:p>
    <w:p w14:paraId="1A711FCF" w14:textId="77777777" w:rsidR="0096665A" w:rsidRDefault="0096665A" w:rsidP="006B5370">
      <w:pPr>
        <w:ind w:firstLine="720"/>
        <w:jc w:val="both"/>
        <w:rPr>
          <w:rFonts w:ascii="Times New Roman" w:hAnsi="Times New Roman" w:cs="Times New Roman"/>
          <w:color w:val="000000"/>
          <w:sz w:val="24"/>
          <w:szCs w:val="24"/>
        </w:rPr>
      </w:pPr>
    </w:p>
    <w:p w14:paraId="35A14F5E" w14:textId="77777777" w:rsidR="00E63BDA" w:rsidRDefault="00E63BDA" w:rsidP="006B5370">
      <w:pPr>
        <w:ind w:firstLine="720"/>
        <w:jc w:val="both"/>
        <w:rPr>
          <w:rFonts w:ascii="Times New Roman" w:hAnsi="Times New Roman" w:cs="Times New Roman"/>
          <w:color w:val="000000"/>
          <w:sz w:val="24"/>
          <w:szCs w:val="24"/>
        </w:rPr>
      </w:pPr>
    </w:p>
    <w:p w14:paraId="1736182C" w14:textId="77777777" w:rsidR="00E63BDA" w:rsidRDefault="00E63BDA" w:rsidP="006B5370">
      <w:pPr>
        <w:ind w:firstLine="720"/>
        <w:jc w:val="both"/>
        <w:rPr>
          <w:rFonts w:ascii="Times New Roman" w:hAnsi="Times New Roman" w:cs="Times New Roman"/>
          <w:color w:val="000000"/>
          <w:sz w:val="24"/>
          <w:szCs w:val="24"/>
        </w:rPr>
      </w:pPr>
    </w:p>
    <w:p w14:paraId="603CCE7C" w14:textId="77777777" w:rsidR="00E63BDA" w:rsidRDefault="00E63BDA" w:rsidP="006B5370">
      <w:pPr>
        <w:ind w:firstLine="720"/>
        <w:jc w:val="both"/>
        <w:rPr>
          <w:rFonts w:ascii="Times New Roman" w:hAnsi="Times New Roman" w:cs="Times New Roman"/>
          <w:color w:val="000000"/>
          <w:sz w:val="24"/>
          <w:szCs w:val="24"/>
        </w:rPr>
      </w:pPr>
    </w:p>
    <w:p w14:paraId="48736B19" w14:textId="77777777" w:rsidR="00E63BDA" w:rsidRDefault="00E63BDA" w:rsidP="006B5370">
      <w:pPr>
        <w:ind w:firstLine="720"/>
        <w:jc w:val="both"/>
        <w:rPr>
          <w:rFonts w:ascii="Times New Roman" w:hAnsi="Times New Roman" w:cs="Times New Roman"/>
          <w:color w:val="000000"/>
          <w:sz w:val="24"/>
          <w:szCs w:val="24"/>
        </w:rPr>
      </w:pPr>
    </w:p>
    <w:p w14:paraId="55961CB2" w14:textId="77777777" w:rsidR="00E63BDA" w:rsidRDefault="00E63BDA" w:rsidP="006B5370">
      <w:pPr>
        <w:ind w:firstLine="720"/>
        <w:jc w:val="both"/>
        <w:rPr>
          <w:rFonts w:ascii="Times New Roman" w:hAnsi="Times New Roman" w:cs="Times New Roman"/>
          <w:color w:val="000000"/>
          <w:sz w:val="24"/>
          <w:szCs w:val="24"/>
        </w:rPr>
      </w:pPr>
    </w:p>
    <w:p w14:paraId="435D28B4" w14:textId="77777777" w:rsidR="00E63BDA" w:rsidRDefault="00E63BDA" w:rsidP="006B5370">
      <w:pPr>
        <w:ind w:firstLine="720"/>
        <w:jc w:val="both"/>
        <w:rPr>
          <w:rFonts w:ascii="Times New Roman" w:hAnsi="Times New Roman" w:cs="Times New Roman"/>
          <w:color w:val="000000"/>
          <w:sz w:val="24"/>
          <w:szCs w:val="24"/>
        </w:rPr>
      </w:pPr>
    </w:p>
    <w:p w14:paraId="6401BE50" w14:textId="77777777" w:rsidR="00E63BDA" w:rsidRDefault="00E63BDA" w:rsidP="006B5370">
      <w:pPr>
        <w:ind w:firstLine="720"/>
        <w:jc w:val="both"/>
        <w:rPr>
          <w:rFonts w:ascii="Times New Roman" w:hAnsi="Times New Roman" w:cs="Times New Roman"/>
          <w:color w:val="000000"/>
          <w:sz w:val="24"/>
          <w:szCs w:val="24"/>
        </w:rPr>
      </w:pPr>
    </w:p>
    <w:p w14:paraId="60B09AA3" w14:textId="77777777" w:rsidR="0096665A" w:rsidRDefault="0096665A" w:rsidP="006B5370">
      <w:pPr>
        <w:ind w:firstLine="720"/>
        <w:jc w:val="both"/>
        <w:rPr>
          <w:rFonts w:ascii="Times New Roman" w:hAnsi="Times New Roman" w:cs="Times New Roman"/>
          <w:color w:val="000000"/>
          <w:sz w:val="24"/>
          <w:szCs w:val="24"/>
        </w:rPr>
      </w:pPr>
    </w:p>
    <w:p w14:paraId="30B3D519" w14:textId="77777777" w:rsidR="007478DF" w:rsidRDefault="007478DF" w:rsidP="006B5370">
      <w:pPr>
        <w:jc w:val="both"/>
        <w:rPr>
          <w:rFonts w:ascii="Times New Roman" w:hAnsi="Times New Roman" w:cs="Times New Roman"/>
          <w:b/>
          <w:bCs/>
          <w:color w:val="000000"/>
          <w:sz w:val="24"/>
          <w:szCs w:val="24"/>
        </w:rPr>
        <w:sectPr w:rsidR="007478DF" w:rsidSect="004E25D2">
          <w:type w:val="continuous"/>
          <w:pgSz w:w="11906" w:h="16838" w:code="9"/>
          <w:pgMar w:top="1083" w:right="607" w:bottom="607" w:left="607" w:header="709" w:footer="709" w:gutter="0"/>
          <w:cols w:space="708"/>
          <w:docGrid w:linePitch="360"/>
        </w:sectPr>
      </w:pPr>
    </w:p>
    <w:p w14:paraId="1EB33A88" w14:textId="77777777" w:rsidR="00E63BDA" w:rsidRPr="00153A69" w:rsidRDefault="00E63BDA"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10. </w:t>
      </w:r>
    </w:p>
    <w:p w14:paraId="5CD9303F" w14:textId="77777777" w:rsidR="00E63BDA" w:rsidRPr="00153A69" w:rsidRDefault="00E63BDA"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in Between Pre – test and Post – test of Experimental Group</w:t>
      </w:r>
    </w:p>
    <w:p w14:paraId="131CCD9C" w14:textId="77777777" w:rsidR="00E63BDA" w:rsidRPr="00153A69" w:rsidRDefault="00E63BDA" w:rsidP="006B5370">
      <w:pPr>
        <w:jc w:val="both"/>
        <w:rPr>
          <w:rFonts w:ascii="Times New Roman" w:hAnsi="Times New Roman" w:cs="Times New Roman"/>
          <w:b/>
          <w:bCs/>
          <w:color w:val="000000"/>
          <w:sz w:val="24"/>
          <w:szCs w:val="24"/>
        </w:rPr>
      </w:pPr>
    </w:p>
    <w:tbl>
      <w:tblPr>
        <w:tblW w:w="3076" w:type="pct"/>
        <w:tblLook w:val="04A0" w:firstRow="1" w:lastRow="0" w:firstColumn="1" w:lastColumn="0" w:noHBand="0" w:noVBand="1"/>
      </w:tblPr>
      <w:tblGrid>
        <w:gridCol w:w="2826"/>
        <w:gridCol w:w="1025"/>
        <w:gridCol w:w="1141"/>
      </w:tblGrid>
      <w:tr w:rsidR="00E63BDA" w:rsidRPr="00153A69" w14:paraId="747D9789" w14:textId="77777777" w:rsidTr="00E63BDA">
        <w:trPr>
          <w:trHeight w:val="290"/>
        </w:trPr>
        <w:tc>
          <w:tcPr>
            <w:tcW w:w="1509" w:type="pct"/>
            <w:tcBorders>
              <w:top w:val="single" w:sz="8" w:space="0" w:color="auto"/>
              <w:left w:val="nil"/>
              <w:bottom w:val="single" w:sz="4" w:space="0" w:color="auto"/>
              <w:right w:val="nil"/>
            </w:tcBorders>
            <w:noWrap/>
            <w:vAlign w:val="bottom"/>
            <w:hideMark/>
          </w:tcPr>
          <w:p w14:paraId="5308A2A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c>
          <w:tcPr>
            <w:tcW w:w="1746" w:type="pct"/>
            <w:tcBorders>
              <w:top w:val="single" w:sz="8" w:space="0" w:color="auto"/>
              <w:left w:val="nil"/>
              <w:bottom w:val="single" w:sz="4" w:space="0" w:color="auto"/>
              <w:right w:val="nil"/>
            </w:tcBorders>
            <w:noWrap/>
            <w:vAlign w:val="bottom"/>
            <w:hideMark/>
          </w:tcPr>
          <w:p w14:paraId="0D54B75D"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Pre - Test</w:t>
            </w:r>
          </w:p>
        </w:tc>
        <w:tc>
          <w:tcPr>
            <w:tcW w:w="1745" w:type="pct"/>
            <w:tcBorders>
              <w:top w:val="single" w:sz="8" w:space="0" w:color="auto"/>
              <w:left w:val="nil"/>
              <w:bottom w:val="single" w:sz="4" w:space="0" w:color="auto"/>
              <w:right w:val="nil"/>
            </w:tcBorders>
            <w:noWrap/>
            <w:vAlign w:val="bottom"/>
            <w:hideMark/>
          </w:tcPr>
          <w:p w14:paraId="060B2455"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Post – Test</w:t>
            </w:r>
          </w:p>
        </w:tc>
      </w:tr>
      <w:tr w:rsidR="00E63BDA" w:rsidRPr="00153A69" w14:paraId="79522C3B" w14:textId="77777777" w:rsidTr="00E63BDA">
        <w:trPr>
          <w:trHeight w:val="290"/>
        </w:trPr>
        <w:tc>
          <w:tcPr>
            <w:tcW w:w="1509" w:type="pct"/>
            <w:tcBorders>
              <w:top w:val="nil"/>
              <w:left w:val="nil"/>
              <w:bottom w:val="nil"/>
              <w:right w:val="nil"/>
            </w:tcBorders>
            <w:noWrap/>
            <w:vAlign w:val="bottom"/>
            <w:hideMark/>
          </w:tcPr>
          <w:p w14:paraId="112B47A0"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lastRenderedPageBreak/>
              <w:t>Mean</w:t>
            </w:r>
          </w:p>
        </w:tc>
        <w:tc>
          <w:tcPr>
            <w:tcW w:w="1746" w:type="pct"/>
            <w:tcBorders>
              <w:top w:val="nil"/>
              <w:left w:val="nil"/>
              <w:bottom w:val="nil"/>
              <w:right w:val="nil"/>
            </w:tcBorders>
            <w:noWrap/>
            <w:vAlign w:val="bottom"/>
            <w:hideMark/>
          </w:tcPr>
          <w:p w14:paraId="44678B7C"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13.3125</w:t>
            </w:r>
          </w:p>
        </w:tc>
        <w:tc>
          <w:tcPr>
            <w:tcW w:w="1745" w:type="pct"/>
            <w:tcBorders>
              <w:top w:val="nil"/>
              <w:left w:val="nil"/>
              <w:bottom w:val="nil"/>
              <w:right w:val="nil"/>
            </w:tcBorders>
            <w:noWrap/>
            <w:vAlign w:val="bottom"/>
            <w:hideMark/>
          </w:tcPr>
          <w:p w14:paraId="535EDD0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21.0625</w:t>
            </w:r>
          </w:p>
        </w:tc>
      </w:tr>
      <w:tr w:rsidR="00E63BDA" w:rsidRPr="00153A69" w14:paraId="745A165B" w14:textId="77777777" w:rsidTr="00E63BDA">
        <w:trPr>
          <w:trHeight w:val="290"/>
        </w:trPr>
        <w:tc>
          <w:tcPr>
            <w:tcW w:w="1509" w:type="pct"/>
            <w:tcBorders>
              <w:top w:val="nil"/>
              <w:left w:val="nil"/>
              <w:bottom w:val="nil"/>
              <w:right w:val="nil"/>
            </w:tcBorders>
            <w:noWrap/>
            <w:vAlign w:val="bottom"/>
            <w:hideMark/>
          </w:tcPr>
          <w:p w14:paraId="6077D9B4"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Variance</w:t>
            </w:r>
          </w:p>
        </w:tc>
        <w:tc>
          <w:tcPr>
            <w:tcW w:w="1746" w:type="pct"/>
            <w:tcBorders>
              <w:top w:val="nil"/>
              <w:left w:val="nil"/>
              <w:bottom w:val="nil"/>
              <w:right w:val="nil"/>
            </w:tcBorders>
            <w:noWrap/>
            <w:vAlign w:val="bottom"/>
            <w:hideMark/>
          </w:tcPr>
          <w:p w14:paraId="70E7BB69"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19.29583</w:t>
            </w:r>
          </w:p>
        </w:tc>
        <w:tc>
          <w:tcPr>
            <w:tcW w:w="1745" w:type="pct"/>
            <w:tcBorders>
              <w:top w:val="nil"/>
              <w:left w:val="nil"/>
              <w:bottom w:val="nil"/>
              <w:right w:val="nil"/>
            </w:tcBorders>
            <w:noWrap/>
            <w:vAlign w:val="bottom"/>
            <w:hideMark/>
          </w:tcPr>
          <w:p w14:paraId="050D9000"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8.729167</w:t>
            </w:r>
          </w:p>
        </w:tc>
      </w:tr>
      <w:tr w:rsidR="00E63BDA" w:rsidRPr="00153A69" w14:paraId="54581011" w14:textId="77777777" w:rsidTr="00E63BDA">
        <w:trPr>
          <w:trHeight w:val="290"/>
        </w:trPr>
        <w:tc>
          <w:tcPr>
            <w:tcW w:w="1509" w:type="pct"/>
            <w:tcBorders>
              <w:top w:val="nil"/>
              <w:left w:val="nil"/>
              <w:bottom w:val="nil"/>
              <w:right w:val="nil"/>
            </w:tcBorders>
            <w:noWrap/>
            <w:vAlign w:val="bottom"/>
            <w:hideMark/>
          </w:tcPr>
          <w:p w14:paraId="3F18906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Observations</w:t>
            </w:r>
          </w:p>
        </w:tc>
        <w:tc>
          <w:tcPr>
            <w:tcW w:w="1746" w:type="pct"/>
            <w:tcBorders>
              <w:top w:val="nil"/>
              <w:left w:val="nil"/>
              <w:bottom w:val="nil"/>
              <w:right w:val="nil"/>
            </w:tcBorders>
            <w:noWrap/>
            <w:vAlign w:val="bottom"/>
            <w:hideMark/>
          </w:tcPr>
          <w:p w14:paraId="2C689643"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c>
          <w:tcPr>
            <w:tcW w:w="1745" w:type="pct"/>
            <w:tcBorders>
              <w:top w:val="nil"/>
              <w:left w:val="nil"/>
              <w:bottom w:val="nil"/>
              <w:right w:val="nil"/>
            </w:tcBorders>
            <w:noWrap/>
            <w:vAlign w:val="bottom"/>
            <w:hideMark/>
          </w:tcPr>
          <w:p w14:paraId="43594FD2"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r>
      <w:tr w:rsidR="00E63BDA" w:rsidRPr="00153A69" w14:paraId="7A9B9982" w14:textId="77777777" w:rsidTr="00E63BDA">
        <w:trPr>
          <w:trHeight w:val="290"/>
        </w:trPr>
        <w:tc>
          <w:tcPr>
            <w:tcW w:w="1509" w:type="pct"/>
            <w:tcBorders>
              <w:top w:val="nil"/>
              <w:left w:val="nil"/>
              <w:bottom w:val="nil"/>
              <w:right w:val="nil"/>
            </w:tcBorders>
            <w:noWrap/>
            <w:vAlign w:val="bottom"/>
            <w:hideMark/>
          </w:tcPr>
          <w:p w14:paraId="516D41C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Pearson Correlation</w:t>
            </w:r>
          </w:p>
        </w:tc>
        <w:tc>
          <w:tcPr>
            <w:tcW w:w="1746" w:type="pct"/>
            <w:tcBorders>
              <w:top w:val="nil"/>
              <w:left w:val="nil"/>
              <w:bottom w:val="nil"/>
              <w:right w:val="nil"/>
            </w:tcBorders>
            <w:noWrap/>
            <w:vAlign w:val="bottom"/>
            <w:hideMark/>
          </w:tcPr>
          <w:p w14:paraId="678154D2"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0.825416</w:t>
            </w:r>
          </w:p>
        </w:tc>
        <w:tc>
          <w:tcPr>
            <w:tcW w:w="1745" w:type="pct"/>
            <w:tcBorders>
              <w:top w:val="nil"/>
              <w:left w:val="nil"/>
              <w:bottom w:val="nil"/>
              <w:right w:val="nil"/>
            </w:tcBorders>
            <w:noWrap/>
            <w:vAlign w:val="bottom"/>
            <w:hideMark/>
          </w:tcPr>
          <w:p w14:paraId="679FDAD9"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6A2DE4A9" w14:textId="77777777" w:rsidTr="00E63BDA">
        <w:trPr>
          <w:trHeight w:val="290"/>
        </w:trPr>
        <w:tc>
          <w:tcPr>
            <w:tcW w:w="1509" w:type="pct"/>
            <w:tcBorders>
              <w:top w:val="nil"/>
              <w:left w:val="nil"/>
              <w:bottom w:val="nil"/>
              <w:right w:val="nil"/>
            </w:tcBorders>
            <w:noWrap/>
            <w:vAlign w:val="bottom"/>
            <w:hideMark/>
          </w:tcPr>
          <w:p w14:paraId="3E5D18E5"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Hypothesized Mean Difference</w:t>
            </w:r>
          </w:p>
        </w:tc>
        <w:tc>
          <w:tcPr>
            <w:tcW w:w="1746" w:type="pct"/>
            <w:tcBorders>
              <w:top w:val="nil"/>
              <w:left w:val="nil"/>
              <w:bottom w:val="nil"/>
              <w:right w:val="nil"/>
            </w:tcBorders>
            <w:noWrap/>
            <w:vAlign w:val="bottom"/>
            <w:hideMark/>
          </w:tcPr>
          <w:p w14:paraId="1490EF06"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w:t>
            </w:r>
          </w:p>
        </w:tc>
        <w:tc>
          <w:tcPr>
            <w:tcW w:w="1745" w:type="pct"/>
            <w:tcBorders>
              <w:top w:val="nil"/>
              <w:left w:val="nil"/>
              <w:bottom w:val="nil"/>
              <w:right w:val="nil"/>
            </w:tcBorders>
            <w:noWrap/>
            <w:vAlign w:val="bottom"/>
            <w:hideMark/>
          </w:tcPr>
          <w:p w14:paraId="172E66E4"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2692ACB0" w14:textId="77777777" w:rsidTr="00E63BDA">
        <w:trPr>
          <w:trHeight w:val="290"/>
        </w:trPr>
        <w:tc>
          <w:tcPr>
            <w:tcW w:w="1509" w:type="pct"/>
            <w:tcBorders>
              <w:top w:val="nil"/>
              <w:left w:val="nil"/>
              <w:bottom w:val="nil"/>
              <w:right w:val="nil"/>
            </w:tcBorders>
            <w:noWrap/>
            <w:vAlign w:val="bottom"/>
            <w:hideMark/>
          </w:tcPr>
          <w:p w14:paraId="7DAA0B32"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df</w:t>
            </w:r>
          </w:p>
        </w:tc>
        <w:tc>
          <w:tcPr>
            <w:tcW w:w="1746" w:type="pct"/>
            <w:tcBorders>
              <w:top w:val="nil"/>
              <w:left w:val="nil"/>
              <w:bottom w:val="nil"/>
              <w:right w:val="nil"/>
            </w:tcBorders>
            <w:noWrap/>
            <w:vAlign w:val="bottom"/>
            <w:hideMark/>
          </w:tcPr>
          <w:p w14:paraId="7F7C7B44"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15</w:t>
            </w:r>
          </w:p>
        </w:tc>
        <w:tc>
          <w:tcPr>
            <w:tcW w:w="1745" w:type="pct"/>
            <w:tcBorders>
              <w:top w:val="nil"/>
              <w:left w:val="nil"/>
              <w:bottom w:val="nil"/>
              <w:right w:val="nil"/>
            </w:tcBorders>
            <w:noWrap/>
            <w:vAlign w:val="bottom"/>
            <w:hideMark/>
          </w:tcPr>
          <w:p w14:paraId="6591D484"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276FBC61" w14:textId="77777777" w:rsidTr="00E63BDA">
        <w:trPr>
          <w:trHeight w:val="290"/>
        </w:trPr>
        <w:tc>
          <w:tcPr>
            <w:tcW w:w="1509" w:type="pct"/>
            <w:tcBorders>
              <w:top w:val="nil"/>
              <w:left w:val="nil"/>
              <w:bottom w:val="nil"/>
              <w:right w:val="nil"/>
            </w:tcBorders>
            <w:noWrap/>
            <w:vAlign w:val="bottom"/>
            <w:hideMark/>
          </w:tcPr>
          <w:p w14:paraId="63F7A285"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Stat</w:t>
            </w:r>
          </w:p>
        </w:tc>
        <w:tc>
          <w:tcPr>
            <w:tcW w:w="1746" w:type="pct"/>
            <w:tcBorders>
              <w:top w:val="nil"/>
              <w:left w:val="nil"/>
              <w:bottom w:val="nil"/>
              <w:right w:val="nil"/>
            </w:tcBorders>
            <w:noWrap/>
            <w:vAlign w:val="bottom"/>
            <w:hideMark/>
          </w:tcPr>
          <w:p w14:paraId="2E22A634"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-12.0667</w:t>
            </w:r>
          </w:p>
        </w:tc>
        <w:tc>
          <w:tcPr>
            <w:tcW w:w="1745" w:type="pct"/>
            <w:tcBorders>
              <w:top w:val="nil"/>
              <w:left w:val="nil"/>
              <w:bottom w:val="nil"/>
              <w:right w:val="nil"/>
            </w:tcBorders>
            <w:noWrap/>
            <w:vAlign w:val="bottom"/>
            <w:hideMark/>
          </w:tcPr>
          <w:p w14:paraId="024EE339"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248EE2EE" w14:textId="77777777" w:rsidTr="00E63BDA">
        <w:trPr>
          <w:trHeight w:val="290"/>
        </w:trPr>
        <w:tc>
          <w:tcPr>
            <w:tcW w:w="1509" w:type="pct"/>
            <w:tcBorders>
              <w:top w:val="nil"/>
              <w:left w:val="nil"/>
              <w:bottom w:val="nil"/>
              <w:right w:val="nil"/>
            </w:tcBorders>
            <w:noWrap/>
            <w:vAlign w:val="bottom"/>
            <w:hideMark/>
          </w:tcPr>
          <w:p w14:paraId="049A9156"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one-tail</w:t>
            </w:r>
          </w:p>
        </w:tc>
        <w:tc>
          <w:tcPr>
            <w:tcW w:w="1746" w:type="pct"/>
            <w:tcBorders>
              <w:top w:val="nil"/>
              <w:left w:val="nil"/>
              <w:bottom w:val="nil"/>
              <w:right w:val="nil"/>
            </w:tcBorders>
            <w:noWrap/>
            <w:vAlign w:val="bottom"/>
            <w:hideMark/>
          </w:tcPr>
          <w:p w14:paraId="38C64E49"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2E-09</w:t>
            </w:r>
          </w:p>
        </w:tc>
        <w:tc>
          <w:tcPr>
            <w:tcW w:w="1745" w:type="pct"/>
            <w:tcBorders>
              <w:top w:val="nil"/>
              <w:left w:val="nil"/>
              <w:bottom w:val="nil"/>
              <w:right w:val="nil"/>
            </w:tcBorders>
            <w:noWrap/>
            <w:vAlign w:val="bottom"/>
            <w:hideMark/>
          </w:tcPr>
          <w:p w14:paraId="2AB60948"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673AFB11" w14:textId="77777777" w:rsidTr="00E63BDA">
        <w:trPr>
          <w:trHeight w:val="290"/>
        </w:trPr>
        <w:tc>
          <w:tcPr>
            <w:tcW w:w="1509" w:type="pct"/>
            <w:tcBorders>
              <w:top w:val="nil"/>
              <w:left w:val="nil"/>
              <w:bottom w:val="nil"/>
              <w:right w:val="nil"/>
            </w:tcBorders>
            <w:noWrap/>
            <w:vAlign w:val="bottom"/>
            <w:hideMark/>
          </w:tcPr>
          <w:p w14:paraId="18A47AC9"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one-tail</w:t>
            </w:r>
          </w:p>
        </w:tc>
        <w:tc>
          <w:tcPr>
            <w:tcW w:w="1746" w:type="pct"/>
            <w:tcBorders>
              <w:top w:val="nil"/>
              <w:left w:val="nil"/>
              <w:bottom w:val="nil"/>
              <w:right w:val="nil"/>
            </w:tcBorders>
            <w:noWrap/>
            <w:vAlign w:val="bottom"/>
            <w:hideMark/>
          </w:tcPr>
          <w:p w14:paraId="79073EF1"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1.75305</w:t>
            </w:r>
          </w:p>
        </w:tc>
        <w:tc>
          <w:tcPr>
            <w:tcW w:w="1745" w:type="pct"/>
            <w:tcBorders>
              <w:top w:val="nil"/>
              <w:left w:val="nil"/>
              <w:bottom w:val="nil"/>
              <w:right w:val="nil"/>
            </w:tcBorders>
            <w:noWrap/>
            <w:vAlign w:val="bottom"/>
            <w:hideMark/>
          </w:tcPr>
          <w:p w14:paraId="2606A029"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3365968B" w14:textId="77777777" w:rsidTr="00E63BDA">
        <w:trPr>
          <w:trHeight w:val="290"/>
        </w:trPr>
        <w:tc>
          <w:tcPr>
            <w:tcW w:w="1509" w:type="pct"/>
            <w:tcBorders>
              <w:top w:val="nil"/>
              <w:left w:val="nil"/>
              <w:bottom w:val="nil"/>
              <w:right w:val="nil"/>
            </w:tcBorders>
            <w:noWrap/>
            <w:vAlign w:val="bottom"/>
            <w:hideMark/>
          </w:tcPr>
          <w:p w14:paraId="5CBEA18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two-tail</w:t>
            </w:r>
          </w:p>
        </w:tc>
        <w:tc>
          <w:tcPr>
            <w:tcW w:w="1746" w:type="pct"/>
            <w:tcBorders>
              <w:top w:val="nil"/>
              <w:left w:val="nil"/>
              <w:bottom w:val="nil"/>
              <w:right w:val="nil"/>
            </w:tcBorders>
            <w:noWrap/>
            <w:vAlign w:val="bottom"/>
            <w:hideMark/>
          </w:tcPr>
          <w:p w14:paraId="18479688"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4.01E-09</w:t>
            </w:r>
          </w:p>
        </w:tc>
        <w:tc>
          <w:tcPr>
            <w:tcW w:w="1745" w:type="pct"/>
            <w:tcBorders>
              <w:top w:val="nil"/>
              <w:left w:val="nil"/>
              <w:bottom w:val="nil"/>
              <w:right w:val="nil"/>
            </w:tcBorders>
            <w:noWrap/>
            <w:vAlign w:val="bottom"/>
            <w:hideMark/>
          </w:tcPr>
          <w:p w14:paraId="0D6694C2"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62C870E4" w14:textId="77777777" w:rsidTr="00E63BDA">
        <w:trPr>
          <w:trHeight w:val="300"/>
        </w:trPr>
        <w:tc>
          <w:tcPr>
            <w:tcW w:w="1509" w:type="pct"/>
            <w:tcBorders>
              <w:top w:val="nil"/>
              <w:left w:val="nil"/>
              <w:bottom w:val="single" w:sz="8" w:space="0" w:color="auto"/>
              <w:right w:val="nil"/>
            </w:tcBorders>
            <w:noWrap/>
            <w:vAlign w:val="bottom"/>
            <w:hideMark/>
          </w:tcPr>
          <w:p w14:paraId="5B4D1196"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two-tail</w:t>
            </w:r>
          </w:p>
        </w:tc>
        <w:tc>
          <w:tcPr>
            <w:tcW w:w="1746" w:type="pct"/>
            <w:tcBorders>
              <w:top w:val="nil"/>
              <w:left w:val="nil"/>
              <w:bottom w:val="single" w:sz="8" w:space="0" w:color="auto"/>
              <w:right w:val="nil"/>
            </w:tcBorders>
            <w:noWrap/>
            <w:vAlign w:val="bottom"/>
            <w:hideMark/>
          </w:tcPr>
          <w:p w14:paraId="36A87F16"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2.13145</w:t>
            </w:r>
          </w:p>
        </w:tc>
        <w:tc>
          <w:tcPr>
            <w:tcW w:w="1745" w:type="pct"/>
            <w:tcBorders>
              <w:top w:val="nil"/>
              <w:left w:val="nil"/>
              <w:bottom w:val="single" w:sz="8" w:space="0" w:color="auto"/>
              <w:right w:val="nil"/>
            </w:tcBorders>
            <w:noWrap/>
            <w:vAlign w:val="bottom"/>
            <w:hideMark/>
          </w:tcPr>
          <w:p w14:paraId="79202F6D"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r>
    </w:tbl>
    <w:p w14:paraId="3E9FC441" w14:textId="77777777" w:rsidR="00E63BDA" w:rsidRPr="00153A69" w:rsidRDefault="00E63BDA" w:rsidP="006B5370">
      <w:pPr>
        <w:jc w:val="both"/>
        <w:rPr>
          <w:rFonts w:ascii="Times New Roman" w:hAnsi="Times New Roman" w:cs="Times New Roman"/>
          <w:color w:val="000000"/>
          <w:sz w:val="24"/>
          <w:szCs w:val="24"/>
        </w:rPr>
      </w:pPr>
    </w:p>
    <w:p w14:paraId="1238BAE5" w14:textId="77777777" w:rsidR="00E63BDA" w:rsidRPr="00153A69" w:rsidRDefault="00E63BDA"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 experimental group's post-test (21.06) has a mean assessment score above the pre-test (13.31). Their means differ by a negative t-statistic   (-12.07), indicating that the former is lower than the latter. Overall, the results point to an improvement, with the post-test scores above the pre-test results. The hypothesis that individuals who did well on the pre-test will do better on the post-test following the Concord Consortium Simulation intervention is supported by the high correlation value, which indicates a strong correlation. (Schober, Boer, &amp; Schwarte, 2018).</w:t>
      </w:r>
    </w:p>
    <w:p w14:paraId="7E02F4D3" w14:textId="77777777" w:rsidR="007478DF" w:rsidRDefault="007478DF" w:rsidP="006B5370">
      <w:pPr>
        <w:ind w:firstLine="720"/>
        <w:jc w:val="both"/>
        <w:rPr>
          <w:rFonts w:ascii="Times New Roman" w:hAnsi="Times New Roman" w:cs="Times New Roman"/>
          <w:color w:val="000000"/>
          <w:sz w:val="24"/>
          <w:szCs w:val="24"/>
        </w:rPr>
        <w:sectPr w:rsidR="007478DF" w:rsidSect="007478DF">
          <w:type w:val="continuous"/>
          <w:pgSz w:w="11906" w:h="16838" w:code="9"/>
          <w:pgMar w:top="1083" w:right="607" w:bottom="607" w:left="607" w:header="709" w:footer="709" w:gutter="0"/>
          <w:cols w:num="2" w:space="708"/>
          <w:docGrid w:linePitch="360"/>
        </w:sectPr>
      </w:pPr>
    </w:p>
    <w:p w14:paraId="343F170C" w14:textId="77777777" w:rsidR="0096665A" w:rsidRDefault="0096665A" w:rsidP="006B5370">
      <w:pPr>
        <w:ind w:firstLine="720"/>
        <w:jc w:val="both"/>
        <w:rPr>
          <w:rFonts w:ascii="Times New Roman" w:hAnsi="Times New Roman" w:cs="Times New Roman"/>
          <w:color w:val="000000"/>
          <w:sz w:val="24"/>
          <w:szCs w:val="24"/>
        </w:rPr>
      </w:pPr>
    </w:p>
    <w:p w14:paraId="410DE2C1" w14:textId="77777777" w:rsidR="007478DF" w:rsidRDefault="007478DF" w:rsidP="006B5370">
      <w:pPr>
        <w:ind w:firstLine="720"/>
        <w:jc w:val="both"/>
        <w:rPr>
          <w:rFonts w:ascii="Times New Roman" w:hAnsi="Times New Roman" w:cs="Times New Roman"/>
          <w:color w:val="000000"/>
          <w:sz w:val="24"/>
          <w:szCs w:val="24"/>
        </w:rPr>
      </w:pPr>
    </w:p>
    <w:p w14:paraId="05AC812B"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Thematic Responses of the Participants after the Intervention </w:t>
      </w:r>
    </w:p>
    <w:p w14:paraId="45E40099" w14:textId="77777777" w:rsidR="007478DF" w:rsidRPr="00153A69" w:rsidRDefault="007478D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 table shows the responses of the group which used the simulation to the open-ended question.</w:t>
      </w:r>
    </w:p>
    <w:p w14:paraId="56F7CD57" w14:textId="77777777" w:rsidR="007478DF" w:rsidRPr="00153A69" w:rsidRDefault="007478DF" w:rsidP="006B5370">
      <w:pPr>
        <w:jc w:val="both"/>
        <w:rPr>
          <w:rFonts w:ascii="Times New Roman" w:hAnsi="Times New Roman" w:cs="Times New Roman"/>
          <w:b/>
          <w:bCs/>
          <w:color w:val="000000"/>
          <w:sz w:val="24"/>
          <w:szCs w:val="24"/>
        </w:rPr>
      </w:pPr>
    </w:p>
    <w:p w14:paraId="7B8D61B0"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11. </w:t>
      </w:r>
    </w:p>
    <w:p w14:paraId="79E98A08"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Themes of Student Responses to the Open-Ended Question</w:t>
      </w:r>
    </w:p>
    <w:p w14:paraId="0F6140BB" w14:textId="77777777" w:rsidR="007478DF" w:rsidRPr="00153A69" w:rsidRDefault="007478DF" w:rsidP="006B5370">
      <w:pPr>
        <w:ind w:firstLine="720"/>
        <w:jc w:val="both"/>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1776"/>
        <w:gridCol w:w="4315"/>
        <w:gridCol w:w="3117"/>
      </w:tblGrid>
      <w:tr w:rsidR="007478DF" w:rsidRPr="00153A69" w14:paraId="21F08A65" w14:textId="77777777" w:rsidTr="00D23676">
        <w:trPr>
          <w:jc w:val="center"/>
        </w:trPr>
        <w:tc>
          <w:tcPr>
            <w:tcW w:w="1776" w:type="dxa"/>
          </w:tcPr>
          <w:p w14:paraId="20FD0819"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Theme</w:t>
            </w:r>
          </w:p>
        </w:tc>
        <w:tc>
          <w:tcPr>
            <w:tcW w:w="4315" w:type="dxa"/>
          </w:tcPr>
          <w:p w14:paraId="262C6978"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Sample Statements</w:t>
            </w:r>
          </w:p>
        </w:tc>
        <w:tc>
          <w:tcPr>
            <w:tcW w:w="3117" w:type="dxa"/>
          </w:tcPr>
          <w:p w14:paraId="10D6F7E3"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Description</w:t>
            </w:r>
          </w:p>
        </w:tc>
      </w:tr>
      <w:tr w:rsidR="007478DF" w:rsidRPr="00153A69" w14:paraId="159C5CB7" w14:textId="77777777" w:rsidTr="00D23676">
        <w:trPr>
          <w:jc w:val="center"/>
        </w:trPr>
        <w:tc>
          <w:tcPr>
            <w:tcW w:w="1776" w:type="dxa"/>
          </w:tcPr>
          <w:p w14:paraId="23FA10BF"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Easy to Understand</w:t>
            </w:r>
          </w:p>
        </w:tc>
        <w:tc>
          <w:tcPr>
            <w:tcW w:w="4315" w:type="dxa"/>
          </w:tcPr>
          <w:p w14:paraId="4B6130E0"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“My experience is not bad at all, the illustrations using concord consortium makes it easy to understand if I will listen attentively.” </w:t>
            </w:r>
          </w:p>
          <w:p w14:paraId="6A9CD1C5"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-E4</w:t>
            </w:r>
          </w:p>
          <w:p w14:paraId="1D286EF3"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“In my experience in using Concord Consortium, it helps me a lot for knowing the properties of chemical reactions.”</w:t>
            </w:r>
          </w:p>
          <w:p w14:paraId="19460221" w14:textId="4E864E30"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-E5</w:t>
            </w:r>
          </w:p>
        </w:tc>
        <w:tc>
          <w:tcPr>
            <w:tcW w:w="3117" w:type="dxa"/>
          </w:tcPr>
          <w:p w14:paraId="2DCC671C"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Students easily understand different concepts, the nature, and process of chemical reactions.</w:t>
            </w:r>
          </w:p>
        </w:tc>
      </w:tr>
      <w:tr w:rsidR="007478DF" w:rsidRPr="00153A69" w14:paraId="4E2F0B37" w14:textId="77777777" w:rsidTr="00D23676">
        <w:trPr>
          <w:jc w:val="center"/>
        </w:trPr>
        <w:tc>
          <w:tcPr>
            <w:tcW w:w="1776" w:type="dxa"/>
          </w:tcPr>
          <w:p w14:paraId="2A9D8D28"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Fun and Interactive</w:t>
            </w:r>
          </w:p>
        </w:tc>
        <w:tc>
          <w:tcPr>
            <w:tcW w:w="4315" w:type="dxa"/>
          </w:tcPr>
          <w:p w14:paraId="793D059A"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“Yes, it did affect my learning comprehension. It helped me understand the topic better by providing activities and fun interactions. Additionally, it provided detailed definitions and explanations” -E1</w:t>
            </w:r>
          </w:p>
          <w:p w14:paraId="350CEF7D"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“It certainly had an impact on my understanding. Its engaging exercises and enjoyable interactions improved my understanding of the subject.”</w:t>
            </w:r>
          </w:p>
          <w:p w14:paraId="4C4C62B4"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-E10</w:t>
            </w:r>
          </w:p>
        </w:tc>
        <w:tc>
          <w:tcPr>
            <w:tcW w:w="3117" w:type="dxa"/>
          </w:tcPr>
          <w:p w14:paraId="29737A7E"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This theme shows that the students had fun in learning with Concord Consortium Simulation.</w:t>
            </w:r>
          </w:p>
        </w:tc>
      </w:tr>
      <w:tr w:rsidR="007478DF" w:rsidRPr="00153A69" w14:paraId="612AF81D" w14:textId="77777777" w:rsidTr="00D23676">
        <w:trPr>
          <w:jc w:val="center"/>
        </w:trPr>
        <w:tc>
          <w:tcPr>
            <w:tcW w:w="1776" w:type="dxa"/>
          </w:tcPr>
          <w:p w14:paraId="7DCE15D8"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Helpful in Visual Representation</w:t>
            </w:r>
          </w:p>
        </w:tc>
        <w:tc>
          <w:tcPr>
            <w:tcW w:w="4315" w:type="dxa"/>
          </w:tcPr>
          <w:p w14:paraId="6628E9A4"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“It was a very great experience because I learned a lot and it's very engaging as a student because of the use of visual aids</w:t>
            </w:r>
            <w:r w:rsidRPr="00153A69">
              <w:rPr>
                <w:rFonts w:ascii="Times New Roman" w:hAnsi="Times New Roman" w:cs="Times New Roman"/>
              </w:rPr>
              <w:t>. </w:t>
            </w:r>
            <w:r w:rsidRPr="00153A69">
              <w:rPr>
                <w:rFonts w:ascii="Times New Roman" w:hAnsi="Times New Roman" w:cs="Times New Roman"/>
                <w:color w:val="000000"/>
                <w:sz w:val="24"/>
                <w:szCs w:val="24"/>
              </w:rPr>
              <w:t xml:space="preserve">” </w:t>
            </w:r>
          </w:p>
          <w:p w14:paraId="4A982141"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-E3</w:t>
            </w:r>
          </w:p>
          <w:p w14:paraId="49408AF0"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“It was a very helpful website that helps students learn more using a visual presentation of a study.”</w:t>
            </w:r>
          </w:p>
          <w:p w14:paraId="4C1EE83D"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-E6</w:t>
            </w:r>
          </w:p>
        </w:tc>
        <w:tc>
          <w:tcPr>
            <w:tcW w:w="3117" w:type="dxa"/>
          </w:tcPr>
          <w:p w14:paraId="58C037D6"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This theme shows how the use of Concord Consortium help visualize chemical reactions.</w:t>
            </w:r>
          </w:p>
        </w:tc>
      </w:tr>
    </w:tbl>
    <w:p w14:paraId="487D558A" w14:textId="77777777" w:rsidR="007478DF" w:rsidRPr="00153A69" w:rsidRDefault="007478DF" w:rsidP="006B5370">
      <w:pPr>
        <w:jc w:val="both"/>
        <w:rPr>
          <w:rFonts w:ascii="Times New Roman" w:hAnsi="Times New Roman" w:cs="Times New Roman"/>
          <w:color w:val="000000"/>
          <w:sz w:val="24"/>
          <w:szCs w:val="24"/>
        </w:rPr>
      </w:pPr>
    </w:p>
    <w:p w14:paraId="0B476348" w14:textId="77777777" w:rsidR="007478DF" w:rsidRPr="00153A69" w:rsidRDefault="007478D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Theme 1. Easy to Understand. Tümay, H. (2016) mentioned that difficulty in learning and misunderstandings in chemistry were observed among secondary students. By using simulations like Concord </w:t>
      </w:r>
      <w:r w:rsidRPr="00153A69">
        <w:rPr>
          <w:rFonts w:ascii="Times New Roman" w:hAnsi="Times New Roman" w:cs="Times New Roman"/>
          <w:color w:val="000000"/>
          <w:sz w:val="24"/>
          <w:szCs w:val="24"/>
        </w:rPr>
        <w:lastRenderedPageBreak/>
        <w:t>Consortium, we can lessen the difficulty in learning chemistry, specifically chemical reactions. According to R1, “The illustrations using concord consortium makes it easy to understand if I will listen attentively.” Using computer-based simulation improves knowledge across all learning groups (Asedillas, J. I. ,2019).</w:t>
      </w:r>
    </w:p>
    <w:p w14:paraId="4CB873F5" w14:textId="77777777" w:rsidR="007478DF" w:rsidRPr="00153A69" w:rsidRDefault="007478D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Theme 2. Fun and Interactive. Simulation has a good influence on the attitudes and views of pupils toward education (Salame, I.I., &amp; Makki, J., 2021). According to R2, “It helped me understand the topic better by providing activities and fun interactions.”. Making learning a better experience for the learner can help in the retention of more knowledge. It encourages the students to participate more in the discussion by giving them something they want to do, likely something fun and enjoyable.</w:t>
      </w:r>
    </w:p>
    <w:p w14:paraId="5B455DB0" w14:textId="77777777" w:rsidR="007478DF" w:rsidRPr="00153A69" w:rsidRDefault="007478D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Theme 3. Helpful in Visual Representation. Learning chemistry requires the capacity to comprehend and connect to the different levels of representation. Although the chemical phenomenon can be observed without aid of tools, the sub-microscopic level is frequently where the explanation lies (Petillion&amp; McNeil, 2020). According to R8 and R9, “It's very engaging as a student because of the use of visual aids.” and “It helps students learn more using a visual presentation of a study.” By providing visuals that help in understanding the different representations that learning chemistry requires for deeper understanding, Concord Consortium can help students to learn chemical reactions easier.</w:t>
      </w:r>
    </w:p>
    <w:p w14:paraId="0F28010E" w14:textId="77777777" w:rsidR="007478DF" w:rsidRDefault="007478DF" w:rsidP="006B5370">
      <w:pPr>
        <w:jc w:val="both"/>
        <w:rPr>
          <w:rFonts w:ascii="Times New Roman" w:hAnsi="Times New Roman" w:cs="Times New Roman"/>
          <w:color w:val="000000"/>
          <w:sz w:val="24"/>
          <w:szCs w:val="24"/>
        </w:rPr>
      </w:pPr>
    </w:p>
    <w:p w14:paraId="0CBD40F1" w14:textId="77777777" w:rsidR="007478DF" w:rsidRPr="00153A69" w:rsidRDefault="007478DF" w:rsidP="006B5370">
      <w:pPr>
        <w:jc w:val="both"/>
        <w:rPr>
          <w:rFonts w:ascii="Times New Roman" w:eastAsia="Arial" w:hAnsi="Times New Roman" w:cs="Times New Roman"/>
          <w:sz w:val="24"/>
          <w:szCs w:val="24"/>
        </w:rPr>
      </w:pPr>
    </w:p>
    <w:p w14:paraId="537122A2" w14:textId="77777777" w:rsidR="007478DF" w:rsidRPr="00153A69" w:rsidRDefault="007478DF" w:rsidP="006B5370">
      <w:pPr>
        <w:jc w:val="both"/>
        <w:rPr>
          <w:rFonts w:ascii="Times New Roman" w:eastAsia="Arial" w:hAnsi="Times New Roman" w:cs="Times New Roman"/>
          <w:sz w:val="24"/>
          <w:szCs w:val="24"/>
        </w:rPr>
      </w:pPr>
    </w:p>
    <w:p w14:paraId="3667152D" w14:textId="77777777" w:rsidR="006B5370" w:rsidRPr="00153A69" w:rsidRDefault="006B5370" w:rsidP="006B5370">
      <w:pPr>
        <w:tabs>
          <w:tab w:val="left" w:pos="2730"/>
        </w:tabs>
        <w:jc w:val="both"/>
        <w:rPr>
          <w:rFonts w:ascii="Times New Roman" w:hAnsi="Times New Roman" w:cs="Times New Roman"/>
          <w:b/>
          <w:bCs/>
          <w:color w:val="000000"/>
          <w:sz w:val="24"/>
          <w:szCs w:val="24"/>
        </w:rPr>
      </w:pPr>
      <w:r w:rsidRPr="00153A69">
        <w:rPr>
          <w:rFonts w:ascii="Times New Roman" w:eastAsia="Arial" w:hAnsi="Times New Roman" w:cs="Times New Roman"/>
          <w:b/>
          <w:color w:val="000000"/>
          <w:sz w:val="24"/>
          <w:szCs w:val="24"/>
        </w:rPr>
        <w:t>SUMMARY OF FINDINGS, &amp; RECOMMENDATIONS</w:t>
      </w:r>
    </w:p>
    <w:p w14:paraId="2BA4263B" w14:textId="77777777" w:rsidR="006B5370" w:rsidRPr="00153A69" w:rsidRDefault="006B5370" w:rsidP="006B5370">
      <w:pPr>
        <w:tabs>
          <w:tab w:val="left" w:pos="2730"/>
        </w:tabs>
        <w:jc w:val="both"/>
        <w:rPr>
          <w:rFonts w:ascii="Times New Roman" w:hAnsi="Times New Roman" w:cs="Times New Roman"/>
          <w:b/>
          <w:bCs/>
          <w:color w:val="000000"/>
          <w:sz w:val="24"/>
          <w:szCs w:val="24"/>
        </w:rPr>
      </w:pPr>
    </w:p>
    <w:p w14:paraId="535B78D4"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hAnsi="Times New Roman" w:cs="Times New Roman"/>
          <w:color w:val="000000"/>
          <w:sz w:val="24"/>
          <w:szCs w:val="24"/>
        </w:rPr>
        <w:tab/>
      </w:r>
      <w:r w:rsidRPr="00153A69">
        <w:rPr>
          <w:rFonts w:ascii="Times New Roman" w:eastAsia="Arial" w:hAnsi="Times New Roman" w:cs="Times New Roman"/>
          <w:sz w:val="24"/>
          <w:szCs w:val="24"/>
          <w:lang w:val="en-PH" w:eastAsia="en-PH"/>
        </w:rPr>
        <w:t>This chapter highlights the summary of findings, conclusions and recommendations of students' experiences in using Concord Consortium learning in Science, specifically, chemical reactions in Chemistry.</w:t>
      </w:r>
    </w:p>
    <w:p w14:paraId="77373D38" w14:textId="77777777" w:rsidR="006B5370" w:rsidRDefault="006B5370" w:rsidP="006B5370">
      <w:pPr>
        <w:jc w:val="both"/>
        <w:rPr>
          <w:rFonts w:ascii="Times New Roman" w:eastAsia="Arial" w:hAnsi="Times New Roman" w:cs="Times New Roman"/>
          <w:b/>
          <w:bCs/>
          <w:sz w:val="24"/>
          <w:szCs w:val="24"/>
          <w:lang w:val="en-PH" w:eastAsia="en-PH"/>
        </w:rPr>
      </w:pPr>
    </w:p>
    <w:p w14:paraId="1D34963D" w14:textId="77777777" w:rsidR="006B5370" w:rsidRDefault="006B5370" w:rsidP="006B5370">
      <w:pPr>
        <w:jc w:val="both"/>
        <w:rPr>
          <w:rFonts w:ascii="Times New Roman" w:eastAsia="Arial" w:hAnsi="Times New Roman" w:cs="Times New Roman"/>
          <w:b/>
          <w:bCs/>
          <w:sz w:val="24"/>
          <w:szCs w:val="24"/>
          <w:lang w:val="en-PH" w:eastAsia="en-PH"/>
        </w:rPr>
      </w:pPr>
      <w:r w:rsidRPr="00153A69">
        <w:rPr>
          <w:rFonts w:ascii="Times New Roman" w:eastAsia="Arial" w:hAnsi="Times New Roman" w:cs="Times New Roman"/>
          <w:b/>
          <w:bCs/>
          <w:sz w:val="24"/>
          <w:szCs w:val="24"/>
          <w:lang w:val="en-PH" w:eastAsia="en-PH"/>
        </w:rPr>
        <w:t>Summary of Findings</w:t>
      </w:r>
    </w:p>
    <w:p w14:paraId="0574769C" w14:textId="77777777" w:rsidR="006B5370" w:rsidRPr="00153A69" w:rsidRDefault="006B5370" w:rsidP="006B5370">
      <w:pPr>
        <w:jc w:val="both"/>
        <w:rPr>
          <w:rFonts w:ascii="Times New Roman" w:eastAsia="Arial" w:hAnsi="Times New Roman" w:cs="Times New Roman"/>
          <w:b/>
          <w:bCs/>
          <w:sz w:val="24"/>
          <w:szCs w:val="24"/>
          <w:lang w:val="en-PH" w:eastAsia="en-PH"/>
        </w:rPr>
      </w:pPr>
    </w:p>
    <w:p w14:paraId="5FF6E6FB" w14:textId="77777777" w:rsidR="006B5370" w:rsidRPr="00153A69" w:rsidRDefault="006B5370" w:rsidP="006B5370">
      <w:pPr>
        <w:tabs>
          <w:tab w:val="left" w:pos="2730"/>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The summary of findings that the researchers have analyzed are as follows:</w:t>
      </w:r>
    </w:p>
    <w:p w14:paraId="1E0820C0"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1. Prior to the intervention, the pre-test results of the students in the experimental (13.31) and control groups (</w:t>
      </w:r>
      <w:r w:rsidRPr="00153A69">
        <w:rPr>
          <w:rFonts w:ascii="Times New Roman" w:hAnsi="Times New Roman" w:cs="Times New Roman"/>
          <w:color w:val="000000"/>
          <w:sz w:val="24"/>
          <w:szCs w:val="24"/>
        </w:rPr>
        <w:t>13.06)</w:t>
      </w:r>
      <w:r w:rsidRPr="00153A69">
        <w:rPr>
          <w:rFonts w:ascii="Times New Roman" w:eastAsia="Arial" w:hAnsi="Times New Roman" w:cs="Times New Roman"/>
          <w:sz w:val="24"/>
          <w:szCs w:val="24"/>
          <w:lang w:val="en-PH" w:eastAsia="en-PH"/>
        </w:rPr>
        <w:t xml:space="preserve"> were both low and nearly identical, indicating a lack of understanding of chemical reactions.</w:t>
      </w:r>
    </w:p>
    <w:p w14:paraId="38DD1900"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2. Following the implementation of the intervention, the students in both groups had high post-test scores, with the experimental group scoring above the control group. Both exhibited a good level of comprehension of chemical interactions.</w:t>
      </w:r>
    </w:p>
    <w:p w14:paraId="1514F822"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3. The pretest results for both groups did not significantly differ from one another.</w:t>
      </w:r>
    </w:p>
    <w:p w14:paraId="607FEFBD"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4. The posttest results of the two groups differed significantly from one another. </w:t>
      </w:r>
    </w:p>
    <w:p w14:paraId="271D1920"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5. The experimental group's pre- and post-test results revealed a substantial difference, indicating progress in their comprehension of chemical interactions.</w:t>
      </w:r>
    </w:p>
    <w:p w14:paraId="2259B6F2"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6. The control group's pretest and posttest results differed significantly, indicating that their comprehension of chemical reactions has improved.</w:t>
      </w:r>
    </w:p>
    <w:p w14:paraId="66CC1EFB" w14:textId="77777777" w:rsidR="006B5370"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7. Concord Consortium simulation improved the engagement, made learning fun and interactive, made concepts easy to understand, and provided aide through visual elements in learning Chemical Reaction.</w:t>
      </w:r>
    </w:p>
    <w:p w14:paraId="0BCA1694" w14:textId="77777777" w:rsidR="006B5370" w:rsidRDefault="006B5370" w:rsidP="006B5370">
      <w:pPr>
        <w:jc w:val="both"/>
        <w:rPr>
          <w:rFonts w:ascii="Times New Roman" w:eastAsia="Arial" w:hAnsi="Times New Roman" w:cs="Times New Roman"/>
          <w:sz w:val="24"/>
          <w:szCs w:val="24"/>
          <w:lang w:val="en-PH" w:eastAsia="en-PH"/>
        </w:rPr>
      </w:pPr>
    </w:p>
    <w:p w14:paraId="042D86E3" w14:textId="77777777" w:rsidR="006B5370" w:rsidRDefault="006B5370" w:rsidP="006B5370">
      <w:pPr>
        <w:jc w:val="both"/>
        <w:rPr>
          <w:rFonts w:ascii="Times New Roman" w:eastAsia="Arial" w:hAnsi="Times New Roman" w:cs="Times New Roman"/>
          <w:sz w:val="24"/>
          <w:szCs w:val="24"/>
          <w:lang w:val="en-PH" w:eastAsia="en-PH"/>
        </w:rPr>
      </w:pPr>
    </w:p>
    <w:p w14:paraId="3FCD5E72" w14:textId="77777777" w:rsidR="006B5370" w:rsidRPr="00153A69" w:rsidRDefault="006B5370" w:rsidP="006B5370">
      <w:pPr>
        <w:jc w:val="both"/>
        <w:rPr>
          <w:rFonts w:ascii="Times New Roman" w:eastAsia="Arial" w:hAnsi="Times New Roman" w:cs="Times New Roman"/>
          <w:sz w:val="24"/>
          <w:szCs w:val="24"/>
          <w:lang w:val="en-PH" w:eastAsia="en-PH"/>
        </w:rPr>
      </w:pPr>
    </w:p>
    <w:p w14:paraId="44AD1E65" w14:textId="77777777" w:rsidR="006B5370" w:rsidRDefault="006B5370" w:rsidP="006B5370">
      <w:pPr>
        <w:tabs>
          <w:tab w:val="left" w:pos="2730"/>
        </w:tabs>
        <w:jc w:val="both"/>
        <w:rPr>
          <w:rFonts w:ascii="Times New Roman" w:eastAsia="Arial" w:hAnsi="Times New Roman" w:cs="Times New Roman"/>
          <w:b/>
          <w:bCs/>
          <w:sz w:val="24"/>
          <w:szCs w:val="24"/>
          <w:lang w:val="en-PH" w:eastAsia="en-PH"/>
        </w:rPr>
      </w:pPr>
      <w:r w:rsidRPr="00153A69">
        <w:rPr>
          <w:rFonts w:ascii="Times New Roman" w:eastAsia="Arial" w:hAnsi="Times New Roman" w:cs="Times New Roman"/>
          <w:b/>
          <w:bCs/>
          <w:sz w:val="24"/>
          <w:szCs w:val="24"/>
          <w:lang w:val="en-PH" w:eastAsia="en-PH"/>
        </w:rPr>
        <w:t xml:space="preserve">Conclusion </w:t>
      </w:r>
    </w:p>
    <w:p w14:paraId="4073E082" w14:textId="77777777" w:rsidR="006B5370" w:rsidRPr="00153A69" w:rsidRDefault="006B5370" w:rsidP="006B5370">
      <w:pPr>
        <w:tabs>
          <w:tab w:val="left" w:pos="2730"/>
        </w:tabs>
        <w:jc w:val="both"/>
        <w:rPr>
          <w:rFonts w:ascii="Times New Roman" w:eastAsia="Arial" w:hAnsi="Times New Roman" w:cs="Times New Roman"/>
          <w:b/>
          <w:bCs/>
          <w:sz w:val="24"/>
          <w:szCs w:val="24"/>
          <w:lang w:val="en-PH" w:eastAsia="en-PH"/>
        </w:rPr>
      </w:pPr>
    </w:p>
    <w:p w14:paraId="3878B092"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ab/>
        <w:t xml:space="preserve">The  noteworthy conclusions are drawn from the study's findings are the following: </w:t>
      </w:r>
    </w:p>
    <w:p w14:paraId="091AA69C"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1. The pre-test average of the experimental group was 13.0625, whereas the control group's was 13.3125. Before the intervention, neither group showed much understanding of chemical interactions. </w:t>
      </w:r>
    </w:p>
    <w:p w14:paraId="5E7672C8"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 The post-test mean score of the experimental group was 21.0625, and 19.6875 for the control group. While students in the control group only attained a fairly satisfactory of knowledge, those in the experimental group demonstrated a satisfactory level of understanding.</w:t>
      </w:r>
    </w:p>
    <w:p w14:paraId="011E40C5"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3. The experimental group's pre-test mean assessment score (13.0625) is above the control group's mean assessment score (13.3125). -0.37796 is the computed t-statistic value. The pretest scores the two groups did not significantly differ according to the data. </w:t>
      </w:r>
    </w:p>
    <w:p w14:paraId="00A77E71"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lastRenderedPageBreak/>
        <w:t xml:space="preserve">4. The experimental group's post-test mean assessment score (21.0625) is above the control group's mean assessment score (19.6825). -4.5675 is the computed t-statistic value. The findings showed that there was no discernible discrepancy between both groups’ posttest scores. </w:t>
      </w:r>
    </w:p>
    <w:p w14:paraId="34AA635C"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5. The pre-test mean assessment score (13.0625) is below the control group's post-test mean score (19.6875). -18.21 is the computed t-statistic. The results showed a substantial discrepancy between the scores of their pre- and post-test. </w:t>
      </w:r>
    </w:p>
    <w:p w14:paraId="07B28924"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6. The experimental group's post-test (21.0625) has a mean assessment score significantly higher than the pre-test (13.3125). The computed t-statistic is -12.0667. The experimental group's pretest and posttest scores differed significantly, according to the data. </w:t>
      </w:r>
    </w:p>
    <w:p w14:paraId="6743E48F" w14:textId="77777777" w:rsidR="006B5370"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7. Concord Consortium simulation had a favorable effect on the students' learning and engagement. It made the concepts easy to understand, fun and interactive, and provided aid through visual elements in learning Chemical Reactions.</w:t>
      </w:r>
    </w:p>
    <w:p w14:paraId="32A4262B" w14:textId="77777777" w:rsidR="006B5370" w:rsidRPr="00153A69" w:rsidRDefault="006B5370" w:rsidP="006B5370">
      <w:pPr>
        <w:tabs>
          <w:tab w:val="left" w:pos="709"/>
        </w:tabs>
        <w:jc w:val="both"/>
        <w:rPr>
          <w:rFonts w:ascii="Times New Roman" w:hAnsi="Times New Roman" w:cs="Times New Roman"/>
          <w:color w:val="000000"/>
          <w:sz w:val="24"/>
          <w:szCs w:val="24"/>
        </w:rPr>
      </w:pPr>
    </w:p>
    <w:p w14:paraId="5E59041B" w14:textId="77777777" w:rsidR="006B5370" w:rsidRDefault="006B5370" w:rsidP="006B5370">
      <w:pPr>
        <w:tabs>
          <w:tab w:val="left" w:pos="709"/>
        </w:tabs>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Recommendations </w:t>
      </w:r>
    </w:p>
    <w:p w14:paraId="17FF5A66" w14:textId="77777777" w:rsidR="006B5370" w:rsidRPr="00153A69" w:rsidRDefault="006B5370" w:rsidP="006B5370">
      <w:pPr>
        <w:tabs>
          <w:tab w:val="left" w:pos="709"/>
        </w:tabs>
        <w:jc w:val="both"/>
        <w:rPr>
          <w:rFonts w:ascii="Times New Roman" w:hAnsi="Times New Roman" w:cs="Times New Roman"/>
          <w:b/>
          <w:bCs/>
          <w:color w:val="000000"/>
          <w:sz w:val="24"/>
          <w:szCs w:val="24"/>
        </w:rPr>
      </w:pPr>
    </w:p>
    <w:p w14:paraId="3A3BC5AF"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hAnsi="Times New Roman" w:cs="Times New Roman"/>
          <w:color w:val="000000"/>
          <w:sz w:val="24"/>
          <w:szCs w:val="24"/>
        </w:rPr>
        <w:tab/>
      </w:r>
      <w:r w:rsidRPr="00153A69">
        <w:rPr>
          <w:rFonts w:ascii="Times New Roman" w:eastAsia="Arial" w:hAnsi="Times New Roman" w:cs="Times New Roman"/>
          <w:sz w:val="24"/>
          <w:szCs w:val="24"/>
          <w:lang w:val="en-PH" w:eastAsia="en-PH"/>
        </w:rPr>
        <w:t xml:space="preserve">In relation to this study, the application of simulation in teaching has helped the learners in understanding the concept of chemical reaction. As the study went on, a few topics emerged as potential subjects for additional study. The following are the suggestions: </w:t>
      </w:r>
    </w:p>
    <w:p w14:paraId="221BA11E"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1. Both groups pre-test scores were low, the researchers may suggest to pilot test the pre-test with a Smaller Group before because If the pre-test is largely different from the previous ones, it will be quite helpful to conduct a pre-test with a few students before administering it to the whole class. This makes it possible for the future researcher to modify the assessment based on the performance of the pilot group. </w:t>
      </w:r>
    </w:p>
    <w:p w14:paraId="1900CDDF"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2. Future researchers may perform a statistical analysis to validate the observed difference, as the experimental group most likely scored above the control group in the post-test.</w:t>
      </w:r>
    </w:p>
    <w:p w14:paraId="4EE6B2E9"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3. Based on the finding of the lack of significant difference in pretest scores of the two groups, future researchers may maintain group equivalence, this will enhance the internal validity of the study because they are similar based on their demographics at the start of the study. You may therefore go ahead and compare the assessment scores after the intervention to assess the impact of the experimental intervention. </w:t>
      </w:r>
    </w:p>
    <w:p w14:paraId="036A78C1"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4. Based on the finding of a significant difference in scores of the post-test between the two groups, future researchers may try to conduct the study with other populations or in other contexts to check if the intervention has the same positive impact. </w:t>
      </w:r>
    </w:p>
    <w:p w14:paraId="26A72B01"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5. Based on the finding of improvement in the experimental group's pre-test and post-test scores, future researchers may repeat the same study with a new set of students to determine if the good results can be obtained in the future but with different subject such as biology, physics, etc. </w:t>
      </w:r>
    </w:p>
    <w:p w14:paraId="76298340"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6. Based on the finding of improvement in the control group's pre-test and post-test scores, future researchers may consider whether the pre-test might have had an effect to the results of the post-test. Sometimes when learners take a pre-test he or she may do slightly better than he or she actually would have done because he or she is familiar with the format of the test as well as some of the content.</w:t>
      </w:r>
    </w:p>
    <w:p w14:paraId="319D2FCD"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7. Based on the findings of a positive experience and effect on learning, application of simulations in chemistry teaching and in teaching other science subjects along with training to efficiently utilize such to further improve facilitation of the classroom in a traditional or online manner would be greatly recommended.</w:t>
      </w:r>
    </w:p>
    <w:p w14:paraId="763FA78E" w14:textId="77777777" w:rsidR="006B5370" w:rsidRPr="00153A69" w:rsidRDefault="006B5370" w:rsidP="006B5370">
      <w:pPr>
        <w:jc w:val="both"/>
        <w:rPr>
          <w:rFonts w:ascii="Times New Roman" w:hAnsi="Times New Roman" w:cs="Times New Roman"/>
          <w:color w:val="000000"/>
          <w:sz w:val="24"/>
          <w:szCs w:val="24"/>
        </w:rPr>
      </w:pPr>
    </w:p>
    <w:p w14:paraId="030BFBDC" w14:textId="77777777" w:rsidR="006B5370" w:rsidRPr="00153A69" w:rsidRDefault="006B5370" w:rsidP="006B5370">
      <w:pPr>
        <w:jc w:val="both"/>
        <w:rPr>
          <w:rFonts w:ascii="Times New Roman" w:hAnsi="Times New Roman" w:cs="Times New Roman"/>
          <w:color w:val="000000"/>
          <w:sz w:val="24"/>
          <w:szCs w:val="24"/>
        </w:rPr>
      </w:pPr>
    </w:p>
    <w:p w14:paraId="511219EE" w14:textId="77777777" w:rsidR="005932B2" w:rsidRPr="00153A69" w:rsidRDefault="005932B2" w:rsidP="005932B2">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References</w:t>
      </w:r>
    </w:p>
    <w:p w14:paraId="3E79AC55" w14:textId="77777777" w:rsidR="005932B2" w:rsidRPr="00153A69" w:rsidRDefault="005932B2" w:rsidP="005932B2">
      <w:pPr>
        <w:jc w:val="both"/>
        <w:rPr>
          <w:rFonts w:ascii="Times New Roman" w:hAnsi="Times New Roman" w:cs="Times New Roman"/>
          <w:color w:val="000000"/>
          <w:sz w:val="24"/>
          <w:szCs w:val="24"/>
        </w:rPr>
      </w:pPr>
    </w:p>
    <w:p w14:paraId="5CD50FC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Akaygün, S., &amp; Jones, L. E. (2014). How does level of guidance affect understanding when students use a dynamic simulation of Liquid–Vapor equilibrium? </w:t>
      </w:r>
      <w:r w:rsidRPr="00153A69">
        <w:rPr>
          <w:rFonts w:ascii="Times New Roman" w:eastAsia="Arial" w:hAnsi="Times New Roman" w:cs="Times New Roman"/>
          <w:i/>
          <w:iCs/>
          <w:sz w:val="24"/>
          <w:szCs w:val="24"/>
          <w:lang w:val="en-PH" w:eastAsia="en-PH"/>
        </w:rPr>
        <w:t>In Springer eBooks</w:t>
      </w:r>
      <w:r w:rsidRPr="00153A69">
        <w:rPr>
          <w:rFonts w:ascii="Times New Roman" w:eastAsia="Arial" w:hAnsi="Times New Roman" w:cs="Times New Roman"/>
          <w:sz w:val="24"/>
          <w:szCs w:val="24"/>
          <w:lang w:val="en-PH" w:eastAsia="en-PH"/>
        </w:rPr>
        <w:t>. https://doi.org/10.1007/978-94-007-4366-3_13</w:t>
      </w:r>
    </w:p>
    <w:p w14:paraId="74CBD38E"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Asedillas, J. I. (2019, December 31). </w:t>
      </w:r>
      <w:r w:rsidRPr="00153A69">
        <w:rPr>
          <w:rFonts w:ascii="Times New Roman" w:eastAsia="Arial" w:hAnsi="Times New Roman" w:cs="Times New Roman"/>
          <w:i/>
          <w:iCs/>
          <w:sz w:val="24"/>
          <w:szCs w:val="24"/>
          <w:lang w:val="en-PH" w:eastAsia="en-PH"/>
        </w:rPr>
        <w:t>Computer-based Simulation and its Effects on Student’s Knowledge and Interest in Chemistry.</w:t>
      </w:r>
      <w:r w:rsidRPr="00153A69">
        <w:rPr>
          <w:rFonts w:ascii="Times New Roman" w:eastAsia="Arial" w:hAnsi="Times New Roman" w:cs="Times New Roman"/>
          <w:sz w:val="24"/>
          <w:szCs w:val="24"/>
          <w:lang w:val="en-PH" w:eastAsia="en-PH"/>
        </w:rPr>
        <w:t xml:space="preserve"> https://ijodel.upou.edu.ph/index.php/ijodel/article/view/75</w:t>
      </w:r>
    </w:p>
    <w:p w14:paraId="4A7FF59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Astutik, S., &amp;Prahanı, B. K. (2018). The Practicality and Effectiveness of Collaborative Creativity Learning (CCL) model by using PHET simulation to increase students’ scientific creativity. </w:t>
      </w:r>
      <w:r w:rsidRPr="00153A69">
        <w:rPr>
          <w:rFonts w:ascii="Times New Roman" w:eastAsia="Arial" w:hAnsi="Times New Roman" w:cs="Times New Roman"/>
          <w:i/>
          <w:iCs/>
          <w:sz w:val="24"/>
          <w:szCs w:val="24"/>
          <w:lang w:val="en-PH" w:eastAsia="en-PH"/>
        </w:rPr>
        <w:t>International Journal of Instruction</w:t>
      </w:r>
      <w:r w:rsidRPr="00153A69">
        <w:rPr>
          <w:rFonts w:ascii="Times New Roman" w:eastAsia="Arial" w:hAnsi="Times New Roman" w:cs="Times New Roman"/>
          <w:sz w:val="24"/>
          <w:szCs w:val="24"/>
          <w:lang w:val="en-PH" w:eastAsia="en-PH"/>
        </w:rPr>
        <w:t>, 11(4), 409–424. https://doi.org/10.12973/iji.2018.11426a</w:t>
      </w:r>
    </w:p>
    <w:p w14:paraId="29FE2170"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lastRenderedPageBreak/>
        <w:t xml:space="preserve">Blaser, M. (2019). Discovering Multiple Uses of Mobile Technology for Instructional Improvement: Lessons Learned and Serendipitous Encounters from the cCWCS iPads in Chemistry Workshop. In Acs </w:t>
      </w:r>
      <w:r w:rsidRPr="00153A69">
        <w:rPr>
          <w:rFonts w:ascii="Times New Roman" w:eastAsia="Arial" w:hAnsi="Times New Roman" w:cs="Times New Roman"/>
          <w:i/>
          <w:iCs/>
          <w:sz w:val="24"/>
          <w:szCs w:val="24"/>
          <w:lang w:val="en-PH" w:eastAsia="en-PH"/>
        </w:rPr>
        <w:t>Symposium Series</w:t>
      </w:r>
      <w:r w:rsidRPr="00153A69">
        <w:rPr>
          <w:rFonts w:ascii="Times New Roman" w:eastAsia="Arial" w:hAnsi="Times New Roman" w:cs="Times New Roman"/>
          <w:sz w:val="24"/>
          <w:szCs w:val="24"/>
          <w:lang w:val="en-PH" w:eastAsia="en-PH"/>
        </w:rPr>
        <w:t xml:space="preserve"> (pp. 269–279). https://doi.org/10.1021/bk-2019-1318.ch017</w:t>
      </w:r>
    </w:p>
    <w:p w14:paraId="15558F45"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Burge, T. (1993). </w:t>
      </w:r>
      <w:r w:rsidRPr="00153A69">
        <w:rPr>
          <w:rFonts w:ascii="Times New Roman" w:eastAsia="Arial" w:hAnsi="Times New Roman" w:cs="Times New Roman"/>
          <w:i/>
          <w:iCs/>
          <w:sz w:val="24"/>
          <w:szCs w:val="24"/>
          <w:lang w:val="en-PH" w:eastAsia="en-PH"/>
        </w:rPr>
        <w:t>Concepts, definitions, and meaning</w:t>
      </w:r>
      <w:r w:rsidRPr="00153A69">
        <w:rPr>
          <w:rFonts w:ascii="Times New Roman" w:eastAsia="Arial" w:hAnsi="Times New Roman" w:cs="Times New Roman"/>
          <w:sz w:val="24"/>
          <w:szCs w:val="24"/>
          <w:lang w:val="en-PH" w:eastAsia="en-PH"/>
        </w:rPr>
        <w:t>*,*. https://philpapers.org/rec/BURCDA</w:t>
      </w:r>
    </w:p>
    <w:p w14:paraId="0E660BC8"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Clark, T. M., &amp; Chamberlain, J. M. (2014). Use of a PHET interactive simulation in General Chemistry laboratory: models of the hydrogen atom. </w:t>
      </w:r>
      <w:r w:rsidRPr="00153A69">
        <w:rPr>
          <w:rFonts w:ascii="Times New Roman" w:eastAsia="Arial" w:hAnsi="Times New Roman" w:cs="Times New Roman"/>
          <w:i/>
          <w:iCs/>
          <w:sz w:val="24"/>
          <w:szCs w:val="24"/>
          <w:lang w:val="en-PH" w:eastAsia="en-PH"/>
        </w:rPr>
        <w:t>Journal of Chemical Education</w:t>
      </w:r>
      <w:r w:rsidRPr="00153A69">
        <w:rPr>
          <w:rFonts w:ascii="Times New Roman" w:eastAsia="Arial" w:hAnsi="Times New Roman" w:cs="Times New Roman"/>
          <w:sz w:val="24"/>
          <w:szCs w:val="24"/>
          <w:lang w:val="en-PH" w:eastAsia="en-PH"/>
        </w:rPr>
        <w:t>, 91(8), 1198–1202. https://doi.org/10.1021/ed400454p</w:t>
      </w:r>
    </w:p>
    <w:p w14:paraId="7BDEB698"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Cook, T. D. (1979). </w:t>
      </w:r>
      <w:r w:rsidRPr="00153A69">
        <w:rPr>
          <w:rFonts w:ascii="Times New Roman" w:eastAsia="Arial" w:hAnsi="Times New Roman" w:cs="Times New Roman"/>
          <w:i/>
          <w:iCs/>
          <w:sz w:val="24"/>
          <w:szCs w:val="24"/>
          <w:lang w:val="en-PH" w:eastAsia="en-PH"/>
        </w:rPr>
        <w:t>Quasi-Experimentation: design and analysis issues for field settings.</w:t>
      </w:r>
      <w:r w:rsidRPr="00153A69">
        <w:rPr>
          <w:rFonts w:ascii="Times New Roman" w:eastAsia="Arial" w:hAnsi="Times New Roman" w:cs="Times New Roman"/>
          <w:sz w:val="24"/>
          <w:szCs w:val="24"/>
          <w:lang w:val="en-PH" w:eastAsia="en-PH"/>
        </w:rPr>
        <w:t xml:space="preserve"> Northwestern Scholars. https://www.scholars.northwestern.edu/en/publications/quasi-experimentation-design-and-analysis-issues-for-field-settin</w:t>
      </w:r>
    </w:p>
    <w:p w14:paraId="2A0FD53D"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Creswell, J. W. (2013). Qualitative inquiry &amp; research design : choosing among five approaches. </w:t>
      </w:r>
      <w:r w:rsidRPr="00153A69">
        <w:rPr>
          <w:rFonts w:ascii="Times New Roman" w:eastAsia="Arial" w:hAnsi="Times New Roman" w:cs="Times New Roman"/>
          <w:i/>
          <w:iCs/>
          <w:sz w:val="24"/>
          <w:szCs w:val="24"/>
          <w:lang w:val="en-PH" w:eastAsia="en-PH"/>
        </w:rPr>
        <w:t>In Sage eBooks</w:t>
      </w:r>
      <w:r w:rsidRPr="00153A69">
        <w:rPr>
          <w:rFonts w:ascii="Times New Roman" w:eastAsia="Arial" w:hAnsi="Times New Roman" w:cs="Times New Roman"/>
          <w:sz w:val="24"/>
          <w:szCs w:val="24"/>
          <w:lang w:val="en-PH" w:eastAsia="en-PH"/>
        </w:rPr>
        <w:t>. http://ci.nii.ac.jp/ncid/BB09168370</w:t>
      </w:r>
    </w:p>
    <w:p w14:paraId="3C744DE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Dantic, MJP. (2023) From Theoretical Framework. Figure 1 Paradigm of the Study</w:t>
      </w:r>
    </w:p>
    <w:p w14:paraId="54DDF228"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Davies, R. S., &amp; Short, C. R. (2024). Developing Criteria and Setting Cut Scores. Assessment Basics: Test Creation Fundamentals. https://edtechbooks.org/Assessment_Basics/setting_criteria</w:t>
      </w:r>
    </w:p>
    <w:p w14:paraId="619FD4CD"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Delucchi, M. (2014). Measuring Student Learning in Social Statistics: A Pretest-Posttest Study of Knowledge Gain. Teaching Sociology, 42(3), 231-239. https://doi.org/10.1177/0092055X14527909</w:t>
      </w:r>
    </w:p>
    <w:p w14:paraId="4BB3A85E"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Dou, R. (2017). Review: The Concord Consortium. </w:t>
      </w:r>
      <w:r w:rsidRPr="00153A69">
        <w:rPr>
          <w:rFonts w:ascii="Times New Roman" w:eastAsia="Arial" w:hAnsi="Times New Roman" w:cs="Times New Roman"/>
          <w:i/>
          <w:iCs/>
          <w:sz w:val="24"/>
          <w:szCs w:val="24"/>
          <w:lang w:val="en-PH" w:eastAsia="en-PH"/>
        </w:rPr>
        <w:t>American Biology Teacher</w:t>
      </w:r>
      <w:r w:rsidRPr="00153A69">
        <w:rPr>
          <w:rFonts w:ascii="Times New Roman" w:eastAsia="Arial" w:hAnsi="Times New Roman" w:cs="Times New Roman"/>
          <w:sz w:val="24"/>
          <w:szCs w:val="24"/>
          <w:lang w:val="en-PH" w:eastAsia="en-PH"/>
        </w:rPr>
        <w:t xml:space="preserve">, 79(5), 426. https://doi.org/10.1525/abt.2017.79.5.426 </w:t>
      </w:r>
    </w:p>
    <w:p w14:paraId="464F0D9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Escueta, M., Quan, V., Nickow, A. J., &amp; Oreopoulos, P. (2017). Education technology: An evidence-based review.</w:t>
      </w:r>
    </w:p>
    <w:p w14:paraId="61C85156"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Etikan, İ., Musa, S. A., &amp; Alkassim, R. S. (2016). Comparison of convenience sampling and purposive sampling. </w:t>
      </w:r>
      <w:r w:rsidRPr="00153A69">
        <w:rPr>
          <w:rFonts w:ascii="Times New Roman" w:eastAsia="Arial" w:hAnsi="Times New Roman" w:cs="Times New Roman"/>
          <w:i/>
          <w:iCs/>
          <w:sz w:val="24"/>
          <w:szCs w:val="24"/>
          <w:lang w:val="en-PH" w:eastAsia="en-PH"/>
        </w:rPr>
        <w:t>American Journal of Theoretical and Applied Statistics</w:t>
      </w:r>
      <w:r w:rsidRPr="00153A69">
        <w:rPr>
          <w:rFonts w:ascii="Times New Roman" w:eastAsia="Arial" w:hAnsi="Times New Roman" w:cs="Times New Roman"/>
          <w:sz w:val="24"/>
          <w:szCs w:val="24"/>
          <w:lang w:val="en-PH" w:eastAsia="en-PH"/>
        </w:rPr>
        <w:t>, 5(1), 1. https://doi.org/10.11648/j.ajtas.20160501.11</w:t>
      </w:r>
    </w:p>
    <w:p w14:paraId="5CE52C07"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Farida, I., Helsy, I., Fitriani, I. N., &amp; Ramdhani, M. A. (2018). Learning material of chemistry in high school using multiple representations. IOP </w:t>
      </w:r>
      <w:r w:rsidRPr="00153A69">
        <w:rPr>
          <w:rFonts w:ascii="Times New Roman" w:eastAsia="Arial" w:hAnsi="Times New Roman" w:cs="Times New Roman"/>
          <w:i/>
          <w:iCs/>
          <w:sz w:val="24"/>
          <w:szCs w:val="24"/>
          <w:lang w:val="en-PH" w:eastAsia="en-PH"/>
        </w:rPr>
        <w:t>Conference Series</w:t>
      </w:r>
      <w:r w:rsidRPr="00153A69">
        <w:rPr>
          <w:rFonts w:ascii="Times New Roman" w:eastAsia="Arial" w:hAnsi="Times New Roman" w:cs="Times New Roman"/>
          <w:sz w:val="24"/>
          <w:szCs w:val="24"/>
          <w:lang w:val="en-PH" w:eastAsia="en-PH"/>
        </w:rPr>
        <w:t>, 288, 012078. https://doi.org/10.1088/1757-899x/288/1/012078</w:t>
      </w:r>
    </w:p>
    <w:p w14:paraId="5ED6F5F0"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Garcia, A. (2020). Interactive simulations in teaching linear equations. </w:t>
      </w:r>
      <w:r w:rsidRPr="00153A69">
        <w:rPr>
          <w:rFonts w:ascii="Times New Roman" w:eastAsia="Arial" w:hAnsi="Times New Roman" w:cs="Times New Roman"/>
          <w:i/>
          <w:iCs/>
          <w:sz w:val="24"/>
          <w:szCs w:val="24"/>
          <w:lang w:val="en-PH" w:eastAsia="en-PH"/>
        </w:rPr>
        <w:t>ResearchGate</w:t>
      </w:r>
      <w:r w:rsidRPr="00153A69">
        <w:rPr>
          <w:rFonts w:ascii="Times New Roman" w:eastAsia="Arial" w:hAnsi="Times New Roman" w:cs="Times New Roman"/>
          <w:sz w:val="24"/>
          <w:szCs w:val="24"/>
          <w:lang w:val="en-PH" w:eastAsia="en-PH"/>
        </w:rPr>
        <w:t>.https://www.researchgate.net/publication/348161844_Interactive_Simulations_in_Teaching_Linear_Equations</w:t>
      </w:r>
    </w:p>
    <w:p w14:paraId="77A5D984"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Girault, I., Peffer, M., Chiocarriello, A., Renken, M., &amp;Otrel-Cass, K. (2015). Computer Simulations on a Multidimensional Continuum: A definition and Examples. </w:t>
      </w:r>
      <w:r w:rsidRPr="00153A69">
        <w:rPr>
          <w:rFonts w:ascii="Times New Roman" w:eastAsia="Arial" w:hAnsi="Times New Roman" w:cs="Times New Roman"/>
          <w:i/>
          <w:iCs/>
          <w:sz w:val="24"/>
          <w:szCs w:val="24"/>
          <w:lang w:val="en-PH" w:eastAsia="en-PH"/>
        </w:rPr>
        <w:t>In Springer briefs in educational communications and technology</w:t>
      </w:r>
      <w:r w:rsidRPr="00153A69">
        <w:rPr>
          <w:rFonts w:ascii="Times New Roman" w:eastAsia="Arial" w:hAnsi="Times New Roman" w:cs="Times New Roman"/>
          <w:sz w:val="24"/>
          <w:szCs w:val="24"/>
          <w:lang w:val="en-PH" w:eastAsia="en-PH"/>
        </w:rPr>
        <w:t>. https://doi.org/10.1007/978-3-319-24615-4_2</w:t>
      </w:r>
    </w:p>
    <w:p w14:paraId="30969B49"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Granolagradschoolandgoffman. (2015, September 29). </w:t>
      </w:r>
      <w:r w:rsidRPr="00153A69">
        <w:rPr>
          <w:rFonts w:ascii="Times New Roman" w:eastAsia="Arial" w:hAnsi="Times New Roman" w:cs="Times New Roman"/>
          <w:i/>
          <w:iCs/>
          <w:sz w:val="24"/>
          <w:szCs w:val="24"/>
          <w:lang w:val="en-PH" w:eastAsia="en-PH"/>
        </w:rPr>
        <w:t>Creswell, J.W. 2013. Qualitative Inquiry and Research Design</w:t>
      </w:r>
      <w:r w:rsidRPr="00153A69">
        <w:rPr>
          <w:rFonts w:ascii="Times New Roman" w:eastAsia="Arial" w:hAnsi="Times New Roman" w:cs="Times New Roman"/>
          <w:sz w:val="24"/>
          <w:szCs w:val="24"/>
          <w:lang w:val="en-PH" w:eastAsia="en-PH"/>
        </w:rPr>
        <w:t>. Granola, Grad School and Goffman. https://granolagradschoolandgoffman.wordpress.com/2015/09/29/creswell-j-w-2013-qualitative-inquiry-and-research-design/</w:t>
      </w:r>
    </w:p>
    <w:p w14:paraId="1CCFFC97"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Gupta-Bhowon, M., Jhaumeer‐Laulloo, S., Wah, H. L. K., &amp; Ramasami, P. (2009). Chemistry education in the ICT age. In</w:t>
      </w:r>
      <w:r w:rsidRPr="00153A69">
        <w:rPr>
          <w:rFonts w:ascii="Times New Roman" w:eastAsia="Arial" w:hAnsi="Times New Roman" w:cs="Times New Roman"/>
          <w:i/>
          <w:iCs/>
          <w:sz w:val="24"/>
          <w:szCs w:val="24"/>
          <w:lang w:val="en-PH" w:eastAsia="en-PH"/>
        </w:rPr>
        <w:t xml:space="preserve"> Springer eBooks</w:t>
      </w:r>
      <w:r w:rsidRPr="00153A69">
        <w:rPr>
          <w:rFonts w:ascii="Times New Roman" w:eastAsia="Arial" w:hAnsi="Times New Roman" w:cs="Times New Roman"/>
          <w:sz w:val="24"/>
          <w:szCs w:val="24"/>
          <w:lang w:val="en-PH" w:eastAsia="en-PH"/>
        </w:rPr>
        <w:t>. https://doi.org/10.1007/978-1-4020-9732-4</w:t>
      </w:r>
    </w:p>
    <w:p w14:paraId="7219E1C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Hensen, C., &amp; Barbera, J. (2019). Assessing Affective Differences between a Virtual General Chemistry Experiment and a Similar Hands-On Experiment. </w:t>
      </w:r>
      <w:r w:rsidRPr="00153A69">
        <w:rPr>
          <w:rFonts w:ascii="Times New Roman" w:eastAsia="Arial" w:hAnsi="Times New Roman" w:cs="Times New Roman"/>
          <w:i/>
          <w:iCs/>
          <w:sz w:val="24"/>
          <w:szCs w:val="24"/>
          <w:lang w:val="en-PH" w:eastAsia="en-PH"/>
        </w:rPr>
        <w:t>Journal of Chemical Education</w:t>
      </w:r>
      <w:r w:rsidRPr="00153A69">
        <w:rPr>
          <w:rFonts w:ascii="Times New Roman" w:eastAsia="Arial" w:hAnsi="Times New Roman" w:cs="Times New Roman"/>
          <w:sz w:val="24"/>
          <w:szCs w:val="24"/>
          <w:lang w:val="en-PH" w:eastAsia="en-PH"/>
        </w:rPr>
        <w:t>, 96(10), 2097–2108. https://doi.org/10.1021/acs.jchemed.9b00561</w:t>
      </w:r>
    </w:p>
    <w:p w14:paraId="65F68C17"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Irwansyah, F. S., Lubab, I., Farida, I., &amp; Ramdhani, M. A. (2017). Designing interactive electronic module in chemistry lessons. </w:t>
      </w:r>
      <w:r w:rsidRPr="00153A69">
        <w:rPr>
          <w:rFonts w:ascii="Times New Roman" w:eastAsia="Arial" w:hAnsi="Times New Roman" w:cs="Times New Roman"/>
          <w:i/>
          <w:iCs/>
          <w:sz w:val="24"/>
          <w:szCs w:val="24"/>
          <w:lang w:val="en-PH" w:eastAsia="en-PH"/>
        </w:rPr>
        <w:t>Journal of Physics</w:t>
      </w:r>
      <w:r w:rsidRPr="00153A69">
        <w:rPr>
          <w:rFonts w:ascii="Times New Roman" w:eastAsia="Arial" w:hAnsi="Times New Roman" w:cs="Times New Roman"/>
          <w:sz w:val="24"/>
          <w:szCs w:val="24"/>
          <w:lang w:val="en-PH" w:eastAsia="en-PH"/>
        </w:rPr>
        <w:t xml:space="preserve">, 895, 012009. </w:t>
      </w:r>
      <w:hyperlink r:id="rId9" w:history="1">
        <w:r w:rsidRPr="00153A69">
          <w:rPr>
            <w:rFonts w:ascii="Times New Roman" w:eastAsia="Arial" w:hAnsi="Times New Roman" w:cs="Times New Roman"/>
            <w:sz w:val="24"/>
            <w:szCs w:val="24"/>
            <w:lang w:val="en-PH" w:eastAsia="en-PH"/>
          </w:rPr>
          <w:t>https://doi.org/10.1088/1742-6596/895/1/012009</w:t>
        </w:r>
      </w:hyperlink>
    </w:p>
    <w:p w14:paraId="3E694C9C"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Kaur, P., Stoltzfus, J., &amp; Yellapu, V. (2018). Descriptive statistics. </w:t>
      </w:r>
      <w:r w:rsidRPr="00153A69">
        <w:rPr>
          <w:rFonts w:ascii="Times New Roman" w:eastAsia="Arial" w:hAnsi="Times New Roman" w:cs="Times New Roman"/>
          <w:i/>
          <w:iCs/>
          <w:sz w:val="24"/>
          <w:szCs w:val="24"/>
          <w:lang w:val="en-PH" w:eastAsia="en-PH"/>
        </w:rPr>
        <w:t>International Journal of Academic Medicine</w:t>
      </w:r>
      <w:r w:rsidRPr="00153A69">
        <w:rPr>
          <w:rFonts w:ascii="Times New Roman" w:eastAsia="Arial" w:hAnsi="Times New Roman" w:cs="Times New Roman"/>
          <w:sz w:val="24"/>
          <w:szCs w:val="24"/>
          <w:lang w:val="en-PH" w:eastAsia="en-PH"/>
        </w:rPr>
        <w:t>, 4(1), 60-63.</w:t>
      </w:r>
    </w:p>
    <w:p w14:paraId="68ACD8F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Liu, T. C., Lin, Y. C., Hsu, C. D., Hsu, C. L., &amp;Paas, F. (2020). Learning from animations and computer simulations: Modality and reverse modality effects. </w:t>
      </w:r>
      <w:r w:rsidRPr="00153A69">
        <w:rPr>
          <w:rFonts w:ascii="Times New Roman" w:eastAsia="Arial" w:hAnsi="Times New Roman" w:cs="Times New Roman"/>
          <w:i/>
          <w:iCs/>
          <w:sz w:val="24"/>
          <w:szCs w:val="24"/>
          <w:lang w:val="en-PH" w:eastAsia="en-PH"/>
        </w:rPr>
        <w:t>British Journal of Educational Technology</w:t>
      </w:r>
      <w:r w:rsidRPr="00153A69">
        <w:rPr>
          <w:rFonts w:ascii="Times New Roman" w:eastAsia="Arial" w:hAnsi="Times New Roman" w:cs="Times New Roman"/>
          <w:sz w:val="24"/>
          <w:szCs w:val="24"/>
          <w:lang w:val="en-PH" w:eastAsia="en-PH"/>
        </w:rPr>
        <w:t>, 52(1), 304–317. https://doi.org/10.1111/bjet.12996</w:t>
      </w:r>
    </w:p>
    <w:p w14:paraId="4A0D0CFE"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Moore, E. B., Chamberlain, J. M., Parson, R., &amp; Perkins, K. K. (2014). PHET Interactive Simulations: Transformative Tools for Teaching Chemistry. </w:t>
      </w:r>
      <w:r w:rsidRPr="00153A69">
        <w:rPr>
          <w:rFonts w:ascii="Times New Roman" w:eastAsia="Arial" w:hAnsi="Times New Roman" w:cs="Times New Roman"/>
          <w:i/>
          <w:iCs/>
          <w:sz w:val="24"/>
          <w:szCs w:val="24"/>
          <w:lang w:val="en-PH" w:eastAsia="en-PH"/>
        </w:rPr>
        <w:t>Journal of Chemical Education,</w:t>
      </w:r>
      <w:r w:rsidRPr="00153A69">
        <w:rPr>
          <w:rFonts w:ascii="Times New Roman" w:eastAsia="Arial" w:hAnsi="Times New Roman" w:cs="Times New Roman"/>
          <w:sz w:val="24"/>
          <w:szCs w:val="24"/>
          <w:lang w:val="en-PH" w:eastAsia="en-PH"/>
        </w:rPr>
        <w:t xml:space="preserve"> 91(8), 1191–1197. https://doi.org/10.1021/ed4005084</w:t>
      </w:r>
    </w:p>
    <w:p w14:paraId="71B8571E"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lastRenderedPageBreak/>
        <w:t xml:space="preserve">Moore, E. B., Herzog, T. A., &amp; Perkins, K. K. (2013). Interactive simulations as implicit support for guided-inquiry. </w:t>
      </w:r>
      <w:r w:rsidRPr="00153A69">
        <w:rPr>
          <w:rFonts w:ascii="Times New Roman" w:eastAsia="Arial" w:hAnsi="Times New Roman" w:cs="Times New Roman"/>
          <w:i/>
          <w:iCs/>
          <w:sz w:val="24"/>
          <w:szCs w:val="24"/>
          <w:lang w:val="en-PH" w:eastAsia="en-PH"/>
        </w:rPr>
        <w:t>Chemistry Education. Research and Practice</w:t>
      </w:r>
      <w:r w:rsidRPr="00153A69">
        <w:rPr>
          <w:rFonts w:ascii="Times New Roman" w:eastAsia="Arial" w:hAnsi="Times New Roman" w:cs="Times New Roman"/>
          <w:sz w:val="24"/>
          <w:szCs w:val="24"/>
          <w:lang w:val="en-PH" w:eastAsia="en-PH"/>
        </w:rPr>
        <w:t>, 14(3), 257–268. https://doi.org/10.1039/c3rp20157k</w:t>
      </w:r>
    </w:p>
    <w:p w14:paraId="47F31ADA"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Nasr, N. (2020, July 1). </w:t>
      </w:r>
      <w:r w:rsidRPr="00153A69">
        <w:rPr>
          <w:rFonts w:ascii="Times New Roman" w:eastAsia="Arial" w:hAnsi="Times New Roman" w:cs="Times New Roman"/>
          <w:i/>
          <w:iCs/>
          <w:sz w:val="24"/>
          <w:szCs w:val="24"/>
          <w:lang w:val="en-PH" w:eastAsia="en-PH"/>
        </w:rPr>
        <w:t>Teachers as Students:: Adapting to online methods of instruction and assessment in the age of COVID-19</w:t>
      </w:r>
      <w:r w:rsidRPr="00153A69">
        <w:rPr>
          <w:rFonts w:ascii="Times New Roman" w:eastAsia="Arial" w:hAnsi="Times New Roman" w:cs="Times New Roman"/>
          <w:sz w:val="24"/>
          <w:szCs w:val="24"/>
          <w:lang w:val="en-PH" w:eastAsia="en-PH"/>
        </w:rPr>
        <w:t>. https://ejrsme.icrsme.com/article/view/20338</w:t>
      </w:r>
    </w:p>
    <w:p w14:paraId="5459E7E6"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eastAsia="en-PH"/>
        </w:rPr>
        <w:t>No, D. O. (8). Series of 2015,“. </w:t>
      </w:r>
      <w:r w:rsidRPr="00153A69">
        <w:rPr>
          <w:rFonts w:ascii="Times New Roman" w:eastAsia="Arial" w:hAnsi="Times New Roman" w:cs="Times New Roman"/>
          <w:i/>
          <w:iCs/>
          <w:sz w:val="24"/>
          <w:szCs w:val="24"/>
          <w:lang w:eastAsia="en-PH"/>
        </w:rPr>
        <w:t>Policy Guidelines on Classroom Assessment for the K to</w:t>
      </w:r>
      <w:r w:rsidRPr="00153A69">
        <w:rPr>
          <w:rFonts w:ascii="Times New Roman" w:eastAsia="Arial" w:hAnsi="Times New Roman" w:cs="Times New Roman"/>
          <w:sz w:val="24"/>
          <w:szCs w:val="24"/>
          <w:lang w:eastAsia="en-PH"/>
        </w:rPr>
        <w:t>, </w:t>
      </w:r>
      <w:r w:rsidRPr="00153A69">
        <w:rPr>
          <w:rFonts w:ascii="Times New Roman" w:eastAsia="Arial" w:hAnsi="Times New Roman" w:cs="Times New Roman"/>
          <w:i/>
          <w:iCs/>
          <w:sz w:val="24"/>
          <w:szCs w:val="24"/>
          <w:lang w:eastAsia="en-PH"/>
        </w:rPr>
        <w:t>12</w:t>
      </w:r>
      <w:r w:rsidRPr="00153A69">
        <w:rPr>
          <w:rFonts w:ascii="Times New Roman" w:eastAsia="Arial" w:hAnsi="Times New Roman" w:cs="Times New Roman"/>
          <w:sz w:val="24"/>
          <w:szCs w:val="24"/>
          <w:lang w:eastAsia="en-PH"/>
        </w:rPr>
        <w:t>.</w:t>
      </w:r>
    </w:p>
    <w:p w14:paraId="1822401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Nuraida, O., Akbar, G. S., Farida, I., &amp; Rahmatullah, S. (2021). Using PhET simulation to learning the concept of acid-base. </w:t>
      </w:r>
      <w:r w:rsidRPr="00153A69">
        <w:rPr>
          <w:rFonts w:ascii="Times New Roman" w:eastAsia="Arial" w:hAnsi="Times New Roman" w:cs="Times New Roman"/>
          <w:i/>
          <w:iCs/>
          <w:sz w:val="24"/>
          <w:szCs w:val="24"/>
          <w:lang w:val="en-PH" w:eastAsia="en-PH"/>
        </w:rPr>
        <w:t>Journal of Physics</w:t>
      </w:r>
      <w:r w:rsidRPr="00153A69">
        <w:rPr>
          <w:rFonts w:ascii="Times New Roman" w:eastAsia="Arial" w:hAnsi="Times New Roman" w:cs="Times New Roman"/>
          <w:sz w:val="24"/>
          <w:szCs w:val="24"/>
          <w:lang w:val="en-PH" w:eastAsia="en-PH"/>
        </w:rPr>
        <w:t>, 1869(1), 012020. https://doi.org/10.1088/1742-6596/1869/1/012020</w:t>
      </w:r>
    </w:p>
    <w:p w14:paraId="75009A06"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Øyehaug, A. B., &amp; Holt, A. M. (2013). Students’ understanding of the nature of matter and chemical reactions – a longitudinal study of conceptual restructuring. </w:t>
      </w:r>
      <w:r w:rsidRPr="00153A69">
        <w:rPr>
          <w:rFonts w:ascii="Times New Roman" w:eastAsia="Arial" w:hAnsi="Times New Roman" w:cs="Times New Roman"/>
          <w:i/>
          <w:iCs/>
          <w:sz w:val="24"/>
          <w:szCs w:val="24"/>
          <w:lang w:val="en-PH" w:eastAsia="en-PH"/>
        </w:rPr>
        <w:t>Chemistry Education. Research and Practice</w:t>
      </w:r>
      <w:r w:rsidRPr="00153A69">
        <w:rPr>
          <w:rFonts w:ascii="Times New Roman" w:eastAsia="Arial" w:hAnsi="Times New Roman" w:cs="Times New Roman"/>
          <w:sz w:val="24"/>
          <w:szCs w:val="24"/>
          <w:lang w:val="en-PH" w:eastAsia="en-PH"/>
        </w:rPr>
        <w:t>, 14(4), 450–467. https://doi.org/10.1039/c3rp00027c</w:t>
      </w:r>
    </w:p>
    <w:p w14:paraId="3321CDD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Parinduri, S. H., Sirait, M., &amp; Sani, R. (2017). The Effect of Cooperative Learning Model Type Group Investigation for Student’s Conceptual Knowledge and. . . </w:t>
      </w:r>
      <w:r w:rsidRPr="00153A69">
        <w:rPr>
          <w:rFonts w:ascii="Times New Roman" w:eastAsia="Arial" w:hAnsi="Times New Roman" w:cs="Times New Roman"/>
          <w:i/>
          <w:iCs/>
          <w:sz w:val="24"/>
          <w:szCs w:val="24"/>
          <w:lang w:val="en-PH" w:eastAsia="en-PH"/>
        </w:rPr>
        <w:t>ResearchGate</w:t>
      </w:r>
      <w:r w:rsidRPr="00153A69">
        <w:rPr>
          <w:rFonts w:ascii="Times New Roman" w:eastAsia="Arial" w:hAnsi="Times New Roman" w:cs="Times New Roman"/>
          <w:sz w:val="24"/>
          <w:szCs w:val="24"/>
          <w:lang w:val="en-PH" w:eastAsia="en-PH"/>
        </w:rPr>
        <w:t>. https://doi.org/10.9790/7388-0704034954</w:t>
      </w:r>
    </w:p>
    <w:p w14:paraId="32E1ABA9"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Petillion, R. J. (n.d.). </w:t>
      </w:r>
      <w:r w:rsidRPr="00153A69">
        <w:rPr>
          <w:rFonts w:ascii="Times New Roman" w:eastAsia="Arial" w:hAnsi="Times New Roman" w:cs="Times New Roman"/>
          <w:i/>
          <w:iCs/>
          <w:sz w:val="24"/>
          <w:szCs w:val="24"/>
          <w:lang w:val="en-PH" w:eastAsia="en-PH"/>
        </w:rPr>
        <w:t>Johnstone’s Triangle as a pedagogical framework for Flipped-Class instructional videos in Introductory chemistry</w:t>
      </w:r>
      <w:r w:rsidRPr="00153A69">
        <w:rPr>
          <w:rFonts w:ascii="Times New Roman" w:eastAsia="Arial" w:hAnsi="Times New Roman" w:cs="Times New Roman"/>
          <w:sz w:val="24"/>
          <w:szCs w:val="24"/>
          <w:lang w:val="en-PH" w:eastAsia="en-PH"/>
        </w:rPr>
        <w:t>. https://eric.ed.gov/?id=EJ1256633</w:t>
      </w:r>
    </w:p>
    <w:p w14:paraId="168338F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Rahmawati, Y. (2022, June 2). </w:t>
      </w:r>
      <w:r w:rsidRPr="00153A69">
        <w:rPr>
          <w:rFonts w:ascii="Times New Roman" w:eastAsia="Arial" w:hAnsi="Times New Roman" w:cs="Times New Roman"/>
          <w:i/>
          <w:iCs/>
          <w:sz w:val="24"/>
          <w:szCs w:val="24"/>
          <w:lang w:val="en-PH" w:eastAsia="en-PH"/>
        </w:rPr>
        <w:t>Students’ conceptual understanding in chemistry learning using PhET interactive simulations</w:t>
      </w:r>
      <w:r w:rsidRPr="00153A69">
        <w:rPr>
          <w:rFonts w:ascii="Times New Roman" w:eastAsia="Arial" w:hAnsi="Times New Roman" w:cs="Times New Roman"/>
          <w:sz w:val="24"/>
          <w:szCs w:val="24"/>
          <w:lang w:val="en-PH" w:eastAsia="en-PH"/>
        </w:rPr>
        <w:t>. Rahmawati | Journal of Technology and Science Education. https://www.jotse.org/index.php/jotse/article/view/1597/611</w:t>
      </w:r>
    </w:p>
    <w:p w14:paraId="432DACB5"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Rahmawati, Y., Zulhipri, Z., Hartanto, O., Falani, I., &amp;Iriyadi, D. (2022). Students’ conceptual understanding in chemistry learning using PhET interactive simulations. </w:t>
      </w:r>
      <w:r w:rsidRPr="00153A69">
        <w:rPr>
          <w:rFonts w:ascii="Times New Roman" w:eastAsia="Arial" w:hAnsi="Times New Roman" w:cs="Times New Roman"/>
          <w:i/>
          <w:iCs/>
          <w:sz w:val="24"/>
          <w:szCs w:val="24"/>
          <w:lang w:val="en-PH" w:eastAsia="en-PH"/>
        </w:rPr>
        <w:t>Journal of Technology and Science Education</w:t>
      </w:r>
      <w:r w:rsidRPr="00153A69">
        <w:rPr>
          <w:rFonts w:ascii="Times New Roman" w:eastAsia="Arial" w:hAnsi="Times New Roman" w:cs="Times New Roman"/>
          <w:sz w:val="24"/>
          <w:szCs w:val="24"/>
          <w:lang w:val="en-PH" w:eastAsia="en-PH"/>
        </w:rPr>
        <w:t>, 12(2), 303. https://doi.org/10.3926/jotse.1597</w:t>
      </w:r>
    </w:p>
    <w:p w14:paraId="4A476615"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Rai, N. (2016). A STUDY ON PURPOSIVE SAMPLING METHOD IN RESEARCH. </w:t>
      </w:r>
      <w:r w:rsidRPr="00153A69">
        <w:rPr>
          <w:rFonts w:ascii="Times New Roman" w:eastAsia="Arial" w:hAnsi="Times New Roman" w:cs="Times New Roman"/>
          <w:i/>
          <w:iCs/>
          <w:sz w:val="24"/>
          <w:szCs w:val="24"/>
          <w:lang w:val="en-PH" w:eastAsia="en-PH"/>
        </w:rPr>
        <w:t>Ksl</w:t>
      </w:r>
      <w:r w:rsidRPr="00153A69">
        <w:rPr>
          <w:rFonts w:ascii="Times New Roman" w:eastAsia="Arial" w:hAnsi="Times New Roman" w:cs="Times New Roman"/>
          <w:sz w:val="24"/>
          <w:szCs w:val="24"/>
          <w:lang w:val="en-PH" w:eastAsia="en-PH"/>
        </w:rPr>
        <w:t>.https://www.academia.edu/28087388/A_STUDY_ON_PURPOSIVE_SAMPLING_METHOD_IN_RESEARCH</w:t>
      </w:r>
    </w:p>
    <w:p w14:paraId="302414AA"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Salame, I. I., &amp; Makki, J. (2021). Examining the Use of PHET Simulations on Students’ Attitudes and Learning in General Chemistry II. Interdisciplinary Journal of Environmental and Science Education, 17(4), e2247. </w:t>
      </w:r>
      <w:hyperlink r:id="rId10" w:history="1">
        <w:r w:rsidRPr="00153A69">
          <w:rPr>
            <w:rFonts w:ascii="Times New Roman" w:eastAsia="Arial" w:hAnsi="Times New Roman" w:cs="Times New Roman"/>
            <w:sz w:val="24"/>
            <w:szCs w:val="24"/>
            <w:lang w:val="en-PH" w:eastAsia="en-PH"/>
          </w:rPr>
          <w:t>https://doi.org/10.21601/ijese/10966</w:t>
        </w:r>
      </w:hyperlink>
    </w:p>
    <w:p w14:paraId="733979D9"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Schober, P., Boer, C., &amp; Schwarte, L. A. (2018). Correlation coefficients: appropriate use and interpretation. Anesthesia &amp; analgesia, 126(5), 1763-1768.</w:t>
      </w:r>
    </w:p>
    <w:p w14:paraId="7F046D98"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Thiese, M. S., Ronna, B., &amp; Ott, U. (2016). P value interpretations and considerations. Journal of thoracic disease, 8(9), E928.</w:t>
      </w:r>
    </w:p>
    <w:p w14:paraId="67ED527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Tongco, M. D. C. (2007, December 31). </w:t>
      </w:r>
      <w:r w:rsidRPr="00153A69">
        <w:rPr>
          <w:rFonts w:ascii="Times New Roman" w:eastAsia="Arial" w:hAnsi="Times New Roman" w:cs="Times New Roman"/>
          <w:i/>
          <w:iCs/>
          <w:sz w:val="24"/>
          <w:szCs w:val="24"/>
          <w:lang w:val="en-PH" w:eastAsia="en-PH"/>
        </w:rPr>
        <w:t>Purposive sampling as a tool for informant selection</w:t>
      </w:r>
      <w:r w:rsidRPr="00153A69">
        <w:rPr>
          <w:rFonts w:ascii="Times New Roman" w:eastAsia="Arial" w:hAnsi="Times New Roman" w:cs="Times New Roman"/>
          <w:sz w:val="24"/>
          <w:szCs w:val="24"/>
          <w:lang w:val="en-PH" w:eastAsia="en-PH"/>
        </w:rPr>
        <w:t>. https://ethnobotanyjournal.org/index.php/era/article/view/126</w:t>
      </w:r>
    </w:p>
    <w:p w14:paraId="1682390A"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Tümay, H. (2016). Reconsidering learning difficulties and misconceptions in chemistry: emergence in chemistry and its implications for chemical education. </w:t>
      </w:r>
      <w:r w:rsidRPr="00153A69">
        <w:rPr>
          <w:rFonts w:ascii="Times New Roman" w:eastAsia="Arial" w:hAnsi="Times New Roman" w:cs="Times New Roman"/>
          <w:i/>
          <w:iCs/>
          <w:sz w:val="24"/>
          <w:szCs w:val="24"/>
          <w:lang w:val="en-PH" w:eastAsia="en-PH"/>
        </w:rPr>
        <w:t>Chemistry Education. Research and Practice</w:t>
      </w:r>
      <w:r w:rsidRPr="00153A69">
        <w:rPr>
          <w:rFonts w:ascii="Times New Roman" w:eastAsia="Arial" w:hAnsi="Times New Roman" w:cs="Times New Roman"/>
          <w:sz w:val="24"/>
          <w:szCs w:val="24"/>
          <w:lang w:val="en-PH" w:eastAsia="en-PH"/>
        </w:rPr>
        <w:t>, 17(2), 229–245. https://doi.org/10.1039/c6rp00008h</w:t>
      </w:r>
    </w:p>
    <w:p w14:paraId="1CD2EDE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i/>
          <w:iCs/>
          <w:sz w:val="24"/>
          <w:szCs w:val="24"/>
          <w:lang w:val="en-PH" w:eastAsia="en-PH"/>
        </w:rPr>
        <w:t>Use of Physics Education Technology (PHET) Simulations to Enhance Students’ Achievement in Bivariate Statistics within Selected Secondary Schools of Muhanga District, Rwanda – Journal of Research Innovation and Implications in Education</w:t>
      </w:r>
      <w:r w:rsidRPr="00153A69">
        <w:rPr>
          <w:rFonts w:ascii="Times New Roman" w:eastAsia="Arial" w:hAnsi="Times New Roman" w:cs="Times New Roman"/>
          <w:sz w:val="24"/>
          <w:szCs w:val="24"/>
          <w:lang w:val="en-PH" w:eastAsia="en-PH"/>
        </w:rPr>
        <w:t>. (2023, March 14). https://jriiejournal.com/use-of-physics-education-technology-phet-simulations-to-enhance-students-achievement-in-bivariate-statistics-within-selected-secondary-schools-of-muhanga-district-rwanda/</w:t>
      </w:r>
    </w:p>
    <w:p w14:paraId="62FCA1E2"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Wacker, J. G. (2004). A theory of formal conceptual definitions: developing theory‐building measurement instruments. </w:t>
      </w:r>
      <w:r w:rsidRPr="00153A69">
        <w:rPr>
          <w:rFonts w:ascii="Times New Roman" w:eastAsia="Arial" w:hAnsi="Times New Roman" w:cs="Times New Roman"/>
          <w:i/>
          <w:iCs/>
          <w:sz w:val="24"/>
          <w:szCs w:val="24"/>
          <w:lang w:val="en-PH" w:eastAsia="en-PH"/>
        </w:rPr>
        <w:t>Journal of Operations Management,</w:t>
      </w:r>
      <w:r w:rsidRPr="00153A69">
        <w:rPr>
          <w:rFonts w:ascii="Times New Roman" w:eastAsia="Arial" w:hAnsi="Times New Roman" w:cs="Times New Roman"/>
          <w:sz w:val="24"/>
          <w:szCs w:val="24"/>
          <w:lang w:val="en-PH" w:eastAsia="en-PH"/>
        </w:rPr>
        <w:t xml:space="preserve"> 22(6), 629–650. https://doi.org/10.1016/j.jom.2004.08.002</w:t>
      </w:r>
    </w:p>
    <w:p w14:paraId="10DB507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Watson, S. (2020). Virtual Chemistry: Using the PHET simulation scale and the 5E model to enhance students’ PH understandings. </w:t>
      </w:r>
      <w:r w:rsidRPr="00153A69">
        <w:rPr>
          <w:rFonts w:ascii="Times New Roman" w:eastAsia="Arial" w:hAnsi="Times New Roman" w:cs="Times New Roman"/>
          <w:i/>
          <w:iCs/>
          <w:sz w:val="24"/>
          <w:szCs w:val="24"/>
          <w:lang w:val="en-PH" w:eastAsia="en-PH"/>
        </w:rPr>
        <w:t>ResearchGate</w:t>
      </w:r>
      <w:r w:rsidRPr="00153A69">
        <w:rPr>
          <w:rFonts w:ascii="Times New Roman" w:eastAsia="Arial" w:hAnsi="Times New Roman" w:cs="Times New Roman"/>
          <w:sz w:val="24"/>
          <w:szCs w:val="24"/>
          <w:lang w:val="en-PH" w:eastAsia="en-PH"/>
        </w:rPr>
        <w:t>. https://www.researchgate.net/publication/339031971_Virtual_Chemistry_Using_the_PhET_Simulation_Scale_and_the_5E_Model_to_Enhance_Students%27_pH_Understandings</w:t>
      </w:r>
    </w:p>
    <w:p w14:paraId="48A9C3C3"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Watson, S., Dubrovskiy, A. V., &amp; Peters, M. (2020). Increasing chemistry students’ knowledge, confidence, and conceptual understanding of pH using a collaborative computer pH simulation. </w:t>
      </w:r>
      <w:r w:rsidRPr="00153A69">
        <w:rPr>
          <w:rFonts w:ascii="Times New Roman" w:eastAsia="Arial" w:hAnsi="Times New Roman" w:cs="Times New Roman"/>
          <w:i/>
          <w:iCs/>
          <w:sz w:val="24"/>
          <w:szCs w:val="24"/>
          <w:lang w:val="en-PH" w:eastAsia="en-PH"/>
        </w:rPr>
        <w:t>Chemistry Education. Research and Practice</w:t>
      </w:r>
      <w:r w:rsidRPr="00153A69">
        <w:rPr>
          <w:rFonts w:ascii="Times New Roman" w:eastAsia="Arial" w:hAnsi="Times New Roman" w:cs="Times New Roman"/>
          <w:sz w:val="24"/>
          <w:szCs w:val="24"/>
          <w:lang w:val="en-PH" w:eastAsia="en-PH"/>
        </w:rPr>
        <w:t>, 21(2), 528–535. https://doi.org/10.1039/c9rp00235a</w:t>
      </w:r>
    </w:p>
    <w:p w14:paraId="33C7D8F9"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lastRenderedPageBreak/>
        <w:t xml:space="preserve">Yunzal, A. N., &amp;Casinillo, L. F. (2020). Effect of Physics Education Technology (PhET) Simulations: Evidence from STEM Students’ Performance. </w:t>
      </w:r>
      <w:r w:rsidRPr="00153A69">
        <w:rPr>
          <w:rFonts w:ascii="Times New Roman" w:eastAsia="Arial" w:hAnsi="Times New Roman" w:cs="Times New Roman"/>
          <w:i/>
          <w:iCs/>
          <w:sz w:val="24"/>
          <w:szCs w:val="24"/>
          <w:lang w:val="en-PH" w:eastAsia="en-PH"/>
        </w:rPr>
        <w:t>Journal of Education Research and Evaluation</w:t>
      </w:r>
      <w:r w:rsidRPr="00153A69">
        <w:rPr>
          <w:rFonts w:ascii="Times New Roman" w:eastAsia="Arial" w:hAnsi="Times New Roman" w:cs="Times New Roman"/>
          <w:sz w:val="24"/>
          <w:szCs w:val="24"/>
          <w:lang w:val="en-PH" w:eastAsia="en-PH"/>
        </w:rPr>
        <w:t xml:space="preserve">, 4(3), 221. </w:t>
      </w:r>
      <w:hyperlink r:id="rId11" w:history="1">
        <w:r w:rsidRPr="00153A69">
          <w:rPr>
            <w:rFonts w:ascii="Times New Roman" w:eastAsia="Arial" w:hAnsi="Times New Roman" w:cs="Times New Roman"/>
            <w:sz w:val="24"/>
            <w:szCs w:val="24"/>
            <w:lang w:val="en-PH" w:eastAsia="en-PH"/>
          </w:rPr>
          <w:t>https://doi.org/10.23887/jere.v4i3.27450</w:t>
        </w:r>
      </w:hyperlink>
    </w:p>
    <w:p w14:paraId="14DB86BA" w14:textId="77777777" w:rsidR="005932B2" w:rsidRPr="00153A69" w:rsidRDefault="005932B2" w:rsidP="005932B2">
      <w:pPr>
        <w:ind w:left="709" w:hanging="567"/>
        <w:rPr>
          <w:rFonts w:ascii="Times New Roman" w:hAnsi="Times New Roman" w:cs="Times New Roman"/>
        </w:rPr>
      </w:pPr>
    </w:p>
    <w:p w14:paraId="7DC9D167" w14:textId="77777777" w:rsidR="006B5370" w:rsidRPr="00153A69" w:rsidRDefault="006B5370" w:rsidP="006B5370">
      <w:pPr>
        <w:jc w:val="both"/>
        <w:rPr>
          <w:rFonts w:ascii="Times New Roman" w:hAnsi="Times New Roman" w:cs="Times New Roman"/>
          <w:color w:val="000000"/>
          <w:sz w:val="24"/>
          <w:szCs w:val="24"/>
        </w:rPr>
      </w:pPr>
    </w:p>
    <w:p w14:paraId="42735C40" w14:textId="77777777" w:rsidR="006B5370" w:rsidRPr="00153A69" w:rsidRDefault="006B5370" w:rsidP="006B5370">
      <w:pPr>
        <w:jc w:val="both"/>
        <w:rPr>
          <w:rFonts w:ascii="Times New Roman" w:hAnsi="Times New Roman" w:cs="Times New Roman"/>
          <w:b/>
          <w:bCs/>
          <w:color w:val="000000"/>
          <w:sz w:val="24"/>
          <w:szCs w:val="24"/>
        </w:rPr>
      </w:pPr>
    </w:p>
    <w:p w14:paraId="5EA6C928" w14:textId="77777777" w:rsidR="006B5370" w:rsidRPr="00153A69" w:rsidRDefault="006B5370" w:rsidP="006B5370">
      <w:pPr>
        <w:tabs>
          <w:tab w:val="left" w:pos="142"/>
        </w:tabs>
        <w:jc w:val="both"/>
        <w:rPr>
          <w:rFonts w:ascii="Times New Roman" w:hAnsi="Times New Roman" w:cs="Times New Roman"/>
          <w:b/>
          <w:bCs/>
          <w:color w:val="000000"/>
          <w:sz w:val="24"/>
          <w:szCs w:val="24"/>
        </w:rPr>
      </w:pPr>
    </w:p>
    <w:p w14:paraId="364A8CD3" w14:textId="77777777" w:rsidR="007478DF" w:rsidRPr="00153A69" w:rsidRDefault="007478DF" w:rsidP="007478DF">
      <w:pPr>
        <w:rPr>
          <w:rFonts w:ascii="Times New Roman" w:eastAsia="Arial" w:hAnsi="Times New Roman" w:cs="Times New Roman"/>
          <w:sz w:val="24"/>
          <w:szCs w:val="24"/>
        </w:rPr>
      </w:pPr>
    </w:p>
    <w:p w14:paraId="65094AAC" w14:textId="77777777" w:rsidR="007478DF" w:rsidRPr="00153A69" w:rsidRDefault="007478DF" w:rsidP="007478DF">
      <w:pPr>
        <w:rPr>
          <w:rFonts w:ascii="Times New Roman" w:eastAsia="Arial" w:hAnsi="Times New Roman" w:cs="Times New Roman"/>
          <w:sz w:val="24"/>
          <w:szCs w:val="24"/>
        </w:rPr>
      </w:pPr>
    </w:p>
    <w:p w14:paraId="5EB151A5" w14:textId="77777777" w:rsidR="0096665A" w:rsidRDefault="0096665A" w:rsidP="0003239F">
      <w:pPr>
        <w:ind w:firstLine="720"/>
        <w:jc w:val="both"/>
        <w:rPr>
          <w:rFonts w:ascii="Times New Roman" w:hAnsi="Times New Roman" w:cs="Times New Roman"/>
          <w:color w:val="000000"/>
          <w:sz w:val="24"/>
          <w:szCs w:val="24"/>
        </w:rPr>
      </w:pPr>
    </w:p>
    <w:p w14:paraId="40B39BC5" w14:textId="77777777" w:rsidR="0096665A" w:rsidRDefault="0096665A" w:rsidP="0003239F">
      <w:pPr>
        <w:ind w:firstLine="720"/>
        <w:jc w:val="both"/>
        <w:rPr>
          <w:rFonts w:ascii="Times New Roman" w:hAnsi="Times New Roman" w:cs="Times New Roman"/>
          <w:color w:val="000000"/>
          <w:sz w:val="24"/>
          <w:szCs w:val="24"/>
        </w:rPr>
      </w:pPr>
    </w:p>
    <w:p w14:paraId="50E04880" w14:textId="77777777" w:rsidR="0096665A" w:rsidRDefault="0096665A" w:rsidP="0003239F">
      <w:pPr>
        <w:ind w:firstLine="720"/>
        <w:jc w:val="both"/>
        <w:rPr>
          <w:rFonts w:ascii="Times New Roman" w:hAnsi="Times New Roman" w:cs="Times New Roman"/>
          <w:color w:val="000000"/>
          <w:sz w:val="24"/>
          <w:szCs w:val="24"/>
        </w:rPr>
      </w:pPr>
    </w:p>
    <w:p w14:paraId="078BA47C" w14:textId="77777777" w:rsidR="0096665A" w:rsidRDefault="0096665A" w:rsidP="0003239F">
      <w:pPr>
        <w:ind w:firstLine="720"/>
        <w:jc w:val="both"/>
        <w:rPr>
          <w:rFonts w:ascii="Times New Roman" w:hAnsi="Times New Roman" w:cs="Times New Roman"/>
          <w:color w:val="000000"/>
          <w:sz w:val="24"/>
          <w:szCs w:val="24"/>
        </w:rPr>
      </w:pPr>
    </w:p>
    <w:p w14:paraId="79872220" w14:textId="77777777" w:rsidR="0096665A" w:rsidRDefault="0096665A" w:rsidP="0003239F">
      <w:pPr>
        <w:ind w:firstLine="720"/>
        <w:jc w:val="both"/>
        <w:rPr>
          <w:rFonts w:ascii="Times New Roman" w:hAnsi="Times New Roman" w:cs="Times New Roman"/>
          <w:color w:val="000000"/>
          <w:sz w:val="24"/>
          <w:szCs w:val="24"/>
        </w:rPr>
      </w:pPr>
    </w:p>
    <w:p w14:paraId="2283018F" w14:textId="77777777" w:rsidR="0096665A" w:rsidRDefault="0096665A" w:rsidP="0003239F">
      <w:pPr>
        <w:ind w:firstLine="720"/>
        <w:jc w:val="both"/>
        <w:rPr>
          <w:rFonts w:ascii="Times New Roman" w:hAnsi="Times New Roman" w:cs="Times New Roman"/>
          <w:color w:val="000000"/>
          <w:sz w:val="24"/>
          <w:szCs w:val="24"/>
        </w:rPr>
      </w:pPr>
    </w:p>
    <w:p w14:paraId="17160C5E" w14:textId="77777777" w:rsidR="0096665A" w:rsidRDefault="0096665A" w:rsidP="0003239F">
      <w:pPr>
        <w:ind w:firstLine="720"/>
        <w:jc w:val="both"/>
        <w:rPr>
          <w:rFonts w:ascii="Times New Roman" w:hAnsi="Times New Roman" w:cs="Times New Roman"/>
          <w:color w:val="000000"/>
          <w:sz w:val="24"/>
          <w:szCs w:val="24"/>
        </w:rPr>
      </w:pPr>
    </w:p>
    <w:p w14:paraId="4A3D0D26" w14:textId="77777777" w:rsidR="0096665A" w:rsidRDefault="0096665A" w:rsidP="0003239F">
      <w:pPr>
        <w:ind w:firstLine="720"/>
        <w:jc w:val="both"/>
        <w:rPr>
          <w:rFonts w:ascii="Times New Roman" w:hAnsi="Times New Roman" w:cs="Times New Roman"/>
          <w:color w:val="000000"/>
          <w:sz w:val="24"/>
          <w:szCs w:val="24"/>
        </w:rPr>
      </w:pPr>
    </w:p>
    <w:p w14:paraId="40FDE043" w14:textId="77777777" w:rsidR="0096665A" w:rsidRDefault="0096665A" w:rsidP="0003239F">
      <w:pPr>
        <w:ind w:firstLine="720"/>
        <w:jc w:val="both"/>
        <w:rPr>
          <w:rFonts w:ascii="Times New Roman" w:hAnsi="Times New Roman" w:cs="Times New Roman"/>
          <w:color w:val="000000"/>
          <w:sz w:val="24"/>
          <w:szCs w:val="24"/>
        </w:rPr>
      </w:pPr>
    </w:p>
    <w:p w14:paraId="6B36E9CF" w14:textId="77777777" w:rsidR="0096665A" w:rsidRPr="00153A69" w:rsidRDefault="0096665A" w:rsidP="0003239F">
      <w:pPr>
        <w:ind w:firstLine="720"/>
        <w:jc w:val="both"/>
        <w:rPr>
          <w:rFonts w:ascii="Times New Roman" w:hAnsi="Times New Roman" w:cs="Times New Roman"/>
          <w:color w:val="000000"/>
          <w:sz w:val="24"/>
          <w:szCs w:val="24"/>
        </w:rPr>
      </w:pPr>
    </w:p>
    <w:p w14:paraId="3DFD0852" w14:textId="77777777" w:rsidR="0003239F" w:rsidRPr="00153A69" w:rsidRDefault="0003239F" w:rsidP="0003239F">
      <w:pPr>
        <w:rPr>
          <w:rFonts w:ascii="Times New Roman" w:hAnsi="Times New Roman" w:cs="Times New Roman"/>
          <w:b/>
          <w:bCs/>
          <w:color w:val="000000"/>
          <w:sz w:val="24"/>
          <w:szCs w:val="24"/>
        </w:rPr>
      </w:pPr>
    </w:p>
    <w:p w14:paraId="12CBEFF6" w14:textId="77777777" w:rsidR="001A38C1" w:rsidRDefault="001A38C1" w:rsidP="004E25D2">
      <w:pPr>
        <w:jc w:val="both"/>
      </w:pPr>
    </w:p>
    <w:sectPr w:rsidR="001A38C1" w:rsidSect="004E25D2">
      <w:type w:val="continuous"/>
      <w:pgSz w:w="11906" w:h="16838" w:code="9"/>
      <w:pgMar w:top="1083" w:right="607" w:bottom="607" w:left="6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EC1B" w14:textId="77777777" w:rsidR="00B059DE" w:rsidRDefault="00B059DE" w:rsidP="004E25D2">
      <w:r>
        <w:separator/>
      </w:r>
    </w:p>
  </w:endnote>
  <w:endnote w:type="continuationSeparator" w:id="0">
    <w:p w14:paraId="443F63E9" w14:textId="77777777" w:rsidR="00B059DE" w:rsidRDefault="00B059DE" w:rsidP="004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640C" w14:textId="77777777" w:rsidR="00B059DE" w:rsidRDefault="00B059DE" w:rsidP="004E25D2">
      <w:r>
        <w:separator/>
      </w:r>
    </w:p>
  </w:footnote>
  <w:footnote w:type="continuationSeparator" w:id="0">
    <w:p w14:paraId="2BED1047" w14:textId="77777777" w:rsidR="00B059DE" w:rsidRDefault="00B059DE" w:rsidP="004E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1996EBF"/>
    <w:lvl w:ilvl="0">
      <w:start w:val="1"/>
      <w:numFmt w:val="decimal"/>
      <w:suff w:val="space"/>
      <w:lvlText w:val="%1."/>
      <w:lvlJc w:val="left"/>
      <w:rPr>
        <w:rFonts w:ascii="Arial" w:hAnsi="Arial" w:cs="Arial" w:hint="default"/>
        <w:b w:val="0"/>
        <w:bCs w:val="0"/>
        <w:sz w:val="24"/>
        <w:szCs w:val="24"/>
      </w:rPr>
    </w:lvl>
  </w:abstractNum>
  <w:abstractNum w:abstractNumId="1" w15:restartNumberingAfterBreak="0">
    <w:nsid w:val="0AFC0797"/>
    <w:multiLevelType w:val="hybridMultilevel"/>
    <w:tmpl w:val="CF989D5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9E7AF2"/>
    <w:multiLevelType w:val="hybridMultilevel"/>
    <w:tmpl w:val="27FC5A9A"/>
    <w:lvl w:ilvl="0" w:tplc="176498DC">
      <w:start w:val="1"/>
      <w:numFmt w:val="decimal"/>
      <w:lvlText w:val="Phase %1. "/>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87809393">
    <w:abstractNumId w:val="0"/>
  </w:num>
  <w:num w:numId="2" w16cid:durableId="1503810364">
    <w:abstractNumId w:val="1"/>
  </w:num>
  <w:num w:numId="3" w16cid:durableId="705717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38"/>
    <w:rsid w:val="00025F31"/>
    <w:rsid w:val="0003239F"/>
    <w:rsid w:val="000B099E"/>
    <w:rsid w:val="000B7397"/>
    <w:rsid w:val="000E2A98"/>
    <w:rsid w:val="00115DAB"/>
    <w:rsid w:val="00165877"/>
    <w:rsid w:val="001725FB"/>
    <w:rsid w:val="001A38C1"/>
    <w:rsid w:val="002240DC"/>
    <w:rsid w:val="0031347E"/>
    <w:rsid w:val="003874B2"/>
    <w:rsid w:val="003F1339"/>
    <w:rsid w:val="003F35D6"/>
    <w:rsid w:val="003F7F5A"/>
    <w:rsid w:val="004766C1"/>
    <w:rsid w:val="004E25D2"/>
    <w:rsid w:val="00520457"/>
    <w:rsid w:val="005932B2"/>
    <w:rsid w:val="006A163E"/>
    <w:rsid w:val="006B5370"/>
    <w:rsid w:val="00744A0A"/>
    <w:rsid w:val="007478DF"/>
    <w:rsid w:val="007E416A"/>
    <w:rsid w:val="007E6B6D"/>
    <w:rsid w:val="00831D12"/>
    <w:rsid w:val="0096665A"/>
    <w:rsid w:val="00A27AB5"/>
    <w:rsid w:val="00A85FB9"/>
    <w:rsid w:val="00B043A8"/>
    <w:rsid w:val="00B059DE"/>
    <w:rsid w:val="00C33E95"/>
    <w:rsid w:val="00C45922"/>
    <w:rsid w:val="00CC4ECA"/>
    <w:rsid w:val="00D23676"/>
    <w:rsid w:val="00D85F1E"/>
    <w:rsid w:val="00DC160D"/>
    <w:rsid w:val="00DE4A38"/>
    <w:rsid w:val="00E63BDA"/>
    <w:rsid w:val="00E7496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FEFF"/>
  <w15:chartTrackingRefBased/>
  <w15:docId w15:val="{2EC3ABBD-6C62-4C31-A094-F000DFA7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38"/>
    <w:pPr>
      <w:spacing w:after="0" w:line="240" w:lineRule="auto"/>
    </w:pPr>
    <w:rPr>
      <w:rFonts w:ascii="Calibri" w:eastAsia="SimSun" w:hAnsi="Calibri" w:cs="SimSun"/>
      <w:kern w:val="0"/>
      <w:sz w:val="20"/>
      <w:szCs w:val="20"/>
      <w:lang w:val="en-US" w:eastAsia="zh-CN"/>
      <w14:ligatures w14:val="none"/>
    </w:rPr>
  </w:style>
  <w:style w:type="paragraph" w:styleId="Heading1">
    <w:name w:val="heading 1"/>
    <w:basedOn w:val="Normal"/>
    <w:next w:val="Normal"/>
    <w:link w:val="Heading1Char"/>
    <w:uiPriority w:val="9"/>
    <w:qFormat/>
    <w:rsid w:val="00DE4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A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A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A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A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A3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E4A3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E4A3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E4A3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E4A3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E4A3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E4A3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E4A3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E4A3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E4A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A3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E4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A3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E4A38"/>
    <w:pPr>
      <w:spacing w:before="160"/>
      <w:jc w:val="center"/>
    </w:pPr>
    <w:rPr>
      <w:i/>
      <w:iCs/>
      <w:color w:val="404040" w:themeColor="text1" w:themeTint="BF"/>
    </w:rPr>
  </w:style>
  <w:style w:type="character" w:customStyle="1" w:styleId="QuoteChar">
    <w:name w:val="Quote Char"/>
    <w:basedOn w:val="DefaultParagraphFont"/>
    <w:link w:val="Quote"/>
    <w:uiPriority w:val="29"/>
    <w:rsid w:val="00DE4A38"/>
    <w:rPr>
      <w:i/>
      <w:iCs/>
      <w:color w:val="404040" w:themeColor="text1" w:themeTint="BF"/>
      <w:lang w:val="en-US"/>
    </w:rPr>
  </w:style>
  <w:style w:type="paragraph" w:styleId="ListParagraph">
    <w:name w:val="List Paragraph"/>
    <w:basedOn w:val="Normal"/>
    <w:uiPriority w:val="34"/>
    <w:qFormat/>
    <w:rsid w:val="00DE4A38"/>
    <w:pPr>
      <w:ind w:left="720"/>
      <w:contextualSpacing/>
    </w:pPr>
  </w:style>
  <w:style w:type="character" w:styleId="IntenseEmphasis">
    <w:name w:val="Intense Emphasis"/>
    <w:basedOn w:val="DefaultParagraphFont"/>
    <w:uiPriority w:val="21"/>
    <w:qFormat/>
    <w:rsid w:val="00DE4A38"/>
    <w:rPr>
      <w:i/>
      <w:iCs/>
      <w:color w:val="0F4761" w:themeColor="accent1" w:themeShade="BF"/>
    </w:rPr>
  </w:style>
  <w:style w:type="paragraph" w:styleId="IntenseQuote">
    <w:name w:val="Intense Quote"/>
    <w:basedOn w:val="Normal"/>
    <w:next w:val="Normal"/>
    <w:link w:val="IntenseQuoteChar"/>
    <w:uiPriority w:val="30"/>
    <w:qFormat/>
    <w:rsid w:val="00DE4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A38"/>
    <w:rPr>
      <w:i/>
      <w:iCs/>
      <w:color w:val="0F4761" w:themeColor="accent1" w:themeShade="BF"/>
      <w:lang w:val="en-US"/>
    </w:rPr>
  </w:style>
  <w:style w:type="character" w:styleId="IntenseReference">
    <w:name w:val="Intense Reference"/>
    <w:basedOn w:val="DefaultParagraphFont"/>
    <w:uiPriority w:val="32"/>
    <w:qFormat/>
    <w:rsid w:val="00DE4A38"/>
    <w:rPr>
      <w:b/>
      <w:bCs/>
      <w:smallCaps/>
      <w:color w:val="0F4761" w:themeColor="accent1" w:themeShade="BF"/>
      <w:spacing w:val="5"/>
    </w:rPr>
  </w:style>
  <w:style w:type="paragraph" w:styleId="NormalWeb">
    <w:name w:val="Normal (Web)"/>
    <w:uiPriority w:val="99"/>
    <w:rsid w:val="00DE4A38"/>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paragraph" w:styleId="NoSpacing">
    <w:name w:val="No Spacing"/>
    <w:link w:val="NoSpacingChar"/>
    <w:uiPriority w:val="1"/>
    <w:qFormat/>
    <w:rsid w:val="00DE4A38"/>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qFormat/>
    <w:locked/>
    <w:rsid w:val="00DE4A38"/>
    <w:rPr>
      <w:rFonts w:ascii="Calibri" w:eastAsia="Calibri" w:hAnsi="Calibri" w:cs="Times New Roman"/>
      <w:kern w:val="0"/>
      <w:lang w:val="en-US"/>
      <w14:ligatures w14:val="none"/>
    </w:rPr>
  </w:style>
  <w:style w:type="table" w:styleId="TableGrid">
    <w:name w:val="Table Grid"/>
    <w:basedOn w:val="TableNormal"/>
    <w:uiPriority w:val="39"/>
    <w:rsid w:val="00DE4A38"/>
    <w:pPr>
      <w:spacing w:after="0" w:line="240" w:lineRule="auto"/>
    </w:pPr>
    <w:rPr>
      <w:kern w:val="0"/>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5D2"/>
    <w:pPr>
      <w:tabs>
        <w:tab w:val="center" w:pos="4513"/>
        <w:tab w:val="right" w:pos="9026"/>
      </w:tabs>
    </w:pPr>
  </w:style>
  <w:style w:type="character" w:customStyle="1" w:styleId="HeaderChar">
    <w:name w:val="Header Char"/>
    <w:basedOn w:val="DefaultParagraphFont"/>
    <w:link w:val="Header"/>
    <w:uiPriority w:val="99"/>
    <w:rsid w:val="004E25D2"/>
    <w:rPr>
      <w:rFonts w:ascii="Calibri" w:eastAsia="SimSun" w:hAnsi="Calibri" w:cs="SimSun"/>
      <w:kern w:val="0"/>
      <w:sz w:val="20"/>
      <w:szCs w:val="20"/>
      <w:lang w:val="en-US" w:eastAsia="zh-CN"/>
      <w14:ligatures w14:val="none"/>
    </w:rPr>
  </w:style>
  <w:style w:type="paragraph" w:styleId="Footer">
    <w:name w:val="footer"/>
    <w:basedOn w:val="Normal"/>
    <w:link w:val="FooterChar"/>
    <w:uiPriority w:val="99"/>
    <w:unhideWhenUsed/>
    <w:rsid w:val="004E25D2"/>
    <w:pPr>
      <w:tabs>
        <w:tab w:val="center" w:pos="4513"/>
        <w:tab w:val="right" w:pos="9026"/>
      </w:tabs>
    </w:pPr>
  </w:style>
  <w:style w:type="character" w:customStyle="1" w:styleId="FooterChar">
    <w:name w:val="Footer Char"/>
    <w:basedOn w:val="DefaultParagraphFont"/>
    <w:link w:val="Footer"/>
    <w:uiPriority w:val="99"/>
    <w:rsid w:val="004E25D2"/>
    <w:rPr>
      <w:rFonts w:ascii="Calibri" w:eastAsia="SimSun" w:hAnsi="Calibri" w:cs="SimSu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887/jere.v4i3.27450" TargetMode="External"/><Relationship Id="rId5" Type="http://schemas.openxmlformats.org/officeDocument/2006/relationships/footnotes" Target="footnotes.xml"/><Relationship Id="rId10" Type="http://schemas.openxmlformats.org/officeDocument/2006/relationships/hyperlink" Target="https://doi.org/10.21601/ijese/10966" TargetMode="External"/><Relationship Id="rId4" Type="http://schemas.openxmlformats.org/officeDocument/2006/relationships/webSettings" Target="webSettings.xml"/><Relationship Id="rId9" Type="http://schemas.openxmlformats.org/officeDocument/2006/relationships/hyperlink" Target="https://doi.org/10.1088/1742-6596/895/1/01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7780</Words>
  <Characters>44351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Jennelyn Jaballa</dc:creator>
  <cp:keywords/>
  <dc:description/>
  <cp:lastModifiedBy>theaisha1707@gmail.com</cp:lastModifiedBy>
  <cp:revision>10</cp:revision>
  <dcterms:created xsi:type="dcterms:W3CDTF">2026-02-13T09:44:00Z</dcterms:created>
  <dcterms:modified xsi:type="dcterms:W3CDTF">2026-02-14T07:27:00Z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a5410d50-c17d-42e9-8457-559da1623de0</vt:lpwstr>
  </property>
</Properties>
</file>