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0FB4" w14:textId="524CC28D" w:rsidR="0032135F" w:rsidRPr="00051EC0" w:rsidRDefault="008C4F52" w:rsidP="00051EC0">
      <w:pPr>
        <w:spacing w:after="0" w:line="360" w:lineRule="auto"/>
        <w:jc w:val="center"/>
        <w:rPr>
          <w:rFonts w:ascii="Times New Roman" w:hAnsi="Times New Roman" w:cs="Times New Roman"/>
          <w:b/>
          <w:bCs/>
          <w:sz w:val="28"/>
          <w:szCs w:val="28"/>
        </w:rPr>
      </w:pPr>
      <w:r w:rsidRPr="00051EC0">
        <w:rPr>
          <w:rFonts w:ascii="Times New Roman" w:hAnsi="Times New Roman" w:cs="Times New Roman"/>
          <w:b/>
          <w:bCs/>
          <w:sz w:val="28"/>
          <w:szCs w:val="28"/>
        </w:rPr>
        <w:t>Strategic Integration of Artificial Intelligence for Achieving Operational Excellence in Container Freight Stations Using Evidence from Chennai, India</w:t>
      </w:r>
    </w:p>
    <w:p w14:paraId="5C6E03B9" w14:textId="2674F4EB" w:rsidR="00006ECE" w:rsidRPr="00051EC0" w:rsidRDefault="0096257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Abstract</w:t>
      </w:r>
    </w:p>
    <w:p w14:paraId="3D9EC7F2" w14:textId="7B9FAA70" w:rsidR="002D7EE1" w:rsidRPr="00051EC0" w:rsidRDefault="002D7EE1"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Container Freight Stations (CFS) in Chennai operate under increasing cargo volumes, fluctuating demand, and infrastructure constraints, often resulting in congestion and extended container dwell times. Artificial Intelligence (AI) provides data-driven solutions through predictive analytics, automation, and intelligent scheduling to improve operational efficiency. AI-based monitoring enables terminals to anticipate congestion before it occurs and dynamically allocate resources. In high-traffic ports like Chennai, real-time prediction of arrivals and yard occupancy prevents bottlenecks. Immediate decision support reduces delays, improves service reliability, and lowers operational costs. This study evaluates AI applications at All cargo Terminals, Chennai, using a mixed-method research design that integrates stakeholder surveys and statistical modelling. Findings demonstrate a strong relationship between yard utilization, staffing levels, and dwell time reduction. The results recommend AI-driven tools to sustain performance improvements and enhance terminal competitiveness. Identifying statistical relationships allows terminals to implement live dashboards that guide operational decisions instantly. Predictive tools support shift planning and yard allocation in real time. Continuous monitoring ensures consistent performance gains rather than temporary improvements.</w:t>
      </w:r>
    </w:p>
    <w:p w14:paraId="1DAD20CE" w14:textId="77777777" w:rsidR="00EF4BD6" w:rsidRPr="00051EC0" w:rsidRDefault="00EF4BD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Keywords:</w:t>
      </w:r>
      <w:r w:rsidRPr="00051EC0">
        <w:rPr>
          <w:rFonts w:ascii="Times New Roman" w:hAnsi="Times New Roman" w:cs="Times New Roman"/>
          <w:iCs/>
          <w:sz w:val="24"/>
          <w:szCs w:val="24"/>
        </w:rPr>
        <w:t xml:space="preserve"> Logistics Efficiency, Transportation Optimization, Predictive Analytics, Terminal Operations, Route Planning, Cargo Handling, Real-Time Monitoring</w:t>
      </w:r>
    </w:p>
    <w:p w14:paraId="2FF393E1" w14:textId="25BB59C9" w:rsidR="002D7EE1" w:rsidRPr="00051EC0" w:rsidRDefault="00EF4BD6"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Introduction</w:t>
      </w:r>
    </w:p>
    <w:p w14:paraId="22426310" w14:textId="13C60A5E" w:rsidR="00EF4BD6" w:rsidRPr="00051EC0" w:rsidRDefault="002743FC"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 xml:space="preserve">Global trade expansion has increased pressure on logistics networks, where Container Freight Stations serve as critical nodes for cargo consolidation, storage, and customs clearance. Operational inefficiencies at this level directly affect port throughput and supply chain reliability. Efficient CFS operations ensure faster cargo clearance and reduce vessel waiting times. In real-time port ecosystems, minor delays can cascade across the supply chain. AI-driven coordination improves responsiveness to dynamic cargo flows. In Chennai, all cargo Terminals manage high container traffic, where congestion and uneven resource allocation create operational challenges. Integrating machine learning, predictive analytics, and automation can streamline yard management, optimize routing, and reduce dwell times. </w:t>
      </w:r>
      <w:r w:rsidR="00F24F52" w:rsidRPr="00051EC0">
        <w:rPr>
          <w:rFonts w:ascii="Times New Roman" w:hAnsi="Times New Roman" w:cs="Times New Roman"/>
          <w:iCs/>
          <w:sz w:val="24"/>
          <w:szCs w:val="24"/>
        </w:rPr>
        <w:t xml:space="preserve">Predictive tools allow managers to anticipate peak loads and adjust workforce and equipment </w:t>
      </w:r>
      <w:r w:rsidR="00F24F52" w:rsidRPr="00051EC0">
        <w:rPr>
          <w:rFonts w:ascii="Times New Roman" w:hAnsi="Times New Roman" w:cs="Times New Roman"/>
          <w:iCs/>
          <w:sz w:val="24"/>
          <w:szCs w:val="24"/>
        </w:rPr>
        <w:lastRenderedPageBreak/>
        <w:t>allocation instantly. AI-assisted routing minimizes truck idle time. These improvements enhance service reliability and customer satisfaction.</w:t>
      </w:r>
    </w:p>
    <w:p w14:paraId="3732B917" w14:textId="7454F3D3" w:rsidR="0060587D" w:rsidRPr="00051EC0" w:rsidRDefault="00916FCC"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Research </w:t>
      </w:r>
      <w:r w:rsidR="0060587D" w:rsidRPr="00051EC0">
        <w:rPr>
          <w:rFonts w:ascii="Times New Roman" w:hAnsi="Times New Roman" w:cs="Times New Roman"/>
          <w:b/>
          <w:bCs/>
          <w:iCs/>
          <w:sz w:val="24"/>
          <w:szCs w:val="24"/>
        </w:rPr>
        <w:t>Objectives</w:t>
      </w:r>
    </w:p>
    <w:p w14:paraId="2FF38A30"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Examine the impact of AI on CFS logistics efficiency.</w:t>
      </w:r>
    </w:p>
    <w:p w14:paraId="2D091D51"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Evaluate predictive analytics and automation in terminal operations.</w:t>
      </w:r>
    </w:p>
    <w:p w14:paraId="51B68A03"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Identify adoption challenges within Chennai terminals.</w:t>
      </w:r>
    </w:p>
    <w:p w14:paraId="62D969E8"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Measure reductions in dwell time and resource consumption.</w:t>
      </w:r>
    </w:p>
    <w:p w14:paraId="507AB175" w14:textId="13FD6245" w:rsidR="00F24F52" w:rsidRPr="00051EC0" w:rsidRDefault="00856BDF"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Scope of the Research Work </w:t>
      </w:r>
    </w:p>
    <w:p w14:paraId="2FEF797F" w14:textId="00D7F9D7" w:rsidR="00962572" w:rsidRPr="00051EC0" w:rsidRDefault="00E94356"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Chennai is a major logistics gateway in South India, making it an ideal case for AI-based operational enhancement. Findings can guide similar high-density ports. Localized insights ensure contextual relevance. Majorly Focuses on all cargo Terminals, Chennai.</w:t>
      </w:r>
      <w:r w:rsidR="001F1D4C" w:rsidRPr="00051EC0">
        <w:rPr>
          <w:rFonts w:ascii="Times New Roman" w:hAnsi="Times New Roman" w:cs="Times New Roman"/>
          <w:iCs/>
          <w:sz w:val="24"/>
          <w:szCs w:val="24"/>
        </w:rPr>
        <w:t xml:space="preserve"> Technologically, covers AI-driven analytics, predictive modelling, and operational automation. </w:t>
      </w:r>
      <w:r w:rsidR="005A0C00" w:rsidRPr="00051EC0">
        <w:rPr>
          <w:rFonts w:ascii="Times New Roman" w:hAnsi="Times New Roman" w:cs="Times New Roman"/>
          <w:iCs/>
          <w:sz w:val="24"/>
          <w:szCs w:val="24"/>
        </w:rPr>
        <w:t>Technology-focused scope enables structured evaluation of machine learning, RFID integration, and dashboard systems. Real-time digital tools improve operational transparency. Technological boundaries maintain clarity in analysis. Operationally, Includes yard planning, cargo handling, truck scheduling, and dwell time analysis.</w:t>
      </w:r>
      <w:r w:rsidR="005A0C00" w:rsidRPr="00051EC0">
        <w:t xml:space="preserve"> </w:t>
      </w:r>
      <w:r w:rsidR="005A0C00" w:rsidRPr="00051EC0">
        <w:rPr>
          <w:rFonts w:ascii="Times New Roman" w:hAnsi="Times New Roman" w:cs="Times New Roman"/>
          <w:iCs/>
          <w:sz w:val="24"/>
          <w:szCs w:val="24"/>
        </w:rPr>
        <w:t>Operational-level optimization directly impacts service speed and cost. AI improves equipment deployment and container positioning. Practical improvements strengthen supply chain performance. Temporally, analyses trends in AI adoption during this period.</w:t>
      </w:r>
      <w:r w:rsidR="0031655D" w:rsidRPr="00051EC0">
        <w:rPr>
          <w:rFonts w:ascii="Times New Roman" w:hAnsi="Times New Roman" w:cs="Times New Roman"/>
          <w:iCs/>
          <w:sz w:val="24"/>
          <w:szCs w:val="24"/>
        </w:rPr>
        <w:t xml:space="preserve"> The timeframe captures post-digital transformation trends in logistics. Evaluating recent adoption ensures contemporary relevance. Rapid AI advancements require updated assessment.</w:t>
      </w:r>
    </w:p>
    <w:p w14:paraId="739025A3" w14:textId="46FFF073" w:rsidR="001E37D4" w:rsidRPr="00051EC0" w:rsidRDefault="001E37D4"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Limitations of the Research Work</w:t>
      </w:r>
    </w:p>
    <w:p w14:paraId="307E829F" w14:textId="14379576" w:rsidR="001E37D4" w:rsidRPr="00051EC0" w:rsidRDefault="00103EB5"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The study is limited by restricted access to proprietary operational data, regional focus on Chennai, differences in AI adoption maturity, and rapidly evolving AI technologies.</w:t>
      </w:r>
      <w:r w:rsidRPr="00051EC0">
        <w:t xml:space="preserve"> </w:t>
      </w:r>
      <w:r w:rsidRPr="00051EC0">
        <w:rPr>
          <w:rFonts w:ascii="Times New Roman" w:hAnsi="Times New Roman" w:cs="Times New Roman"/>
          <w:iCs/>
          <w:sz w:val="24"/>
          <w:szCs w:val="24"/>
        </w:rPr>
        <w:t>Recognizing limitations improves research transparency and credibility. It clarifies contextual boundaries for interpretation. Future studies can expand scope to other terminals for broader validation.</w:t>
      </w:r>
    </w:p>
    <w:p w14:paraId="6F580293" w14:textId="4DC55689" w:rsidR="00103EB5" w:rsidRPr="00051EC0" w:rsidRDefault="00453B73"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Related Works</w:t>
      </w:r>
    </w:p>
    <w:p w14:paraId="793299FD" w14:textId="1EC53CEF" w:rsidR="00A909BC" w:rsidRPr="00051EC0" w:rsidRDefault="00A909BC"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 xml:space="preserve">Recent studies (2022–2026) demonstrate that machine learning models, especially Random Forest and LSTM networks, significantly reduce dwell time through predictive analytics. AI-based yard management systems improve berth scheduling and container stacking efficiency. Existing literature confirms AI’s role in predictive logistics. However, localized validation is necessary for Indian terminals. Real-time adaptability remains the primary advantage of AI systems. Reinforcement learning approaches optimize irregular cargo packing, </w:t>
      </w:r>
      <w:r w:rsidRPr="00051EC0">
        <w:rPr>
          <w:rFonts w:ascii="Times New Roman" w:hAnsi="Times New Roman" w:cs="Times New Roman"/>
          <w:iCs/>
          <w:sz w:val="24"/>
          <w:szCs w:val="24"/>
        </w:rPr>
        <w:lastRenderedPageBreak/>
        <w:t>while heuristic methods remain effective under operational constraints. Multi-objective optimization techniques enhance yard throughput without complete automation.</w:t>
      </w:r>
      <w:r w:rsidR="00621995" w:rsidRPr="00051EC0">
        <w:t xml:space="preserve"> </w:t>
      </w:r>
      <w:r w:rsidR="00621995" w:rsidRPr="00051EC0">
        <w:rPr>
          <w:rFonts w:ascii="Times New Roman" w:hAnsi="Times New Roman" w:cs="Times New Roman"/>
          <w:iCs/>
          <w:sz w:val="24"/>
          <w:szCs w:val="24"/>
        </w:rPr>
        <w:t>Hybrid AI approaches offer practical benefits where full automation is not feasible. Balanced optimization ensures cost-effectiveness. Real-time decision models enhance operational resilience.</w:t>
      </w:r>
    </w:p>
    <w:p w14:paraId="08CDD2D7" w14:textId="12E831B1" w:rsidR="00990BAF" w:rsidRPr="00051EC0" w:rsidRDefault="00990BAF"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Research Methodology</w:t>
      </w:r>
    </w:p>
    <w:p w14:paraId="305DF5B0" w14:textId="56490813" w:rsidR="00F36424" w:rsidRPr="00051EC0" w:rsidRDefault="00F36424" w:rsidP="00051EC0">
      <w:pPr>
        <w:spacing w:after="0" w:line="360" w:lineRule="auto"/>
        <w:ind w:firstLine="360"/>
        <w:jc w:val="both"/>
        <w:rPr>
          <w:rFonts w:ascii="Times New Roman" w:hAnsi="Times New Roman" w:cs="Times New Roman"/>
          <w:iCs/>
          <w:sz w:val="24"/>
          <w:szCs w:val="24"/>
        </w:rPr>
      </w:pPr>
      <w:r w:rsidRPr="00051EC0">
        <w:rPr>
          <w:rFonts w:ascii="Times New Roman" w:hAnsi="Times New Roman" w:cs="Times New Roman"/>
          <w:iCs/>
          <w:sz w:val="24"/>
          <w:szCs w:val="24"/>
        </w:rPr>
        <w:t>Combining qualitative and quantitative methods strengthens analytical reliability. Statistical validation ensures evidence-based conclusions. Real-time operational data improves model accuracy. A mixed-method approach was adopted:</w:t>
      </w:r>
    </w:p>
    <w:p w14:paraId="1FA723A0"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Primary Data:</w:t>
      </w:r>
      <w:r w:rsidRPr="00051EC0">
        <w:rPr>
          <w:rFonts w:ascii="Times New Roman" w:hAnsi="Times New Roman" w:cs="Times New Roman"/>
          <w:iCs/>
          <w:sz w:val="24"/>
          <w:szCs w:val="24"/>
        </w:rPr>
        <w:t xml:space="preserve"> Surveys and interviews with terminal managers and operational staff.</w:t>
      </w:r>
    </w:p>
    <w:p w14:paraId="6A0E7DED"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Secondary Data:</w:t>
      </w:r>
      <w:r w:rsidRPr="00051EC0">
        <w:rPr>
          <w:rFonts w:ascii="Times New Roman" w:hAnsi="Times New Roman" w:cs="Times New Roman"/>
          <w:iCs/>
          <w:sz w:val="24"/>
          <w:szCs w:val="24"/>
        </w:rPr>
        <w:t xml:space="preserve"> Industry reports and academic literature.</w:t>
      </w:r>
    </w:p>
    <w:p w14:paraId="4901CDE8"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Quantitative Analysis:</w:t>
      </w:r>
      <w:r w:rsidRPr="00051EC0">
        <w:rPr>
          <w:rFonts w:ascii="Times New Roman" w:hAnsi="Times New Roman" w:cs="Times New Roman"/>
          <w:iCs/>
          <w:sz w:val="24"/>
          <w:szCs w:val="24"/>
        </w:rPr>
        <w:t xml:space="preserve"> Statistical evaluation of yard utilization, dwell time, and staffing levels.</w:t>
      </w:r>
    </w:p>
    <w:tbl>
      <w:tblPr>
        <w:tblStyle w:val="TableGridLight"/>
        <w:tblW w:w="0" w:type="auto"/>
        <w:tblLook w:val="04A0" w:firstRow="1" w:lastRow="0" w:firstColumn="1" w:lastColumn="0" w:noHBand="0" w:noVBand="1"/>
      </w:tblPr>
      <w:tblGrid>
        <w:gridCol w:w="9016"/>
      </w:tblGrid>
      <w:tr w:rsidR="00DD2F41" w:rsidRPr="00051EC0" w14:paraId="01A2AF4E" w14:textId="77777777" w:rsidTr="00DD2F41">
        <w:tc>
          <w:tcPr>
            <w:tcW w:w="9016" w:type="dxa"/>
          </w:tcPr>
          <w:p w14:paraId="45F70990"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Step-by-Step Research Procedure</w:t>
            </w:r>
          </w:p>
          <w:p w14:paraId="3136C549"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 xml:space="preserve">Step 1: Problem Identification: </w:t>
            </w:r>
            <w:r w:rsidRPr="00051EC0">
              <w:rPr>
                <w:rFonts w:ascii="Times New Roman" w:hAnsi="Times New Roman" w:cs="Times New Roman"/>
                <w:iCs/>
                <w:sz w:val="24"/>
                <w:szCs w:val="24"/>
              </w:rPr>
              <w:t>Identify operational inefficiencies in Container Freight Station (CFS) operations such as high dwell time, yard congestion, and uneven staffing allocation at Allcargo Terminals, Chennai.</w:t>
            </w:r>
          </w:p>
          <w:p w14:paraId="1D3B518C"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 xml:space="preserve">Step 2: Objective Formulation: </w:t>
            </w:r>
            <w:r w:rsidRPr="00051EC0">
              <w:rPr>
                <w:rFonts w:ascii="Times New Roman" w:hAnsi="Times New Roman" w:cs="Times New Roman"/>
                <w:iCs/>
                <w:sz w:val="24"/>
                <w:szCs w:val="24"/>
              </w:rPr>
              <w:t>Define measurable objectives:</w:t>
            </w:r>
          </w:p>
          <w:p w14:paraId="07B41B0A"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Reduce dwell time</w:t>
            </w:r>
          </w:p>
          <w:p w14:paraId="237E046F"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Improve yard utilization</w:t>
            </w:r>
          </w:p>
          <w:p w14:paraId="347CD9D6"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Optimize staffing hours</w:t>
            </w:r>
          </w:p>
          <w:p w14:paraId="34BDB378"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Implement predictive AI-based decision systems</w:t>
            </w:r>
          </w:p>
          <w:p w14:paraId="6C9ADC6E"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 3: Data Collection</w:t>
            </w:r>
          </w:p>
          <w:p w14:paraId="0C076000"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Primary Data</w:t>
            </w:r>
          </w:p>
          <w:p w14:paraId="11FA932E" w14:textId="77777777" w:rsidR="00DD2F41" w:rsidRPr="00051EC0" w:rsidRDefault="00DD2F41" w:rsidP="00051EC0">
            <w:pPr>
              <w:numPr>
                <w:ilvl w:val="0"/>
                <w:numId w:val="6"/>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Interviews with terminal managers</w:t>
            </w:r>
          </w:p>
          <w:p w14:paraId="54ED0182" w14:textId="77777777" w:rsidR="00DD2F41" w:rsidRPr="00051EC0" w:rsidRDefault="00DD2F41" w:rsidP="00051EC0">
            <w:pPr>
              <w:numPr>
                <w:ilvl w:val="0"/>
                <w:numId w:val="6"/>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Surveys from operational staff</w:t>
            </w:r>
          </w:p>
          <w:p w14:paraId="235FC21A"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Secondary Data</w:t>
            </w:r>
          </w:p>
          <w:p w14:paraId="2BA62C2C" w14:textId="77777777" w:rsidR="00DD2F41" w:rsidRPr="00051EC0" w:rsidRDefault="00DD2F41" w:rsidP="00051EC0">
            <w:pPr>
              <w:numPr>
                <w:ilvl w:val="0"/>
                <w:numId w:val="7"/>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Operational logs (yard utilization %, staffing hours, dwell time)</w:t>
            </w:r>
          </w:p>
          <w:p w14:paraId="20F96DD3" w14:textId="77777777" w:rsidR="00DD2F41" w:rsidRPr="00051EC0" w:rsidRDefault="00DD2F41" w:rsidP="00051EC0">
            <w:pPr>
              <w:numPr>
                <w:ilvl w:val="0"/>
                <w:numId w:val="7"/>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Industry reports and published research</w:t>
            </w:r>
          </w:p>
          <w:p w14:paraId="1BF70954"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 4: Data Preprocessing</w:t>
            </w:r>
          </w:p>
          <w:p w14:paraId="6F2D8E8A"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Remove missing values</w:t>
            </w:r>
          </w:p>
          <w:p w14:paraId="41C238B9"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Normalize utilization percentages</w:t>
            </w:r>
          </w:p>
          <w:p w14:paraId="5306DCF5"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Convert categorical responses into measurable variables</w:t>
            </w:r>
          </w:p>
          <w:p w14:paraId="49579558"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Structure dataset into dependent and independent variables</w:t>
            </w:r>
          </w:p>
          <w:p w14:paraId="400931DA"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Dependent Variable:</w:t>
            </w:r>
          </w:p>
          <w:p w14:paraId="3BCA4CB7"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Dwell Time (Y)</w:t>
            </w:r>
          </w:p>
          <w:p w14:paraId="5AEDDE1F"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Independent Variables:</w:t>
            </w:r>
          </w:p>
          <w:p w14:paraId="726F3CB3"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Yard Utilization (X₁)</w:t>
            </w:r>
          </w:p>
          <w:p w14:paraId="5F81623D" w14:textId="1E872BED"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Staffed Hours (X₂)</w:t>
            </w:r>
          </w:p>
        </w:tc>
      </w:tr>
    </w:tbl>
    <w:p w14:paraId="3E4E1D3E" w14:textId="5B029D1C" w:rsidR="00DD2F41" w:rsidRPr="00051EC0" w:rsidRDefault="00BE7C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lastRenderedPageBreak/>
        <w:t>Statistical and AI Models Used</w:t>
      </w:r>
    </w:p>
    <w:p w14:paraId="4F730AF6" w14:textId="344FF1F5" w:rsidR="00AF1DA4" w:rsidRPr="00051EC0" w:rsidRDefault="00BE7C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Pearson Correlation Model</w:t>
      </w:r>
    </w:p>
    <w:p w14:paraId="6ACB3348" w14:textId="5D69A2FC"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iCs/>
          <w:sz w:val="24"/>
          <w:szCs w:val="24"/>
        </w:rPr>
        <w:t>Pearson correlation measures the strength and direction of linear relationship between two continuous variables.</w:t>
      </w:r>
      <w:r w:rsidRPr="00051EC0">
        <w:rPr>
          <w:rFonts w:ascii="Times New Roman" w:eastAsia="Times New Roman" w:hAnsi="Times New Roman" w:cs="Times New Roman"/>
          <w:b/>
          <w:bCs/>
          <w:kern w:val="0"/>
          <w:sz w:val="28"/>
          <w:szCs w:val="28"/>
          <w:lang w:eastAsia="en-IN"/>
          <w14:ligatures w14:val="none"/>
        </w:rPr>
        <w:t xml:space="preserve"> </w:t>
      </w:r>
    </w:p>
    <w:p w14:paraId="107B3E7B" w14:textId="4E2ED9F1" w:rsidR="00BD738D" w:rsidRPr="00051EC0" w:rsidRDefault="00BD738D" w:rsidP="00051EC0">
      <w:pPr>
        <w:spacing w:after="0" w:line="360" w:lineRule="auto"/>
        <w:jc w:val="center"/>
        <w:rPr>
          <w:rFonts w:ascii="Times New Roman" w:hAnsi="Times New Roman" w:cs="Times New Roman"/>
          <w:iCs/>
          <w:sz w:val="24"/>
          <w:szCs w:val="24"/>
        </w:rPr>
      </w:pPr>
      <m:oMath>
        <m:r>
          <w:rPr>
            <w:rFonts w:ascii="Cambria Math" w:hAnsi="Cambria Math" w:cs="Times New Roman"/>
            <w:sz w:val="24"/>
            <w:szCs w:val="24"/>
          </w:rPr>
          <m:t>r=</m:t>
        </m:r>
        <m:f>
          <m:fPr>
            <m:ctrlPr>
              <w:rPr>
                <w:rFonts w:ascii="Cambria Math" w:hAnsi="Cambria Math" w:cs="Times New Roman"/>
                <w:iCs/>
                <w:sz w:val="24"/>
                <w:szCs w:val="24"/>
              </w:rPr>
            </m:ctrlPr>
          </m:fPr>
          <m:num>
            <m:r>
              <w:rPr>
                <w:rFonts w:ascii="Cambria Math" w:hAnsi="Cambria Math" w:cs="Times New Roman"/>
                <w:sz w:val="24"/>
                <w:szCs w:val="24"/>
              </w:rPr>
              <m:t>n∑xy-(∑x)(∑y)</m:t>
            </m:r>
          </m:num>
          <m:den>
            <m:rad>
              <m:radPr>
                <m:degHide m:val="1"/>
                <m:ctrlPr>
                  <w:rPr>
                    <w:rFonts w:ascii="Cambria Math" w:hAnsi="Cambria Math" w:cs="Times New Roman"/>
                    <w:iCs/>
                    <w:sz w:val="24"/>
                    <w:szCs w:val="24"/>
                  </w:rPr>
                </m:ctrlPr>
              </m:radPr>
              <m:deg/>
              <m:e>
                <m:d>
                  <m:dPr>
                    <m:begChr m:val="["/>
                    <m:endChr m:val="]"/>
                    <m:ctrlPr>
                      <w:rPr>
                        <w:rFonts w:ascii="Cambria Math" w:hAnsi="Cambria Math" w:cs="Times New Roman"/>
                        <w:iCs/>
                        <w:sz w:val="24"/>
                        <w:szCs w:val="24"/>
                      </w:rPr>
                    </m:ctrlPr>
                  </m:dPr>
                  <m:e>
                    <m:r>
                      <w:rPr>
                        <w:rFonts w:ascii="Cambria Math" w:hAnsi="Cambria Math" w:cs="Times New Roman"/>
                        <w:sz w:val="24"/>
                        <w:szCs w:val="24"/>
                      </w:rPr>
                      <m:t>n∑</m:t>
                    </m:r>
                    <m:sSup>
                      <m:sSupPr>
                        <m:ctrlPr>
                          <w:rPr>
                            <w:rFonts w:ascii="Cambria Math" w:hAnsi="Cambria Math" w:cs="Times New Roman"/>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m:t>
                    </m:r>
                    <m:sSup>
                      <m:sSupPr>
                        <m:ctrlPr>
                          <w:rPr>
                            <w:rFonts w:ascii="Cambria Math" w:hAnsi="Cambria Math" w:cs="Times New Roman"/>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Cs/>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m:t>
                    </m:r>
                    <m:sSup>
                      <m:sSupPr>
                        <m:ctrlPr>
                          <w:rPr>
                            <w:rFonts w:ascii="Cambria Math" w:hAnsi="Cambria Math" w:cs="Times New Roman"/>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d>
              </m:e>
            </m:rad>
          </m:den>
        </m:f>
      </m:oMath>
      <w:r w:rsidRPr="00051EC0">
        <w:rPr>
          <w:rFonts w:ascii="Times New Roman" w:eastAsiaTheme="minorEastAsia" w:hAnsi="Times New Roman" w:cs="Times New Roman"/>
          <w:iCs/>
          <w:sz w:val="24"/>
          <w:szCs w:val="24"/>
        </w:rPr>
        <w:t xml:space="preserve">                                    (1)</w:t>
      </w:r>
      <w:r w:rsidRPr="00051EC0">
        <w:rPr>
          <w:rFonts w:ascii="Times New Roman" w:hAnsi="Times New Roman" w:cs="Times New Roman"/>
          <w:iCs/>
          <w:sz w:val="24"/>
          <w:szCs w:val="24"/>
        </w:rPr>
        <w:br/>
      </w:r>
    </w:p>
    <w:p w14:paraId="6318A8C2" w14:textId="77777777" w:rsidR="00BD738D" w:rsidRPr="00051EC0" w:rsidRDefault="00BD738D"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Where:</w:t>
      </w:r>
    </w:p>
    <w:p w14:paraId="440EFD88"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 correlation coefficient</w:t>
      </w:r>
    </w:p>
    <w:p w14:paraId="0E212932"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x = yard utilization</w:t>
      </w:r>
    </w:p>
    <w:p w14:paraId="29360E06"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 = dwell time</w:t>
      </w:r>
    </w:p>
    <w:p w14:paraId="19C4D220"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n = number of observations</w:t>
      </w:r>
    </w:p>
    <w:p w14:paraId="2EBDD637" w14:textId="77777777"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Interpretation</w:t>
      </w:r>
    </w:p>
    <w:p w14:paraId="43CFC57C"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&gt; 0 → positive relationship</w:t>
      </w:r>
    </w:p>
    <w:p w14:paraId="14D80728"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&lt; 0 → negative relationship</w:t>
      </w:r>
    </w:p>
    <w:p w14:paraId="3E974C98"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 -0.99 → strong negative relationship</w:t>
      </w:r>
    </w:p>
    <w:p w14:paraId="7DD52BA5" w14:textId="41236E49" w:rsidR="00BE7CC2" w:rsidRPr="00051EC0" w:rsidRDefault="00BD738D"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Higher yard utilization corresponds to reduced dwell time, indicating improved operational flow efficiency.</w:t>
      </w:r>
    </w:p>
    <w:p w14:paraId="29F66D29" w14:textId="2D4253DA"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Multiple Linear Regression Model</w:t>
      </w:r>
    </w:p>
    <w:p w14:paraId="59C596A1" w14:textId="158988FE" w:rsidR="00105A81" w:rsidRPr="00051EC0" w:rsidRDefault="00105A81"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iCs/>
          <w:sz w:val="24"/>
          <w:szCs w:val="24"/>
        </w:rPr>
        <w:t>Multiple regression predicts the dependent variable using multiple independent variables.</w:t>
      </w:r>
    </w:p>
    <w:p w14:paraId="0C30921B" w14:textId="3DDFC49D" w:rsidR="00105A81" w:rsidRPr="00051EC0" w:rsidRDefault="00105A81" w:rsidP="00051EC0">
      <w:pPr>
        <w:spacing w:after="0" w:line="360" w:lineRule="auto"/>
        <w:jc w:val="center"/>
        <w:rPr>
          <w:rFonts w:ascii="Times New Roman" w:hAnsi="Times New Roman" w:cs="Times New Roman"/>
          <w:iCs/>
          <w:sz w:val="24"/>
          <w:szCs w:val="24"/>
        </w:rPr>
      </w:pPr>
      <m:oMath>
        <m:r>
          <w:rPr>
            <w:rFonts w:ascii="Cambria Math" w:hAnsi="Cambria Math" w:cs="Times New Roman"/>
            <w:sz w:val="24"/>
            <w:szCs w:val="24"/>
          </w:rPr>
          <m:t>Y=</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+ε</m:t>
        </m:r>
      </m:oMath>
      <w:r w:rsidRPr="00051EC0">
        <w:rPr>
          <w:rFonts w:ascii="Times New Roman" w:eastAsiaTheme="minorEastAsia" w:hAnsi="Times New Roman" w:cs="Times New Roman"/>
          <w:i/>
          <w:iCs/>
          <w:sz w:val="24"/>
          <w:szCs w:val="24"/>
        </w:rPr>
        <w:t xml:space="preserve">                         (2)</w:t>
      </w:r>
      <w:r w:rsidRPr="00051EC0">
        <w:rPr>
          <w:rFonts w:ascii="Times New Roman" w:hAnsi="Times New Roman" w:cs="Times New Roman"/>
          <w:i/>
          <w:iCs/>
          <w:sz w:val="24"/>
          <w:szCs w:val="24"/>
        </w:rPr>
        <w:br/>
      </w:r>
    </w:p>
    <w:p w14:paraId="3E61D3B3" w14:textId="77777777" w:rsidR="00105A81" w:rsidRPr="00051EC0" w:rsidRDefault="00105A81"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Where:</w:t>
      </w:r>
    </w:p>
    <w:p w14:paraId="4A035537"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 = Dwell Time</w:t>
      </w:r>
    </w:p>
    <w:p w14:paraId="7CE8FAFD"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β₀ = Intercept</w:t>
      </w:r>
    </w:p>
    <w:p w14:paraId="10F1BE37"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β₁ = Coefficient of Utilization</w:t>
      </w:r>
    </w:p>
    <w:p w14:paraId="251AF2AA"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β₂ = Coefficient of Staffed Hours</w:t>
      </w:r>
    </w:p>
    <w:p w14:paraId="15DC1D75"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ε = Error term</w:t>
      </w:r>
    </w:p>
    <w:p w14:paraId="3DF97764" w14:textId="7222A8F3" w:rsidR="00BB1F01" w:rsidRPr="00051EC0" w:rsidRDefault="00BB1F01"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Estimated Model </w:t>
      </w:r>
    </w:p>
    <w:p w14:paraId="6C5A5F3D" w14:textId="77777777" w:rsidR="00BB1F01" w:rsidRPr="00051EC0" w:rsidRDefault="00BB1F01" w:rsidP="00051EC0">
      <w:pPr>
        <w:spacing w:after="0" w:line="360" w:lineRule="auto"/>
        <w:jc w:val="center"/>
        <w:rPr>
          <w:rFonts w:ascii="Times New Roman" w:eastAsiaTheme="minorEastAsia" w:hAnsi="Times New Roman" w:cs="Times New Roman"/>
          <w:i/>
          <w:iCs/>
          <w:sz w:val="24"/>
          <w:szCs w:val="24"/>
        </w:rPr>
      </w:pPr>
      <m:oMath>
        <m:r>
          <w:rPr>
            <w:rFonts w:ascii="Cambria Math" w:hAnsi="Cambria Math" w:cs="Times New Roman"/>
            <w:sz w:val="24"/>
            <w:szCs w:val="24"/>
          </w:rPr>
          <w:lastRenderedPageBreak/>
          <m:t>DwellTime=64.50-0.31(Utilization)-0.52(StaffedHours)</m:t>
        </m:r>
      </m:oMath>
      <w:r w:rsidRPr="00051EC0">
        <w:rPr>
          <w:rFonts w:ascii="Times New Roman" w:eastAsiaTheme="minorEastAsia" w:hAnsi="Times New Roman" w:cs="Times New Roman"/>
          <w:i/>
          <w:iCs/>
          <w:sz w:val="24"/>
          <w:szCs w:val="24"/>
        </w:rPr>
        <w:t xml:space="preserve">              (3)</w:t>
      </w:r>
    </w:p>
    <w:p w14:paraId="2622565E" w14:textId="633A6A82" w:rsidR="00217A42" w:rsidRPr="00051EC0" w:rsidRDefault="00BB1F01"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1% increase in yard utilization reduces dwell time by 0.31 hours</w:t>
      </w:r>
      <w:r w:rsidR="00362570"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1 hour increase in staffing reduces dwell time by 0.52 hours</w:t>
      </w:r>
      <w:r w:rsidR="00362570"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R² = 0.89 indicates 89% variance explained</w:t>
      </w:r>
      <w:r w:rsidR="00362570" w:rsidRPr="00051EC0">
        <w:rPr>
          <w:rFonts w:ascii="Times New Roman" w:hAnsi="Times New Roman" w:cs="Times New Roman"/>
          <w:iCs/>
          <w:sz w:val="24"/>
          <w:szCs w:val="24"/>
        </w:rPr>
        <w:t>.</w:t>
      </w:r>
      <w:r w:rsidR="00217A42" w:rsidRPr="00051EC0">
        <w:rPr>
          <w:rFonts w:ascii="Times New Roman" w:hAnsi="Times New Roman" w:cs="Times New Roman"/>
          <w:iCs/>
          <w:sz w:val="24"/>
          <w:szCs w:val="24"/>
        </w:rPr>
        <w:t xml:space="preserve"> Estimated Model confirms strong predictive power for operational optimization.</w:t>
      </w:r>
    </w:p>
    <w:p w14:paraId="64CDBEAB" w14:textId="5524A5A4" w:rsidR="008F33BC" w:rsidRPr="00051EC0" w:rsidRDefault="008F33BC"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Results and Discussion</w:t>
      </w:r>
    </w:p>
    <w:p w14:paraId="46DF8C49" w14:textId="75EA41CD" w:rsidR="002D4E70" w:rsidRPr="00051EC0" w:rsidRDefault="00EF76BF"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 correlation analysis, t</w:t>
      </w:r>
      <w:r w:rsidR="002D4E70" w:rsidRPr="00051EC0">
        <w:rPr>
          <w:rFonts w:ascii="Times New Roman" w:hAnsi="Times New Roman" w:cs="Times New Roman"/>
          <w:iCs/>
          <w:sz w:val="24"/>
          <w:szCs w:val="24"/>
        </w:rPr>
        <w:t>here is a very strong inverse relationship between yard utilization and average dwell time. As utilization increases, dwell time decreases significantly. This suggests that improved operational flow, better coordination, and optimized resource deployment during high-utilization periods contribute to efficiency gains shown in Table 1.</w:t>
      </w:r>
      <w:r w:rsidR="00EA4699" w:rsidRPr="00051EC0">
        <w:rPr>
          <w:rFonts w:ascii="Times New Roman" w:hAnsi="Times New Roman" w:cs="Times New Roman"/>
          <w:iCs/>
          <w:sz w:val="24"/>
          <w:szCs w:val="24"/>
        </w:rPr>
        <w:t xml:space="preserve"> </w:t>
      </w:r>
      <w:r w:rsidR="00F1693E" w:rsidRPr="00051EC0">
        <w:rPr>
          <w:rFonts w:ascii="Times New Roman" w:hAnsi="Times New Roman" w:cs="Times New Roman"/>
          <w:iCs/>
          <w:sz w:val="24"/>
          <w:szCs w:val="24"/>
        </w:rPr>
        <w:t>So,</w:t>
      </w:r>
      <w:r w:rsidR="00EA4699" w:rsidRPr="00051EC0">
        <w:rPr>
          <w:rFonts w:ascii="Times New Roman" w:hAnsi="Times New Roman" w:cs="Times New Roman"/>
          <w:iCs/>
          <w:sz w:val="24"/>
          <w:szCs w:val="24"/>
        </w:rPr>
        <w:t xml:space="preserve"> r ≈ -0.99 (Strong negative correlation).</w:t>
      </w:r>
    </w:p>
    <w:p w14:paraId="55304555" w14:textId="77777777" w:rsidR="002D4E70" w:rsidRPr="00051EC0" w:rsidRDefault="002D4E70" w:rsidP="00051EC0">
      <w:pPr>
        <w:spacing w:after="0" w:line="360" w:lineRule="auto"/>
        <w:jc w:val="both"/>
        <w:rPr>
          <w:rFonts w:ascii="Times New Roman" w:hAnsi="Times New Roman" w:cs="Times New Roman"/>
          <w:b/>
          <w:bCs/>
          <w:iCs/>
          <w:sz w:val="24"/>
          <w:szCs w:val="24"/>
        </w:rPr>
      </w:pPr>
    </w:p>
    <w:p w14:paraId="338D54AC" w14:textId="36D60BDA" w:rsidR="00FF39D2" w:rsidRPr="00051EC0" w:rsidRDefault="00FF39D2"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Table 1: Correlation Analysis of the Observed Data</w:t>
      </w:r>
    </w:p>
    <w:tbl>
      <w:tblPr>
        <w:tblStyle w:val="TableGrid"/>
        <w:tblW w:w="0" w:type="auto"/>
        <w:jc w:val="center"/>
        <w:tblLook w:val="04A0" w:firstRow="1" w:lastRow="0" w:firstColumn="1" w:lastColumn="0" w:noHBand="0" w:noVBand="1"/>
      </w:tblPr>
      <w:tblGrid>
        <w:gridCol w:w="1636"/>
        <w:gridCol w:w="1727"/>
        <w:gridCol w:w="876"/>
        <w:gridCol w:w="756"/>
        <w:gridCol w:w="876"/>
      </w:tblGrid>
      <w:tr w:rsidR="00302FEA" w:rsidRPr="00051EC0" w14:paraId="3BA6C038" w14:textId="77777777" w:rsidTr="00302FEA">
        <w:trPr>
          <w:jc w:val="center"/>
        </w:trPr>
        <w:tc>
          <w:tcPr>
            <w:tcW w:w="0" w:type="auto"/>
            <w:hideMark/>
          </w:tcPr>
          <w:p w14:paraId="1E2AC833"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Utilization (x)</w:t>
            </w:r>
          </w:p>
        </w:tc>
        <w:tc>
          <w:tcPr>
            <w:tcW w:w="0" w:type="auto"/>
            <w:hideMark/>
          </w:tcPr>
          <w:p w14:paraId="6A4F1E32"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Dwell Time (y)</w:t>
            </w:r>
          </w:p>
        </w:tc>
        <w:tc>
          <w:tcPr>
            <w:tcW w:w="0" w:type="auto"/>
            <w:hideMark/>
          </w:tcPr>
          <w:p w14:paraId="784663EA"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x²</w:t>
            </w:r>
          </w:p>
        </w:tc>
        <w:tc>
          <w:tcPr>
            <w:tcW w:w="0" w:type="auto"/>
            <w:hideMark/>
          </w:tcPr>
          <w:p w14:paraId="3F73FC99"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y²</w:t>
            </w:r>
          </w:p>
        </w:tc>
        <w:tc>
          <w:tcPr>
            <w:tcW w:w="0" w:type="auto"/>
            <w:hideMark/>
          </w:tcPr>
          <w:p w14:paraId="5FAE4555"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x·y</w:t>
            </w:r>
          </w:p>
        </w:tc>
      </w:tr>
      <w:tr w:rsidR="00302FEA" w:rsidRPr="00051EC0" w14:paraId="61785BCC" w14:textId="77777777" w:rsidTr="00302FEA">
        <w:trPr>
          <w:jc w:val="center"/>
        </w:trPr>
        <w:tc>
          <w:tcPr>
            <w:tcW w:w="0" w:type="auto"/>
            <w:hideMark/>
          </w:tcPr>
          <w:p w14:paraId="0729053B"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75</w:t>
            </w:r>
          </w:p>
        </w:tc>
        <w:tc>
          <w:tcPr>
            <w:tcW w:w="0" w:type="auto"/>
            <w:hideMark/>
          </w:tcPr>
          <w:p w14:paraId="4BBA569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36</w:t>
            </w:r>
          </w:p>
        </w:tc>
        <w:tc>
          <w:tcPr>
            <w:tcW w:w="0" w:type="auto"/>
            <w:hideMark/>
          </w:tcPr>
          <w:p w14:paraId="4698B48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5625</w:t>
            </w:r>
          </w:p>
        </w:tc>
        <w:tc>
          <w:tcPr>
            <w:tcW w:w="0" w:type="auto"/>
            <w:hideMark/>
          </w:tcPr>
          <w:p w14:paraId="6B515D93"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1296</w:t>
            </w:r>
          </w:p>
        </w:tc>
        <w:tc>
          <w:tcPr>
            <w:tcW w:w="0" w:type="auto"/>
            <w:hideMark/>
          </w:tcPr>
          <w:p w14:paraId="2B7FD0C2"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2700</w:t>
            </w:r>
          </w:p>
        </w:tc>
      </w:tr>
      <w:tr w:rsidR="00302FEA" w:rsidRPr="00051EC0" w14:paraId="0E803920" w14:textId="77777777" w:rsidTr="00302FEA">
        <w:trPr>
          <w:jc w:val="center"/>
        </w:trPr>
        <w:tc>
          <w:tcPr>
            <w:tcW w:w="0" w:type="auto"/>
            <w:hideMark/>
          </w:tcPr>
          <w:p w14:paraId="61667939"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78</w:t>
            </w:r>
          </w:p>
        </w:tc>
        <w:tc>
          <w:tcPr>
            <w:tcW w:w="0" w:type="auto"/>
            <w:hideMark/>
          </w:tcPr>
          <w:p w14:paraId="334570E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34</w:t>
            </w:r>
          </w:p>
        </w:tc>
        <w:tc>
          <w:tcPr>
            <w:tcW w:w="0" w:type="auto"/>
            <w:hideMark/>
          </w:tcPr>
          <w:p w14:paraId="0A09F92F"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6084</w:t>
            </w:r>
          </w:p>
        </w:tc>
        <w:tc>
          <w:tcPr>
            <w:tcW w:w="0" w:type="auto"/>
            <w:hideMark/>
          </w:tcPr>
          <w:p w14:paraId="3BA945AF"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1156</w:t>
            </w:r>
          </w:p>
        </w:tc>
        <w:tc>
          <w:tcPr>
            <w:tcW w:w="0" w:type="auto"/>
            <w:hideMark/>
          </w:tcPr>
          <w:p w14:paraId="67E31A98"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2652</w:t>
            </w:r>
          </w:p>
        </w:tc>
      </w:tr>
      <w:tr w:rsidR="00302FEA" w:rsidRPr="00051EC0" w14:paraId="3DC96353" w14:textId="77777777" w:rsidTr="00302FEA">
        <w:trPr>
          <w:jc w:val="center"/>
        </w:trPr>
        <w:tc>
          <w:tcPr>
            <w:tcW w:w="0" w:type="auto"/>
            <w:hideMark/>
          </w:tcPr>
          <w:p w14:paraId="681C366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82</w:t>
            </w:r>
          </w:p>
        </w:tc>
        <w:tc>
          <w:tcPr>
            <w:tcW w:w="0" w:type="auto"/>
            <w:hideMark/>
          </w:tcPr>
          <w:p w14:paraId="1D60B71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30</w:t>
            </w:r>
          </w:p>
        </w:tc>
        <w:tc>
          <w:tcPr>
            <w:tcW w:w="0" w:type="auto"/>
            <w:hideMark/>
          </w:tcPr>
          <w:p w14:paraId="225D79E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6724</w:t>
            </w:r>
          </w:p>
        </w:tc>
        <w:tc>
          <w:tcPr>
            <w:tcW w:w="0" w:type="auto"/>
            <w:hideMark/>
          </w:tcPr>
          <w:p w14:paraId="771A466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900</w:t>
            </w:r>
          </w:p>
        </w:tc>
        <w:tc>
          <w:tcPr>
            <w:tcW w:w="0" w:type="auto"/>
            <w:hideMark/>
          </w:tcPr>
          <w:p w14:paraId="460B625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2460</w:t>
            </w:r>
          </w:p>
        </w:tc>
      </w:tr>
      <w:tr w:rsidR="00302FEA" w:rsidRPr="00051EC0" w14:paraId="2E891275" w14:textId="77777777" w:rsidTr="00302FEA">
        <w:trPr>
          <w:jc w:val="center"/>
        </w:trPr>
        <w:tc>
          <w:tcPr>
            <w:tcW w:w="0" w:type="auto"/>
            <w:hideMark/>
          </w:tcPr>
          <w:p w14:paraId="71F4435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80</w:t>
            </w:r>
          </w:p>
        </w:tc>
        <w:tc>
          <w:tcPr>
            <w:tcW w:w="0" w:type="auto"/>
            <w:hideMark/>
          </w:tcPr>
          <w:p w14:paraId="42C73DF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32</w:t>
            </w:r>
          </w:p>
        </w:tc>
        <w:tc>
          <w:tcPr>
            <w:tcW w:w="0" w:type="auto"/>
            <w:hideMark/>
          </w:tcPr>
          <w:p w14:paraId="709FECF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6400</w:t>
            </w:r>
          </w:p>
        </w:tc>
        <w:tc>
          <w:tcPr>
            <w:tcW w:w="0" w:type="auto"/>
            <w:hideMark/>
          </w:tcPr>
          <w:p w14:paraId="425386B8"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1024</w:t>
            </w:r>
          </w:p>
        </w:tc>
        <w:tc>
          <w:tcPr>
            <w:tcW w:w="0" w:type="auto"/>
            <w:hideMark/>
          </w:tcPr>
          <w:p w14:paraId="19640E66"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2560</w:t>
            </w:r>
          </w:p>
        </w:tc>
      </w:tr>
      <w:tr w:rsidR="00302FEA" w:rsidRPr="00051EC0" w14:paraId="1BDD571E" w14:textId="77777777" w:rsidTr="00302FEA">
        <w:trPr>
          <w:jc w:val="center"/>
        </w:trPr>
        <w:tc>
          <w:tcPr>
            <w:tcW w:w="0" w:type="auto"/>
            <w:hideMark/>
          </w:tcPr>
          <w:p w14:paraId="5B95DD35"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84</w:t>
            </w:r>
          </w:p>
        </w:tc>
        <w:tc>
          <w:tcPr>
            <w:tcW w:w="0" w:type="auto"/>
            <w:hideMark/>
          </w:tcPr>
          <w:p w14:paraId="1F5417C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29</w:t>
            </w:r>
          </w:p>
        </w:tc>
        <w:tc>
          <w:tcPr>
            <w:tcW w:w="0" w:type="auto"/>
            <w:hideMark/>
          </w:tcPr>
          <w:p w14:paraId="7820880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7056</w:t>
            </w:r>
          </w:p>
        </w:tc>
        <w:tc>
          <w:tcPr>
            <w:tcW w:w="0" w:type="auto"/>
            <w:hideMark/>
          </w:tcPr>
          <w:p w14:paraId="1310505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841</w:t>
            </w:r>
          </w:p>
        </w:tc>
        <w:tc>
          <w:tcPr>
            <w:tcW w:w="0" w:type="auto"/>
            <w:hideMark/>
          </w:tcPr>
          <w:p w14:paraId="73E7BA2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2436</w:t>
            </w:r>
          </w:p>
        </w:tc>
      </w:tr>
      <w:tr w:rsidR="00302FEA" w:rsidRPr="00051EC0" w14:paraId="433239A4" w14:textId="77777777" w:rsidTr="00302FEA">
        <w:trPr>
          <w:jc w:val="center"/>
        </w:trPr>
        <w:tc>
          <w:tcPr>
            <w:tcW w:w="0" w:type="auto"/>
            <w:hideMark/>
          </w:tcPr>
          <w:p w14:paraId="1563D193"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81</w:t>
            </w:r>
          </w:p>
        </w:tc>
        <w:tc>
          <w:tcPr>
            <w:tcW w:w="0" w:type="auto"/>
            <w:hideMark/>
          </w:tcPr>
          <w:p w14:paraId="316BA64E"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31</w:t>
            </w:r>
          </w:p>
        </w:tc>
        <w:tc>
          <w:tcPr>
            <w:tcW w:w="0" w:type="auto"/>
            <w:hideMark/>
          </w:tcPr>
          <w:p w14:paraId="09D7D721"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6561</w:t>
            </w:r>
          </w:p>
        </w:tc>
        <w:tc>
          <w:tcPr>
            <w:tcW w:w="0" w:type="auto"/>
            <w:hideMark/>
          </w:tcPr>
          <w:p w14:paraId="3864C9D5"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961</w:t>
            </w:r>
          </w:p>
        </w:tc>
        <w:tc>
          <w:tcPr>
            <w:tcW w:w="0" w:type="auto"/>
            <w:hideMark/>
          </w:tcPr>
          <w:p w14:paraId="0D9FB6B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2511</w:t>
            </w:r>
          </w:p>
        </w:tc>
      </w:tr>
      <w:tr w:rsidR="00302FEA" w:rsidRPr="00051EC0" w14:paraId="1F8D2BD0" w14:textId="77777777" w:rsidTr="00302FEA">
        <w:trPr>
          <w:jc w:val="center"/>
        </w:trPr>
        <w:tc>
          <w:tcPr>
            <w:tcW w:w="0" w:type="auto"/>
            <w:hideMark/>
          </w:tcPr>
          <w:p w14:paraId="78DA1F4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Σ</w:t>
            </w:r>
          </w:p>
        </w:tc>
        <w:tc>
          <w:tcPr>
            <w:tcW w:w="0" w:type="auto"/>
            <w:hideMark/>
          </w:tcPr>
          <w:p w14:paraId="62EE79F9" w14:textId="77777777" w:rsidR="00302FEA" w:rsidRPr="00051EC0" w:rsidRDefault="00302FEA" w:rsidP="00051EC0">
            <w:pPr>
              <w:spacing w:line="360" w:lineRule="auto"/>
              <w:jc w:val="center"/>
              <w:rPr>
                <w:rFonts w:ascii="Times New Roman" w:hAnsi="Times New Roman" w:cs="Times New Roman"/>
                <w:iCs/>
                <w:sz w:val="24"/>
                <w:szCs w:val="24"/>
              </w:rPr>
            </w:pPr>
          </w:p>
        </w:tc>
        <w:tc>
          <w:tcPr>
            <w:tcW w:w="0" w:type="auto"/>
            <w:hideMark/>
          </w:tcPr>
          <w:p w14:paraId="71CA327A"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38,450</w:t>
            </w:r>
          </w:p>
        </w:tc>
        <w:tc>
          <w:tcPr>
            <w:tcW w:w="0" w:type="auto"/>
            <w:hideMark/>
          </w:tcPr>
          <w:p w14:paraId="74FF572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6,178</w:t>
            </w:r>
          </w:p>
        </w:tc>
        <w:tc>
          <w:tcPr>
            <w:tcW w:w="0" w:type="auto"/>
            <w:hideMark/>
          </w:tcPr>
          <w:p w14:paraId="02C01FB6"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15,319</w:t>
            </w:r>
          </w:p>
        </w:tc>
      </w:tr>
    </w:tbl>
    <w:p w14:paraId="05EA9A4A" w14:textId="77777777" w:rsidR="00FF39D2" w:rsidRPr="00051EC0" w:rsidRDefault="00FF39D2" w:rsidP="00051EC0">
      <w:pPr>
        <w:spacing w:after="0" w:line="360" w:lineRule="auto"/>
        <w:jc w:val="center"/>
        <w:rPr>
          <w:rFonts w:ascii="Times New Roman" w:hAnsi="Times New Roman" w:cs="Times New Roman"/>
          <w:b/>
          <w:bCs/>
          <w:iCs/>
          <w:sz w:val="24"/>
          <w:szCs w:val="24"/>
        </w:rPr>
      </w:pPr>
    </w:p>
    <w:p w14:paraId="587A19E0" w14:textId="4825A890" w:rsidR="00131654" w:rsidRDefault="00131654"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 regression analysis, the study proposes the following hypotheses to examine the predictive relationship between operational variables and dwell time. The null hypothesis (H₀) states that yard utilization and staffing hours do not have a statistically significant effect on the average dwell time at the container freight station. In contrast, the alternative hypothesis (H₁) asserts that yard utilization and staffing hours significantly influence and predict the average dwell time, indicating that changes in these operational factors contribute meaningfully to variations in terminal efficiency</w:t>
      </w:r>
      <w:r w:rsidR="00DA525D" w:rsidRPr="00051EC0">
        <w:rPr>
          <w:rFonts w:ascii="Times New Roman" w:hAnsi="Times New Roman" w:cs="Times New Roman"/>
          <w:iCs/>
          <w:sz w:val="24"/>
          <w:szCs w:val="24"/>
        </w:rPr>
        <w:t xml:space="preserve"> shown in Table 2.</w:t>
      </w:r>
    </w:p>
    <w:p w14:paraId="15313E89" w14:textId="77777777" w:rsidR="00C030D0" w:rsidRPr="00051EC0" w:rsidRDefault="00C030D0" w:rsidP="00051EC0">
      <w:pPr>
        <w:spacing w:after="0" w:line="360" w:lineRule="auto"/>
        <w:jc w:val="both"/>
        <w:rPr>
          <w:rFonts w:ascii="Times New Roman" w:hAnsi="Times New Roman" w:cs="Times New Roman"/>
          <w:iCs/>
          <w:sz w:val="24"/>
          <w:szCs w:val="24"/>
        </w:rPr>
      </w:pPr>
    </w:p>
    <w:p w14:paraId="5DB46E83" w14:textId="34BED93C" w:rsidR="00696899" w:rsidRPr="00051EC0" w:rsidRDefault="00696899"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Table 2: Regression Results of the Observed Data</w:t>
      </w:r>
    </w:p>
    <w:tbl>
      <w:tblPr>
        <w:tblStyle w:val="TableGrid"/>
        <w:tblW w:w="0" w:type="auto"/>
        <w:jc w:val="center"/>
        <w:tblLook w:val="04A0" w:firstRow="1" w:lastRow="0" w:firstColumn="1" w:lastColumn="0" w:noHBand="0" w:noVBand="1"/>
      </w:tblPr>
      <w:tblGrid>
        <w:gridCol w:w="1663"/>
        <w:gridCol w:w="1682"/>
        <w:gridCol w:w="1279"/>
        <w:gridCol w:w="923"/>
        <w:gridCol w:w="977"/>
      </w:tblGrid>
      <w:tr w:rsidR="00DA525D" w:rsidRPr="00051EC0" w14:paraId="3991A7C9" w14:textId="77777777" w:rsidTr="00DA525D">
        <w:trPr>
          <w:jc w:val="center"/>
        </w:trPr>
        <w:tc>
          <w:tcPr>
            <w:tcW w:w="0" w:type="auto"/>
            <w:hideMark/>
          </w:tcPr>
          <w:p w14:paraId="2079A180"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Variable</w:t>
            </w:r>
          </w:p>
        </w:tc>
        <w:tc>
          <w:tcPr>
            <w:tcW w:w="0" w:type="auto"/>
            <w:hideMark/>
          </w:tcPr>
          <w:p w14:paraId="75355DEC"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Coefficient (β)</w:t>
            </w:r>
          </w:p>
        </w:tc>
        <w:tc>
          <w:tcPr>
            <w:tcW w:w="0" w:type="auto"/>
            <w:hideMark/>
          </w:tcPr>
          <w:p w14:paraId="1B61304E"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Std. Error</w:t>
            </w:r>
          </w:p>
        </w:tc>
        <w:tc>
          <w:tcPr>
            <w:tcW w:w="0" w:type="auto"/>
            <w:hideMark/>
          </w:tcPr>
          <w:p w14:paraId="7A86E6B1"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t-value</w:t>
            </w:r>
          </w:p>
        </w:tc>
        <w:tc>
          <w:tcPr>
            <w:tcW w:w="0" w:type="auto"/>
            <w:hideMark/>
          </w:tcPr>
          <w:p w14:paraId="244D03A5"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p-value</w:t>
            </w:r>
          </w:p>
        </w:tc>
      </w:tr>
      <w:tr w:rsidR="00DA525D" w:rsidRPr="00051EC0" w14:paraId="04792F9A" w14:textId="77777777" w:rsidTr="00DA525D">
        <w:trPr>
          <w:jc w:val="center"/>
        </w:trPr>
        <w:tc>
          <w:tcPr>
            <w:tcW w:w="0" w:type="auto"/>
            <w:hideMark/>
          </w:tcPr>
          <w:p w14:paraId="23DE9181"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Intercept</w:t>
            </w:r>
          </w:p>
        </w:tc>
        <w:tc>
          <w:tcPr>
            <w:tcW w:w="0" w:type="auto"/>
            <w:hideMark/>
          </w:tcPr>
          <w:p w14:paraId="2C80C04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64.50</w:t>
            </w:r>
          </w:p>
        </w:tc>
        <w:tc>
          <w:tcPr>
            <w:tcW w:w="0" w:type="auto"/>
            <w:hideMark/>
          </w:tcPr>
          <w:p w14:paraId="625D496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5.32</w:t>
            </w:r>
          </w:p>
        </w:tc>
        <w:tc>
          <w:tcPr>
            <w:tcW w:w="0" w:type="auto"/>
            <w:hideMark/>
          </w:tcPr>
          <w:p w14:paraId="2FD58D3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12.10</w:t>
            </w:r>
          </w:p>
        </w:tc>
        <w:tc>
          <w:tcPr>
            <w:tcW w:w="0" w:type="auto"/>
            <w:hideMark/>
          </w:tcPr>
          <w:p w14:paraId="2E977BE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0.0002</w:t>
            </w:r>
          </w:p>
        </w:tc>
      </w:tr>
      <w:tr w:rsidR="00DA525D" w:rsidRPr="00051EC0" w14:paraId="0180036C" w14:textId="77777777" w:rsidTr="00DA525D">
        <w:trPr>
          <w:jc w:val="center"/>
        </w:trPr>
        <w:tc>
          <w:tcPr>
            <w:tcW w:w="0" w:type="auto"/>
            <w:hideMark/>
          </w:tcPr>
          <w:p w14:paraId="3823E2E4"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Utilization (%)</w:t>
            </w:r>
          </w:p>
        </w:tc>
        <w:tc>
          <w:tcPr>
            <w:tcW w:w="0" w:type="auto"/>
            <w:hideMark/>
          </w:tcPr>
          <w:p w14:paraId="53C4044B"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-0.31</w:t>
            </w:r>
          </w:p>
        </w:tc>
        <w:tc>
          <w:tcPr>
            <w:tcW w:w="0" w:type="auto"/>
            <w:hideMark/>
          </w:tcPr>
          <w:p w14:paraId="21E58551"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0.07</w:t>
            </w:r>
          </w:p>
        </w:tc>
        <w:tc>
          <w:tcPr>
            <w:tcW w:w="0" w:type="auto"/>
            <w:hideMark/>
          </w:tcPr>
          <w:p w14:paraId="7D38469E"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-4.43</w:t>
            </w:r>
          </w:p>
        </w:tc>
        <w:tc>
          <w:tcPr>
            <w:tcW w:w="0" w:type="auto"/>
            <w:hideMark/>
          </w:tcPr>
          <w:p w14:paraId="72FA2590"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0.012</w:t>
            </w:r>
          </w:p>
        </w:tc>
      </w:tr>
      <w:tr w:rsidR="00DA525D" w:rsidRPr="00051EC0" w14:paraId="6FC627F4" w14:textId="77777777" w:rsidTr="00DA525D">
        <w:trPr>
          <w:jc w:val="center"/>
        </w:trPr>
        <w:tc>
          <w:tcPr>
            <w:tcW w:w="0" w:type="auto"/>
            <w:hideMark/>
          </w:tcPr>
          <w:p w14:paraId="270FEE53"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lastRenderedPageBreak/>
              <w:t>Staffed Hours</w:t>
            </w:r>
          </w:p>
        </w:tc>
        <w:tc>
          <w:tcPr>
            <w:tcW w:w="0" w:type="auto"/>
            <w:hideMark/>
          </w:tcPr>
          <w:p w14:paraId="2936A073"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-0.52</w:t>
            </w:r>
          </w:p>
        </w:tc>
        <w:tc>
          <w:tcPr>
            <w:tcW w:w="0" w:type="auto"/>
            <w:hideMark/>
          </w:tcPr>
          <w:p w14:paraId="2FB626E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0.14</w:t>
            </w:r>
          </w:p>
        </w:tc>
        <w:tc>
          <w:tcPr>
            <w:tcW w:w="0" w:type="auto"/>
            <w:hideMark/>
          </w:tcPr>
          <w:p w14:paraId="79FEE97B"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-3.71</w:t>
            </w:r>
          </w:p>
        </w:tc>
        <w:tc>
          <w:tcPr>
            <w:tcW w:w="0" w:type="auto"/>
            <w:hideMark/>
          </w:tcPr>
          <w:p w14:paraId="4350046A"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0.021</w:t>
            </w:r>
          </w:p>
        </w:tc>
      </w:tr>
      <w:tr w:rsidR="00DA525D" w:rsidRPr="00051EC0" w14:paraId="38706207" w14:textId="77777777" w:rsidTr="00DA525D">
        <w:trPr>
          <w:jc w:val="center"/>
        </w:trPr>
        <w:tc>
          <w:tcPr>
            <w:tcW w:w="0" w:type="auto"/>
            <w:hideMark/>
          </w:tcPr>
          <w:p w14:paraId="1FF7A67E"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R²</w:t>
            </w:r>
          </w:p>
        </w:tc>
        <w:tc>
          <w:tcPr>
            <w:tcW w:w="0" w:type="auto"/>
            <w:hideMark/>
          </w:tcPr>
          <w:p w14:paraId="7ABAE42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0.89</w:t>
            </w:r>
          </w:p>
        </w:tc>
        <w:tc>
          <w:tcPr>
            <w:tcW w:w="0" w:type="auto"/>
            <w:hideMark/>
          </w:tcPr>
          <w:p w14:paraId="6ECF5E5E" w14:textId="77777777" w:rsidR="00DA525D" w:rsidRPr="00051EC0" w:rsidRDefault="00DA525D" w:rsidP="00051EC0">
            <w:pPr>
              <w:spacing w:line="360" w:lineRule="auto"/>
              <w:jc w:val="center"/>
              <w:rPr>
                <w:rFonts w:ascii="Times New Roman" w:hAnsi="Times New Roman" w:cs="Times New Roman"/>
                <w:iCs/>
                <w:sz w:val="24"/>
                <w:szCs w:val="24"/>
              </w:rPr>
            </w:pPr>
          </w:p>
        </w:tc>
        <w:tc>
          <w:tcPr>
            <w:tcW w:w="0" w:type="auto"/>
            <w:hideMark/>
          </w:tcPr>
          <w:p w14:paraId="246430F7" w14:textId="77777777" w:rsidR="00DA525D" w:rsidRPr="00051EC0" w:rsidRDefault="00DA525D" w:rsidP="00051EC0">
            <w:pPr>
              <w:spacing w:line="360" w:lineRule="auto"/>
              <w:jc w:val="center"/>
              <w:rPr>
                <w:rFonts w:ascii="Times New Roman" w:hAnsi="Times New Roman" w:cs="Times New Roman"/>
                <w:iCs/>
                <w:sz w:val="24"/>
                <w:szCs w:val="24"/>
              </w:rPr>
            </w:pPr>
          </w:p>
        </w:tc>
        <w:tc>
          <w:tcPr>
            <w:tcW w:w="0" w:type="auto"/>
            <w:hideMark/>
          </w:tcPr>
          <w:p w14:paraId="32B72E1A" w14:textId="77777777" w:rsidR="00DA525D" w:rsidRPr="00051EC0" w:rsidRDefault="00DA525D" w:rsidP="00051EC0">
            <w:pPr>
              <w:spacing w:line="360" w:lineRule="auto"/>
              <w:jc w:val="center"/>
              <w:rPr>
                <w:rFonts w:ascii="Times New Roman" w:hAnsi="Times New Roman" w:cs="Times New Roman"/>
                <w:iCs/>
                <w:sz w:val="24"/>
                <w:szCs w:val="24"/>
              </w:rPr>
            </w:pPr>
          </w:p>
        </w:tc>
      </w:tr>
    </w:tbl>
    <w:p w14:paraId="5B765F60" w14:textId="77777777" w:rsidR="00DA525D" w:rsidRPr="00051EC0" w:rsidRDefault="00DA525D" w:rsidP="00051EC0">
      <w:pPr>
        <w:spacing w:after="0" w:line="360" w:lineRule="auto"/>
        <w:jc w:val="both"/>
        <w:rPr>
          <w:rFonts w:ascii="Times New Roman" w:hAnsi="Times New Roman" w:cs="Times New Roman"/>
          <w:iCs/>
          <w:sz w:val="24"/>
          <w:szCs w:val="24"/>
        </w:rPr>
      </w:pPr>
    </w:p>
    <w:p w14:paraId="1EB51F90" w14:textId="14B16D86" w:rsidR="008F33BC" w:rsidRPr="00051EC0" w:rsidRDefault="006E0A3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Utilization Coefficient (β₁ = -0.31)</w:t>
      </w:r>
      <w:r w:rsidR="000D6536"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A 1% increase in yard utilization reduces dwell time by approximately 0.31 hours, holding other variables constant.</w:t>
      </w:r>
      <w:r w:rsidR="00407E67" w:rsidRPr="00051EC0">
        <w:rPr>
          <w:rFonts w:ascii="Times New Roman" w:hAnsi="Times New Roman" w:cs="Times New Roman"/>
          <w:iCs/>
          <w:sz w:val="24"/>
          <w:szCs w:val="24"/>
        </w:rPr>
        <w:t xml:space="preserve"> </w:t>
      </w:r>
      <w:r w:rsidR="006F6A38" w:rsidRPr="00051EC0">
        <w:rPr>
          <w:rFonts w:ascii="Times New Roman" w:hAnsi="Times New Roman" w:cs="Times New Roman"/>
          <w:iCs/>
          <w:sz w:val="24"/>
          <w:szCs w:val="24"/>
        </w:rPr>
        <w:t xml:space="preserve">Staffed Hours Coefficient (β₂ = -0.52). Each additional staffed hour reduces dwell time by 0.52 hours. For example, increasing operations from 16 hours to 24 hours (an 8-hour increase) reduces dwell time by approximately: </w:t>
      </w:r>
      <m:oMath>
        <m:r>
          <m:rPr>
            <m:sty m:val="p"/>
          </m:rPr>
          <w:rPr>
            <w:rFonts w:ascii="Cambria Math" w:hAnsi="Cambria Math" w:cs="Times New Roman"/>
            <w:sz w:val="24"/>
            <w:szCs w:val="24"/>
          </w:rPr>
          <m:t>8×0.52=4.16</m:t>
        </m:r>
        <m:r>
          <m:rPr>
            <m:nor/>
          </m:rPr>
          <w:rPr>
            <w:rFonts w:ascii="Times New Roman" w:hAnsi="Times New Roman" w:cs="Times New Roman"/>
            <w:iCs/>
            <w:sz w:val="24"/>
            <w:szCs w:val="24"/>
          </w:rPr>
          <m:t xml:space="preserve"> hours</m:t>
        </m:r>
      </m:oMath>
      <w:r w:rsidR="006F6A38" w:rsidRPr="00051EC0">
        <w:rPr>
          <w:rFonts w:ascii="Times New Roman" w:eastAsiaTheme="minorEastAsia" w:hAnsi="Times New Roman" w:cs="Times New Roman"/>
          <w:iCs/>
          <w:sz w:val="24"/>
          <w:szCs w:val="24"/>
        </w:rPr>
        <w:t xml:space="preserve">. So, the </w:t>
      </w:r>
      <w:r w:rsidR="006F6A38" w:rsidRPr="00051EC0">
        <w:rPr>
          <w:rFonts w:ascii="Times New Roman" w:hAnsi="Times New Roman" w:cs="Times New Roman"/>
          <w:iCs/>
          <w:sz w:val="24"/>
          <w:szCs w:val="24"/>
        </w:rPr>
        <w:t xml:space="preserve">Model Fit (R² = 0.89). The model explains 89% of the variation in dwell time, indicating strong explanatory power and reliable predictive capability. </w:t>
      </w:r>
      <w:r w:rsidR="00FB598F" w:rsidRPr="00051EC0">
        <w:rPr>
          <w:rFonts w:ascii="Times New Roman" w:hAnsi="Times New Roman" w:cs="Times New Roman"/>
          <w:iCs/>
          <w:sz w:val="24"/>
          <w:szCs w:val="24"/>
        </w:rPr>
        <w:t>Statistical findings confirm strong negative correlation between utilization and dwell time. Post 24/7 operational implementation in 2025, dwell time decreased by 13%, aligning with AI forecasting improvements.</w:t>
      </w:r>
      <w:r w:rsidR="00FB598F" w:rsidRPr="00051EC0">
        <w:t xml:space="preserve"> </w:t>
      </w:r>
      <w:r w:rsidR="00FB598F" w:rsidRPr="00051EC0">
        <w:rPr>
          <w:rFonts w:ascii="Times New Roman" w:hAnsi="Times New Roman" w:cs="Times New Roman"/>
          <w:iCs/>
          <w:sz w:val="24"/>
          <w:szCs w:val="24"/>
        </w:rPr>
        <w:t>Validated results support AI-based operational planning. Continuous monitoring ensures sustainable performance. Real-time analytics enhances managerial responsiveness</w:t>
      </w:r>
      <w:r w:rsidR="00B97969" w:rsidRPr="00051EC0">
        <w:rPr>
          <w:rFonts w:ascii="Times New Roman" w:hAnsi="Times New Roman" w:cs="Times New Roman"/>
          <w:iCs/>
          <w:sz w:val="24"/>
          <w:szCs w:val="24"/>
        </w:rPr>
        <w:t xml:space="preserve"> and the improvement listed in Table </w:t>
      </w:r>
      <w:r w:rsidR="00CB0A86" w:rsidRPr="00051EC0">
        <w:rPr>
          <w:rFonts w:ascii="Times New Roman" w:hAnsi="Times New Roman" w:cs="Times New Roman"/>
          <w:iCs/>
          <w:sz w:val="24"/>
          <w:szCs w:val="24"/>
        </w:rPr>
        <w:t>3</w:t>
      </w:r>
      <w:r w:rsidR="00FB598F" w:rsidRPr="00051EC0">
        <w:rPr>
          <w:rFonts w:ascii="Times New Roman" w:hAnsi="Times New Roman" w:cs="Times New Roman"/>
          <w:iCs/>
          <w:sz w:val="24"/>
          <w:szCs w:val="24"/>
        </w:rPr>
        <w:t>.</w:t>
      </w:r>
      <w:r w:rsidR="00C97B80" w:rsidRPr="00051EC0">
        <w:t xml:space="preserve"> </w:t>
      </w:r>
      <w:r w:rsidR="00C97B80" w:rsidRPr="00051EC0">
        <w:rPr>
          <w:rFonts w:ascii="Times New Roman" w:hAnsi="Times New Roman" w:cs="Times New Roman"/>
          <w:iCs/>
          <w:sz w:val="24"/>
          <w:szCs w:val="24"/>
        </w:rPr>
        <w:t>AI tools such as RFID tracking, LSTM forecasting models, and automated scheduling contributed to measurable efficiency gains.</w:t>
      </w:r>
    </w:p>
    <w:p w14:paraId="6B2B468D" w14:textId="75C36FFD" w:rsidR="00FB598F" w:rsidRPr="00051EC0" w:rsidRDefault="00FB598F"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Table</w:t>
      </w:r>
      <w:r w:rsidR="003C5A24" w:rsidRPr="00051EC0">
        <w:rPr>
          <w:rFonts w:ascii="Times New Roman" w:hAnsi="Times New Roman" w:cs="Times New Roman"/>
          <w:b/>
          <w:bCs/>
          <w:iCs/>
          <w:sz w:val="24"/>
          <w:szCs w:val="24"/>
        </w:rPr>
        <w:t xml:space="preserve"> </w:t>
      </w:r>
      <w:r w:rsidR="00CB0A86" w:rsidRPr="00051EC0">
        <w:rPr>
          <w:rFonts w:ascii="Times New Roman" w:hAnsi="Times New Roman" w:cs="Times New Roman"/>
          <w:b/>
          <w:bCs/>
          <w:iCs/>
          <w:sz w:val="24"/>
          <w:szCs w:val="24"/>
        </w:rPr>
        <w:t>3</w:t>
      </w:r>
      <w:r w:rsidRPr="00051EC0">
        <w:rPr>
          <w:rFonts w:ascii="Times New Roman" w:hAnsi="Times New Roman" w:cs="Times New Roman"/>
          <w:b/>
          <w:bCs/>
          <w:iCs/>
          <w:sz w:val="24"/>
          <w:szCs w:val="24"/>
        </w:rPr>
        <w:t>: Key Performance Improvements</w:t>
      </w:r>
    </w:p>
    <w:tbl>
      <w:tblPr>
        <w:tblStyle w:val="TableGrid"/>
        <w:tblW w:w="0" w:type="auto"/>
        <w:jc w:val="center"/>
        <w:tblLook w:val="04A0" w:firstRow="1" w:lastRow="0" w:firstColumn="1" w:lastColumn="0" w:noHBand="0" w:noVBand="1"/>
      </w:tblPr>
      <w:tblGrid>
        <w:gridCol w:w="1961"/>
        <w:gridCol w:w="918"/>
        <w:gridCol w:w="1003"/>
        <w:gridCol w:w="1612"/>
      </w:tblGrid>
      <w:tr w:rsidR="008E0F5B" w:rsidRPr="00051EC0" w14:paraId="485468F4" w14:textId="77777777" w:rsidTr="008E0F5B">
        <w:trPr>
          <w:jc w:val="center"/>
        </w:trPr>
        <w:tc>
          <w:tcPr>
            <w:tcW w:w="0" w:type="auto"/>
            <w:hideMark/>
          </w:tcPr>
          <w:p w14:paraId="561CAB58"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Metric</w:t>
            </w:r>
          </w:p>
        </w:tc>
        <w:tc>
          <w:tcPr>
            <w:tcW w:w="0" w:type="auto"/>
            <w:hideMark/>
          </w:tcPr>
          <w:p w14:paraId="24E62656"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Pre-AI</w:t>
            </w:r>
          </w:p>
        </w:tc>
        <w:tc>
          <w:tcPr>
            <w:tcW w:w="0" w:type="auto"/>
            <w:hideMark/>
          </w:tcPr>
          <w:p w14:paraId="2C598324"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Post-AI</w:t>
            </w:r>
          </w:p>
        </w:tc>
        <w:tc>
          <w:tcPr>
            <w:tcW w:w="0" w:type="auto"/>
            <w:hideMark/>
          </w:tcPr>
          <w:p w14:paraId="0108C403"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Improvement</w:t>
            </w:r>
          </w:p>
        </w:tc>
      </w:tr>
      <w:tr w:rsidR="008E0F5B" w:rsidRPr="00051EC0" w14:paraId="6AD27D4E" w14:textId="77777777" w:rsidTr="008E0F5B">
        <w:trPr>
          <w:jc w:val="center"/>
        </w:trPr>
        <w:tc>
          <w:tcPr>
            <w:tcW w:w="0" w:type="auto"/>
            <w:hideMark/>
          </w:tcPr>
          <w:p w14:paraId="694B2584"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Avg Dwell Time</w:t>
            </w:r>
          </w:p>
        </w:tc>
        <w:tc>
          <w:tcPr>
            <w:tcW w:w="0" w:type="auto"/>
            <w:hideMark/>
          </w:tcPr>
          <w:p w14:paraId="02EB2C32"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36 hrs</w:t>
            </w:r>
          </w:p>
        </w:tc>
        <w:tc>
          <w:tcPr>
            <w:tcW w:w="0" w:type="auto"/>
            <w:hideMark/>
          </w:tcPr>
          <w:p w14:paraId="130B3B94"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23.7 hrs</w:t>
            </w:r>
          </w:p>
        </w:tc>
        <w:tc>
          <w:tcPr>
            <w:tcW w:w="0" w:type="auto"/>
            <w:hideMark/>
          </w:tcPr>
          <w:p w14:paraId="30F96633"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34%</w:t>
            </w:r>
          </w:p>
        </w:tc>
      </w:tr>
      <w:tr w:rsidR="008E0F5B" w:rsidRPr="00051EC0" w14:paraId="5242B81C" w14:textId="77777777" w:rsidTr="008E0F5B">
        <w:trPr>
          <w:jc w:val="center"/>
        </w:trPr>
        <w:tc>
          <w:tcPr>
            <w:tcW w:w="0" w:type="auto"/>
            <w:hideMark/>
          </w:tcPr>
          <w:p w14:paraId="281DFDD1"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Yard Utilization</w:t>
            </w:r>
          </w:p>
        </w:tc>
        <w:tc>
          <w:tcPr>
            <w:tcW w:w="0" w:type="auto"/>
            <w:hideMark/>
          </w:tcPr>
          <w:p w14:paraId="219F04BB"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75%</w:t>
            </w:r>
          </w:p>
        </w:tc>
        <w:tc>
          <w:tcPr>
            <w:tcW w:w="0" w:type="auto"/>
            <w:hideMark/>
          </w:tcPr>
          <w:p w14:paraId="6C85508C"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85%</w:t>
            </w:r>
          </w:p>
        </w:tc>
        <w:tc>
          <w:tcPr>
            <w:tcW w:w="0" w:type="auto"/>
            <w:hideMark/>
          </w:tcPr>
          <w:p w14:paraId="51700A29"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13%</w:t>
            </w:r>
          </w:p>
        </w:tc>
      </w:tr>
      <w:tr w:rsidR="008E0F5B" w:rsidRPr="00051EC0" w14:paraId="2B7E5DDD" w14:textId="77777777" w:rsidTr="008E0F5B">
        <w:trPr>
          <w:jc w:val="center"/>
        </w:trPr>
        <w:tc>
          <w:tcPr>
            <w:tcW w:w="0" w:type="auto"/>
            <w:hideMark/>
          </w:tcPr>
          <w:p w14:paraId="649DF59E"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Truck Turnaround</w:t>
            </w:r>
          </w:p>
        </w:tc>
        <w:tc>
          <w:tcPr>
            <w:tcW w:w="0" w:type="auto"/>
            <w:hideMark/>
          </w:tcPr>
          <w:p w14:paraId="1AE49A5F"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4.5 hrs</w:t>
            </w:r>
          </w:p>
        </w:tc>
        <w:tc>
          <w:tcPr>
            <w:tcW w:w="0" w:type="auto"/>
            <w:hideMark/>
          </w:tcPr>
          <w:p w14:paraId="4F02FE89"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3.2 hrs</w:t>
            </w:r>
          </w:p>
        </w:tc>
        <w:tc>
          <w:tcPr>
            <w:tcW w:w="0" w:type="auto"/>
            <w:hideMark/>
          </w:tcPr>
          <w:p w14:paraId="40EBA74F"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29%</w:t>
            </w:r>
          </w:p>
        </w:tc>
      </w:tr>
    </w:tbl>
    <w:p w14:paraId="6F184E93" w14:textId="266C48B6" w:rsidR="00FB598F" w:rsidRPr="00051EC0" w:rsidRDefault="00CB7718"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Conclusion</w:t>
      </w:r>
    </w:p>
    <w:p w14:paraId="1C91DDD1" w14:textId="7FB00E68" w:rsidR="00FE5354" w:rsidRPr="00051EC0" w:rsidRDefault="006F5FD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AI significantly enhances operational efficiency at all cargo Terminals by optimizing yard utilization and predicting dwell times through statistical and machine learning models. </w:t>
      </w:r>
      <w:r w:rsidR="00457A46" w:rsidRPr="00051EC0">
        <w:rPr>
          <w:rFonts w:ascii="Times New Roman" w:hAnsi="Times New Roman" w:cs="Times New Roman"/>
          <w:iCs/>
          <w:sz w:val="24"/>
          <w:szCs w:val="24"/>
        </w:rPr>
        <w:t>Strategic AI adoption reduces congestion and operational costs. Real-time analytics ensures faster decision-making. Chennai’s logistics competitiveness improves through digital transformation. AI integration positions CFS operations for sustainable growth within India’s expanding trade ecosystem.</w:t>
      </w:r>
      <w:r w:rsidR="007E28B5" w:rsidRPr="00051EC0">
        <w:t xml:space="preserve"> </w:t>
      </w:r>
      <w:r w:rsidR="007E28B5" w:rsidRPr="00051EC0">
        <w:rPr>
          <w:rFonts w:ascii="Times New Roman" w:hAnsi="Times New Roman" w:cs="Times New Roman"/>
          <w:iCs/>
          <w:sz w:val="24"/>
          <w:szCs w:val="24"/>
        </w:rPr>
        <w:t>Data-driven logistics strengthens supply chain resilience. Predictive insights minimize operational risks. AI-enabled terminals gain long-term strategic advantage.</w:t>
      </w:r>
      <w:r w:rsidR="008429C2" w:rsidRPr="00051EC0">
        <w:rPr>
          <w:rFonts w:ascii="Times New Roman" w:hAnsi="Times New Roman" w:cs="Times New Roman"/>
          <w:iCs/>
          <w:sz w:val="24"/>
          <w:szCs w:val="24"/>
        </w:rPr>
        <w:t xml:space="preserve"> In future, Deployment of advanced LSTM models for truck arrival forecasting, Implementation of AI-powered real-time KPI dashboards,</w:t>
      </w:r>
      <w:r w:rsidR="008429C2" w:rsidRPr="00051EC0">
        <w:t xml:space="preserve"> </w:t>
      </w:r>
      <w:r w:rsidR="008429C2" w:rsidRPr="00051EC0">
        <w:rPr>
          <w:rFonts w:ascii="Times New Roman" w:hAnsi="Times New Roman" w:cs="Times New Roman"/>
          <w:iCs/>
          <w:sz w:val="24"/>
          <w:szCs w:val="24"/>
        </w:rPr>
        <w:t>Hybrid Deep Reinforcement Learning for cargo packing optimization,</w:t>
      </w:r>
      <w:r w:rsidR="008429C2" w:rsidRPr="00051EC0">
        <w:t xml:space="preserve"> </w:t>
      </w:r>
      <w:r w:rsidR="008429C2" w:rsidRPr="00051EC0">
        <w:rPr>
          <w:rFonts w:ascii="Times New Roman" w:hAnsi="Times New Roman" w:cs="Times New Roman"/>
          <w:iCs/>
          <w:sz w:val="24"/>
          <w:szCs w:val="24"/>
        </w:rPr>
        <w:t xml:space="preserve">Blockchain-integrated AI for secure cargo traceability can be done. Advanced forecasting reduces uncertainty in peak demand scenarios. </w:t>
      </w:r>
      <w:r w:rsidR="008429C2" w:rsidRPr="00051EC0">
        <w:rPr>
          <w:rFonts w:ascii="Times New Roman" w:hAnsi="Times New Roman" w:cs="Times New Roman"/>
          <w:iCs/>
          <w:sz w:val="24"/>
          <w:szCs w:val="24"/>
        </w:rPr>
        <w:lastRenderedPageBreak/>
        <w:t>Real-time dashboards support continuous improvement. Integrated technologies enhance transparency and trust.</w:t>
      </w:r>
      <w:r w:rsidR="00FE5354" w:rsidRPr="00051EC0">
        <w:rPr>
          <w:rFonts w:ascii="Times New Roman" w:hAnsi="Times New Roman" w:cs="Times New Roman"/>
          <w:iCs/>
          <w:sz w:val="24"/>
          <w:szCs w:val="24"/>
        </w:rPr>
        <w:t xml:space="preserve"> This study examined the impact of yard utilization and staffing hours on average dwell time at Allcargo Container Freight Station, Chennai, using correlation and regression analysis. The results revealed a strong negative correlation (r ≈ -0.99) between yard utilization and dwell time, indicating that improved operational utilization significantly reduces container delays. The regression model further confirmed that both yard utilization and staffing hours are statistically significant predictors of dwell time, explaining 89% of the variation (R² = 0.89). The findings also highlight the effectiveness of extended 24/7 operations and AI-supported systems such as predictive forecasting and RFID tracking in improving terminal efficiency. Increased utilization and optimized staffing contribute directly to faster cargo clearance, reduced congestion, and improved throughput. Overall, the study demonstrates that data-driven decision-making and AI integration play a crucial role in enhancing operational excellence and competitiveness in container freight station management.</w:t>
      </w:r>
    </w:p>
    <w:p w14:paraId="0ADD718D" w14:textId="77777777" w:rsidR="008429C2" w:rsidRPr="00051EC0" w:rsidRDefault="008429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Acknowledgement</w:t>
      </w:r>
    </w:p>
    <w:p w14:paraId="6C59DF26" w14:textId="6264B3F5" w:rsidR="008429C2" w:rsidRPr="00051EC0" w:rsidRDefault="008429C2"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The authors acknowledge the support of SRM Arts &amp; Science College and operational stakeholders at all cargo Terminals, Chennai.</w:t>
      </w:r>
    </w:p>
    <w:p w14:paraId="3BEE77DA" w14:textId="77777777" w:rsidR="00A40954" w:rsidRPr="00051EC0" w:rsidRDefault="00A40954"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Conflict of Interest</w:t>
      </w:r>
    </w:p>
    <w:p w14:paraId="4678B77E" w14:textId="77777777" w:rsidR="00A40954" w:rsidRPr="00051EC0" w:rsidRDefault="00A40954"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The authors declare no conflict of interest.</w:t>
      </w:r>
    </w:p>
    <w:p w14:paraId="66CD6852" w14:textId="77777777" w:rsidR="00051EC0" w:rsidRPr="00051EC0" w:rsidRDefault="00051EC0"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References </w:t>
      </w:r>
    </w:p>
    <w:p w14:paraId="7127FC1C"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Buddhi, A. Optimizing Container Terminal Operations: A Systematic Review of Operations Research Methods. 2023.</w:t>
      </w:r>
    </w:p>
    <w:p w14:paraId="25FFB4B6"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Merkert, R. Global Logistics and Supply Chain Strategies for the 2020s. 2022.</w:t>
      </w:r>
    </w:p>
    <w:p w14:paraId="5DC46B6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"AI-Driven Logistics Excellence at CFS: Insights &amp; Solutions in Chennai." Studocu, 14 Aug. 2025, </w:t>
      </w:r>
      <w:hyperlink r:id="rId5" w:history="1">
        <w:r w:rsidRPr="00051EC0">
          <w:rPr>
            <w:rStyle w:val="Hyperlink"/>
            <w:rFonts w:ascii="Times New Roman" w:hAnsi="Times New Roman" w:cs="Times New Roman"/>
            <w:iCs/>
            <w:sz w:val="24"/>
            <w:szCs w:val="24"/>
          </w:rPr>
          <w:t>www.studocu.com/in/document/university-of-madras/business-administration/ai-driven-logistics-excellence-at-cfs-insights</w:t>
        </w:r>
      </w:hyperlink>
    </w:p>
    <w:p w14:paraId="53584A18"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"How AI is Transforming Logistics in India: A Deep Dive." Frugal Scientific, 10 Sept. 2025, </w:t>
      </w:r>
      <w:hyperlink r:id="rId6" w:history="1">
        <w:r w:rsidRPr="00051EC0">
          <w:rPr>
            <w:rStyle w:val="Hyperlink"/>
            <w:rFonts w:ascii="Times New Roman" w:hAnsi="Times New Roman" w:cs="Times New Roman"/>
            <w:iCs/>
            <w:sz w:val="24"/>
            <w:szCs w:val="24"/>
          </w:rPr>
          <w:t>www.frugalscientific.com/post/ai-transforming-logistics-india</w:t>
        </w:r>
      </w:hyperlink>
    </w:p>
    <w:p w14:paraId="7D1F5D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"Container Dwell Time Predictive Modelling: An Application of ML Algorithms." Taylor &amp; Francis, 7 May 2025, </w:t>
      </w:r>
      <w:hyperlink r:id="rId7" w:history="1">
        <w:r w:rsidRPr="00051EC0">
          <w:rPr>
            <w:rStyle w:val="Hyperlink"/>
            <w:rFonts w:ascii="Times New Roman" w:hAnsi="Times New Roman" w:cs="Times New Roman"/>
            <w:iCs/>
            <w:sz w:val="24"/>
            <w:szCs w:val="24"/>
          </w:rPr>
          <w:t>www.tandfonline.com/doi/full/10.1080/03088839.2025.2501010</w:t>
        </w:r>
      </w:hyperlink>
    </w:p>
    <w:p w14:paraId="374374E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"Evaluating ML-Based Container Load Optimization with Synthetic Cargo Shapes." SSRN, 30 Oct. 2023.</w:t>
      </w:r>
    </w:p>
    <w:p w14:paraId="31E7ABB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"Unmanned." Arrive.ai, 31 Dec. 2024.</w:t>
      </w:r>
    </w:p>
    <w:p w14:paraId="1FB2518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"AI Chennai Port Container Terminal Optimization." AIML Programming, 31 Dec. 2023.</w:t>
      </w:r>
    </w:p>
    <w:p w14:paraId="16EDC88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"How AI Is Transforming Logistics Operations in 2026." Webkorps, 10 Feb. 2026.</w:t>
      </w:r>
    </w:p>
    <w:p w14:paraId="3B320CBA"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"Predictive Machine Learning to Increase the Throughput of Container Yards." arXiv, 30 July 2025, arxiv.org/abs/2509.16207v1.</w:t>
      </w:r>
    </w:p>
    <w:p w14:paraId="0A1F0BD2"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"Revolutionizing Logistics: The Impact of AI and Machine Learning on Efficiency in 2026." FreightAmigo, 4 Apr. 2025.</w:t>
      </w:r>
    </w:p>
    <w:p w14:paraId="64153F5E"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"Global Logistics Solutions: India's First AI-Powered Logistics Provider." Maritime Gateway, 19 Dec. 2025.</w:t>
      </w:r>
    </w:p>
    <w:p w14:paraId="1E2CEF5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"AI-Enabled CTOS for Container Terminal Operations Optimization." Envision ESL, 7 Jan. 2026.</w:t>
      </w:r>
    </w:p>
    <w:p w14:paraId="3CE594B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"Machine Learning Model for Indian Logistics and Supply Chain." LinkedIn, 27 Jan. 2026.</w:t>
      </w:r>
    </w:p>
    <w:p w14:paraId="4E86593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"How AI Is Transforming Freight Management in 2025." CargoEZ, 20 July 2025.</w:t>
      </w:r>
    </w:p>
    <w:p w14:paraId="13186F3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"AI in Freight Optimization: Packing Trucks and Containers the Smart Way." Sophus AI.</w:t>
      </w:r>
    </w:p>
    <w:p w14:paraId="2B6E5BBB"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Benghalia, Abderaouf, et al. “Machine Learning and Simulation for Efficiency and Sustainability in Container Terminals.” </w:t>
      </w:r>
      <w:r w:rsidRPr="00051EC0">
        <w:rPr>
          <w:rFonts w:ascii="Times New Roman" w:hAnsi="Times New Roman" w:cs="Times New Roman"/>
          <w:i/>
          <w:iCs/>
          <w:sz w:val="24"/>
          <w:szCs w:val="24"/>
        </w:rPr>
        <w:t>Sustainability</w:t>
      </w:r>
      <w:r w:rsidRPr="00051EC0">
        <w:rPr>
          <w:rFonts w:ascii="Times New Roman" w:hAnsi="Times New Roman" w:cs="Times New Roman"/>
          <w:iCs/>
          <w:sz w:val="24"/>
          <w:szCs w:val="24"/>
        </w:rPr>
        <w:t xml:space="preserve">, vol. 17, no. 7, 26 Mar. 2025. A hybrid machine learning + simulation framework predicts turnaround time and optimizes operations in container terminals. </w:t>
      </w:r>
    </w:p>
    <w:p w14:paraId="43C1DFDD"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Du Plessis, Martin Johannes, et al. “Shaping the Future of Freight Logistics: Use Cases of Artificial Intelligence.” </w:t>
      </w:r>
      <w:r w:rsidRPr="00051EC0">
        <w:rPr>
          <w:rFonts w:ascii="Times New Roman" w:hAnsi="Times New Roman" w:cs="Times New Roman"/>
          <w:i/>
          <w:iCs/>
          <w:sz w:val="24"/>
          <w:szCs w:val="24"/>
        </w:rPr>
        <w:t>Sustainability</w:t>
      </w:r>
      <w:r w:rsidRPr="00051EC0">
        <w:rPr>
          <w:rFonts w:ascii="Times New Roman" w:hAnsi="Times New Roman" w:cs="Times New Roman"/>
          <w:iCs/>
          <w:sz w:val="24"/>
          <w:szCs w:val="24"/>
        </w:rPr>
        <w:t xml:space="preserve">, vol. 17, no. 4, 7 Feb. 2025. Systematically identifies AI use cases in freight logistics that support operational decision-making. </w:t>
      </w:r>
    </w:p>
    <w:p w14:paraId="7FB5ED55"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Saini, Mohan, and Tone Lerher. “Assessing the Factors Impacting Shipping Container Dwell Time: A Multi-Port Optimization Study.” </w:t>
      </w:r>
      <w:r w:rsidRPr="00051EC0">
        <w:rPr>
          <w:rFonts w:ascii="Times New Roman" w:hAnsi="Times New Roman" w:cs="Times New Roman"/>
          <w:i/>
          <w:iCs/>
          <w:sz w:val="24"/>
          <w:szCs w:val="24"/>
        </w:rPr>
        <w:t>Business: Theory and Practice</w:t>
      </w:r>
      <w:r w:rsidRPr="00051EC0">
        <w:rPr>
          <w:rFonts w:ascii="Times New Roman" w:hAnsi="Times New Roman" w:cs="Times New Roman"/>
          <w:iCs/>
          <w:sz w:val="24"/>
          <w:szCs w:val="24"/>
        </w:rPr>
        <w:t xml:space="preserve">, vol. 25, no. 1, 2024, pp. 51–60. Explores determinants of dwell time using big data analytics across 14 global ports. </w:t>
      </w:r>
    </w:p>
    <w:p w14:paraId="015EE4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“Predictive Analytics and AI in Logistics: Driving Operational Excellence and Cost Reduction.” </w:t>
      </w:r>
      <w:r w:rsidRPr="00051EC0">
        <w:rPr>
          <w:rFonts w:ascii="Times New Roman" w:hAnsi="Times New Roman" w:cs="Times New Roman"/>
          <w:i/>
          <w:iCs/>
          <w:sz w:val="24"/>
          <w:szCs w:val="24"/>
        </w:rPr>
        <w:t>IEEE Xplore</w:t>
      </w:r>
      <w:r w:rsidRPr="00051EC0">
        <w:rPr>
          <w:rFonts w:ascii="Times New Roman" w:hAnsi="Times New Roman" w:cs="Times New Roman"/>
          <w:iCs/>
          <w:sz w:val="24"/>
          <w:szCs w:val="24"/>
        </w:rPr>
        <w:t xml:space="preserve">, (2025). IEEE conference paper detailing predictive AI in logistics efficiency enhancements. </w:t>
      </w:r>
    </w:p>
    <w:p w14:paraId="30613D45"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Teixeira, Pedro, et al. “The Integration of Artificial Intelligence in Seaports’ Smart Gate Processes: Evidence Based on a Systematic Literature Review.” </w:t>
      </w:r>
      <w:r w:rsidRPr="00051EC0">
        <w:rPr>
          <w:rFonts w:ascii="Times New Roman" w:hAnsi="Times New Roman" w:cs="Times New Roman"/>
          <w:i/>
          <w:iCs/>
          <w:sz w:val="24"/>
          <w:szCs w:val="24"/>
        </w:rPr>
        <w:t xml:space="preserve">Results in </w:t>
      </w:r>
      <w:r w:rsidRPr="00051EC0">
        <w:rPr>
          <w:rFonts w:ascii="Times New Roman" w:hAnsi="Times New Roman" w:cs="Times New Roman"/>
          <w:i/>
          <w:iCs/>
          <w:sz w:val="24"/>
          <w:szCs w:val="24"/>
        </w:rPr>
        <w:lastRenderedPageBreak/>
        <w:t>Engineering</w:t>
      </w:r>
      <w:r w:rsidRPr="00051EC0">
        <w:rPr>
          <w:rFonts w:ascii="Times New Roman" w:hAnsi="Times New Roman" w:cs="Times New Roman"/>
          <w:iCs/>
          <w:sz w:val="24"/>
          <w:szCs w:val="24"/>
        </w:rPr>
        <w:t xml:space="preserve">, 2025. Survey of AI adoption in smart gate trucking and scheduling optimization at ports. </w:t>
      </w:r>
    </w:p>
    <w:p w14:paraId="1D783DA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Wang, Ruoqi, et al. “Prediction and Analysis of Container Terminal Logistics Arrival Time Based on Simulation Interactive Modeling: A Case Study of Ningbo Port.” </w:t>
      </w:r>
      <w:r w:rsidRPr="00051EC0">
        <w:rPr>
          <w:rFonts w:ascii="Times New Roman" w:hAnsi="Times New Roman" w:cs="Times New Roman"/>
          <w:i/>
          <w:iCs/>
          <w:sz w:val="24"/>
          <w:szCs w:val="24"/>
        </w:rPr>
        <w:t>Mathematics</w:t>
      </w:r>
      <w:r w:rsidRPr="00051EC0">
        <w:rPr>
          <w:rFonts w:ascii="Times New Roman" w:hAnsi="Times New Roman" w:cs="Times New Roman"/>
          <w:iCs/>
          <w:sz w:val="24"/>
          <w:szCs w:val="24"/>
        </w:rPr>
        <w:t xml:space="preserve">, vol. 11, no. 15, 25 July 2023. Predictive modeling of arrival time for container yards using data analytics. </w:t>
      </w:r>
    </w:p>
    <w:p w14:paraId="28E24736"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Khaja, Abraaz Mohammed. “Applying Machine Learning for Fleet Transportation Optimization and Trailer IoT Insights in Supply Chains.” </w:t>
      </w:r>
      <w:r w:rsidRPr="00051EC0">
        <w:rPr>
          <w:rFonts w:ascii="Times New Roman" w:hAnsi="Times New Roman" w:cs="Times New Roman"/>
          <w:i/>
          <w:iCs/>
          <w:sz w:val="24"/>
          <w:szCs w:val="24"/>
        </w:rPr>
        <w:t>International Journal of Intelligent Systems and Applications in Engineering</w:t>
      </w:r>
      <w:r w:rsidRPr="00051EC0">
        <w:rPr>
          <w:rFonts w:ascii="Times New Roman" w:hAnsi="Times New Roman" w:cs="Times New Roman"/>
          <w:iCs/>
          <w:sz w:val="24"/>
          <w:szCs w:val="24"/>
        </w:rPr>
        <w:t xml:space="preserve">, vol. 13, no. 1s, 19 Mar. 2025. ML for fleet optimization and IoT integration in supply chain management. </w:t>
      </w:r>
    </w:p>
    <w:p w14:paraId="0BD2B767"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Chen, Lifen, et al. “A Study on Container Storage Optimization in Yards Based on a Hyper-Heuristic Algorithm with a Q-Learning Mechanism.” </w:t>
      </w:r>
      <w:r w:rsidRPr="00051EC0">
        <w:rPr>
          <w:rFonts w:ascii="Times New Roman" w:hAnsi="Times New Roman" w:cs="Times New Roman"/>
          <w:i/>
          <w:iCs/>
          <w:sz w:val="24"/>
          <w:szCs w:val="24"/>
        </w:rPr>
        <w:t>International Journal of Computational Intelligence Systems</w:t>
      </w:r>
      <w:r w:rsidRPr="00051EC0">
        <w:rPr>
          <w:rFonts w:ascii="Times New Roman" w:hAnsi="Times New Roman" w:cs="Times New Roman"/>
          <w:iCs/>
          <w:sz w:val="24"/>
          <w:szCs w:val="24"/>
        </w:rPr>
        <w:t xml:space="preserve">, vol. 18, 30 June 2025. Q-learning based yard storage optimization minimizing rehandles and emissions. </w:t>
      </w:r>
    </w:p>
    <w:p w14:paraId="2DD29EE8"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Zhai, Deqing, et al. “Predicting Berth Stay for Tanker Terminals: A Systematic and Dynamic Approach.” </w:t>
      </w:r>
      <w:r w:rsidRPr="00051EC0">
        <w:rPr>
          <w:rFonts w:ascii="Times New Roman" w:hAnsi="Times New Roman" w:cs="Times New Roman"/>
          <w:i/>
          <w:iCs/>
          <w:sz w:val="24"/>
          <w:szCs w:val="24"/>
        </w:rPr>
        <w:t>arXiv</w:t>
      </w:r>
      <w:r w:rsidRPr="00051EC0">
        <w:rPr>
          <w:rFonts w:ascii="Times New Roman" w:hAnsi="Times New Roman" w:cs="Times New Roman"/>
          <w:iCs/>
          <w:sz w:val="24"/>
          <w:szCs w:val="24"/>
        </w:rPr>
        <w:t xml:space="preserve">, 8 Apr. 2022. Dynamic forecasting models for predicting vessel berth stay in terminals. </w:t>
      </w:r>
    </w:p>
    <w:p w14:paraId="0426FA1F"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Khazzar, Abdelhafid, et al. “Artificial Intelligence in Port Logistics: A Bibliometric Analysis of Technological Integration and Research Dynamics.” </w:t>
      </w:r>
      <w:r w:rsidRPr="00051EC0">
        <w:rPr>
          <w:rFonts w:ascii="Times New Roman" w:hAnsi="Times New Roman" w:cs="Times New Roman"/>
          <w:i/>
          <w:iCs/>
          <w:sz w:val="24"/>
          <w:szCs w:val="24"/>
        </w:rPr>
        <w:t>arXiv</w:t>
      </w:r>
      <w:r w:rsidRPr="00051EC0">
        <w:rPr>
          <w:rFonts w:ascii="Times New Roman" w:hAnsi="Times New Roman" w:cs="Times New Roman"/>
          <w:iCs/>
          <w:sz w:val="24"/>
          <w:szCs w:val="24"/>
        </w:rPr>
        <w:t xml:space="preserve">, 8 Oct. 2025. Bibliometric analysis of AI research integration in port logistics. </w:t>
      </w:r>
    </w:p>
    <w:p w14:paraId="66562C32"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Sim, Sunghyun, et al. “Artificial Intelligence-based Smart Port Logistics Metaverse for Enhancing Productivity, Environment, and Safety in Port Logistics: A Case Study of Busan Port.” </w:t>
      </w:r>
      <w:r w:rsidRPr="00051EC0">
        <w:rPr>
          <w:rFonts w:ascii="Times New Roman" w:hAnsi="Times New Roman" w:cs="Times New Roman"/>
          <w:i/>
          <w:iCs/>
          <w:sz w:val="24"/>
          <w:szCs w:val="24"/>
        </w:rPr>
        <w:t>arXiv</w:t>
      </w:r>
      <w:r w:rsidRPr="00051EC0">
        <w:rPr>
          <w:rFonts w:ascii="Times New Roman" w:hAnsi="Times New Roman" w:cs="Times New Roman"/>
          <w:iCs/>
          <w:sz w:val="24"/>
          <w:szCs w:val="24"/>
        </w:rPr>
        <w:t xml:space="preserve">, 29 Aug. 2024. AI metaverse framework integrating simulation and predictive modules for smart port operations. </w:t>
      </w:r>
    </w:p>
    <w:p w14:paraId="12EA73D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Zhai, Deqing, et al. “Predicting Berth Stay for Tanker Terminals: A Systematic and Dynamic Approach.” </w:t>
      </w:r>
      <w:r w:rsidRPr="00051EC0">
        <w:rPr>
          <w:rFonts w:ascii="Times New Roman" w:hAnsi="Times New Roman" w:cs="Times New Roman"/>
          <w:i/>
          <w:iCs/>
          <w:sz w:val="24"/>
          <w:szCs w:val="24"/>
        </w:rPr>
        <w:t>arXiv</w:t>
      </w:r>
      <w:r w:rsidRPr="00051EC0">
        <w:rPr>
          <w:rFonts w:ascii="Times New Roman" w:hAnsi="Times New Roman" w:cs="Times New Roman"/>
          <w:iCs/>
          <w:sz w:val="24"/>
          <w:szCs w:val="24"/>
        </w:rPr>
        <w:t xml:space="preserve">, Apr. 2022. Proposes predictive models for scheduling and berth allocation to improve operations. </w:t>
      </w:r>
    </w:p>
    <w:p w14:paraId="4769B5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“Machine Learning for International Freight Transportation Management: A Comprehensive Review.” </w:t>
      </w:r>
      <w:r w:rsidRPr="00051EC0">
        <w:rPr>
          <w:rFonts w:ascii="Times New Roman" w:hAnsi="Times New Roman" w:cs="Times New Roman"/>
          <w:i/>
          <w:iCs/>
          <w:sz w:val="24"/>
          <w:szCs w:val="24"/>
        </w:rPr>
        <w:t>Research in Transportation Business &amp; Management</w:t>
      </w:r>
      <w:r w:rsidRPr="00051EC0">
        <w:rPr>
          <w:rFonts w:ascii="Times New Roman" w:hAnsi="Times New Roman" w:cs="Times New Roman"/>
          <w:iCs/>
          <w:sz w:val="24"/>
          <w:szCs w:val="24"/>
        </w:rPr>
        <w:t xml:space="preserve">, vol. 34, Mar. 2020. Reviews ML for international freight operations across forecasting, maintenance, and trajectory prediction. </w:t>
      </w:r>
    </w:p>
    <w:p w14:paraId="3D55655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“Analytics Meets Port Logistics: A Decision Support System for Container Stacking Operations.” </w:t>
      </w:r>
      <w:r w:rsidRPr="00051EC0">
        <w:rPr>
          <w:rFonts w:ascii="Times New Roman" w:hAnsi="Times New Roman" w:cs="Times New Roman"/>
          <w:i/>
          <w:iCs/>
          <w:sz w:val="24"/>
          <w:szCs w:val="24"/>
        </w:rPr>
        <w:t>Decision Support Systems</w:t>
      </w:r>
      <w:r w:rsidRPr="00051EC0">
        <w:rPr>
          <w:rFonts w:ascii="Times New Roman" w:hAnsi="Times New Roman" w:cs="Times New Roman"/>
          <w:iCs/>
          <w:sz w:val="24"/>
          <w:szCs w:val="24"/>
        </w:rPr>
        <w:t xml:space="preserve">, vol. 121, June 2019. Introduces a decision support model predicting dwell and optimizing stacking. </w:t>
      </w:r>
    </w:p>
    <w:p w14:paraId="101C70C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 xml:space="preserve">“A Novel Intelligent Prediction Model for the Containerized Freight Index: A New Perspective of Adaptive Model Selection for Subseries.” </w:t>
      </w:r>
      <w:r w:rsidRPr="00051EC0">
        <w:rPr>
          <w:rFonts w:ascii="Times New Roman" w:hAnsi="Times New Roman" w:cs="Times New Roman"/>
          <w:i/>
          <w:iCs/>
          <w:sz w:val="24"/>
          <w:szCs w:val="24"/>
        </w:rPr>
        <w:t>Systems</w:t>
      </w:r>
      <w:r w:rsidRPr="00051EC0">
        <w:rPr>
          <w:rFonts w:ascii="Times New Roman" w:hAnsi="Times New Roman" w:cs="Times New Roman"/>
          <w:iCs/>
          <w:sz w:val="24"/>
          <w:szCs w:val="24"/>
        </w:rPr>
        <w:t>, vol. 12, no. 8, 19 Aug. 2024. Adaptive ensemble learning model for freight index forecasting</w:t>
      </w:r>
    </w:p>
    <w:p w14:paraId="2E1E428E" w14:textId="77777777" w:rsidR="00051EC0" w:rsidRPr="00051EC0" w:rsidRDefault="00051EC0" w:rsidP="00051EC0">
      <w:pPr>
        <w:spacing w:after="0" w:line="360" w:lineRule="auto"/>
        <w:jc w:val="both"/>
        <w:rPr>
          <w:rFonts w:ascii="Times New Roman" w:hAnsi="Times New Roman" w:cs="Times New Roman"/>
          <w:iCs/>
          <w:sz w:val="24"/>
          <w:szCs w:val="24"/>
        </w:rPr>
      </w:pPr>
    </w:p>
    <w:p w14:paraId="383FBC8F" w14:textId="205BA061" w:rsidR="00051EC0" w:rsidRPr="00C030D0" w:rsidRDefault="00C030D0" w:rsidP="00C030D0">
      <w:pPr>
        <w:spacing w:after="0" w:line="360" w:lineRule="auto"/>
        <w:jc w:val="both"/>
        <w:rPr>
          <w:rFonts w:ascii="Times New Roman" w:hAnsi="Times New Roman" w:cs="Times New Roman"/>
          <w:iCs/>
          <w:sz w:val="24"/>
          <w:szCs w:val="24"/>
        </w:rPr>
      </w:pPr>
      <w:r w:rsidRPr="00C030D0">
        <w:rPr>
          <w:rFonts w:ascii="Times New Roman" w:hAnsi="Times New Roman" w:cs="Times New Roman"/>
          <w:b/>
          <w:bCs/>
          <w:iCs/>
          <w:sz w:val="24"/>
          <w:szCs w:val="24"/>
        </w:rPr>
        <w:t>Author Biography</w:t>
      </w:r>
      <w:r w:rsidRPr="00C030D0">
        <w:rPr>
          <w:rFonts w:ascii="Times New Roman" w:hAnsi="Times New Roman" w:cs="Times New Roman"/>
          <w:iCs/>
          <w:sz w:val="24"/>
          <w:szCs w:val="24"/>
        </w:rPr>
        <w:t>: Dr. V. Kalaiselvan is an Assistant Professor in the Department of Management Studies at SRM Arts &amp; Science College, Kattankulathur Campus, affiliated to the University of Madras, Chengalpattu. His academic and research interests focus on the strategic integration of Artificial Intelligence to achieve operational excellence in logistics and supply chain systems. He is particularly engaged in applying AI-driven models, predictive analytics, and data-based decision frameworks to enhance efficiency, reduce dwell time, and optimize resource utilization in Container Freight Stations (CFS). His work emphasizes evidence-based management practices within port and terminal operations, especially in the context of Chennai, India. Dr. Kalaiselvan’s research interests also include operations management, process optimization, digital transformation in logistics, and the implementation of intelligent automation systems for improving organizational performance and competitiveness in the maritime and freight handling sector.</w:t>
      </w:r>
    </w:p>
    <w:sectPr w:rsidR="00051EC0" w:rsidRPr="00C03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443F"/>
    <w:multiLevelType w:val="multilevel"/>
    <w:tmpl w:val="C5BA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90F4C"/>
    <w:multiLevelType w:val="multilevel"/>
    <w:tmpl w:val="275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2293E"/>
    <w:multiLevelType w:val="multilevel"/>
    <w:tmpl w:val="E138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734C8"/>
    <w:multiLevelType w:val="multilevel"/>
    <w:tmpl w:val="3DE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F04AE"/>
    <w:multiLevelType w:val="multilevel"/>
    <w:tmpl w:val="78E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B3355"/>
    <w:multiLevelType w:val="multilevel"/>
    <w:tmpl w:val="D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47217"/>
    <w:multiLevelType w:val="multilevel"/>
    <w:tmpl w:val="784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D752E"/>
    <w:multiLevelType w:val="multilevel"/>
    <w:tmpl w:val="915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187C"/>
    <w:multiLevelType w:val="multilevel"/>
    <w:tmpl w:val="E99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B3953"/>
    <w:multiLevelType w:val="multilevel"/>
    <w:tmpl w:val="E01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94D7A"/>
    <w:multiLevelType w:val="hybridMultilevel"/>
    <w:tmpl w:val="1990248C"/>
    <w:lvl w:ilvl="0" w:tplc="6DCA413C">
      <w:start w:val="1"/>
      <w:numFmt w:val="decimal"/>
      <w:lvlText w:val="[%1]"/>
      <w:lvlJc w:val="left"/>
      <w:pPr>
        <w:ind w:left="720" w:hanging="360"/>
      </w:pPr>
      <w:rPr>
        <w:rFonts w:ascii="Times New Roman" w:hAnsi="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B114F7"/>
    <w:multiLevelType w:val="multilevel"/>
    <w:tmpl w:val="FC9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25088"/>
    <w:multiLevelType w:val="multilevel"/>
    <w:tmpl w:val="95D8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518718">
    <w:abstractNumId w:val="3"/>
  </w:num>
  <w:num w:numId="2" w16cid:durableId="2122802342">
    <w:abstractNumId w:val="11"/>
  </w:num>
  <w:num w:numId="3" w16cid:durableId="786311730">
    <w:abstractNumId w:val="0"/>
  </w:num>
  <w:num w:numId="4" w16cid:durableId="1889296753">
    <w:abstractNumId w:val="10"/>
  </w:num>
  <w:num w:numId="5" w16cid:durableId="1245725450">
    <w:abstractNumId w:val="2"/>
  </w:num>
  <w:num w:numId="6" w16cid:durableId="1694959110">
    <w:abstractNumId w:val="7"/>
  </w:num>
  <w:num w:numId="7" w16cid:durableId="1786119802">
    <w:abstractNumId w:val="5"/>
  </w:num>
  <w:num w:numId="8" w16cid:durableId="824786217">
    <w:abstractNumId w:val="6"/>
  </w:num>
  <w:num w:numId="9" w16cid:durableId="1494178842">
    <w:abstractNumId w:val="4"/>
  </w:num>
  <w:num w:numId="10" w16cid:durableId="1745882116">
    <w:abstractNumId w:val="1"/>
  </w:num>
  <w:num w:numId="11" w16cid:durableId="1089734558">
    <w:abstractNumId w:val="9"/>
  </w:num>
  <w:num w:numId="12" w16cid:durableId="986937421">
    <w:abstractNumId w:val="8"/>
  </w:num>
  <w:num w:numId="13" w16cid:durableId="1277257051">
    <w:abstractNumId w:val="12"/>
  </w:num>
  <w:num w:numId="14" w16cid:durableId="1741054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EB"/>
    <w:rsid w:val="00006ECE"/>
    <w:rsid w:val="00020D6A"/>
    <w:rsid w:val="00037DD6"/>
    <w:rsid w:val="00051EC0"/>
    <w:rsid w:val="000D6536"/>
    <w:rsid w:val="00103EB5"/>
    <w:rsid w:val="00105A81"/>
    <w:rsid w:val="00131654"/>
    <w:rsid w:val="00143499"/>
    <w:rsid w:val="001666C6"/>
    <w:rsid w:val="001B1513"/>
    <w:rsid w:val="001E37D4"/>
    <w:rsid w:val="001F1D4C"/>
    <w:rsid w:val="001F38EF"/>
    <w:rsid w:val="002110EA"/>
    <w:rsid w:val="00217A42"/>
    <w:rsid w:val="002743FC"/>
    <w:rsid w:val="002D4E70"/>
    <w:rsid w:val="002D7EE1"/>
    <w:rsid w:val="00302FEA"/>
    <w:rsid w:val="0031655D"/>
    <w:rsid w:val="0032135F"/>
    <w:rsid w:val="00362570"/>
    <w:rsid w:val="003C5A24"/>
    <w:rsid w:val="00407E67"/>
    <w:rsid w:val="00452A6C"/>
    <w:rsid w:val="00453B73"/>
    <w:rsid w:val="00457A46"/>
    <w:rsid w:val="005A0C00"/>
    <w:rsid w:val="005B21B1"/>
    <w:rsid w:val="005F61D2"/>
    <w:rsid w:val="0060587D"/>
    <w:rsid w:val="00621995"/>
    <w:rsid w:val="00696899"/>
    <w:rsid w:val="006E0A36"/>
    <w:rsid w:val="006F5FD6"/>
    <w:rsid w:val="006F6A38"/>
    <w:rsid w:val="007B4046"/>
    <w:rsid w:val="007D6AEC"/>
    <w:rsid w:val="007E28B5"/>
    <w:rsid w:val="008429C2"/>
    <w:rsid w:val="00853750"/>
    <w:rsid w:val="00856BDF"/>
    <w:rsid w:val="008A58C9"/>
    <w:rsid w:val="008C4F52"/>
    <w:rsid w:val="008D08EB"/>
    <w:rsid w:val="008E0F5B"/>
    <w:rsid w:val="008F33BC"/>
    <w:rsid w:val="00916FCC"/>
    <w:rsid w:val="0092202B"/>
    <w:rsid w:val="00962572"/>
    <w:rsid w:val="00990BAF"/>
    <w:rsid w:val="00990F47"/>
    <w:rsid w:val="00A40954"/>
    <w:rsid w:val="00A909BC"/>
    <w:rsid w:val="00AF1DA4"/>
    <w:rsid w:val="00B250CC"/>
    <w:rsid w:val="00B80F46"/>
    <w:rsid w:val="00B97969"/>
    <w:rsid w:val="00BB1F01"/>
    <w:rsid w:val="00BD738D"/>
    <w:rsid w:val="00BE7CC2"/>
    <w:rsid w:val="00C030D0"/>
    <w:rsid w:val="00C97B80"/>
    <w:rsid w:val="00CB0A86"/>
    <w:rsid w:val="00CB7718"/>
    <w:rsid w:val="00CE19D1"/>
    <w:rsid w:val="00D0625B"/>
    <w:rsid w:val="00D37DEA"/>
    <w:rsid w:val="00D61B3F"/>
    <w:rsid w:val="00DA525D"/>
    <w:rsid w:val="00DB1E47"/>
    <w:rsid w:val="00DD2F41"/>
    <w:rsid w:val="00E93512"/>
    <w:rsid w:val="00E94356"/>
    <w:rsid w:val="00EA4699"/>
    <w:rsid w:val="00ED7841"/>
    <w:rsid w:val="00EF4BD6"/>
    <w:rsid w:val="00EF76BF"/>
    <w:rsid w:val="00F1693E"/>
    <w:rsid w:val="00F24F52"/>
    <w:rsid w:val="00F36424"/>
    <w:rsid w:val="00FB598F"/>
    <w:rsid w:val="00FE5354"/>
    <w:rsid w:val="00FF39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71D"/>
  <w15:chartTrackingRefBased/>
  <w15:docId w15:val="{D1A13CCB-C067-423B-838E-0E59D078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0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0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EB"/>
    <w:rPr>
      <w:rFonts w:eastAsiaTheme="majorEastAsia" w:cstheme="majorBidi"/>
      <w:color w:val="272727" w:themeColor="text1" w:themeTint="D8"/>
    </w:rPr>
  </w:style>
  <w:style w:type="paragraph" w:styleId="Title">
    <w:name w:val="Title"/>
    <w:basedOn w:val="Normal"/>
    <w:next w:val="Normal"/>
    <w:link w:val="TitleChar"/>
    <w:uiPriority w:val="10"/>
    <w:qFormat/>
    <w:rsid w:val="008D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EB"/>
    <w:pPr>
      <w:spacing w:before="160"/>
      <w:jc w:val="center"/>
    </w:pPr>
    <w:rPr>
      <w:i/>
      <w:iCs/>
      <w:color w:val="404040" w:themeColor="text1" w:themeTint="BF"/>
    </w:rPr>
  </w:style>
  <w:style w:type="character" w:customStyle="1" w:styleId="QuoteChar">
    <w:name w:val="Quote Char"/>
    <w:basedOn w:val="DefaultParagraphFont"/>
    <w:link w:val="Quote"/>
    <w:uiPriority w:val="29"/>
    <w:rsid w:val="008D08EB"/>
    <w:rPr>
      <w:i/>
      <w:iCs/>
      <w:color w:val="404040" w:themeColor="text1" w:themeTint="BF"/>
    </w:rPr>
  </w:style>
  <w:style w:type="paragraph" w:styleId="ListParagraph">
    <w:name w:val="List Paragraph"/>
    <w:basedOn w:val="Normal"/>
    <w:uiPriority w:val="34"/>
    <w:qFormat/>
    <w:rsid w:val="008D08EB"/>
    <w:pPr>
      <w:ind w:left="720"/>
      <w:contextualSpacing/>
    </w:pPr>
  </w:style>
  <w:style w:type="character" w:styleId="IntenseEmphasis">
    <w:name w:val="Intense Emphasis"/>
    <w:basedOn w:val="DefaultParagraphFont"/>
    <w:uiPriority w:val="21"/>
    <w:qFormat/>
    <w:rsid w:val="008D08EB"/>
    <w:rPr>
      <w:i/>
      <w:iCs/>
      <w:color w:val="2F5496" w:themeColor="accent1" w:themeShade="BF"/>
    </w:rPr>
  </w:style>
  <w:style w:type="paragraph" w:styleId="IntenseQuote">
    <w:name w:val="Intense Quote"/>
    <w:basedOn w:val="Normal"/>
    <w:next w:val="Normal"/>
    <w:link w:val="IntenseQuoteChar"/>
    <w:uiPriority w:val="30"/>
    <w:qFormat/>
    <w:rsid w:val="008D0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8EB"/>
    <w:rPr>
      <w:i/>
      <w:iCs/>
      <w:color w:val="2F5496" w:themeColor="accent1" w:themeShade="BF"/>
    </w:rPr>
  </w:style>
  <w:style w:type="character" w:styleId="IntenseReference">
    <w:name w:val="Intense Reference"/>
    <w:basedOn w:val="DefaultParagraphFont"/>
    <w:uiPriority w:val="32"/>
    <w:qFormat/>
    <w:rsid w:val="008D08EB"/>
    <w:rPr>
      <w:b/>
      <w:bCs/>
      <w:smallCaps/>
      <w:color w:val="2F5496" w:themeColor="accent1" w:themeShade="BF"/>
      <w:spacing w:val="5"/>
    </w:rPr>
  </w:style>
  <w:style w:type="paragraph" w:styleId="NormalWeb">
    <w:name w:val="Normal (Web)"/>
    <w:basedOn w:val="Normal"/>
    <w:uiPriority w:val="99"/>
    <w:semiHidden/>
    <w:unhideWhenUsed/>
    <w:rsid w:val="002D7EE1"/>
    <w:rPr>
      <w:rFonts w:ascii="Times New Roman" w:hAnsi="Times New Roman" w:cs="Times New Roman"/>
      <w:sz w:val="24"/>
      <w:szCs w:val="24"/>
    </w:rPr>
  </w:style>
  <w:style w:type="table" w:styleId="TableGrid">
    <w:name w:val="Table Grid"/>
    <w:basedOn w:val="TableNormal"/>
    <w:uiPriority w:val="39"/>
    <w:rsid w:val="008E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841"/>
    <w:rPr>
      <w:color w:val="0563C1" w:themeColor="hyperlink"/>
      <w:u w:val="single"/>
    </w:rPr>
  </w:style>
  <w:style w:type="character" w:styleId="UnresolvedMention">
    <w:name w:val="Unresolved Mention"/>
    <w:basedOn w:val="DefaultParagraphFont"/>
    <w:uiPriority w:val="99"/>
    <w:semiHidden/>
    <w:unhideWhenUsed/>
    <w:rsid w:val="00ED7841"/>
    <w:rPr>
      <w:color w:val="605E5C"/>
      <w:shd w:val="clear" w:color="auto" w:fill="E1DFDD"/>
    </w:rPr>
  </w:style>
  <w:style w:type="table" w:styleId="TableGridLight">
    <w:name w:val="Grid Table Light"/>
    <w:basedOn w:val="TableNormal"/>
    <w:uiPriority w:val="40"/>
    <w:rsid w:val="00DD2F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ndfonline.com/doi/full/10.1080/03088839.2025.2501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ugalscientific.com/post/ai-transforming-logistics-india" TargetMode="External"/><Relationship Id="rId5" Type="http://schemas.openxmlformats.org/officeDocument/2006/relationships/hyperlink" Target="http://www.studocu.com/in/document/university-of-madras/business-administration/ai-driven-logistics-excellence-at-cfs-insigh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3038</Words>
  <Characters>17317</Characters>
  <Application>Microsoft Office Word</Application>
  <DocSecurity>0</DocSecurity>
  <Lines>144</Lines>
  <Paragraphs>40</Paragraphs>
  <ScaleCrop>false</ScaleCrop>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Rex Kamalesh</dc:creator>
  <cp:keywords/>
  <dc:description/>
  <cp:lastModifiedBy>theaisha1707@gmail.com</cp:lastModifiedBy>
  <cp:revision>80</cp:revision>
  <dcterms:created xsi:type="dcterms:W3CDTF">2026-02-12T12:31:00Z</dcterms:created>
  <dcterms:modified xsi:type="dcterms:W3CDTF">2026-02-14T11:16:00Z</dcterms:modified>
</cp:coreProperties>
</file>