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96" w:rsidRDefault="004D4996" w:rsidP="004D4996">
      <w:pPr>
        <w:spacing w:after="0" w:line="360" w:lineRule="auto"/>
        <w:jc w:val="both"/>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36"/>
          <w:sz w:val="28"/>
          <w:szCs w:val="28"/>
          <w:lang w:val="en-US" w:bidi="ta-IN"/>
          <w14:ligatures w14:val="none"/>
        </w:rPr>
        <w:t xml:space="preserve">SUSTAINABLE AGRICULTURE AND FARMER EMPOWERMENT: </w:t>
      </w:r>
      <w:r w:rsidRPr="004D4996">
        <w:rPr>
          <w:rFonts w:ascii="Times New Roman" w:eastAsia="Times New Roman" w:hAnsi="Times New Roman" w:cs="Times New Roman"/>
          <w:b/>
          <w:bCs/>
          <w:kern w:val="0"/>
          <w:sz w:val="28"/>
          <w:szCs w:val="28"/>
          <w:lang w:val="en-US" w:bidi="ta-IN"/>
          <w14:ligatures w14:val="none"/>
        </w:rPr>
        <w:t>A PATHWAY TO INCLUSIVE RURAL DEVELOPMENT</w:t>
      </w:r>
      <w:r>
        <w:rPr>
          <w:rFonts w:ascii="Times New Roman" w:eastAsia="Times New Roman" w:hAnsi="Times New Roman" w:cs="Times New Roman"/>
          <w:b/>
          <w:bCs/>
          <w:kern w:val="0"/>
          <w:sz w:val="28"/>
          <w:szCs w:val="28"/>
          <w:lang w:val="en-US" w:bidi="ta-IN"/>
          <w14:ligatures w14:val="none"/>
        </w:rPr>
        <w:t>.</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bookmarkStart w:id="0" w:name="_GoBack"/>
      <w:bookmarkEnd w:id="0"/>
      <w:r w:rsidRPr="004D4996">
        <w:rPr>
          <w:rFonts w:ascii="Times New Roman" w:eastAsia="Times New Roman" w:hAnsi="Times New Roman" w:cs="Times New Roman"/>
          <w:b/>
          <w:bCs/>
          <w:kern w:val="0"/>
          <w:sz w:val="28"/>
          <w:szCs w:val="28"/>
          <w:lang w:val="en-US" w:bidi="ta-IN"/>
          <w14:ligatures w14:val="none"/>
        </w:rPr>
        <w:t>Abstract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Sustainable agriculture has emerged as a critical strategy for ensuring food security, environmental protection, and rural livelihood enhancement in developing economies. Farmer empowerment, encompassing access to knowledge, markets, finance, and institutional support, is essential for achieving sustainable agricultural outcomes. This paper examines the interrelationship between sustainable agricultural practices and farmer empowerment, </w:t>
      </w:r>
      <w:proofErr w:type="gramStart"/>
      <w:r w:rsidRPr="004D4996">
        <w:rPr>
          <w:rFonts w:ascii="Times New Roman" w:eastAsia="Times New Roman" w:hAnsi="Times New Roman" w:cs="Times New Roman"/>
          <w:kern w:val="0"/>
          <w:sz w:val="28"/>
          <w:szCs w:val="28"/>
          <w:lang w:val="en-US" w:bidi="ta-IN"/>
          <w14:ligatures w14:val="none"/>
        </w:rPr>
        <w:t>highlighting</w:t>
      </w:r>
      <w:proofErr w:type="gramEnd"/>
      <w:r w:rsidRPr="004D4996">
        <w:rPr>
          <w:rFonts w:ascii="Times New Roman" w:eastAsia="Times New Roman" w:hAnsi="Times New Roman" w:cs="Times New Roman"/>
          <w:kern w:val="0"/>
          <w:sz w:val="28"/>
          <w:szCs w:val="28"/>
          <w:lang w:val="en-US" w:bidi="ta-IN"/>
          <w14:ligatures w14:val="none"/>
        </w:rPr>
        <w:t xml:space="preserve"> their role in improving productivity, income stability, and ecological balance. Drawing on policy initiatives, cooperative models, and Indian case studies, the study argues that farmer-centric institutional frameworks are vital for achieving long-term agricultural sustainability and rural prosperity.</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Keywords:</w:t>
      </w:r>
      <w:r w:rsidRPr="004D4996">
        <w:rPr>
          <w:rFonts w:ascii="Times New Roman" w:eastAsia="Times New Roman" w:hAnsi="Times New Roman" w:cs="Times New Roman"/>
          <w:kern w:val="0"/>
          <w:sz w:val="28"/>
          <w:szCs w:val="28"/>
          <w:lang w:val="en-US" w:bidi="ta-IN"/>
          <w14:ligatures w14:val="none"/>
        </w:rPr>
        <w:t xml:space="preserve"> Sustainable agriculture, farmer empowerment, rural development, cooperatives, climate resilience, agricultural policy</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1. Introduction</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Agriculture remains the backbone of many developing economies, providing livelihoods to a significant proportion of the population. However, traditional agricultural practices have increasingly become unsustainable due to soil degradation, climate change, water scarcity, and market volatility. In response, sustainable agriculture has gained prominence as an approach that balances economic productivity with environmental stewardship and social equity.</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Farmer empowerment is a complementary dimension of sustainable agriculture. Without access to technology, credit, information, and institutional support, </w:t>
      </w:r>
      <w:r w:rsidRPr="004D4996">
        <w:rPr>
          <w:rFonts w:ascii="Times New Roman" w:eastAsia="Times New Roman" w:hAnsi="Times New Roman" w:cs="Times New Roman"/>
          <w:kern w:val="0"/>
          <w:sz w:val="28"/>
          <w:szCs w:val="28"/>
          <w:lang w:val="en-US" w:bidi="ta-IN"/>
          <w14:ligatures w14:val="none"/>
        </w:rPr>
        <w:lastRenderedPageBreak/>
        <w:t>farmers are unable to adopt improved practices or respond effectively to market and climate risks. Thus, sustainable agriculture and farmer empowerment must be viewed as mutually reinforcing components of rural development.</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2. Objectives of the Study</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The present paper seeks to:</w:t>
      </w:r>
    </w:p>
    <w:p w:rsidR="004D4996" w:rsidRPr="004D4996" w:rsidRDefault="004D4996" w:rsidP="004D4996">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Examine the concept and principles of sustainable agriculture.</w:t>
      </w:r>
    </w:p>
    <w:p w:rsidR="004D4996" w:rsidRPr="004D4996" w:rsidRDefault="004D4996" w:rsidP="004D4996">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Analyze the role of farmer empowerment in agricultural transformation.</w:t>
      </w:r>
    </w:p>
    <w:p w:rsidR="004D4996" w:rsidRPr="004D4996" w:rsidRDefault="004D4996" w:rsidP="004D4996">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Identify institutional mechanisms supporting sustainable farming.</w:t>
      </w:r>
    </w:p>
    <w:p w:rsidR="004D4996" w:rsidRPr="004D4996" w:rsidRDefault="004D4996" w:rsidP="004D4996">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Evaluate the contribution of cooperatives and farmer producer organizations.</w:t>
      </w:r>
    </w:p>
    <w:p w:rsidR="004D4996" w:rsidRPr="004D4996" w:rsidRDefault="004D4996" w:rsidP="004D4996">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Suggest policy measures for strengthening sustainable agriculture systems.</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3. Concept of Sustainable Agriculture</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Sustainable agriculture refers to a system of farming that satisfies current food and </w:t>
      </w:r>
      <w:proofErr w:type="spellStart"/>
      <w:r w:rsidRPr="004D4996">
        <w:rPr>
          <w:rFonts w:ascii="Times New Roman" w:eastAsia="Times New Roman" w:hAnsi="Times New Roman" w:cs="Times New Roman"/>
          <w:kern w:val="0"/>
          <w:sz w:val="28"/>
          <w:szCs w:val="28"/>
          <w:lang w:val="en-US" w:bidi="ta-IN"/>
          <w14:ligatures w14:val="none"/>
        </w:rPr>
        <w:t>fibre</w:t>
      </w:r>
      <w:proofErr w:type="spellEnd"/>
      <w:r w:rsidRPr="004D4996">
        <w:rPr>
          <w:rFonts w:ascii="Times New Roman" w:eastAsia="Times New Roman" w:hAnsi="Times New Roman" w:cs="Times New Roman"/>
          <w:kern w:val="0"/>
          <w:sz w:val="28"/>
          <w:szCs w:val="28"/>
          <w:lang w:val="en-US" w:bidi="ta-IN"/>
          <w14:ligatures w14:val="none"/>
        </w:rPr>
        <w:t xml:space="preserve"> requirements while safeguarding the productive capacity of natural resources for future generations. It represents a holistic approach that integrates environmental sustainability, economic viability, and social inclusiveness within the agricultural production process.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The fundamental principles of sustainable agriculture include conservation of soil and water resources, reduction in excessive dependence on chemical fertilizers and pesticides, preservation of biodiversity, adoption of climate-resilient farming methods, and efficient utilization of natural inputs. Unlike conventional farming practices that prioritize short-term yield maximization, sustainable agriculture emphasizes long-term productivity, ecological balance, and resilience against environmental shocks.</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lastRenderedPageBreak/>
        <w:t>4. Dimensions of Farmer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Farmer empowerment is a multidimensional process that enhances the capacity of farmers to make informed decisions, access resources, and participate effectively in agricultural markets and institutions. It involves economic, technological, institutional, and social components.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4.1 Economic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Economic empowerment enables farmers to improve their income stability and investment capacity through access to fair markets, price information systems, institutional credit, and value-chain participation. Stable income streams encourage farmers to adopt improved technologies and sustainable practices.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4.2 Technological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Technological empowerment involves the availability and adoption of modern agricultural innovations, extension services, mechanization, digital advisory platforms, and climate-smart farming techniques. Such access enhances productivity, reduces input waste, and improves resource efficiency.</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4.3 Institutional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Institutional empowerment refers to farmers’ participation in collective organizations such as cooperatives, self-help groups, and Farmer Producer Organizations (FPOs). These institutions strengthen bargaining power, improve market access, and reduce dependence on intermediaries, thereby enhancing farmers’ share in final consumer prices.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4.4 Social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Social empowerment includes education, training, and participation of women and youth in agricultural decision-making. Inclusive participation builds rural </w:t>
      </w:r>
      <w:r w:rsidRPr="004D4996">
        <w:rPr>
          <w:rFonts w:ascii="Times New Roman" w:eastAsia="Times New Roman" w:hAnsi="Times New Roman" w:cs="Times New Roman"/>
          <w:kern w:val="0"/>
          <w:sz w:val="28"/>
          <w:szCs w:val="28"/>
          <w:lang w:val="en-US" w:bidi="ta-IN"/>
          <w14:ligatures w14:val="none"/>
        </w:rPr>
        <w:lastRenderedPageBreak/>
        <w:t>social capital, promotes knowledge transfer, and supports intergenerational sustainability of agriculture.</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5. Sustainable Agriculture Practices Supporting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Several agricultural practices simultaneously contribute to environmental sustainability and farmer empowerment.</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5.1 Organic and Natural Farming</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Organic and natural farming practices minimize dependence on synthetic chemicals, improve soil health, and reduce input costs. They also enable farmers to access niche markets and premium pricing, thereby enhancing income opportunities.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5.2 Integrated Farming Systems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Integrated farming combines crop cultivation with livestock, fisheries, horticulture, and agro-forestry. This diversification stabilizes income sources, optimizes resource use, and reduces vulnerability to climatic and market risks.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proofErr w:type="gramStart"/>
      <w:r w:rsidRPr="004D4996">
        <w:rPr>
          <w:rFonts w:ascii="Times New Roman" w:eastAsia="Times New Roman" w:hAnsi="Times New Roman" w:cs="Times New Roman"/>
          <w:b/>
          <w:bCs/>
          <w:kern w:val="0"/>
          <w:sz w:val="28"/>
          <w:szCs w:val="28"/>
          <w:lang w:val="en-US" w:bidi="ta-IN"/>
          <w14:ligatures w14:val="none"/>
        </w:rPr>
        <w:t>5.3 Water-Efficient Irrigation</w:t>
      </w:r>
      <w:proofErr w:type="gramEnd"/>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Technologies such as drip irrigation, sprinkler systems, and rainwater harvesting improve water-use efficiency and protect farmers from drought-related crop failures. Efficient water management also supports sustainable use of scarce resources.</w:t>
      </w:r>
    </w:p>
    <w:p w:rsidR="004D4996" w:rsidRPr="004D4996" w:rsidRDefault="004D4996" w:rsidP="004D4996">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 xml:space="preserve">5.4 </w:t>
      </w:r>
      <w:proofErr w:type="gramStart"/>
      <w:r w:rsidRPr="004D4996">
        <w:rPr>
          <w:rFonts w:ascii="Times New Roman" w:eastAsia="Times New Roman" w:hAnsi="Times New Roman" w:cs="Times New Roman"/>
          <w:b/>
          <w:bCs/>
          <w:kern w:val="0"/>
          <w:sz w:val="28"/>
          <w:szCs w:val="28"/>
          <w:lang w:val="en-US" w:bidi="ta-IN"/>
          <w14:ligatures w14:val="none"/>
        </w:rPr>
        <w:t>Climate-</w:t>
      </w:r>
      <w:proofErr w:type="gramEnd"/>
      <w:r w:rsidRPr="004D4996">
        <w:rPr>
          <w:rFonts w:ascii="Times New Roman" w:eastAsia="Times New Roman" w:hAnsi="Times New Roman" w:cs="Times New Roman"/>
          <w:b/>
          <w:bCs/>
          <w:kern w:val="0"/>
          <w:sz w:val="28"/>
          <w:szCs w:val="28"/>
          <w:lang w:val="en-US" w:bidi="ta-IN"/>
          <w14:ligatures w14:val="none"/>
        </w:rPr>
        <w:t>Resilient Agriculture</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Adoption of drought-tolerant seeds, crop insurance mechanisms, early warning systems, and weather advisory services strengthens farmers’ resilience against </w:t>
      </w:r>
      <w:r w:rsidRPr="004D4996">
        <w:rPr>
          <w:rFonts w:ascii="Times New Roman" w:eastAsia="Times New Roman" w:hAnsi="Times New Roman" w:cs="Times New Roman"/>
          <w:kern w:val="0"/>
          <w:sz w:val="28"/>
          <w:szCs w:val="28"/>
          <w:lang w:val="en-US" w:bidi="ta-IN"/>
          <w14:ligatures w14:val="none"/>
        </w:rPr>
        <w:lastRenderedPageBreak/>
        <w:t>climate variability. These measures reduce income uncertainty and promote long-term agricultural sustainability.</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6. Role of Cooperatives and Farmer Producer Organizations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Collective institutions such as cooperatives and Farmer Producer Organizations play a vital role in promoting sustainable agriculture and empowering farmers. These organizations provide inputs at lower </w:t>
      </w:r>
      <w:proofErr w:type="gramStart"/>
      <w:r w:rsidRPr="004D4996">
        <w:rPr>
          <w:rFonts w:ascii="Times New Roman" w:eastAsia="Times New Roman" w:hAnsi="Times New Roman" w:cs="Times New Roman"/>
          <w:kern w:val="0"/>
          <w:sz w:val="28"/>
          <w:szCs w:val="28"/>
          <w:lang w:val="en-US" w:bidi="ta-IN"/>
          <w14:ligatures w14:val="none"/>
        </w:rPr>
        <w:t>cost,</w:t>
      </w:r>
      <w:proofErr w:type="gramEnd"/>
      <w:r w:rsidRPr="004D4996">
        <w:rPr>
          <w:rFonts w:ascii="Times New Roman" w:eastAsia="Times New Roman" w:hAnsi="Times New Roman" w:cs="Times New Roman"/>
          <w:kern w:val="0"/>
          <w:sz w:val="28"/>
          <w:szCs w:val="28"/>
          <w:lang w:val="en-US" w:bidi="ta-IN"/>
          <w14:ligatures w14:val="none"/>
        </w:rPr>
        <w:t xml:space="preserve"> facilitate collective marketing and value addition, improve access to credit and insurance, and offer training and extension services.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Indian examples include dairy cooperatives, organic farming clusters, and FPO networks that integrate production, processing, and marketing activities. Such institutions enhance farmers’ bargaining power, reduce transaction costs, and enable their effective participation in agricultural value chains.</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7. Policy Initiatives in India</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Government initiatives have increasingly focused on supporting sustainable agriculture and farmer empowerment. These include promotion of natural farming clusters, subsidies for micro-irrigation and solar energy-based irrigation systems, crop insurance schemes, digital agricultural information platforms, and institutional support for Farmer Producer Organizations.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These interventions aim to create an enabling ecosystem that encourages sustainable production practices while strengthening farmers’ economic security.</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8. Challenges to Sustainable Agriculture and Farmer Empowerment</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Despite considerable progress, several structural constraints hinder the adoption of sustainable agriculture. Fragmented landholdings reduce economies of scale, </w:t>
      </w:r>
      <w:r w:rsidRPr="004D4996">
        <w:rPr>
          <w:rFonts w:ascii="Times New Roman" w:eastAsia="Times New Roman" w:hAnsi="Times New Roman" w:cs="Times New Roman"/>
          <w:kern w:val="0"/>
          <w:sz w:val="28"/>
          <w:szCs w:val="28"/>
          <w:lang w:val="en-US" w:bidi="ta-IN"/>
          <w14:ligatures w14:val="none"/>
        </w:rPr>
        <w:lastRenderedPageBreak/>
        <w:t>while limited access to credit, technology, and extension services restrict innovation. Market price volatility exposes farmers to income risk, and climate variability further intensifies uncertainty. Inadequate rural infrastructure, including storage, transport, and processing facilities, also weakens farmers’ competitiveness.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Addressing these challenges requires coordinated policy reforms, institutional strengthening, and investment in rural development.</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9. Policy Recommendations</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To strengthen sustainable agriculture and farmer empowerment, the following measures are suggested:</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Strengthening cooperative and Farmer Producer Organization networks to enhance collective bargaining and market access.</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Expanding digital agricultural platforms that provide real-time market, weather, and advisory information.</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Improving access to affordable institutional credit, crop insurance, and risk-management instruments.</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Promoting climate-resilient seeds, sustainable farming technologies, and ecological production practices.</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Investing in rural infrastructure such as storage facilities, transport networks, and agro-processing units.</w:t>
      </w:r>
    </w:p>
    <w:p w:rsidR="004D4996" w:rsidRPr="004D4996" w:rsidRDefault="004D4996" w:rsidP="004D4996">
      <w:pPr>
        <w:numPr>
          <w:ilvl w:val="0"/>
          <w:numId w:val="8"/>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Encouraging youth participation in agriculture through </w:t>
      </w:r>
      <w:proofErr w:type="spellStart"/>
      <w:r w:rsidRPr="004D4996">
        <w:rPr>
          <w:rFonts w:ascii="Times New Roman" w:eastAsia="Times New Roman" w:hAnsi="Times New Roman" w:cs="Times New Roman"/>
          <w:kern w:val="0"/>
          <w:sz w:val="28"/>
          <w:szCs w:val="28"/>
          <w:lang w:val="en-US" w:bidi="ta-IN"/>
          <w14:ligatures w14:val="none"/>
        </w:rPr>
        <w:t>agri</w:t>
      </w:r>
      <w:proofErr w:type="spellEnd"/>
      <w:r w:rsidRPr="004D4996">
        <w:rPr>
          <w:rFonts w:ascii="Times New Roman" w:eastAsia="Times New Roman" w:hAnsi="Times New Roman" w:cs="Times New Roman"/>
          <w:kern w:val="0"/>
          <w:sz w:val="28"/>
          <w:szCs w:val="28"/>
          <w:lang w:val="en-US" w:bidi="ta-IN"/>
          <w14:ligatures w14:val="none"/>
        </w:rPr>
        <w:t xml:space="preserve">-entrepreneurship, innovation support, and skill development </w:t>
      </w:r>
      <w:proofErr w:type="spellStart"/>
      <w:r w:rsidRPr="004D4996">
        <w:rPr>
          <w:rFonts w:ascii="Times New Roman" w:eastAsia="Times New Roman" w:hAnsi="Times New Roman" w:cs="Times New Roman"/>
          <w:kern w:val="0"/>
          <w:sz w:val="28"/>
          <w:szCs w:val="28"/>
          <w:lang w:val="en-US" w:bidi="ta-IN"/>
          <w14:ligatures w14:val="none"/>
        </w:rPr>
        <w:t>programmes</w:t>
      </w:r>
      <w:proofErr w:type="spellEnd"/>
      <w:r w:rsidRPr="004D4996">
        <w:rPr>
          <w:rFonts w:ascii="Times New Roman" w:eastAsia="Times New Roman" w:hAnsi="Times New Roman" w:cs="Times New Roman"/>
          <w:kern w:val="0"/>
          <w:sz w:val="28"/>
          <w:szCs w:val="28"/>
          <w:lang w:val="en-US" w:bidi="ta-IN"/>
          <w14:ligatures w14:val="none"/>
        </w:rPr>
        <w:t>.</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10. Conclusion</w:t>
      </w:r>
    </w:p>
    <w:p w:rsidR="004D4996" w:rsidRPr="004D4996" w:rsidRDefault="004D4996" w:rsidP="004D4996">
      <w:p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Sustainable agriculture and farmer empowerment are central to achieving inclusive rural development, environmental conservation, and food security. </w:t>
      </w:r>
      <w:r w:rsidRPr="004D4996">
        <w:rPr>
          <w:rFonts w:ascii="Times New Roman" w:eastAsia="Times New Roman" w:hAnsi="Times New Roman" w:cs="Times New Roman"/>
          <w:kern w:val="0"/>
          <w:sz w:val="28"/>
          <w:szCs w:val="28"/>
          <w:lang w:val="en-US" w:bidi="ta-IN"/>
          <w14:ligatures w14:val="none"/>
        </w:rPr>
        <w:lastRenderedPageBreak/>
        <w:t>Empowered farmers are more capable of adopting sustainable practices, improving productivity, and participating effectively in markets. Collective institutions, supportive policies, and technological innovations can transform agriculture into a resilient and equitable sector. A holistic approach that integrates sustainability with farmer-centric development strategies is essential for long-term agricultural prosperity.</w:t>
      </w:r>
    </w:p>
    <w:p w:rsidR="004D4996" w:rsidRPr="004D4996" w:rsidRDefault="004D4996" w:rsidP="004D4996">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val="en-US" w:bidi="ta-IN"/>
          <w14:ligatures w14:val="none"/>
        </w:rPr>
      </w:pPr>
      <w:r w:rsidRPr="004D4996">
        <w:rPr>
          <w:rFonts w:ascii="Times New Roman" w:eastAsia="Times New Roman" w:hAnsi="Times New Roman" w:cs="Times New Roman"/>
          <w:b/>
          <w:bCs/>
          <w:kern w:val="0"/>
          <w:sz w:val="28"/>
          <w:szCs w:val="28"/>
          <w:lang w:val="en-US" w:bidi="ta-IN"/>
          <w14:ligatures w14:val="none"/>
        </w:rPr>
        <w:t xml:space="preserve"> References</w:t>
      </w:r>
    </w:p>
    <w:p w:rsidR="004D4996" w:rsidRPr="004D4996" w:rsidRDefault="004D4996" w:rsidP="004D4996">
      <w:pPr>
        <w:pStyle w:val="ListParagraph"/>
        <w:numPr>
          <w:ilvl w:val="0"/>
          <w:numId w:val="10"/>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FAO. (2022). </w:t>
      </w:r>
      <w:r w:rsidRPr="004D4996">
        <w:rPr>
          <w:rFonts w:ascii="Times New Roman" w:eastAsia="Times New Roman" w:hAnsi="Times New Roman" w:cs="Times New Roman"/>
          <w:i/>
          <w:iCs/>
          <w:kern w:val="0"/>
          <w:sz w:val="28"/>
          <w:szCs w:val="28"/>
          <w:lang w:val="en-US" w:bidi="ta-IN"/>
          <w14:ligatures w14:val="none"/>
        </w:rPr>
        <w:t>Sustainable agriculture for rural development</w:t>
      </w:r>
      <w:r w:rsidRPr="004D4996">
        <w:rPr>
          <w:rFonts w:ascii="Times New Roman" w:eastAsia="Times New Roman" w:hAnsi="Times New Roman" w:cs="Times New Roman"/>
          <w:kern w:val="0"/>
          <w:sz w:val="28"/>
          <w:szCs w:val="28"/>
          <w:lang w:val="en-US" w:bidi="ta-IN"/>
          <w14:ligatures w14:val="none"/>
        </w:rPr>
        <w:t>. Food and Agriculture Organization.</w:t>
      </w:r>
    </w:p>
    <w:p w:rsidR="004D4996" w:rsidRPr="004D4996" w:rsidRDefault="004D4996" w:rsidP="004D4996">
      <w:pPr>
        <w:pStyle w:val="ListParagraph"/>
        <w:numPr>
          <w:ilvl w:val="0"/>
          <w:numId w:val="10"/>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Government of India. (2023). </w:t>
      </w:r>
      <w:r w:rsidRPr="004D4996">
        <w:rPr>
          <w:rFonts w:ascii="Times New Roman" w:eastAsia="Times New Roman" w:hAnsi="Times New Roman" w:cs="Times New Roman"/>
          <w:i/>
          <w:iCs/>
          <w:kern w:val="0"/>
          <w:sz w:val="28"/>
          <w:szCs w:val="28"/>
          <w:lang w:val="en-US" w:bidi="ta-IN"/>
          <w14:ligatures w14:val="none"/>
        </w:rPr>
        <w:t xml:space="preserve">Agricultural policy initiatives and farmer empowerment </w:t>
      </w:r>
      <w:proofErr w:type="spellStart"/>
      <w:r w:rsidRPr="004D4996">
        <w:rPr>
          <w:rFonts w:ascii="Times New Roman" w:eastAsia="Times New Roman" w:hAnsi="Times New Roman" w:cs="Times New Roman"/>
          <w:i/>
          <w:iCs/>
          <w:kern w:val="0"/>
          <w:sz w:val="28"/>
          <w:szCs w:val="28"/>
          <w:lang w:val="en-US" w:bidi="ta-IN"/>
          <w14:ligatures w14:val="none"/>
        </w:rPr>
        <w:t>programmes</w:t>
      </w:r>
      <w:proofErr w:type="spellEnd"/>
      <w:r w:rsidRPr="004D4996">
        <w:rPr>
          <w:rFonts w:ascii="Times New Roman" w:eastAsia="Times New Roman" w:hAnsi="Times New Roman" w:cs="Times New Roman"/>
          <w:kern w:val="0"/>
          <w:sz w:val="28"/>
          <w:szCs w:val="28"/>
          <w:lang w:val="en-US" w:bidi="ta-IN"/>
          <w14:ligatures w14:val="none"/>
        </w:rPr>
        <w:t>. Ministry of Agriculture.</w:t>
      </w:r>
    </w:p>
    <w:p w:rsidR="004D4996" w:rsidRPr="004D4996" w:rsidRDefault="004D4996" w:rsidP="004D4996">
      <w:pPr>
        <w:pStyle w:val="ListParagraph"/>
        <w:numPr>
          <w:ilvl w:val="0"/>
          <w:numId w:val="10"/>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International Cooperative Alliance. (2021). </w:t>
      </w:r>
      <w:r w:rsidRPr="004D4996">
        <w:rPr>
          <w:rFonts w:ascii="Times New Roman" w:eastAsia="Times New Roman" w:hAnsi="Times New Roman" w:cs="Times New Roman"/>
          <w:i/>
          <w:iCs/>
          <w:kern w:val="0"/>
          <w:sz w:val="28"/>
          <w:szCs w:val="28"/>
          <w:lang w:val="en-US" w:bidi="ta-IN"/>
          <w14:ligatures w14:val="none"/>
        </w:rPr>
        <w:t>Cooperatives and sustainable development</w:t>
      </w:r>
      <w:r w:rsidRPr="004D4996">
        <w:rPr>
          <w:rFonts w:ascii="Times New Roman" w:eastAsia="Times New Roman" w:hAnsi="Times New Roman" w:cs="Times New Roman"/>
          <w:kern w:val="0"/>
          <w:sz w:val="28"/>
          <w:szCs w:val="28"/>
          <w:lang w:val="en-US" w:bidi="ta-IN"/>
          <w14:ligatures w14:val="none"/>
        </w:rPr>
        <w:t>.</w:t>
      </w:r>
    </w:p>
    <w:p w:rsidR="004D4996" w:rsidRPr="004D4996" w:rsidRDefault="004D4996" w:rsidP="004D4996">
      <w:pPr>
        <w:pStyle w:val="ListParagraph"/>
        <w:numPr>
          <w:ilvl w:val="0"/>
          <w:numId w:val="10"/>
        </w:numPr>
        <w:spacing w:before="100" w:beforeAutospacing="1" w:after="100" w:afterAutospacing="1" w:line="360" w:lineRule="auto"/>
        <w:jc w:val="both"/>
        <w:rPr>
          <w:rFonts w:ascii="Times New Roman" w:eastAsia="Times New Roman" w:hAnsi="Times New Roman" w:cs="Times New Roman"/>
          <w:kern w:val="0"/>
          <w:sz w:val="28"/>
          <w:szCs w:val="28"/>
          <w:lang w:val="en-US" w:bidi="ta-IN"/>
          <w14:ligatures w14:val="none"/>
        </w:rPr>
      </w:pPr>
      <w:r w:rsidRPr="004D4996">
        <w:rPr>
          <w:rFonts w:ascii="Times New Roman" w:eastAsia="Times New Roman" w:hAnsi="Times New Roman" w:cs="Times New Roman"/>
          <w:kern w:val="0"/>
          <w:sz w:val="28"/>
          <w:szCs w:val="28"/>
          <w:lang w:val="en-US" w:bidi="ta-IN"/>
          <w14:ligatures w14:val="none"/>
        </w:rPr>
        <w:t xml:space="preserve">World Bank. (2020). </w:t>
      </w:r>
      <w:r w:rsidRPr="004D4996">
        <w:rPr>
          <w:rFonts w:ascii="Times New Roman" w:eastAsia="Times New Roman" w:hAnsi="Times New Roman" w:cs="Times New Roman"/>
          <w:i/>
          <w:iCs/>
          <w:kern w:val="0"/>
          <w:sz w:val="28"/>
          <w:szCs w:val="28"/>
          <w:lang w:val="en-US" w:bidi="ta-IN"/>
          <w14:ligatures w14:val="none"/>
        </w:rPr>
        <w:t>Climate smart agriculture and rural livelihoods</w:t>
      </w:r>
      <w:r w:rsidRPr="004D4996">
        <w:rPr>
          <w:rFonts w:ascii="Times New Roman" w:eastAsia="Times New Roman" w:hAnsi="Times New Roman" w:cs="Times New Roman"/>
          <w:kern w:val="0"/>
          <w:sz w:val="28"/>
          <w:szCs w:val="28"/>
          <w:lang w:val="en-US" w:bidi="ta-IN"/>
          <w14:ligatures w14:val="none"/>
        </w:rPr>
        <w:t>.</w:t>
      </w:r>
    </w:p>
    <w:sectPr w:rsidR="004D4996" w:rsidRPr="004D499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F2" w:rsidRDefault="00D95CF2" w:rsidP="00850CD1">
      <w:pPr>
        <w:spacing w:after="0" w:line="240" w:lineRule="auto"/>
      </w:pPr>
      <w:r>
        <w:separator/>
      </w:r>
    </w:p>
  </w:endnote>
  <w:endnote w:type="continuationSeparator" w:id="0">
    <w:p w:rsidR="00D95CF2" w:rsidRDefault="00D95CF2" w:rsidP="0085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D1" w:rsidRDefault="00850C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88062"/>
      <w:docPartObj>
        <w:docPartGallery w:val="Page Numbers (Bottom of Page)"/>
        <w:docPartUnique/>
      </w:docPartObj>
    </w:sdtPr>
    <w:sdtEndPr>
      <w:rPr>
        <w:noProof/>
      </w:rPr>
    </w:sdtEndPr>
    <w:sdtContent>
      <w:p w:rsidR="00850CD1" w:rsidRDefault="00850CD1">
        <w:pPr>
          <w:pStyle w:val="Footer"/>
          <w:jc w:val="center"/>
        </w:pPr>
        <w:r>
          <w:fldChar w:fldCharType="begin"/>
        </w:r>
        <w:r>
          <w:instrText xml:space="preserve"> PAGE   \* MERGEFORMAT </w:instrText>
        </w:r>
        <w:r>
          <w:fldChar w:fldCharType="separate"/>
        </w:r>
        <w:r w:rsidR="00323C84">
          <w:rPr>
            <w:noProof/>
          </w:rPr>
          <w:t>7</w:t>
        </w:r>
        <w:r>
          <w:rPr>
            <w:noProof/>
          </w:rPr>
          <w:fldChar w:fldCharType="end"/>
        </w:r>
      </w:p>
    </w:sdtContent>
  </w:sdt>
  <w:p w:rsidR="00850CD1" w:rsidRDefault="00850C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D1" w:rsidRDefault="00850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F2" w:rsidRDefault="00D95CF2" w:rsidP="00850CD1">
      <w:pPr>
        <w:spacing w:after="0" w:line="240" w:lineRule="auto"/>
      </w:pPr>
      <w:r>
        <w:separator/>
      </w:r>
    </w:p>
  </w:footnote>
  <w:footnote w:type="continuationSeparator" w:id="0">
    <w:p w:rsidR="00D95CF2" w:rsidRDefault="00D95CF2" w:rsidP="00850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D1" w:rsidRDefault="00850C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D1" w:rsidRDefault="00850C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D1" w:rsidRDefault="00850C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628E"/>
    <w:multiLevelType w:val="multilevel"/>
    <w:tmpl w:val="6F5E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82276"/>
    <w:multiLevelType w:val="multilevel"/>
    <w:tmpl w:val="8D2C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46848"/>
    <w:multiLevelType w:val="multilevel"/>
    <w:tmpl w:val="B4A2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73796"/>
    <w:multiLevelType w:val="multilevel"/>
    <w:tmpl w:val="7EB2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384802"/>
    <w:multiLevelType w:val="multilevel"/>
    <w:tmpl w:val="7F44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122008"/>
    <w:multiLevelType w:val="multilevel"/>
    <w:tmpl w:val="2A686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E4106B"/>
    <w:multiLevelType w:val="multilevel"/>
    <w:tmpl w:val="324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B921BE"/>
    <w:multiLevelType w:val="multilevel"/>
    <w:tmpl w:val="3836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A40A8C"/>
    <w:multiLevelType w:val="multilevel"/>
    <w:tmpl w:val="897C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173855"/>
    <w:multiLevelType w:val="hybridMultilevel"/>
    <w:tmpl w:val="C1B0325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7"/>
  </w:num>
  <w:num w:numId="5">
    <w:abstractNumId w:val="6"/>
  </w:num>
  <w:num w:numId="6">
    <w:abstractNumId w:val="0"/>
  </w:num>
  <w:num w:numId="7">
    <w:abstractNumId w:val="3"/>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996"/>
    <w:rsid w:val="00323C84"/>
    <w:rsid w:val="004D4996"/>
    <w:rsid w:val="0085036E"/>
    <w:rsid w:val="00850CD1"/>
    <w:rsid w:val="008F233D"/>
    <w:rsid w:val="00D21EF6"/>
    <w:rsid w:val="00D95CF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99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ta-IN"/>
      <w14:ligatures w14:val="none"/>
    </w:rPr>
  </w:style>
  <w:style w:type="paragraph" w:styleId="Heading2">
    <w:name w:val="heading 2"/>
    <w:basedOn w:val="Normal"/>
    <w:link w:val="Heading2Char"/>
    <w:uiPriority w:val="9"/>
    <w:qFormat/>
    <w:rsid w:val="004D4996"/>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bidi="ta-IN"/>
      <w14:ligatures w14:val="none"/>
    </w:rPr>
  </w:style>
  <w:style w:type="paragraph" w:styleId="Heading3">
    <w:name w:val="heading 3"/>
    <w:basedOn w:val="Normal"/>
    <w:link w:val="Heading3Char"/>
    <w:uiPriority w:val="9"/>
    <w:qFormat/>
    <w:rsid w:val="004D4996"/>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ta-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996"/>
    <w:rPr>
      <w:rFonts w:ascii="Times New Roman" w:eastAsia="Times New Roman" w:hAnsi="Times New Roman" w:cs="Times New Roman"/>
      <w:b/>
      <w:bCs/>
      <w:kern w:val="36"/>
      <w:sz w:val="48"/>
      <w:szCs w:val="48"/>
      <w:lang w:val="en-US" w:bidi="ta-IN"/>
      <w14:ligatures w14:val="none"/>
    </w:rPr>
  </w:style>
  <w:style w:type="character" w:customStyle="1" w:styleId="Heading2Char">
    <w:name w:val="Heading 2 Char"/>
    <w:basedOn w:val="DefaultParagraphFont"/>
    <w:link w:val="Heading2"/>
    <w:uiPriority w:val="9"/>
    <w:rsid w:val="004D4996"/>
    <w:rPr>
      <w:rFonts w:ascii="Times New Roman" w:eastAsia="Times New Roman" w:hAnsi="Times New Roman" w:cs="Times New Roman"/>
      <w:b/>
      <w:bCs/>
      <w:kern w:val="0"/>
      <w:sz w:val="36"/>
      <w:szCs w:val="36"/>
      <w:lang w:val="en-US" w:bidi="ta-IN"/>
      <w14:ligatures w14:val="none"/>
    </w:rPr>
  </w:style>
  <w:style w:type="character" w:customStyle="1" w:styleId="Heading3Char">
    <w:name w:val="Heading 3 Char"/>
    <w:basedOn w:val="DefaultParagraphFont"/>
    <w:link w:val="Heading3"/>
    <w:uiPriority w:val="9"/>
    <w:rsid w:val="004D4996"/>
    <w:rPr>
      <w:rFonts w:ascii="Times New Roman" w:eastAsia="Times New Roman" w:hAnsi="Times New Roman" w:cs="Times New Roman"/>
      <w:b/>
      <w:bCs/>
      <w:kern w:val="0"/>
      <w:sz w:val="27"/>
      <w:szCs w:val="27"/>
      <w:lang w:val="en-US" w:bidi="ta-IN"/>
      <w14:ligatures w14:val="none"/>
    </w:rPr>
  </w:style>
  <w:style w:type="paragraph" w:styleId="NormalWeb">
    <w:name w:val="Normal (Web)"/>
    <w:basedOn w:val="Normal"/>
    <w:uiPriority w:val="99"/>
    <w:semiHidden/>
    <w:unhideWhenUsed/>
    <w:rsid w:val="004D4996"/>
    <w:pPr>
      <w:spacing w:before="100" w:beforeAutospacing="1" w:after="100" w:afterAutospacing="1" w:line="240" w:lineRule="auto"/>
    </w:pPr>
    <w:rPr>
      <w:rFonts w:ascii="Times New Roman" w:eastAsia="Times New Roman" w:hAnsi="Times New Roman" w:cs="Times New Roman"/>
      <w:kern w:val="0"/>
      <w:sz w:val="24"/>
      <w:szCs w:val="24"/>
      <w:lang w:val="en-US" w:bidi="ta-IN"/>
      <w14:ligatures w14:val="none"/>
    </w:rPr>
  </w:style>
  <w:style w:type="character" w:styleId="Strong">
    <w:name w:val="Strong"/>
    <w:basedOn w:val="DefaultParagraphFont"/>
    <w:uiPriority w:val="22"/>
    <w:qFormat/>
    <w:rsid w:val="004D4996"/>
    <w:rPr>
      <w:b/>
      <w:bCs/>
    </w:rPr>
  </w:style>
  <w:style w:type="character" w:styleId="Emphasis">
    <w:name w:val="Emphasis"/>
    <w:basedOn w:val="DefaultParagraphFont"/>
    <w:uiPriority w:val="20"/>
    <w:qFormat/>
    <w:rsid w:val="004D4996"/>
    <w:rPr>
      <w:i/>
      <w:iCs/>
    </w:rPr>
  </w:style>
  <w:style w:type="paragraph" w:styleId="ListParagraph">
    <w:name w:val="List Paragraph"/>
    <w:basedOn w:val="Normal"/>
    <w:uiPriority w:val="34"/>
    <w:qFormat/>
    <w:rsid w:val="004D4996"/>
    <w:pPr>
      <w:ind w:left="720"/>
      <w:contextualSpacing/>
    </w:pPr>
  </w:style>
  <w:style w:type="paragraph" w:styleId="Header">
    <w:name w:val="header"/>
    <w:basedOn w:val="Normal"/>
    <w:link w:val="HeaderChar"/>
    <w:uiPriority w:val="99"/>
    <w:unhideWhenUsed/>
    <w:rsid w:val="00850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CD1"/>
  </w:style>
  <w:style w:type="paragraph" w:styleId="Footer">
    <w:name w:val="footer"/>
    <w:basedOn w:val="Normal"/>
    <w:link w:val="FooterChar"/>
    <w:uiPriority w:val="99"/>
    <w:unhideWhenUsed/>
    <w:rsid w:val="00850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99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ta-IN"/>
      <w14:ligatures w14:val="none"/>
    </w:rPr>
  </w:style>
  <w:style w:type="paragraph" w:styleId="Heading2">
    <w:name w:val="heading 2"/>
    <w:basedOn w:val="Normal"/>
    <w:link w:val="Heading2Char"/>
    <w:uiPriority w:val="9"/>
    <w:qFormat/>
    <w:rsid w:val="004D4996"/>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bidi="ta-IN"/>
      <w14:ligatures w14:val="none"/>
    </w:rPr>
  </w:style>
  <w:style w:type="paragraph" w:styleId="Heading3">
    <w:name w:val="heading 3"/>
    <w:basedOn w:val="Normal"/>
    <w:link w:val="Heading3Char"/>
    <w:uiPriority w:val="9"/>
    <w:qFormat/>
    <w:rsid w:val="004D4996"/>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ta-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996"/>
    <w:rPr>
      <w:rFonts w:ascii="Times New Roman" w:eastAsia="Times New Roman" w:hAnsi="Times New Roman" w:cs="Times New Roman"/>
      <w:b/>
      <w:bCs/>
      <w:kern w:val="36"/>
      <w:sz w:val="48"/>
      <w:szCs w:val="48"/>
      <w:lang w:val="en-US" w:bidi="ta-IN"/>
      <w14:ligatures w14:val="none"/>
    </w:rPr>
  </w:style>
  <w:style w:type="character" w:customStyle="1" w:styleId="Heading2Char">
    <w:name w:val="Heading 2 Char"/>
    <w:basedOn w:val="DefaultParagraphFont"/>
    <w:link w:val="Heading2"/>
    <w:uiPriority w:val="9"/>
    <w:rsid w:val="004D4996"/>
    <w:rPr>
      <w:rFonts w:ascii="Times New Roman" w:eastAsia="Times New Roman" w:hAnsi="Times New Roman" w:cs="Times New Roman"/>
      <w:b/>
      <w:bCs/>
      <w:kern w:val="0"/>
      <w:sz w:val="36"/>
      <w:szCs w:val="36"/>
      <w:lang w:val="en-US" w:bidi="ta-IN"/>
      <w14:ligatures w14:val="none"/>
    </w:rPr>
  </w:style>
  <w:style w:type="character" w:customStyle="1" w:styleId="Heading3Char">
    <w:name w:val="Heading 3 Char"/>
    <w:basedOn w:val="DefaultParagraphFont"/>
    <w:link w:val="Heading3"/>
    <w:uiPriority w:val="9"/>
    <w:rsid w:val="004D4996"/>
    <w:rPr>
      <w:rFonts w:ascii="Times New Roman" w:eastAsia="Times New Roman" w:hAnsi="Times New Roman" w:cs="Times New Roman"/>
      <w:b/>
      <w:bCs/>
      <w:kern w:val="0"/>
      <w:sz w:val="27"/>
      <w:szCs w:val="27"/>
      <w:lang w:val="en-US" w:bidi="ta-IN"/>
      <w14:ligatures w14:val="none"/>
    </w:rPr>
  </w:style>
  <w:style w:type="paragraph" w:styleId="NormalWeb">
    <w:name w:val="Normal (Web)"/>
    <w:basedOn w:val="Normal"/>
    <w:uiPriority w:val="99"/>
    <w:semiHidden/>
    <w:unhideWhenUsed/>
    <w:rsid w:val="004D4996"/>
    <w:pPr>
      <w:spacing w:before="100" w:beforeAutospacing="1" w:after="100" w:afterAutospacing="1" w:line="240" w:lineRule="auto"/>
    </w:pPr>
    <w:rPr>
      <w:rFonts w:ascii="Times New Roman" w:eastAsia="Times New Roman" w:hAnsi="Times New Roman" w:cs="Times New Roman"/>
      <w:kern w:val="0"/>
      <w:sz w:val="24"/>
      <w:szCs w:val="24"/>
      <w:lang w:val="en-US" w:bidi="ta-IN"/>
      <w14:ligatures w14:val="none"/>
    </w:rPr>
  </w:style>
  <w:style w:type="character" w:styleId="Strong">
    <w:name w:val="Strong"/>
    <w:basedOn w:val="DefaultParagraphFont"/>
    <w:uiPriority w:val="22"/>
    <w:qFormat/>
    <w:rsid w:val="004D4996"/>
    <w:rPr>
      <w:b/>
      <w:bCs/>
    </w:rPr>
  </w:style>
  <w:style w:type="character" w:styleId="Emphasis">
    <w:name w:val="Emphasis"/>
    <w:basedOn w:val="DefaultParagraphFont"/>
    <w:uiPriority w:val="20"/>
    <w:qFormat/>
    <w:rsid w:val="004D4996"/>
    <w:rPr>
      <w:i/>
      <w:iCs/>
    </w:rPr>
  </w:style>
  <w:style w:type="paragraph" w:styleId="ListParagraph">
    <w:name w:val="List Paragraph"/>
    <w:basedOn w:val="Normal"/>
    <w:uiPriority w:val="34"/>
    <w:qFormat/>
    <w:rsid w:val="004D4996"/>
    <w:pPr>
      <w:ind w:left="720"/>
      <w:contextualSpacing/>
    </w:pPr>
  </w:style>
  <w:style w:type="paragraph" w:styleId="Header">
    <w:name w:val="header"/>
    <w:basedOn w:val="Normal"/>
    <w:link w:val="HeaderChar"/>
    <w:uiPriority w:val="99"/>
    <w:unhideWhenUsed/>
    <w:rsid w:val="00850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CD1"/>
  </w:style>
  <w:style w:type="paragraph" w:styleId="Footer">
    <w:name w:val="footer"/>
    <w:basedOn w:val="Normal"/>
    <w:link w:val="FooterChar"/>
    <w:uiPriority w:val="99"/>
    <w:unhideWhenUsed/>
    <w:rsid w:val="00850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977418">
      <w:bodyDiv w:val="1"/>
      <w:marLeft w:val="0"/>
      <w:marRight w:val="0"/>
      <w:marTop w:val="0"/>
      <w:marBottom w:val="0"/>
      <w:divBdr>
        <w:top w:val="none" w:sz="0" w:space="0" w:color="auto"/>
        <w:left w:val="none" w:sz="0" w:space="0" w:color="auto"/>
        <w:bottom w:val="none" w:sz="0" w:space="0" w:color="auto"/>
        <w:right w:val="none" w:sz="0" w:space="0" w:color="auto"/>
      </w:divBdr>
    </w:div>
    <w:div w:id="11187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qwert</cp:lastModifiedBy>
  <cp:revision>3</cp:revision>
  <dcterms:created xsi:type="dcterms:W3CDTF">2026-02-16T17:33:00Z</dcterms:created>
  <dcterms:modified xsi:type="dcterms:W3CDTF">2026-02-17T13:31:00Z</dcterms:modified>
</cp:coreProperties>
</file>