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AA5" w:rsidRPr="007175D1" w:rsidRDefault="006F1C79" w:rsidP="00AF7DB1">
      <w:pPr>
        <w:spacing w:line="240" w:lineRule="auto"/>
        <w:jc w:val="center"/>
        <w:rPr>
          <w:rFonts w:ascii="Times New Roman" w:hAnsi="Times New Roman" w:cs="Times New Roman"/>
          <w:b/>
          <w:sz w:val="36"/>
          <w:szCs w:val="36"/>
        </w:rPr>
      </w:pPr>
      <w:r w:rsidRPr="007175D1">
        <w:rPr>
          <w:rFonts w:ascii="Times New Roman" w:hAnsi="Times New Roman" w:cs="Times New Roman"/>
          <w:b/>
          <w:sz w:val="36"/>
          <w:szCs w:val="36"/>
        </w:rPr>
        <w:t xml:space="preserve">Phyto-Derived Therapeutic Analogs for Neurological Disorders with </w:t>
      </w:r>
      <w:r w:rsidR="00EE4632" w:rsidRPr="007175D1">
        <w:rPr>
          <w:rFonts w:ascii="Times New Roman" w:hAnsi="Times New Roman" w:cs="Times New Roman"/>
          <w:b/>
          <w:sz w:val="36"/>
          <w:szCs w:val="36"/>
        </w:rPr>
        <w:t xml:space="preserve">Prevalence </w:t>
      </w:r>
      <w:r w:rsidRPr="007175D1">
        <w:rPr>
          <w:rFonts w:ascii="Times New Roman" w:hAnsi="Times New Roman" w:cs="Times New Roman"/>
          <w:b/>
          <w:sz w:val="36"/>
          <w:szCs w:val="36"/>
        </w:rPr>
        <w:t xml:space="preserve">Insights into Metropolitan </w:t>
      </w:r>
      <w:r w:rsidR="00210892" w:rsidRPr="007175D1">
        <w:rPr>
          <w:rFonts w:ascii="Times New Roman" w:hAnsi="Times New Roman" w:cs="Times New Roman"/>
          <w:b/>
          <w:sz w:val="36"/>
          <w:szCs w:val="36"/>
        </w:rPr>
        <w:t>and</w:t>
      </w:r>
      <w:r w:rsidRPr="007175D1">
        <w:rPr>
          <w:rFonts w:ascii="Times New Roman" w:hAnsi="Times New Roman" w:cs="Times New Roman"/>
          <w:b/>
          <w:sz w:val="36"/>
          <w:szCs w:val="36"/>
        </w:rPr>
        <w:t xml:space="preserve"> Non-Metropolitan </w:t>
      </w:r>
      <w:r w:rsidR="00EE4632" w:rsidRPr="007175D1">
        <w:rPr>
          <w:rFonts w:ascii="Times New Roman" w:hAnsi="Times New Roman" w:cs="Times New Roman"/>
          <w:b/>
          <w:sz w:val="36"/>
          <w:szCs w:val="36"/>
        </w:rPr>
        <w:t>Regions</w:t>
      </w:r>
      <w:r w:rsidR="00963482" w:rsidRPr="007175D1">
        <w:rPr>
          <w:rFonts w:ascii="Times New Roman" w:hAnsi="Times New Roman" w:cs="Times New Roman"/>
          <w:b/>
          <w:sz w:val="36"/>
          <w:szCs w:val="36"/>
        </w:rPr>
        <w:t xml:space="preserve"> of India</w:t>
      </w:r>
      <w:r w:rsidR="00F10561" w:rsidRPr="007175D1">
        <w:rPr>
          <w:rFonts w:ascii="Times New Roman" w:hAnsi="Times New Roman" w:cs="Times New Roman"/>
          <w:b/>
          <w:sz w:val="36"/>
          <w:szCs w:val="36"/>
        </w:rPr>
        <w:t>: A R</w:t>
      </w:r>
      <w:r w:rsidR="005065B1" w:rsidRPr="007175D1">
        <w:rPr>
          <w:rFonts w:ascii="Times New Roman" w:hAnsi="Times New Roman" w:cs="Times New Roman"/>
          <w:b/>
          <w:sz w:val="36"/>
          <w:szCs w:val="36"/>
        </w:rPr>
        <w:t>eview</w:t>
      </w:r>
    </w:p>
    <w:p w:rsidR="009B760F" w:rsidRPr="005A6267" w:rsidRDefault="009B760F" w:rsidP="00AF7DB1">
      <w:pPr>
        <w:spacing w:line="240" w:lineRule="auto"/>
        <w:jc w:val="center"/>
        <w:rPr>
          <w:rFonts w:ascii="Times New Roman" w:hAnsi="Times New Roman" w:cs="Times New Roman"/>
          <w:b/>
          <w:sz w:val="24"/>
        </w:rPr>
      </w:pPr>
      <w:r>
        <w:rPr>
          <w:rFonts w:ascii="Times New Roman" w:hAnsi="Times New Roman" w:cs="Times New Roman"/>
          <w:b/>
          <w:sz w:val="24"/>
        </w:rPr>
        <w:t>Ria</w:t>
      </w:r>
      <w:r w:rsidR="007175D1">
        <w:rPr>
          <w:rFonts w:ascii="Times New Roman" w:hAnsi="Times New Roman" w:cs="Times New Roman"/>
          <w:b/>
          <w:sz w:val="24"/>
          <w:vertAlign w:val="superscript"/>
        </w:rPr>
        <w:t>1</w:t>
      </w:r>
      <w:r>
        <w:rPr>
          <w:rFonts w:ascii="Times New Roman" w:hAnsi="Times New Roman" w:cs="Times New Roman"/>
          <w:b/>
          <w:sz w:val="24"/>
        </w:rPr>
        <w:t xml:space="preserve"> and Harsharan Singh</w:t>
      </w:r>
      <w:r w:rsidR="007175D1">
        <w:rPr>
          <w:rFonts w:ascii="Times New Roman" w:hAnsi="Times New Roman" w:cs="Times New Roman"/>
          <w:b/>
          <w:sz w:val="24"/>
          <w:vertAlign w:val="superscript"/>
        </w:rPr>
        <w:t>1</w:t>
      </w:r>
      <w:r>
        <w:rPr>
          <w:rFonts w:ascii="Times New Roman" w:hAnsi="Times New Roman" w:cs="Times New Roman"/>
          <w:b/>
          <w:sz w:val="24"/>
        </w:rPr>
        <w:t>*</w:t>
      </w:r>
    </w:p>
    <w:p w:rsidR="00227612" w:rsidRPr="005A6267" w:rsidRDefault="007175D1" w:rsidP="007175D1">
      <w:pPr>
        <w:tabs>
          <w:tab w:val="left" w:pos="8647"/>
        </w:tabs>
        <w:spacing w:after="0" w:line="240" w:lineRule="auto"/>
        <w:ind w:right="261"/>
        <w:jc w:val="center"/>
        <w:rPr>
          <w:rFonts w:ascii="Times New Roman" w:hAnsi="Times New Roman" w:cs="Times New Roman"/>
          <w:color w:val="000000"/>
          <w:sz w:val="24"/>
          <w:szCs w:val="24"/>
        </w:rPr>
      </w:pPr>
      <w:r>
        <w:rPr>
          <w:rFonts w:ascii="Times New Roman" w:hAnsi="Times New Roman" w:cs="Times New Roman"/>
          <w:b/>
          <w:color w:val="000000"/>
          <w:sz w:val="24"/>
          <w:szCs w:val="24"/>
          <w:vertAlign w:val="superscript"/>
        </w:rPr>
        <w:t>1</w:t>
      </w:r>
      <w:r w:rsidR="00227612" w:rsidRPr="005A6267">
        <w:rPr>
          <w:rFonts w:ascii="Times New Roman" w:hAnsi="Times New Roman" w:cs="Times New Roman"/>
          <w:color w:val="000000"/>
          <w:sz w:val="24"/>
          <w:szCs w:val="24"/>
        </w:rPr>
        <w:t>Department of Plant Sciences, Central University of Himachal Pradesh, Shahpur, Kangra-176206, Himachal Pradesh, India.</w:t>
      </w:r>
    </w:p>
    <w:p w:rsidR="00227612" w:rsidRDefault="00227612" w:rsidP="007175D1">
      <w:pPr>
        <w:tabs>
          <w:tab w:val="left" w:pos="8647"/>
        </w:tabs>
        <w:spacing w:after="0" w:line="240" w:lineRule="auto"/>
        <w:ind w:right="261"/>
        <w:jc w:val="center"/>
        <w:rPr>
          <w:rFonts w:ascii="Times New Roman" w:hAnsi="Times New Roman" w:cs="Times New Roman"/>
          <w:color w:val="000000"/>
          <w:sz w:val="24"/>
          <w:szCs w:val="24"/>
        </w:rPr>
      </w:pPr>
      <w:r w:rsidRPr="005A6267">
        <w:rPr>
          <w:rFonts w:ascii="Times New Roman" w:hAnsi="Times New Roman" w:cs="Times New Roman"/>
          <w:color w:val="000000"/>
          <w:sz w:val="24"/>
          <w:szCs w:val="24"/>
        </w:rPr>
        <w:t xml:space="preserve">Email: </w:t>
      </w:r>
      <w:hyperlink r:id="rId8" w:history="1">
        <w:r w:rsidRPr="005A6267">
          <w:rPr>
            <w:rStyle w:val="Hyperlink"/>
            <w:rFonts w:ascii="Times New Roman" w:hAnsi="Times New Roman" w:cs="Times New Roman"/>
            <w:sz w:val="24"/>
            <w:szCs w:val="24"/>
          </w:rPr>
          <w:t>mriarehan@gmail.com</w:t>
        </w:r>
      </w:hyperlink>
    </w:p>
    <w:p w:rsidR="00B67D49" w:rsidRDefault="005F2E7C" w:rsidP="007175D1">
      <w:pPr>
        <w:tabs>
          <w:tab w:val="left" w:pos="8647"/>
        </w:tabs>
        <w:spacing w:after="0" w:line="240" w:lineRule="auto"/>
        <w:ind w:right="261"/>
        <w:jc w:val="center"/>
        <w:rPr>
          <w:rFonts w:ascii="Times New Roman" w:hAnsi="Times New Roman" w:cs="Times New Roman"/>
          <w:color w:val="000000"/>
          <w:sz w:val="24"/>
          <w:szCs w:val="24"/>
        </w:rPr>
      </w:pPr>
      <w:r>
        <w:rPr>
          <w:rFonts w:ascii="Times New Roman" w:hAnsi="Times New Roman" w:cs="Times New Roman"/>
          <w:color w:val="000000"/>
          <w:sz w:val="24"/>
          <w:szCs w:val="24"/>
        </w:rPr>
        <w:t>ORCi</w:t>
      </w:r>
      <w:r w:rsidR="00B67D49">
        <w:rPr>
          <w:rFonts w:ascii="Times New Roman" w:hAnsi="Times New Roman" w:cs="Times New Roman"/>
          <w:color w:val="000000"/>
          <w:sz w:val="24"/>
          <w:szCs w:val="24"/>
        </w:rPr>
        <w:t>D ID:</w:t>
      </w:r>
      <w:r w:rsidR="00616CC9">
        <w:rPr>
          <w:rFonts w:ascii="Times New Roman" w:hAnsi="Times New Roman" w:cs="Times New Roman"/>
          <w:color w:val="000000"/>
          <w:sz w:val="24"/>
          <w:szCs w:val="24"/>
        </w:rPr>
        <w:t xml:space="preserve"> </w:t>
      </w:r>
      <w:r w:rsidR="00616CC9" w:rsidRPr="00616CC9">
        <w:rPr>
          <w:rFonts w:ascii="Times New Roman" w:hAnsi="Times New Roman" w:cs="Times New Roman"/>
          <w:color w:val="000000"/>
          <w:sz w:val="24"/>
          <w:szCs w:val="24"/>
        </w:rPr>
        <w:t>0009-0004-7759-2275</w:t>
      </w:r>
    </w:p>
    <w:p w:rsidR="00B67D49" w:rsidRPr="005A6267" w:rsidRDefault="00B67D49" w:rsidP="007175D1">
      <w:pPr>
        <w:tabs>
          <w:tab w:val="left" w:pos="8647"/>
        </w:tabs>
        <w:spacing w:after="0" w:line="240" w:lineRule="auto"/>
        <w:ind w:right="261"/>
        <w:jc w:val="center"/>
        <w:rPr>
          <w:rFonts w:ascii="Times New Roman" w:hAnsi="Times New Roman" w:cs="Times New Roman"/>
          <w:color w:val="000000"/>
          <w:sz w:val="24"/>
          <w:szCs w:val="24"/>
        </w:rPr>
      </w:pPr>
    </w:p>
    <w:p w:rsidR="00963482" w:rsidRPr="004C1519" w:rsidRDefault="00FD585C" w:rsidP="004C1519">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vertAlign w:val="superscript"/>
        </w:rPr>
        <w:t>1</w:t>
      </w:r>
      <w:bookmarkStart w:id="0" w:name="_GoBack"/>
      <w:bookmarkEnd w:id="0"/>
      <w:r w:rsidR="004C1519">
        <w:rPr>
          <w:rFonts w:ascii="Times New Roman" w:hAnsi="Times New Roman" w:cs="Times New Roman"/>
          <w:b/>
          <w:bCs/>
          <w:color w:val="000000"/>
          <w:sz w:val="24"/>
          <w:szCs w:val="24"/>
        </w:rPr>
        <w:t>*Corresponding Author</w:t>
      </w:r>
      <w:r w:rsidR="00227612" w:rsidRPr="005A6267">
        <w:rPr>
          <w:rFonts w:ascii="Times New Roman" w:hAnsi="Times New Roman" w:cs="Times New Roman"/>
          <w:b/>
          <w:bCs/>
          <w:color w:val="000000"/>
          <w:sz w:val="24"/>
          <w:szCs w:val="24"/>
        </w:rPr>
        <w:t>:</w:t>
      </w:r>
      <w:r w:rsidR="004C1519">
        <w:rPr>
          <w:rFonts w:ascii="Times New Roman" w:hAnsi="Times New Roman" w:cs="Times New Roman"/>
          <w:b/>
          <w:bCs/>
          <w:color w:val="000000"/>
          <w:sz w:val="24"/>
          <w:szCs w:val="24"/>
        </w:rPr>
        <w:t xml:space="preserve"> </w:t>
      </w:r>
      <w:r w:rsidR="00550FA9">
        <w:rPr>
          <w:rFonts w:ascii="Times New Roman" w:hAnsi="Times New Roman" w:cs="Times New Roman"/>
          <w:color w:val="000000"/>
          <w:sz w:val="24"/>
          <w:szCs w:val="24"/>
        </w:rPr>
        <w:t>Dr. Harsharan Singh</w:t>
      </w:r>
      <w:r w:rsidR="00227612" w:rsidRPr="005A6267">
        <w:rPr>
          <w:rFonts w:ascii="Times New Roman" w:hAnsi="Times New Roman" w:cs="Times New Roman"/>
          <w:color w:val="000000"/>
          <w:sz w:val="24"/>
          <w:szCs w:val="24"/>
        </w:rPr>
        <w:t>,</w:t>
      </w:r>
    </w:p>
    <w:p w:rsidR="00227612" w:rsidRPr="005A6267" w:rsidRDefault="00227612" w:rsidP="007175D1">
      <w:pPr>
        <w:spacing w:after="0" w:line="240" w:lineRule="auto"/>
        <w:jc w:val="center"/>
        <w:rPr>
          <w:rFonts w:ascii="Times New Roman" w:hAnsi="Times New Roman" w:cs="Times New Roman"/>
          <w:b/>
          <w:bCs/>
          <w:color w:val="000000"/>
          <w:sz w:val="24"/>
          <w:szCs w:val="24"/>
        </w:rPr>
      </w:pPr>
      <w:r w:rsidRPr="005A6267">
        <w:rPr>
          <w:rFonts w:ascii="Times New Roman" w:hAnsi="Times New Roman" w:cs="Times New Roman"/>
          <w:color w:val="000000"/>
          <w:sz w:val="24"/>
          <w:szCs w:val="24"/>
        </w:rPr>
        <w:t>Department of Plant Sciences, Central University of Himachal Pradesh, Shahpur, Kangra-176206, Himachal Pradesh, India</w:t>
      </w:r>
    </w:p>
    <w:p w:rsidR="00227612" w:rsidRPr="005A6267" w:rsidRDefault="00227612" w:rsidP="007175D1">
      <w:pPr>
        <w:spacing w:after="0" w:line="240" w:lineRule="auto"/>
        <w:jc w:val="center"/>
        <w:rPr>
          <w:rFonts w:ascii="Times New Roman" w:hAnsi="Times New Roman" w:cs="Times New Roman"/>
          <w:color w:val="000000"/>
          <w:sz w:val="24"/>
          <w:szCs w:val="24"/>
        </w:rPr>
      </w:pPr>
      <w:r w:rsidRPr="005A6267">
        <w:rPr>
          <w:rFonts w:ascii="Times New Roman" w:hAnsi="Times New Roman" w:cs="Times New Roman"/>
          <w:color w:val="000000"/>
          <w:sz w:val="24"/>
          <w:szCs w:val="24"/>
        </w:rPr>
        <w:t xml:space="preserve">Email: </w:t>
      </w:r>
      <w:hyperlink r:id="rId9" w:history="1">
        <w:r w:rsidRPr="005A6267">
          <w:rPr>
            <w:rStyle w:val="Hyperlink"/>
            <w:rFonts w:ascii="Times New Roman" w:hAnsi="Times New Roman" w:cs="Times New Roman"/>
            <w:sz w:val="24"/>
            <w:szCs w:val="24"/>
          </w:rPr>
          <w:t>harsharan@hpcu.ac.in</w:t>
        </w:r>
      </w:hyperlink>
    </w:p>
    <w:p w:rsidR="00227612" w:rsidRPr="005A6267" w:rsidRDefault="003D5A6F" w:rsidP="007175D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ORCi</w:t>
      </w:r>
      <w:r w:rsidR="00227612" w:rsidRPr="005A6267">
        <w:rPr>
          <w:rFonts w:ascii="Times New Roman" w:hAnsi="Times New Roman" w:cs="Times New Roman"/>
          <w:color w:val="000000"/>
          <w:sz w:val="24"/>
          <w:szCs w:val="24"/>
        </w:rPr>
        <w:t>D ID: 0009-0006-4473-8244</w:t>
      </w:r>
    </w:p>
    <w:p w:rsidR="00386683" w:rsidRDefault="00227612" w:rsidP="00386683">
      <w:pPr>
        <w:spacing w:after="0" w:line="240" w:lineRule="auto"/>
        <w:jc w:val="center"/>
        <w:rPr>
          <w:rFonts w:ascii="Times New Roman" w:hAnsi="Times New Roman" w:cs="Times New Roman"/>
          <w:color w:val="000000"/>
          <w:sz w:val="24"/>
          <w:szCs w:val="24"/>
        </w:rPr>
      </w:pPr>
      <w:r w:rsidRPr="005A6267">
        <w:rPr>
          <w:rFonts w:ascii="Times New Roman" w:hAnsi="Times New Roman" w:cs="Times New Roman"/>
          <w:color w:val="000000"/>
          <w:sz w:val="24"/>
          <w:szCs w:val="24"/>
        </w:rPr>
        <w:t>Contact Number: 9877212423</w:t>
      </w:r>
    </w:p>
    <w:p w:rsidR="00227612" w:rsidRPr="005A6267" w:rsidRDefault="00386683" w:rsidP="0038668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F1C79" w:rsidRPr="004C1519" w:rsidRDefault="004C1519" w:rsidP="004C1519">
      <w:pPr>
        <w:spacing w:before="100" w:beforeAutospacing="1" w:after="100" w:afterAutospacing="1" w:line="240" w:lineRule="auto"/>
        <w:outlineLvl w:val="1"/>
        <w:rPr>
          <w:rFonts w:ascii="Times New Roman" w:hAnsi="Times New Roman" w:cs="Times New Roman"/>
          <w:b/>
          <w:sz w:val="28"/>
          <w:szCs w:val="28"/>
        </w:rPr>
      </w:pPr>
      <w:r w:rsidRPr="004C1519">
        <w:rPr>
          <w:rFonts w:ascii="Times New Roman" w:hAnsi="Times New Roman" w:cs="Times New Roman"/>
          <w:b/>
          <w:sz w:val="28"/>
          <w:szCs w:val="28"/>
        </w:rPr>
        <w:lastRenderedPageBreak/>
        <w:t>ABSTRACT</w:t>
      </w:r>
    </w:p>
    <w:p w:rsidR="006F1C79" w:rsidRDefault="006F1C79" w:rsidP="0093111D">
      <w:pPr>
        <w:spacing w:before="100" w:beforeAutospacing="1" w:after="100" w:afterAutospacing="1" w:line="240" w:lineRule="auto"/>
        <w:jc w:val="both"/>
        <w:outlineLvl w:val="1"/>
        <w:rPr>
          <w:rFonts w:ascii="Times New Roman" w:hAnsi="Times New Roman" w:cs="Times New Roman"/>
          <w:sz w:val="24"/>
          <w:szCs w:val="24"/>
        </w:rPr>
      </w:pPr>
      <w:r w:rsidRPr="005A6267">
        <w:rPr>
          <w:rFonts w:ascii="Times New Roman" w:hAnsi="Times New Roman" w:cs="Times New Roman"/>
          <w:sz w:val="24"/>
          <w:szCs w:val="24"/>
        </w:rPr>
        <w:t xml:space="preserve">The field of neurological disorders is a growing public health issue, and India has shown this trend in a very uneven distribution between metropolitan and non-metropolitan areas. Air pollution, chronic stress, sedentary lifestyles, and the availability of better diagnosis have become the causes of reported increasing incidence of stroke, migraine, dementia, and Parkinson's disease among </w:t>
      </w:r>
      <w:r w:rsidR="00A96055" w:rsidRPr="005A6267">
        <w:rPr>
          <w:rFonts w:ascii="Times New Roman" w:hAnsi="Times New Roman" w:cs="Times New Roman"/>
          <w:sz w:val="24"/>
          <w:szCs w:val="24"/>
        </w:rPr>
        <w:t>metropolitan</w:t>
      </w:r>
      <w:r w:rsidRPr="005A6267">
        <w:rPr>
          <w:rFonts w:ascii="Times New Roman" w:hAnsi="Times New Roman" w:cs="Times New Roman"/>
          <w:sz w:val="24"/>
          <w:szCs w:val="24"/>
        </w:rPr>
        <w:t xml:space="preserve"> population. In contrast, non-metropolitan regions have to experience more prevalence of epilepsy, neuroinfections, neurotrauma, and neurological impairment secondary to malnutrition </w:t>
      </w:r>
      <w:r w:rsidR="005065B1">
        <w:rPr>
          <w:rFonts w:ascii="Times New Roman" w:hAnsi="Times New Roman" w:cs="Times New Roman"/>
          <w:sz w:val="24"/>
          <w:szCs w:val="24"/>
        </w:rPr>
        <w:t>due to</w:t>
      </w:r>
      <w:r w:rsidRPr="005A6267">
        <w:rPr>
          <w:rFonts w:ascii="Times New Roman" w:hAnsi="Times New Roman" w:cs="Times New Roman"/>
          <w:sz w:val="24"/>
          <w:szCs w:val="24"/>
        </w:rPr>
        <w:t xml:space="preserve"> late diagnosis and limited specialist care. The current pharmacological treatments are mostly symptomatic with common side effects and potential lack of disease-modifying effects.</w:t>
      </w:r>
      <w:r w:rsidRPr="005A6267">
        <w:rPr>
          <w:rFonts w:ascii="Times New Roman" w:hAnsi="Times New Roman" w:cs="Times New Roman"/>
          <w:b/>
          <w:sz w:val="24"/>
        </w:rPr>
        <w:t xml:space="preserve"> </w:t>
      </w:r>
      <w:r w:rsidRPr="005A6267">
        <w:rPr>
          <w:rFonts w:ascii="Times New Roman" w:hAnsi="Times New Roman" w:cs="Times New Roman"/>
          <w:sz w:val="24"/>
          <w:szCs w:val="24"/>
        </w:rPr>
        <w:t xml:space="preserve">Neurotherapeutics derived from plants provide a potential, less expensive and culturally rooted alternative. Established medicinal species, including </w:t>
      </w:r>
      <w:r w:rsidRPr="005A6267">
        <w:rPr>
          <w:rFonts w:ascii="Times New Roman" w:hAnsi="Times New Roman" w:cs="Times New Roman"/>
          <w:i/>
          <w:sz w:val="24"/>
          <w:szCs w:val="24"/>
        </w:rPr>
        <w:t>With</w:t>
      </w:r>
      <w:r w:rsidR="005065B1">
        <w:rPr>
          <w:rFonts w:ascii="Times New Roman" w:hAnsi="Times New Roman" w:cs="Times New Roman"/>
          <w:i/>
          <w:sz w:val="24"/>
          <w:szCs w:val="24"/>
        </w:rPr>
        <w:t xml:space="preserve">ania somnifera, Bacopa monnier </w:t>
      </w:r>
      <w:r w:rsidRPr="005A6267">
        <w:rPr>
          <w:rFonts w:ascii="Times New Roman" w:hAnsi="Times New Roman" w:cs="Times New Roman"/>
          <w:sz w:val="24"/>
          <w:szCs w:val="24"/>
        </w:rPr>
        <w:t xml:space="preserve">have multi-target effects, which are antioxidant, anti-inflammatory, neuroprotective, and neuromodulatory. </w:t>
      </w:r>
      <w:r w:rsidR="00A96055" w:rsidRPr="005A6267">
        <w:rPr>
          <w:rFonts w:ascii="Times New Roman" w:hAnsi="Times New Roman" w:cs="Times New Roman"/>
          <w:sz w:val="24"/>
          <w:szCs w:val="24"/>
        </w:rPr>
        <w:t xml:space="preserve">Because of their extensive use in treatments, their analogs having similar activities must be found, </w:t>
      </w:r>
      <w:r w:rsidR="005065B1">
        <w:rPr>
          <w:rFonts w:ascii="Times New Roman" w:hAnsi="Times New Roman" w:cs="Times New Roman"/>
          <w:sz w:val="24"/>
          <w:szCs w:val="24"/>
        </w:rPr>
        <w:t>to extend the</w:t>
      </w:r>
      <w:r w:rsidRPr="005A6267">
        <w:rPr>
          <w:rFonts w:ascii="Times New Roman" w:hAnsi="Times New Roman" w:cs="Times New Roman"/>
          <w:sz w:val="24"/>
          <w:szCs w:val="24"/>
        </w:rPr>
        <w:t xml:space="preserve"> spectrum of p</w:t>
      </w:r>
      <w:r w:rsidR="005065B1">
        <w:rPr>
          <w:rFonts w:ascii="Times New Roman" w:hAnsi="Times New Roman" w:cs="Times New Roman"/>
          <w:sz w:val="24"/>
          <w:szCs w:val="24"/>
        </w:rPr>
        <w:t>otential neuroprotective agents</w:t>
      </w:r>
      <w:r w:rsidRPr="005A6267">
        <w:rPr>
          <w:rFonts w:ascii="Times New Roman" w:hAnsi="Times New Roman" w:cs="Times New Roman"/>
          <w:sz w:val="24"/>
          <w:szCs w:val="24"/>
        </w:rPr>
        <w:t xml:space="preserve"> and reliance on ecologically endangered species is minimized.</w:t>
      </w:r>
      <w:r w:rsidRPr="005A6267">
        <w:rPr>
          <w:rFonts w:ascii="Times New Roman" w:hAnsi="Times New Roman" w:cs="Times New Roman"/>
          <w:b/>
          <w:sz w:val="24"/>
        </w:rPr>
        <w:t xml:space="preserve"> </w:t>
      </w:r>
      <w:r w:rsidR="00A96055" w:rsidRPr="005A6267">
        <w:rPr>
          <w:rFonts w:ascii="Times New Roman" w:hAnsi="Times New Roman" w:cs="Times New Roman"/>
          <w:sz w:val="24"/>
          <w:szCs w:val="24"/>
        </w:rPr>
        <w:t>Further, t</w:t>
      </w:r>
      <w:r w:rsidRPr="005A6267">
        <w:rPr>
          <w:rFonts w:ascii="Times New Roman" w:hAnsi="Times New Roman" w:cs="Times New Roman"/>
          <w:sz w:val="24"/>
          <w:szCs w:val="24"/>
        </w:rPr>
        <w:t>his review summarises the metropolitan and non-metropolitan neurological disease incidence</w:t>
      </w:r>
      <w:r w:rsidR="00487155" w:rsidRPr="005A6267">
        <w:rPr>
          <w:rFonts w:ascii="Times New Roman" w:hAnsi="Times New Roman" w:cs="Times New Roman"/>
          <w:sz w:val="24"/>
          <w:szCs w:val="24"/>
        </w:rPr>
        <w:t xml:space="preserve"> in India, where the inducers of neurological disorders might be similar but effects may vary due to availability of diagnosis, treatment and various other environmental and societal conditions. The review points </w:t>
      </w:r>
      <w:r w:rsidRPr="005A6267">
        <w:rPr>
          <w:rFonts w:ascii="Times New Roman" w:hAnsi="Times New Roman" w:cs="Times New Roman"/>
          <w:sz w:val="24"/>
          <w:szCs w:val="24"/>
        </w:rPr>
        <w:t>out the therapeutic potential of already known plant compounds and their less-studied structural analogs. Through a combination of phytochemical research and a region-specific medical requirement, plant-based molecules may assist in fill</w:t>
      </w:r>
      <w:r w:rsidR="00963482" w:rsidRPr="005A6267">
        <w:rPr>
          <w:rFonts w:ascii="Times New Roman" w:hAnsi="Times New Roman" w:cs="Times New Roman"/>
          <w:sz w:val="24"/>
          <w:szCs w:val="24"/>
        </w:rPr>
        <w:t>ing diagnostic gaps and offer</w:t>
      </w:r>
      <w:r w:rsidRPr="005A6267">
        <w:rPr>
          <w:rFonts w:ascii="Times New Roman" w:hAnsi="Times New Roman" w:cs="Times New Roman"/>
          <w:sz w:val="24"/>
          <w:szCs w:val="24"/>
        </w:rPr>
        <w:t xml:space="preserve"> more access</w:t>
      </w:r>
      <w:r w:rsidR="00963482" w:rsidRPr="005A6267">
        <w:rPr>
          <w:rFonts w:ascii="Times New Roman" w:hAnsi="Times New Roman" w:cs="Times New Roman"/>
          <w:sz w:val="24"/>
          <w:szCs w:val="24"/>
        </w:rPr>
        <w:t xml:space="preserve">ible and sustainable treatment </w:t>
      </w:r>
      <w:r w:rsidRPr="005A6267">
        <w:rPr>
          <w:rFonts w:ascii="Times New Roman" w:hAnsi="Times New Roman" w:cs="Times New Roman"/>
          <w:sz w:val="24"/>
          <w:szCs w:val="24"/>
        </w:rPr>
        <w:t>f</w:t>
      </w:r>
      <w:r w:rsidR="00963482" w:rsidRPr="005A6267">
        <w:rPr>
          <w:rFonts w:ascii="Times New Roman" w:hAnsi="Times New Roman" w:cs="Times New Roman"/>
          <w:sz w:val="24"/>
          <w:szCs w:val="24"/>
        </w:rPr>
        <w:t>or</w:t>
      </w:r>
      <w:r w:rsidRPr="005A6267">
        <w:rPr>
          <w:rFonts w:ascii="Times New Roman" w:hAnsi="Times New Roman" w:cs="Times New Roman"/>
          <w:sz w:val="24"/>
          <w:szCs w:val="24"/>
        </w:rPr>
        <w:t xml:space="preserve"> neurological conditions in India.</w:t>
      </w:r>
    </w:p>
    <w:p w:rsidR="004C1519" w:rsidRPr="004C1519" w:rsidRDefault="004C1519" w:rsidP="00AF7DB1">
      <w:pPr>
        <w:spacing w:before="100" w:beforeAutospacing="1" w:after="100" w:afterAutospacing="1" w:line="240" w:lineRule="auto"/>
        <w:outlineLvl w:val="1"/>
        <w:rPr>
          <w:rFonts w:ascii="Times New Roman" w:hAnsi="Times New Roman" w:cs="Times New Roman"/>
          <w:b/>
          <w:sz w:val="24"/>
          <w:szCs w:val="24"/>
        </w:rPr>
      </w:pPr>
      <w:r w:rsidRPr="004C1519">
        <w:rPr>
          <w:rFonts w:ascii="Times New Roman" w:hAnsi="Times New Roman" w:cs="Times New Roman"/>
          <w:b/>
          <w:sz w:val="24"/>
          <w:szCs w:val="24"/>
        </w:rPr>
        <w:t xml:space="preserve">Keywords: </w:t>
      </w:r>
      <w:r>
        <w:rPr>
          <w:rFonts w:ascii="Times New Roman" w:hAnsi="Times New Roman" w:cs="Times New Roman"/>
          <w:sz w:val="24"/>
          <w:szCs w:val="24"/>
        </w:rPr>
        <w:t>Neurological disorders, Phytochemical analogs, Neuroprotection, Medicinal plants,</w:t>
      </w:r>
      <w:r w:rsidRPr="004C1519">
        <w:rPr>
          <w:rFonts w:ascii="Times New Roman" w:hAnsi="Times New Roman" w:cs="Times New Roman"/>
          <w:sz w:val="24"/>
          <w:szCs w:val="24"/>
        </w:rPr>
        <w:t xml:space="preserve"> India</w:t>
      </w:r>
    </w:p>
    <w:p w:rsidR="006F1C79" w:rsidRPr="0093111D" w:rsidRDefault="004C1519" w:rsidP="0093111D">
      <w:pPr>
        <w:spacing w:before="100" w:beforeAutospacing="1" w:after="100" w:afterAutospacing="1" w:line="240" w:lineRule="auto"/>
        <w:outlineLvl w:val="1"/>
        <w:rPr>
          <w:rFonts w:ascii="Times New Roman" w:hAnsi="Times New Roman" w:cs="Times New Roman"/>
          <w:b/>
          <w:sz w:val="28"/>
          <w:szCs w:val="28"/>
        </w:rPr>
      </w:pPr>
      <w:r w:rsidRPr="0093111D">
        <w:rPr>
          <w:rFonts w:ascii="Times New Roman" w:hAnsi="Times New Roman" w:cs="Times New Roman"/>
          <w:b/>
          <w:sz w:val="28"/>
          <w:szCs w:val="28"/>
        </w:rPr>
        <w:t>INTRODUCTION</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Neurological disorders are among the most critical health problems of the 21st century </w:t>
      </w:r>
      <w:r w:rsidRPr="005A6267">
        <w:rPr>
          <w:rStyle w:val="paperpal-citation"/>
          <w:rFonts w:ascii="Times New Roman" w:hAnsi="Times New Roman" w:cs="Times New Roman"/>
          <w:sz w:val="24"/>
          <w:szCs w:val="24"/>
        </w:rPr>
        <w:t>(Whiteford et al., 2015)</w:t>
      </w:r>
      <w:r w:rsidRPr="005A6267">
        <w:rPr>
          <w:rFonts w:ascii="Times New Roman" w:eastAsia="Times New Roman" w:hAnsi="Times New Roman" w:cs="Times New Roman"/>
          <w:sz w:val="24"/>
          <w:szCs w:val="24"/>
          <w:lang w:eastAsia="en-IN"/>
        </w:rPr>
        <w:t>. On the basis of data from Global Burden of Disease (GBD) 2021, neurological conditions collectively affect over 3.4 billion people worldwide; that is nearly 43% of the global p</w:t>
      </w:r>
      <w:r w:rsidR="005935CF">
        <w:rPr>
          <w:rFonts w:ascii="Times New Roman" w:eastAsia="Times New Roman" w:hAnsi="Times New Roman" w:cs="Times New Roman"/>
          <w:sz w:val="24"/>
          <w:szCs w:val="24"/>
          <w:lang w:eastAsia="en-IN"/>
        </w:rPr>
        <w:t xml:space="preserve">opulation </w:t>
      </w:r>
      <w:r w:rsidR="00EB0A13">
        <w:rPr>
          <w:rFonts w:ascii="Times New Roman" w:eastAsia="Times New Roman" w:hAnsi="Times New Roman" w:cs="Times New Roman"/>
          <w:sz w:val="24"/>
          <w:szCs w:val="24"/>
          <w:lang w:eastAsia="en-IN"/>
        </w:rPr>
        <w:t>(Ferrari et al., 20</w:t>
      </w:r>
      <w:r w:rsidR="00EB0A13" w:rsidRPr="005A6267">
        <w:rPr>
          <w:rFonts w:ascii="Times New Roman" w:eastAsia="Times New Roman" w:hAnsi="Times New Roman" w:cs="Times New Roman"/>
          <w:sz w:val="24"/>
          <w:szCs w:val="24"/>
          <w:lang w:eastAsia="en-IN"/>
        </w:rPr>
        <w:t>24).</w:t>
      </w:r>
    </w:p>
    <w:p w:rsidR="0093111D"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Besides being the most significant contributors to disability, these neurological disorders are among the prominent causes of premature death (GBD, 2021). In India, there has been a worrying upward trend of neurological disorders with 44% increase of burden between 1990-2013 overtaking several other countries in Asia, including China, which had seen a 20% increase</w:t>
      </w:r>
      <w:r w:rsidR="00EB0A13">
        <w:rPr>
          <w:rFonts w:ascii="Times New Roman" w:eastAsia="Times New Roman" w:hAnsi="Times New Roman" w:cs="Times New Roman"/>
          <w:sz w:val="24"/>
          <w:szCs w:val="24"/>
          <w:lang w:eastAsia="en-IN"/>
        </w:rPr>
        <w:t xml:space="preserve"> </w:t>
      </w:r>
      <w:r w:rsidR="00EB0A13" w:rsidRPr="005A6267">
        <w:rPr>
          <w:rFonts w:ascii="Times New Roman" w:eastAsia="Times New Roman" w:hAnsi="Times New Roman" w:cs="Times New Roman"/>
          <w:sz w:val="24"/>
          <w:szCs w:val="24"/>
          <w:lang w:eastAsia="en-IN"/>
        </w:rPr>
        <w:t xml:space="preserve">(Charlson et al, 2016). </w:t>
      </w:r>
      <w:r w:rsidRPr="005A6267">
        <w:rPr>
          <w:rFonts w:ascii="Times New Roman" w:eastAsia="Times New Roman" w:hAnsi="Times New Roman" w:cs="Times New Roman"/>
          <w:sz w:val="24"/>
          <w:szCs w:val="24"/>
          <w:lang w:eastAsia="en-IN"/>
        </w:rPr>
        <w:t>According to current estimates, 20 to 30 million persons in India suffer from neurological illnesses, with incidence rates that range from 967 to</w:t>
      </w:r>
      <w:r w:rsidR="0093111D">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 xml:space="preserve">4,070 per 100,000 people </w:t>
      </w:r>
      <w:r w:rsidR="00EB0A13" w:rsidRPr="005A6267">
        <w:rPr>
          <w:rFonts w:ascii="Times New Roman" w:eastAsia="Times New Roman" w:hAnsi="Times New Roman" w:cs="Times New Roman"/>
          <w:sz w:val="24"/>
          <w:szCs w:val="24"/>
          <w:lang w:eastAsia="en-IN"/>
        </w:rPr>
        <w:t>(Gourie-Devi, 2014)</w:t>
      </w:r>
      <w:r w:rsidRPr="005A6267">
        <w:rPr>
          <w:rFonts w:ascii="Times New Roman" w:eastAsia="Times New Roman" w:hAnsi="Times New Roman" w:cs="Times New Roman"/>
          <w:sz w:val="24"/>
          <w:szCs w:val="24"/>
          <w:lang w:eastAsia="en-IN"/>
        </w:rPr>
        <w:t>.</w:t>
      </w:r>
    </w:p>
    <w:p w:rsidR="00CE2F55" w:rsidRDefault="00CE2F55">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br w:type="page"/>
      </w:r>
    </w:p>
    <w:p w:rsidR="00CE2F55" w:rsidRPr="00CE2F55" w:rsidRDefault="00CE2F55" w:rsidP="00CE2F55">
      <w:pPr>
        <w:spacing w:before="100" w:beforeAutospacing="1" w:after="100" w:afterAutospacing="1" w:line="240" w:lineRule="auto"/>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 xml:space="preserve">Figure </w:t>
      </w:r>
      <w:r w:rsidRPr="005A6267">
        <w:rPr>
          <w:rFonts w:ascii="Times New Roman" w:eastAsia="Times New Roman" w:hAnsi="Times New Roman" w:cs="Times New Roman"/>
          <w:b/>
          <w:sz w:val="24"/>
          <w:szCs w:val="24"/>
          <w:lang w:eastAsia="en-IN"/>
        </w:rPr>
        <w:t>1</w:t>
      </w:r>
      <w:r>
        <w:rPr>
          <w:rFonts w:ascii="Times New Roman" w:eastAsia="Times New Roman" w:hAnsi="Times New Roman" w:cs="Times New Roman"/>
          <w:b/>
          <w:sz w:val="24"/>
          <w:szCs w:val="24"/>
          <w:lang w:eastAsia="en-IN"/>
        </w:rPr>
        <w:t>:</w:t>
      </w:r>
      <w:r w:rsidRPr="005A6267">
        <w:rPr>
          <w:rFonts w:ascii="Times New Roman" w:eastAsia="Times New Roman" w:hAnsi="Times New Roman" w:cs="Times New Roman"/>
          <w:b/>
          <w:sz w:val="24"/>
          <w:szCs w:val="24"/>
          <w:lang w:eastAsia="en-IN"/>
        </w:rPr>
        <w:t xml:space="preserve"> Factors Respons</w:t>
      </w:r>
      <w:r>
        <w:rPr>
          <w:rFonts w:ascii="Times New Roman" w:eastAsia="Times New Roman" w:hAnsi="Times New Roman" w:cs="Times New Roman"/>
          <w:b/>
          <w:sz w:val="24"/>
          <w:szCs w:val="24"/>
          <w:lang w:eastAsia="en-IN"/>
        </w:rPr>
        <w:t>ible for Neurological Disorders</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noProof/>
          <w:sz w:val="24"/>
          <w:szCs w:val="24"/>
          <w:lang w:eastAsia="en-IN"/>
        </w:rPr>
        <w:drawing>
          <wp:inline distT="0" distB="0" distL="0" distR="0" wp14:anchorId="3F1C2AE3" wp14:editId="36A6136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rological Disorder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91532" w:rsidRPr="005A6267" w:rsidRDefault="006F1C79" w:rsidP="0093111D">
      <w:pPr>
        <w:spacing w:line="240" w:lineRule="auto"/>
        <w:jc w:val="both"/>
        <w:rPr>
          <w:rFonts w:ascii="Times New Roman" w:hAnsi="Times New Roman" w:cs="Times New Roman"/>
          <w:sz w:val="24"/>
          <w:szCs w:val="24"/>
          <w:bdr w:val="single" w:sz="2" w:space="0" w:color="auto" w:frame="1"/>
        </w:rPr>
      </w:pPr>
      <w:r w:rsidRPr="005A6267">
        <w:rPr>
          <w:rFonts w:ascii="Times New Roman" w:eastAsia="Times New Roman" w:hAnsi="Times New Roman" w:cs="Times New Roman"/>
          <w:sz w:val="24"/>
          <w:szCs w:val="24"/>
          <w:lang w:eastAsia="en-IN"/>
        </w:rPr>
        <w:t xml:space="preserve">Distribution of neurological disorders in India is characterized by a significant distinction between metropolitan and non-metropolitan regions of the country. </w:t>
      </w:r>
      <w:r w:rsidR="00210892" w:rsidRPr="005A6267">
        <w:rPr>
          <w:rFonts w:ascii="Times New Roman" w:hAnsi="Times New Roman" w:cs="Times New Roman"/>
          <w:sz w:val="24"/>
          <w:szCs w:val="24"/>
        </w:rPr>
        <w:t>A metropolitan region represents a significantly broader spatial construct than the metropolitan area, encompassing a diverse set of urban, semi-urban, and rural territories that together form an extended functional system, including the metropolitan area itself, nearby towns, satellite cities, growth centres, peri-urban transition zones, logistics corridors, industrial clusters, and rural hinterlands economically connected to the core city.</w:t>
      </w:r>
    </w:p>
    <w:p w:rsidR="00210892" w:rsidRPr="005A6267" w:rsidRDefault="00210892" w:rsidP="0093111D">
      <w:pPr>
        <w:spacing w:line="240" w:lineRule="auto"/>
        <w:jc w:val="both"/>
        <w:rPr>
          <w:rFonts w:ascii="Times New Roman" w:hAnsi="Times New Roman" w:cs="Times New Roman"/>
          <w:sz w:val="24"/>
          <w:szCs w:val="24"/>
          <w:shd w:val="clear" w:color="auto" w:fill="FFFFFF"/>
        </w:rPr>
      </w:pPr>
      <w:r w:rsidRPr="005A6267">
        <w:rPr>
          <w:rFonts w:ascii="Times New Roman" w:hAnsi="Times New Roman" w:cs="Times New Roman"/>
          <w:sz w:val="24"/>
          <w:szCs w:val="24"/>
        </w:rPr>
        <w:t>In India, a metropolitan region is a larger geographical, economic, and functional territory that includes the metropolitan area, surrounding peri-urban/semi-urban/rural towns, industrial clusters, satellit</w:t>
      </w:r>
      <w:r w:rsidR="00691532" w:rsidRPr="005A6267">
        <w:rPr>
          <w:rFonts w:ascii="Times New Roman" w:hAnsi="Times New Roman" w:cs="Times New Roman"/>
          <w:sz w:val="24"/>
          <w:szCs w:val="24"/>
        </w:rPr>
        <w:t xml:space="preserve">e towns, and regional corridors </w:t>
      </w:r>
      <w:r w:rsidRPr="005A6267">
        <w:rPr>
          <w:rFonts w:ascii="Times New Roman" w:hAnsi="Times New Roman" w:cs="Times New Roman"/>
          <w:sz w:val="24"/>
          <w:szCs w:val="24"/>
        </w:rPr>
        <w:t>e.g., Delhi NCR spanning Delhi NCT and districts in Haryana, UP, and Rajasthan</w:t>
      </w:r>
      <w:r w:rsidR="006E7736" w:rsidRPr="005A6267">
        <w:rPr>
          <w:rFonts w:ascii="Times New Roman" w:hAnsi="Times New Roman" w:cs="Times New Roman"/>
          <w:sz w:val="24"/>
          <w:szCs w:val="24"/>
        </w:rPr>
        <w:t xml:space="preserve"> </w:t>
      </w:r>
      <w:r w:rsidR="006E7736" w:rsidRPr="005A6267">
        <w:rPr>
          <w:rFonts w:ascii="Times New Roman" w:eastAsia="Times New Roman" w:hAnsi="Times New Roman" w:cs="Times New Roman"/>
          <w:sz w:val="24"/>
          <w:szCs w:val="24"/>
          <w:lang w:eastAsia="en-IN"/>
        </w:rPr>
        <w:t>(Sharma, 2025)</w:t>
      </w:r>
      <w:r w:rsidRPr="005A6267">
        <w:rPr>
          <w:rFonts w:ascii="Times New Roman" w:hAnsi="Times New Roman" w:cs="Times New Roman"/>
          <w:sz w:val="24"/>
          <w:szCs w:val="24"/>
        </w:rPr>
        <w:t>.</w:t>
      </w:r>
      <w:r w:rsidR="00691532" w:rsidRPr="005A6267">
        <w:rPr>
          <w:rFonts w:ascii="Times New Roman" w:hAnsi="Times New Roman" w:cs="Times New Roman"/>
          <w:sz w:val="24"/>
          <w:szCs w:val="24"/>
        </w:rPr>
        <w:t xml:space="preserve"> </w:t>
      </w:r>
      <w:r w:rsidR="00EB123C" w:rsidRPr="005A6267">
        <w:rPr>
          <w:rFonts w:ascii="Times New Roman" w:hAnsi="Times New Roman" w:cs="Times New Roman"/>
          <w:sz w:val="24"/>
          <w:szCs w:val="24"/>
          <w:shd w:val="clear" w:color="auto" w:fill="FFFFFF"/>
        </w:rPr>
        <w:t xml:space="preserve">The term </w:t>
      </w:r>
      <w:r w:rsidR="00691532" w:rsidRPr="005A6267">
        <w:rPr>
          <w:rFonts w:ascii="Times New Roman" w:hAnsi="Times New Roman" w:cs="Times New Roman"/>
          <w:sz w:val="24"/>
          <w:szCs w:val="24"/>
          <w:shd w:val="clear" w:color="auto" w:fill="FFFFFF"/>
        </w:rPr>
        <w:t>"no</w:t>
      </w:r>
      <w:r w:rsidR="00EB123C" w:rsidRPr="005A6267">
        <w:rPr>
          <w:rFonts w:ascii="Times New Roman" w:hAnsi="Times New Roman" w:cs="Times New Roman"/>
          <w:sz w:val="24"/>
          <w:szCs w:val="24"/>
          <w:shd w:val="clear" w:color="auto" w:fill="FFFFFF"/>
        </w:rPr>
        <w:t>n</w:t>
      </w:r>
      <w:r w:rsidR="00EB123C" w:rsidRPr="005A6267">
        <w:rPr>
          <w:rFonts w:ascii="Times New Roman" w:hAnsi="Times New Roman" w:cs="Times New Roman"/>
          <w:sz w:val="24"/>
          <w:szCs w:val="24"/>
          <w:shd w:val="clear" w:color="auto" w:fill="FFFFFF"/>
        </w:rPr>
        <w:noBreakHyphen/>
        <w:t>metropolitan" i</w:t>
      </w:r>
      <w:r w:rsidR="00691532" w:rsidRPr="005A6267">
        <w:rPr>
          <w:rFonts w:ascii="Times New Roman" w:hAnsi="Times New Roman" w:cs="Times New Roman"/>
          <w:sz w:val="24"/>
          <w:szCs w:val="24"/>
          <w:shd w:val="clear" w:color="auto" w:fill="FFFFFF"/>
        </w:rPr>
        <w:t>s generally used for areas outside metropolitan urban agglomerations or statutory metropolitan jurisdictions</w:t>
      </w:r>
      <w:r w:rsidR="00EB123C" w:rsidRPr="005A6267">
        <w:rPr>
          <w:rFonts w:ascii="Times New Roman" w:hAnsi="Times New Roman" w:cs="Times New Roman"/>
          <w:sz w:val="24"/>
          <w:szCs w:val="24"/>
          <w:shd w:val="clear" w:color="auto" w:fill="FFFFFF"/>
        </w:rPr>
        <w:t xml:space="preserve"> </w:t>
      </w:r>
      <w:r w:rsidR="009113A5" w:rsidRPr="005A6267">
        <w:rPr>
          <w:rFonts w:ascii="Times New Roman" w:hAnsi="Times New Roman" w:cs="Times New Roman"/>
          <w:sz w:val="24"/>
          <w:szCs w:val="24"/>
          <w:shd w:val="clear" w:color="auto" w:fill="FFFFFF"/>
        </w:rPr>
        <w:t xml:space="preserve">that are economically not connected to the city </w:t>
      </w:r>
      <w:r w:rsidR="00EB123C" w:rsidRPr="005A6267">
        <w:rPr>
          <w:rFonts w:ascii="Times New Roman" w:hAnsi="Times New Roman" w:cs="Times New Roman"/>
          <w:sz w:val="24"/>
          <w:szCs w:val="24"/>
        </w:rPr>
        <w:t>(Balk et al., 2019)</w:t>
      </w:r>
      <w:r w:rsidR="00691532" w:rsidRPr="005A6267">
        <w:rPr>
          <w:rFonts w:ascii="Times New Roman" w:hAnsi="Times New Roman" w:cs="Times New Roman"/>
          <w:sz w:val="24"/>
          <w:szCs w:val="24"/>
          <w:shd w:val="clear" w:color="auto" w:fill="FFFFFF"/>
        </w:rPr>
        <w:t>.</w:t>
      </w:r>
    </w:p>
    <w:p w:rsidR="00CE2F55" w:rsidRPr="002E0D37" w:rsidRDefault="00CE2F55" w:rsidP="00CE2F55">
      <w:pPr>
        <w:spacing w:before="100" w:beforeAutospacing="1" w:after="100" w:afterAutospacing="1" w:line="240" w:lineRule="auto"/>
        <w:jc w:val="center"/>
        <w:rPr>
          <w:rFonts w:ascii="Times New Roman" w:eastAsia="Times New Roman" w:hAnsi="Times New Roman" w:cs="Times New Roman"/>
          <w:b/>
          <w:szCs w:val="24"/>
          <w:lang w:eastAsia="en-IN"/>
        </w:rPr>
      </w:pPr>
      <w:r w:rsidRPr="002E0D37">
        <w:rPr>
          <w:rFonts w:ascii="Times New Roman" w:hAnsi="Times New Roman" w:cs="Times New Roman"/>
          <w:b/>
          <w:sz w:val="24"/>
          <w:szCs w:val="26"/>
        </w:rPr>
        <w:t>Fig</w:t>
      </w:r>
      <w:r>
        <w:rPr>
          <w:rFonts w:ascii="Times New Roman" w:hAnsi="Times New Roman" w:cs="Times New Roman"/>
          <w:b/>
          <w:sz w:val="24"/>
          <w:szCs w:val="26"/>
        </w:rPr>
        <w:t>ure 2:</w:t>
      </w:r>
      <w:r w:rsidRPr="002E0D37">
        <w:rPr>
          <w:rFonts w:ascii="Times New Roman" w:hAnsi="Times New Roman" w:cs="Times New Roman"/>
          <w:b/>
          <w:sz w:val="24"/>
          <w:szCs w:val="26"/>
        </w:rPr>
        <w:t xml:space="preserve"> Components of a metropolitan region (Sharma,2025)</w:t>
      </w:r>
    </w:p>
    <w:p w:rsidR="009113A5" w:rsidRPr="005A6267" w:rsidRDefault="00B575F6" w:rsidP="00AF7DB1">
      <w:pPr>
        <w:spacing w:line="240" w:lineRule="auto"/>
        <w:rPr>
          <w:rFonts w:ascii="Times New Roman" w:hAnsi="Times New Roman" w:cs="Times New Roman"/>
          <w:sz w:val="24"/>
          <w:szCs w:val="24"/>
          <w:shd w:val="clear" w:color="auto" w:fill="FFFFFF"/>
        </w:rPr>
      </w:pPr>
      <w:r w:rsidRPr="005A6267">
        <w:rPr>
          <w:rFonts w:ascii="Times New Roman" w:hAnsi="Times New Roman" w:cs="Times New Roman"/>
          <w:noProof/>
          <w:sz w:val="26"/>
          <w:szCs w:val="26"/>
          <w:lang w:eastAsia="en-IN"/>
        </w:rPr>
        <mc:AlternateContent>
          <mc:Choice Requires="wps">
            <w:drawing>
              <wp:anchor distT="0" distB="0" distL="114300" distR="114300" simplePos="0" relativeHeight="251670528" behindDoc="0" locked="0" layoutInCell="1" allowOverlap="1" wp14:anchorId="1C43B841" wp14:editId="6D005AEB">
                <wp:simplePos x="0" y="0"/>
                <wp:positionH relativeFrom="column">
                  <wp:posOffset>2127427</wp:posOffset>
                </wp:positionH>
                <wp:positionV relativeFrom="paragraph">
                  <wp:posOffset>69702</wp:posOffset>
                </wp:positionV>
                <wp:extent cx="2061713" cy="905774"/>
                <wp:effectExtent l="0" t="0" r="15240" b="27940"/>
                <wp:wrapNone/>
                <wp:docPr id="46" name="Oval 46"/>
                <wp:cNvGraphicFramePr/>
                <a:graphic xmlns:a="http://schemas.openxmlformats.org/drawingml/2006/main">
                  <a:graphicData uri="http://schemas.microsoft.com/office/word/2010/wordprocessingShape">
                    <wps:wsp>
                      <wps:cNvSpPr/>
                      <wps:spPr>
                        <a:xfrm>
                          <a:off x="0" y="0"/>
                          <a:ext cx="2061713" cy="9057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54E2" w:rsidRPr="00940049" w:rsidRDefault="002154E2" w:rsidP="00691532">
                            <w:pPr>
                              <w:jc w:val="center"/>
                              <w:rPr>
                                <w:rFonts w:ascii="Times New Roman" w:hAnsi="Times New Roman" w:cs="Times New Roman"/>
                                <w:b/>
                                <w:color w:val="000000" w:themeColor="text1"/>
                                <w:sz w:val="24"/>
                                <w:lang w:val="en-US"/>
                              </w:rPr>
                            </w:pPr>
                            <w:r w:rsidRPr="00940049">
                              <w:rPr>
                                <w:rFonts w:ascii="Times New Roman" w:hAnsi="Times New Roman" w:cs="Times New Roman"/>
                                <w:b/>
                                <w:color w:val="000000" w:themeColor="text1"/>
                                <w:sz w:val="24"/>
                                <w:lang w:val="en-US"/>
                              </w:rPr>
                              <w:t>Metropolitan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3B841" id="Oval 46" o:spid="_x0000_s1026" style="position:absolute;margin-left:167.5pt;margin-top:5.5pt;width:162.35pt;height:7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" fillcolor="#5b9bd5 [3204]" strokecolor="#1f4d78 [1604]" strokeweight="1pt">
                <v:stroke joinstyle="miter"/>
                <v:textbox>
                  <w:txbxContent>
                    <w:p w:rsidR="002154E2" w:rsidRPr="00940049" w:rsidRDefault="002154E2" w:rsidP="00691532">
                      <w:pPr>
                        <w:jc w:val="center"/>
                        <w:rPr>
                          <w:rFonts w:ascii="Times New Roman" w:hAnsi="Times New Roman" w:cs="Times New Roman"/>
                          <w:b/>
                          <w:color w:val="000000" w:themeColor="text1"/>
                          <w:sz w:val="24"/>
                          <w:lang w:val="en-US"/>
                        </w:rPr>
                      </w:pPr>
                      <w:r w:rsidRPr="00940049">
                        <w:rPr>
                          <w:rFonts w:ascii="Times New Roman" w:hAnsi="Times New Roman" w:cs="Times New Roman"/>
                          <w:b/>
                          <w:color w:val="000000" w:themeColor="text1"/>
                          <w:sz w:val="24"/>
                          <w:lang w:val="en-US"/>
                        </w:rPr>
                        <w:t>Metropolitan Region</w:t>
                      </w:r>
                    </w:p>
                  </w:txbxContent>
                </v:textbox>
              </v:oval>
            </w:pict>
          </mc:Fallback>
        </mc:AlternateContent>
      </w:r>
    </w:p>
    <w:p w:rsidR="00691532" w:rsidRPr="005A6267" w:rsidRDefault="00691532" w:rsidP="00AF7DB1">
      <w:pPr>
        <w:spacing w:line="240" w:lineRule="auto"/>
        <w:rPr>
          <w:rFonts w:ascii="Times New Roman" w:hAnsi="Times New Roman" w:cs="Times New Roman"/>
          <w:shd w:val="clear" w:color="auto" w:fill="FFFFFF"/>
        </w:rPr>
      </w:pPr>
    </w:p>
    <w:p w:rsidR="00691532" w:rsidRPr="005A6267" w:rsidRDefault="00B575F6" w:rsidP="00AF7DB1">
      <w:pPr>
        <w:spacing w:line="240" w:lineRule="auto"/>
        <w:rPr>
          <w:rFonts w:ascii="Times New Roman" w:hAnsi="Times New Roman" w:cs="Times New Roman"/>
          <w:sz w:val="24"/>
          <w:szCs w:val="24"/>
          <w:bdr w:val="single" w:sz="2" w:space="0" w:color="auto" w:frame="1"/>
        </w:rPr>
      </w:pPr>
      <w:r w:rsidRPr="005A6267">
        <w:rPr>
          <w:rFonts w:ascii="Times New Roman" w:hAnsi="Times New Roman" w:cs="Times New Roman"/>
          <w:noProof/>
          <w:lang w:eastAsia="en-IN"/>
        </w:rPr>
        <mc:AlternateContent>
          <mc:Choice Requires="wps">
            <w:drawing>
              <wp:anchor distT="0" distB="0" distL="114300" distR="114300" simplePos="0" relativeHeight="251667456" behindDoc="0" locked="0" layoutInCell="1" allowOverlap="1" wp14:anchorId="41ACEA3F" wp14:editId="21A35CEA">
                <wp:simplePos x="0" y="0"/>
                <wp:positionH relativeFrom="column">
                  <wp:posOffset>3878211</wp:posOffset>
                </wp:positionH>
                <wp:positionV relativeFrom="paragraph">
                  <wp:posOffset>238273</wp:posOffset>
                </wp:positionV>
                <wp:extent cx="733646" cy="414669"/>
                <wp:effectExtent l="19050" t="19050" r="66675" b="42545"/>
                <wp:wrapNone/>
                <wp:docPr id="27" name="Straight Arrow Connector 27"/>
                <wp:cNvGraphicFramePr/>
                <a:graphic xmlns:a="http://schemas.openxmlformats.org/drawingml/2006/main">
                  <a:graphicData uri="http://schemas.microsoft.com/office/word/2010/wordprocessingShape">
                    <wps:wsp>
                      <wps:cNvCnPr/>
                      <wps:spPr>
                        <a:xfrm>
                          <a:off x="0" y="0"/>
                          <a:ext cx="733646" cy="4146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80D794" id="_x0000_t32" coordsize="21600,21600" o:spt="32" o:oned="t" path="m,l21600,21600e" filled="f">
                <v:path arrowok="t" fillok="f" o:connecttype="none"/>
                <o:lock v:ext="edit" shapetype="t"/>
              </v:shapetype>
              <v:shape id="Straight Arrow Connector 27" o:spid="_x0000_s1026" type="#_x0000_t32" style="position:absolute;margin-left:305.35pt;margin-top:18.75pt;width:57.75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" strokecolor="#5b9bd5 [3204]" strokeweight="3pt">
                <v:stroke endarrow="block" joinstyle="miter"/>
              </v:shape>
            </w:pict>
          </mc:Fallback>
        </mc:AlternateContent>
      </w:r>
      <w:r w:rsidRPr="005A6267">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13303150" wp14:editId="3AE0754C">
                <wp:simplePos x="0" y="0"/>
                <wp:positionH relativeFrom="column">
                  <wp:posOffset>3208655</wp:posOffset>
                </wp:positionH>
                <wp:positionV relativeFrom="paragraph">
                  <wp:posOffset>143155</wp:posOffset>
                </wp:positionV>
                <wp:extent cx="8627" cy="560717"/>
                <wp:effectExtent l="95250" t="19050" r="67945" b="48895"/>
                <wp:wrapNone/>
                <wp:docPr id="47" name="Straight Arrow Connector 47"/>
                <wp:cNvGraphicFramePr/>
                <a:graphic xmlns:a="http://schemas.openxmlformats.org/drawingml/2006/main">
                  <a:graphicData uri="http://schemas.microsoft.com/office/word/2010/wordprocessingShape">
                    <wps:wsp>
                      <wps:cNvCnPr/>
                      <wps:spPr>
                        <a:xfrm>
                          <a:off x="0" y="0"/>
                          <a:ext cx="8627" cy="5607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0A09D" id="Straight Arrow Connector 47" o:spid="_x0000_s1026" type="#_x0000_t32" style="position:absolute;margin-left:252.65pt;margin-top:11.25pt;width:.7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" strokecolor="#5b9bd5 [3204]" strokeweight="3pt">
                <v:stroke endarrow="block" joinstyle="miter"/>
              </v:shape>
            </w:pict>
          </mc:Fallback>
        </mc:AlternateContent>
      </w:r>
    </w:p>
    <w:p w:rsidR="00691532" w:rsidRPr="005A6267" w:rsidRDefault="00B575F6" w:rsidP="00AF7DB1">
      <w:pPr>
        <w:spacing w:before="100" w:beforeAutospacing="1" w:after="100" w:afterAutospacing="1" w:line="240" w:lineRule="auto"/>
        <w:rPr>
          <w:rFonts w:ascii="Times New Roman" w:hAnsi="Times New Roman" w:cs="Times New Roman"/>
          <w:sz w:val="26"/>
          <w:szCs w:val="26"/>
        </w:rPr>
      </w:pPr>
      <w:r w:rsidRPr="005A6267">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5000B708" wp14:editId="467A8041">
                <wp:simplePos x="0" y="0"/>
                <wp:positionH relativeFrom="margin">
                  <wp:posOffset>4276946</wp:posOffset>
                </wp:positionH>
                <wp:positionV relativeFrom="paragraph">
                  <wp:posOffset>427990</wp:posOffset>
                </wp:positionV>
                <wp:extent cx="1975449" cy="776378"/>
                <wp:effectExtent l="0" t="0" r="25400" b="24130"/>
                <wp:wrapNone/>
                <wp:docPr id="22" name="Rounded Rectangle 22"/>
                <wp:cNvGraphicFramePr/>
                <a:graphic xmlns:a="http://schemas.openxmlformats.org/drawingml/2006/main">
                  <a:graphicData uri="http://schemas.microsoft.com/office/word/2010/wordprocessingShape">
                    <wps:wsp>
                      <wps:cNvSpPr/>
                      <wps:spPr>
                        <a:xfrm>
                          <a:off x="0" y="0"/>
                          <a:ext cx="1975449" cy="7763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54E2" w:rsidRPr="00940049" w:rsidRDefault="002154E2" w:rsidP="00963482">
                            <w:pPr>
                              <w:spacing w:before="100" w:beforeAutospacing="1" w:after="100" w:afterAutospacing="1" w:line="276" w:lineRule="auto"/>
                              <w:jc w:val="center"/>
                              <w:rPr>
                                <w:rFonts w:ascii="Times New Roman" w:hAnsi="Times New Roman" w:cs="Times New Roman"/>
                                <w:b/>
                                <w:color w:val="000000" w:themeColor="text1"/>
                                <w:sz w:val="20"/>
                              </w:rPr>
                            </w:pPr>
                            <w:r w:rsidRPr="00940049">
                              <w:rPr>
                                <w:rFonts w:ascii="Times New Roman" w:hAnsi="Times New Roman" w:cs="Times New Roman"/>
                                <w:b/>
                                <w:color w:val="000000" w:themeColor="text1"/>
                                <w:sz w:val="24"/>
                                <w:szCs w:val="26"/>
                              </w:rPr>
                              <w:t>Rural hinterlands that are economically connected to the city.</w:t>
                            </w:r>
                          </w:p>
                          <w:p w:rsidR="002154E2" w:rsidRPr="00963482" w:rsidRDefault="002154E2" w:rsidP="00963482">
                            <w:pPr>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0B708" id="Rounded Rectangle 22" o:spid="_x0000_s1027" style="position:absolute;margin-left:336.75pt;margin-top:33.7pt;width:155.55pt;height:6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" fillcolor="#5b9bd5 [3204]" strokecolor="#1f4d78 [1604]" strokeweight="1pt">
                <v:stroke joinstyle="miter"/>
                <v:textbox>
                  <w:txbxContent>
                    <w:p w:rsidR="002154E2" w:rsidRPr="00940049" w:rsidRDefault="002154E2" w:rsidP="00963482">
                      <w:pPr>
                        <w:spacing w:before="100" w:beforeAutospacing="1" w:after="100" w:afterAutospacing="1" w:line="276" w:lineRule="auto"/>
                        <w:jc w:val="center"/>
                        <w:rPr>
                          <w:rFonts w:ascii="Times New Roman" w:hAnsi="Times New Roman" w:cs="Times New Roman"/>
                          <w:b/>
                          <w:color w:val="000000" w:themeColor="text1"/>
                          <w:sz w:val="20"/>
                        </w:rPr>
                      </w:pPr>
                      <w:r w:rsidRPr="00940049">
                        <w:rPr>
                          <w:rFonts w:ascii="Times New Roman" w:hAnsi="Times New Roman" w:cs="Times New Roman"/>
                          <w:b/>
                          <w:color w:val="000000" w:themeColor="text1"/>
                          <w:sz w:val="24"/>
                          <w:szCs w:val="26"/>
                        </w:rPr>
                        <w:t>Rural hinterlands that are economically connected to the city.</w:t>
                      </w:r>
                    </w:p>
                    <w:p w:rsidR="002154E2" w:rsidRPr="00963482" w:rsidRDefault="002154E2" w:rsidP="00963482">
                      <w:pPr>
                        <w:jc w:val="center"/>
                        <w:rPr>
                          <w:rFonts w:ascii="Times New Roman" w:hAnsi="Times New Roman" w:cs="Times New Roman"/>
                          <w:sz w:val="20"/>
                        </w:rPr>
                      </w:pPr>
                    </w:p>
                  </w:txbxContent>
                </v:textbox>
                <w10:wrap anchorx="margin"/>
              </v:roundrect>
            </w:pict>
          </mc:Fallback>
        </mc:AlternateContent>
      </w:r>
      <w:r w:rsidRPr="005A6267">
        <w:rPr>
          <w:rFonts w:ascii="Times New Roman" w:hAnsi="Times New Roman" w:cs="Times New Roman"/>
          <w:noProof/>
          <w:lang w:eastAsia="en-IN"/>
        </w:rPr>
        <mc:AlternateContent>
          <mc:Choice Requires="wps">
            <w:drawing>
              <wp:anchor distT="0" distB="0" distL="114300" distR="114300" simplePos="0" relativeHeight="251660288" behindDoc="0" locked="0" layoutInCell="1" allowOverlap="1" wp14:anchorId="649708FD" wp14:editId="1140C7C7">
                <wp:simplePos x="0" y="0"/>
                <wp:positionH relativeFrom="column">
                  <wp:posOffset>1879290</wp:posOffset>
                </wp:positionH>
                <wp:positionV relativeFrom="paragraph">
                  <wp:posOffset>14576</wp:posOffset>
                </wp:positionV>
                <wp:extent cx="542260" cy="411466"/>
                <wp:effectExtent l="38100" t="19050" r="29845" b="46355"/>
                <wp:wrapNone/>
                <wp:docPr id="14" name="Straight Arrow Connector 14"/>
                <wp:cNvGraphicFramePr/>
                <a:graphic xmlns:a="http://schemas.openxmlformats.org/drawingml/2006/main">
                  <a:graphicData uri="http://schemas.microsoft.com/office/word/2010/wordprocessingShape">
                    <wps:wsp>
                      <wps:cNvCnPr/>
                      <wps:spPr>
                        <a:xfrm flipH="1">
                          <a:off x="0" y="0"/>
                          <a:ext cx="542260" cy="41146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04E32" id="Straight Arrow Connector 14" o:spid="_x0000_s1026" type="#_x0000_t32" style="position:absolute;margin-left:148pt;margin-top:1.15pt;width:42.7pt;height:32.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" strokecolor="#5b9bd5 [3204]" strokeweight="3pt">
                <v:stroke endarrow="block" joinstyle="miter"/>
              </v:shape>
            </w:pict>
          </mc:Fallback>
        </mc:AlternateContent>
      </w:r>
    </w:p>
    <w:p w:rsidR="00963482" w:rsidRPr="005A6267" w:rsidRDefault="00B575F6" w:rsidP="00AF7DB1">
      <w:pPr>
        <w:spacing w:before="100" w:beforeAutospacing="1" w:after="100" w:afterAutospacing="1" w:line="240" w:lineRule="auto"/>
        <w:rPr>
          <w:rFonts w:ascii="Times New Roman" w:hAnsi="Times New Roman" w:cs="Times New Roman"/>
          <w:sz w:val="26"/>
          <w:szCs w:val="26"/>
          <w:highlight w:val="yellow"/>
        </w:rPr>
      </w:pPr>
      <w:r w:rsidRPr="005A6267">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7D3CC60D" wp14:editId="1F86D9BC">
                <wp:simplePos x="0" y="0"/>
                <wp:positionH relativeFrom="margin">
                  <wp:posOffset>403476</wp:posOffset>
                </wp:positionH>
                <wp:positionV relativeFrom="paragraph">
                  <wp:posOffset>6350</wp:posOffset>
                </wp:positionV>
                <wp:extent cx="1706880" cy="815030"/>
                <wp:effectExtent l="0" t="0" r="26670" b="23495"/>
                <wp:wrapNone/>
                <wp:docPr id="17" name="Rounded Rectangle 17"/>
                <wp:cNvGraphicFramePr/>
                <a:graphic xmlns:a="http://schemas.openxmlformats.org/drawingml/2006/main">
                  <a:graphicData uri="http://schemas.microsoft.com/office/word/2010/wordprocessingShape">
                    <wps:wsp>
                      <wps:cNvSpPr/>
                      <wps:spPr>
                        <a:xfrm>
                          <a:off x="0" y="0"/>
                          <a:ext cx="1706880" cy="815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54E2" w:rsidRPr="00940049" w:rsidRDefault="002154E2" w:rsidP="00963482">
                            <w:pPr>
                              <w:jc w:val="center"/>
                              <w:rPr>
                                <w:rFonts w:ascii="Times New Roman" w:hAnsi="Times New Roman" w:cs="Times New Roman"/>
                                <w:b/>
                                <w:color w:val="000000" w:themeColor="text1"/>
                                <w:sz w:val="24"/>
                                <w:szCs w:val="24"/>
                              </w:rPr>
                            </w:pPr>
                            <w:r w:rsidRPr="00940049">
                              <w:rPr>
                                <w:rFonts w:ascii="Times New Roman" w:hAnsi="Times New Roman" w:cs="Times New Roman"/>
                                <w:b/>
                                <w:color w:val="000000" w:themeColor="text1"/>
                                <w:sz w:val="24"/>
                                <w:szCs w:val="24"/>
                              </w:rPr>
                              <w:t>The metropolitan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CC60D" id="Rounded Rectangle 17" o:spid="_x0000_s1028" style="position:absolute;margin-left:31.75pt;margin-top:.5pt;width:134.4pt;height:6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" fillcolor="#5b9bd5 [3204]" strokecolor="#1f4d78 [1604]" strokeweight="1pt">
                <v:stroke joinstyle="miter"/>
                <v:textbox>
                  <w:txbxContent>
                    <w:p w:rsidR="002154E2" w:rsidRPr="00940049" w:rsidRDefault="002154E2" w:rsidP="00963482">
                      <w:pPr>
                        <w:jc w:val="center"/>
                        <w:rPr>
                          <w:rFonts w:ascii="Times New Roman" w:hAnsi="Times New Roman" w:cs="Times New Roman"/>
                          <w:b/>
                          <w:color w:val="000000" w:themeColor="text1"/>
                          <w:sz w:val="24"/>
                          <w:szCs w:val="24"/>
                        </w:rPr>
                      </w:pPr>
                      <w:r w:rsidRPr="00940049">
                        <w:rPr>
                          <w:rFonts w:ascii="Times New Roman" w:hAnsi="Times New Roman" w:cs="Times New Roman"/>
                          <w:b/>
                          <w:color w:val="000000" w:themeColor="text1"/>
                          <w:sz w:val="24"/>
                          <w:szCs w:val="24"/>
                        </w:rPr>
                        <w:t>The metropolitan area</w:t>
                      </w:r>
                    </w:p>
                  </w:txbxContent>
                </v:textbox>
                <w10:wrap anchorx="margin"/>
              </v:roundrect>
            </w:pict>
          </mc:Fallback>
        </mc:AlternateContent>
      </w:r>
      <w:r w:rsidRPr="005A6267">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135BC243" wp14:editId="42384A53">
                <wp:simplePos x="0" y="0"/>
                <wp:positionH relativeFrom="margin">
                  <wp:posOffset>2385828</wp:posOffset>
                </wp:positionH>
                <wp:positionV relativeFrom="paragraph">
                  <wp:posOffset>8255</wp:posOffset>
                </wp:positionV>
                <wp:extent cx="1570008" cy="819510"/>
                <wp:effectExtent l="0" t="0" r="11430" b="19050"/>
                <wp:wrapNone/>
                <wp:docPr id="18" name="Rounded Rectangle 18"/>
                <wp:cNvGraphicFramePr/>
                <a:graphic xmlns:a="http://schemas.openxmlformats.org/drawingml/2006/main">
                  <a:graphicData uri="http://schemas.microsoft.com/office/word/2010/wordprocessingShape">
                    <wps:wsp>
                      <wps:cNvSpPr/>
                      <wps:spPr>
                        <a:xfrm>
                          <a:off x="0" y="0"/>
                          <a:ext cx="1570008" cy="8195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54E2" w:rsidRPr="00940049" w:rsidRDefault="002154E2" w:rsidP="00963482">
                            <w:pPr>
                              <w:jc w:val="center"/>
                              <w:rPr>
                                <w:rFonts w:ascii="Times New Roman" w:hAnsi="Times New Roman" w:cs="Times New Roman"/>
                                <w:b/>
                                <w:color w:val="000000" w:themeColor="text1"/>
                              </w:rPr>
                            </w:pPr>
                            <w:r w:rsidRPr="00940049">
                              <w:rPr>
                                <w:rFonts w:ascii="Times New Roman" w:hAnsi="Times New Roman" w:cs="Times New Roman"/>
                                <w:b/>
                                <w:color w:val="000000" w:themeColor="text1"/>
                                <w:sz w:val="24"/>
                                <w:szCs w:val="26"/>
                              </w:rPr>
                              <w:t>Nearby towns, satellite cities, and growth centres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BC243" id="Rounded Rectangle 18" o:spid="_x0000_s1029" style="position:absolute;margin-left:187.85pt;margin-top:.65pt;width:123.6pt;height:64.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" fillcolor="#5b9bd5 [3204]" strokecolor="#1f4d78 [1604]" strokeweight="1pt">
                <v:stroke joinstyle="miter"/>
                <v:textbox>
                  <w:txbxContent>
                    <w:p w:rsidR="002154E2" w:rsidRPr="00940049" w:rsidRDefault="002154E2" w:rsidP="00963482">
                      <w:pPr>
                        <w:jc w:val="center"/>
                        <w:rPr>
                          <w:rFonts w:ascii="Times New Roman" w:hAnsi="Times New Roman" w:cs="Times New Roman"/>
                          <w:b/>
                          <w:color w:val="000000" w:themeColor="text1"/>
                        </w:rPr>
                      </w:pPr>
                      <w:r w:rsidRPr="00940049">
                        <w:rPr>
                          <w:rFonts w:ascii="Times New Roman" w:hAnsi="Times New Roman" w:cs="Times New Roman"/>
                          <w:b/>
                          <w:color w:val="000000" w:themeColor="text1"/>
                          <w:sz w:val="24"/>
                          <w:szCs w:val="26"/>
                        </w:rPr>
                        <w:t>Nearby towns, satellite cities, and growth centres</w:t>
                      </w:r>
                    </w:p>
                  </w:txbxContent>
                </v:textbox>
                <w10:wrap anchorx="margin"/>
              </v:roundrect>
            </w:pict>
          </mc:Fallback>
        </mc:AlternateContent>
      </w:r>
      <w:r w:rsidR="00210892" w:rsidRPr="005A6267">
        <w:rPr>
          <w:rFonts w:ascii="Times New Roman" w:hAnsi="Times New Roman" w:cs="Times New Roman"/>
          <w:bdr w:val="single" w:sz="2" w:space="0" w:color="auto" w:frame="1"/>
        </w:rPr>
        <w:br/>
      </w:r>
    </w:p>
    <w:p w:rsidR="00691532" w:rsidRPr="005A6267" w:rsidRDefault="00691532" w:rsidP="00AF7DB1">
      <w:pPr>
        <w:spacing w:before="100" w:beforeAutospacing="1" w:after="100" w:afterAutospacing="1" w:line="240" w:lineRule="auto"/>
        <w:rPr>
          <w:rFonts w:ascii="Times New Roman" w:hAnsi="Times New Roman" w:cs="Times New Roman"/>
          <w:sz w:val="26"/>
          <w:szCs w:val="26"/>
          <w:highlight w:val="yellow"/>
        </w:rPr>
      </w:pP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This distinction reflects environmental exposures, lifestyle, access to health care, correct diagnosis and the socio-economic realities of both regions. Neurodegenerative and stress-related disorders like dementia, Alzheimer's disease, Parkinson's disease, migraine, stroke are said to have more metropolitan representation. This trend is in significant part due to longer life expectancy, greater survival from other chronic diseases and the cumulative effect of conditions in the urban environment. Chronic exposure to air and noise pollution, circadian rhythm disruptions from work in different shifts and high stress levels promote oxidative damage and neuro-inflammatory pathways, leading urban residents to degenerative neurological conditions. For example, exposure </w:t>
      </w:r>
      <w:r w:rsidRPr="005A6267">
        <w:rPr>
          <w:rFonts w:ascii="Times New Roman" w:eastAsia="Times New Roman" w:hAnsi="Times New Roman" w:cs="Times New Roman"/>
          <w:sz w:val="24"/>
          <w:szCs w:val="24"/>
          <w:lang w:eastAsia="en-IN"/>
        </w:rPr>
        <w:lastRenderedPageBreak/>
        <w:t xml:space="preserve">to fine particulate matter (PM </w:t>
      </w:r>
      <w:r w:rsidRPr="005A6267">
        <w:rPr>
          <w:rFonts w:ascii="Times New Roman" w:eastAsia="Times New Roman" w:hAnsi="Times New Roman" w:cs="Times New Roman"/>
          <w:sz w:val="24"/>
          <w:szCs w:val="24"/>
          <w:vertAlign w:val="subscript"/>
          <w:lang w:eastAsia="en-IN"/>
        </w:rPr>
        <w:t>2.5</w:t>
      </w:r>
      <w:r w:rsidRPr="005A6267">
        <w:rPr>
          <w:rFonts w:ascii="Times New Roman" w:eastAsia="Times New Roman" w:hAnsi="Times New Roman" w:cs="Times New Roman"/>
          <w:sz w:val="24"/>
          <w:szCs w:val="24"/>
          <w:lang w:eastAsia="en-IN"/>
        </w:rPr>
        <w:t xml:space="preserve">) in metropolitan regions have been strongly related to an increased frequency of stroke and cognitive impairment, emphasizing the critical influence of environmental factors on neurological health </w:t>
      </w:r>
      <w:r w:rsidR="0098449F" w:rsidRPr="0098449F">
        <w:rPr>
          <w:rFonts w:ascii="Times New Roman" w:eastAsia="Times New Roman" w:hAnsi="Times New Roman" w:cs="Times New Roman"/>
          <w:sz w:val="24"/>
          <w:szCs w:val="24"/>
          <w:lang w:eastAsia="en-IN"/>
        </w:rPr>
        <w:t>(Fu et al., 2018)</w:t>
      </w:r>
      <w:r w:rsidRPr="005A6267">
        <w:rPr>
          <w:rFonts w:ascii="Times New Roman" w:eastAsia="Times New Roman" w:hAnsi="Times New Roman" w:cs="Times New Roman"/>
          <w:sz w:val="24"/>
          <w:szCs w:val="24"/>
          <w:lang w:eastAsia="en-IN"/>
        </w:rPr>
        <w:t xml:space="preserve">. According to the latest data, several non-communicable risk factors of neurological disorders are stress (44% of the population), low physical activity (67%), an unbalanced diet (55%), and obesity (24%). These risk factors are exponentially greater in metropolitan areas, where modern ways of living encourage prolonged sitting, poor food habits, disrupted sleeping and chronic psychological strain. </w:t>
      </w:r>
    </w:p>
    <w:p w:rsidR="006F1C79" w:rsidRPr="005A6267"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In contrast, the neurological disease pattern of non-metropolitan regions of India still reflects the burden of infectious, nutritional and trauma-related conditions. For instance, epilepsy is seen more commonly in non-metropolitan populations because of untreated head injuries often related to agricultural activity or road accidents, perinatal complications and parasitic infections such as neurocysticercosis. Peripheral neuropathies are also common in non-metropolitan communities, where malnutrition, micronutrient deficiencies and exposure to neurotoxic pesticides are common. Stroke is also increasingly recognised in these settings, but unlike in metropolitan areas, the burden in these settings is majorly attributed to uncontrolled hypertension and poor access to timely treatment. This divergence represents the epidemiological transition India is experiencing, where the urban centres are experiencing increasing degenerative disorders and rural parts of the country, belonging to non-metropolitan regions, are still afflicted in their fight against the preventable and infectious neurological conditions.</w:t>
      </w:r>
    </w:p>
    <w:p w:rsidR="004224D8" w:rsidRPr="005A6267"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Another critical factor shaping this divide in India is the difference in healthcare infrastructure and diagnostic capacity. Urban populations in metropolitan areas have the advantage of access to neurologists, tertiary hospitals, and sophisticated imaging technology, which is beneficial for the early detection of disorders like early-onset Parkinson's disease. Conversely, patients from rural areas of the non-metropolitan areas usually come with late stages of diseases because of less awareness, cultural stigma, and inadequate access to specialised care. As a result, the actual amount of neurological diseases in the non-metropolitan areas is likely underestimated. It is a reflection of underdiagnosis, rather than an actual lower disease burden. There are also socioeconomic and occupational patterns that contribute to this differentiation. Urban employment, with its sedentary work, exposure to digital screens and stress in the workplace, predisposes individuals to headaches, insomnia and psychosomatic neuro</w:t>
      </w:r>
      <w:r w:rsidR="00691532" w:rsidRPr="005A6267">
        <w:rPr>
          <w:rFonts w:ascii="Times New Roman" w:eastAsia="Times New Roman" w:hAnsi="Times New Roman" w:cs="Times New Roman"/>
          <w:sz w:val="24"/>
          <w:szCs w:val="24"/>
          <w:lang w:eastAsia="en-IN"/>
        </w:rPr>
        <w:t>logical conditions. In the non-metropolitan</w:t>
      </w:r>
      <w:r w:rsidRPr="005A6267">
        <w:rPr>
          <w:rFonts w:ascii="Times New Roman" w:eastAsia="Times New Roman" w:hAnsi="Times New Roman" w:cs="Times New Roman"/>
          <w:sz w:val="24"/>
          <w:szCs w:val="24"/>
          <w:lang w:eastAsia="en-IN"/>
        </w:rPr>
        <w:t xml:space="preserve"> context, there are exposure risks to traumatic brain injuries, neurotoxicity from pesticides and neuropathies from repetitive stress through manual labour and agricultural practices.</w:t>
      </w:r>
    </w:p>
    <w:p w:rsidR="006F1C79" w:rsidRPr="005A6267"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Combined, these trends help underscore the fact that metropolitan India is moving more towards chronic, degenerative, and lifestyle-related neurological diseases, with a population in non-metropolitan areas still having a greater burden of infectious, nutritional and trauma-related disease. This two-sided epidemiology is the image of the accelerating but uneven health transition in India, with the increase in urban stress and the lack of health care in the countryside. Modern pharmacological therapies are offering relief in the form of the symptoms but in most cases, they fail to ensure prevention of the disease advancement which is associated with its side effects. On the one hand, antiepileptics cause cognitive dulling and L-DOPA is used for treating patients with Parkinson’s disease which causes dyskinesias, an involuntary movement.</w:t>
      </w:r>
    </w:p>
    <w:p w:rsidR="006F1C79" w:rsidRPr="005A6267"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These limitations highlight the need to investigate plant-based therapies, particularly in the Indian context, where Ayurveda and traditional medicine have long emphasised stress reduction and neurological balance. Medicinal plants with adaptogenic, antioxidant, and neuroprotective properties, such as </w:t>
      </w:r>
      <w:r w:rsidRPr="005A6267">
        <w:rPr>
          <w:rFonts w:ascii="Times New Roman" w:eastAsia="Times New Roman" w:hAnsi="Times New Roman" w:cs="Times New Roman"/>
          <w:i/>
          <w:iCs/>
          <w:sz w:val="24"/>
          <w:szCs w:val="24"/>
          <w:lang w:eastAsia="en-IN"/>
        </w:rPr>
        <w:t>Bacopa monnieri</w:t>
      </w:r>
      <w:r w:rsidRPr="005A6267">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i/>
          <w:iCs/>
          <w:sz w:val="24"/>
          <w:szCs w:val="24"/>
          <w:lang w:eastAsia="en-IN"/>
        </w:rPr>
        <w:t>Curcuma longa</w:t>
      </w:r>
      <w:r w:rsidRPr="005A6267">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i/>
          <w:iCs/>
          <w:sz w:val="24"/>
          <w:szCs w:val="24"/>
          <w:lang w:eastAsia="en-IN"/>
        </w:rPr>
        <w:t>Withania somnifera</w:t>
      </w:r>
      <w:r w:rsidRPr="005A6267">
        <w:rPr>
          <w:rFonts w:ascii="Times New Roman" w:eastAsia="Times New Roman" w:hAnsi="Times New Roman" w:cs="Times New Roman"/>
          <w:sz w:val="24"/>
          <w:szCs w:val="24"/>
          <w:lang w:eastAsia="en-IN"/>
        </w:rPr>
        <w:t xml:space="preserve"> and </w:t>
      </w:r>
      <w:r w:rsidRPr="005A6267">
        <w:rPr>
          <w:rFonts w:ascii="Times New Roman" w:eastAsia="Times New Roman" w:hAnsi="Times New Roman" w:cs="Times New Roman"/>
          <w:i/>
          <w:iCs/>
          <w:sz w:val="24"/>
          <w:szCs w:val="24"/>
          <w:lang w:eastAsia="en-IN"/>
        </w:rPr>
        <w:t>Centella asiatica</w:t>
      </w:r>
      <w:r w:rsidRPr="005A6267">
        <w:rPr>
          <w:rFonts w:ascii="Times New Roman" w:eastAsia="Times New Roman" w:hAnsi="Times New Roman" w:cs="Times New Roman"/>
          <w:sz w:val="24"/>
          <w:szCs w:val="24"/>
          <w:lang w:eastAsia="en-IN"/>
        </w:rPr>
        <w:t xml:space="preserve"> have shown promise in mitigating stress pathways while directly targeting neurological pathology. </w:t>
      </w:r>
    </w:p>
    <w:p w:rsidR="006F1C79" w:rsidRPr="005A6267"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The cases of the neurologic conditions are growing around the world. The combined effects of urban stressor and sedentary lifestyle and the neurological risk are peculiar to Indian metropolitan populations, which are now more vulnerable than rural populations, which are either underdiagnosed and untreated. Here, the concept of the combination of plant-based neurotherapeutics and region-specific healthcare is essential to fill the gaps in diagnosis, decrease inequities in treatment, and promote sustainable management of the neurological conditions among diverse populations. In this context, integrating plant-based neurotherapeutics with region-specific healthcare approaches becomes crucial for bridging diagnostic gaps, reducing treatment inequities, and ensuring </w:t>
      </w:r>
      <w:r w:rsidRPr="005A6267">
        <w:rPr>
          <w:rFonts w:ascii="Times New Roman" w:eastAsia="Times New Roman" w:hAnsi="Times New Roman" w:cs="Times New Roman"/>
          <w:sz w:val="24"/>
          <w:szCs w:val="24"/>
          <w:lang w:eastAsia="en-IN"/>
        </w:rPr>
        <w:lastRenderedPageBreak/>
        <w:t xml:space="preserve">sustainable management of neurological disorders across diverse populations. The analogs continue to preserve the core pharmacophores and in addition, have structural variations capable of making them antioxidants, increase blood-brain barrier permeability, or reduce toxicity and serve as a route to more effective and versatile therapy. Their inclusion does not only widen the list of neurotherapies but it also provides an assurance that the population </w:t>
      </w:r>
      <w:r w:rsidR="00944473" w:rsidRPr="005A6267">
        <w:rPr>
          <w:rFonts w:ascii="Times New Roman" w:eastAsia="Times New Roman" w:hAnsi="Times New Roman" w:cs="Times New Roman"/>
          <w:sz w:val="24"/>
          <w:szCs w:val="24"/>
          <w:lang w:eastAsia="en-IN"/>
        </w:rPr>
        <w:t xml:space="preserve">of metropolitan and non-metropolitan regions </w:t>
      </w:r>
      <w:r w:rsidRPr="005A6267">
        <w:rPr>
          <w:rFonts w:ascii="Times New Roman" w:eastAsia="Times New Roman" w:hAnsi="Times New Roman" w:cs="Times New Roman"/>
          <w:sz w:val="24"/>
          <w:szCs w:val="24"/>
          <w:lang w:eastAsia="en-IN"/>
        </w:rPr>
        <w:t>will have access to affordable, accessible interventions that are scientifically-proven. Therefore, this review aims to (1) describe present condition and prevalence of the principal neurological disorders in India, (2) analyse demographic variations between metropolitan areas and other non-metropolitan areas of India, and (3) generalise evidence on medicinal plants with known or suspected neurotherapeutic potential effects.</w:t>
      </w:r>
    </w:p>
    <w:p w:rsidR="006F1C79" w:rsidRPr="0093111D" w:rsidRDefault="0093111D" w:rsidP="0093111D">
      <w:pPr>
        <w:spacing w:after="0" w:line="240" w:lineRule="auto"/>
        <w:rPr>
          <w:rFonts w:ascii="Times New Roman" w:hAnsi="Times New Roman" w:cs="Times New Roman"/>
          <w:b/>
          <w:sz w:val="28"/>
          <w:szCs w:val="24"/>
        </w:rPr>
      </w:pPr>
      <w:r w:rsidRPr="0093111D">
        <w:rPr>
          <w:rFonts w:ascii="Times New Roman" w:hAnsi="Times New Roman" w:cs="Times New Roman"/>
          <w:b/>
          <w:sz w:val="28"/>
          <w:szCs w:val="24"/>
        </w:rPr>
        <w:t>REVIEW METHODOLOGY</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This review was conducted by searching the scientific literature published between 2000 and 2025 to synthesise evidence on the prevalence, epidemiology, and plant-based management of neurological disorders. Major databases, including Scopus, ScienceDirect, PubMed, and Google Scholar, were explored, along with reports from World Health Organisation and Global Burden of Disease Study. Keywords such as “neurological disorders”, “India”, “urban stress”, “metropolitan and non-metropolitan”, “rural India” “epidemiology”, “plant-based treatment”, “Ayurveda”, “medicinal plants”, “phytochemicals”, “neuroprotection”, “Parkinson’s disease” “stroke”, “migraine”, “Alzheimer’s disease”, and “epilepsy” were used in various combinations to refine searches. Only peer-reviewed articles, systematic reviews, meta-analyses, and epidemiological reports available in English were included, while non-English publications, irrelevant studies, and inaccessible full texts were excluded. Plant names and their synonyms were validated using standard taxonomic databases, such as The Plant List and MPNS (Medicinal Plant Names Services, Kew Science). The mentioned phytochemicals were confirmed using PubChem and PubMed databases. Accurate and clear chemical structures of the chosen phytochemicals were made using PubChem Sketcher. The acquired research was critically reviewed to highlight three key points: (i) the world and Indian burden of neurological diseases, (ii) urban and rural disparities in the rate and distribution of the disease in India, and (iii) medicinal plants and bioactive substances, and their hypothetical plant-based alternatives.</w:t>
      </w:r>
    </w:p>
    <w:p w:rsidR="006F1C79" w:rsidRPr="00386683" w:rsidRDefault="00386683" w:rsidP="0093111D">
      <w:pPr>
        <w:spacing w:before="100" w:beforeAutospacing="1" w:after="100" w:afterAutospacing="1" w:line="240" w:lineRule="auto"/>
        <w:rPr>
          <w:rFonts w:ascii="Times New Roman" w:eastAsia="Times New Roman" w:hAnsi="Times New Roman" w:cs="Times New Roman"/>
          <w:b/>
          <w:sz w:val="28"/>
          <w:szCs w:val="24"/>
          <w:lang w:eastAsia="en-IN"/>
        </w:rPr>
      </w:pPr>
      <w:r>
        <w:rPr>
          <w:rFonts w:ascii="Times New Roman" w:eastAsia="Times New Roman" w:hAnsi="Times New Roman" w:cs="Times New Roman"/>
          <w:b/>
          <w:sz w:val="28"/>
          <w:szCs w:val="24"/>
          <w:lang w:eastAsia="en-IN"/>
        </w:rPr>
        <w:t>Neurological D</w:t>
      </w:r>
      <w:r w:rsidR="0093111D" w:rsidRPr="00386683">
        <w:rPr>
          <w:rFonts w:ascii="Times New Roman" w:eastAsia="Times New Roman" w:hAnsi="Times New Roman" w:cs="Times New Roman"/>
          <w:b/>
          <w:sz w:val="28"/>
          <w:szCs w:val="24"/>
          <w:lang w:eastAsia="en-IN"/>
        </w:rPr>
        <w:t>isorders</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The nervous system is impacted by neurological </w:t>
      </w:r>
      <w:r w:rsidR="00734860" w:rsidRPr="005A6267">
        <w:rPr>
          <w:rFonts w:ascii="Times New Roman" w:eastAsia="Times New Roman" w:hAnsi="Times New Roman" w:cs="Times New Roman"/>
          <w:sz w:val="24"/>
          <w:szCs w:val="24"/>
          <w:lang w:eastAsia="en-IN"/>
        </w:rPr>
        <w:t>disorders. The</w:t>
      </w:r>
      <w:r w:rsidRPr="005A6267">
        <w:rPr>
          <w:rFonts w:ascii="Times New Roman" w:eastAsia="Times New Roman" w:hAnsi="Times New Roman" w:cs="Times New Roman"/>
          <w:sz w:val="24"/>
          <w:szCs w:val="24"/>
          <w:lang w:eastAsia="en-IN"/>
        </w:rPr>
        <w:t xml:space="preserve"> neurological system, which works as the body's command centre, sends impulses that govern our movements, thoughts, and physical processes. Any malfunction in this system can cause neurological diseases.</w:t>
      </w:r>
    </w:p>
    <w:p w:rsidR="006F1C79" w:rsidRPr="005A6267" w:rsidRDefault="006F1C79" w:rsidP="0093111D">
      <w:pPr>
        <w:spacing w:before="100" w:beforeAutospacing="1" w:after="100" w:afterAutospacing="1" w:line="240" w:lineRule="auto"/>
        <w:jc w:val="both"/>
        <w:rPr>
          <w:rFonts w:ascii="Times New Roman" w:eastAsia="Times New Roman" w:hAnsi="Times New Roman" w:cs="Times New Roman"/>
          <w:sz w:val="28"/>
          <w:szCs w:val="24"/>
          <w:lang w:eastAsia="en-IN"/>
        </w:rPr>
      </w:pPr>
      <w:r w:rsidRPr="005A6267">
        <w:rPr>
          <w:rFonts w:ascii="Times New Roman" w:hAnsi="Times New Roman" w:cs="Times New Roman"/>
          <w:sz w:val="24"/>
          <w:shd w:val="clear" w:color="auto" w:fill="FFFFFF"/>
        </w:rPr>
        <w:t>Neurological conditions </w:t>
      </w:r>
      <w:r w:rsidRPr="005A6267">
        <w:rPr>
          <w:rStyle w:val="red"/>
          <w:rFonts w:ascii="Times New Roman" w:hAnsi="Times New Roman" w:cs="Times New Roman"/>
          <w:sz w:val="24"/>
          <w:shd w:val="clear" w:color="auto" w:fill="FFFFFF"/>
        </w:rPr>
        <w:t>cover</w:t>
      </w:r>
      <w:r w:rsidRPr="005A6267">
        <w:rPr>
          <w:rFonts w:ascii="Times New Roman" w:hAnsi="Times New Roman" w:cs="Times New Roman"/>
          <w:sz w:val="24"/>
          <w:shd w:val="clear" w:color="auto" w:fill="FFFFFF"/>
        </w:rPr>
        <w:t> a </w:t>
      </w:r>
      <w:r w:rsidRPr="005A6267">
        <w:rPr>
          <w:rStyle w:val="red"/>
          <w:rFonts w:ascii="Times New Roman" w:hAnsi="Times New Roman" w:cs="Times New Roman"/>
          <w:sz w:val="24"/>
          <w:shd w:val="clear" w:color="auto" w:fill="FFFFFF"/>
        </w:rPr>
        <w:t>broad</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range</w:t>
      </w:r>
      <w:r w:rsidRPr="005A6267">
        <w:rPr>
          <w:rFonts w:ascii="Times New Roman" w:hAnsi="Times New Roman" w:cs="Times New Roman"/>
          <w:sz w:val="24"/>
          <w:shd w:val="clear" w:color="auto" w:fill="FFFFFF"/>
        </w:rPr>
        <w:t> of </w:t>
      </w:r>
      <w:r w:rsidRPr="005A6267">
        <w:rPr>
          <w:rStyle w:val="red"/>
          <w:rFonts w:ascii="Times New Roman" w:hAnsi="Times New Roman" w:cs="Times New Roman"/>
          <w:sz w:val="24"/>
          <w:shd w:val="clear" w:color="auto" w:fill="FFFFFF"/>
        </w:rPr>
        <w:t>ailments</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impacting</w:t>
      </w:r>
      <w:r w:rsidRPr="005A6267">
        <w:rPr>
          <w:rStyle w:val="blue"/>
          <w:rFonts w:ascii="Times New Roman" w:hAnsi="Times New Roman" w:cs="Times New Roman"/>
          <w:sz w:val="24"/>
          <w:shd w:val="clear" w:color="auto" w:fill="FFFFFF"/>
        </w:rPr>
        <w:t> the central and peripheral nervous systems, </w:t>
      </w:r>
      <w:r w:rsidRPr="005A6267">
        <w:rPr>
          <w:rStyle w:val="red"/>
          <w:rFonts w:ascii="Times New Roman" w:hAnsi="Times New Roman" w:cs="Times New Roman"/>
          <w:sz w:val="24"/>
          <w:shd w:val="clear" w:color="auto" w:fill="FFFFFF"/>
        </w:rPr>
        <w:t xml:space="preserve">and </w:t>
      </w:r>
      <w:r w:rsidRPr="005A6267">
        <w:rPr>
          <w:rFonts w:ascii="Times New Roman" w:hAnsi="Times New Roman" w:cs="Times New Roman"/>
          <w:sz w:val="24"/>
          <w:shd w:val="clear" w:color="auto" w:fill="FFFFFF"/>
        </w:rPr>
        <w:t>can </w:t>
      </w:r>
      <w:r w:rsidRPr="005A6267">
        <w:rPr>
          <w:rStyle w:val="red"/>
          <w:rFonts w:ascii="Times New Roman" w:hAnsi="Times New Roman" w:cs="Times New Roman"/>
          <w:sz w:val="24"/>
          <w:shd w:val="clear" w:color="auto" w:fill="FFFFFF"/>
        </w:rPr>
        <w:t>generally</w:t>
      </w:r>
      <w:r w:rsidRPr="005A6267">
        <w:rPr>
          <w:rFonts w:ascii="Times New Roman" w:hAnsi="Times New Roman" w:cs="Times New Roman"/>
          <w:sz w:val="24"/>
          <w:shd w:val="clear" w:color="auto" w:fill="FFFFFF"/>
        </w:rPr>
        <w:t> be </w:t>
      </w:r>
      <w:r w:rsidRPr="005A6267">
        <w:rPr>
          <w:rStyle w:val="red"/>
          <w:rFonts w:ascii="Times New Roman" w:hAnsi="Times New Roman" w:cs="Times New Roman"/>
          <w:sz w:val="24"/>
          <w:shd w:val="clear" w:color="auto" w:fill="FFFFFF"/>
        </w:rPr>
        <w:t>classified</w:t>
      </w:r>
      <w:r w:rsidRPr="005A6267">
        <w:rPr>
          <w:rFonts w:ascii="Times New Roman" w:hAnsi="Times New Roman" w:cs="Times New Roman"/>
          <w:sz w:val="24"/>
          <w:shd w:val="clear" w:color="auto" w:fill="FFFFFF"/>
        </w:rPr>
        <w:t> into:</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Cerebrovascular disorders</w:t>
      </w:r>
      <w:r w:rsidRPr="005A6267">
        <w:rPr>
          <w:rFonts w:ascii="Times New Roman" w:eastAsia="Times New Roman" w:hAnsi="Times New Roman" w:cs="Times New Roman"/>
          <w:sz w:val="24"/>
          <w:szCs w:val="24"/>
          <w:lang w:eastAsia="en-IN"/>
        </w:rPr>
        <w:t xml:space="preserve"> (e.g., stroke, aneurysms, vascular dementia)</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Neurodegenerative disorders</w:t>
      </w:r>
      <w:r w:rsidRPr="005A6267">
        <w:rPr>
          <w:rFonts w:ascii="Times New Roman" w:eastAsia="Times New Roman" w:hAnsi="Times New Roman" w:cs="Times New Roman"/>
          <w:sz w:val="24"/>
          <w:szCs w:val="24"/>
          <w:lang w:eastAsia="en-IN"/>
        </w:rPr>
        <w:t xml:space="preserve"> (e.g., Huntington’s disease, multiple sclerosis, Parkinson’s disease, Alzheimer’s disease)</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Neuroinfections and inflammatory disorders</w:t>
      </w:r>
      <w:r w:rsidRPr="005A6267">
        <w:rPr>
          <w:rFonts w:ascii="Times New Roman" w:eastAsia="Times New Roman" w:hAnsi="Times New Roman" w:cs="Times New Roman"/>
          <w:sz w:val="24"/>
          <w:szCs w:val="24"/>
          <w:lang w:eastAsia="en-IN"/>
        </w:rPr>
        <w:t xml:space="preserve"> (e.g., meningitis, encephalitis, neurocysticercosis, multiple sclerosis)</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Neuromuscular and demyelinating disorders</w:t>
      </w:r>
      <w:r w:rsidRPr="005A6267">
        <w:rPr>
          <w:rFonts w:ascii="Times New Roman" w:eastAsia="Times New Roman" w:hAnsi="Times New Roman" w:cs="Times New Roman"/>
          <w:sz w:val="24"/>
          <w:szCs w:val="24"/>
          <w:lang w:eastAsia="en-IN"/>
        </w:rPr>
        <w:t xml:space="preserve"> (e.g., diabetic neuropathy, amyotrophic lateral sclerosis, myasthenia gravis)</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Headache and pain-related disorders</w:t>
      </w:r>
      <w:r w:rsidRPr="005A6267">
        <w:rPr>
          <w:rFonts w:ascii="Times New Roman" w:eastAsia="Times New Roman" w:hAnsi="Times New Roman" w:cs="Times New Roman"/>
          <w:sz w:val="24"/>
          <w:szCs w:val="24"/>
          <w:lang w:eastAsia="en-IN"/>
        </w:rPr>
        <w:t xml:space="preserve"> (e.g., migraine, cluster headaches, neuropathic pain)</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Neurodevelopmental disorders</w:t>
      </w:r>
      <w:r w:rsidRPr="005A6267">
        <w:rPr>
          <w:rFonts w:ascii="Times New Roman" w:eastAsia="Times New Roman" w:hAnsi="Times New Roman" w:cs="Times New Roman"/>
          <w:sz w:val="24"/>
          <w:szCs w:val="24"/>
          <w:lang w:eastAsia="en-IN"/>
        </w:rPr>
        <w:t xml:space="preserve"> (e.g., autism spectrum disorders, cerebral palsy)</w:t>
      </w:r>
    </w:p>
    <w:p w:rsidR="006F1C79" w:rsidRPr="005A6267" w:rsidRDefault="006F1C79" w:rsidP="00AF7DB1">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Tumours and malignancies</w:t>
      </w:r>
      <w:r w:rsidRPr="005A6267">
        <w:rPr>
          <w:rFonts w:ascii="Times New Roman" w:eastAsia="Times New Roman" w:hAnsi="Times New Roman" w:cs="Times New Roman"/>
          <w:sz w:val="24"/>
          <w:szCs w:val="24"/>
          <w:lang w:eastAsia="en-IN"/>
        </w:rPr>
        <w:t xml:space="preserve"> of the nervous system.</w:t>
      </w:r>
    </w:p>
    <w:p w:rsidR="00CE2F55" w:rsidRDefault="006F1C79" w:rsidP="00CE2F5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Trauma-related conditions</w:t>
      </w:r>
      <w:r w:rsidRPr="005A6267">
        <w:rPr>
          <w:rFonts w:ascii="Times New Roman" w:eastAsia="Times New Roman" w:hAnsi="Times New Roman" w:cs="Times New Roman"/>
          <w:sz w:val="24"/>
          <w:szCs w:val="24"/>
          <w:lang w:eastAsia="en-IN"/>
        </w:rPr>
        <w:t xml:space="preserve"> (e.g., traumatic brain injury, spinal cord injury)</w:t>
      </w:r>
    </w:p>
    <w:p w:rsidR="00CE2F55" w:rsidRDefault="00CE2F55" w:rsidP="00CE2F55">
      <w:pPr>
        <w:spacing w:before="100" w:beforeAutospacing="1" w:after="100" w:afterAutospacing="1" w:line="240" w:lineRule="auto"/>
        <w:ind w:left="720"/>
        <w:rPr>
          <w:rFonts w:ascii="Times New Roman" w:eastAsia="Times New Roman" w:hAnsi="Times New Roman" w:cs="Times New Roman"/>
          <w:b/>
          <w:bCs/>
          <w:sz w:val="24"/>
          <w:szCs w:val="24"/>
          <w:lang w:eastAsia="en-IN"/>
        </w:rPr>
      </w:pPr>
    </w:p>
    <w:p w:rsidR="00CE2F55" w:rsidRDefault="00CE2F55">
      <w:pP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br w:type="page"/>
      </w:r>
    </w:p>
    <w:p w:rsidR="00CE2F55" w:rsidRPr="005A6267" w:rsidRDefault="00CE2F55" w:rsidP="00CE2F55">
      <w:pPr>
        <w:spacing w:before="100" w:beforeAutospacing="1" w:after="100" w:afterAutospacing="1" w:line="240" w:lineRule="auto"/>
        <w:ind w:left="720"/>
        <w:jc w:val="center"/>
        <w:rPr>
          <w:rFonts w:ascii="Times New Roman" w:eastAsia="Times New Roman" w:hAnsi="Times New Roman" w:cs="Times New Roman"/>
          <w:sz w:val="24"/>
          <w:szCs w:val="24"/>
          <w:lang w:eastAsia="en-IN"/>
        </w:rPr>
      </w:pPr>
      <w:r w:rsidRPr="00CE2F55">
        <w:rPr>
          <w:rFonts w:ascii="Times New Roman" w:eastAsia="Times New Roman" w:hAnsi="Times New Roman" w:cs="Times New Roman"/>
          <w:b/>
          <w:bCs/>
          <w:sz w:val="24"/>
          <w:szCs w:val="24"/>
          <w:lang w:eastAsia="en-IN"/>
        </w:rPr>
        <w:lastRenderedPageBreak/>
        <w:t xml:space="preserve">Figure 3: Globally Leading Neurological Disorders as per </w:t>
      </w:r>
      <w:r w:rsidRPr="00CE2F55">
        <w:rPr>
          <w:rFonts w:ascii="Times New Roman" w:hAnsi="Times New Roman" w:cs="Times New Roman"/>
          <w:b/>
          <w:sz w:val="24"/>
          <w:szCs w:val="24"/>
        </w:rPr>
        <w:t xml:space="preserve">Global Burden of Disease Study 2019, </w:t>
      </w:r>
      <w:r w:rsidRPr="00CE2F55">
        <w:rPr>
          <w:rFonts w:ascii="Times New Roman" w:eastAsia="Times New Roman" w:hAnsi="Times New Roman" w:cs="Times New Roman"/>
          <w:b/>
          <w:sz w:val="24"/>
          <w:szCs w:val="24"/>
          <w:lang w:eastAsia="en-IN"/>
        </w:rPr>
        <w:t>Expressed as Disability-Adjusted Life Years</w:t>
      </w:r>
    </w:p>
    <w:p w:rsidR="006F1C79" w:rsidRPr="005A6267" w:rsidRDefault="006F1C79" w:rsidP="002E0D37">
      <w:pPr>
        <w:pStyle w:val="ListParagraph"/>
        <w:spacing w:after="0" w:line="240" w:lineRule="auto"/>
        <w:ind w:left="360"/>
        <w:jc w:val="center"/>
        <w:rPr>
          <w:rFonts w:ascii="Times New Roman" w:eastAsia="Times New Roman" w:hAnsi="Times New Roman" w:cs="Times New Roman"/>
          <w:sz w:val="24"/>
          <w:szCs w:val="24"/>
          <w:lang w:eastAsia="en-IN"/>
        </w:rPr>
      </w:pPr>
      <w:r w:rsidRPr="005A6267">
        <w:rPr>
          <w:rFonts w:ascii="Times New Roman" w:eastAsia="Times New Roman" w:hAnsi="Times New Roman" w:cs="Times New Roman"/>
          <w:noProof/>
          <w:sz w:val="24"/>
          <w:szCs w:val="24"/>
          <w:lang w:eastAsia="en-IN"/>
        </w:rPr>
        <w:drawing>
          <wp:inline distT="0" distB="0" distL="0" distR="0" wp14:anchorId="04881EA8" wp14:editId="750CD7F6">
            <wp:extent cx="5676900" cy="31892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9a6b44-d381-47bf-90e5-7cd8e8fe6d3f.png"/>
                    <pic:cNvPicPr/>
                  </pic:nvPicPr>
                  <pic:blipFill rotWithShape="1">
                    <a:blip r:embed="rId11" cstate="print">
                      <a:extLst>
                        <a:ext uri="{28A0092B-C50C-407E-A947-70E740481C1C}">
                          <a14:useLocalDpi xmlns:a14="http://schemas.microsoft.com/office/drawing/2010/main" val="0"/>
                        </a:ext>
                      </a:extLst>
                    </a:blip>
                    <a:srcRect t="5730"/>
                    <a:stretch/>
                  </pic:blipFill>
                  <pic:spPr bwMode="auto">
                    <a:xfrm>
                      <a:off x="0" y="0"/>
                      <a:ext cx="5689315" cy="3196239"/>
                    </a:xfrm>
                    <a:prstGeom prst="rect">
                      <a:avLst/>
                    </a:prstGeom>
                    <a:ln>
                      <a:noFill/>
                    </a:ln>
                    <a:extLst>
                      <a:ext uri="{53640926-AAD7-44D8-BBD7-CCE9431645EC}">
                        <a14:shadowObscured xmlns:a14="http://schemas.microsoft.com/office/drawing/2010/main"/>
                      </a:ext>
                    </a:extLst>
                  </pic:spPr>
                </pic:pic>
              </a:graphicData>
            </a:graphic>
          </wp:inline>
        </w:drawing>
      </w:r>
    </w:p>
    <w:p w:rsidR="006F1C79" w:rsidRPr="00CE2F55" w:rsidRDefault="006F1C79" w:rsidP="00CE2F55">
      <w:pPr>
        <w:spacing w:after="0" w:line="240" w:lineRule="auto"/>
        <w:rPr>
          <w:rFonts w:ascii="Times New Roman" w:eastAsia="Times New Roman" w:hAnsi="Times New Roman" w:cs="Times New Roman"/>
          <w:sz w:val="24"/>
          <w:szCs w:val="24"/>
          <w:lang w:eastAsia="en-IN"/>
        </w:rPr>
      </w:pPr>
    </w:p>
    <w:p w:rsidR="006F1C79" w:rsidRPr="005A6267" w:rsidRDefault="006F1C79" w:rsidP="0093111D">
      <w:pPr>
        <w:pStyle w:val="ListParagraph"/>
        <w:spacing w:after="0" w:line="240" w:lineRule="auto"/>
        <w:jc w:val="both"/>
        <w:rPr>
          <w:rFonts w:ascii="Times New Roman" w:hAnsi="Times New Roman" w:cs="Times New Roman"/>
          <w:sz w:val="24"/>
          <w:shd w:val="clear" w:color="auto" w:fill="FFFFFF"/>
        </w:rPr>
      </w:pPr>
      <w:r w:rsidRPr="005A6267">
        <w:rPr>
          <w:rFonts w:ascii="Times New Roman" w:eastAsia="Times New Roman" w:hAnsi="Times New Roman" w:cs="Times New Roman"/>
          <w:b/>
          <w:bCs/>
          <w:sz w:val="24"/>
          <w:lang w:eastAsia="en-IN"/>
        </w:rPr>
        <w:t>*</w:t>
      </w:r>
      <w:r w:rsidRPr="005A6267">
        <w:rPr>
          <w:rFonts w:ascii="Times New Roman" w:hAnsi="Times New Roman" w:cs="Times New Roman"/>
          <w:sz w:val="24"/>
          <w:shd w:val="clear" w:color="auto" w:fill="FFFFFF"/>
        </w:rPr>
        <w:t>(DALYs </w:t>
      </w:r>
      <w:r w:rsidRPr="005A6267">
        <w:rPr>
          <w:rStyle w:val="red"/>
          <w:rFonts w:ascii="Times New Roman" w:hAnsi="Times New Roman" w:cs="Times New Roman"/>
          <w:sz w:val="24"/>
          <w:shd w:val="clear" w:color="auto" w:fill="FFFFFF"/>
        </w:rPr>
        <w:t>depict</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total</w:t>
      </w:r>
      <w:r w:rsidRPr="005A6267">
        <w:rPr>
          <w:rStyle w:val="blue"/>
          <w:rFonts w:ascii="Times New Roman" w:hAnsi="Times New Roman" w:cs="Times New Roman"/>
          <w:sz w:val="24"/>
          <w:shd w:val="clear" w:color="auto" w:fill="FFFFFF"/>
        </w:rPr>
        <w:t> years of life lost </w:t>
      </w:r>
      <w:r w:rsidRPr="005A6267">
        <w:rPr>
          <w:rStyle w:val="red"/>
          <w:rFonts w:ascii="Times New Roman" w:hAnsi="Times New Roman" w:cs="Times New Roman"/>
          <w:sz w:val="24"/>
          <w:shd w:val="clear" w:color="auto" w:fill="FFFFFF"/>
        </w:rPr>
        <w:t>because</w:t>
      </w:r>
      <w:r w:rsidRPr="005A6267">
        <w:rPr>
          <w:rFonts w:ascii="Times New Roman" w:hAnsi="Times New Roman" w:cs="Times New Roman"/>
          <w:sz w:val="24"/>
          <w:shd w:val="clear" w:color="auto" w:fill="FFFFFF"/>
        </w:rPr>
        <w:t> of </w:t>
      </w:r>
      <w:r w:rsidRPr="005A6267">
        <w:rPr>
          <w:rStyle w:val="red"/>
          <w:rFonts w:ascii="Times New Roman" w:hAnsi="Times New Roman" w:cs="Times New Roman"/>
          <w:sz w:val="24"/>
          <w:shd w:val="clear" w:color="auto" w:fill="FFFFFF"/>
        </w:rPr>
        <w:t>early</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death</w:t>
      </w:r>
      <w:r w:rsidRPr="005A6267">
        <w:rPr>
          <w:rStyle w:val="blue"/>
          <w:rFonts w:ascii="Times New Roman" w:hAnsi="Times New Roman" w:cs="Times New Roman"/>
          <w:sz w:val="24"/>
          <w:shd w:val="clear" w:color="auto" w:fill="FFFFFF"/>
        </w:rPr>
        <w:t> (YLLs) and the years lived with a disability (YLDs) </w:t>
      </w:r>
      <w:r w:rsidRPr="005A6267">
        <w:rPr>
          <w:rStyle w:val="red"/>
          <w:rFonts w:ascii="Times New Roman" w:hAnsi="Times New Roman" w:cs="Times New Roman"/>
          <w:sz w:val="24"/>
          <w:shd w:val="clear" w:color="auto" w:fill="FFFFFF"/>
        </w:rPr>
        <w:t>resulting</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from</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existing</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instances</w:t>
      </w:r>
      <w:r w:rsidRPr="005A6267">
        <w:rPr>
          <w:rFonts w:ascii="Times New Roman" w:hAnsi="Times New Roman" w:cs="Times New Roman"/>
          <w:sz w:val="24"/>
          <w:shd w:val="clear" w:color="auto" w:fill="FFFFFF"/>
        </w:rPr>
        <w:t> of the </w:t>
      </w:r>
      <w:r w:rsidRPr="005A6267">
        <w:rPr>
          <w:rStyle w:val="red"/>
          <w:rFonts w:ascii="Times New Roman" w:hAnsi="Times New Roman" w:cs="Times New Roman"/>
          <w:sz w:val="24"/>
          <w:shd w:val="clear" w:color="auto" w:fill="FFFFFF"/>
        </w:rPr>
        <w:t>illness</w:t>
      </w:r>
      <w:r w:rsidRPr="005A6267">
        <w:rPr>
          <w:rFonts w:ascii="Times New Roman" w:hAnsi="Times New Roman" w:cs="Times New Roman"/>
          <w:sz w:val="24"/>
          <w:shd w:val="clear" w:color="auto" w:fill="FFFFFF"/>
        </w:rPr>
        <w:t> or health </w:t>
      </w:r>
      <w:r w:rsidRPr="005A6267">
        <w:rPr>
          <w:rStyle w:val="red"/>
          <w:rFonts w:ascii="Times New Roman" w:hAnsi="Times New Roman" w:cs="Times New Roman"/>
          <w:sz w:val="24"/>
          <w:shd w:val="clear" w:color="auto" w:fill="FFFFFF"/>
        </w:rPr>
        <w:t>issue</w:t>
      </w:r>
      <w:r w:rsidRPr="005A6267">
        <w:rPr>
          <w:rFonts w:ascii="Times New Roman" w:hAnsi="Times New Roman" w:cs="Times New Roman"/>
          <w:sz w:val="24"/>
          <w:shd w:val="clear" w:color="auto" w:fill="FFFFFF"/>
        </w:rPr>
        <w:t> </w:t>
      </w:r>
      <w:r w:rsidRPr="005A6267">
        <w:rPr>
          <w:rStyle w:val="red"/>
          <w:rFonts w:ascii="Times New Roman" w:hAnsi="Times New Roman" w:cs="Times New Roman"/>
          <w:sz w:val="24"/>
          <w:shd w:val="clear" w:color="auto" w:fill="FFFFFF"/>
        </w:rPr>
        <w:t>within</w:t>
      </w:r>
      <w:r w:rsidRPr="005A6267">
        <w:rPr>
          <w:rFonts w:ascii="Times New Roman" w:hAnsi="Times New Roman" w:cs="Times New Roman"/>
          <w:sz w:val="24"/>
          <w:shd w:val="clear" w:color="auto" w:fill="FFFFFF"/>
        </w:rPr>
        <w:t> a population).</w:t>
      </w:r>
    </w:p>
    <w:p w:rsidR="006F1C79" w:rsidRPr="005A6267" w:rsidRDefault="006F1C79" w:rsidP="0093111D">
      <w:pPr>
        <w:pStyle w:val="ListParagraph"/>
        <w:spacing w:after="0" w:line="240" w:lineRule="auto"/>
        <w:jc w:val="both"/>
        <w:rPr>
          <w:rFonts w:ascii="Times New Roman" w:eastAsia="Times New Roman" w:hAnsi="Times New Roman" w:cs="Times New Roman"/>
          <w:sz w:val="24"/>
          <w:szCs w:val="24"/>
          <w:lang w:eastAsia="en-IN"/>
        </w:rPr>
      </w:pPr>
    </w:p>
    <w:p w:rsidR="006F1C79" w:rsidRDefault="006F1C79" w:rsidP="00CE2F55">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As per the data on the global burden of neurological disorders in 2019, stroke clearly emerges as the most significant contributor, accounting for approximately 80.1 million DALYs, reflecting its high prevalence and severe long-term disability outcomes. Migraine, despite being non-fatal, occupies the second position with 42.1 million DALYs, emphasising the considerable years lived with disability it generates. Alzheimer’s disease and other dementias rank third (28.8 million DALYs), underscoring the growing challenge of neurodegenerative conditions in ageing populations worldwide. Infectious causes like meningitis (24.0 million DALYs) and chronic conditions such as epilepsy (20.6 million DALYs) further highlight the diverse etiological spectrum contributing to neurological disease burden. In contrast, rarer disorders such as multiple sclerosis (1.2 million DALYs) and motor neuron diseases (0.9 million DALYs) contribute relatively less at a global scale, but remain highly debilitating at the individual level. This distribution demonstrates that both high-mortality conditions (e.g., stroke) and non-fatal disabling disorders (e.g., migraine) dominate the global neurological health landscape (</w:t>
      </w:r>
      <w:r w:rsidR="009401F8">
        <w:rPr>
          <w:rFonts w:ascii="Times New Roman" w:hAnsi="Times New Roman" w:cs="Times New Roman"/>
          <w:sz w:val="24"/>
          <w:szCs w:val="24"/>
        </w:rPr>
        <w:t xml:space="preserve">Feigin et al., 2019; </w:t>
      </w:r>
      <w:r w:rsidRPr="005A6267">
        <w:rPr>
          <w:rFonts w:ascii="Times New Roman" w:hAnsi="Times New Roman" w:cs="Times New Roman"/>
          <w:sz w:val="24"/>
          <w:szCs w:val="24"/>
        </w:rPr>
        <w:t>Huang e</w:t>
      </w:r>
      <w:r w:rsidR="009401F8">
        <w:rPr>
          <w:rFonts w:ascii="Times New Roman" w:hAnsi="Times New Roman" w:cs="Times New Roman"/>
          <w:sz w:val="24"/>
          <w:szCs w:val="24"/>
        </w:rPr>
        <w:t>t al., 2023</w:t>
      </w:r>
      <w:r w:rsidRPr="005A6267">
        <w:rPr>
          <w:rFonts w:ascii="Times New Roman" w:hAnsi="Times New Roman" w:cs="Times New Roman"/>
          <w:sz w:val="24"/>
          <w:szCs w:val="24"/>
        </w:rPr>
        <w:t>)</w:t>
      </w:r>
      <w:r w:rsidRPr="005A6267">
        <w:rPr>
          <w:rFonts w:ascii="Times New Roman" w:eastAsia="Times New Roman" w:hAnsi="Times New Roman" w:cs="Times New Roman"/>
          <w:sz w:val="24"/>
          <w:szCs w:val="24"/>
          <w:lang w:eastAsia="en-IN"/>
        </w:rPr>
        <w:t>.</w:t>
      </w:r>
    </w:p>
    <w:p w:rsidR="00CE2F55" w:rsidRPr="00CE2F55" w:rsidRDefault="00CE2F55" w:rsidP="00CE2F55">
      <w:pPr>
        <w:pStyle w:val="ListParagraph"/>
        <w:spacing w:before="100" w:beforeAutospacing="1" w:after="100" w:afterAutospacing="1" w:line="240" w:lineRule="auto"/>
        <w:jc w:val="both"/>
        <w:rPr>
          <w:rFonts w:ascii="Times New Roman" w:eastAsia="Times New Roman" w:hAnsi="Times New Roman" w:cs="Times New Roman"/>
          <w:bCs/>
          <w:sz w:val="27"/>
          <w:szCs w:val="27"/>
          <w:lang w:eastAsia="en-IN"/>
        </w:rPr>
      </w:pPr>
    </w:p>
    <w:p w:rsidR="00CE2F55" w:rsidRDefault="00CE2F55">
      <w:pP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br w:type="page"/>
      </w:r>
    </w:p>
    <w:p w:rsidR="00CE2F55" w:rsidRPr="00CE2F55" w:rsidRDefault="00CE2F55" w:rsidP="00CE2F55">
      <w:pPr>
        <w:pStyle w:val="ListParagraph"/>
        <w:spacing w:after="0" w:line="240" w:lineRule="auto"/>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bCs/>
          <w:sz w:val="24"/>
          <w:szCs w:val="24"/>
          <w:lang w:eastAsia="en-IN"/>
        </w:rPr>
        <w:lastRenderedPageBreak/>
        <w:t xml:space="preserve">Figure 4: </w:t>
      </w:r>
      <w:r w:rsidRPr="005A6267">
        <w:rPr>
          <w:rFonts w:ascii="Times New Roman" w:eastAsia="Times New Roman" w:hAnsi="Times New Roman" w:cs="Times New Roman"/>
          <w:b/>
          <w:bCs/>
          <w:sz w:val="24"/>
          <w:szCs w:val="24"/>
          <w:lang w:eastAsia="en-IN"/>
        </w:rPr>
        <w:t>Leading Neurological Disorder DALYs</w:t>
      </w:r>
      <w:r w:rsidRPr="005A6267">
        <w:rPr>
          <w:rFonts w:ascii="Times New Roman" w:eastAsia="Times New Roman" w:hAnsi="Times New Roman" w:cs="Times New Roman"/>
          <w:b/>
          <w:bCs/>
          <w:sz w:val="27"/>
          <w:szCs w:val="27"/>
          <w:lang w:eastAsia="en-IN"/>
        </w:rPr>
        <w:t xml:space="preserve"> in India </w:t>
      </w:r>
      <w:r w:rsidRPr="005A6267">
        <w:rPr>
          <w:rFonts w:ascii="Times New Roman" w:eastAsia="Times New Roman" w:hAnsi="Times New Roman" w:cs="Times New Roman"/>
          <w:b/>
          <w:bCs/>
          <w:sz w:val="24"/>
          <w:szCs w:val="24"/>
          <w:lang w:eastAsia="en-IN"/>
        </w:rPr>
        <w:t xml:space="preserve">as per </w:t>
      </w:r>
      <w:r w:rsidRPr="005A6267">
        <w:rPr>
          <w:rFonts w:ascii="Times New Roman" w:hAnsi="Times New Roman" w:cs="Times New Roman"/>
          <w:b/>
          <w:sz w:val="24"/>
          <w:szCs w:val="24"/>
        </w:rPr>
        <w:t>Global Burden of Disease Study, 2019</w:t>
      </w:r>
    </w:p>
    <w:p w:rsidR="006F1C79" w:rsidRPr="00CE2F55" w:rsidRDefault="006F1C79" w:rsidP="00CE2F55">
      <w:pPr>
        <w:pStyle w:val="ListParagraph"/>
        <w:spacing w:after="0" w:line="240" w:lineRule="auto"/>
        <w:jc w:val="center"/>
        <w:rPr>
          <w:rFonts w:ascii="Times New Roman" w:eastAsia="Times New Roman" w:hAnsi="Times New Roman" w:cs="Times New Roman"/>
          <w:b/>
          <w:bCs/>
          <w:sz w:val="27"/>
          <w:szCs w:val="27"/>
          <w:lang w:eastAsia="en-IN"/>
        </w:rPr>
      </w:pPr>
      <w:r w:rsidRPr="005A6267">
        <w:rPr>
          <w:rFonts w:ascii="Times New Roman" w:eastAsia="Times New Roman" w:hAnsi="Times New Roman" w:cs="Times New Roman"/>
          <w:b/>
          <w:bCs/>
          <w:noProof/>
          <w:sz w:val="27"/>
          <w:szCs w:val="27"/>
          <w:lang w:eastAsia="en-IN"/>
        </w:rPr>
        <w:drawing>
          <wp:inline distT="0" distB="0" distL="0" distR="0" wp14:anchorId="08C5FCC5" wp14:editId="2E7EC38C">
            <wp:extent cx="5188087" cy="3091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4a22d7-56b4-4456-b300-c6549d3a6c4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087" cy="3091815"/>
                    </a:xfrm>
                    <a:prstGeom prst="rect">
                      <a:avLst/>
                    </a:prstGeom>
                  </pic:spPr>
                </pic:pic>
              </a:graphicData>
            </a:graphic>
          </wp:inline>
        </w:drawing>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India contributes a substantial share of South Asian neurological disease burden. Stroke and migraine dominate, mirroring the global picture but at a particularly high absolute scale due to India’s large population. Dementia and epilepsy are also prominent, indicating that both ageing-related and long-standing neurological conditions contribute significantly. Meningitis remains more prominent in India compared to high-income countries, reflecting persistent challenges with infectious disease control. Parkinson’s disease and tension-type headache contribute moderately, while conditions such as multiple sclerosis and motor neuron diseases account for smaller proportions but remain clinically important (Gourie-Devi et al., 2004). This India-specific profile underscores the need for targeted strategies addressing both vascular and infectious neurological disorders, alongside preparation for the rising tide of dementia and other age-associated diseases.</w:t>
      </w:r>
    </w:p>
    <w:p w:rsidR="006F1C79" w:rsidRPr="0093111D" w:rsidRDefault="006F1C79" w:rsidP="0093111D">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93111D">
        <w:rPr>
          <w:rFonts w:ascii="Times New Roman" w:eastAsia="Times New Roman" w:hAnsi="Times New Roman" w:cs="Times New Roman"/>
          <w:b/>
          <w:bCs/>
          <w:sz w:val="24"/>
          <w:szCs w:val="24"/>
          <w:lang w:eastAsia="en-IN"/>
        </w:rPr>
        <w:t>Prevalence of Neurological Disorders in Metropolitan and Non-Metropolitan Areas</w:t>
      </w:r>
    </w:p>
    <w:p w:rsidR="006F1C79" w:rsidRPr="002154E2" w:rsidRDefault="006F1C79" w:rsidP="002154E2">
      <w:pPr>
        <w:spacing w:line="240" w:lineRule="auto"/>
        <w:jc w:val="both"/>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iCs/>
          <w:sz w:val="24"/>
          <w:lang w:eastAsia="en-IN"/>
        </w:rPr>
        <w:t>The epidemiological footprint of neurological disorders in India reveals a sharp urban-rural divide.</w:t>
      </w:r>
      <w:r w:rsidR="00734860">
        <w:rPr>
          <w:rFonts w:ascii="Times New Roman" w:eastAsia="Times New Roman" w:hAnsi="Times New Roman" w:cs="Times New Roman"/>
          <w:iCs/>
          <w:sz w:val="24"/>
          <w:lang w:eastAsia="en-IN"/>
        </w:rPr>
        <w:t xml:space="preserve"> </w:t>
      </w:r>
      <w:r w:rsidRPr="005A6267">
        <w:rPr>
          <w:rFonts w:ascii="Times New Roman" w:eastAsia="Times New Roman" w:hAnsi="Times New Roman" w:cs="Times New Roman"/>
          <w:iCs/>
          <w:sz w:val="24"/>
          <w:lang w:eastAsia="en-IN"/>
        </w:rPr>
        <w:t xml:space="preserve">In the case of stroke, there has been a concerning increase in the cases among younger adults (20-45 years) in metropolitan hospitals, which is attributed to the effect of stress, sedentary lifestyle, and poor quality of sleep. Indicatively, the number of stroke cases among IT professionals has increased many times over </w:t>
      </w:r>
      <w:r w:rsidR="002F1BFE">
        <w:rPr>
          <w:rFonts w:ascii="Times New Roman" w:eastAsia="Times New Roman" w:hAnsi="Times New Roman" w:cs="Times New Roman"/>
          <w:iCs/>
          <w:sz w:val="24"/>
          <w:lang w:eastAsia="en-IN"/>
        </w:rPr>
        <w:t xml:space="preserve">the last few years in Hyderabad. </w:t>
      </w:r>
      <w:r w:rsidRPr="005A6267">
        <w:rPr>
          <w:rFonts w:ascii="Times New Roman" w:eastAsia="Times New Roman" w:hAnsi="Times New Roman" w:cs="Times New Roman"/>
          <w:iCs/>
          <w:sz w:val="24"/>
          <w:lang w:eastAsia="en-IN"/>
        </w:rPr>
        <w:t>On the same note, urban women aged 30-45 years are significantly more susceptible to migraine with stress and hormonal fluctuations being synergistic conditions. According to the national statistics, migraine affects 15-18 percent of women and 6-8 percent of men, and it was more detected in urban healthcare systems (WHO Neurological Disorders Report, 2021). In contrast, epilepsy has increased prevalence in rural India because it is perinatally injured, neuro-infected, whereas metropolitan centres have higher rates of drug resistant cases subject to tertiary care. Both dementia and Parkinson disease are also disproportionately identified in urban populations, which is partly explained by the fact that better diagnostic facilities and longer life expectancy in cities are detected. Notably, stress in urban living condit</w:t>
      </w:r>
      <w:r w:rsidR="00092963">
        <w:rPr>
          <w:rFonts w:ascii="Times New Roman" w:eastAsia="Times New Roman" w:hAnsi="Times New Roman" w:cs="Times New Roman"/>
          <w:iCs/>
          <w:sz w:val="24"/>
          <w:lang w:eastAsia="en-IN"/>
        </w:rPr>
        <w:t xml:space="preserve">ions is a precipitating factor via vascular and metabolic risk and an exacerbating factor </w:t>
      </w:r>
      <w:r w:rsidRPr="005A6267">
        <w:rPr>
          <w:rFonts w:ascii="Times New Roman" w:eastAsia="Times New Roman" w:hAnsi="Times New Roman" w:cs="Times New Roman"/>
          <w:iCs/>
          <w:sz w:val="24"/>
          <w:lang w:eastAsia="en-IN"/>
        </w:rPr>
        <w:t>enhancing cognitive d</w:t>
      </w:r>
      <w:r w:rsidR="00092963">
        <w:rPr>
          <w:rFonts w:ascii="Times New Roman" w:eastAsia="Times New Roman" w:hAnsi="Times New Roman" w:cs="Times New Roman"/>
          <w:iCs/>
          <w:sz w:val="24"/>
          <w:lang w:eastAsia="en-IN"/>
        </w:rPr>
        <w:t>eterioration and motor symptoms</w:t>
      </w:r>
      <w:r w:rsidRPr="005A6267">
        <w:rPr>
          <w:rFonts w:ascii="Times New Roman" w:eastAsia="Times New Roman" w:hAnsi="Times New Roman" w:cs="Times New Roman"/>
          <w:iCs/>
          <w:sz w:val="24"/>
          <w:lang w:eastAsia="en-IN"/>
        </w:rPr>
        <w:t xml:space="preserve">. Although the incidence of neurological diseases in the world has shown significant disparities by region, India depicts a very intricate epidemiological picture, owing to its high rates of urbanisation and population heterogeneity. As over one-third of the population has moved into metropolitan regions and it is estimated that half of India will be urban by 2050 (WHO, 2021), the distribution of neurological disorders is a growing culture of the duality of urban stress-related disorders and rural under-diagnosis with high treatment gaps. Stroke and migraine exhibit an increase in their prevalence in metropolitan regions, especially in younger adults with the rise of exposure to sedentary jobs, lengthy commuting distances, </w:t>
      </w:r>
      <w:r w:rsidR="002A45AA">
        <w:rPr>
          <w:rFonts w:ascii="Times New Roman" w:eastAsia="Times New Roman" w:hAnsi="Times New Roman" w:cs="Times New Roman"/>
          <w:iCs/>
          <w:sz w:val="24"/>
          <w:lang w:eastAsia="en-IN"/>
        </w:rPr>
        <w:t xml:space="preserve">and chronic psychosocial stress. </w:t>
      </w:r>
      <w:r w:rsidRPr="005A6267">
        <w:rPr>
          <w:rFonts w:ascii="Times New Roman" w:eastAsia="Times New Roman" w:hAnsi="Times New Roman" w:cs="Times New Roman"/>
          <w:iCs/>
          <w:sz w:val="24"/>
          <w:lang w:eastAsia="en-IN"/>
        </w:rPr>
        <w:t>Conversely, epilepsy and dementia tend to be more problematic in rural areas and indicates a lack of specialised care, untreated vascular and infectious risk factors and socioeconomic obstacles to prompt diagnosis</w:t>
      </w:r>
      <w:r w:rsidR="00734860">
        <w:rPr>
          <w:rFonts w:ascii="Times New Roman" w:eastAsia="Times New Roman" w:hAnsi="Times New Roman" w:cs="Times New Roman"/>
          <w:iCs/>
          <w:sz w:val="24"/>
          <w:lang w:eastAsia="en-IN"/>
        </w:rPr>
        <w:t xml:space="preserve">. </w:t>
      </w:r>
      <w:r w:rsidRPr="005A6267">
        <w:rPr>
          <w:rFonts w:ascii="Times New Roman" w:eastAsia="Times New Roman" w:hAnsi="Times New Roman" w:cs="Times New Roman"/>
          <w:iCs/>
          <w:sz w:val="24"/>
          <w:lang w:eastAsia="en-IN"/>
        </w:rPr>
        <w:t>Parkinson disease exists between two worlds, as the prevalence is more detected in urban areas, yet ther</w:t>
      </w:r>
      <w:r w:rsidR="00550FA9">
        <w:rPr>
          <w:rFonts w:ascii="Times New Roman" w:eastAsia="Times New Roman" w:hAnsi="Times New Roman" w:cs="Times New Roman"/>
          <w:iCs/>
          <w:sz w:val="24"/>
          <w:lang w:eastAsia="en-IN"/>
        </w:rPr>
        <w:t>e is an environmental exposure, pesticide use</w:t>
      </w:r>
      <w:r w:rsidRPr="005A6267">
        <w:rPr>
          <w:rFonts w:ascii="Times New Roman" w:eastAsia="Times New Roman" w:hAnsi="Times New Roman" w:cs="Times New Roman"/>
          <w:iCs/>
          <w:sz w:val="24"/>
          <w:lang w:eastAsia="en-IN"/>
        </w:rPr>
        <w:t xml:space="preserve"> that may lead </w:t>
      </w:r>
      <w:r w:rsidRPr="005A6267">
        <w:rPr>
          <w:rFonts w:ascii="Times New Roman" w:eastAsia="Times New Roman" w:hAnsi="Times New Roman" w:cs="Times New Roman"/>
          <w:iCs/>
          <w:sz w:val="24"/>
          <w:lang w:eastAsia="en-IN"/>
        </w:rPr>
        <w:lastRenderedPageBreak/>
        <w:t>to rural prevalence (Janardhana et al., 2023). These tendencies take place against the background of alarming national prognoses: neurological diseases affect 20-30 million Indians, with the prevalence rate ranging between 967 to 40</w:t>
      </w:r>
      <w:r w:rsidR="00734860">
        <w:rPr>
          <w:rFonts w:ascii="Times New Roman" w:eastAsia="Times New Roman" w:hAnsi="Times New Roman" w:cs="Times New Roman"/>
          <w:iCs/>
          <w:sz w:val="24"/>
          <w:lang w:eastAsia="en-IN"/>
        </w:rPr>
        <w:t>70 per hundred thousand people</w:t>
      </w:r>
      <w:r w:rsidRPr="005A6267">
        <w:rPr>
          <w:rFonts w:ascii="Times New Roman" w:eastAsia="Times New Roman" w:hAnsi="Times New Roman" w:cs="Times New Roman"/>
          <w:iCs/>
          <w:sz w:val="24"/>
          <w:lang w:eastAsia="en-IN"/>
        </w:rPr>
        <w:t xml:space="preserve">, and the overall burden is also projected to increase by 23 percent by 2025 (WHO, 2021). More so, comprehensive state-level analysis of Global Burden of Disease Study (1990-2019) indicates non-communicable neurological disorders share in total DALYs increased in India by 4.0% to 8.2% in 1990 and 2019, respectively, with injury-related DALYs increasing by 0.2 to 0.6. Communicable neurological diseases went down to 4.1 to 1.1. In 2019, headache disorders (17.5%), stroke (37.9%) and epilepsy (11.3%) were the leading causes with considerable state discrepancies (Singh et al., 2021). These tendencies altogether highlight the fact that the crisis of neurological health in India is not only increasing but also fragmented by the metropolitan tendency to over-diagnose stress-related illness and rural tendencies to ignore preventable and curable neurological diseases. The </w:t>
      </w:r>
      <w:r w:rsidR="009113A5" w:rsidRPr="005A6267">
        <w:rPr>
          <w:rFonts w:ascii="Times New Roman" w:eastAsia="Times New Roman" w:hAnsi="Times New Roman" w:cs="Times New Roman"/>
          <w:iCs/>
          <w:sz w:val="24"/>
          <w:lang w:eastAsia="en-IN"/>
        </w:rPr>
        <w:t>variations in metropolitan and non-metropolitan trends are condensed in Table 1, which identifies the prevalence, patterns,</w:t>
      </w:r>
      <w:r w:rsidRPr="005A6267">
        <w:rPr>
          <w:rFonts w:ascii="Times New Roman" w:eastAsia="Times New Roman" w:hAnsi="Times New Roman" w:cs="Times New Roman"/>
          <w:iCs/>
          <w:sz w:val="24"/>
          <w:lang w:eastAsia="en-IN"/>
        </w:rPr>
        <w:t xml:space="preserve"> and major differences of major neurological disorders in India.</w:t>
      </w:r>
    </w:p>
    <w:tbl>
      <w:tblPr>
        <w:tblStyle w:val="TableGrid"/>
        <w:tblW w:w="9776" w:type="dxa"/>
        <w:tblLayout w:type="fixed"/>
        <w:tblLook w:val="04A0" w:firstRow="1" w:lastRow="0" w:firstColumn="1" w:lastColumn="0" w:noHBand="0" w:noVBand="1"/>
      </w:tblPr>
      <w:tblGrid>
        <w:gridCol w:w="1536"/>
        <w:gridCol w:w="1798"/>
        <w:gridCol w:w="2473"/>
        <w:gridCol w:w="2126"/>
        <w:gridCol w:w="1843"/>
      </w:tblGrid>
      <w:tr w:rsidR="006F1C79" w:rsidRPr="005A6267" w:rsidTr="006F1C79">
        <w:trPr>
          <w:trHeight w:val="1124"/>
        </w:trPr>
        <w:tc>
          <w:tcPr>
            <w:tcW w:w="1536" w:type="dxa"/>
            <w:hideMark/>
          </w:tcPr>
          <w:p w:rsidR="006F1C79" w:rsidRPr="005A6267" w:rsidRDefault="006F1C79" w:rsidP="00AF7DB1">
            <w:pP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Disorder</w:t>
            </w:r>
          </w:p>
        </w:tc>
        <w:tc>
          <w:tcPr>
            <w:tcW w:w="1798" w:type="dxa"/>
            <w:hideMark/>
          </w:tcPr>
          <w:p w:rsidR="006F1C79" w:rsidRPr="005A6267" w:rsidRDefault="006F1C79" w:rsidP="00AF7DB1">
            <w:pP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 xml:space="preserve">National Prevalence </w:t>
            </w:r>
          </w:p>
        </w:tc>
        <w:tc>
          <w:tcPr>
            <w:tcW w:w="2473" w:type="dxa"/>
            <w:hideMark/>
          </w:tcPr>
          <w:p w:rsidR="006F1C79" w:rsidRPr="005A6267" w:rsidRDefault="006F1C79" w:rsidP="00AF7DB1">
            <w:pP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 xml:space="preserve">Metropolitan </w:t>
            </w:r>
            <w:r w:rsidR="00944473" w:rsidRPr="005A6267">
              <w:rPr>
                <w:rFonts w:ascii="Times New Roman" w:eastAsia="Times New Roman" w:hAnsi="Times New Roman" w:cs="Times New Roman"/>
                <w:b/>
                <w:bCs/>
                <w:sz w:val="24"/>
                <w:szCs w:val="24"/>
                <w:lang w:eastAsia="en-IN"/>
              </w:rPr>
              <w:t>and</w:t>
            </w:r>
            <w:r w:rsidRPr="005A6267">
              <w:rPr>
                <w:rFonts w:ascii="Times New Roman" w:eastAsia="Times New Roman" w:hAnsi="Times New Roman" w:cs="Times New Roman"/>
                <w:b/>
                <w:bCs/>
                <w:sz w:val="24"/>
                <w:szCs w:val="24"/>
                <w:lang w:eastAsia="en-IN"/>
              </w:rPr>
              <w:t xml:space="preserve"> Non-Metr</w:t>
            </w:r>
            <w:r w:rsidR="00944473" w:rsidRPr="005A6267">
              <w:rPr>
                <w:rFonts w:ascii="Times New Roman" w:eastAsia="Times New Roman" w:hAnsi="Times New Roman" w:cs="Times New Roman"/>
                <w:b/>
                <w:bCs/>
                <w:sz w:val="24"/>
                <w:szCs w:val="24"/>
                <w:lang w:eastAsia="en-IN"/>
              </w:rPr>
              <w:t xml:space="preserve">opolitan </w:t>
            </w:r>
            <w:r w:rsidRPr="005A6267">
              <w:rPr>
                <w:rFonts w:ascii="Times New Roman" w:eastAsia="Times New Roman" w:hAnsi="Times New Roman" w:cs="Times New Roman"/>
                <w:b/>
                <w:bCs/>
                <w:sz w:val="24"/>
                <w:szCs w:val="24"/>
                <w:lang w:eastAsia="en-IN"/>
              </w:rPr>
              <w:t>Trends</w:t>
            </w:r>
          </w:p>
        </w:tc>
        <w:tc>
          <w:tcPr>
            <w:tcW w:w="2126" w:type="dxa"/>
            <w:hideMark/>
          </w:tcPr>
          <w:p w:rsidR="006F1C79" w:rsidRPr="005A6267" w:rsidRDefault="006F1C79" w:rsidP="00AF7DB1">
            <w:pP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Key Causes</w:t>
            </w:r>
          </w:p>
        </w:tc>
        <w:tc>
          <w:tcPr>
            <w:tcW w:w="1843" w:type="dxa"/>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References</w:t>
            </w:r>
          </w:p>
        </w:tc>
      </w:tr>
      <w:tr w:rsidR="006F1C79" w:rsidRPr="005A6267" w:rsidTr="006F1C79">
        <w:tc>
          <w:tcPr>
            <w:tcW w:w="153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Stroke</w:t>
            </w:r>
          </w:p>
        </w:tc>
        <w:tc>
          <w:tcPr>
            <w:tcW w:w="1798"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Stroke is a significant neurological disorder in India, with prevalence rates varying widely across urban and rural settings, ranging from 44.54 to 487 per 100,000 population.</w:t>
            </w:r>
          </w:p>
        </w:tc>
        <w:tc>
          <w:tcPr>
            <w:tcW w:w="247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hAnsi="Times New Roman" w:cs="Times New Roman"/>
                <w:sz w:val="24"/>
                <w:szCs w:val="24"/>
              </w:rPr>
              <w:t xml:space="preserve">Impacts approximately 33-123/100,000 of the population. </w:t>
            </w:r>
            <w:r w:rsidRPr="005A6267">
              <w:rPr>
                <w:rFonts w:ascii="Times New Roman" w:eastAsia="Times New Roman" w:hAnsi="Times New Roman" w:cs="Times New Roman"/>
                <w:sz w:val="24"/>
                <w:szCs w:val="24"/>
                <w:lang w:eastAsia="en-IN"/>
              </w:rPr>
              <w:t>Increasing incidence among younger adults (20–45 yrs), especially IT professionals in cities like Hyderabad and Bengaluru.</w:t>
            </w:r>
          </w:p>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Rural areas have reported </w:t>
            </w:r>
            <w:r w:rsidRPr="005A6267">
              <w:rPr>
                <w:rFonts w:ascii="Times New Roman" w:hAnsi="Times New Roman" w:cs="Times New Roman"/>
                <w:sz w:val="24"/>
                <w:szCs w:val="24"/>
              </w:rPr>
              <w:t xml:space="preserve">around 123.57/100,000 cases of stroke. </w:t>
            </w:r>
          </w:p>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Worse outcomes occur due to limited acute care and rehab access.</w:t>
            </w:r>
          </w:p>
          <w:p w:rsidR="006F1C79" w:rsidRPr="005A6267" w:rsidRDefault="006F1C79" w:rsidP="00AF7DB1">
            <w:pPr>
              <w:rPr>
                <w:rFonts w:ascii="Times New Roman" w:eastAsia="Times New Roman" w:hAnsi="Times New Roman" w:cs="Times New Roman"/>
                <w:sz w:val="24"/>
                <w:szCs w:val="24"/>
                <w:lang w:eastAsia="en-IN"/>
              </w:rPr>
            </w:pP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hAnsi="Times New Roman" w:cs="Times New Roman"/>
                <w:sz w:val="24"/>
                <w:szCs w:val="24"/>
              </w:rPr>
              <w:t>Hypertension, diabetes, obesity and sedentary lifestyle.</w:t>
            </w:r>
          </w:p>
        </w:tc>
        <w:tc>
          <w:tcPr>
            <w:tcW w:w="1843" w:type="dxa"/>
          </w:tcPr>
          <w:p w:rsidR="006F1C79" w:rsidRPr="005A6267" w:rsidRDefault="00092963" w:rsidP="00AF7DB1">
            <w:pPr>
              <w:rPr>
                <w:rFonts w:ascii="Times New Roman" w:eastAsia="Times New Roman" w:hAnsi="Times New Roman" w:cs="Times New Roman"/>
                <w:sz w:val="24"/>
                <w:szCs w:val="24"/>
                <w:lang w:eastAsia="en-IN"/>
              </w:rPr>
            </w:pPr>
            <w:r>
              <w:rPr>
                <w:rFonts w:ascii="Times New Roman" w:hAnsi="Times New Roman" w:cs="Times New Roman"/>
                <w:sz w:val="24"/>
                <w:szCs w:val="24"/>
              </w:rPr>
              <w:t>Hedau et al., 2024</w:t>
            </w:r>
          </w:p>
        </w:tc>
      </w:tr>
      <w:tr w:rsidR="006F1C79" w:rsidRPr="005A6267" w:rsidTr="006F1C79">
        <w:tc>
          <w:tcPr>
            <w:tcW w:w="153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Migraine</w:t>
            </w:r>
          </w:p>
        </w:tc>
        <w:tc>
          <w:tcPr>
            <w:tcW w:w="1798"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Migraine prevalence in India ranges between 14% and 26% nationally, with significant regional variations and a strong female predominance.</w:t>
            </w:r>
          </w:p>
        </w:tc>
        <w:tc>
          <w:tcPr>
            <w:tcW w:w="247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Multiple regional studies provide robust evidence of migraine’s epidemiology. The Delhi and NCR study found a 26.3% one-year migraine prevalence, whereas an Eastern India study reported a prevalence of 14.12%. Rural areas consistently show higher prevalence rates, with females experiencing significantly higher rates (35.7% vs. 15.1% in males)</w:t>
            </w:r>
          </w:p>
        </w:tc>
        <w:tc>
          <w:tcPr>
            <w:tcW w:w="2126"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Environmental exposure, education levels and oral contraceptives account for about 75% of migraine cases.</w:t>
            </w:r>
          </w:p>
        </w:tc>
        <w:tc>
          <w:tcPr>
            <w:tcW w:w="1843"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hAnsi="Times New Roman" w:cs="Times New Roman"/>
                <w:sz w:val="24"/>
                <w:szCs w:val="24"/>
              </w:rPr>
              <w:t>Chowdhury et al., 2024</w:t>
            </w:r>
          </w:p>
        </w:tc>
      </w:tr>
      <w:tr w:rsidR="006F1C79" w:rsidRPr="005A6267" w:rsidTr="006F1C79">
        <w:tc>
          <w:tcPr>
            <w:tcW w:w="153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lastRenderedPageBreak/>
              <w:t>Dementia (incl. Alzheimer’s)</w:t>
            </w:r>
          </w:p>
        </w:tc>
        <w:tc>
          <w:tcPr>
            <w:tcW w:w="1798"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Dementia affects approximately 20 per 1,000 people in India, with an estimated 4.1 million current cases expected to double by 2030.</w:t>
            </w:r>
          </w:p>
        </w:tc>
        <w:tc>
          <w:tcPr>
            <w:tcW w:w="2473"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Prevalence rates appear similar across rural and urban populations</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Rapidly rising with ageing, Low education levels, Family history, and Hypertension</w:t>
            </w:r>
          </w:p>
        </w:tc>
        <w:tc>
          <w:tcPr>
            <w:tcW w:w="1843" w:type="dxa"/>
          </w:tcPr>
          <w:p w:rsidR="006F1C79" w:rsidRPr="005A6267" w:rsidRDefault="00550FA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Kumar et al., 2019</w:t>
            </w:r>
          </w:p>
        </w:tc>
      </w:tr>
      <w:tr w:rsidR="006F1C79" w:rsidRPr="005A6267" w:rsidTr="006F1C79">
        <w:tc>
          <w:tcPr>
            <w:tcW w:w="1536"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Epilepsy</w:t>
            </w:r>
          </w:p>
        </w:tc>
        <w:tc>
          <w:tcPr>
            <w:tcW w:w="1798"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Epilepsy affects approximately 10-12 million people in India, with a national occurrence of 4.7 per 1,000 population.</w:t>
            </w:r>
          </w:p>
        </w:tc>
        <w:tc>
          <w:tcPr>
            <w:tcW w:w="2473"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Studies reveal that neurological problems are twice as common in rural as in urban settings, indicating a significantly higher incidence in rural communities.</w:t>
            </w:r>
          </w:p>
          <w:p w:rsidR="006F1C79" w:rsidRPr="005A6267" w:rsidRDefault="006F1C79" w:rsidP="00AF7DB1">
            <w:pPr>
              <w:rPr>
                <w:rFonts w:ascii="Times New Roman" w:eastAsia="Times New Roman" w:hAnsi="Times New Roman" w:cs="Times New Roman"/>
                <w:sz w:val="24"/>
                <w:szCs w:val="24"/>
                <w:lang w:eastAsia="en-IN"/>
              </w:rPr>
            </w:pPr>
          </w:p>
        </w:tc>
        <w:tc>
          <w:tcPr>
            <w:tcW w:w="2126"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Neuroinfections, Neurocysticercosis, Neurotrauma, Birth injuries,</w:t>
            </w:r>
          </w:p>
        </w:tc>
        <w:tc>
          <w:tcPr>
            <w:tcW w:w="1843" w:type="dxa"/>
          </w:tcPr>
          <w:p w:rsidR="006F1C79" w:rsidRPr="005A6267" w:rsidRDefault="004642A5"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Dhiman et al., 2021</w:t>
            </w:r>
          </w:p>
        </w:tc>
      </w:tr>
      <w:tr w:rsidR="006F1C79" w:rsidRPr="005A6267" w:rsidTr="006F1C79">
        <w:tc>
          <w:tcPr>
            <w:tcW w:w="1536"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Parkinson’s Disease</w:t>
            </w:r>
          </w:p>
        </w:tc>
        <w:tc>
          <w:tcPr>
            <w:tcW w:w="1798"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Shows significant regional variation, with incidence rates between 42.3 to 52.85 per 100,000 population, increasing dramatically to 308.9 per 100,000 in populations over 60 years old.</w:t>
            </w:r>
          </w:p>
        </w:tc>
        <w:tc>
          <w:tcPr>
            <w:tcW w:w="2473"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Metropolitan cities like Kolkata demonstrate slightly higher prevalence rates compared to rural areas. While specific national-level data remains limited, studies consistently show that PD prevalence increases with age for both genders</w:t>
            </w:r>
          </w:p>
        </w:tc>
        <w:tc>
          <w:tcPr>
            <w:tcW w:w="2126"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Potential genetic and environmental factors, though no definitive links have been established.</w:t>
            </w:r>
          </w:p>
        </w:tc>
        <w:tc>
          <w:tcPr>
            <w:tcW w:w="1843" w:type="dxa"/>
          </w:tcPr>
          <w:p w:rsidR="006F1C79" w:rsidRPr="005A6267" w:rsidRDefault="006F1C79" w:rsidP="00AF7DB1">
            <w:pPr>
              <w:shd w:val="clear" w:color="auto" w:fill="FFFFFF"/>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Je et al., 2021</w:t>
            </w:r>
            <w:r w:rsidR="004642A5">
              <w:rPr>
                <w:rFonts w:ascii="Times New Roman" w:eastAsia="Times New Roman" w:hAnsi="Times New Roman" w:cs="Times New Roman"/>
                <w:sz w:val="24"/>
                <w:szCs w:val="24"/>
                <w:lang w:eastAsia="en-IN"/>
              </w:rPr>
              <w:t xml:space="preserve">, </w:t>
            </w:r>
            <w:r w:rsidR="004642A5" w:rsidRPr="005A6267">
              <w:rPr>
                <w:rFonts w:ascii="Times New Roman" w:hAnsi="Times New Roman" w:cs="Times New Roman"/>
                <w:sz w:val="24"/>
                <w:szCs w:val="24"/>
              </w:rPr>
              <w:t>Khurana et al., 2025</w:t>
            </w:r>
            <w:r w:rsidR="002F1BFE">
              <w:rPr>
                <w:rFonts w:ascii="Times New Roman" w:hAnsi="Times New Roman" w:cs="Times New Roman"/>
                <w:sz w:val="24"/>
                <w:szCs w:val="24"/>
              </w:rPr>
              <w:t>.</w:t>
            </w:r>
          </w:p>
        </w:tc>
      </w:tr>
    </w:tbl>
    <w:p w:rsidR="002154E2" w:rsidRDefault="002154E2" w:rsidP="002154E2">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Table 1:</w:t>
      </w:r>
      <w:r w:rsidRPr="005A6267">
        <w:rPr>
          <w:rFonts w:ascii="Times New Roman" w:eastAsia="Times New Roman" w:hAnsi="Times New Roman" w:cs="Times New Roman"/>
          <w:b/>
          <w:sz w:val="24"/>
          <w:szCs w:val="24"/>
          <w:lang w:eastAsia="en-IN"/>
        </w:rPr>
        <w:t xml:space="preserve"> National Prevalence and Key Causes of Neurological Disorders</w:t>
      </w:r>
    </w:p>
    <w:p w:rsidR="006F1C79" w:rsidRDefault="006F1C79"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The prevalence of neurological disorders in India demonstrates a striking urban-rural divide, reflecting differences in lifestyle, healthcare access, and diagnostic capacity. Metropolitan areas, characterised by high population density, sedentary occupations, and elevated psychosocial stress, show higher rates of stress-linked disorders such as stroke, migraine, and dementia. In contrast, non-metropolitan and rural areas face a disproportionate burden of epilepsy, neuroinfections, and late-diagnosed neurodegenerative conditions, often due to inadequate healthcare infrastructure and persistent treatment gaps (Singh et al., 2021; Feigin et al., 2021).</w:t>
      </w:r>
    </w:p>
    <w:p w:rsidR="00386683" w:rsidRDefault="00386683">
      <w:pP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br w:type="page"/>
      </w:r>
    </w:p>
    <w:p w:rsidR="00CE2F55" w:rsidRPr="00386683" w:rsidRDefault="00CE2F55" w:rsidP="00CE2F55">
      <w:pPr>
        <w:spacing w:before="100" w:beforeAutospacing="1" w:after="100" w:afterAutospacing="1" w:line="240" w:lineRule="auto"/>
        <w:jc w:val="center"/>
        <w:rPr>
          <w:rFonts w:ascii="Times New Roman" w:eastAsia="Times New Roman" w:hAnsi="Times New Roman" w:cs="Times New Roman"/>
          <w:b/>
          <w:vanish/>
          <w:sz w:val="24"/>
          <w:szCs w:val="24"/>
          <w:lang w:eastAsia="en-IN"/>
          <w:specVanish/>
        </w:rPr>
      </w:pPr>
      <w:r>
        <w:rPr>
          <w:rFonts w:ascii="Times New Roman" w:eastAsia="Times New Roman" w:hAnsi="Times New Roman" w:cs="Times New Roman"/>
          <w:b/>
          <w:sz w:val="24"/>
          <w:szCs w:val="24"/>
          <w:lang w:eastAsia="en-IN"/>
        </w:rPr>
        <w:lastRenderedPageBreak/>
        <w:t>Figure 5:</w:t>
      </w:r>
      <w:r w:rsidRPr="005A6267">
        <w:rPr>
          <w:rFonts w:ascii="Times New Roman" w:eastAsia="Times New Roman" w:hAnsi="Times New Roman" w:cs="Times New Roman"/>
          <w:b/>
          <w:sz w:val="24"/>
          <w:szCs w:val="24"/>
          <w:lang w:eastAsia="en-IN"/>
        </w:rPr>
        <w:t xml:space="preserve"> Prominent Neurological Disorders in Metropol</w:t>
      </w:r>
      <w:r>
        <w:rPr>
          <w:rFonts w:ascii="Times New Roman" w:eastAsia="Times New Roman" w:hAnsi="Times New Roman" w:cs="Times New Roman"/>
          <w:b/>
          <w:sz w:val="24"/>
          <w:szCs w:val="24"/>
          <w:lang w:eastAsia="en-IN"/>
        </w:rPr>
        <w:t>itan and Non-Metropolitan Areas</w:t>
      </w:r>
    </w:p>
    <w:p w:rsidR="00CE2F55" w:rsidRPr="005A6267" w:rsidRDefault="00386683" w:rsidP="0093111D">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rsidR="006F1C79" w:rsidRPr="005A6267" w:rsidRDefault="004224D8" w:rsidP="002E0D37">
      <w:p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noProof/>
          <w:sz w:val="24"/>
          <w:szCs w:val="24"/>
          <w:lang w:eastAsia="en-IN"/>
        </w:rPr>
        <w:drawing>
          <wp:inline distT="0" distB="0" distL="0" distR="0" wp14:anchorId="50208B41" wp14:editId="0B8B1BB3">
            <wp:extent cx="6045349" cy="3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urological Disord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7095" cy="3401407"/>
                    </a:xfrm>
                    <a:prstGeom prst="rect">
                      <a:avLst/>
                    </a:prstGeom>
                  </pic:spPr>
                </pic:pic>
              </a:graphicData>
            </a:graphic>
          </wp:inline>
        </w:drawing>
      </w:r>
    </w:p>
    <w:p w:rsidR="006F1C79" w:rsidRPr="0093111D" w:rsidRDefault="006F1C79" w:rsidP="0093111D">
      <w:pPr>
        <w:spacing w:before="100" w:beforeAutospacing="1" w:after="100" w:afterAutospacing="1" w:line="240" w:lineRule="auto"/>
        <w:rPr>
          <w:rFonts w:ascii="Times New Roman" w:eastAsia="Times New Roman" w:hAnsi="Times New Roman" w:cs="Times New Roman"/>
          <w:sz w:val="24"/>
          <w:szCs w:val="24"/>
          <w:lang w:eastAsia="en-IN"/>
        </w:rPr>
      </w:pPr>
      <w:r w:rsidRPr="0093111D">
        <w:rPr>
          <w:rFonts w:ascii="Times New Roman" w:eastAsia="Times New Roman" w:hAnsi="Times New Roman" w:cs="Times New Roman"/>
          <w:b/>
          <w:bCs/>
          <w:sz w:val="24"/>
          <w:szCs w:val="24"/>
          <w:lang w:eastAsia="en-IN"/>
        </w:rPr>
        <w:t>Burden of Neurological Disorders in Metropolitan and Urban regions of India</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According to recent reports, the number of stroke cases is growing significantly in young adulthood in metropolitan areas like Bengaluru, Hyderabad, and Delhi, especially among IT professionals and corporate workers who work long hours, are exposed to</w:t>
      </w:r>
      <w:r w:rsidR="002F1BFE">
        <w:rPr>
          <w:rFonts w:ascii="Times New Roman" w:eastAsia="Times New Roman" w:hAnsi="Times New Roman" w:cs="Times New Roman"/>
          <w:sz w:val="24"/>
          <w:szCs w:val="24"/>
          <w:lang w:eastAsia="en-IN"/>
        </w:rPr>
        <w:t xml:space="preserve"> chronic stress, and lack sleep. </w:t>
      </w:r>
      <w:r w:rsidRPr="005A6267">
        <w:rPr>
          <w:rFonts w:ascii="Times New Roman" w:eastAsia="Times New Roman" w:hAnsi="Times New Roman" w:cs="Times New Roman"/>
          <w:sz w:val="24"/>
          <w:szCs w:val="24"/>
          <w:lang w:eastAsia="en-IN"/>
        </w:rPr>
        <w:t xml:space="preserve">The incidence of migraine also varies in urban areas, with 15 to 18% of women and 6 to 8% of men experiencing it, and urban women aged 30 to 45 being the most susceptible group of people because of the combination of stress and hormonal changes and disrupted regularities (WHO, 2021). Metropolitan populations have higher rates of dementia and Parkinson disease not only due to the increased life expectancy but also to the increased number of special diagnostic facilities and care (Janardhana et al., 2023). Moreover, the prevalence of drug-resistant epilepsy is also rising in urban India in tertiary hospitals, indicating better detection and lifestyle factors including sleep deprivation and comorbid mental disorders </w:t>
      </w:r>
      <w:r w:rsidR="0012634A" w:rsidRPr="0012634A">
        <w:rPr>
          <w:rFonts w:ascii="Times New Roman" w:eastAsia="Times New Roman" w:hAnsi="Times New Roman" w:cs="Times New Roman"/>
          <w:sz w:val="24"/>
          <w:szCs w:val="24"/>
          <w:lang w:eastAsia="en-IN"/>
        </w:rPr>
        <w:t>(Dhiman et al., 2021)</w:t>
      </w:r>
    </w:p>
    <w:p w:rsidR="006F1C79" w:rsidRPr="005A6267" w:rsidRDefault="006F1C79" w:rsidP="00AF7DB1">
      <w:pPr>
        <w:spacing w:before="100" w:beforeAutospacing="1" w:after="100" w:afterAutospacing="1" w:line="240" w:lineRule="auto"/>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Burden of Neurological Disorders in Non-Metropolitan and Rural regions of India</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In non-metropolitan regions of India, the prevalence of epilepsy is higher, and surveys show a combined prevalence of 11.9 per 1,000 people in rural regions as opposed to 5.7 per 1,000 in urban regions </w:t>
      </w:r>
      <w:r w:rsidR="001A4103" w:rsidRPr="001A4103">
        <w:rPr>
          <w:rFonts w:ascii="Times New Roman" w:eastAsia="Times New Roman" w:hAnsi="Times New Roman" w:cs="Times New Roman"/>
          <w:sz w:val="24"/>
          <w:szCs w:val="24"/>
          <w:lang w:eastAsia="en-IN"/>
        </w:rPr>
        <w:t>(Dhiman et al., 2021)</w:t>
      </w:r>
      <w:r w:rsidR="001A4103">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This gap is closely attributed to perinatal injuries, neurocysticercosis which has not been treated and increased rates of traumatic brain injuries due to road accidents and farm hazards. There is also a possibility of underdiagnosis of dementia in non-metropolitan areas because the vascular risks (hypertension and diabetes) are not well controlled, thereby increasing the true prevalence, which i</w:t>
      </w:r>
      <w:r w:rsidR="002F1BFE">
        <w:rPr>
          <w:rFonts w:ascii="Times New Roman" w:eastAsia="Times New Roman" w:hAnsi="Times New Roman" w:cs="Times New Roman"/>
          <w:sz w:val="24"/>
          <w:szCs w:val="24"/>
          <w:lang w:eastAsia="en-IN"/>
        </w:rPr>
        <w:t xml:space="preserve">s higher than the reported one. </w:t>
      </w:r>
      <w:r w:rsidRPr="005A6267">
        <w:rPr>
          <w:rFonts w:ascii="Times New Roman" w:eastAsia="Times New Roman" w:hAnsi="Times New Roman" w:cs="Times New Roman"/>
          <w:sz w:val="24"/>
          <w:szCs w:val="24"/>
          <w:lang w:eastAsia="en-IN"/>
        </w:rPr>
        <w:t>Pesticide exposure and agricultural activity have been suggested as risk factors for higher prevalence in some rural groups, despite the fact that cases of Parkinson's disease are disproportionately reported in metropolitan areas (Janardhana et al., 2023). The fact that neuroinfections and malnutrition-induced neurological morbidity persist in non-metropolitan regions elucidates the contribution of the socioeconomic ine</w:t>
      </w:r>
      <w:r w:rsidR="009401F8">
        <w:rPr>
          <w:rFonts w:ascii="Times New Roman" w:eastAsia="Times New Roman" w:hAnsi="Times New Roman" w:cs="Times New Roman"/>
          <w:sz w:val="24"/>
          <w:szCs w:val="24"/>
          <w:lang w:eastAsia="en-IN"/>
        </w:rPr>
        <w:t>quities to disease distribution.</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In general, stress-related and lifestyle-related neurological conditions are more common among urban population of metropolitan regions, whereas rural population of non-metropolitan areas suffer more deaths, worse outcomes, and treatment gaps because of the lack of acute care, rehabilitation facilities, and awareness campaigns. This dichotomy highlights the importance of specific interventions: the stress management, preventive care and lifestyle modification programs are required to the urban population and enhanced infection control, maternal-child health services and primary neurological care to the rural population. There is notable inter-state variation </w:t>
      </w:r>
      <w:r w:rsidRPr="005A6267">
        <w:rPr>
          <w:rFonts w:ascii="Times New Roman" w:eastAsia="Times New Roman" w:hAnsi="Times New Roman" w:cs="Times New Roman"/>
          <w:sz w:val="24"/>
          <w:szCs w:val="24"/>
          <w:lang w:eastAsia="en-IN"/>
        </w:rPr>
        <w:lastRenderedPageBreak/>
        <w:t>because of urbanization, socioeconomic development, and healthcare access (</w:t>
      </w:r>
      <w:r w:rsidR="004642A5" w:rsidRPr="005A6267">
        <w:rPr>
          <w:rFonts w:ascii="Times New Roman" w:eastAsia="Times New Roman" w:hAnsi="Times New Roman" w:cs="Times New Roman"/>
          <w:sz w:val="24"/>
          <w:szCs w:val="24"/>
          <w:lang w:eastAsia="en-IN"/>
        </w:rPr>
        <w:t>Feigin et al., 2021</w:t>
      </w:r>
      <w:r w:rsidR="004642A5">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Singh et al., 2021).</w:t>
      </w:r>
    </w:p>
    <w:p w:rsidR="006F1C79" w:rsidRPr="00A807B1" w:rsidRDefault="006F1C79" w:rsidP="0093111D">
      <w:pPr>
        <w:pStyle w:val="Heading2"/>
        <w:rPr>
          <w:sz w:val="28"/>
          <w:szCs w:val="24"/>
        </w:rPr>
      </w:pPr>
      <w:r w:rsidRPr="00A807B1">
        <w:rPr>
          <w:sz w:val="28"/>
          <w:szCs w:val="24"/>
        </w:rPr>
        <w:t>Plant-based Treatment of Neurological Disorders</w:t>
      </w:r>
    </w:p>
    <w:p w:rsidR="006F1C79" w:rsidRPr="005A6267"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The available pharmacological therapies in the treatment of neurological disorders are symptomatic but are still insufficient in the prevention of diseases. Symptoms can be treated with drugs like antiepileptics, dopaminergic, and cholinesterase inhibitors, but they have serious side effects, including drowsiness, dyskinesias, nausea, and cardiovascular factors (Singh et al., 2021; Feigin et al., 2021). Additionally, most neurological diseases do not have disease-modifying therapies, and therefore their medical need</w:t>
      </w:r>
      <w:r w:rsidR="00734860">
        <w:rPr>
          <w:rFonts w:ascii="Times New Roman" w:eastAsia="Times New Roman" w:hAnsi="Times New Roman" w:cs="Times New Roman"/>
          <w:sz w:val="24"/>
          <w:szCs w:val="24"/>
          <w:lang w:eastAsia="en-IN"/>
        </w:rPr>
        <w:t xml:space="preserve"> has not been met sufficiently. </w:t>
      </w:r>
      <w:r w:rsidRPr="005A6267">
        <w:rPr>
          <w:rFonts w:ascii="Times New Roman" w:eastAsia="Times New Roman" w:hAnsi="Times New Roman" w:cs="Times New Roman"/>
          <w:sz w:val="24"/>
          <w:szCs w:val="24"/>
          <w:lang w:eastAsia="en-IN"/>
        </w:rPr>
        <w:t>Within the Indian context, the problem is aggravated by differences in accessibility to healthcare between metropolitan and non-metropolitan areas, expensive healthcare and a high number of individuals that depend on traditional h</w:t>
      </w:r>
      <w:r w:rsidR="004073F4">
        <w:rPr>
          <w:rFonts w:ascii="Times New Roman" w:eastAsia="Times New Roman" w:hAnsi="Times New Roman" w:cs="Times New Roman"/>
          <w:sz w:val="24"/>
          <w:szCs w:val="24"/>
          <w:lang w:eastAsia="en-IN"/>
        </w:rPr>
        <w:t xml:space="preserve">ealthcare systems like Ayurveda. </w:t>
      </w:r>
      <w:r w:rsidRPr="005A6267">
        <w:rPr>
          <w:rFonts w:ascii="Times New Roman" w:eastAsia="Times New Roman" w:hAnsi="Times New Roman" w:cs="Times New Roman"/>
          <w:sz w:val="24"/>
          <w:szCs w:val="24"/>
          <w:lang w:eastAsia="en-IN"/>
        </w:rPr>
        <w:t>Plant-based therapies are a cheap, culturally acceptable, and sustainable alternative. Medicinal plants are also source of a variety of bioactive phytochemicals that can directly act on the pathophysiological pathways of neurodegeneration, ischemia and synaptic dysfunction with anti-inflammatory, antioxidant, adaptogenic, neurotro</w:t>
      </w:r>
      <w:r w:rsidR="00734860">
        <w:rPr>
          <w:rFonts w:ascii="Times New Roman" w:eastAsia="Times New Roman" w:hAnsi="Times New Roman" w:cs="Times New Roman"/>
          <w:sz w:val="24"/>
          <w:szCs w:val="24"/>
          <w:lang w:eastAsia="en-IN"/>
        </w:rPr>
        <w:t xml:space="preserve">phic and anti-apoptotic effects. </w:t>
      </w:r>
      <w:r w:rsidRPr="005A6267">
        <w:rPr>
          <w:rFonts w:ascii="Times New Roman" w:eastAsia="Times New Roman" w:hAnsi="Times New Roman" w:cs="Times New Roman"/>
          <w:sz w:val="24"/>
          <w:szCs w:val="24"/>
          <w:lang w:eastAsia="en-IN"/>
        </w:rPr>
        <w:t xml:space="preserve">Phytochemicals are particularly helpful in multifactorial disorders like stroke, dementia, and epilepsy because, unlike single-target synthetic medications, they often act on multiple biological pathways simultaneously (Janardhana et al., 2023). The </w:t>
      </w:r>
      <w:r w:rsidRPr="005A6267">
        <w:rPr>
          <w:rFonts w:ascii="Times New Roman" w:eastAsia="Times New Roman" w:hAnsi="Times New Roman" w:cs="Times New Roman"/>
          <w:i/>
          <w:sz w:val="24"/>
          <w:szCs w:val="24"/>
          <w:lang w:eastAsia="en-IN"/>
        </w:rPr>
        <w:t>Bacopa monnieri</w:t>
      </w:r>
      <w:r w:rsidRPr="005A6267">
        <w:rPr>
          <w:rFonts w:ascii="Times New Roman" w:eastAsia="Times New Roman" w:hAnsi="Times New Roman" w:cs="Times New Roman"/>
          <w:sz w:val="24"/>
          <w:szCs w:val="24"/>
          <w:lang w:eastAsia="en-IN"/>
        </w:rPr>
        <w:t xml:space="preserve"> (brahmi), </w:t>
      </w:r>
      <w:r w:rsidRPr="005A6267">
        <w:rPr>
          <w:rFonts w:ascii="Times New Roman" w:eastAsia="Times New Roman" w:hAnsi="Times New Roman" w:cs="Times New Roman"/>
          <w:i/>
          <w:sz w:val="24"/>
          <w:szCs w:val="24"/>
          <w:lang w:eastAsia="en-IN"/>
        </w:rPr>
        <w:t>Withania somnifera</w:t>
      </w:r>
      <w:r w:rsidRPr="005A6267">
        <w:rPr>
          <w:rFonts w:ascii="Times New Roman" w:eastAsia="Times New Roman" w:hAnsi="Times New Roman" w:cs="Times New Roman"/>
          <w:sz w:val="24"/>
          <w:szCs w:val="24"/>
          <w:lang w:eastAsia="en-IN"/>
        </w:rPr>
        <w:t xml:space="preserve"> (ashwagandha), </w:t>
      </w:r>
      <w:r w:rsidRPr="005A6267">
        <w:rPr>
          <w:rFonts w:ascii="Times New Roman" w:eastAsia="Times New Roman" w:hAnsi="Times New Roman" w:cs="Times New Roman"/>
          <w:i/>
          <w:sz w:val="24"/>
          <w:szCs w:val="24"/>
          <w:lang w:eastAsia="en-IN"/>
        </w:rPr>
        <w:t>Curcuma longa</w:t>
      </w:r>
      <w:r w:rsidRPr="005A6267">
        <w:rPr>
          <w:rFonts w:ascii="Times New Roman" w:eastAsia="Times New Roman" w:hAnsi="Times New Roman" w:cs="Times New Roman"/>
          <w:sz w:val="24"/>
          <w:szCs w:val="24"/>
          <w:lang w:eastAsia="en-IN"/>
        </w:rPr>
        <w:t xml:space="preserve"> (turmeric) and </w:t>
      </w:r>
      <w:r w:rsidRPr="005A6267">
        <w:rPr>
          <w:rFonts w:ascii="Times New Roman" w:eastAsia="Times New Roman" w:hAnsi="Times New Roman" w:cs="Times New Roman"/>
          <w:i/>
          <w:sz w:val="24"/>
          <w:szCs w:val="24"/>
          <w:lang w:eastAsia="en-IN"/>
        </w:rPr>
        <w:t>Centella asiatica</w:t>
      </w:r>
      <w:r w:rsidRPr="005A6267">
        <w:rPr>
          <w:rFonts w:ascii="Times New Roman" w:eastAsia="Times New Roman" w:hAnsi="Times New Roman" w:cs="Times New Roman"/>
          <w:sz w:val="24"/>
          <w:szCs w:val="24"/>
          <w:lang w:eastAsia="en-IN"/>
        </w:rPr>
        <w:t xml:space="preserve"> (gotu kola) are traditional Indian herbs already known to have an adaptogenic effect as well as neuroprotective properties, and have been incorporated into folk and Ayurvedic preparations. These effects are increasingly being confirmed by modern pharmacological studies, which offers a chance to reconcile conventional knowledge with the evidences of neurology. Plant-based therapies have multi-target effects (anti-inflammatory, anti-apoptotic, antioxidant, neurotrophic, modulation of synapses) and these are in line with the intricate pathobiology of major neurological disorders.</w:t>
      </w:r>
    </w:p>
    <w:p w:rsidR="006F1C79" w:rsidRDefault="006F1C79" w:rsidP="0093111D">
      <w:pPr>
        <w:spacing w:line="240" w:lineRule="auto"/>
        <w:jc w:val="both"/>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Plant-derived compounds such as polyphenols, terpenoids, curcuminoids have antioxidant  and anti-inflammatory properties, blocking COX-2 production, nuclear factor kappa B signalling and proinflammatory cytokin</w:t>
      </w:r>
      <w:r w:rsidR="00B260F6">
        <w:rPr>
          <w:rFonts w:ascii="Times New Roman" w:eastAsia="Times New Roman" w:hAnsi="Times New Roman" w:cs="Times New Roman"/>
          <w:sz w:val="24"/>
          <w:szCs w:val="24"/>
          <w:lang w:eastAsia="en-IN"/>
        </w:rPr>
        <w:t>es for example IL-1β and TNF-α (Gawrysz et al., 2025</w:t>
      </w:r>
      <w:r w:rsidRPr="005A6267">
        <w:rPr>
          <w:rFonts w:ascii="Times New Roman" w:eastAsia="Times New Roman" w:hAnsi="Times New Roman" w:cs="Times New Roman"/>
          <w:sz w:val="24"/>
          <w:szCs w:val="24"/>
          <w:lang w:eastAsia="en-IN"/>
        </w:rPr>
        <w:t xml:space="preserve">; </w:t>
      </w:r>
      <w:r w:rsidR="00FB0A9F">
        <w:rPr>
          <w:rFonts w:ascii="Times New Roman" w:eastAsia="Times New Roman" w:hAnsi="Times New Roman" w:cs="Times New Roman"/>
          <w:sz w:val="24"/>
          <w:szCs w:val="24"/>
          <w:lang w:eastAsia="en-IN"/>
        </w:rPr>
        <w:t>Fan &amp; Lei, 2022</w:t>
      </w:r>
      <w:r w:rsidRPr="005A6267">
        <w:rPr>
          <w:rFonts w:ascii="Times New Roman" w:eastAsia="Times New Roman" w:hAnsi="Times New Roman" w:cs="Times New Roman"/>
          <w:sz w:val="24"/>
          <w:szCs w:val="24"/>
          <w:lang w:eastAsia="en-IN"/>
        </w:rPr>
        <w:t xml:space="preserve">). These agents also support </w:t>
      </w:r>
      <w:r w:rsidRPr="005A6267">
        <w:rPr>
          <w:rFonts w:ascii="Times New Roman" w:eastAsia="Times New Roman" w:hAnsi="Times New Roman" w:cs="Times New Roman"/>
          <w:bCs/>
          <w:sz w:val="24"/>
          <w:szCs w:val="24"/>
          <w:lang w:eastAsia="en-IN"/>
        </w:rPr>
        <w:t>mitochondrial</w:t>
      </w:r>
      <w:r w:rsidRPr="005A6267">
        <w:rPr>
          <w:rFonts w:ascii="Times New Roman" w:eastAsia="Times New Roman" w:hAnsi="Times New Roman" w:cs="Times New Roman"/>
          <w:b/>
          <w:bCs/>
          <w:sz w:val="24"/>
          <w:szCs w:val="24"/>
          <w:lang w:eastAsia="en-IN"/>
        </w:rPr>
        <w:t xml:space="preserve"> </w:t>
      </w:r>
      <w:r w:rsidRPr="005A6267">
        <w:rPr>
          <w:rFonts w:ascii="Times New Roman" w:eastAsia="Times New Roman" w:hAnsi="Times New Roman" w:cs="Times New Roman"/>
          <w:bCs/>
          <w:sz w:val="24"/>
          <w:szCs w:val="24"/>
          <w:lang w:eastAsia="en-IN"/>
        </w:rPr>
        <w:t>integrity and anti-apoptotic pathways</w:t>
      </w:r>
      <w:r w:rsidRPr="005A6267">
        <w:rPr>
          <w:rFonts w:ascii="Times New Roman" w:eastAsia="Times New Roman" w:hAnsi="Times New Roman" w:cs="Times New Roman"/>
          <w:sz w:val="24"/>
          <w:szCs w:val="24"/>
          <w:lang w:eastAsia="en-IN"/>
        </w:rPr>
        <w:t xml:space="preserve">, evidenced by modulation of the Bcl-2/Bax ratio, suppression of caspase-3, and stabilisation of neuronal membranes </w:t>
      </w:r>
      <w:r w:rsidR="00B260F6" w:rsidRPr="00B260F6">
        <w:rPr>
          <w:rFonts w:ascii="Times New Roman" w:eastAsia="Times New Roman" w:hAnsi="Times New Roman" w:cs="Times New Roman"/>
          <w:sz w:val="24"/>
          <w:szCs w:val="24"/>
          <w:lang w:eastAsia="en-IN"/>
        </w:rPr>
        <w:t>(Gawrysz et al., 2025)</w:t>
      </w:r>
      <w:r w:rsidR="00B260F6">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 xml:space="preserve">Their influence on </w:t>
      </w:r>
      <w:r w:rsidRPr="005A6267">
        <w:rPr>
          <w:rFonts w:ascii="Times New Roman" w:eastAsia="Times New Roman" w:hAnsi="Times New Roman" w:cs="Times New Roman"/>
          <w:bCs/>
          <w:sz w:val="24"/>
          <w:szCs w:val="24"/>
          <w:lang w:eastAsia="en-IN"/>
        </w:rPr>
        <w:t>neurotransmission and synaptic plasticity</w:t>
      </w:r>
      <w:r w:rsidRPr="005A6267">
        <w:rPr>
          <w:rFonts w:ascii="Times New Roman" w:eastAsia="Times New Roman" w:hAnsi="Times New Roman" w:cs="Times New Roman"/>
          <w:sz w:val="24"/>
          <w:szCs w:val="24"/>
          <w:lang w:eastAsia="en-IN"/>
        </w:rPr>
        <w:t xml:space="preserve"> encompasses GABAergic facilitation, cholinesterase inhibition, modulation of glutamate and NMDA, and upregulation of</w:t>
      </w:r>
      <w:r w:rsidR="00B260F6">
        <w:rPr>
          <w:rFonts w:ascii="Times New Roman" w:eastAsia="Times New Roman" w:hAnsi="Times New Roman" w:cs="Times New Roman"/>
          <w:sz w:val="24"/>
          <w:szCs w:val="24"/>
          <w:lang w:eastAsia="en-IN"/>
        </w:rPr>
        <w:t xml:space="preserve"> BDNF </w:t>
      </w:r>
      <w:r w:rsidR="00B260F6" w:rsidRPr="00B260F6">
        <w:rPr>
          <w:rFonts w:ascii="Times New Roman" w:eastAsia="Times New Roman" w:hAnsi="Times New Roman" w:cs="Times New Roman"/>
          <w:sz w:val="24"/>
          <w:szCs w:val="24"/>
          <w:lang w:eastAsia="en-IN"/>
        </w:rPr>
        <w:t>(Gawrysz et al., 2</w:t>
      </w:r>
      <w:r w:rsidR="00B260F6">
        <w:rPr>
          <w:rFonts w:ascii="Times New Roman" w:eastAsia="Times New Roman" w:hAnsi="Times New Roman" w:cs="Times New Roman"/>
          <w:sz w:val="24"/>
          <w:szCs w:val="24"/>
          <w:lang w:eastAsia="en-IN"/>
        </w:rPr>
        <w:t>025</w:t>
      </w:r>
      <w:r w:rsidRPr="005A6267">
        <w:rPr>
          <w:rFonts w:ascii="Times New Roman" w:eastAsia="Times New Roman" w:hAnsi="Times New Roman" w:cs="Times New Roman"/>
          <w:sz w:val="24"/>
          <w:szCs w:val="24"/>
          <w:lang w:eastAsia="en-IN"/>
        </w:rPr>
        <w:t xml:space="preserve">; </w:t>
      </w:r>
      <w:r w:rsidR="001C7D9B">
        <w:rPr>
          <w:rFonts w:ascii="Times New Roman" w:eastAsia="Times New Roman" w:hAnsi="Times New Roman" w:cs="Times New Roman"/>
          <w:sz w:val="24"/>
          <w:szCs w:val="24"/>
          <w:lang w:eastAsia="en-IN"/>
        </w:rPr>
        <w:t>Semwal et al., 2014</w:t>
      </w:r>
      <w:r w:rsidRPr="005A6267">
        <w:rPr>
          <w:rFonts w:ascii="Times New Roman" w:eastAsia="Times New Roman" w:hAnsi="Times New Roman" w:cs="Times New Roman"/>
          <w:sz w:val="24"/>
          <w:szCs w:val="24"/>
          <w:lang w:eastAsia="en-IN"/>
        </w:rPr>
        <w:t>). Additionally, endothelial stabilisation and antiplatelet effect aid cerebrovascular protection, especially in a situation of ischemic injury (</w:t>
      </w:r>
      <w:r w:rsidR="00FB0A9F">
        <w:rPr>
          <w:rFonts w:ascii="Times New Roman" w:eastAsia="Times New Roman" w:hAnsi="Times New Roman" w:cs="Times New Roman"/>
          <w:sz w:val="24"/>
          <w:szCs w:val="24"/>
          <w:lang w:eastAsia="en-IN"/>
        </w:rPr>
        <w:t>Fan &amp; Lei, 2022</w:t>
      </w:r>
      <w:r w:rsidRPr="005A6267">
        <w:rPr>
          <w:rFonts w:ascii="Times New Roman" w:eastAsia="Times New Roman" w:hAnsi="Times New Roman" w:cs="Times New Roman"/>
          <w:sz w:val="24"/>
          <w:szCs w:val="24"/>
          <w:lang w:eastAsia="en-IN"/>
        </w:rPr>
        <w:t>).</w:t>
      </w:r>
    </w:p>
    <w:p w:rsidR="00CE2F55" w:rsidRDefault="00CE2F55">
      <w:pPr>
        <w:rPr>
          <w:rFonts w:ascii="Times New Roman" w:hAnsi="Times New Roman" w:cs="Times New Roman"/>
          <w:b/>
          <w:sz w:val="24"/>
        </w:rPr>
      </w:pPr>
      <w:r>
        <w:rPr>
          <w:rFonts w:ascii="Times New Roman" w:hAnsi="Times New Roman" w:cs="Times New Roman"/>
          <w:b/>
          <w:sz w:val="24"/>
        </w:rPr>
        <w:br w:type="page"/>
      </w:r>
    </w:p>
    <w:p w:rsidR="006C657F" w:rsidRPr="00CE2F55" w:rsidRDefault="006C657F" w:rsidP="00CE2F55">
      <w:pPr>
        <w:spacing w:before="100" w:beforeAutospacing="1" w:after="100" w:afterAutospacing="1" w:line="240" w:lineRule="auto"/>
        <w:jc w:val="center"/>
        <w:rPr>
          <w:rFonts w:ascii="Times New Roman" w:eastAsia="Times New Roman" w:hAnsi="Times New Roman" w:cs="Times New Roman"/>
          <w:b/>
          <w:sz w:val="28"/>
          <w:szCs w:val="24"/>
          <w:lang w:eastAsia="en-IN"/>
        </w:rPr>
      </w:pPr>
      <w:r w:rsidRPr="002154E2">
        <w:rPr>
          <w:rFonts w:ascii="Times New Roman" w:hAnsi="Times New Roman" w:cs="Times New Roman"/>
          <w:b/>
          <w:sz w:val="24"/>
        </w:rPr>
        <w:lastRenderedPageBreak/>
        <w:t>Figure 6: Major inflammatory pathways of  </w:t>
      </w:r>
      <w:hyperlink r:id="rId14" w:tooltip="Learn more about neurological disorders from ScienceDirect's AI-generated Topic Pages" w:history="1">
        <w:r w:rsidRPr="002154E2">
          <w:rPr>
            <w:rStyle w:val="Hyperlink"/>
            <w:rFonts w:ascii="Times New Roman" w:hAnsi="Times New Roman" w:cs="Times New Roman"/>
            <w:b/>
            <w:color w:val="auto"/>
            <w:sz w:val="24"/>
            <w:u w:val="none"/>
          </w:rPr>
          <w:t>neurological disorders</w:t>
        </w:r>
      </w:hyperlink>
    </w:p>
    <w:p w:rsidR="006F1C79" w:rsidRPr="005A6267" w:rsidRDefault="006F1C79" w:rsidP="00AF7DB1">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5A6267">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1A0C14FF" wp14:editId="5C8E378D">
                <wp:simplePos x="0" y="0"/>
                <wp:positionH relativeFrom="margin">
                  <wp:posOffset>2837180</wp:posOffset>
                </wp:positionH>
                <wp:positionV relativeFrom="paragraph">
                  <wp:posOffset>2068195</wp:posOffset>
                </wp:positionV>
                <wp:extent cx="0" cy="360000"/>
                <wp:effectExtent l="19050" t="0" r="38100" b="40640"/>
                <wp:wrapNone/>
                <wp:docPr id="38" name="Straight Connector 38"/>
                <wp:cNvGraphicFramePr/>
                <a:graphic xmlns:a="http://schemas.openxmlformats.org/drawingml/2006/main">
                  <a:graphicData uri="http://schemas.microsoft.com/office/word/2010/wordprocessingShape">
                    <wps:wsp>
                      <wps:cNvCnPr/>
                      <wps:spPr>
                        <a:xfrm>
                          <a:off x="0" y="0"/>
                          <a:ext cx="0" cy="36000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2C637" id="Straight Connector 3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4pt,162.85pt" to="223.4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" strokecolor="black [3200]" strokeweight="4.5pt">
                <v:stroke joinstyle="miter"/>
                <w10:wrap anchorx="margin"/>
              </v:line>
            </w:pict>
          </mc:Fallback>
        </mc:AlternateContent>
      </w:r>
      <w:r w:rsidRPr="005A6267">
        <w:rPr>
          <w:rFonts w:ascii="Times New Roman" w:eastAsia="Times New Roman" w:hAnsi="Times New Roman" w:cs="Times New Roman"/>
          <w:noProof/>
          <w:sz w:val="24"/>
          <w:szCs w:val="24"/>
          <w:lang w:eastAsia="en-IN"/>
        </w:rPr>
        <w:drawing>
          <wp:inline distT="0" distB="0" distL="0" distR="0" wp14:anchorId="39DF952A" wp14:editId="516A5010">
            <wp:extent cx="404749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rotWithShape="1">
                    <a:blip r:embed="rId15" cstate="print">
                      <a:extLst>
                        <a:ext uri="{28A0092B-C50C-407E-A947-70E740481C1C}">
                          <a14:useLocalDpi xmlns:a14="http://schemas.microsoft.com/office/drawing/2010/main" val="0"/>
                        </a:ext>
                      </a:extLst>
                    </a:blip>
                    <a:srcRect b="-672"/>
                    <a:stretch/>
                  </pic:blipFill>
                  <pic:spPr bwMode="auto">
                    <a:xfrm>
                      <a:off x="0" y="0"/>
                      <a:ext cx="4056499" cy="2205172"/>
                    </a:xfrm>
                    <a:prstGeom prst="rect">
                      <a:avLst/>
                    </a:prstGeom>
                    <a:ln>
                      <a:noFill/>
                    </a:ln>
                    <a:extLst>
                      <a:ext uri="{53640926-AAD7-44D8-BBD7-CCE9431645EC}">
                        <a14:shadowObscured xmlns:a14="http://schemas.microsoft.com/office/drawing/2010/main"/>
                      </a:ext>
                    </a:extLst>
                  </pic:spPr>
                </pic:pic>
              </a:graphicData>
            </a:graphic>
          </wp:inline>
        </w:drawing>
      </w:r>
      <w:r w:rsidRPr="005A6267">
        <w:rPr>
          <w:rFonts w:ascii="Times New Roman" w:eastAsia="Times New Roman" w:hAnsi="Times New Roman" w:cs="Times New Roman"/>
          <w:noProof/>
          <w:sz w:val="24"/>
          <w:szCs w:val="24"/>
          <w:lang w:eastAsia="en-IN"/>
        </w:rPr>
        <w:drawing>
          <wp:inline distT="0" distB="0" distL="0" distR="0" wp14:anchorId="768E4D8D" wp14:editId="4C420EF6">
            <wp:extent cx="3923030" cy="2162670"/>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rotWithShape="1">
                    <a:blip r:embed="rId16" cstate="print">
                      <a:extLst>
                        <a:ext uri="{28A0092B-C50C-407E-A947-70E740481C1C}">
                          <a14:useLocalDpi xmlns:a14="http://schemas.microsoft.com/office/drawing/2010/main" val="0"/>
                        </a:ext>
                      </a:extLst>
                    </a:blip>
                    <a:srcRect t="1809"/>
                    <a:stretch/>
                  </pic:blipFill>
                  <pic:spPr bwMode="auto">
                    <a:xfrm>
                      <a:off x="0" y="0"/>
                      <a:ext cx="3933593" cy="2168493"/>
                    </a:xfrm>
                    <a:prstGeom prst="rect">
                      <a:avLst/>
                    </a:prstGeom>
                    <a:ln>
                      <a:noFill/>
                    </a:ln>
                    <a:extLst>
                      <a:ext uri="{53640926-AAD7-44D8-BBD7-CCE9431645EC}">
                        <a14:shadowObscured xmlns:a14="http://schemas.microsoft.com/office/drawing/2010/main"/>
                      </a:ext>
                    </a:extLst>
                  </pic:spPr>
                </pic:pic>
              </a:graphicData>
            </a:graphic>
          </wp:inline>
        </w:drawing>
      </w:r>
      <w:r w:rsidRPr="005A6267">
        <w:rPr>
          <w:rFonts w:ascii="Times New Roman" w:eastAsia="Times New Roman" w:hAnsi="Times New Roman" w:cs="Times New Roman"/>
          <w:noProof/>
          <w:sz w:val="24"/>
          <w:szCs w:val="24"/>
          <w:lang w:eastAsia="en-IN"/>
        </w:rPr>
        <w:drawing>
          <wp:inline distT="0" distB="0" distL="0" distR="0" wp14:anchorId="1D44CD35" wp14:editId="73813BEC">
            <wp:extent cx="4143375" cy="2286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9789" cy="2295056"/>
                    </a:xfrm>
                    <a:prstGeom prst="rect">
                      <a:avLst/>
                    </a:prstGeom>
                  </pic:spPr>
                </pic:pic>
              </a:graphicData>
            </a:graphic>
          </wp:inline>
        </w:drawing>
      </w:r>
      <w:r w:rsidRPr="005A6267">
        <w:rPr>
          <w:rFonts w:ascii="Times New Roman" w:eastAsia="Times New Roman" w:hAnsi="Times New Roman" w:cs="Times New Roman"/>
          <w:noProof/>
          <w:sz w:val="24"/>
          <w:szCs w:val="24"/>
          <w:lang w:eastAsia="en-IN"/>
        </w:rPr>
        <w:drawing>
          <wp:inline distT="0" distB="0" distL="0" distR="0" wp14:anchorId="3FE4CC7D" wp14:editId="4785A5B6">
            <wp:extent cx="3923665" cy="833120"/>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png"/>
                    <pic:cNvPicPr/>
                  </pic:nvPicPr>
                  <pic:blipFill rotWithShape="1">
                    <a:blip r:embed="rId18" cstate="print">
                      <a:extLst>
                        <a:ext uri="{28A0092B-C50C-407E-A947-70E740481C1C}">
                          <a14:useLocalDpi xmlns:a14="http://schemas.microsoft.com/office/drawing/2010/main" val="0"/>
                        </a:ext>
                      </a:extLst>
                    </a:blip>
                    <a:srcRect b="61001"/>
                    <a:stretch/>
                  </pic:blipFill>
                  <pic:spPr bwMode="auto">
                    <a:xfrm>
                      <a:off x="0" y="0"/>
                      <a:ext cx="3952219" cy="839183"/>
                    </a:xfrm>
                    <a:prstGeom prst="rect">
                      <a:avLst/>
                    </a:prstGeom>
                    <a:ln>
                      <a:noFill/>
                    </a:ln>
                    <a:extLst>
                      <a:ext uri="{53640926-AAD7-44D8-BBD7-CCE9431645EC}">
                        <a14:shadowObscured xmlns:a14="http://schemas.microsoft.com/office/drawing/2010/main"/>
                      </a:ext>
                    </a:extLst>
                  </pic:spPr>
                </pic:pic>
              </a:graphicData>
            </a:graphic>
          </wp:inline>
        </w:drawing>
      </w:r>
    </w:p>
    <w:p w:rsidR="006F1C79" w:rsidRPr="005A6267" w:rsidRDefault="006F1C79" w:rsidP="00AF7DB1">
      <w:pPr>
        <w:spacing w:before="100" w:beforeAutospacing="1" w:after="100" w:afterAutospacing="1" w:line="240" w:lineRule="auto"/>
        <w:rPr>
          <w:rFonts w:ascii="Times New Roman" w:eastAsia="Times New Roman" w:hAnsi="Times New Roman" w:cs="Times New Roman"/>
          <w:sz w:val="28"/>
          <w:szCs w:val="24"/>
          <w:lang w:eastAsia="en-IN"/>
        </w:rPr>
      </w:pPr>
      <w:r w:rsidRPr="005A6267">
        <w:rPr>
          <w:rFonts w:ascii="Times New Roman" w:hAnsi="Times New Roman" w:cs="Times New Roman"/>
          <w:sz w:val="24"/>
        </w:rPr>
        <w:t>*Checkpoints mark the stages in the shared pathway where each neurological disorder emerges based on its dominant underlying mechanism.</w:t>
      </w:r>
    </w:p>
    <w:p w:rsidR="006F1C79" w:rsidRDefault="006F1C79" w:rsidP="00AA3938">
      <w:pPr>
        <w:pStyle w:val="NormalWeb"/>
      </w:pPr>
      <w:r w:rsidRPr="005A6267">
        <w:t xml:space="preserve">In </w:t>
      </w:r>
      <w:r w:rsidRPr="005A6267">
        <w:rPr>
          <w:bCs/>
        </w:rPr>
        <w:t>stroke</w:t>
      </w:r>
      <w:r w:rsidRPr="005A6267">
        <w:t xml:space="preserve">, curcumin from </w:t>
      </w:r>
      <w:r w:rsidRPr="005A6267">
        <w:rPr>
          <w:i/>
          <w:iCs/>
        </w:rPr>
        <w:t>Curcuma longa</w:t>
      </w:r>
      <w:r w:rsidRPr="005A6267">
        <w:t xml:space="preserve"> provides potent antioxidant, anti-inflammatory, and anti-apoptotic actions, reducing clot size and cerebral oedema, while enhancing mitochon</w:t>
      </w:r>
      <w:r w:rsidR="00A07171">
        <w:t>drial and endothelial function (Gawrysz et al., 2025</w:t>
      </w:r>
      <w:r w:rsidRPr="005A6267">
        <w:t xml:space="preserve">; </w:t>
      </w:r>
      <w:r w:rsidR="00FB0A9F">
        <w:t xml:space="preserve">Fan &amp; Lei, 2022; </w:t>
      </w:r>
      <w:r w:rsidR="002C6871">
        <w:t>W. Wang &amp; Xu, 2020</w:t>
      </w:r>
      <w:r w:rsidRPr="005A6267">
        <w:t xml:space="preserve">). Ginkgolides and bilobalide from </w:t>
      </w:r>
      <w:r w:rsidRPr="005A6267">
        <w:rPr>
          <w:i/>
          <w:iCs/>
        </w:rPr>
        <w:t>Ginkgo biloba</w:t>
      </w:r>
      <w:r w:rsidRPr="005A6267">
        <w:t xml:space="preserve"> serve as an antagonist to platelet-activating factor and are used for treating inflammation, supporting microcirculation and mitochondrial health, and act as a supplement in stroke recovery. Traditional neuroprotective agents, such as </w:t>
      </w:r>
      <w:r w:rsidRPr="005A6267">
        <w:rPr>
          <w:i/>
        </w:rPr>
        <w:t>Acorus calamus</w:t>
      </w:r>
      <w:r w:rsidRPr="005A6267">
        <w:t xml:space="preserve"> and </w:t>
      </w:r>
      <w:r w:rsidRPr="005A6267">
        <w:rPr>
          <w:i/>
        </w:rPr>
        <w:t>Nardostachys jatamansi</w:t>
      </w:r>
      <w:r w:rsidRPr="005A6267">
        <w:t>, exhibit antioxidative and anti-</w:t>
      </w:r>
      <w:r w:rsidRPr="005A6267">
        <w:lastRenderedPageBreak/>
        <w:t xml:space="preserve">apoptotic effects. In </w:t>
      </w:r>
      <w:r w:rsidRPr="005A6267">
        <w:rPr>
          <w:bCs/>
        </w:rPr>
        <w:t>migraine,</w:t>
      </w:r>
      <w:r w:rsidRPr="005A6267">
        <w:t xml:space="preserve"> </w:t>
      </w:r>
      <w:r w:rsidRPr="005A6267">
        <w:rPr>
          <w:i/>
          <w:iCs/>
        </w:rPr>
        <w:t>Withania somnifera</w:t>
      </w:r>
      <w:r w:rsidRPr="005A6267">
        <w:t xml:space="preserve"> modulates the HPA axis and reduces neuroinflammation (Pandit et al., 2024), while </w:t>
      </w:r>
      <w:r w:rsidRPr="005A6267">
        <w:rPr>
          <w:i/>
          <w:iCs/>
        </w:rPr>
        <w:t>Centella asiatica</w:t>
      </w:r>
      <w:r w:rsidRPr="005A6267">
        <w:t xml:space="preserve">, through asiaticoside and madecassoside, supports neurotrophy and suppresses inflammation-induced neurodegenerative markers (Ansari et al., 2025). </w:t>
      </w:r>
      <w:r w:rsidRPr="005A6267">
        <w:rPr>
          <w:i/>
          <w:iCs/>
        </w:rPr>
        <w:t>Curcuma longa</w:t>
      </w:r>
      <w:r w:rsidRPr="005A6267">
        <w:t xml:space="preserve"> also contributes to anti-inflammatory effects relevant to nerve-blood vessel system activation. For </w:t>
      </w:r>
      <w:r w:rsidRPr="005A6267">
        <w:rPr>
          <w:bCs/>
        </w:rPr>
        <w:t>dementia and Alzheimer’s disease</w:t>
      </w:r>
      <w:r w:rsidRPr="005A6267">
        <w:t xml:space="preserve">, bacosides and bacosaponins from </w:t>
      </w:r>
      <w:r w:rsidRPr="005A6267">
        <w:rPr>
          <w:i/>
          <w:iCs/>
        </w:rPr>
        <w:t>Bacopa monnieri</w:t>
      </w:r>
      <w:r w:rsidRPr="005A6267">
        <w:t xml:space="preserve"> enhance synaptic plasticity and memory, while anti-amyloid and antioxidant effects (</w:t>
      </w:r>
      <w:r w:rsidR="002C6871">
        <w:t>(Eraiah et al., 2024</w:t>
      </w:r>
      <w:r w:rsidRPr="005A6267">
        <w:t>;</w:t>
      </w:r>
      <w:r w:rsidR="001D314E">
        <w:t>Gościniak et al., 2025</w:t>
      </w:r>
      <w:r w:rsidRPr="005A6267">
        <w:t xml:space="preserve">). Withanolides and sitoindosides from </w:t>
      </w:r>
      <w:r w:rsidRPr="005A6267">
        <w:rPr>
          <w:i/>
          <w:iCs/>
        </w:rPr>
        <w:t>Withania somnifera</w:t>
      </w:r>
      <w:r w:rsidRPr="005A6267">
        <w:t xml:space="preserve"> offer anti-inflammatory, anti-amyloidogenic, and neuroprotective benefits and stress-ameliorating properties. Curcumin and demethoxycurcumin from </w:t>
      </w:r>
      <w:r w:rsidRPr="005A6267">
        <w:rPr>
          <w:i/>
          <w:iCs/>
        </w:rPr>
        <w:t>Curcuma longa</w:t>
      </w:r>
      <w:r w:rsidRPr="005A6267">
        <w:t xml:space="preserve"> modulate neuro-inflammatory pathways making it a promising long-term therapeutic </w:t>
      </w:r>
      <w:r w:rsidR="00A07171" w:rsidRPr="00A07171">
        <w:t>(Gawrysz et al., 2025)</w:t>
      </w:r>
      <w:r w:rsidR="00A07171">
        <w:t xml:space="preserve">. </w:t>
      </w:r>
      <w:r w:rsidRPr="005A6267">
        <w:t xml:space="preserve">In </w:t>
      </w:r>
      <w:r w:rsidRPr="005A6267">
        <w:rPr>
          <w:bCs/>
        </w:rPr>
        <w:t>Parkinson’s disease</w:t>
      </w:r>
      <w:r w:rsidRPr="005A6267">
        <w:t xml:space="preserve">, </w:t>
      </w:r>
      <w:r w:rsidRPr="005A6267">
        <w:rPr>
          <w:i/>
          <w:iCs/>
        </w:rPr>
        <w:t>Mucuna pruriens</w:t>
      </w:r>
      <w:r w:rsidRPr="005A6267">
        <w:t xml:space="preserve"> acts as a source of L-DOPA for dopaminergic support and reducing motor fluctuations. </w:t>
      </w:r>
      <w:r w:rsidRPr="005A6267">
        <w:rPr>
          <w:i/>
          <w:iCs/>
        </w:rPr>
        <w:t>Withania somnifera</w:t>
      </w:r>
      <w:r w:rsidRPr="005A6267">
        <w:t xml:space="preserve"> demonstrates antioxidant, anti-apoptotic, and dopaminergic stabilisation effects including a favourable Bcl-2/Bax balance and α-synuclein aggregation attenuation (Prakash et al., 2014). </w:t>
      </w:r>
      <w:r w:rsidRPr="005A6267">
        <w:rPr>
          <w:i/>
          <w:iCs/>
        </w:rPr>
        <w:t>Bacopa monnieri</w:t>
      </w:r>
      <w:r w:rsidRPr="005A6267">
        <w:t xml:space="preserve"> can further support anti-inflammatory and antioxidant defences. In </w:t>
      </w:r>
      <w:r w:rsidRPr="005A6267">
        <w:rPr>
          <w:bCs/>
        </w:rPr>
        <w:t>epilepsy</w:t>
      </w:r>
      <w:r w:rsidRPr="005A6267">
        <w:t xml:space="preserve">, </w:t>
      </w:r>
      <w:r w:rsidRPr="005A6267">
        <w:rPr>
          <w:i/>
          <w:iCs/>
        </w:rPr>
        <w:t>Centella asiatica</w:t>
      </w:r>
      <w:r w:rsidRPr="005A6267">
        <w:t xml:space="preserve"> and </w:t>
      </w:r>
      <w:r w:rsidRPr="005A6267">
        <w:rPr>
          <w:i/>
          <w:iCs/>
        </w:rPr>
        <w:t>Bacopa monnieri</w:t>
      </w:r>
      <w:r w:rsidRPr="005A6267">
        <w:t xml:space="preserve"> offer GABAergic facilitation and antioxidant protection, which may complement anticonvulsant therapies </w:t>
      </w:r>
      <w:r w:rsidR="000F056B" w:rsidRPr="000F056B">
        <w:t>(Gościniak et al., 2025)</w:t>
      </w:r>
      <w:r w:rsidR="000F056B">
        <w:t xml:space="preserve">. </w:t>
      </w:r>
      <w:r w:rsidRPr="005A6267">
        <w:rPr>
          <w:i/>
          <w:iCs/>
        </w:rPr>
        <w:t>Nardostachys jatamansi</w:t>
      </w:r>
      <w:r w:rsidRPr="005A6267">
        <w:t xml:space="preserve"> provides experimental anticonvulsant effects likely through GABA modulation and membrane stabilisation. For </w:t>
      </w:r>
      <w:r w:rsidRPr="005A6267">
        <w:rPr>
          <w:bCs/>
        </w:rPr>
        <w:t>neuropathic pain and diabetic neuropathy</w:t>
      </w:r>
      <w:r w:rsidRPr="005A6267">
        <w:t xml:space="preserve">, both </w:t>
      </w:r>
      <w:r w:rsidRPr="005A6267">
        <w:rPr>
          <w:i/>
          <w:iCs/>
        </w:rPr>
        <w:t>Curcuma longa</w:t>
      </w:r>
      <w:r w:rsidRPr="005A6267">
        <w:t xml:space="preserve"> and </w:t>
      </w:r>
      <w:r w:rsidRPr="005A6267">
        <w:rPr>
          <w:i/>
          <w:iCs/>
        </w:rPr>
        <w:t>Withania somnifera</w:t>
      </w:r>
      <w:r w:rsidRPr="005A6267">
        <w:t xml:space="preserve"> provide anti-inflammatory and neurotrophic support targeting sensitisation in peripheral and central pathways. In </w:t>
      </w:r>
      <w:r w:rsidRPr="005A6267">
        <w:rPr>
          <w:bCs/>
        </w:rPr>
        <w:t>traumatic brain injury (TBI)</w:t>
      </w:r>
      <w:r w:rsidRPr="005A6267">
        <w:t xml:space="preserve">, curcumin alleviates oxidative stress, decreases inflammatory cytokines (e.g., IL-1β, IL-6, TNF-α), reduces cerebral oedema, enhances BDNF, synapsin-I, and CREB expression, and optimises apoptotic markers </w:t>
      </w:r>
      <w:r w:rsidR="00EE6A9B" w:rsidRPr="00EE6A9B">
        <w:t>(Farkhondeh et al., 2019)</w:t>
      </w:r>
      <w:r w:rsidR="007A4311">
        <w:t xml:space="preserve">. </w:t>
      </w:r>
      <w:r w:rsidRPr="005A6267">
        <w:rPr>
          <w:i/>
          <w:iCs/>
        </w:rPr>
        <w:t>Withania somnifera</w:t>
      </w:r>
      <w:r w:rsidRPr="005A6267">
        <w:t xml:space="preserve"> and </w:t>
      </w:r>
      <w:r w:rsidRPr="005A6267">
        <w:rPr>
          <w:i/>
          <w:iCs/>
        </w:rPr>
        <w:t>Centella asiatica</w:t>
      </w:r>
      <w:r w:rsidRPr="005A6267">
        <w:t xml:space="preserve"> add complementary anti-inflammatory, anti-oedema, and neurotrophic support, aiding recovery and rehabilitation. Collectively, these phytochemicals offer </w:t>
      </w:r>
      <w:r w:rsidRPr="005A6267">
        <w:rPr>
          <w:bCs/>
        </w:rPr>
        <w:t>multi-targeted neuroprotection</w:t>
      </w:r>
      <w:r w:rsidRPr="005A6267">
        <w:t xml:space="preserve"> through antioxidant, anti-apoptotic, anti-inflammatory, synaptic plasticity, neurotrophic and cerebrovascular pathways. As adjuncts, not substitutes to standard care, they hold promise when supported by clinical validation for safety, dosing, and efficacy.</w:t>
      </w:r>
      <w:r w:rsidR="00AA3938">
        <w:t xml:space="preserve"> </w:t>
      </w:r>
      <w:r w:rsidR="00AA3938" w:rsidRPr="00AA3938">
        <w:t>Table 2 compiles commonly investigated medicinal plants, their major phytochemicals, and their proposed mechanisms of neuroprotection</w:t>
      </w:r>
      <w:r w:rsidR="00AA3938">
        <w:t xml:space="preserve"> across neurological disorders.</w:t>
      </w:r>
    </w:p>
    <w:p w:rsidR="006C657F" w:rsidRPr="002154E2" w:rsidRDefault="006C657F" w:rsidP="006C657F">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Table 2:</w:t>
      </w:r>
      <w:r w:rsidRPr="005A6267">
        <w:rPr>
          <w:rFonts w:ascii="Times New Roman" w:eastAsia="Times New Roman" w:hAnsi="Times New Roman" w:cs="Times New Roman"/>
          <w:b/>
          <w:sz w:val="24"/>
          <w:szCs w:val="24"/>
          <w:lang w:eastAsia="en-IN"/>
        </w:rPr>
        <w:t xml:space="preserve"> Commonly used plants for the treatment of neurological disorders</w:t>
      </w:r>
    </w:p>
    <w:tbl>
      <w:tblPr>
        <w:tblStyle w:val="TableGrid"/>
        <w:tblpPr w:leftFromText="180" w:rightFromText="180" w:vertAnchor="text" w:tblpY="1"/>
        <w:tblW w:w="10206" w:type="dxa"/>
        <w:tblLayout w:type="fixed"/>
        <w:tblLook w:val="04A0" w:firstRow="1" w:lastRow="0" w:firstColumn="1" w:lastColumn="0" w:noHBand="0" w:noVBand="1"/>
      </w:tblPr>
      <w:tblGrid>
        <w:gridCol w:w="1686"/>
        <w:gridCol w:w="1853"/>
        <w:gridCol w:w="2126"/>
        <w:gridCol w:w="2712"/>
        <w:gridCol w:w="1829"/>
      </w:tblGrid>
      <w:tr w:rsidR="006F1C79" w:rsidRPr="005A6267" w:rsidTr="006F1C79">
        <w:tc>
          <w:tcPr>
            <w:tcW w:w="1686"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 xml:space="preserve">Plant </w:t>
            </w:r>
          </w:p>
        </w:tc>
        <w:tc>
          <w:tcPr>
            <w:tcW w:w="1853"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Key Phytochemicals</w:t>
            </w:r>
          </w:p>
        </w:tc>
        <w:tc>
          <w:tcPr>
            <w:tcW w:w="2126"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Proposed Mechanisms</w:t>
            </w:r>
          </w:p>
        </w:tc>
        <w:tc>
          <w:tcPr>
            <w:tcW w:w="2712"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Target Neurological Disorders</w:t>
            </w:r>
          </w:p>
        </w:tc>
        <w:tc>
          <w:tcPr>
            <w:tcW w:w="1829" w:type="dxa"/>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References</w:t>
            </w: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b/>
                <w:bCs/>
                <w:i/>
                <w:sz w:val="24"/>
                <w:szCs w:val="24"/>
                <w:lang w:eastAsia="en-IN"/>
              </w:rPr>
            </w:pPr>
            <w:r w:rsidRPr="005A6267">
              <w:rPr>
                <w:rFonts w:ascii="Times New Roman" w:eastAsia="Times New Roman" w:hAnsi="Times New Roman" w:cs="Times New Roman"/>
                <w:b/>
                <w:bCs/>
                <w:i/>
                <w:sz w:val="24"/>
                <w:szCs w:val="24"/>
                <w:lang w:eastAsia="en-IN"/>
              </w:rPr>
              <w:t xml:space="preserve">Curcuma longa </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Curcumin, demethoxycurcumin</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Antioxidant (↓ ROS), anti-inflammatory (↓ NF-κB, TNF-α), anti-amyloid, neurogenesis, cerebrovascular protection</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Stroke, dementia/AD, migraine, neuropathic pain, TBI</w:t>
            </w:r>
          </w:p>
        </w:tc>
        <w:tc>
          <w:tcPr>
            <w:tcW w:w="1829" w:type="dxa"/>
          </w:tcPr>
          <w:p w:rsidR="006F1C79" w:rsidRPr="005A6267" w:rsidRDefault="004642A5" w:rsidP="00AF7DB1">
            <w:pPr>
              <w:spacing w:after="160"/>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Garodia et al., 2023, </w:t>
            </w:r>
            <w:r w:rsidR="000E0909">
              <w:rPr>
                <w:rFonts w:ascii="Times New Roman" w:eastAsia="Times New Roman" w:hAnsi="Times New Roman" w:cs="Times New Roman"/>
                <w:sz w:val="24"/>
                <w:szCs w:val="24"/>
                <w:lang w:eastAsia="en-IN"/>
              </w:rPr>
              <w:t>Genchi et al., 2024</w:t>
            </w: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b/>
                <w:bCs/>
                <w:i/>
                <w:sz w:val="24"/>
                <w:szCs w:val="24"/>
                <w:lang w:eastAsia="en-IN"/>
              </w:rPr>
              <w:t xml:space="preserve">Withania somnifera </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Withanolides, sitoindosides</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Adaptogenic (HPA modulation, ↓ cortisol), neurotrophic, GABA-mimetic, antioxidant</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Stress-linked migraine, dementia/AD, PD, neuropathic pain, TBI</w:t>
            </w:r>
          </w:p>
        </w:tc>
        <w:tc>
          <w:tcPr>
            <w:tcW w:w="1829"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hAnsi="Times New Roman" w:cs="Times New Roman"/>
                <w:sz w:val="24"/>
                <w:szCs w:val="24"/>
                <w:shd w:val="clear" w:color="auto" w:fill="FFFFFF"/>
              </w:rPr>
              <w:t>Lerose et al., 2024,</w:t>
            </w:r>
          </w:p>
          <w:p w:rsidR="006F1C79" w:rsidRPr="005A6267" w:rsidRDefault="006F1C79" w:rsidP="00AF7DB1">
            <w:pPr>
              <w:rPr>
                <w:rFonts w:ascii="Times New Roman" w:eastAsia="Times New Roman" w:hAnsi="Times New Roman" w:cs="Times New Roman"/>
                <w:sz w:val="24"/>
                <w:szCs w:val="24"/>
                <w:lang w:eastAsia="en-IN"/>
              </w:rPr>
            </w:pP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i/>
                <w:sz w:val="24"/>
                <w:szCs w:val="24"/>
                <w:lang w:eastAsia="en-IN"/>
              </w:rPr>
              <w:t>Bacopa monnieri</w:t>
            </w:r>
            <w:r w:rsidRPr="005A6267">
              <w:rPr>
                <w:rFonts w:ascii="Times New Roman" w:eastAsia="Times New Roman" w:hAnsi="Times New Roman" w:cs="Times New Roman"/>
                <w:b/>
                <w:bCs/>
                <w:sz w:val="24"/>
                <w:szCs w:val="24"/>
                <w:lang w:eastAsia="en-IN"/>
              </w:rPr>
              <w:t xml:space="preserve"> </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Bacosides A &amp; B</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Synaptic plasticity, cholinesterase inhibition, antioxidant, anti-amyloid</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Dementia/AD, epilepsy, PD</w:t>
            </w:r>
          </w:p>
        </w:tc>
        <w:tc>
          <w:tcPr>
            <w:tcW w:w="1829" w:type="dxa"/>
          </w:tcPr>
          <w:p w:rsidR="006F1C79" w:rsidRPr="005A6267" w:rsidRDefault="004642A5" w:rsidP="00AF7DB1">
            <w:pPr>
              <w:rPr>
                <w:rFonts w:ascii="Times New Roman" w:eastAsia="Times New Roman" w:hAnsi="Times New Roman" w:cs="Times New Roman"/>
                <w:sz w:val="24"/>
                <w:szCs w:val="24"/>
                <w:lang w:eastAsia="en-IN"/>
              </w:rPr>
            </w:pPr>
            <w:r w:rsidRPr="005A6267">
              <w:rPr>
                <w:rFonts w:ascii="Times New Roman" w:hAnsi="Times New Roman" w:cs="Times New Roman"/>
                <w:sz w:val="24"/>
                <w:szCs w:val="24"/>
                <w:shd w:val="clear" w:color="auto" w:fill="FFFFFF"/>
              </w:rPr>
              <w:t>Prabhakar et al., 2020</w:t>
            </w: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i/>
                <w:sz w:val="24"/>
                <w:szCs w:val="24"/>
                <w:lang w:eastAsia="en-IN"/>
              </w:rPr>
              <w:t>Centella asiatica</w:t>
            </w:r>
            <w:r w:rsidRPr="005A6267">
              <w:rPr>
                <w:rFonts w:ascii="Times New Roman" w:eastAsia="Times New Roman" w:hAnsi="Times New Roman" w:cs="Times New Roman"/>
                <w:b/>
                <w:bCs/>
                <w:sz w:val="24"/>
                <w:szCs w:val="24"/>
                <w:lang w:eastAsia="en-IN"/>
              </w:rPr>
              <w:t xml:space="preserve"> </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Asiaticoside, madecassoside</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Neurotrophic, anxiolytic, GABAergic, </w:t>
            </w:r>
            <w:r w:rsidRPr="005A6267">
              <w:rPr>
                <w:rFonts w:ascii="Times New Roman" w:eastAsia="Times New Roman" w:hAnsi="Times New Roman" w:cs="Times New Roman"/>
                <w:sz w:val="24"/>
                <w:szCs w:val="24"/>
                <w:lang w:eastAsia="en-IN"/>
              </w:rPr>
              <w:lastRenderedPageBreak/>
              <w:t>cerebrovascular protection</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lastRenderedPageBreak/>
              <w:t>Migraine, epilepsy, dementia, PD</w:t>
            </w:r>
          </w:p>
        </w:tc>
        <w:tc>
          <w:tcPr>
            <w:tcW w:w="1829" w:type="dxa"/>
          </w:tcPr>
          <w:p w:rsidR="006F1C79" w:rsidRPr="005A6267" w:rsidRDefault="004642A5"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Ansari et al. 2025</w:t>
            </w:r>
            <w:r>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Mando et al</w:t>
            </w:r>
            <w:r>
              <w:rPr>
                <w:rFonts w:ascii="Times New Roman" w:eastAsia="Times New Roman" w:hAnsi="Times New Roman" w:cs="Times New Roman"/>
                <w:sz w:val="24"/>
                <w:szCs w:val="24"/>
                <w:lang w:eastAsia="en-IN"/>
              </w:rPr>
              <w:t>.</w:t>
            </w:r>
            <w:r w:rsidRPr="005A6267">
              <w:rPr>
                <w:rFonts w:ascii="Times New Roman" w:eastAsia="Times New Roman" w:hAnsi="Times New Roman" w:cs="Times New Roman"/>
                <w:sz w:val="24"/>
                <w:szCs w:val="24"/>
                <w:lang w:eastAsia="en-IN"/>
              </w:rPr>
              <w:t xml:space="preserve">, </w:t>
            </w:r>
            <w:r w:rsidR="00802093">
              <w:rPr>
                <w:rFonts w:ascii="Times New Roman" w:eastAsia="Times New Roman" w:hAnsi="Times New Roman" w:cs="Times New Roman"/>
                <w:sz w:val="24"/>
                <w:szCs w:val="24"/>
                <w:lang w:eastAsia="en-IN"/>
              </w:rPr>
              <w:t>2024</w:t>
            </w:r>
          </w:p>
          <w:p w:rsidR="006F1C79" w:rsidRPr="005A6267" w:rsidRDefault="006F1C79" w:rsidP="00AF7DB1">
            <w:pPr>
              <w:spacing w:after="160"/>
              <w:rPr>
                <w:rFonts w:ascii="Times New Roman" w:eastAsia="Times New Roman" w:hAnsi="Times New Roman" w:cs="Times New Roman"/>
                <w:sz w:val="24"/>
                <w:szCs w:val="24"/>
                <w:lang w:eastAsia="en-IN"/>
              </w:rPr>
            </w:pP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b/>
                <w:bCs/>
                <w:i/>
                <w:sz w:val="24"/>
                <w:szCs w:val="24"/>
                <w:lang w:eastAsia="en-IN"/>
              </w:rPr>
              <w:lastRenderedPageBreak/>
              <w:t>Mucuna pruriens</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Natural L-DOPA, alkaloids</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Dopaminergic support, antioxidant</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Parkinson’s disease</w:t>
            </w:r>
          </w:p>
        </w:tc>
        <w:tc>
          <w:tcPr>
            <w:tcW w:w="1829" w:type="dxa"/>
          </w:tcPr>
          <w:p w:rsidR="006F1C79" w:rsidRPr="005A6267" w:rsidRDefault="00802093" w:rsidP="00AF7DB1">
            <w:pPr>
              <w:rPr>
                <w:rFonts w:ascii="Times New Roman" w:eastAsia="Times New Roman" w:hAnsi="Times New Roman" w:cs="Times New Roman"/>
                <w:sz w:val="24"/>
                <w:szCs w:val="24"/>
                <w:lang w:eastAsia="en-IN"/>
              </w:rPr>
            </w:pPr>
            <w:r>
              <w:rPr>
                <w:rFonts w:ascii="Times New Roman" w:hAnsi="Times New Roman" w:cs="Times New Roman"/>
                <w:sz w:val="24"/>
                <w:szCs w:val="24"/>
                <w:shd w:val="clear" w:color="auto" w:fill="FFFFFF"/>
              </w:rPr>
              <w:t>Hammoud et al., 2025</w:t>
            </w: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b/>
                <w:bCs/>
                <w:i/>
                <w:sz w:val="24"/>
                <w:szCs w:val="24"/>
                <w:lang w:eastAsia="en-IN"/>
              </w:rPr>
              <w:t>Ginkgo biloba</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Ginkgolides, bilobalide</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PAF antagonism, ↑ cerebral blood flow, mitochondrial protection, antioxidant</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Stroke recovery, dementia/AD</w:t>
            </w:r>
          </w:p>
        </w:tc>
        <w:tc>
          <w:tcPr>
            <w:tcW w:w="1829" w:type="dxa"/>
          </w:tcPr>
          <w:p w:rsidR="006F1C79" w:rsidRPr="005A6267" w:rsidRDefault="00802093" w:rsidP="00AF7DB1">
            <w:pPr>
              <w:spacing w:after="1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Singh et al., 2019</w:t>
            </w: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b/>
                <w:bCs/>
                <w:i/>
                <w:sz w:val="24"/>
                <w:szCs w:val="24"/>
                <w:lang w:eastAsia="en-IN"/>
              </w:rPr>
              <w:t>Nardostachys jatamansi</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Jatamansone (valeranone), sesquiterpenes</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GABA modulation, anticonvulsant, antioxidant, anti-apoptotic</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Epilepsy, stroke, anxiety</w:t>
            </w:r>
          </w:p>
        </w:tc>
        <w:tc>
          <w:tcPr>
            <w:tcW w:w="1829" w:type="dxa"/>
          </w:tcPr>
          <w:p w:rsidR="006F1C79" w:rsidRPr="005A6267" w:rsidRDefault="008B74A4" w:rsidP="00AF7DB1">
            <w:pPr>
              <w:rPr>
                <w:rFonts w:ascii="Times New Roman" w:eastAsia="Times New Roman" w:hAnsi="Times New Roman" w:cs="Times New Roman"/>
                <w:sz w:val="24"/>
                <w:szCs w:val="24"/>
                <w:lang w:eastAsia="en-IN"/>
              </w:rPr>
            </w:pPr>
            <w:r>
              <w:rPr>
                <w:rFonts w:ascii="Times New Roman" w:hAnsi="Times New Roman" w:cs="Times New Roman"/>
                <w:sz w:val="24"/>
                <w:szCs w:val="24"/>
                <w:shd w:val="clear" w:color="auto" w:fill="FFFFFF"/>
              </w:rPr>
              <w:t>Pathak &amp; Godela, 2024</w:t>
            </w:r>
          </w:p>
          <w:p w:rsidR="006F1C79" w:rsidRPr="005A6267" w:rsidRDefault="006F1C79" w:rsidP="00AF7DB1">
            <w:pPr>
              <w:spacing w:after="160"/>
              <w:rPr>
                <w:rFonts w:ascii="Times New Roman" w:eastAsia="Times New Roman" w:hAnsi="Times New Roman" w:cs="Times New Roman"/>
                <w:sz w:val="24"/>
                <w:szCs w:val="24"/>
                <w:lang w:eastAsia="en-IN"/>
              </w:rPr>
            </w:pPr>
          </w:p>
          <w:p w:rsidR="006F1C79" w:rsidRPr="005A6267" w:rsidRDefault="006F1C79" w:rsidP="00AF7DB1">
            <w:pPr>
              <w:rPr>
                <w:rFonts w:ascii="Times New Roman" w:eastAsia="Times New Roman" w:hAnsi="Times New Roman" w:cs="Times New Roman"/>
                <w:sz w:val="24"/>
                <w:szCs w:val="24"/>
                <w:lang w:eastAsia="en-IN"/>
              </w:rPr>
            </w:pPr>
          </w:p>
        </w:tc>
      </w:tr>
      <w:tr w:rsidR="006F1C79" w:rsidRPr="005A6267" w:rsidTr="006F1C79">
        <w:tc>
          <w:tcPr>
            <w:tcW w:w="1686"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b/>
                <w:bCs/>
                <w:i/>
                <w:sz w:val="24"/>
                <w:szCs w:val="24"/>
                <w:lang w:eastAsia="en-IN"/>
              </w:rPr>
              <w:t>Acorus calamus</w:t>
            </w:r>
          </w:p>
        </w:tc>
        <w:tc>
          <w:tcPr>
            <w:tcW w:w="1853"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α- and β-asarone</w:t>
            </w:r>
          </w:p>
        </w:tc>
        <w:tc>
          <w:tcPr>
            <w:tcW w:w="2126"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Neuroprotective, antioxidant, anti-apoptotic</w:t>
            </w:r>
          </w:p>
        </w:tc>
        <w:tc>
          <w:tcPr>
            <w:tcW w:w="2712"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Stroke, epilepsy, cognitive disorders</w:t>
            </w:r>
          </w:p>
        </w:tc>
        <w:tc>
          <w:tcPr>
            <w:tcW w:w="1829" w:type="dxa"/>
          </w:tcPr>
          <w:p w:rsidR="006F1C79" w:rsidRPr="005A6267" w:rsidRDefault="00D15F99" w:rsidP="00AF7DB1">
            <w:pPr>
              <w:rPr>
                <w:rFonts w:ascii="Times New Roman" w:eastAsia="Times New Roman" w:hAnsi="Times New Roman" w:cs="Times New Roman"/>
                <w:sz w:val="24"/>
                <w:szCs w:val="24"/>
                <w:lang w:eastAsia="en-IN"/>
              </w:rPr>
            </w:pPr>
            <w:r>
              <w:rPr>
                <w:rFonts w:ascii="Times New Roman" w:hAnsi="Times New Roman" w:cs="Times New Roman"/>
                <w:sz w:val="24"/>
                <w:szCs w:val="24"/>
                <w:shd w:val="clear" w:color="auto" w:fill="FFFFFF"/>
              </w:rPr>
              <w:t>Balakrishnan et al., 2022</w:t>
            </w:r>
          </w:p>
        </w:tc>
      </w:tr>
    </w:tbl>
    <w:p w:rsidR="006F1C79" w:rsidRDefault="006F1C79" w:rsidP="00AF7DB1">
      <w:pPr>
        <w:spacing w:before="100" w:beforeAutospacing="1" w:after="100" w:afterAutospacing="1" w:line="240" w:lineRule="auto"/>
        <w:rPr>
          <w:rFonts w:ascii="Times New Roman" w:eastAsia="Times New Roman" w:hAnsi="Times New Roman" w:cs="Times New Roman"/>
          <w:sz w:val="24"/>
          <w:szCs w:val="24"/>
          <w:lang w:eastAsia="en-IN"/>
        </w:rPr>
      </w:pPr>
    </w:p>
    <w:p w:rsidR="006F1C79" w:rsidRPr="0093111D" w:rsidRDefault="006F1C79" w:rsidP="00AF7DB1">
      <w:pPr>
        <w:spacing w:before="100" w:beforeAutospacing="1" w:after="100" w:afterAutospacing="1" w:line="240" w:lineRule="auto"/>
        <w:rPr>
          <w:rFonts w:ascii="Times New Roman" w:hAnsi="Times New Roman" w:cs="Times New Roman"/>
          <w:sz w:val="24"/>
          <w:shd w:val="clear" w:color="auto" w:fill="F8F9FA"/>
        </w:rPr>
      </w:pPr>
      <w:r w:rsidRPr="0093111D">
        <w:rPr>
          <w:rFonts w:ascii="Times New Roman" w:eastAsia="Times New Roman" w:hAnsi="Times New Roman" w:cs="Times New Roman"/>
          <w:sz w:val="24"/>
          <w:lang w:eastAsia="en-IN"/>
        </w:rPr>
        <w:t>AD- Alzheimer’s Disease, PD- Parkinson’s Disease, ROS- Reactive Oxygen Species, GABA-  Gamma-Aminobutyric Acid, L-DOPA-  L-3,4-Dihydroxyphenylalanine, TNF-α- Tumor Necrosis Factor-alpha, HPA- Hypothalamic-Pituitary-Adrenal, NF-κB-Nuclear Factor Kappa-light-chain-enhancer of activated B cells, TBI- Traumatic Brain Injury, PAF-Platelet Activating Factor, ↑: increase; ↓: decrease.</w:t>
      </w:r>
    </w:p>
    <w:p w:rsidR="006F1C79" w:rsidRPr="00A807B1" w:rsidRDefault="006F1C79" w:rsidP="0093111D">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A807B1">
        <w:rPr>
          <w:rFonts w:ascii="Times New Roman" w:eastAsia="Times New Roman" w:hAnsi="Times New Roman" w:cs="Times New Roman"/>
          <w:b/>
          <w:bCs/>
          <w:sz w:val="24"/>
          <w:szCs w:val="24"/>
          <w:lang w:eastAsia="en-IN"/>
        </w:rPr>
        <w:t>Phytochemicals in Neurological Disorders</w:t>
      </w:r>
    </w:p>
    <w:p w:rsidR="006F1C79" w:rsidRDefault="006F1C79" w:rsidP="00AA3938">
      <w:pPr>
        <w:pStyle w:val="NormalWeb"/>
      </w:pPr>
      <w:r w:rsidRPr="005A6267">
        <w:t xml:space="preserve">Plant-derived compounds have long played an important role in the management of neurological disorders, with many already incorporated into modern therapeutic regimens. For instance, </w:t>
      </w:r>
      <w:r w:rsidRPr="00D15F99">
        <w:rPr>
          <w:rStyle w:val="Strong"/>
          <w:b w:val="0"/>
        </w:rPr>
        <w:t>galantamine</w:t>
      </w:r>
      <w:r w:rsidRPr="005A6267">
        <w:t xml:space="preserve">, an Amaryllidaceae alkaloid derived from </w:t>
      </w:r>
      <w:r w:rsidRPr="005A6267">
        <w:rPr>
          <w:rStyle w:val="Emphasis"/>
        </w:rPr>
        <w:t>Galanthus</w:t>
      </w:r>
      <w:r w:rsidRPr="005A6267">
        <w:t xml:space="preserve"> and </w:t>
      </w:r>
      <w:r w:rsidRPr="005A6267">
        <w:rPr>
          <w:rStyle w:val="Emphasis"/>
        </w:rPr>
        <w:t>Narcissus</w:t>
      </w:r>
      <w:r w:rsidRPr="005A6267">
        <w:t xml:space="preserve"> species, is approved by FDA for Alzheimer’s disease due to its acetylcholinesterase inhibitory activity. Similarly, </w:t>
      </w:r>
      <w:r w:rsidRPr="00D15F99">
        <w:rPr>
          <w:rStyle w:val="Strong"/>
          <w:b w:val="0"/>
        </w:rPr>
        <w:t>huperzine</w:t>
      </w:r>
      <w:r w:rsidRPr="005A6267">
        <w:rPr>
          <w:rStyle w:val="Strong"/>
        </w:rPr>
        <w:t xml:space="preserve"> </w:t>
      </w:r>
      <w:r w:rsidRPr="00D15F99">
        <w:rPr>
          <w:rStyle w:val="Strong"/>
          <w:b w:val="0"/>
        </w:rPr>
        <w:t>A</w:t>
      </w:r>
      <w:r w:rsidRPr="005A6267">
        <w:t xml:space="preserve"> from </w:t>
      </w:r>
      <w:r w:rsidRPr="005A6267">
        <w:rPr>
          <w:rStyle w:val="Emphasis"/>
        </w:rPr>
        <w:t>Huperzia serrata</w:t>
      </w:r>
      <w:r w:rsidRPr="005A6267">
        <w:t xml:space="preserve"> is a potent reversible acetylcholinesterase inhibitor that has shown promise in improving cognitive function, although its clinical application remains limited outside China. </w:t>
      </w:r>
      <w:r w:rsidRPr="00D15F99">
        <w:rPr>
          <w:rStyle w:val="Strong"/>
          <w:b w:val="0"/>
        </w:rPr>
        <w:t>Resveratrol</w:t>
      </w:r>
      <w:r w:rsidRPr="005A6267">
        <w:t xml:space="preserve">, a stilbene from grapes, </w:t>
      </w:r>
      <w:r w:rsidRPr="005A6267">
        <w:rPr>
          <w:rStyle w:val="Emphasis"/>
        </w:rPr>
        <w:t>Vitis vinifera</w:t>
      </w:r>
      <w:r w:rsidRPr="005A6267">
        <w:t xml:space="preserve">, exerts neuroprotective effects by antioxidant and anti-inflammatory mechanisms and has been investigated for its role in Alzheimer’s, Parkinson’s, and cerebrovascular diseases. Another widely studied phytochemical is </w:t>
      </w:r>
      <w:r w:rsidRPr="00D15F99">
        <w:rPr>
          <w:rStyle w:val="Strong"/>
          <w:b w:val="0"/>
        </w:rPr>
        <w:t>Curcumin</w:t>
      </w:r>
      <w:r w:rsidRPr="005A6267">
        <w:t xml:space="preserve"> from </w:t>
      </w:r>
      <w:r w:rsidRPr="005A6267">
        <w:rPr>
          <w:rStyle w:val="Emphasis"/>
        </w:rPr>
        <w:t>Curcuma longa</w:t>
      </w:r>
      <w:r w:rsidRPr="005A6267">
        <w:t xml:space="preserve"> that is known for its pleiotropic antioxidant, anti-inflammatory, and anti-amyloidogenic effects. Beyond these, </w:t>
      </w:r>
      <w:r w:rsidRPr="00D15F99">
        <w:rPr>
          <w:rStyle w:val="Strong"/>
          <w:b w:val="0"/>
        </w:rPr>
        <w:t>withanolide</w:t>
      </w:r>
      <w:r w:rsidRPr="005A6267">
        <w:rPr>
          <w:rStyle w:val="Strong"/>
        </w:rPr>
        <w:t xml:space="preserve"> </w:t>
      </w:r>
      <w:r w:rsidRPr="00D15F99">
        <w:rPr>
          <w:rStyle w:val="Strong"/>
          <w:b w:val="0"/>
        </w:rPr>
        <w:t>A</w:t>
      </w:r>
      <w:r w:rsidRPr="005A6267">
        <w:t xml:space="preserve"> from </w:t>
      </w:r>
      <w:r w:rsidRPr="005A6267">
        <w:rPr>
          <w:rStyle w:val="Emphasis"/>
        </w:rPr>
        <w:t>Withania somnifera</w:t>
      </w:r>
      <w:r w:rsidRPr="005A6267">
        <w:t xml:space="preserve">, </w:t>
      </w:r>
      <w:r w:rsidRPr="00D15F99">
        <w:rPr>
          <w:rStyle w:val="Strong"/>
          <w:b w:val="0"/>
        </w:rPr>
        <w:t>asiaticoside</w:t>
      </w:r>
      <w:r w:rsidRPr="005A6267">
        <w:t xml:space="preserve"> from </w:t>
      </w:r>
      <w:r w:rsidRPr="005A6267">
        <w:rPr>
          <w:rStyle w:val="Emphasis"/>
        </w:rPr>
        <w:t>Centella asiatica</w:t>
      </w:r>
      <w:r w:rsidRPr="005A6267">
        <w:t xml:space="preserve">, </w:t>
      </w:r>
      <w:r w:rsidRPr="00D15F99">
        <w:rPr>
          <w:rStyle w:val="Strong"/>
          <w:b w:val="0"/>
        </w:rPr>
        <w:t>ginkgolide</w:t>
      </w:r>
      <w:r w:rsidRPr="005A6267">
        <w:rPr>
          <w:rStyle w:val="Strong"/>
        </w:rPr>
        <w:t xml:space="preserve"> </w:t>
      </w:r>
      <w:r w:rsidRPr="00D15F99">
        <w:rPr>
          <w:rStyle w:val="Strong"/>
          <w:b w:val="0"/>
        </w:rPr>
        <w:t>B</w:t>
      </w:r>
      <w:r w:rsidRPr="005A6267">
        <w:t xml:space="preserve"> from </w:t>
      </w:r>
      <w:r w:rsidRPr="005A6267">
        <w:rPr>
          <w:rStyle w:val="Emphasis"/>
        </w:rPr>
        <w:t>Ginkgo biloba</w:t>
      </w:r>
      <w:r w:rsidRPr="005A6267">
        <w:t xml:space="preserve">, </w:t>
      </w:r>
      <w:r w:rsidRPr="00D15F99">
        <w:rPr>
          <w:rStyle w:val="Strong"/>
          <w:b w:val="0"/>
        </w:rPr>
        <w:t>cannabidiol</w:t>
      </w:r>
      <w:r w:rsidRPr="005A6267">
        <w:t xml:space="preserve"> from </w:t>
      </w:r>
      <w:r w:rsidRPr="005A6267">
        <w:rPr>
          <w:rStyle w:val="Emphasis"/>
        </w:rPr>
        <w:t>Cannabis sativa</w:t>
      </w:r>
      <w:r w:rsidRPr="005A6267">
        <w:t xml:space="preserve">, </w:t>
      </w:r>
      <w:r w:rsidRPr="00D15F99">
        <w:rPr>
          <w:rStyle w:val="Strong"/>
          <w:b w:val="0"/>
        </w:rPr>
        <w:t>bacoside</w:t>
      </w:r>
      <w:r w:rsidRPr="005A6267">
        <w:rPr>
          <w:rStyle w:val="Strong"/>
        </w:rPr>
        <w:t xml:space="preserve"> </w:t>
      </w:r>
      <w:r w:rsidRPr="00D15F99">
        <w:rPr>
          <w:rStyle w:val="Strong"/>
          <w:b w:val="0"/>
        </w:rPr>
        <w:t>A</w:t>
      </w:r>
      <w:r w:rsidRPr="005A6267">
        <w:t xml:space="preserve"> from </w:t>
      </w:r>
      <w:r w:rsidRPr="005A6267">
        <w:rPr>
          <w:rStyle w:val="Emphasis"/>
        </w:rPr>
        <w:t>Bacopa monnieri</w:t>
      </w:r>
      <w:r w:rsidRPr="005A6267">
        <w:t xml:space="preserve">, and </w:t>
      </w:r>
      <w:r w:rsidRPr="00D15F99">
        <w:rPr>
          <w:rStyle w:val="Strong"/>
          <w:b w:val="0"/>
        </w:rPr>
        <w:t>lycopene</w:t>
      </w:r>
      <w:r w:rsidRPr="005A6267">
        <w:t xml:space="preserve"> from </w:t>
      </w:r>
      <w:r w:rsidRPr="005A6267">
        <w:rPr>
          <w:rStyle w:val="Emphasis"/>
        </w:rPr>
        <w:t>Solanum lycopersicum</w:t>
      </w:r>
      <w:r w:rsidRPr="005A6267">
        <w:t xml:space="preserve"> represent diverse structural classes including terpenoids, alkaloids, flavonoids, and carotenoids. Collectively, these phytochemicals show the therapeutic versatility of plant secondary metabolites in neurological disorders.</w:t>
      </w:r>
      <w:r w:rsidR="00AA3938">
        <w:t xml:space="preserve"> </w:t>
      </w:r>
      <w:r w:rsidR="00AA3938" w:rsidRPr="00AA3938">
        <w:t>The diverse classes of neuroactive phytochemicals and their neuroprotective</w:t>
      </w:r>
      <w:r w:rsidR="00AA3938">
        <w:t xml:space="preserve"> roles are outlined in Table 3.</w:t>
      </w:r>
    </w:p>
    <w:p w:rsidR="006C657F" w:rsidRPr="006C657F" w:rsidRDefault="006C657F" w:rsidP="006C657F">
      <w:pPr>
        <w:pStyle w:val="Heading3"/>
        <w:jc w:val="center"/>
        <w:rPr>
          <w:sz w:val="24"/>
          <w:szCs w:val="24"/>
        </w:rPr>
      </w:pPr>
      <w:r>
        <w:rPr>
          <w:bCs w:val="0"/>
          <w:sz w:val="24"/>
          <w:szCs w:val="24"/>
        </w:rPr>
        <w:t>Table 3:</w:t>
      </w:r>
      <w:r w:rsidRPr="002154E2">
        <w:rPr>
          <w:bCs w:val="0"/>
          <w:sz w:val="24"/>
          <w:szCs w:val="24"/>
        </w:rPr>
        <w:t xml:space="preserve"> Various Classes of Phytochemicals and Their Neuroprotective Roles</w:t>
      </w:r>
    </w:p>
    <w:tbl>
      <w:tblPr>
        <w:tblStyle w:val="TableGrid"/>
        <w:tblW w:w="10768" w:type="dxa"/>
        <w:tblLook w:val="04A0" w:firstRow="1" w:lastRow="0" w:firstColumn="1" w:lastColumn="0" w:noHBand="0" w:noVBand="1"/>
      </w:tblPr>
      <w:tblGrid>
        <w:gridCol w:w="1965"/>
        <w:gridCol w:w="2511"/>
        <w:gridCol w:w="4024"/>
        <w:gridCol w:w="2268"/>
      </w:tblGrid>
      <w:tr w:rsidR="006F1C79" w:rsidRPr="005A6267" w:rsidTr="002154E2">
        <w:tc>
          <w:tcPr>
            <w:tcW w:w="1965"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Class</w:t>
            </w:r>
          </w:p>
        </w:tc>
        <w:tc>
          <w:tcPr>
            <w:tcW w:w="2511"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Representative Compounds with Plant Sources</w:t>
            </w:r>
          </w:p>
        </w:tc>
        <w:tc>
          <w:tcPr>
            <w:tcW w:w="4024"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Neuroprotective Role</w:t>
            </w:r>
          </w:p>
        </w:tc>
        <w:tc>
          <w:tcPr>
            <w:tcW w:w="2268" w:type="dxa"/>
          </w:tcPr>
          <w:p w:rsidR="006F1C79" w:rsidRPr="002154E2" w:rsidRDefault="006F1C79" w:rsidP="00AF7DB1">
            <w:pPr>
              <w:jc w:val="center"/>
              <w:rPr>
                <w:rFonts w:ascii="Times New Roman" w:eastAsia="Times New Roman" w:hAnsi="Times New Roman" w:cs="Times New Roman"/>
                <w:b/>
                <w:bCs/>
                <w:sz w:val="24"/>
                <w:szCs w:val="24"/>
                <w:lang w:eastAsia="en-IN"/>
              </w:rPr>
            </w:pPr>
            <w:r w:rsidRPr="002154E2">
              <w:rPr>
                <w:rFonts w:ascii="Times New Roman" w:eastAsia="Times New Roman" w:hAnsi="Times New Roman" w:cs="Times New Roman"/>
                <w:b/>
                <w:bCs/>
                <w:sz w:val="24"/>
                <w:szCs w:val="24"/>
                <w:lang w:eastAsia="en-IN"/>
              </w:rPr>
              <w:t>References</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Alkaloids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Huperzine A (</w:t>
            </w:r>
            <w:r w:rsidRPr="005A6267">
              <w:rPr>
                <w:rFonts w:ascii="Times New Roman" w:eastAsia="Times New Roman" w:hAnsi="Times New Roman" w:cs="Times New Roman"/>
                <w:i/>
                <w:iCs/>
                <w:sz w:val="24"/>
                <w:szCs w:val="24"/>
                <w:lang w:eastAsia="en-IN"/>
              </w:rPr>
              <w:t>Huperzia serrata)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 reversible acetylcholinesterase inhibitor that enhances memory in Alzheimer’s disease.</w:t>
            </w:r>
          </w:p>
        </w:tc>
        <w:tc>
          <w:tcPr>
            <w:tcW w:w="2268" w:type="dxa"/>
          </w:tcPr>
          <w:p w:rsidR="006F1C79" w:rsidRPr="002154E2" w:rsidRDefault="00D15F9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 xml:space="preserve">Callizot et al., 2021, </w:t>
            </w:r>
            <w:r w:rsidR="006F1C79" w:rsidRPr="002154E2">
              <w:rPr>
                <w:rFonts w:ascii="Times New Roman" w:eastAsia="Times New Roman" w:hAnsi="Times New Roman" w:cs="Times New Roman"/>
                <w:sz w:val="24"/>
                <w:szCs w:val="24"/>
                <w:lang w:eastAsia="en-IN"/>
              </w:rPr>
              <w:t>Suvaiv et al., 2025</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Galantamine (</w:t>
            </w:r>
            <w:r w:rsidRPr="005A6267">
              <w:rPr>
                <w:rFonts w:ascii="Times New Roman" w:eastAsia="Times New Roman" w:hAnsi="Times New Roman" w:cs="Times New Roman"/>
                <w:i/>
                <w:iCs/>
                <w:sz w:val="24"/>
                <w:szCs w:val="24"/>
                <w:lang w:eastAsia="en-IN"/>
              </w:rPr>
              <w:t>Galanthus</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FDA-approved for Alzheimer’s disease, it enhances cholinergic neurotransmission.</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Varadharajan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i/>
                <w:sz w:val="24"/>
                <w:szCs w:val="24"/>
                <w:lang w:eastAsia="en-IN"/>
              </w:rPr>
            </w:pPr>
            <w:r w:rsidRPr="005A6267">
              <w:rPr>
                <w:rFonts w:ascii="Times New Roman" w:eastAsia="Times New Roman" w:hAnsi="Times New Roman" w:cs="Times New Roman"/>
                <w:sz w:val="24"/>
                <w:szCs w:val="24"/>
                <w:lang w:eastAsia="en-IN"/>
              </w:rPr>
              <w:t>Morphine, Codeine (</w:t>
            </w:r>
            <w:r w:rsidRPr="005A6267">
              <w:rPr>
                <w:rFonts w:ascii="Times New Roman" w:eastAsia="Times New Roman" w:hAnsi="Times New Roman" w:cs="Times New Roman"/>
                <w:i/>
                <w:sz w:val="24"/>
                <w:szCs w:val="24"/>
                <w:lang w:eastAsia="en-IN"/>
              </w:rPr>
              <w:t>Papaver somniferum)</w:t>
            </w:r>
          </w:p>
          <w:p w:rsidR="006F1C79" w:rsidRPr="005A6267" w:rsidRDefault="006F1C79" w:rsidP="00AF7DB1">
            <w:pPr>
              <w:rPr>
                <w:rFonts w:ascii="Times New Roman" w:eastAsia="Times New Roman" w:hAnsi="Times New Roman" w:cs="Times New Roman"/>
                <w:sz w:val="24"/>
                <w:szCs w:val="24"/>
                <w:lang w:eastAsia="en-IN"/>
              </w:rPr>
            </w:pP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Pain control in neurological conditions.</w:t>
            </w:r>
          </w:p>
        </w:tc>
        <w:tc>
          <w:tcPr>
            <w:tcW w:w="2268" w:type="dxa"/>
          </w:tcPr>
          <w:p w:rsidR="006F1C79" w:rsidRPr="002154E2" w:rsidRDefault="00D15F9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Bharti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Berberine (</w:t>
            </w:r>
            <w:r w:rsidRPr="005A6267">
              <w:rPr>
                <w:rFonts w:ascii="Times New Roman" w:eastAsia="Times New Roman" w:hAnsi="Times New Roman" w:cs="Times New Roman"/>
                <w:i/>
                <w:iCs/>
                <w:sz w:val="24"/>
                <w:szCs w:val="24"/>
                <w:lang w:eastAsia="en-IN"/>
              </w:rPr>
              <w:t>Berberis</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Neuroprotective, anti-inflammatory, and anti-amyloidogenic in Parkinson’s and Alzheimer’s disease models.</w:t>
            </w:r>
          </w:p>
        </w:tc>
        <w:tc>
          <w:tcPr>
            <w:tcW w:w="2268" w:type="dxa"/>
          </w:tcPr>
          <w:p w:rsidR="006F1C79" w:rsidRPr="002154E2" w:rsidRDefault="00D15F9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Cheng et al., 2022, Tian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Flavonoids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Quercetin (Onions, apples)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Reduces oxidative stress, prevents neuroinflammation, and improves cognition.</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Chiang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Kaempferol (Green tea, </w:t>
            </w:r>
            <w:r w:rsidRPr="005A6267">
              <w:rPr>
                <w:rFonts w:ascii="Times New Roman" w:eastAsia="Times New Roman" w:hAnsi="Times New Roman" w:cs="Times New Roman"/>
                <w:i/>
                <w:iCs/>
                <w:sz w:val="24"/>
                <w:szCs w:val="24"/>
                <w:lang w:eastAsia="en-IN"/>
              </w:rPr>
              <w:t>Ginkgo biloba)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Neuroprotection via antioxidant mechanisms.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 xml:space="preserve">Nezhad Salari et al., 2024, </w:t>
            </w:r>
            <w:r w:rsidR="00AF7DB1" w:rsidRPr="002154E2">
              <w:rPr>
                <w:rFonts w:ascii="Times New Roman" w:eastAsia="Times New Roman" w:hAnsi="Times New Roman" w:cs="Times New Roman"/>
                <w:sz w:val="24"/>
                <w:szCs w:val="24"/>
                <w:lang w:eastAsia="en-IN"/>
              </w:rPr>
              <w:t>Santos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Apigenin (</w:t>
            </w:r>
            <w:r w:rsidRPr="005A6267">
              <w:rPr>
                <w:rFonts w:ascii="Times New Roman" w:eastAsia="Times New Roman" w:hAnsi="Times New Roman" w:cs="Times New Roman"/>
                <w:i/>
                <w:iCs/>
                <w:sz w:val="24"/>
                <w:szCs w:val="24"/>
                <w:lang w:eastAsia="en-IN"/>
              </w:rPr>
              <w:t>Chamomilla recutita)</w:t>
            </w:r>
          </w:p>
        </w:tc>
        <w:tc>
          <w:tcPr>
            <w:tcW w:w="4024"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Anxiolytic and neuroprotective.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 xml:space="preserve">Olasehinde &amp; </w:t>
            </w:r>
            <w:r w:rsidR="00237800" w:rsidRPr="002154E2">
              <w:rPr>
                <w:rFonts w:ascii="Times New Roman" w:hAnsi="Times New Roman" w:cs="Times New Roman"/>
                <w:sz w:val="24"/>
                <w:szCs w:val="24"/>
                <w:shd w:val="clear" w:color="auto" w:fill="FFFFFF"/>
              </w:rPr>
              <w:t>Olaokun, 2024</w:t>
            </w:r>
            <w:r w:rsidRPr="002154E2">
              <w:rPr>
                <w:rFonts w:ascii="Times New Roman" w:hAnsi="Times New Roman" w:cs="Times New Roman"/>
                <w:sz w:val="24"/>
                <w:szCs w:val="24"/>
                <w:shd w:val="clear" w:color="auto" w:fill="FFFFFF"/>
              </w:rPr>
              <w:t xml:space="preserve"> </w:t>
            </w:r>
          </w:p>
        </w:tc>
      </w:tr>
      <w:tr w:rsidR="006F1C79" w:rsidRPr="005A6267" w:rsidTr="002154E2">
        <w:tc>
          <w:tcPr>
            <w:tcW w:w="1965" w:type="dxa"/>
          </w:tcPr>
          <w:p w:rsidR="006F1C79" w:rsidRPr="005A6267" w:rsidRDefault="006F1C79" w:rsidP="00AF7DB1">
            <w:pPr>
              <w:rPr>
                <w:rFonts w:ascii="Times New Roman" w:eastAsia="Times New Roman" w:hAnsi="Times New Roman" w:cs="Times New Roman"/>
                <w:sz w:val="24"/>
                <w:szCs w:val="24"/>
                <w:lang w:eastAsia="en-IN"/>
              </w:rPr>
            </w:pPr>
          </w:p>
        </w:tc>
        <w:tc>
          <w:tcPr>
            <w:tcW w:w="2511"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EGCG (</w:t>
            </w:r>
            <w:r w:rsidRPr="005A6267">
              <w:rPr>
                <w:rFonts w:ascii="Times New Roman" w:hAnsi="Times New Roman" w:cs="Times New Roman"/>
                <w:sz w:val="24"/>
                <w:szCs w:val="24"/>
                <w:shd w:val="clear" w:color="auto" w:fill="FFFFFF"/>
              </w:rPr>
              <w:t>Epigallocatechin gallate) (</w:t>
            </w:r>
            <w:r w:rsidRPr="005A6267">
              <w:rPr>
                <w:rFonts w:ascii="Times New Roman" w:eastAsia="Times New Roman" w:hAnsi="Times New Roman" w:cs="Times New Roman"/>
                <w:i/>
                <w:iCs/>
                <w:sz w:val="24"/>
                <w:szCs w:val="24"/>
                <w:lang w:eastAsia="en-IN"/>
              </w:rPr>
              <w:t>Camellia sinensis</w:t>
            </w:r>
            <w:r w:rsidRPr="005A6267">
              <w:rPr>
                <w:rFonts w:ascii="Times New Roman" w:eastAsia="Times New Roman" w:hAnsi="Times New Roman" w:cs="Times New Roman"/>
                <w:sz w:val="24"/>
                <w:szCs w:val="24"/>
                <w:lang w:eastAsia="en-IN"/>
              </w:rPr>
              <w:t xml:space="preserve"> (green tea))</w:t>
            </w:r>
          </w:p>
        </w:tc>
        <w:tc>
          <w:tcPr>
            <w:tcW w:w="4024" w:type="dxa"/>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Modulates amyloid-beta aggregation, prevents neuronal apoptosis.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Mokra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Polyphenols (Non-flavonoids)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Curcumin (</w:t>
            </w:r>
            <w:r w:rsidRPr="005A6267">
              <w:rPr>
                <w:rFonts w:ascii="Times New Roman" w:eastAsia="Times New Roman" w:hAnsi="Times New Roman" w:cs="Times New Roman"/>
                <w:i/>
                <w:iCs/>
                <w:sz w:val="24"/>
                <w:szCs w:val="24"/>
                <w:lang w:eastAsia="en-IN"/>
              </w:rPr>
              <w:t>Curcuma longa)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Reduces amyloid-beta, inhibits alpha-synuclein aggregation and exhibits strong antioxidant properties.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Xu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Resveratrol (Grapes, red wine, </w:t>
            </w:r>
            <w:r w:rsidRPr="005A6267">
              <w:rPr>
                <w:rFonts w:ascii="Times New Roman" w:eastAsia="Times New Roman" w:hAnsi="Times New Roman" w:cs="Times New Roman"/>
                <w:i/>
                <w:iCs/>
                <w:sz w:val="24"/>
                <w:szCs w:val="24"/>
                <w:lang w:eastAsia="en-IN"/>
              </w:rPr>
              <w:t>Polygonum cuspidatum)</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SIRT1 activation, improves mitochondrial function, and demonstrates neuroprotective properties.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Shaito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Caffeic &amp; Ferulic acids (Various medicinal plants)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Antioxidant and anti-inflammatory neuroprotection.</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Singh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Saponins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Bacosides (</w:t>
            </w:r>
            <w:r w:rsidRPr="005A6267">
              <w:rPr>
                <w:rFonts w:ascii="Times New Roman" w:eastAsia="Times New Roman" w:hAnsi="Times New Roman" w:cs="Times New Roman"/>
                <w:i/>
                <w:iCs/>
                <w:sz w:val="24"/>
                <w:szCs w:val="24"/>
                <w:lang w:eastAsia="en-IN"/>
              </w:rPr>
              <w:t>Bacopa monnieri)</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Enhance memory, synaptic plasticity, extensively studied in Alzheimer’s disease; and guard against oxidative damage.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Valotto Neto et al., 2024</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Ginsenosides (</w:t>
            </w:r>
            <w:r w:rsidRPr="005A6267">
              <w:rPr>
                <w:rFonts w:ascii="Times New Roman" w:eastAsia="Times New Roman" w:hAnsi="Times New Roman" w:cs="Times New Roman"/>
                <w:i/>
                <w:iCs/>
                <w:sz w:val="24"/>
                <w:szCs w:val="24"/>
                <w:lang w:eastAsia="en-IN"/>
              </w:rPr>
              <w:t>Panax ginseng)</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Modulate neurotransmission, reduce oxidative stress, and improve cognition; clinical evidence supports its use in stroke and dementia recovery.</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hAnsi="Times New Roman" w:cs="Times New Roman"/>
                <w:sz w:val="24"/>
                <w:szCs w:val="24"/>
                <w:shd w:val="clear" w:color="auto" w:fill="FFFFFF"/>
              </w:rPr>
              <w:t>Feng et al., 2022, Lee et al.,2024</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Glycosides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Salidroside (</w:t>
            </w:r>
            <w:r w:rsidRPr="005A6267">
              <w:rPr>
                <w:rFonts w:ascii="Times New Roman" w:eastAsia="Times New Roman" w:hAnsi="Times New Roman" w:cs="Times New Roman"/>
                <w:i/>
                <w:iCs/>
                <w:sz w:val="24"/>
                <w:szCs w:val="24"/>
                <w:lang w:eastAsia="en-IN"/>
              </w:rPr>
              <w:t>Rhodiola rosea)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Adaptogen reduces stress-induced neuronal damage.</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Liang et al., 2024</w:t>
            </w:r>
          </w:p>
          <w:p w:rsidR="006F1C79" w:rsidRPr="002154E2" w:rsidRDefault="006F1C79" w:rsidP="00AF7DB1">
            <w:pPr>
              <w:rPr>
                <w:rFonts w:ascii="Times New Roman" w:eastAsia="Times New Roman" w:hAnsi="Times New Roman" w:cs="Times New Roman"/>
                <w:sz w:val="24"/>
                <w:szCs w:val="24"/>
                <w:lang w:eastAsia="en-IN"/>
              </w:rPr>
            </w:pP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Stevioside (</w:t>
            </w:r>
            <w:r w:rsidRPr="005A6267">
              <w:rPr>
                <w:rFonts w:ascii="Times New Roman" w:eastAsia="Times New Roman" w:hAnsi="Times New Roman" w:cs="Times New Roman"/>
                <w:i/>
                <w:iCs/>
                <w:sz w:val="24"/>
                <w:szCs w:val="24"/>
                <w:lang w:eastAsia="en-IN"/>
              </w:rPr>
              <w:t>Stevia rebaudiana)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Antioxidant and neuroprotective (experimental stage).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Wang et al., 2025</w:t>
            </w:r>
          </w:p>
          <w:p w:rsidR="006F1C79" w:rsidRPr="002154E2" w:rsidRDefault="006F1C79" w:rsidP="00AF7DB1">
            <w:pPr>
              <w:rPr>
                <w:rFonts w:ascii="Times New Roman" w:eastAsia="Times New Roman" w:hAnsi="Times New Roman" w:cs="Times New Roman"/>
                <w:sz w:val="24"/>
                <w:szCs w:val="24"/>
                <w:lang w:eastAsia="en-IN"/>
              </w:rPr>
            </w:pP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Essential Oils / Aromatic Compounds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Linalool (</w:t>
            </w:r>
            <w:r w:rsidRPr="005A6267">
              <w:rPr>
                <w:rFonts w:ascii="Times New Roman" w:eastAsia="Times New Roman" w:hAnsi="Times New Roman" w:cs="Times New Roman"/>
                <w:i/>
                <w:iCs/>
                <w:sz w:val="24"/>
                <w:szCs w:val="24"/>
                <w:lang w:eastAsia="en-IN"/>
              </w:rPr>
              <w:t>Lavandula angustifolia)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Anxiolytic, anticonvulsant (GABAergic modulation).</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Bavarsad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Menthol (</w:t>
            </w:r>
            <w:r w:rsidRPr="005A6267">
              <w:rPr>
                <w:rFonts w:ascii="Times New Roman" w:eastAsia="Times New Roman" w:hAnsi="Times New Roman" w:cs="Times New Roman"/>
                <w:i/>
                <w:sz w:val="24"/>
                <w:szCs w:val="24"/>
                <w:lang w:eastAsia="en-IN"/>
              </w:rPr>
              <w:t>Mentha</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Analgesic, anti-migraine.</w:t>
            </w:r>
          </w:p>
        </w:tc>
        <w:tc>
          <w:tcPr>
            <w:tcW w:w="2268" w:type="dxa"/>
          </w:tcPr>
          <w:p w:rsidR="006F1C79" w:rsidRPr="002154E2" w:rsidRDefault="00F23FBC"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 xml:space="preserve">Li et al.,2022, </w:t>
            </w:r>
            <w:r w:rsidR="00237800" w:rsidRPr="002154E2">
              <w:rPr>
                <w:rFonts w:ascii="Times New Roman" w:eastAsia="Times New Roman" w:hAnsi="Times New Roman" w:cs="Times New Roman"/>
                <w:sz w:val="24"/>
                <w:szCs w:val="24"/>
                <w:lang w:eastAsia="en-IN"/>
              </w:rPr>
              <w:t>De Oliveira Koren et al., 2024</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Thymol, Carvacrol (</w:t>
            </w:r>
            <w:r w:rsidRPr="005A6267">
              <w:rPr>
                <w:rFonts w:ascii="Times New Roman" w:eastAsia="Times New Roman" w:hAnsi="Times New Roman" w:cs="Times New Roman"/>
                <w:i/>
                <w:iCs/>
                <w:sz w:val="24"/>
                <w:szCs w:val="24"/>
                <w:lang w:eastAsia="en-IN"/>
              </w:rPr>
              <w:t>Thymus vulgaris</w:t>
            </w:r>
            <w:r w:rsidRPr="005A6267">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i/>
                <w:iCs/>
                <w:sz w:val="24"/>
                <w:szCs w:val="24"/>
                <w:lang w:eastAsia="en-IN"/>
              </w:rPr>
              <w:t>Origanum vulgare)</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Neuroprotective via antioxidant/anti-inflammatory pathways.</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Gago et al., 2025</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Coumarins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Umbelliferone, Scopoletin (</w:t>
            </w:r>
            <w:r w:rsidRPr="005A6267">
              <w:rPr>
                <w:rFonts w:ascii="Times New Roman" w:eastAsia="Times New Roman" w:hAnsi="Times New Roman" w:cs="Times New Roman"/>
                <w:i/>
                <w:iCs/>
                <w:sz w:val="24"/>
                <w:szCs w:val="24"/>
                <w:lang w:eastAsia="en-IN"/>
              </w:rPr>
              <w:t>Ferula</w:t>
            </w:r>
            <w:r w:rsidRPr="005A6267">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i/>
                <w:iCs/>
                <w:sz w:val="24"/>
                <w:szCs w:val="24"/>
                <w:lang w:eastAsia="en-IN"/>
              </w:rPr>
              <w:t>Angelica</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Neuroprotection through anti-inflammation and antioxidation.</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Lin et al.,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Steroidal Compounds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Diosgenin (</w:t>
            </w:r>
            <w:r w:rsidRPr="005A6267">
              <w:rPr>
                <w:rFonts w:ascii="Times New Roman" w:eastAsia="Times New Roman" w:hAnsi="Times New Roman" w:cs="Times New Roman"/>
                <w:i/>
                <w:sz w:val="24"/>
                <w:szCs w:val="24"/>
                <w:lang w:eastAsia="en-IN"/>
              </w:rPr>
              <w:t>Dioscorea</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Enhances memory and neurite outgrowth.</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Yang and Tohda, 2023</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β-sitosterol (Various medicinal plants)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Reduces oxidative stress, neuroprotective.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Tang et al., 2023</w:t>
            </w:r>
          </w:p>
          <w:p w:rsidR="006F1C79" w:rsidRPr="002154E2" w:rsidRDefault="006F1C79" w:rsidP="00AF7DB1">
            <w:pPr>
              <w:rPr>
                <w:rFonts w:ascii="Times New Roman" w:eastAsia="Times New Roman" w:hAnsi="Times New Roman" w:cs="Times New Roman"/>
                <w:sz w:val="24"/>
                <w:szCs w:val="24"/>
                <w:lang w:eastAsia="en-IN"/>
              </w:rPr>
            </w:pP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Lignans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Schisandrin B (</w:t>
            </w:r>
            <w:r w:rsidRPr="005A6267">
              <w:rPr>
                <w:rFonts w:ascii="Times New Roman" w:eastAsia="Times New Roman" w:hAnsi="Times New Roman" w:cs="Times New Roman"/>
                <w:i/>
                <w:iCs/>
                <w:sz w:val="24"/>
                <w:szCs w:val="24"/>
                <w:lang w:eastAsia="en-IN"/>
              </w:rPr>
              <w:t>Schisandra chinensis)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Improves cognition, antioxidant.</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Lee et al., 2012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Sesamin (Sesame seeds)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Protect neurons from oxidative stress.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Ruankham et al., 2019</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Cannabinoids</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Δ9-Tetrahydrocannabinol (THC), Cannabidiol (CBD) (</w:t>
            </w:r>
            <w:r w:rsidRPr="005A6267">
              <w:rPr>
                <w:rFonts w:ascii="Times New Roman" w:eastAsia="Times New Roman" w:hAnsi="Times New Roman" w:cs="Times New Roman"/>
                <w:i/>
                <w:iCs/>
                <w:sz w:val="24"/>
                <w:szCs w:val="24"/>
                <w:lang w:eastAsia="en-IN"/>
              </w:rPr>
              <w:t>Cannabis sativa)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Modulate endocannabinoid system; neuroprotective, anticonvulsant; studied in epilepsy, multiple sclerosis, and neurodegeneration.</w:t>
            </w:r>
          </w:p>
        </w:tc>
        <w:tc>
          <w:tcPr>
            <w:tcW w:w="2268" w:type="dxa"/>
          </w:tcPr>
          <w:p w:rsidR="006F1C79" w:rsidRPr="002154E2" w:rsidRDefault="00237800"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Yousaf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Terpenoids – Monoterpenoids (C10)</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Linalool (</w:t>
            </w:r>
            <w:r w:rsidRPr="005A6267">
              <w:rPr>
                <w:rFonts w:ascii="Times New Roman" w:eastAsia="Times New Roman" w:hAnsi="Times New Roman" w:cs="Times New Roman"/>
                <w:i/>
                <w:iCs/>
                <w:sz w:val="24"/>
                <w:szCs w:val="24"/>
                <w:lang w:eastAsia="en-IN"/>
              </w:rPr>
              <w:t>Lavandula angustifolia)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Anxiolytic, anticonvulsant via GABAergic potentiation; potential in anxiety, epilepsy.</w:t>
            </w:r>
          </w:p>
        </w:tc>
        <w:tc>
          <w:tcPr>
            <w:tcW w:w="2268" w:type="dxa"/>
          </w:tcPr>
          <w:p w:rsidR="006F1C79" w:rsidRPr="002154E2" w:rsidRDefault="00AF7DB1"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Santos et al., 2022</w:t>
            </w:r>
          </w:p>
          <w:p w:rsidR="006F1C79" w:rsidRPr="002154E2" w:rsidRDefault="006F1C79" w:rsidP="00AF7DB1">
            <w:pPr>
              <w:rPr>
                <w:rFonts w:ascii="Times New Roman" w:eastAsia="Times New Roman" w:hAnsi="Times New Roman" w:cs="Times New Roman"/>
                <w:sz w:val="24"/>
                <w:szCs w:val="24"/>
                <w:lang w:eastAsia="en-IN"/>
              </w:rPr>
            </w:pP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Menthol (</w:t>
            </w:r>
            <w:r w:rsidRPr="005A6267">
              <w:rPr>
                <w:rFonts w:ascii="Times New Roman" w:eastAsia="Times New Roman" w:hAnsi="Times New Roman" w:cs="Times New Roman"/>
                <w:i/>
                <w:iCs/>
                <w:sz w:val="24"/>
                <w:szCs w:val="24"/>
                <w:lang w:eastAsia="en-IN"/>
              </w:rPr>
              <w:t>Mentha</w:t>
            </w:r>
            <w:r w:rsidRPr="005A6267">
              <w:rPr>
                <w:rFonts w:ascii="Times New Roman" w:eastAsia="Times New Roman" w:hAnsi="Times New Roman" w:cs="Times New Roman"/>
                <w:sz w:val="24"/>
                <w:szCs w:val="24"/>
                <w:lang w:eastAsia="en-IN"/>
              </w:rPr>
              <w:t xml:space="preserve"> species)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Analgesic and anti-migraine effects via TRP channel modulation.</w:t>
            </w:r>
          </w:p>
        </w:tc>
        <w:tc>
          <w:tcPr>
            <w:tcW w:w="2268" w:type="dxa"/>
          </w:tcPr>
          <w:p w:rsidR="006F1C79" w:rsidRPr="002154E2" w:rsidRDefault="00CD3331"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Dillon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Terpenoids – Sesquiterpenoids (C15)</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β-Caryophyllene (</w:t>
            </w:r>
            <w:r w:rsidRPr="005A6267">
              <w:rPr>
                <w:rFonts w:ascii="Times New Roman" w:eastAsia="Times New Roman" w:hAnsi="Times New Roman" w:cs="Times New Roman"/>
                <w:i/>
                <w:iCs/>
                <w:sz w:val="24"/>
                <w:szCs w:val="24"/>
                <w:lang w:eastAsia="en-IN"/>
              </w:rPr>
              <w:t>Cannabis sativa</w:t>
            </w:r>
            <w:r w:rsidRPr="005A6267">
              <w:rPr>
                <w:rFonts w:ascii="Times New Roman" w:eastAsia="Times New Roman" w:hAnsi="Times New Roman" w:cs="Times New Roman"/>
                <w:sz w:val="24"/>
                <w:szCs w:val="24"/>
                <w:lang w:eastAsia="en-IN"/>
              </w:rPr>
              <w:t>, Clove)</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CB2 receptor agonist, anti-inflammatory and neuroprotective; potential in Alzheimer’s and Parkinson’s disease.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Zhang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Parthenolide (</w:t>
            </w:r>
            <w:r w:rsidRPr="005A6267">
              <w:rPr>
                <w:rFonts w:ascii="Times New Roman" w:eastAsia="Times New Roman" w:hAnsi="Times New Roman" w:cs="Times New Roman"/>
                <w:i/>
                <w:iCs/>
                <w:sz w:val="24"/>
                <w:szCs w:val="24"/>
                <w:lang w:eastAsia="en-IN"/>
              </w:rPr>
              <w:t>Tanacetum parthenium</w:t>
            </w:r>
            <w:r w:rsidRPr="005A6267">
              <w:rPr>
                <w:rFonts w:ascii="Times New Roman" w:eastAsia="Times New Roman" w:hAnsi="Times New Roman" w:cs="Times New Roman"/>
                <w:sz w:val="24"/>
                <w:szCs w:val="24"/>
                <w:lang w:eastAsia="en-IN"/>
              </w:rPr>
              <w:t xml:space="preserve"> (feverfew))</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Historically linked to migraine prophylaxis; NF-κB pathway modulation.</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Kashkooe et al., 2024</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Terpenoids – Diterpenoids (C20)</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Ginkgolide B, Bilobalide (</w:t>
            </w:r>
            <w:r w:rsidRPr="005A6267">
              <w:rPr>
                <w:rFonts w:ascii="Times New Roman" w:eastAsia="Times New Roman" w:hAnsi="Times New Roman" w:cs="Times New Roman"/>
                <w:i/>
                <w:iCs/>
                <w:sz w:val="24"/>
                <w:szCs w:val="24"/>
                <w:lang w:eastAsia="en-IN"/>
              </w:rPr>
              <w:t>Ginkgo biloba)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Protects against ischemic injury, supports cognitive function, and aids stroke recovery.</w:t>
            </w:r>
          </w:p>
        </w:tc>
        <w:tc>
          <w:tcPr>
            <w:tcW w:w="2268" w:type="dxa"/>
          </w:tcPr>
          <w:p w:rsidR="006F1C79" w:rsidRPr="002154E2" w:rsidRDefault="0010452E"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Cao et al., 2022</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Andrographolide (</w:t>
            </w:r>
            <w:r w:rsidRPr="005A6267">
              <w:rPr>
                <w:rFonts w:ascii="Times New Roman" w:eastAsia="Times New Roman" w:hAnsi="Times New Roman" w:cs="Times New Roman"/>
                <w:i/>
                <w:iCs/>
                <w:sz w:val="24"/>
                <w:szCs w:val="24"/>
                <w:lang w:eastAsia="en-IN"/>
              </w:rPr>
              <w:t>Andrographis paniculata)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Anti-inflammatory, neuroprotective, and modulates mitochondrial pathways.</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Shan et al., 2025</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Terpenoids – Triterpenoids (C30)</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Withanolides (</w:t>
            </w:r>
            <w:r w:rsidRPr="005A6267">
              <w:rPr>
                <w:rFonts w:ascii="Times New Roman" w:eastAsia="Times New Roman" w:hAnsi="Times New Roman" w:cs="Times New Roman"/>
                <w:i/>
                <w:iCs/>
                <w:sz w:val="24"/>
                <w:szCs w:val="24"/>
                <w:lang w:eastAsia="en-IN"/>
              </w:rPr>
              <w:t>Withania somnifera)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Enhance synaptic plasticity, reduce stress-induced cognitive deficits; potential in cognitive ageing and Alzheimer’s disease.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Vittal and Vinciguerra, 2025</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Asiaticoside (</w:t>
            </w:r>
            <w:r w:rsidRPr="005A6267">
              <w:rPr>
                <w:rFonts w:ascii="Times New Roman" w:eastAsia="Times New Roman" w:hAnsi="Times New Roman" w:cs="Times New Roman"/>
                <w:i/>
                <w:iCs/>
                <w:sz w:val="24"/>
                <w:szCs w:val="24"/>
                <w:lang w:eastAsia="en-IN"/>
              </w:rPr>
              <w:t>Centella asiatica)</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Promotes neurite growth, improves memory, and has antioxidant activity.</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Tan et al., 2021</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Terpenoids – Tetraterpenoids (C40)</w:t>
            </w: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Lycopene (</w:t>
            </w:r>
            <w:r w:rsidRPr="005A6267">
              <w:rPr>
                <w:rFonts w:ascii="Times New Roman" w:eastAsia="Times New Roman" w:hAnsi="Times New Roman" w:cs="Times New Roman"/>
                <w:i/>
                <w:iCs/>
                <w:sz w:val="24"/>
                <w:szCs w:val="24"/>
                <w:lang w:eastAsia="en-IN"/>
              </w:rPr>
              <w:t>Solanum lycopersicum</w:t>
            </w:r>
            <w:r w:rsidRPr="005A6267">
              <w:rPr>
                <w:rFonts w:ascii="Times New Roman" w:eastAsia="Times New Roman" w:hAnsi="Times New Roman" w:cs="Times New Roman"/>
                <w:sz w:val="24"/>
                <w:szCs w:val="24"/>
                <w:lang w:eastAsia="en-IN"/>
              </w:rPr>
              <w:t xml:space="preserve"> (tomato))</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Potent antioxidant, protects dopaminergic neurons, adjunct in post-stroke recovery and Parkinson’s disease.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Prema et al., 2015</w:t>
            </w:r>
          </w:p>
        </w:tc>
      </w:tr>
      <w:tr w:rsidR="006F1C79" w:rsidRPr="005A6267" w:rsidTr="002154E2">
        <w:tc>
          <w:tcPr>
            <w:tcW w:w="1965" w:type="dxa"/>
            <w:hideMark/>
          </w:tcPr>
          <w:p w:rsidR="006F1C79" w:rsidRPr="005A6267" w:rsidRDefault="006F1C79" w:rsidP="00AF7DB1">
            <w:pPr>
              <w:rPr>
                <w:rFonts w:ascii="Times New Roman" w:eastAsia="Times New Roman" w:hAnsi="Times New Roman" w:cs="Times New Roman"/>
                <w:sz w:val="24"/>
                <w:szCs w:val="24"/>
                <w:lang w:eastAsia="en-IN"/>
              </w:rPr>
            </w:pPr>
          </w:p>
        </w:tc>
        <w:tc>
          <w:tcPr>
            <w:tcW w:w="2511"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β-Carotene (Carrots, sweet potatoes)</w:t>
            </w:r>
          </w:p>
        </w:tc>
        <w:tc>
          <w:tcPr>
            <w:tcW w:w="4024" w:type="dxa"/>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Strong antioxidant, protective against cognitive decline.</w:t>
            </w:r>
          </w:p>
        </w:tc>
        <w:tc>
          <w:tcPr>
            <w:tcW w:w="2268" w:type="dxa"/>
          </w:tcPr>
          <w:p w:rsidR="006F1C79" w:rsidRPr="002154E2" w:rsidRDefault="006F1C79" w:rsidP="00AF7DB1">
            <w:pPr>
              <w:rPr>
                <w:rFonts w:ascii="Times New Roman" w:eastAsia="Times New Roman" w:hAnsi="Times New Roman" w:cs="Times New Roman"/>
                <w:sz w:val="24"/>
                <w:szCs w:val="24"/>
                <w:lang w:eastAsia="en-IN"/>
              </w:rPr>
            </w:pPr>
            <w:r w:rsidRPr="002154E2">
              <w:rPr>
                <w:rFonts w:ascii="Times New Roman" w:eastAsia="Times New Roman" w:hAnsi="Times New Roman" w:cs="Times New Roman"/>
                <w:sz w:val="24"/>
                <w:szCs w:val="24"/>
                <w:lang w:eastAsia="en-IN"/>
              </w:rPr>
              <w:t>Wang et al., 2023</w:t>
            </w:r>
          </w:p>
        </w:tc>
      </w:tr>
    </w:tbl>
    <w:p w:rsidR="006F1C79" w:rsidRPr="00A807B1" w:rsidRDefault="006F1C79" w:rsidP="007D1F43">
      <w:pPr>
        <w:pStyle w:val="Heading3"/>
        <w:jc w:val="both"/>
        <w:rPr>
          <w:sz w:val="24"/>
          <w:szCs w:val="24"/>
        </w:rPr>
      </w:pPr>
      <w:r w:rsidRPr="00A807B1">
        <w:rPr>
          <w:sz w:val="24"/>
          <w:szCs w:val="24"/>
        </w:rPr>
        <w:t>Plant-Derived Structural Analogs with Untapped Potential</w:t>
      </w:r>
    </w:p>
    <w:p w:rsidR="006F1C79" w:rsidRPr="0093111D" w:rsidRDefault="006F1C79" w:rsidP="007D1F43">
      <w:pPr>
        <w:jc w:val="both"/>
        <w:rPr>
          <w:rFonts w:ascii="Times New Roman" w:eastAsia="Times New Roman" w:hAnsi="Times New Roman" w:cs="Times New Roman"/>
          <w:sz w:val="24"/>
          <w:szCs w:val="24"/>
          <w:lang w:eastAsia="en-IN"/>
        </w:rPr>
      </w:pPr>
      <w:r w:rsidRPr="0093111D">
        <w:rPr>
          <w:rFonts w:ascii="Times New Roman" w:hAnsi="Times New Roman" w:cs="Times New Roman"/>
          <w:sz w:val="24"/>
          <w:szCs w:val="24"/>
        </w:rPr>
        <w:t xml:space="preserve">Structurally similar analogs of the phytochemicals mentioned in table 3 exist in related plant species and are yet to be widely explored. For example, narwedine from </w:t>
      </w:r>
      <w:r w:rsidRPr="0093111D">
        <w:rPr>
          <w:rStyle w:val="Emphasis"/>
          <w:rFonts w:ascii="Times New Roman" w:hAnsi="Times New Roman" w:cs="Times New Roman"/>
          <w:sz w:val="24"/>
          <w:szCs w:val="24"/>
        </w:rPr>
        <w:t>Narcissus pseudonarcissus</w:t>
      </w:r>
      <w:r w:rsidRPr="0093111D">
        <w:rPr>
          <w:rFonts w:ascii="Times New Roman" w:hAnsi="Times New Roman" w:cs="Times New Roman"/>
          <w:sz w:val="24"/>
          <w:szCs w:val="24"/>
        </w:rPr>
        <w:t xml:space="preserve"> and sanguinine from </w:t>
      </w:r>
      <w:r w:rsidRPr="0093111D">
        <w:rPr>
          <w:rStyle w:val="Emphasis"/>
          <w:rFonts w:ascii="Times New Roman" w:hAnsi="Times New Roman" w:cs="Times New Roman"/>
          <w:sz w:val="24"/>
          <w:szCs w:val="24"/>
        </w:rPr>
        <w:t>Galanthus woronowii</w:t>
      </w:r>
      <w:r w:rsidRPr="0093111D">
        <w:rPr>
          <w:rFonts w:ascii="Times New Roman" w:hAnsi="Times New Roman" w:cs="Times New Roman"/>
          <w:sz w:val="24"/>
          <w:szCs w:val="24"/>
        </w:rPr>
        <w:t xml:space="preserve"> share the Amaryllidaceae alkaloid structure of galantamine but display stronger acetylcholinesterase inhibition in vitro </w:t>
      </w:r>
      <w:r w:rsidR="00CD3331" w:rsidRPr="0093111D">
        <w:rPr>
          <w:rFonts w:ascii="Times New Roman" w:eastAsia="Times New Roman" w:hAnsi="Times New Roman" w:cs="Times New Roman"/>
          <w:sz w:val="24"/>
          <w:szCs w:val="24"/>
          <w:lang w:eastAsia="en-IN"/>
        </w:rPr>
        <w:t>(Armengol et al., 2011)</w:t>
      </w:r>
      <w:r w:rsidRPr="0093111D">
        <w:rPr>
          <w:rFonts w:ascii="Times New Roman" w:hAnsi="Times New Roman" w:cs="Times New Roman"/>
          <w:sz w:val="24"/>
          <w:szCs w:val="24"/>
        </w:rPr>
        <w:t xml:space="preserve">. Lycodoline from </w:t>
      </w:r>
      <w:r w:rsidRPr="0093111D">
        <w:rPr>
          <w:rStyle w:val="Emphasis"/>
          <w:rFonts w:ascii="Times New Roman" w:hAnsi="Times New Roman" w:cs="Times New Roman"/>
          <w:sz w:val="24"/>
          <w:szCs w:val="24"/>
        </w:rPr>
        <w:t>Lycopodium clavatum</w:t>
      </w:r>
      <w:r w:rsidRPr="0093111D">
        <w:rPr>
          <w:rFonts w:ascii="Times New Roman" w:hAnsi="Times New Roman" w:cs="Times New Roman"/>
          <w:sz w:val="24"/>
          <w:szCs w:val="24"/>
        </w:rPr>
        <w:t xml:space="preserve"> and fawcettimine from </w:t>
      </w:r>
      <w:r w:rsidRPr="0093111D">
        <w:rPr>
          <w:rStyle w:val="Emphasis"/>
          <w:rFonts w:ascii="Times New Roman" w:hAnsi="Times New Roman" w:cs="Times New Roman"/>
          <w:sz w:val="24"/>
          <w:szCs w:val="24"/>
        </w:rPr>
        <w:t>Lycopodium fawcettii</w:t>
      </w:r>
      <w:r w:rsidRPr="0093111D">
        <w:rPr>
          <w:rFonts w:ascii="Times New Roman" w:hAnsi="Times New Roman" w:cs="Times New Roman"/>
          <w:sz w:val="24"/>
          <w:szCs w:val="24"/>
        </w:rPr>
        <w:t xml:space="preserve"> are structurally related to huperzine A and therefore have a potential to provide cholinesterase inhibitors with unique pharmacological properties (</w:t>
      </w:r>
      <w:r w:rsidR="001809ED" w:rsidRPr="0093111D">
        <w:rPr>
          <w:rFonts w:ascii="Times New Roman" w:eastAsia="Times New Roman" w:hAnsi="Times New Roman" w:cs="Times New Roman"/>
          <w:sz w:val="24"/>
          <w:szCs w:val="24"/>
          <w:lang w:eastAsia="en-IN"/>
        </w:rPr>
        <w:t>Kitajima &amp; Takayama, 2011;</w:t>
      </w:r>
      <w:r w:rsidR="002154E2">
        <w:rPr>
          <w:rFonts w:ascii="Times New Roman" w:eastAsia="Times New Roman" w:hAnsi="Times New Roman" w:cs="Times New Roman"/>
          <w:sz w:val="24"/>
          <w:szCs w:val="24"/>
          <w:lang w:eastAsia="en-IN"/>
        </w:rPr>
        <w:t xml:space="preserve"> </w:t>
      </w:r>
      <w:r w:rsidR="00422B43" w:rsidRPr="0093111D">
        <w:rPr>
          <w:rFonts w:ascii="Times New Roman" w:hAnsi="Times New Roman" w:cs="Times New Roman"/>
          <w:sz w:val="24"/>
          <w:szCs w:val="24"/>
        </w:rPr>
        <w:t>Ma &amp; Gang, 2004</w:t>
      </w:r>
      <w:r w:rsidRPr="0093111D">
        <w:rPr>
          <w:rFonts w:ascii="Times New Roman" w:hAnsi="Times New Roman" w:cs="Times New Roman"/>
          <w:sz w:val="24"/>
          <w:szCs w:val="24"/>
        </w:rPr>
        <w:t xml:space="preserve">). Among stilbenes, oxyresveratrol from </w:t>
      </w:r>
      <w:r w:rsidRPr="0093111D">
        <w:rPr>
          <w:rStyle w:val="Emphasis"/>
          <w:rFonts w:ascii="Times New Roman" w:hAnsi="Times New Roman" w:cs="Times New Roman"/>
          <w:sz w:val="24"/>
          <w:szCs w:val="24"/>
        </w:rPr>
        <w:t>Morus alba</w:t>
      </w:r>
      <w:r w:rsidRPr="0093111D">
        <w:rPr>
          <w:rFonts w:ascii="Times New Roman" w:hAnsi="Times New Roman" w:cs="Times New Roman"/>
          <w:sz w:val="24"/>
          <w:szCs w:val="24"/>
        </w:rPr>
        <w:t xml:space="preserve"> and piceatannol from </w:t>
      </w:r>
      <w:r w:rsidRPr="0093111D">
        <w:rPr>
          <w:rStyle w:val="Emphasis"/>
          <w:rFonts w:ascii="Times New Roman" w:hAnsi="Times New Roman" w:cs="Times New Roman"/>
          <w:sz w:val="24"/>
          <w:szCs w:val="24"/>
        </w:rPr>
        <w:t>Passiflora edulis</w:t>
      </w:r>
      <w:r w:rsidRPr="0093111D">
        <w:rPr>
          <w:rFonts w:ascii="Times New Roman" w:hAnsi="Times New Roman" w:cs="Times New Roman"/>
          <w:sz w:val="24"/>
          <w:szCs w:val="24"/>
        </w:rPr>
        <w:t xml:space="preserve"> extend the neuroprotective portfolio of resveratrol through superior anti-apoptotic and antioxidat</w:t>
      </w:r>
      <w:r w:rsidR="004073F4" w:rsidRPr="0093111D">
        <w:rPr>
          <w:rFonts w:ascii="Times New Roman" w:hAnsi="Times New Roman" w:cs="Times New Roman"/>
          <w:sz w:val="24"/>
          <w:szCs w:val="24"/>
        </w:rPr>
        <w:t xml:space="preserve">ive effects </w:t>
      </w:r>
      <w:r w:rsidR="00845364" w:rsidRPr="0093111D">
        <w:rPr>
          <w:rFonts w:ascii="Times New Roman" w:eastAsia="Times New Roman" w:hAnsi="Times New Roman" w:cs="Times New Roman"/>
          <w:sz w:val="24"/>
          <w:szCs w:val="24"/>
          <w:lang w:eastAsia="en-IN"/>
        </w:rPr>
        <w:t>(Shen et al., 2009)</w:t>
      </w:r>
      <w:r w:rsidR="004073F4" w:rsidRPr="0093111D">
        <w:rPr>
          <w:rFonts w:ascii="Times New Roman" w:hAnsi="Times New Roman" w:cs="Times New Roman"/>
          <w:sz w:val="24"/>
          <w:szCs w:val="24"/>
        </w:rPr>
        <w:t xml:space="preserve">. </w:t>
      </w:r>
      <w:r w:rsidRPr="0093111D">
        <w:rPr>
          <w:rFonts w:ascii="Times New Roman" w:hAnsi="Times New Roman" w:cs="Times New Roman"/>
          <w:sz w:val="24"/>
          <w:szCs w:val="24"/>
        </w:rPr>
        <w:t xml:space="preserve">Curcumin analogs such as yakuchinone A from </w:t>
      </w:r>
      <w:r w:rsidRPr="0093111D">
        <w:rPr>
          <w:rStyle w:val="Emphasis"/>
          <w:rFonts w:ascii="Times New Roman" w:hAnsi="Times New Roman" w:cs="Times New Roman"/>
          <w:sz w:val="24"/>
          <w:szCs w:val="24"/>
        </w:rPr>
        <w:t>Alpinia oxyphylla</w:t>
      </w:r>
      <w:r w:rsidRPr="0093111D">
        <w:rPr>
          <w:rFonts w:ascii="Times New Roman" w:hAnsi="Times New Roman" w:cs="Times New Roman"/>
          <w:sz w:val="24"/>
          <w:szCs w:val="24"/>
        </w:rPr>
        <w:t xml:space="preserve"> and dehydrozingerone from </w:t>
      </w:r>
      <w:r w:rsidRPr="0093111D">
        <w:rPr>
          <w:rStyle w:val="Emphasis"/>
          <w:rFonts w:ascii="Times New Roman" w:hAnsi="Times New Roman" w:cs="Times New Roman"/>
          <w:sz w:val="24"/>
          <w:szCs w:val="24"/>
        </w:rPr>
        <w:t xml:space="preserve">Zingiber </w:t>
      </w:r>
      <w:r w:rsidRPr="0093111D">
        <w:rPr>
          <w:rStyle w:val="Emphasis"/>
          <w:rFonts w:ascii="Times New Roman" w:hAnsi="Times New Roman" w:cs="Times New Roman"/>
          <w:sz w:val="24"/>
          <w:szCs w:val="24"/>
        </w:rPr>
        <w:lastRenderedPageBreak/>
        <w:t>officinale</w:t>
      </w:r>
      <w:r w:rsidRPr="0093111D">
        <w:rPr>
          <w:rFonts w:ascii="Times New Roman" w:hAnsi="Times New Roman" w:cs="Times New Roman"/>
          <w:sz w:val="24"/>
          <w:szCs w:val="24"/>
        </w:rPr>
        <w:t xml:space="preserve"> offer improved stability and distinct neuroprotecti</w:t>
      </w:r>
      <w:r w:rsidR="00381D2D" w:rsidRPr="0093111D">
        <w:rPr>
          <w:rFonts w:ascii="Times New Roman" w:hAnsi="Times New Roman" w:cs="Times New Roman"/>
          <w:sz w:val="24"/>
          <w:szCs w:val="24"/>
        </w:rPr>
        <w:t xml:space="preserve">ve profiles </w:t>
      </w:r>
      <w:r w:rsidR="00E17F05" w:rsidRPr="0093111D">
        <w:rPr>
          <w:rFonts w:ascii="Times New Roman" w:eastAsia="Times New Roman" w:hAnsi="Times New Roman" w:cs="Times New Roman"/>
          <w:sz w:val="24"/>
          <w:szCs w:val="24"/>
          <w:lang w:eastAsia="en-IN"/>
        </w:rPr>
        <w:t>(Chun et al., 2002c)</w:t>
      </w:r>
      <w:r w:rsidRPr="0093111D">
        <w:rPr>
          <w:rFonts w:ascii="Times New Roman" w:hAnsi="Times New Roman" w:cs="Times New Roman"/>
          <w:sz w:val="24"/>
          <w:szCs w:val="24"/>
        </w:rPr>
        <w:t xml:space="preserve">. Steroidal lactones beyond withanolide A, such as physalin B from </w:t>
      </w:r>
      <w:r w:rsidRPr="0093111D">
        <w:rPr>
          <w:rStyle w:val="Emphasis"/>
          <w:rFonts w:ascii="Times New Roman" w:hAnsi="Times New Roman" w:cs="Times New Roman"/>
          <w:sz w:val="24"/>
          <w:szCs w:val="24"/>
        </w:rPr>
        <w:t>Physalis angulata</w:t>
      </w:r>
      <w:r w:rsidRPr="0093111D">
        <w:rPr>
          <w:rFonts w:ascii="Times New Roman" w:hAnsi="Times New Roman" w:cs="Times New Roman"/>
          <w:sz w:val="24"/>
          <w:szCs w:val="24"/>
        </w:rPr>
        <w:t xml:space="preserve"> and withanolide E from </w:t>
      </w:r>
      <w:r w:rsidRPr="0093111D">
        <w:rPr>
          <w:rStyle w:val="Emphasis"/>
          <w:rFonts w:ascii="Times New Roman" w:hAnsi="Times New Roman" w:cs="Times New Roman"/>
          <w:sz w:val="24"/>
          <w:szCs w:val="24"/>
        </w:rPr>
        <w:t>Physalis peruviana</w:t>
      </w:r>
      <w:r w:rsidRPr="0093111D">
        <w:rPr>
          <w:rFonts w:ascii="Times New Roman" w:hAnsi="Times New Roman" w:cs="Times New Roman"/>
          <w:sz w:val="24"/>
          <w:szCs w:val="24"/>
        </w:rPr>
        <w:t>, show early promise in modulating neur</w:t>
      </w:r>
      <w:r w:rsidR="00FB3C2A" w:rsidRPr="0093111D">
        <w:rPr>
          <w:rFonts w:ascii="Times New Roman" w:hAnsi="Times New Roman" w:cs="Times New Roman"/>
          <w:sz w:val="24"/>
          <w:szCs w:val="24"/>
        </w:rPr>
        <w:t xml:space="preserve">oinflammation </w:t>
      </w:r>
      <w:r w:rsidR="00FB3C2A" w:rsidRPr="0093111D">
        <w:rPr>
          <w:rFonts w:ascii="Times New Roman" w:eastAsia="Times New Roman" w:hAnsi="Times New Roman" w:cs="Times New Roman"/>
          <w:sz w:val="24"/>
          <w:szCs w:val="24"/>
          <w:lang w:eastAsia="en-IN"/>
        </w:rPr>
        <w:t>(Kuo et al., 2006</w:t>
      </w:r>
      <w:r w:rsidRPr="0093111D">
        <w:rPr>
          <w:rFonts w:ascii="Times New Roman" w:hAnsi="Times New Roman" w:cs="Times New Roman"/>
          <w:sz w:val="24"/>
          <w:szCs w:val="24"/>
        </w:rPr>
        <w:t xml:space="preserve">; Mirjalili et al., 2009). Likewise, triterpenoid saponins, including aescin from </w:t>
      </w:r>
      <w:r w:rsidRPr="0093111D">
        <w:rPr>
          <w:rStyle w:val="Emphasis"/>
          <w:rFonts w:ascii="Times New Roman" w:hAnsi="Times New Roman" w:cs="Times New Roman"/>
          <w:sz w:val="24"/>
          <w:szCs w:val="24"/>
        </w:rPr>
        <w:t>Aesculus hippocastanum</w:t>
      </w:r>
      <w:r w:rsidRPr="0093111D">
        <w:rPr>
          <w:rFonts w:ascii="Times New Roman" w:hAnsi="Times New Roman" w:cs="Times New Roman"/>
          <w:sz w:val="24"/>
          <w:szCs w:val="24"/>
        </w:rPr>
        <w:t xml:space="preserve"> and glycyrrhizin from </w:t>
      </w:r>
      <w:r w:rsidRPr="0093111D">
        <w:rPr>
          <w:rStyle w:val="Emphasis"/>
          <w:rFonts w:ascii="Times New Roman" w:hAnsi="Times New Roman" w:cs="Times New Roman"/>
          <w:sz w:val="24"/>
          <w:szCs w:val="24"/>
        </w:rPr>
        <w:t>Glycyrrhiza glabra</w:t>
      </w:r>
      <w:r w:rsidRPr="0093111D">
        <w:rPr>
          <w:rFonts w:ascii="Times New Roman" w:hAnsi="Times New Roman" w:cs="Times New Roman"/>
          <w:sz w:val="24"/>
          <w:szCs w:val="24"/>
        </w:rPr>
        <w:t xml:space="preserve">, parallel asiaticoside’s neuroprotective </w:t>
      </w:r>
      <w:r w:rsidR="0030508E" w:rsidRPr="0093111D">
        <w:rPr>
          <w:rFonts w:ascii="Times New Roman" w:hAnsi="Times New Roman" w:cs="Times New Roman"/>
          <w:sz w:val="24"/>
          <w:szCs w:val="24"/>
        </w:rPr>
        <w:t>properties (Asl &amp; Hosseinzadeh, 2008</w:t>
      </w:r>
      <w:r w:rsidRPr="0093111D">
        <w:rPr>
          <w:rFonts w:ascii="Times New Roman" w:hAnsi="Times New Roman" w:cs="Times New Roman"/>
          <w:sz w:val="24"/>
          <w:szCs w:val="24"/>
        </w:rPr>
        <w:t>).</w:t>
      </w:r>
    </w:p>
    <w:p w:rsidR="006F1C79" w:rsidRPr="0093111D" w:rsidRDefault="006F1C79" w:rsidP="007D1F43">
      <w:pPr>
        <w:jc w:val="both"/>
        <w:rPr>
          <w:rFonts w:ascii="Times New Roman" w:eastAsia="Times New Roman" w:hAnsi="Times New Roman" w:cs="Times New Roman"/>
          <w:sz w:val="24"/>
          <w:szCs w:val="24"/>
          <w:lang w:eastAsia="en-IN"/>
        </w:rPr>
      </w:pPr>
      <w:r w:rsidRPr="0093111D">
        <w:rPr>
          <w:rFonts w:ascii="Times New Roman" w:hAnsi="Times New Roman" w:cs="Times New Roman"/>
          <w:sz w:val="24"/>
          <w:szCs w:val="24"/>
        </w:rPr>
        <w:t>In the diterpenoid class, andrographolide (</w:t>
      </w:r>
      <w:r w:rsidRPr="0093111D">
        <w:rPr>
          <w:rStyle w:val="Emphasis"/>
          <w:rFonts w:ascii="Times New Roman" w:hAnsi="Times New Roman" w:cs="Times New Roman"/>
          <w:sz w:val="24"/>
          <w:szCs w:val="24"/>
        </w:rPr>
        <w:t>Andrographis paniculata</w:t>
      </w:r>
      <w:r w:rsidRPr="0093111D">
        <w:rPr>
          <w:rFonts w:ascii="Times New Roman" w:hAnsi="Times New Roman" w:cs="Times New Roman"/>
          <w:sz w:val="24"/>
          <w:szCs w:val="24"/>
        </w:rPr>
        <w:t>) and tanshinone IIA (</w:t>
      </w:r>
      <w:r w:rsidRPr="0093111D">
        <w:rPr>
          <w:rStyle w:val="Emphasis"/>
          <w:rFonts w:ascii="Times New Roman" w:hAnsi="Times New Roman" w:cs="Times New Roman"/>
          <w:sz w:val="24"/>
          <w:szCs w:val="24"/>
        </w:rPr>
        <w:t>Salvia miltiorrhiza</w:t>
      </w:r>
      <w:r w:rsidRPr="0093111D">
        <w:rPr>
          <w:rFonts w:ascii="Times New Roman" w:hAnsi="Times New Roman" w:cs="Times New Roman"/>
          <w:sz w:val="24"/>
          <w:szCs w:val="24"/>
        </w:rPr>
        <w:t>) mimic the vascular and mitochondrial protective roles of</w:t>
      </w:r>
      <w:r w:rsidR="00C341F1" w:rsidRPr="0093111D">
        <w:rPr>
          <w:rFonts w:ascii="Times New Roman" w:hAnsi="Times New Roman" w:cs="Times New Roman"/>
          <w:sz w:val="24"/>
          <w:szCs w:val="24"/>
        </w:rPr>
        <w:t xml:space="preserve"> ginkgolides (</w:t>
      </w:r>
      <w:r w:rsidR="00C341F1" w:rsidRPr="0093111D">
        <w:rPr>
          <w:rFonts w:ascii="Times New Roman" w:eastAsia="Times New Roman" w:hAnsi="Times New Roman" w:cs="Times New Roman"/>
          <w:sz w:val="24"/>
          <w:szCs w:val="24"/>
          <w:lang w:eastAsia="en-IN"/>
        </w:rPr>
        <w:t>Islam et al., 2018b</w:t>
      </w:r>
      <w:r w:rsidRPr="0093111D">
        <w:rPr>
          <w:rFonts w:ascii="Times New Roman" w:hAnsi="Times New Roman" w:cs="Times New Roman"/>
          <w:sz w:val="24"/>
          <w:szCs w:val="24"/>
        </w:rPr>
        <w:t xml:space="preserve">; </w:t>
      </w:r>
      <w:r w:rsidR="003410F6" w:rsidRPr="0093111D">
        <w:rPr>
          <w:rFonts w:ascii="Times New Roman" w:eastAsia="Times New Roman" w:hAnsi="Times New Roman" w:cs="Times New Roman"/>
          <w:sz w:val="24"/>
          <w:szCs w:val="24"/>
          <w:lang w:eastAsia="en-IN"/>
        </w:rPr>
        <w:t xml:space="preserve">Lee et al., 2013). </w:t>
      </w:r>
      <w:r w:rsidRPr="0093111D">
        <w:rPr>
          <w:rFonts w:ascii="Times New Roman" w:hAnsi="Times New Roman" w:cs="Times New Roman"/>
          <w:sz w:val="24"/>
          <w:szCs w:val="24"/>
        </w:rPr>
        <w:t>Cannabinoid-related compounds, for example, perrottetinene (</w:t>
      </w:r>
      <w:r w:rsidRPr="0093111D">
        <w:rPr>
          <w:rStyle w:val="Emphasis"/>
          <w:rFonts w:ascii="Times New Roman" w:hAnsi="Times New Roman" w:cs="Times New Roman"/>
          <w:sz w:val="24"/>
          <w:szCs w:val="24"/>
        </w:rPr>
        <w:t>Radula marginata</w:t>
      </w:r>
      <w:r w:rsidRPr="0093111D">
        <w:rPr>
          <w:rFonts w:ascii="Times New Roman" w:hAnsi="Times New Roman" w:cs="Times New Roman"/>
          <w:sz w:val="24"/>
          <w:szCs w:val="24"/>
        </w:rPr>
        <w:t>) and daurichromenic acid (</w:t>
      </w:r>
      <w:r w:rsidRPr="0093111D">
        <w:rPr>
          <w:rStyle w:val="Emphasis"/>
          <w:rFonts w:ascii="Times New Roman" w:hAnsi="Times New Roman" w:cs="Times New Roman"/>
          <w:sz w:val="24"/>
          <w:szCs w:val="24"/>
        </w:rPr>
        <w:t>Rhododendron dauricum</w:t>
      </w:r>
      <w:r w:rsidRPr="0093111D">
        <w:rPr>
          <w:rFonts w:ascii="Times New Roman" w:hAnsi="Times New Roman" w:cs="Times New Roman"/>
          <w:sz w:val="24"/>
          <w:szCs w:val="24"/>
        </w:rPr>
        <w:t xml:space="preserve">) expand the therapeutic landscape beyond cannabidiol </w:t>
      </w:r>
      <w:r w:rsidR="003013F4" w:rsidRPr="0093111D">
        <w:rPr>
          <w:rFonts w:ascii="Times New Roman" w:eastAsia="Times New Roman" w:hAnsi="Times New Roman" w:cs="Times New Roman"/>
          <w:sz w:val="24"/>
          <w:szCs w:val="24"/>
          <w:lang w:eastAsia="en-IN"/>
        </w:rPr>
        <w:t xml:space="preserve">(Chicca et al., 2018). </w:t>
      </w:r>
      <w:r w:rsidRPr="0093111D">
        <w:rPr>
          <w:rFonts w:ascii="Times New Roman" w:hAnsi="Times New Roman" w:cs="Times New Roman"/>
          <w:sz w:val="24"/>
          <w:szCs w:val="24"/>
        </w:rPr>
        <w:t>Similarly, ginsenoside Rg1 (</w:t>
      </w:r>
      <w:r w:rsidRPr="0093111D">
        <w:rPr>
          <w:rStyle w:val="Emphasis"/>
          <w:rFonts w:ascii="Times New Roman" w:hAnsi="Times New Roman" w:cs="Times New Roman"/>
          <w:sz w:val="24"/>
          <w:szCs w:val="24"/>
        </w:rPr>
        <w:t>Panax ginseng</w:t>
      </w:r>
      <w:r w:rsidRPr="0093111D">
        <w:rPr>
          <w:rFonts w:ascii="Times New Roman" w:hAnsi="Times New Roman" w:cs="Times New Roman"/>
          <w:sz w:val="24"/>
          <w:szCs w:val="24"/>
        </w:rPr>
        <w:t>) and jujuboside A (</w:t>
      </w:r>
      <w:r w:rsidRPr="0093111D">
        <w:rPr>
          <w:rStyle w:val="Emphasis"/>
          <w:rFonts w:ascii="Times New Roman" w:hAnsi="Times New Roman" w:cs="Times New Roman"/>
          <w:sz w:val="24"/>
          <w:szCs w:val="24"/>
        </w:rPr>
        <w:t>Ziziphus jujuba</w:t>
      </w:r>
      <w:r w:rsidRPr="0093111D">
        <w:rPr>
          <w:rFonts w:ascii="Times New Roman" w:hAnsi="Times New Roman" w:cs="Times New Roman"/>
          <w:sz w:val="24"/>
          <w:szCs w:val="24"/>
        </w:rPr>
        <w:t>) mirror the synaptogenic potential of</w:t>
      </w:r>
      <w:r w:rsidR="006312CA" w:rsidRPr="0093111D">
        <w:rPr>
          <w:rFonts w:ascii="Times New Roman" w:hAnsi="Times New Roman" w:cs="Times New Roman"/>
          <w:sz w:val="24"/>
          <w:szCs w:val="24"/>
        </w:rPr>
        <w:t xml:space="preserve"> bacosides (Kennedy et al., 2002</w:t>
      </w:r>
      <w:r w:rsidRPr="0093111D">
        <w:rPr>
          <w:rFonts w:ascii="Times New Roman" w:hAnsi="Times New Roman" w:cs="Times New Roman"/>
          <w:sz w:val="24"/>
          <w:szCs w:val="24"/>
        </w:rPr>
        <w:t xml:space="preserve">; </w:t>
      </w:r>
      <w:r w:rsidR="006312CA" w:rsidRPr="0093111D">
        <w:rPr>
          <w:rFonts w:ascii="Times New Roman" w:eastAsia="Times New Roman" w:hAnsi="Times New Roman" w:cs="Times New Roman"/>
          <w:sz w:val="24"/>
          <w:szCs w:val="24"/>
          <w:lang w:eastAsia="en-IN"/>
        </w:rPr>
        <w:t>Wu et al., 2013)</w:t>
      </w:r>
      <w:r w:rsidRPr="0093111D">
        <w:rPr>
          <w:rFonts w:ascii="Times New Roman" w:hAnsi="Times New Roman" w:cs="Times New Roman"/>
          <w:sz w:val="24"/>
          <w:szCs w:val="24"/>
        </w:rPr>
        <w:t>, while carotenoid intermediates like phytofluene (</w:t>
      </w:r>
      <w:r w:rsidRPr="0093111D">
        <w:rPr>
          <w:rStyle w:val="Emphasis"/>
          <w:rFonts w:ascii="Times New Roman" w:hAnsi="Times New Roman" w:cs="Times New Roman"/>
          <w:sz w:val="24"/>
          <w:szCs w:val="24"/>
        </w:rPr>
        <w:t>Citrus paradisi</w:t>
      </w:r>
      <w:r w:rsidRPr="0093111D">
        <w:rPr>
          <w:rFonts w:ascii="Times New Roman" w:hAnsi="Times New Roman" w:cs="Times New Roman"/>
          <w:sz w:val="24"/>
          <w:szCs w:val="24"/>
        </w:rPr>
        <w:t>) and neurosporene (</w:t>
      </w:r>
      <w:r w:rsidRPr="0093111D">
        <w:rPr>
          <w:rStyle w:val="Emphasis"/>
          <w:rFonts w:ascii="Times New Roman" w:hAnsi="Times New Roman" w:cs="Times New Roman"/>
          <w:sz w:val="24"/>
          <w:szCs w:val="24"/>
        </w:rPr>
        <w:t>Zea mays</w:t>
      </w:r>
      <w:r w:rsidRPr="0093111D">
        <w:rPr>
          <w:rFonts w:ascii="Times New Roman" w:hAnsi="Times New Roman" w:cs="Times New Roman"/>
          <w:sz w:val="24"/>
          <w:szCs w:val="24"/>
        </w:rPr>
        <w:t>) complement lycopene’s antioxidant capacity (Fraser &amp; Bramley, 2004</w:t>
      </w:r>
      <w:r w:rsidR="0030508E" w:rsidRPr="0093111D">
        <w:rPr>
          <w:rFonts w:ascii="Times New Roman" w:hAnsi="Times New Roman" w:cs="Times New Roman"/>
          <w:sz w:val="24"/>
          <w:szCs w:val="24"/>
        </w:rPr>
        <w:t>; Meléndez-Martínez et al., 2015</w:t>
      </w:r>
      <w:r w:rsidRPr="0093111D">
        <w:rPr>
          <w:rFonts w:ascii="Times New Roman" w:hAnsi="Times New Roman" w:cs="Times New Roman"/>
          <w:sz w:val="24"/>
          <w:szCs w:val="24"/>
        </w:rPr>
        <w:t>).</w:t>
      </w:r>
    </w:p>
    <w:p w:rsidR="006F1C79" w:rsidRPr="0062633C" w:rsidRDefault="006F1C79" w:rsidP="0062633C">
      <w:pPr>
        <w:pStyle w:val="NormalWeb"/>
        <w:rPr>
          <w:rStyle w:val="Strong"/>
          <w:b w:val="0"/>
          <w:bCs w:val="0"/>
        </w:rPr>
      </w:pPr>
      <w:r w:rsidRPr="0093111D">
        <w:rPr>
          <w:rStyle w:val="Strong"/>
          <w:b w:val="0"/>
        </w:rPr>
        <w:t>The significance of exploring these analogs extends beyond pharmacological novelty. Many medicinal plant species producing frontline neuroprotective compounds are globally threatened due to habitat destruction, overharvesting, and climate change, while only a few are cultivated</w:t>
      </w:r>
      <w:r w:rsidR="00932B53" w:rsidRPr="0093111D">
        <w:rPr>
          <w:rStyle w:val="Strong"/>
          <w:b w:val="0"/>
        </w:rPr>
        <w:t xml:space="preserve"> sustainably</w:t>
      </w:r>
      <w:r w:rsidRPr="0093111D">
        <w:rPr>
          <w:rStyle w:val="Strong"/>
          <w:b w:val="0"/>
        </w:rPr>
        <w:t xml:space="preserve">. Even under cultivation, the phytochemical composition often differs from wild sources, limiting therapeutic consistency </w:t>
      </w:r>
      <w:r w:rsidR="000044F5" w:rsidRPr="0093111D">
        <w:t>(Pammi, 2026)</w:t>
      </w:r>
      <w:r w:rsidRPr="0093111D">
        <w:rPr>
          <w:rStyle w:val="Strong"/>
          <w:b w:val="0"/>
        </w:rPr>
        <w:t>. Structurally similar analogs offer a sustainable and scientifically robust solution by preserving core pharmacophores yet enhancing properties such as bioavailability, blood–brain barrier penetration, or safety profiles. For instance, oxyresveratrol demonstrates stronger antioxidative capacity than resveratrol, and narwedine surpasses galantamine in acetylcholinesterase</w:t>
      </w:r>
      <w:r w:rsidR="0030508E" w:rsidRPr="0093111D">
        <w:rPr>
          <w:rStyle w:val="Strong"/>
          <w:b w:val="0"/>
        </w:rPr>
        <w:t xml:space="preserve"> inhibition </w:t>
      </w:r>
      <w:r w:rsidR="00845364" w:rsidRPr="0093111D">
        <w:t>(Shen et al., 2009)</w:t>
      </w:r>
      <w:r w:rsidRPr="0093111D">
        <w:rPr>
          <w:rStyle w:val="Strong"/>
          <w:b w:val="0"/>
        </w:rPr>
        <w:t xml:space="preserve">. By broadening the chemical repertoire while reducing dependency on endangered species, analogs not only ensure continuity of therapeutic activity but also contribute to biodiversity conservation and equitable neurological healthcare across both </w:t>
      </w:r>
      <w:r w:rsidR="00944473" w:rsidRPr="0093111D">
        <w:rPr>
          <w:rStyle w:val="Strong"/>
          <w:b w:val="0"/>
        </w:rPr>
        <w:t>metropolitan and non-metropolitan</w:t>
      </w:r>
      <w:r w:rsidRPr="0093111D">
        <w:rPr>
          <w:rStyle w:val="Strong"/>
          <w:b w:val="0"/>
        </w:rPr>
        <w:t xml:space="preserve"> populations.</w:t>
      </w:r>
      <w:r w:rsidR="0062633C">
        <w:rPr>
          <w:rStyle w:val="Strong"/>
          <w:b w:val="0"/>
        </w:rPr>
        <w:t xml:space="preserve"> </w:t>
      </w:r>
      <w:r w:rsidR="0062633C" w:rsidRPr="0062633C">
        <w:t xml:space="preserve">Table 4 </w:t>
      </w:r>
      <w:r w:rsidR="006F4F21">
        <w:t>summarises</w:t>
      </w:r>
      <w:r w:rsidR="0062633C" w:rsidRPr="0062633C">
        <w:t xml:space="preserve"> </w:t>
      </w:r>
      <w:r w:rsidR="006F4F21">
        <w:t>the</w:t>
      </w:r>
      <w:r w:rsidR="0062633C" w:rsidRPr="0062633C">
        <w:t xml:space="preserve"> phytochemicals and their structural analogs with docume</w:t>
      </w:r>
      <w:r w:rsidR="00680256">
        <w:t xml:space="preserve">nted neuroprotective relevance while </w:t>
      </w:r>
      <w:r w:rsidR="00680256" w:rsidRPr="00680256">
        <w:t>Table 5 highlights less-studied phytochemical analogs with potential</w:t>
      </w:r>
      <w:r w:rsidR="00680256">
        <w:t xml:space="preserve"> neurotherapeutic implications.</w:t>
      </w:r>
    </w:p>
    <w:p w:rsidR="006C657F" w:rsidRPr="006C657F" w:rsidRDefault="006C657F" w:rsidP="006C657F">
      <w:pPr>
        <w:pStyle w:val="NormalWeb"/>
        <w:jc w:val="center"/>
        <w:rPr>
          <w:b/>
        </w:rPr>
      </w:pPr>
      <w:r>
        <w:rPr>
          <w:b/>
        </w:rPr>
        <w:t>Table 4:</w:t>
      </w:r>
      <w:r w:rsidRPr="005A6267">
        <w:rPr>
          <w:b/>
        </w:rPr>
        <w:t xml:space="preserve"> Plant-Derived Analogs of Already Established Phytochemicals with Their Chemical Structures</w:t>
      </w:r>
    </w:p>
    <w:tbl>
      <w:tblPr>
        <w:tblStyle w:val="TableGrid"/>
        <w:tblW w:w="10881" w:type="dxa"/>
        <w:tblInd w:w="-113" w:type="dxa"/>
        <w:tblLayout w:type="fixed"/>
        <w:tblLook w:val="04A0" w:firstRow="1" w:lastRow="0" w:firstColumn="1" w:lastColumn="0" w:noHBand="0" w:noVBand="1"/>
      </w:tblPr>
      <w:tblGrid>
        <w:gridCol w:w="3652"/>
        <w:gridCol w:w="4287"/>
        <w:gridCol w:w="2942"/>
      </w:tblGrid>
      <w:tr w:rsidR="006F1C79" w:rsidRPr="005A6267" w:rsidTr="007D1F43">
        <w:tc>
          <w:tcPr>
            <w:tcW w:w="3652" w:type="dxa"/>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 xml:space="preserve">Phytochemical </w:t>
            </w:r>
          </w:p>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(Plant Source)</w:t>
            </w:r>
          </w:p>
        </w:tc>
        <w:tc>
          <w:tcPr>
            <w:tcW w:w="4287" w:type="dxa"/>
            <w:hideMark/>
          </w:tcPr>
          <w:p w:rsidR="006F1C79" w:rsidRPr="005A6267" w:rsidRDefault="006F1C79" w:rsidP="00AF7DB1">
            <w:pPr>
              <w:jc w:val="center"/>
              <w:rPr>
                <w:rFonts w:ascii="Times New Roman" w:hAnsi="Times New Roman" w:cs="Times New Roman"/>
                <w:b/>
                <w:sz w:val="24"/>
              </w:rPr>
            </w:pPr>
            <w:r w:rsidRPr="005A6267">
              <w:rPr>
                <w:rFonts w:ascii="Times New Roman" w:hAnsi="Times New Roman" w:cs="Times New Roman"/>
                <w:b/>
                <w:sz w:val="24"/>
              </w:rPr>
              <w:t xml:space="preserve">Plant-Derived Analogs </w:t>
            </w:r>
          </w:p>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hAnsi="Times New Roman" w:cs="Times New Roman"/>
                <w:b/>
                <w:sz w:val="24"/>
              </w:rPr>
              <w:t>(with source)</w:t>
            </w:r>
          </w:p>
        </w:tc>
        <w:tc>
          <w:tcPr>
            <w:tcW w:w="2942" w:type="dxa"/>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Structural Similarity</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Galantamine</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b/>
                <w:bCs/>
                <w:szCs w:val="24"/>
                <w:lang w:eastAsia="en-IN"/>
              </w:rPr>
              <w:t>(</w:t>
            </w:r>
            <w:r w:rsidRPr="005A6267">
              <w:rPr>
                <w:rFonts w:ascii="Times New Roman" w:eastAsia="Times New Roman" w:hAnsi="Times New Roman" w:cs="Times New Roman"/>
                <w:i/>
                <w:iCs/>
                <w:szCs w:val="24"/>
                <w:lang w:eastAsia="en-IN"/>
              </w:rPr>
              <w:t>Galanthus</w:t>
            </w:r>
            <w:r w:rsidRPr="005A6267">
              <w:rPr>
                <w:rFonts w:ascii="Times New Roman" w:eastAsia="Times New Roman" w:hAnsi="Times New Roman" w:cs="Times New Roman"/>
                <w:szCs w:val="24"/>
                <w:lang w:eastAsia="en-IN"/>
              </w:rPr>
              <w:t xml:space="preserve"> spp.)</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hAnsi="Times New Roman" w:cs="Times New Roman"/>
                <w:sz w:val="24"/>
                <w:szCs w:val="24"/>
                <w:shd w:val="clear" w:color="auto" w:fill="FFFFFF"/>
              </w:rPr>
            </w:pPr>
            <w:r w:rsidRPr="005A6267">
              <w:rPr>
                <w:rFonts w:ascii="Times New Roman" w:hAnsi="Times New Roman" w:cs="Times New Roman"/>
                <w:sz w:val="24"/>
                <w:szCs w:val="24"/>
              </w:rPr>
              <w:t xml:space="preserve">Chemical Formula: </w:t>
            </w:r>
            <w:hyperlink r:id="rId19" w:anchor="query=C17H21NO3"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17</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21</w:t>
              </w:r>
              <w:r w:rsidRPr="005A6267">
                <w:rPr>
                  <w:rStyle w:val="breakword"/>
                  <w:rFonts w:ascii="Times New Roman" w:hAnsi="Times New Roman" w:cs="Times New Roman"/>
                  <w:sz w:val="24"/>
                  <w:szCs w:val="24"/>
                  <w:shd w:val="clear" w:color="auto" w:fill="FFFFFF"/>
                </w:rPr>
                <w:t>NO</w:t>
              </w:r>
              <w:r w:rsidRPr="005A6267">
                <w:rPr>
                  <w:rStyle w:val="breakword"/>
                  <w:rFonts w:ascii="Times New Roman" w:hAnsi="Times New Roman" w:cs="Times New Roman"/>
                  <w:sz w:val="24"/>
                  <w:szCs w:val="24"/>
                  <w:shd w:val="clear" w:color="auto" w:fill="FFFFFF"/>
                  <w:vertAlign w:val="subscript"/>
                </w:rPr>
                <w:t>3</w:t>
              </w:r>
            </w:hyperlink>
          </w:p>
          <w:p w:rsidR="006F1C79" w:rsidRPr="005A6267" w:rsidRDefault="006F1C79" w:rsidP="00AF7DB1">
            <w:pPr>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1D731020" wp14:editId="623E6102">
                  <wp:extent cx="1514475" cy="138768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ANTAMINE.png"/>
                          <pic:cNvPicPr/>
                        </pic:nvPicPr>
                        <pic:blipFill>
                          <a:blip r:embed="rId20">
                            <a:extLst>
                              <a:ext uri="{28A0092B-C50C-407E-A947-70E740481C1C}">
                                <a14:useLocalDpi xmlns:a14="http://schemas.microsoft.com/office/drawing/2010/main" val="0"/>
                              </a:ext>
                            </a:extLst>
                          </a:blip>
                          <a:stretch>
                            <a:fillRect/>
                          </a:stretch>
                        </pic:blipFill>
                        <pic:spPr>
                          <a:xfrm>
                            <a:off x="0" y="0"/>
                            <a:ext cx="1516354" cy="1389403"/>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Narwedine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tabs>
                <w:tab w:val="left" w:pos="2936"/>
              </w:tabs>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(Narcissus pseudonarcissus)</w:t>
            </w:r>
            <w:r w:rsidRPr="005A6267">
              <w:rPr>
                <w:rFonts w:ascii="Times New Roman" w:eastAsia="Times New Roman" w:hAnsi="Times New Roman" w:cs="Times New Roman"/>
                <w:i/>
                <w:iCs/>
                <w:szCs w:val="24"/>
                <w:lang w:eastAsia="en-IN"/>
              </w:rPr>
              <w:tab/>
            </w:r>
          </w:p>
          <w:p w:rsidR="006F1C79" w:rsidRPr="005A6267" w:rsidRDefault="006F1C79" w:rsidP="00AF7DB1">
            <w:pPr>
              <w:tabs>
                <w:tab w:val="left" w:pos="2936"/>
              </w:tabs>
              <w:rPr>
                <w:rFonts w:ascii="Times New Roman" w:eastAsia="Times New Roman" w:hAnsi="Times New Roman" w:cs="Times New Roman"/>
                <w:i/>
                <w:iCs/>
                <w:szCs w:val="24"/>
                <w:lang w:eastAsia="en-IN"/>
              </w:rPr>
            </w:pPr>
          </w:p>
          <w:p w:rsidR="006F1C79" w:rsidRPr="005A6267" w:rsidRDefault="006F1C79" w:rsidP="00AF7DB1">
            <w:pPr>
              <w:pStyle w:val="NormalWeb"/>
              <w:rPr>
                <w:shd w:val="clear" w:color="auto" w:fill="FFFFFF"/>
              </w:rPr>
            </w:pPr>
            <w:r w:rsidRPr="005A6267">
              <w:t xml:space="preserve">Chemical Formula: </w:t>
            </w:r>
            <w:hyperlink r:id="rId21" w:anchor="query=C17H19NO3" w:history="1">
              <w:r w:rsidRPr="005A6267">
                <w:rPr>
                  <w:rStyle w:val="breakword"/>
                  <w:shd w:val="clear" w:color="auto" w:fill="FFFFFF"/>
                </w:rPr>
                <w:t>C</w:t>
              </w:r>
              <w:r w:rsidRPr="005A6267">
                <w:rPr>
                  <w:rStyle w:val="breakword"/>
                  <w:shd w:val="clear" w:color="auto" w:fill="FFFFFF"/>
                  <w:vertAlign w:val="subscript"/>
                </w:rPr>
                <w:t>17</w:t>
              </w:r>
              <w:r w:rsidRPr="005A6267">
                <w:rPr>
                  <w:rStyle w:val="breakword"/>
                  <w:shd w:val="clear" w:color="auto" w:fill="FFFFFF"/>
                </w:rPr>
                <w:t>H</w:t>
              </w:r>
              <w:r w:rsidRPr="005A6267">
                <w:rPr>
                  <w:rStyle w:val="breakword"/>
                  <w:shd w:val="clear" w:color="auto" w:fill="FFFFFF"/>
                  <w:vertAlign w:val="subscript"/>
                </w:rPr>
                <w:t>19</w:t>
              </w:r>
              <w:r w:rsidRPr="005A6267">
                <w:rPr>
                  <w:rStyle w:val="breakword"/>
                  <w:shd w:val="clear" w:color="auto" w:fill="FFFFFF"/>
                </w:rPr>
                <w:t>NO</w:t>
              </w:r>
              <w:r w:rsidRPr="005A6267">
                <w:rPr>
                  <w:rStyle w:val="breakword"/>
                  <w:shd w:val="clear" w:color="auto" w:fill="FFFFFF"/>
                  <w:vertAlign w:val="subscript"/>
                </w:rPr>
                <w:t>3</w:t>
              </w:r>
            </w:hyperlink>
          </w:p>
          <w:p w:rsidR="006F1C79" w:rsidRPr="005A6267" w:rsidRDefault="006F1C79" w:rsidP="00AF7DB1">
            <w:pPr>
              <w:pStyle w:val="NormalWeb"/>
              <w:jc w:val="center"/>
            </w:pPr>
            <w:r w:rsidRPr="005A6267">
              <w:rPr>
                <w:noProof/>
              </w:rPr>
              <w:drawing>
                <wp:inline distT="0" distB="0" distL="0" distR="0" wp14:anchorId="0E1C6B36" wp14:editId="7349B627">
                  <wp:extent cx="127635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RWEDINE.png"/>
                          <pic:cNvPicPr/>
                        </pic:nvPicPr>
                        <pic:blipFill>
                          <a:blip r:embed="rId22">
                            <a:extLst>
                              <a:ext uri="{28A0092B-C50C-407E-A947-70E740481C1C}">
                                <a14:useLocalDpi xmlns:a14="http://schemas.microsoft.com/office/drawing/2010/main" val="0"/>
                              </a:ext>
                            </a:extLst>
                          </a:blip>
                          <a:stretch>
                            <a:fillRect/>
                          </a:stretch>
                        </pic:blipFill>
                        <pic:spPr>
                          <a:xfrm>
                            <a:off x="0" y="0"/>
                            <a:ext cx="1276625" cy="1276625"/>
                          </a:xfrm>
                          <a:prstGeom prst="rect">
                            <a:avLst/>
                          </a:prstGeom>
                        </pic:spPr>
                      </pic:pic>
                    </a:graphicData>
                  </a:graphic>
                </wp:inline>
              </w:drawing>
            </w:r>
          </w:p>
        </w:tc>
        <w:tc>
          <w:tcPr>
            <w:tcW w:w="2942" w:type="dxa"/>
          </w:tcPr>
          <w:p w:rsidR="006F1C79" w:rsidRPr="002F6C58"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Amaryllidaceae alkaloid sharing tetracyclic benzoazepine core; oxidation and O-methylation pattern variations </w:t>
            </w:r>
            <w:r w:rsidR="002F6C58" w:rsidRPr="002F6C58">
              <w:rPr>
                <w:rFonts w:ascii="Times New Roman" w:eastAsia="Times New Roman" w:hAnsi="Times New Roman" w:cs="Times New Roman"/>
                <w:sz w:val="24"/>
                <w:szCs w:val="24"/>
                <w:lang w:eastAsia="en-IN"/>
              </w:rPr>
              <w:t>(Armengol et al., 2011)</w:t>
            </w:r>
            <w:r w:rsidR="002F6C58">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Sanguinine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(Galanthus woronowii)</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NormalWeb"/>
              <w:rPr>
                <w:shd w:val="clear" w:color="auto" w:fill="FFFFFF"/>
              </w:rPr>
            </w:pPr>
            <w:r w:rsidRPr="005A6267">
              <w:lastRenderedPageBreak/>
              <w:t xml:space="preserve">Chemical Formula: </w:t>
            </w:r>
            <w:hyperlink r:id="rId23" w:anchor="query=C16H19NO3" w:history="1">
              <w:r w:rsidRPr="005A6267">
                <w:rPr>
                  <w:rStyle w:val="breakword"/>
                  <w:shd w:val="clear" w:color="auto" w:fill="FFFFFF"/>
                </w:rPr>
                <w:t>C</w:t>
              </w:r>
              <w:r w:rsidRPr="005A6267">
                <w:rPr>
                  <w:rStyle w:val="breakword"/>
                  <w:shd w:val="clear" w:color="auto" w:fill="FFFFFF"/>
                  <w:vertAlign w:val="subscript"/>
                </w:rPr>
                <w:t>16</w:t>
              </w:r>
              <w:r w:rsidRPr="005A6267">
                <w:rPr>
                  <w:rStyle w:val="breakword"/>
                  <w:shd w:val="clear" w:color="auto" w:fill="FFFFFF"/>
                </w:rPr>
                <w:t>H</w:t>
              </w:r>
              <w:r w:rsidRPr="005A6267">
                <w:rPr>
                  <w:rStyle w:val="breakword"/>
                  <w:shd w:val="clear" w:color="auto" w:fill="FFFFFF"/>
                  <w:vertAlign w:val="subscript"/>
                </w:rPr>
                <w:t>19</w:t>
              </w:r>
              <w:r w:rsidRPr="005A6267">
                <w:rPr>
                  <w:rStyle w:val="breakword"/>
                  <w:shd w:val="clear" w:color="auto" w:fill="FFFFFF"/>
                </w:rPr>
                <w:t>NO</w:t>
              </w:r>
              <w:r w:rsidRPr="005A6267">
                <w:rPr>
                  <w:rStyle w:val="breakword"/>
                  <w:shd w:val="clear" w:color="auto" w:fill="FFFFFF"/>
                  <w:vertAlign w:val="subscript"/>
                </w:rPr>
                <w:t>3</w:t>
              </w:r>
            </w:hyperlink>
          </w:p>
          <w:p w:rsidR="006F1C79" w:rsidRPr="005A6267" w:rsidRDefault="006F1C79" w:rsidP="00AF7DB1">
            <w:pPr>
              <w:pStyle w:val="NormalWeb"/>
              <w:jc w:val="center"/>
              <w:rPr>
                <w:b/>
                <w:bCs/>
              </w:rPr>
            </w:pPr>
            <w:r w:rsidRPr="005A6267">
              <w:rPr>
                <w:noProof/>
              </w:rPr>
              <w:drawing>
                <wp:inline distT="0" distB="0" distL="0" distR="0" wp14:anchorId="6DDDF791" wp14:editId="776F6A30">
                  <wp:extent cx="1238250" cy="127049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guinine.png"/>
                          <pic:cNvPicPr/>
                        </pic:nvPicPr>
                        <pic:blipFill>
                          <a:blip r:embed="rId24">
                            <a:extLst>
                              <a:ext uri="{28A0092B-C50C-407E-A947-70E740481C1C}">
                                <a14:useLocalDpi xmlns:a14="http://schemas.microsoft.com/office/drawing/2010/main" val="0"/>
                              </a:ext>
                            </a:extLst>
                          </a:blip>
                          <a:stretch>
                            <a:fillRect/>
                          </a:stretch>
                        </pic:blipFill>
                        <pic:spPr>
                          <a:xfrm>
                            <a:off x="0" y="0"/>
                            <a:ext cx="1243407" cy="1275787"/>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F23E78" w:rsidRPr="00F23E78" w:rsidRDefault="006F1C79" w:rsidP="00F23E78">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lastRenderedPageBreak/>
              <w:t xml:space="preserve">Close Amaryllidaceae congener with the same polycyclic skeleton; substitution differences at aromatic positions </w:t>
            </w:r>
            <w:r w:rsidR="00F23E78" w:rsidRPr="00F23E78">
              <w:rPr>
                <w:rFonts w:ascii="Times New Roman" w:eastAsia="Times New Roman" w:hAnsi="Times New Roman" w:cs="Times New Roman"/>
                <w:sz w:val="24"/>
                <w:szCs w:val="24"/>
                <w:lang w:eastAsia="en-IN"/>
              </w:rPr>
              <w:t>(Georgiev et al., 2024)</w:t>
            </w:r>
            <w:r w:rsidR="00F23E78">
              <w:rPr>
                <w:rFonts w:ascii="Times New Roman" w:eastAsia="Times New Roman" w:hAnsi="Times New Roman" w:cs="Times New Roman"/>
                <w:sz w:val="24"/>
                <w:szCs w:val="24"/>
                <w:lang w:eastAsia="en-IN"/>
              </w:rPr>
              <w:t>.</w:t>
            </w:r>
          </w:p>
          <w:p w:rsidR="006F1C79" w:rsidRPr="005A6267" w:rsidRDefault="006F1C79" w:rsidP="00AF7DB1">
            <w:pPr>
              <w:rPr>
                <w:rFonts w:ascii="Times New Roman" w:eastAsia="Times New Roman" w:hAnsi="Times New Roman" w:cs="Times New Roman"/>
                <w:szCs w:val="24"/>
                <w:lang w:eastAsia="en-IN"/>
              </w:rPr>
            </w:pP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lastRenderedPageBreak/>
              <w:t>Huperzine A</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Cs/>
                <w:szCs w:val="24"/>
                <w:lang w:eastAsia="en-IN"/>
              </w:rPr>
            </w:pPr>
            <w:r w:rsidRPr="005A6267">
              <w:rPr>
                <w:rFonts w:ascii="Times New Roman" w:eastAsia="Times New Roman" w:hAnsi="Times New Roman" w:cs="Times New Roman"/>
                <w:b/>
                <w:bCs/>
                <w:szCs w:val="24"/>
                <w:lang w:eastAsia="en-IN"/>
              </w:rPr>
              <w:t>(</w:t>
            </w:r>
            <w:r w:rsidRPr="005A6267">
              <w:rPr>
                <w:rFonts w:ascii="Times New Roman" w:eastAsia="Times New Roman" w:hAnsi="Times New Roman" w:cs="Times New Roman"/>
                <w:i/>
                <w:iCs/>
                <w:szCs w:val="24"/>
                <w:lang w:eastAsia="en-IN"/>
              </w:rPr>
              <w:t>Huperzia serrata</w:t>
            </w:r>
            <w:r w:rsidRPr="005A6267">
              <w:rPr>
                <w:rFonts w:ascii="Times New Roman" w:eastAsia="Times New Roman" w:hAnsi="Times New Roman" w:cs="Times New Roman"/>
                <w:iCs/>
                <w:szCs w:val="24"/>
                <w:lang w:eastAsia="en-IN"/>
              </w:rPr>
              <w:t>)</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pStyle w:val="ListParagraph"/>
              <w:ind w:left="0"/>
              <w:rPr>
                <w:rFonts w:ascii="Times New Roman" w:hAnsi="Times New Roman" w:cs="Times New Roman"/>
                <w:sz w:val="24"/>
                <w:szCs w:val="24"/>
              </w:rPr>
            </w:pPr>
            <w:r w:rsidRPr="005A6267">
              <w:rPr>
                <w:rFonts w:ascii="Times New Roman" w:hAnsi="Times New Roman" w:cs="Times New Roman"/>
                <w:sz w:val="24"/>
                <w:szCs w:val="24"/>
              </w:rPr>
              <w:t xml:space="preserve">Chemical Formula: </w:t>
            </w:r>
            <w:hyperlink r:id="rId25" w:anchor="query=C15H18N2O"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15</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18</w:t>
              </w:r>
              <w:r w:rsidRPr="005A6267">
                <w:rPr>
                  <w:rStyle w:val="breakword"/>
                  <w:rFonts w:ascii="Times New Roman" w:hAnsi="Times New Roman" w:cs="Times New Roman"/>
                  <w:sz w:val="24"/>
                  <w:szCs w:val="24"/>
                  <w:shd w:val="clear" w:color="auto" w:fill="FFFFFF"/>
                </w:rPr>
                <w:t>N</w:t>
              </w:r>
              <w:r w:rsidRPr="005A6267">
                <w:rPr>
                  <w:rStyle w:val="breakword"/>
                  <w:rFonts w:ascii="Times New Roman" w:hAnsi="Times New Roman" w:cs="Times New Roman"/>
                  <w:sz w:val="24"/>
                  <w:szCs w:val="24"/>
                  <w:shd w:val="clear" w:color="auto" w:fill="FFFFFF"/>
                  <w:vertAlign w:val="subscript"/>
                </w:rPr>
                <w:t>2</w:t>
              </w:r>
              <w:r w:rsidRPr="005A6267">
                <w:rPr>
                  <w:rStyle w:val="breakword"/>
                  <w:rFonts w:ascii="Times New Roman" w:hAnsi="Times New Roman" w:cs="Times New Roman"/>
                  <w:sz w:val="24"/>
                  <w:szCs w:val="24"/>
                  <w:shd w:val="clear" w:color="auto" w:fill="FFFFFF"/>
                </w:rPr>
                <w:t>O</w:t>
              </w:r>
            </w:hyperlink>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08499EAA" wp14:editId="0B58908A">
                  <wp:extent cx="1238250" cy="10604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PERZINE A.png"/>
                          <pic:cNvPicPr/>
                        </pic:nvPicPr>
                        <pic:blipFill>
                          <a:blip r:embed="rId26">
                            <a:extLst>
                              <a:ext uri="{28A0092B-C50C-407E-A947-70E740481C1C}">
                                <a14:useLocalDpi xmlns:a14="http://schemas.microsoft.com/office/drawing/2010/main" val="0"/>
                              </a:ext>
                            </a:extLst>
                          </a:blip>
                          <a:stretch>
                            <a:fillRect/>
                          </a:stretch>
                        </pic:blipFill>
                        <pic:spPr>
                          <a:xfrm>
                            <a:off x="0" y="0"/>
                            <a:ext cx="1243461" cy="1064944"/>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Lycodoline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(Lycopodium clavatum)</w:t>
            </w:r>
          </w:p>
          <w:p w:rsidR="006F1C79" w:rsidRPr="005A6267" w:rsidRDefault="006F1C79" w:rsidP="00AF7DB1">
            <w:pPr>
              <w:pStyle w:val="NormalWeb"/>
            </w:pPr>
            <w:r w:rsidRPr="005A6267">
              <w:t xml:space="preserve">Chemical Formula: </w:t>
            </w:r>
            <w:hyperlink r:id="rId27" w:anchor="query=C16H25NO2" w:history="1">
              <w:r w:rsidRPr="005A6267">
                <w:rPr>
                  <w:rStyle w:val="breakword"/>
                  <w:rFonts w:eastAsiaTheme="majorEastAsia"/>
                  <w:shd w:val="clear" w:color="auto" w:fill="FFFFFF"/>
                </w:rPr>
                <w:t>C</w:t>
              </w:r>
              <w:r w:rsidRPr="005A6267">
                <w:rPr>
                  <w:rStyle w:val="breakword"/>
                  <w:rFonts w:eastAsiaTheme="majorEastAsia"/>
                  <w:shd w:val="clear" w:color="auto" w:fill="FFFFFF"/>
                  <w:vertAlign w:val="subscript"/>
                </w:rPr>
                <w:t>16</w:t>
              </w:r>
              <w:r w:rsidRPr="005A6267">
                <w:rPr>
                  <w:rStyle w:val="breakword"/>
                  <w:rFonts w:eastAsiaTheme="majorEastAsia"/>
                  <w:shd w:val="clear" w:color="auto" w:fill="FFFFFF"/>
                </w:rPr>
                <w:t>H</w:t>
              </w:r>
              <w:r w:rsidRPr="005A6267">
                <w:rPr>
                  <w:rStyle w:val="breakword"/>
                  <w:rFonts w:eastAsiaTheme="majorEastAsia"/>
                  <w:shd w:val="clear" w:color="auto" w:fill="FFFFFF"/>
                  <w:vertAlign w:val="subscript"/>
                </w:rPr>
                <w:t>25</w:t>
              </w:r>
              <w:r w:rsidRPr="005A6267">
                <w:rPr>
                  <w:rStyle w:val="breakword"/>
                  <w:rFonts w:eastAsiaTheme="majorEastAsia"/>
                  <w:shd w:val="clear" w:color="auto" w:fill="FFFFFF"/>
                </w:rPr>
                <w:t>NO</w:t>
              </w:r>
              <w:r w:rsidRPr="005A6267">
                <w:rPr>
                  <w:rStyle w:val="breakword"/>
                  <w:rFonts w:eastAsiaTheme="majorEastAsia"/>
                  <w:shd w:val="clear" w:color="auto" w:fill="FFFFFF"/>
                  <w:vertAlign w:val="subscript"/>
                </w:rPr>
                <w:t>2</w:t>
              </w:r>
            </w:hyperlink>
          </w:p>
          <w:p w:rsidR="006F1C79" w:rsidRPr="005A6267" w:rsidRDefault="006F1C79" w:rsidP="00AF7DB1">
            <w:pPr>
              <w:pStyle w:val="NormalWeb"/>
              <w:jc w:val="center"/>
            </w:pPr>
            <w:r w:rsidRPr="005A6267">
              <w:rPr>
                <w:noProof/>
              </w:rPr>
              <w:drawing>
                <wp:inline distT="0" distB="0" distL="0" distR="0" wp14:anchorId="5FADBB1F" wp14:editId="26F08EEC">
                  <wp:extent cx="994515" cy="98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etcher.png"/>
                          <pic:cNvPicPr/>
                        </pic:nvPicPr>
                        <pic:blipFill>
                          <a:blip r:embed="rId28">
                            <a:extLst>
                              <a:ext uri="{28A0092B-C50C-407E-A947-70E740481C1C}">
                                <a14:useLocalDpi xmlns:a14="http://schemas.microsoft.com/office/drawing/2010/main" val="0"/>
                              </a:ext>
                            </a:extLst>
                          </a:blip>
                          <a:stretch>
                            <a:fillRect/>
                          </a:stretch>
                        </pic:blipFill>
                        <pic:spPr>
                          <a:xfrm>
                            <a:off x="0" y="0"/>
                            <a:ext cx="997592" cy="984111"/>
                          </a:xfrm>
                          <a:prstGeom prst="rect">
                            <a:avLst/>
                          </a:prstGeom>
                        </pic:spPr>
                      </pic:pic>
                    </a:graphicData>
                  </a:graphic>
                </wp:inline>
              </w:drawing>
            </w: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Lycopodium alkaloid with compact polycyclic nitrogenous scaffold; potential acetylcholines</w:t>
            </w:r>
            <w:r w:rsidR="00422B43">
              <w:rPr>
                <w:rFonts w:ascii="Times New Roman" w:eastAsia="Times New Roman" w:hAnsi="Times New Roman" w:cs="Times New Roman"/>
                <w:szCs w:val="24"/>
                <w:lang w:eastAsia="en-IN"/>
              </w:rPr>
              <w:t>terase inhibitor (Ma &amp; Gang, 200</w:t>
            </w:r>
            <w:r w:rsidRPr="005A6267">
              <w:rPr>
                <w:rFonts w:ascii="Times New Roman" w:eastAsia="Times New Roman" w:hAnsi="Times New Roman" w:cs="Times New Roman"/>
                <w:szCs w:val="24"/>
                <w:lang w:eastAsia="en-IN"/>
              </w:rPr>
              <w:t>4).</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Fawcettimine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(Lycopodium fawcettii)</w:t>
            </w:r>
          </w:p>
          <w:p w:rsidR="006F1C79" w:rsidRPr="005A6267" w:rsidRDefault="006F1C79" w:rsidP="00AF7DB1">
            <w:pPr>
              <w:pStyle w:val="NormalWeb"/>
            </w:pPr>
            <w:r w:rsidRPr="005A6267">
              <w:t xml:space="preserve">Chemical Formula: </w:t>
            </w:r>
            <w:hyperlink r:id="rId29" w:anchor="query=C16H25NO2" w:history="1">
              <w:r w:rsidRPr="005A6267">
                <w:rPr>
                  <w:rStyle w:val="breakword"/>
                  <w:shd w:val="clear" w:color="auto" w:fill="FFFFFF"/>
                </w:rPr>
                <w:t>C</w:t>
              </w:r>
              <w:r w:rsidRPr="005A6267">
                <w:rPr>
                  <w:rStyle w:val="breakword"/>
                  <w:shd w:val="clear" w:color="auto" w:fill="FFFFFF"/>
                  <w:vertAlign w:val="subscript"/>
                </w:rPr>
                <w:t>16</w:t>
              </w:r>
              <w:r w:rsidRPr="005A6267">
                <w:rPr>
                  <w:rStyle w:val="breakword"/>
                  <w:shd w:val="clear" w:color="auto" w:fill="FFFFFF"/>
                </w:rPr>
                <w:t>H</w:t>
              </w:r>
              <w:r w:rsidRPr="005A6267">
                <w:rPr>
                  <w:rStyle w:val="breakword"/>
                  <w:shd w:val="clear" w:color="auto" w:fill="FFFFFF"/>
                  <w:vertAlign w:val="subscript"/>
                </w:rPr>
                <w:t>25</w:t>
              </w:r>
              <w:r w:rsidRPr="005A6267">
                <w:rPr>
                  <w:rStyle w:val="breakword"/>
                  <w:shd w:val="clear" w:color="auto" w:fill="FFFFFF"/>
                </w:rPr>
                <w:t>NO</w:t>
              </w:r>
              <w:r w:rsidRPr="005A6267">
                <w:rPr>
                  <w:rStyle w:val="breakword"/>
                  <w:shd w:val="clear" w:color="auto" w:fill="FFFFFF"/>
                  <w:vertAlign w:val="subscript"/>
                </w:rPr>
                <w:t>2</w:t>
              </w:r>
            </w:hyperlink>
          </w:p>
          <w:p w:rsidR="006F1C79" w:rsidRPr="005A6267" w:rsidRDefault="006F1C79" w:rsidP="00AF7DB1">
            <w:pPr>
              <w:pStyle w:val="NormalWeb"/>
              <w:jc w:val="center"/>
            </w:pPr>
            <w:r w:rsidRPr="005A6267">
              <w:rPr>
                <w:noProof/>
              </w:rPr>
              <w:drawing>
                <wp:inline distT="0" distB="0" distL="0" distR="0" wp14:anchorId="75A7B478" wp14:editId="3DC35D66">
                  <wp:extent cx="1081405" cy="88478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etcher (6).png"/>
                          <pic:cNvPicPr/>
                        </pic:nvPicPr>
                        <pic:blipFill>
                          <a:blip r:embed="rId30">
                            <a:extLst>
                              <a:ext uri="{28A0092B-C50C-407E-A947-70E740481C1C}">
                                <a14:useLocalDpi xmlns:a14="http://schemas.microsoft.com/office/drawing/2010/main" val="0"/>
                              </a:ext>
                            </a:extLst>
                          </a:blip>
                          <a:stretch>
                            <a:fillRect/>
                          </a:stretch>
                        </pic:blipFill>
                        <pic:spPr>
                          <a:xfrm>
                            <a:off x="0" y="0"/>
                            <a:ext cx="1084868" cy="887621"/>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1809ED" w:rsidRDefault="006F1C79" w:rsidP="001809ED">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Shares bicyclic cage-like skeleton and tertiary nitrogen; differs in ring fusion/oxidation </w:t>
            </w:r>
            <w:r w:rsidR="001809ED" w:rsidRPr="001809ED">
              <w:rPr>
                <w:rFonts w:ascii="Times New Roman" w:eastAsia="Times New Roman" w:hAnsi="Times New Roman" w:cs="Times New Roman"/>
                <w:sz w:val="24"/>
                <w:szCs w:val="24"/>
                <w:lang w:eastAsia="en-IN"/>
              </w:rPr>
              <w:t>(Kitajima &amp; Takayama, 2011)</w:t>
            </w:r>
            <w:r w:rsidR="001809ED">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Resveratrol</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szCs w:val="24"/>
                <w:lang w:eastAsia="en-IN"/>
              </w:rPr>
              <w:t>Grapes (</w:t>
            </w:r>
            <w:r w:rsidRPr="005A6267">
              <w:rPr>
                <w:rFonts w:ascii="Times New Roman" w:eastAsia="Times New Roman" w:hAnsi="Times New Roman" w:cs="Times New Roman"/>
                <w:i/>
                <w:iCs/>
                <w:szCs w:val="24"/>
                <w:lang w:eastAsia="en-IN"/>
              </w:rPr>
              <w:t>Vitis vinifera</w:t>
            </w:r>
            <w:r w:rsidRPr="005A6267">
              <w:rPr>
                <w:rFonts w:ascii="Times New Roman" w:eastAsia="Times New Roman" w:hAnsi="Times New Roman" w:cs="Times New Roman"/>
                <w:szCs w:val="24"/>
                <w:lang w:eastAsia="en-IN"/>
              </w:rPr>
              <w:t xml:space="preserve">), </w:t>
            </w:r>
            <w:r w:rsidRPr="005A6267">
              <w:rPr>
                <w:rFonts w:ascii="Times New Roman" w:eastAsia="Times New Roman" w:hAnsi="Times New Roman" w:cs="Times New Roman"/>
                <w:i/>
                <w:iCs/>
                <w:szCs w:val="24"/>
                <w:lang w:eastAsia="en-IN"/>
              </w:rPr>
              <w:t>Polygonum cuspidatum</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ListParagraph"/>
              <w:ind w:left="0"/>
              <w:rPr>
                <w:rFonts w:ascii="Times New Roman" w:hAnsi="Times New Roman" w:cs="Times New Roman"/>
                <w:sz w:val="24"/>
                <w:szCs w:val="24"/>
                <w:shd w:val="clear" w:color="auto" w:fill="FFFFFF"/>
              </w:rPr>
            </w:pPr>
            <w:r w:rsidRPr="005A6267">
              <w:rPr>
                <w:rFonts w:ascii="Times New Roman" w:hAnsi="Times New Roman" w:cs="Times New Roman"/>
                <w:sz w:val="24"/>
                <w:szCs w:val="24"/>
              </w:rPr>
              <w:t xml:space="preserve">Chemical Formula: </w:t>
            </w:r>
            <w:hyperlink r:id="rId31" w:anchor="query=C14H12O3"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14</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12</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3</w:t>
              </w:r>
            </w:hyperlink>
            <w:r w:rsidRPr="005A6267">
              <w:rPr>
                <w:rFonts w:ascii="Times New Roman" w:hAnsi="Times New Roman" w:cs="Times New Roman"/>
                <w:sz w:val="24"/>
                <w:szCs w:val="24"/>
                <w:shd w:val="clear" w:color="auto" w:fill="FFFFFF"/>
              </w:rPr>
              <w:t> </w:t>
            </w:r>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0AE2EB00" wp14:editId="3E5E036A">
                  <wp:extent cx="781050" cy="1735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VERATROL.png"/>
                          <pic:cNvPicPr/>
                        </pic:nvPicPr>
                        <pic:blipFill>
                          <a:blip r:embed="rId32">
                            <a:extLst>
                              <a:ext uri="{28A0092B-C50C-407E-A947-70E740481C1C}">
                                <a14:useLocalDpi xmlns:a14="http://schemas.microsoft.com/office/drawing/2010/main" val="0"/>
                              </a:ext>
                            </a:extLst>
                          </a:blip>
                          <a:stretch>
                            <a:fillRect/>
                          </a:stretch>
                        </pic:blipFill>
                        <pic:spPr>
                          <a:xfrm>
                            <a:off x="0" y="0"/>
                            <a:ext cx="782439" cy="1738091"/>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Oxyresveratrol</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Morus alba</w:t>
            </w:r>
          </w:p>
          <w:p w:rsidR="006F1C79" w:rsidRPr="005A6267" w:rsidRDefault="006F1C79" w:rsidP="00AF7DB1">
            <w:pPr>
              <w:pStyle w:val="NormalWeb"/>
              <w:rPr>
                <w:shd w:val="clear" w:color="auto" w:fill="FFFFFF"/>
              </w:rPr>
            </w:pPr>
            <w:r w:rsidRPr="005A6267">
              <w:t xml:space="preserve">Chemical Formula: </w:t>
            </w:r>
            <w:hyperlink r:id="rId33" w:anchor="query=C14H12O4" w:history="1">
              <w:r w:rsidRPr="005A6267">
                <w:rPr>
                  <w:rStyle w:val="breakword"/>
                  <w:shd w:val="clear" w:color="auto" w:fill="FFFFFF"/>
                </w:rPr>
                <w:t>C</w:t>
              </w:r>
              <w:r w:rsidRPr="005A6267">
                <w:rPr>
                  <w:rStyle w:val="breakword"/>
                  <w:shd w:val="clear" w:color="auto" w:fill="FFFFFF"/>
                  <w:vertAlign w:val="subscript"/>
                </w:rPr>
                <w:t>14</w:t>
              </w:r>
              <w:r w:rsidRPr="005A6267">
                <w:rPr>
                  <w:rStyle w:val="breakword"/>
                  <w:shd w:val="clear" w:color="auto" w:fill="FFFFFF"/>
                </w:rPr>
                <w:t>H</w:t>
              </w:r>
              <w:r w:rsidRPr="005A6267">
                <w:rPr>
                  <w:rStyle w:val="breakword"/>
                  <w:shd w:val="clear" w:color="auto" w:fill="FFFFFF"/>
                  <w:vertAlign w:val="subscript"/>
                </w:rPr>
                <w:t>12</w:t>
              </w:r>
              <w:r w:rsidRPr="005A6267">
                <w:rPr>
                  <w:rStyle w:val="breakword"/>
                  <w:shd w:val="clear" w:color="auto" w:fill="FFFFFF"/>
                </w:rPr>
                <w:t>O</w:t>
              </w:r>
              <w:r w:rsidRPr="005A6267">
                <w:rPr>
                  <w:rStyle w:val="breakword"/>
                  <w:shd w:val="clear" w:color="auto" w:fill="FFFFFF"/>
                  <w:vertAlign w:val="subscript"/>
                </w:rPr>
                <w:t>4</w:t>
              </w:r>
            </w:hyperlink>
            <w:r w:rsidRPr="005A6267">
              <w:rPr>
                <w:shd w:val="clear" w:color="auto" w:fill="FFFFFF"/>
              </w:rPr>
              <w:t> </w:t>
            </w:r>
          </w:p>
          <w:p w:rsidR="006F1C79" w:rsidRPr="005A6267" w:rsidRDefault="006F1C79" w:rsidP="00AF7DB1">
            <w:pPr>
              <w:pStyle w:val="NormalWeb"/>
              <w:jc w:val="center"/>
            </w:pPr>
            <w:r w:rsidRPr="005A6267">
              <w:rPr>
                <w:noProof/>
              </w:rPr>
              <w:drawing>
                <wp:inline distT="0" distB="0" distL="0" distR="0" wp14:anchorId="37B5DDFD" wp14:editId="5711FCA3">
                  <wp:extent cx="1038225" cy="172642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xyresveratrol.png"/>
                          <pic:cNvPicPr/>
                        </pic:nvPicPr>
                        <pic:blipFill>
                          <a:blip r:embed="rId34">
                            <a:extLst>
                              <a:ext uri="{28A0092B-C50C-407E-A947-70E740481C1C}">
                                <a14:useLocalDpi xmlns:a14="http://schemas.microsoft.com/office/drawing/2010/main" val="0"/>
                              </a:ext>
                            </a:extLst>
                          </a:blip>
                          <a:stretch>
                            <a:fillRect/>
                          </a:stretch>
                        </pic:blipFill>
                        <pic:spPr>
                          <a:xfrm>
                            <a:off x="0" y="0"/>
                            <a:ext cx="1040108" cy="1729552"/>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845364" w:rsidRDefault="006F1C79" w:rsidP="00845364">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Stilbene backbone with an additional hydroxyl group; enhances antioxidant profile </w:t>
            </w:r>
            <w:r w:rsidR="00845364" w:rsidRPr="00845364">
              <w:rPr>
                <w:rFonts w:ascii="Times New Roman" w:eastAsia="Times New Roman" w:hAnsi="Times New Roman" w:cs="Times New Roman"/>
                <w:sz w:val="24"/>
                <w:szCs w:val="24"/>
                <w:lang w:eastAsia="en-IN"/>
              </w:rPr>
              <w:t>(Shen et al., 2009)</w:t>
            </w:r>
            <w:r w:rsidR="00845364">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Piceatannol</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Passiflora edulis</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NormalWeb"/>
              <w:rPr>
                <w:shd w:val="clear" w:color="auto" w:fill="FFFFFF"/>
              </w:rPr>
            </w:pPr>
            <w:r w:rsidRPr="005A6267">
              <w:t>Chemical Formula:</w:t>
            </w:r>
            <w:r w:rsidRPr="005A6267">
              <w:rPr>
                <w:rStyle w:val="f-medium"/>
                <w:shd w:val="clear" w:color="auto" w:fill="FFFFFF"/>
              </w:rPr>
              <w:t> </w:t>
            </w:r>
            <w:hyperlink r:id="rId35" w:anchor="query=C14H12O4" w:history="1">
              <w:r w:rsidRPr="005A6267">
                <w:rPr>
                  <w:rStyle w:val="breakword"/>
                  <w:shd w:val="clear" w:color="auto" w:fill="FFFFFF"/>
                </w:rPr>
                <w:t>C</w:t>
              </w:r>
              <w:r w:rsidRPr="005A6267">
                <w:rPr>
                  <w:rStyle w:val="breakword"/>
                  <w:shd w:val="clear" w:color="auto" w:fill="FFFFFF"/>
                  <w:vertAlign w:val="subscript"/>
                </w:rPr>
                <w:t>14</w:t>
              </w:r>
              <w:r w:rsidRPr="005A6267">
                <w:rPr>
                  <w:rStyle w:val="breakword"/>
                  <w:shd w:val="clear" w:color="auto" w:fill="FFFFFF"/>
                </w:rPr>
                <w:t>H</w:t>
              </w:r>
              <w:r w:rsidRPr="005A6267">
                <w:rPr>
                  <w:rStyle w:val="breakword"/>
                  <w:shd w:val="clear" w:color="auto" w:fill="FFFFFF"/>
                  <w:vertAlign w:val="subscript"/>
                </w:rPr>
                <w:t>12</w:t>
              </w:r>
              <w:r w:rsidRPr="005A6267">
                <w:rPr>
                  <w:rStyle w:val="breakword"/>
                  <w:shd w:val="clear" w:color="auto" w:fill="FFFFFF"/>
                </w:rPr>
                <w:t>O</w:t>
              </w:r>
              <w:r w:rsidRPr="005A6267">
                <w:rPr>
                  <w:rStyle w:val="breakword"/>
                  <w:shd w:val="clear" w:color="auto" w:fill="FFFFFF"/>
                  <w:vertAlign w:val="subscript"/>
                </w:rPr>
                <w:t>4</w:t>
              </w:r>
            </w:hyperlink>
            <w:r w:rsidRPr="005A6267">
              <w:rPr>
                <w:shd w:val="clear" w:color="auto" w:fill="FFFFFF"/>
              </w:rPr>
              <w:t> </w:t>
            </w:r>
          </w:p>
          <w:p w:rsidR="006F1C79" w:rsidRPr="005A6267" w:rsidRDefault="006F1C79" w:rsidP="00AF7DB1">
            <w:pPr>
              <w:pStyle w:val="NormalWeb"/>
              <w:jc w:val="center"/>
            </w:pPr>
            <w:r w:rsidRPr="005A6267">
              <w:rPr>
                <w:noProof/>
              </w:rPr>
              <w:drawing>
                <wp:inline distT="0" distB="0" distL="0" distR="0" wp14:anchorId="6815EF3A" wp14:editId="2C876122">
                  <wp:extent cx="1017691" cy="1692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eatannol.png"/>
                          <pic:cNvPicPr/>
                        </pic:nvPicPr>
                        <pic:blipFill>
                          <a:blip r:embed="rId36">
                            <a:extLst>
                              <a:ext uri="{28A0092B-C50C-407E-A947-70E740481C1C}">
                                <a14:useLocalDpi xmlns:a14="http://schemas.microsoft.com/office/drawing/2010/main" val="0"/>
                              </a:ext>
                            </a:extLst>
                          </a:blip>
                          <a:stretch>
                            <a:fillRect/>
                          </a:stretch>
                        </pic:blipFill>
                        <pic:spPr>
                          <a:xfrm>
                            <a:off x="0" y="0"/>
                            <a:ext cx="1022693" cy="1700593"/>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Stilbene analog with extra hydroxylation; retains neuroprotective stilbene scaffold (Piotrowska et al., 2012).</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Curcumin</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Cs/>
                <w:szCs w:val="24"/>
                <w:lang w:eastAsia="en-IN"/>
              </w:rPr>
            </w:pPr>
            <w:r w:rsidRPr="005A6267">
              <w:rPr>
                <w:rFonts w:ascii="Times New Roman" w:eastAsia="Times New Roman" w:hAnsi="Times New Roman" w:cs="Times New Roman"/>
                <w:b/>
                <w:bCs/>
                <w:szCs w:val="24"/>
                <w:lang w:eastAsia="en-IN"/>
              </w:rPr>
              <w:t>(</w:t>
            </w:r>
            <w:r w:rsidRPr="005A6267">
              <w:rPr>
                <w:rFonts w:ascii="Times New Roman" w:eastAsia="Times New Roman" w:hAnsi="Times New Roman" w:cs="Times New Roman"/>
                <w:i/>
                <w:iCs/>
                <w:szCs w:val="24"/>
                <w:lang w:eastAsia="en-IN"/>
              </w:rPr>
              <w:t>Curcuma longa</w:t>
            </w:r>
            <w:r w:rsidRPr="005A6267">
              <w:rPr>
                <w:rFonts w:ascii="Times New Roman" w:eastAsia="Times New Roman" w:hAnsi="Times New Roman" w:cs="Times New Roman"/>
                <w:iCs/>
                <w:szCs w:val="24"/>
                <w:lang w:eastAsia="en-IN"/>
              </w:rPr>
              <w:t>)</w:t>
            </w:r>
          </w:p>
          <w:p w:rsidR="006F1C79" w:rsidRPr="005A6267" w:rsidRDefault="006F1C79" w:rsidP="00AF7DB1">
            <w:pPr>
              <w:rPr>
                <w:rFonts w:ascii="Times New Roman" w:eastAsia="Times New Roman" w:hAnsi="Times New Roman" w:cs="Times New Roman"/>
                <w:iCs/>
                <w:szCs w:val="24"/>
                <w:lang w:eastAsia="en-IN"/>
              </w:rPr>
            </w:pPr>
          </w:p>
          <w:p w:rsidR="006F1C79" w:rsidRPr="005A6267" w:rsidRDefault="006F1C79" w:rsidP="00AF7DB1">
            <w:pPr>
              <w:rPr>
                <w:rStyle w:val="breakword"/>
                <w:rFonts w:ascii="Times New Roman" w:hAnsi="Times New Roman" w:cs="Times New Roman"/>
                <w:sz w:val="24"/>
                <w:szCs w:val="24"/>
                <w:shd w:val="clear" w:color="auto" w:fill="FFFFFF"/>
                <w:vertAlign w:val="subscript"/>
              </w:rPr>
            </w:pPr>
            <w:r w:rsidRPr="005A6267">
              <w:rPr>
                <w:rFonts w:ascii="Times New Roman" w:hAnsi="Times New Roman" w:cs="Times New Roman"/>
                <w:sz w:val="24"/>
                <w:szCs w:val="24"/>
              </w:rPr>
              <w:t xml:space="preserve">Chemical Formula: </w:t>
            </w:r>
            <w:hyperlink r:id="rId37" w:anchor="query=C21H20O6"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21</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20</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6</w:t>
              </w:r>
            </w:hyperlink>
          </w:p>
          <w:p w:rsidR="006F1C79" w:rsidRPr="005A6267" w:rsidRDefault="006F1C79" w:rsidP="00AF7DB1">
            <w:pPr>
              <w:jc w:val="center"/>
              <w:rPr>
                <w:rFonts w:ascii="Times New Roman" w:hAnsi="Times New Roman" w:cs="Times New Roman"/>
                <w:sz w:val="24"/>
                <w:szCs w:val="24"/>
                <w:shd w:val="clear" w:color="auto" w:fill="FFFFFF"/>
              </w:rPr>
            </w:pPr>
            <w:r w:rsidRPr="005A6267">
              <w:rPr>
                <w:rFonts w:ascii="Times New Roman" w:hAnsi="Times New Roman" w:cs="Times New Roman"/>
                <w:noProof/>
                <w:sz w:val="24"/>
                <w:szCs w:val="24"/>
                <w:lang w:eastAsia="en-IN"/>
              </w:rPr>
              <w:drawing>
                <wp:inline distT="0" distB="0" distL="0" distR="0" wp14:anchorId="60A61FC1" wp14:editId="601D171D">
                  <wp:extent cx="1914968" cy="23526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cumin.png"/>
                          <pic:cNvPicPr/>
                        </pic:nvPicPr>
                        <pic:blipFill>
                          <a:blip r:embed="rId38">
                            <a:extLst>
                              <a:ext uri="{28A0092B-C50C-407E-A947-70E740481C1C}">
                                <a14:useLocalDpi xmlns:a14="http://schemas.microsoft.com/office/drawing/2010/main" val="0"/>
                              </a:ext>
                            </a:extLst>
                          </a:blip>
                          <a:stretch>
                            <a:fillRect/>
                          </a:stretch>
                        </pic:blipFill>
                        <pic:spPr>
                          <a:xfrm>
                            <a:off x="0" y="0"/>
                            <a:ext cx="1921136" cy="2360253"/>
                          </a:xfrm>
                          <a:prstGeom prst="rect">
                            <a:avLst/>
                          </a:prstGeom>
                        </pic:spPr>
                      </pic:pic>
                    </a:graphicData>
                  </a:graphic>
                </wp:inline>
              </w:drawing>
            </w:r>
          </w:p>
          <w:p w:rsidR="006F1C79" w:rsidRPr="005A6267" w:rsidRDefault="006F1C79" w:rsidP="00AF7DB1">
            <w:pPr>
              <w:jc w:val="cente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Yakuchinone A</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Alpinia oxyphylla</w:t>
            </w:r>
          </w:p>
          <w:p w:rsidR="006F1C79" w:rsidRPr="005A6267" w:rsidRDefault="006F1C79" w:rsidP="00AF7DB1">
            <w:pPr>
              <w:pStyle w:val="NormalWeb"/>
            </w:pPr>
            <w:r w:rsidRPr="005A6267">
              <w:t xml:space="preserve">Chemical Formula: </w:t>
            </w:r>
            <w:hyperlink r:id="rId39" w:anchor="query=C20H24O3" w:history="1">
              <w:r w:rsidRPr="005A6267">
                <w:rPr>
                  <w:rStyle w:val="breakword"/>
                  <w:shd w:val="clear" w:color="auto" w:fill="FFFFFF"/>
                </w:rPr>
                <w:t>C</w:t>
              </w:r>
              <w:r w:rsidRPr="005A6267">
                <w:rPr>
                  <w:rStyle w:val="breakword"/>
                  <w:shd w:val="clear" w:color="auto" w:fill="FFFFFF"/>
                  <w:vertAlign w:val="subscript"/>
                </w:rPr>
                <w:t>20</w:t>
              </w:r>
              <w:r w:rsidRPr="005A6267">
                <w:rPr>
                  <w:rStyle w:val="breakword"/>
                  <w:shd w:val="clear" w:color="auto" w:fill="FFFFFF"/>
                </w:rPr>
                <w:t>H</w:t>
              </w:r>
              <w:r w:rsidRPr="005A6267">
                <w:rPr>
                  <w:rStyle w:val="breakword"/>
                  <w:shd w:val="clear" w:color="auto" w:fill="FFFFFF"/>
                  <w:vertAlign w:val="subscript"/>
                </w:rPr>
                <w:t>24</w:t>
              </w:r>
              <w:r w:rsidRPr="005A6267">
                <w:rPr>
                  <w:rStyle w:val="breakword"/>
                  <w:shd w:val="clear" w:color="auto" w:fill="FFFFFF"/>
                </w:rPr>
                <w:t>O</w:t>
              </w:r>
              <w:r w:rsidRPr="005A6267">
                <w:rPr>
                  <w:rStyle w:val="breakword"/>
                  <w:shd w:val="clear" w:color="auto" w:fill="FFFFFF"/>
                  <w:vertAlign w:val="subscript"/>
                </w:rPr>
                <w:t>3</w:t>
              </w:r>
            </w:hyperlink>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570C91DE" wp14:editId="1844E5CA">
                  <wp:extent cx="1562100" cy="223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akuchinone.png"/>
                          <pic:cNvPicPr/>
                        </pic:nvPicPr>
                        <pic:blipFill>
                          <a:blip r:embed="rId40">
                            <a:extLst>
                              <a:ext uri="{28A0092B-C50C-407E-A947-70E740481C1C}">
                                <a14:useLocalDpi xmlns:a14="http://schemas.microsoft.com/office/drawing/2010/main" val="0"/>
                              </a:ext>
                            </a:extLst>
                          </a:blip>
                          <a:stretch>
                            <a:fillRect/>
                          </a:stretch>
                        </pic:blipFill>
                        <pic:spPr>
                          <a:xfrm>
                            <a:off x="0" y="0"/>
                            <a:ext cx="1566031" cy="2240825"/>
                          </a:xfrm>
                          <a:prstGeom prst="rect">
                            <a:avLst/>
                          </a:prstGeom>
                        </pic:spPr>
                      </pic:pic>
                    </a:graphicData>
                  </a:graphic>
                </wp:inline>
              </w:drawing>
            </w:r>
          </w:p>
        </w:tc>
        <w:tc>
          <w:tcPr>
            <w:tcW w:w="2942" w:type="dxa"/>
          </w:tcPr>
          <w:p w:rsidR="006F1C79" w:rsidRPr="00E17F05" w:rsidRDefault="006F1C79" w:rsidP="00E17F05">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Diarylheptanoid sharing conjugated enone link</w:t>
            </w:r>
            <w:r w:rsidR="00E17F05">
              <w:rPr>
                <w:rFonts w:ascii="Times New Roman" w:eastAsia="Times New Roman" w:hAnsi="Times New Roman" w:cs="Times New Roman"/>
                <w:szCs w:val="24"/>
                <w:lang w:eastAsia="en-IN"/>
              </w:rPr>
              <w:t xml:space="preserve">er; Michael acceptor conserved </w:t>
            </w:r>
            <w:r w:rsidR="00E17F05" w:rsidRPr="00E17F05">
              <w:rPr>
                <w:rFonts w:ascii="Times New Roman" w:eastAsia="Times New Roman" w:hAnsi="Times New Roman" w:cs="Times New Roman"/>
                <w:sz w:val="24"/>
                <w:szCs w:val="24"/>
                <w:lang w:eastAsia="en-IN"/>
              </w:rPr>
              <w:t>(Chun et al., 2002c)</w:t>
            </w:r>
            <w:r w:rsidR="00E17F05">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Dehydrozingerone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Zingiber officinale</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NormalWeb"/>
            </w:pPr>
            <w:r w:rsidRPr="005A6267">
              <w:t xml:space="preserve">Chemical Formula: </w:t>
            </w:r>
            <w:hyperlink r:id="rId41" w:anchor="query=C11H12O3" w:history="1">
              <w:r w:rsidRPr="005A6267">
                <w:rPr>
                  <w:rStyle w:val="breakword"/>
                  <w:shd w:val="clear" w:color="auto" w:fill="FFFFFF"/>
                </w:rPr>
                <w:t>C</w:t>
              </w:r>
              <w:r w:rsidRPr="005A6267">
                <w:rPr>
                  <w:rStyle w:val="breakword"/>
                  <w:shd w:val="clear" w:color="auto" w:fill="FFFFFF"/>
                  <w:vertAlign w:val="subscript"/>
                </w:rPr>
                <w:t>11</w:t>
              </w:r>
              <w:r w:rsidRPr="005A6267">
                <w:rPr>
                  <w:rStyle w:val="breakword"/>
                  <w:shd w:val="clear" w:color="auto" w:fill="FFFFFF"/>
                </w:rPr>
                <w:t>H</w:t>
              </w:r>
              <w:r w:rsidRPr="005A6267">
                <w:rPr>
                  <w:rStyle w:val="breakword"/>
                  <w:shd w:val="clear" w:color="auto" w:fill="FFFFFF"/>
                  <w:vertAlign w:val="subscript"/>
                </w:rPr>
                <w:t>12</w:t>
              </w:r>
              <w:r w:rsidRPr="005A6267">
                <w:rPr>
                  <w:rStyle w:val="breakword"/>
                  <w:shd w:val="clear" w:color="auto" w:fill="FFFFFF"/>
                </w:rPr>
                <w:t>O</w:t>
              </w:r>
              <w:r w:rsidRPr="005A6267">
                <w:rPr>
                  <w:rStyle w:val="breakword"/>
                  <w:shd w:val="clear" w:color="auto" w:fill="FFFFFF"/>
                  <w:vertAlign w:val="subscript"/>
                </w:rPr>
                <w:t>3</w:t>
              </w:r>
            </w:hyperlink>
          </w:p>
          <w:p w:rsidR="006F1C79" w:rsidRPr="005A6267" w:rsidRDefault="006F1C79" w:rsidP="00AF7DB1">
            <w:pPr>
              <w:pStyle w:val="NormalWeb"/>
              <w:jc w:val="center"/>
            </w:pPr>
            <w:r w:rsidRPr="005A6267">
              <w:rPr>
                <w:noProof/>
              </w:rPr>
              <w:drawing>
                <wp:inline distT="0" distB="0" distL="0" distR="0" wp14:anchorId="26303EB1" wp14:editId="23E1CAA5">
                  <wp:extent cx="1011279" cy="151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hydrozingerone.png"/>
                          <pic:cNvPicPr/>
                        </pic:nvPicPr>
                        <pic:blipFill>
                          <a:blip r:embed="rId42">
                            <a:extLst>
                              <a:ext uri="{28A0092B-C50C-407E-A947-70E740481C1C}">
                                <a14:useLocalDpi xmlns:a14="http://schemas.microsoft.com/office/drawing/2010/main" val="0"/>
                              </a:ext>
                            </a:extLst>
                          </a:blip>
                          <a:stretch>
                            <a:fillRect/>
                          </a:stretch>
                        </pic:blipFill>
                        <pic:spPr>
                          <a:xfrm>
                            <a:off x="0" y="0"/>
                            <a:ext cx="1018129" cy="1523778"/>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“Half-curcumin” motif with vanillyl group and enone; common pharmacophore (Priyadarsini, 2014).</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lastRenderedPageBreak/>
              <w:t>Withanolide A</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Withania somnifera</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ListParagraph"/>
              <w:ind w:left="0"/>
              <w:rPr>
                <w:rFonts w:ascii="Times New Roman" w:hAnsi="Times New Roman" w:cs="Times New Roman"/>
                <w:sz w:val="24"/>
                <w:szCs w:val="24"/>
                <w:shd w:val="clear" w:color="auto" w:fill="FFFFFF"/>
              </w:rPr>
            </w:pPr>
            <w:r w:rsidRPr="005A6267">
              <w:rPr>
                <w:rFonts w:ascii="Times New Roman" w:hAnsi="Times New Roman" w:cs="Times New Roman"/>
                <w:sz w:val="24"/>
                <w:szCs w:val="24"/>
              </w:rPr>
              <w:t xml:space="preserve">Chemical Formula: </w:t>
            </w:r>
            <w:hyperlink r:id="rId43" w:anchor="query=C28H38O6"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28</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38</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6</w:t>
              </w:r>
            </w:hyperlink>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2827D437" wp14:editId="1B050545">
                  <wp:extent cx="1296579" cy="1980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etcher (5).png"/>
                          <pic:cNvPicPr/>
                        </pic:nvPicPr>
                        <pic:blipFill>
                          <a:blip r:embed="rId44">
                            <a:extLst>
                              <a:ext uri="{28A0092B-C50C-407E-A947-70E740481C1C}">
                                <a14:useLocalDpi xmlns:a14="http://schemas.microsoft.com/office/drawing/2010/main" val="0"/>
                              </a:ext>
                            </a:extLst>
                          </a:blip>
                          <a:stretch>
                            <a:fillRect/>
                          </a:stretch>
                        </pic:blipFill>
                        <pic:spPr>
                          <a:xfrm>
                            <a:off x="0" y="0"/>
                            <a:ext cx="1302260" cy="1988907"/>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Physalin B</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Physalis angulate</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rPr>
                <w:rFonts w:ascii="Times New Roman" w:hAnsi="Times New Roman" w:cs="Times New Roman"/>
                <w:sz w:val="28"/>
                <w:szCs w:val="24"/>
              </w:rPr>
            </w:pPr>
            <w:r w:rsidRPr="005A6267">
              <w:rPr>
                <w:rFonts w:ascii="Times New Roman" w:hAnsi="Times New Roman" w:cs="Times New Roman"/>
                <w:sz w:val="24"/>
                <w:szCs w:val="24"/>
              </w:rPr>
              <w:t xml:space="preserve">Chemical Formula: </w:t>
            </w:r>
            <w:hyperlink r:id="rId45" w:anchor="query=C28H30O9" w:history="1">
              <w:r w:rsidRPr="005A6267">
                <w:rPr>
                  <w:rStyle w:val="breakword"/>
                  <w:rFonts w:ascii="Times New Roman" w:hAnsi="Times New Roman" w:cs="Times New Roman"/>
                  <w:sz w:val="24"/>
                  <w:shd w:val="clear" w:color="auto" w:fill="FFFFFF"/>
                </w:rPr>
                <w:t>C</w:t>
              </w:r>
              <w:r w:rsidRPr="005A6267">
                <w:rPr>
                  <w:rStyle w:val="breakword"/>
                  <w:rFonts w:ascii="Times New Roman" w:hAnsi="Times New Roman" w:cs="Times New Roman"/>
                  <w:sz w:val="24"/>
                  <w:shd w:val="clear" w:color="auto" w:fill="FFFFFF"/>
                  <w:vertAlign w:val="subscript"/>
                </w:rPr>
                <w:t>28</w:t>
              </w:r>
              <w:r w:rsidRPr="005A6267">
                <w:rPr>
                  <w:rStyle w:val="breakword"/>
                  <w:rFonts w:ascii="Times New Roman" w:hAnsi="Times New Roman" w:cs="Times New Roman"/>
                  <w:sz w:val="24"/>
                  <w:shd w:val="clear" w:color="auto" w:fill="FFFFFF"/>
                </w:rPr>
                <w:t>H</w:t>
              </w:r>
              <w:r w:rsidRPr="005A6267">
                <w:rPr>
                  <w:rStyle w:val="breakword"/>
                  <w:rFonts w:ascii="Times New Roman" w:hAnsi="Times New Roman" w:cs="Times New Roman"/>
                  <w:sz w:val="24"/>
                  <w:shd w:val="clear" w:color="auto" w:fill="FFFFFF"/>
                  <w:vertAlign w:val="subscript"/>
                </w:rPr>
                <w:t>30</w:t>
              </w:r>
              <w:r w:rsidRPr="005A6267">
                <w:rPr>
                  <w:rStyle w:val="breakword"/>
                  <w:rFonts w:ascii="Times New Roman" w:hAnsi="Times New Roman" w:cs="Times New Roman"/>
                  <w:sz w:val="24"/>
                  <w:shd w:val="clear" w:color="auto" w:fill="FFFFFF"/>
                </w:rPr>
                <w:t>O</w:t>
              </w:r>
              <w:r w:rsidRPr="005A6267">
                <w:rPr>
                  <w:rStyle w:val="breakword"/>
                  <w:rFonts w:ascii="Times New Roman" w:hAnsi="Times New Roman" w:cs="Times New Roman"/>
                  <w:sz w:val="24"/>
                  <w:shd w:val="clear" w:color="auto" w:fill="FFFFFF"/>
                  <w:vertAlign w:val="subscript"/>
                </w:rPr>
                <w:t>9</w:t>
              </w:r>
            </w:hyperlink>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lang w:eastAsia="en-IN"/>
              </w:rPr>
              <w:drawing>
                <wp:inline distT="0" distB="0" distL="0" distR="0" wp14:anchorId="2AA7DFE4" wp14:editId="0544EDAC">
                  <wp:extent cx="1076325" cy="13337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YSALIN B.png"/>
                          <pic:cNvPicPr/>
                        </pic:nvPicPr>
                        <pic:blipFill>
                          <a:blip r:embed="rId46">
                            <a:extLst>
                              <a:ext uri="{28A0092B-C50C-407E-A947-70E740481C1C}">
                                <a14:useLocalDpi xmlns:a14="http://schemas.microsoft.com/office/drawing/2010/main" val="0"/>
                              </a:ext>
                            </a:extLst>
                          </a:blip>
                          <a:stretch>
                            <a:fillRect/>
                          </a:stretch>
                        </pic:blipFill>
                        <pic:spPr>
                          <a:xfrm>
                            <a:off x="0" y="0"/>
                            <a:ext cx="1083514" cy="1342614"/>
                          </a:xfrm>
                          <a:prstGeom prst="rect">
                            <a:avLst/>
                          </a:prstGeom>
                        </pic:spPr>
                      </pic:pic>
                    </a:graphicData>
                  </a:graphic>
                </wp:inline>
              </w:drawing>
            </w:r>
          </w:p>
        </w:tc>
        <w:tc>
          <w:tcPr>
            <w:tcW w:w="2942" w:type="dxa"/>
          </w:tcPr>
          <w:p w:rsidR="006F1C79" w:rsidRPr="00FB3C2A" w:rsidRDefault="006F1C79" w:rsidP="00FB3C2A">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Steroidal lactone with ergostane-derived framework and δ-lactone, akin to withanolides </w:t>
            </w:r>
            <w:r w:rsidR="00FB3C2A" w:rsidRPr="00FB3C2A">
              <w:rPr>
                <w:rFonts w:ascii="Times New Roman" w:eastAsia="Times New Roman" w:hAnsi="Times New Roman" w:cs="Times New Roman"/>
                <w:sz w:val="24"/>
                <w:szCs w:val="24"/>
                <w:lang w:eastAsia="en-IN"/>
              </w:rPr>
              <w:t>(Kuo et al., 2006)</w:t>
            </w:r>
            <w:r w:rsidR="00FB3C2A">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Withanolide 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Physalis peruviana</w:t>
            </w:r>
          </w:p>
          <w:p w:rsidR="006F1C79" w:rsidRPr="005A6267" w:rsidRDefault="006F1C79" w:rsidP="00AF7DB1">
            <w:pPr>
              <w:pStyle w:val="NormalWeb"/>
              <w:rPr>
                <w:shd w:val="clear" w:color="auto" w:fill="FFFFFF"/>
              </w:rPr>
            </w:pPr>
            <w:r w:rsidRPr="005A6267">
              <w:t>Chemical Formula:</w:t>
            </w:r>
            <w:r w:rsidRPr="005A6267">
              <w:rPr>
                <w:shd w:val="clear" w:color="auto" w:fill="FFFFFF"/>
              </w:rPr>
              <w:t xml:space="preserve"> </w:t>
            </w:r>
            <w:hyperlink r:id="rId47" w:anchor="query=C28H38O7" w:history="1">
              <w:r w:rsidRPr="005A6267">
                <w:rPr>
                  <w:rStyle w:val="breakword"/>
                  <w:shd w:val="clear" w:color="auto" w:fill="FFFFFF"/>
                </w:rPr>
                <w:t>C</w:t>
              </w:r>
              <w:r w:rsidRPr="005A6267">
                <w:rPr>
                  <w:rStyle w:val="breakword"/>
                  <w:shd w:val="clear" w:color="auto" w:fill="FFFFFF"/>
                  <w:vertAlign w:val="subscript"/>
                </w:rPr>
                <w:t>28</w:t>
              </w:r>
              <w:r w:rsidRPr="005A6267">
                <w:rPr>
                  <w:rStyle w:val="breakword"/>
                  <w:shd w:val="clear" w:color="auto" w:fill="FFFFFF"/>
                </w:rPr>
                <w:t>H</w:t>
              </w:r>
              <w:r w:rsidRPr="005A6267">
                <w:rPr>
                  <w:rStyle w:val="breakword"/>
                  <w:shd w:val="clear" w:color="auto" w:fill="FFFFFF"/>
                  <w:vertAlign w:val="subscript"/>
                </w:rPr>
                <w:t>38</w:t>
              </w:r>
              <w:r w:rsidRPr="005A6267">
                <w:rPr>
                  <w:rStyle w:val="breakword"/>
                  <w:shd w:val="clear" w:color="auto" w:fill="FFFFFF"/>
                </w:rPr>
                <w:t>O</w:t>
              </w:r>
              <w:r w:rsidRPr="005A6267">
                <w:rPr>
                  <w:rStyle w:val="breakword"/>
                  <w:shd w:val="clear" w:color="auto" w:fill="FFFFFF"/>
                  <w:vertAlign w:val="subscript"/>
                </w:rPr>
                <w:t>7</w:t>
              </w:r>
            </w:hyperlink>
            <w:r w:rsidRPr="005A6267">
              <w:rPr>
                <w:shd w:val="clear" w:color="auto" w:fill="FFFFFF"/>
              </w:rPr>
              <w:t>  </w:t>
            </w:r>
          </w:p>
          <w:p w:rsidR="006F1C79" w:rsidRPr="005A6267" w:rsidRDefault="006F1C79" w:rsidP="00AF7DB1">
            <w:pPr>
              <w:pStyle w:val="NormalWeb"/>
              <w:jc w:val="center"/>
            </w:pPr>
            <w:r w:rsidRPr="005A6267">
              <w:rPr>
                <w:noProof/>
              </w:rPr>
              <w:drawing>
                <wp:inline distT="0" distB="0" distL="0" distR="0" wp14:anchorId="405E89AB" wp14:editId="05D44914">
                  <wp:extent cx="1791228" cy="150395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thanolide E.png"/>
                          <pic:cNvPicPr/>
                        </pic:nvPicPr>
                        <pic:blipFill>
                          <a:blip r:embed="rId48">
                            <a:extLst>
                              <a:ext uri="{28A0092B-C50C-407E-A947-70E740481C1C}">
                                <a14:useLocalDpi xmlns:a14="http://schemas.microsoft.com/office/drawing/2010/main" val="0"/>
                              </a:ext>
                            </a:extLst>
                          </a:blip>
                          <a:stretch>
                            <a:fillRect/>
                          </a:stretch>
                        </pic:blipFill>
                        <pic:spPr>
                          <a:xfrm>
                            <a:off x="0" y="0"/>
                            <a:ext cx="1796079" cy="1508029"/>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True withanolide congener with steroidal backbone; differs in stereochemistry and oxidation (Mirjalili et al., 2009).</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Asiaticoside</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Centella asiatica</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rPr>
                <w:rFonts w:ascii="Times New Roman" w:hAnsi="Times New Roman" w:cs="Times New Roman"/>
                <w:sz w:val="24"/>
                <w:szCs w:val="24"/>
                <w:shd w:val="clear" w:color="auto" w:fill="FFFFFF"/>
              </w:rPr>
            </w:pPr>
            <w:r w:rsidRPr="005A6267">
              <w:rPr>
                <w:rFonts w:ascii="Times New Roman" w:hAnsi="Times New Roman" w:cs="Times New Roman"/>
                <w:sz w:val="24"/>
                <w:szCs w:val="24"/>
              </w:rPr>
              <w:t xml:space="preserve">Chemical Formula: </w:t>
            </w:r>
            <w:hyperlink r:id="rId49" w:anchor="query=C48H78O19"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48</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78</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19</w:t>
              </w:r>
            </w:hyperlink>
            <w:r w:rsidRPr="005A6267">
              <w:rPr>
                <w:rFonts w:ascii="Times New Roman" w:hAnsi="Times New Roman" w:cs="Times New Roman"/>
                <w:sz w:val="24"/>
                <w:szCs w:val="24"/>
                <w:shd w:val="clear" w:color="auto" w:fill="FFFFFF"/>
              </w:rPr>
              <w:t> </w:t>
            </w:r>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3C044395" wp14:editId="0AA17144">
                  <wp:extent cx="2170178" cy="187552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iaticoside.png"/>
                          <pic:cNvPicPr/>
                        </pic:nvPicPr>
                        <pic:blipFill>
                          <a:blip r:embed="rId50">
                            <a:extLst>
                              <a:ext uri="{28A0092B-C50C-407E-A947-70E740481C1C}">
                                <a14:useLocalDpi xmlns:a14="http://schemas.microsoft.com/office/drawing/2010/main" val="0"/>
                              </a:ext>
                            </a:extLst>
                          </a:blip>
                          <a:stretch>
                            <a:fillRect/>
                          </a:stretch>
                        </pic:blipFill>
                        <pic:spPr>
                          <a:xfrm>
                            <a:off x="0" y="0"/>
                            <a:ext cx="2182779" cy="1886411"/>
                          </a:xfrm>
                          <a:prstGeom prst="rect">
                            <a:avLst/>
                          </a:prstGeom>
                        </pic:spPr>
                      </pic:pic>
                    </a:graphicData>
                  </a:graphic>
                </wp:inline>
              </w:drawing>
            </w: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Aescin</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Aesculus hippocastanum</w:t>
            </w:r>
          </w:p>
          <w:p w:rsidR="006F1C79" w:rsidRPr="005A6267" w:rsidRDefault="006F1C79" w:rsidP="00AF7DB1">
            <w:pPr>
              <w:spacing w:before="100" w:beforeAutospacing="1" w:after="100" w:afterAutospacing="1"/>
              <w:rPr>
                <w:rFonts w:ascii="Times New Roman" w:hAnsi="Times New Roman" w:cs="Times New Roman"/>
                <w:sz w:val="24"/>
                <w:szCs w:val="24"/>
              </w:rPr>
            </w:pPr>
            <w:r w:rsidRPr="005A6267">
              <w:rPr>
                <w:rFonts w:ascii="Times New Roman" w:hAnsi="Times New Roman" w:cs="Times New Roman"/>
                <w:sz w:val="24"/>
                <w:szCs w:val="24"/>
              </w:rPr>
              <w:t xml:space="preserve">Chemical Formula: </w:t>
            </w:r>
            <w:hyperlink r:id="rId51" w:anchor="query=C55H86O24"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55</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86</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24</w:t>
              </w:r>
            </w:hyperlink>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6E82F1C7" wp14:editId="30824259">
                  <wp:extent cx="2735635" cy="149263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escin.png"/>
                          <pic:cNvPicPr/>
                        </pic:nvPicPr>
                        <pic:blipFill>
                          <a:blip r:embed="rId52">
                            <a:extLst>
                              <a:ext uri="{28A0092B-C50C-407E-A947-70E740481C1C}">
                                <a14:useLocalDpi xmlns:a14="http://schemas.microsoft.com/office/drawing/2010/main" val="0"/>
                              </a:ext>
                            </a:extLst>
                          </a:blip>
                          <a:stretch>
                            <a:fillRect/>
                          </a:stretch>
                        </pic:blipFill>
                        <pic:spPr>
                          <a:xfrm>
                            <a:off x="0" y="0"/>
                            <a:ext cx="2765947" cy="1509176"/>
                          </a:xfrm>
                          <a:prstGeom prst="rect">
                            <a:avLst/>
                          </a:prstGeom>
                        </pic:spPr>
                      </pic:pic>
                    </a:graphicData>
                  </a:graphic>
                </wp:inline>
              </w:drawing>
            </w: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Triterpenoid saponin with oleanane aglycone and sugars, structurally similar t</w:t>
            </w:r>
            <w:r w:rsidR="006D6BB9">
              <w:rPr>
                <w:rFonts w:ascii="Times New Roman" w:eastAsia="Times New Roman" w:hAnsi="Times New Roman" w:cs="Times New Roman"/>
                <w:szCs w:val="24"/>
                <w:lang w:eastAsia="en-IN"/>
              </w:rPr>
              <w:t>o asiaticoside (Chindo et al., 2012</w:t>
            </w:r>
            <w:r w:rsidRPr="005A6267">
              <w:rPr>
                <w:rFonts w:ascii="Times New Roman" w:eastAsia="Times New Roman" w:hAnsi="Times New Roman" w:cs="Times New Roman"/>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Glycyrrhizin</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Glycyrrhiza glabra</w:t>
            </w:r>
          </w:p>
          <w:p w:rsidR="006F1C79" w:rsidRPr="005A6267" w:rsidRDefault="006F1C79" w:rsidP="00AF7DB1">
            <w:pPr>
              <w:pStyle w:val="NormalWeb"/>
            </w:pPr>
            <w:r w:rsidRPr="005A6267">
              <w:t xml:space="preserve">Chemical Formula: </w:t>
            </w:r>
            <w:hyperlink r:id="rId53" w:anchor="query=C42H62O16" w:history="1">
              <w:r w:rsidRPr="005A6267">
                <w:rPr>
                  <w:rStyle w:val="breakword"/>
                  <w:shd w:val="clear" w:color="auto" w:fill="FFFFFF"/>
                </w:rPr>
                <w:t>C</w:t>
              </w:r>
              <w:r w:rsidRPr="005A6267">
                <w:rPr>
                  <w:rStyle w:val="breakword"/>
                  <w:shd w:val="clear" w:color="auto" w:fill="FFFFFF"/>
                  <w:vertAlign w:val="subscript"/>
                </w:rPr>
                <w:t>42</w:t>
              </w:r>
              <w:r w:rsidRPr="005A6267">
                <w:rPr>
                  <w:rStyle w:val="breakword"/>
                  <w:shd w:val="clear" w:color="auto" w:fill="FFFFFF"/>
                </w:rPr>
                <w:t>H</w:t>
              </w:r>
              <w:r w:rsidRPr="005A6267">
                <w:rPr>
                  <w:rStyle w:val="breakword"/>
                  <w:shd w:val="clear" w:color="auto" w:fill="FFFFFF"/>
                  <w:vertAlign w:val="subscript"/>
                </w:rPr>
                <w:t>62</w:t>
              </w:r>
              <w:r w:rsidRPr="005A6267">
                <w:rPr>
                  <w:rStyle w:val="breakword"/>
                  <w:shd w:val="clear" w:color="auto" w:fill="FFFFFF"/>
                </w:rPr>
                <w:t>O</w:t>
              </w:r>
              <w:r w:rsidRPr="005A6267">
                <w:rPr>
                  <w:rStyle w:val="breakword"/>
                  <w:shd w:val="clear" w:color="auto" w:fill="FFFFFF"/>
                  <w:vertAlign w:val="subscript"/>
                </w:rPr>
                <w:t>16</w:t>
              </w:r>
            </w:hyperlink>
          </w:p>
          <w:p w:rsidR="006F1C79" w:rsidRPr="005A6267" w:rsidRDefault="006F1C79" w:rsidP="00AF7DB1">
            <w:pPr>
              <w:pStyle w:val="NormalWeb"/>
              <w:jc w:val="center"/>
            </w:pPr>
            <w:r w:rsidRPr="005A6267">
              <w:rPr>
                <w:noProof/>
              </w:rPr>
              <w:lastRenderedPageBreak/>
              <w:drawing>
                <wp:inline distT="0" distB="0" distL="0" distR="0" wp14:anchorId="10382F45" wp14:editId="567A22DC">
                  <wp:extent cx="1133475" cy="26162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lycyrrhizin.png"/>
                          <pic:cNvPicPr/>
                        </pic:nvPicPr>
                        <pic:blipFill>
                          <a:blip r:embed="rId54">
                            <a:extLst>
                              <a:ext uri="{28A0092B-C50C-407E-A947-70E740481C1C}">
                                <a14:useLocalDpi xmlns:a14="http://schemas.microsoft.com/office/drawing/2010/main" val="0"/>
                              </a:ext>
                            </a:extLst>
                          </a:blip>
                          <a:stretch>
                            <a:fillRect/>
                          </a:stretch>
                        </pic:blipFill>
                        <pic:spPr>
                          <a:xfrm>
                            <a:off x="0" y="0"/>
                            <a:ext cx="1136808" cy="2623913"/>
                          </a:xfrm>
                          <a:prstGeom prst="rect">
                            <a:avLst/>
                          </a:prstGeom>
                        </pic:spPr>
                      </pic:pic>
                    </a:graphicData>
                  </a:graphic>
                </wp:inline>
              </w:drawing>
            </w: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lastRenderedPageBreak/>
              <w:t>Triterpenoid saponin with glycosylated pentacyclic triterpene, same class (Asl &amp; Hosseinzadeh, 2008).</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lastRenderedPageBreak/>
              <w:t>Ginkgolide B</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Ginkgo biloba</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ListParagraph"/>
              <w:ind w:left="0"/>
              <w:rPr>
                <w:rFonts w:ascii="Times New Roman" w:hAnsi="Times New Roman" w:cs="Times New Roman"/>
                <w:sz w:val="24"/>
                <w:szCs w:val="24"/>
                <w:shd w:val="clear" w:color="auto" w:fill="FFFFFF"/>
              </w:rPr>
            </w:pPr>
            <w:r w:rsidRPr="005A6267">
              <w:rPr>
                <w:rFonts w:ascii="Times New Roman" w:hAnsi="Times New Roman" w:cs="Times New Roman"/>
                <w:sz w:val="24"/>
                <w:szCs w:val="24"/>
              </w:rPr>
              <w:t>Chemical Formula:</w:t>
            </w:r>
            <w:r w:rsidRPr="005A6267">
              <w:rPr>
                <w:rFonts w:ascii="Times New Roman" w:hAnsi="Times New Roman" w:cs="Times New Roman"/>
                <w:sz w:val="24"/>
                <w:szCs w:val="24"/>
                <w:shd w:val="clear" w:color="auto" w:fill="FFFFFF"/>
              </w:rPr>
              <w:t xml:space="preserve"> </w:t>
            </w:r>
            <w:hyperlink r:id="rId55" w:anchor="query=C20H24O10"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20</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24</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10</w:t>
              </w:r>
            </w:hyperlink>
            <w:r w:rsidRPr="005A6267">
              <w:rPr>
                <w:rFonts w:ascii="Times New Roman" w:hAnsi="Times New Roman" w:cs="Times New Roman"/>
                <w:sz w:val="24"/>
                <w:szCs w:val="24"/>
                <w:shd w:val="clear" w:color="auto" w:fill="FFFFFF"/>
              </w:rPr>
              <w:t> </w:t>
            </w:r>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269845FD" wp14:editId="3AC1BC40">
                  <wp:extent cx="1674467" cy="106616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inkgolide B.png"/>
                          <pic:cNvPicPr/>
                        </pic:nvPicPr>
                        <pic:blipFill>
                          <a:blip r:embed="rId56">
                            <a:extLst>
                              <a:ext uri="{28A0092B-C50C-407E-A947-70E740481C1C}">
                                <a14:useLocalDpi xmlns:a14="http://schemas.microsoft.com/office/drawing/2010/main" val="0"/>
                              </a:ext>
                            </a:extLst>
                          </a:blip>
                          <a:stretch>
                            <a:fillRect/>
                          </a:stretch>
                        </pic:blipFill>
                        <pic:spPr>
                          <a:xfrm>
                            <a:off x="0" y="0"/>
                            <a:ext cx="1679854" cy="1069595"/>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Andrographolide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Andrographis paniculata</w:t>
            </w:r>
          </w:p>
          <w:p w:rsidR="006F1C79" w:rsidRPr="005A6267" w:rsidRDefault="006F1C79" w:rsidP="00AF7DB1">
            <w:pPr>
              <w:pStyle w:val="NormalWeb"/>
            </w:pPr>
            <w:r w:rsidRPr="005A6267">
              <w:t xml:space="preserve">Chemical Formula: </w:t>
            </w:r>
            <w:hyperlink r:id="rId57" w:anchor="query=C20H30O5" w:history="1">
              <w:r w:rsidRPr="005A6267">
                <w:rPr>
                  <w:rStyle w:val="breakword"/>
                  <w:shd w:val="clear" w:color="auto" w:fill="FFFFFF"/>
                </w:rPr>
                <w:t>C</w:t>
              </w:r>
              <w:r w:rsidRPr="005A6267">
                <w:rPr>
                  <w:rStyle w:val="breakword"/>
                  <w:shd w:val="clear" w:color="auto" w:fill="FFFFFF"/>
                  <w:vertAlign w:val="subscript"/>
                </w:rPr>
                <w:t>20</w:t>
              </w:r>
              <w:r w:rsidRPr="005A6267">
                <w:rPr>
                  <w:rStyle w:val="breakword"/>
                  <w:shd w:val="clear" w:color="auto" w:fill="FFFFFF"/>
                </w:rPr>
                <w:t>H</w:t>
              </w:r>
              <w:r w:rsidRPr="005A6267">
                <w:rPr>
                  <w:rStyle w:val="breakword"/>
                  <w:shd w:val="clear" w:color="auto" w:fill="FFFFFF"/>
                  <w:vertAlign w:val="subscript"/>
                </w:rPr>
                <w:t>30</w:t>
              </w:r>
              <w:r w:rsidRPr="005A6267">
                <w:rPr>
                  <w:rStyle w:val="breakword"/>
                  <w:shd w:val="clear" w:color="auto" w:fill="FFFFFF"/>
                </w:rPr>
                <w:t>O</w:t>
              </w:r>
              <w:r w:rsidRPr="005A6267">
                <w:rPr>
                  <w:rStyle w:val="breakword"/>
                  <w:shd w:val="clear" w:color="auto" w:fill="FFFFFF"/>
                  <w:vertAlign w:val="subscript"/>
                </w:rPr>
                <w:t>5</w:t>
              </w:r>
            </w:hyperlink>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355FA5B6" wp14:editId="31651561">
                  <wp:extent cx="1329581" cy="166052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drographolide.png"/>
                          <pic:cNvPicPr/>
                        </pic:nvPicPr>
                        <pic:blipFill>
                          <a:blip r:embed="rId58">
                            <a:extLst>
                              <a:ext uri="{28A0092B-C50C-407E-A947-70E740481C1C}">
                                <a14:useLocalDpi xmlns:a14="http://schemas.microsoft.com/office/drawing/2010/main" val="0"/>
                              </a:ext>
                            </a:extLst>
                          </a:blip>
                          <a:stretch>
                            <a:fillRect/>
                          </a:stretch>
                        </pic:blipFill>
                        <pic:spPr>
                          <a:xfrm>
                            <a:off x="0" y="0"/>
                            <a:ext cx="1341629" cy="1675572"/>
                          </a:xfrm>
                          <a:prstGeom prst="rect">
                            <a:avLst/>
                          </a:prstGeom>
                        </pic:spPr>
                      </pic:pic>
                    </a:graphicData>
                  </a:graphic>
                </wp:inline>
              </w:drawing>
            </w:r>
          </w:p>
        </w:tc>
        <w:tc>
          <w:tcPr>
            <w:tcW w:w="2942" w:type="dxa"/>
          </w:tcPr>
          <w:p w:rsidR="006F1C79" w:rsidRPr="005A6267" w:rsidRDefault="006F1C79" w:rsidP="00C341F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 xml:space="preserve">Diterpenoid lactone, oxygen-rich with lactone rings and hydroxyl groups </w:t>
            </w:r>
            <w:r w:rsidR="00C341F1" w:rsidRPr="00C341F1">
              <w:rPr>
                <w:rFonts w:ascii="Times New Roman" w:eastAsia="Times New Roman" w:hAnsi="Times New Roman" w:cs="Times New Roman"/>
                <w:sz w:val="24"/>
                <w:szCs w:val="24"/>
                <w:lang w:eastAsia="en-IN"/>
              </w:rPr>
              <w:t>(Islam et al., 2018b)</w:t>
            </w:r>
            <w:r w:rsidR="00C341F1">
              <w:rPr>
                <w:rFonts w:ascii="Times New Roman" w:eastAsia="Times New Roman" w:hAnsi="Times New Roman" w:cs="Times New Roman"/>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Tanshinone IIA</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Salvia miltiorrhiza</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NormalWeb"/>
            </w:pPr>
            <w:r w:rsidRPr="005A6267">
              <w:t xml:space="preserve">Chemical Formula: </w:t>
            </w:r>
            <w:hyperlink r:id="rId59" w:anchor="query=C19H18O3" w:history="1">
              <w:r w:rsidRPr="005A6267">
                <w:rPr>
                  <w:rStyle w:val="breakword"/>
                  <w:shd w:val="clear" w:color="auto" w:fill="FFFFFF"/>
                </w:rPr>
                <w:t>C</w:t>
              </w:r>
              <w:r w:rsidRPr="005A6267">
                <w:rPr>
                  <w:rStyle w:val="breakword"/>
                  <w:shd w:val="clear" w:color="auto" w:fill="FFFFFF"/>
                  <w:vertAlign w:val="subscript"/>
                </w:rPr>
                <w:t>19</w:t>
              </w:r>
              <w:r w:rsidRPr="005A6267">
                <w:rPr>
                  <w:rStyle w:val="breakword"/>
                  <w:shd w:val="clear" w:color="auto" w:fill="FFFFFF"/>
                </w:rPr>
                <w:t>H</w:t>
              </w:r>
              <w:r w:rsidRPr="005A6267">
                <w:rPr>
                  <w:rStyle w:val="breakword"/>
                  <w:shd w:val="clear" w:color="auto" w:fill="FFFFFF"/>
                  <w:vertAlign w:val="subscript"/>
                </w:rPr>
                <w:t>18</w:t>
              </w:r>
              <w:r w:rsidRPr="005A6267">
                <w:rPr>
                  <w:rStyle w:val="breakword"/>
                  <w:shd w:val="clear" w:color="auto" w:fill="FFFFFF"/>
                </w:rPr>
                <w:t>O</w:t>
              </w:r>
              <w:r w:rsidRPr="005A6267">
                <w:rPr>
                  <w:rStyle w:val="breakword"/>
                  <w:shd w:val="clear" w:color="auto" w:fill="FFFFFF"/>
                  <w:vertAlign w:val="subscript"/>
                </w:rPr>
                <w:t>3</w:t>
              </w:r>
            </w:hyperlink>
          </w:p>
          <w:p w:rsidR="006F1C79" w:rsidRPr="005A6267" w:rsidRDefault="006F1C79" w:rsidP="00AF7DB1">
            <w:pPr>
              <w:pStyle w:val="NormalWeb"/>
              <w:jc w:val="center"/>
            </w:pPr>
            <w:r w:rsidRPr="005A6267">
              <w:rPr>
                <w:noProof/>
              </w:rPr>
              <w:drawing>
                <wp:inline distT="0" distB="0" distL="0" distR="0" wp14:anchorId="0DF1F10D" wp14:editId="15B925CA">
                  <wp:extent cx="1448790" cy="13546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nshinone.png"/>
                          <pic:cNvPicPr/>
                        </pic:nvPicPr>
                        <pic:blipFill>
                          <a:blip r:embed="rId60">
                            <a:extLst>
                              <a:ext uri="{28A0092B-C50C-407E-A947-70E740481C1C}">
                                <a14:useLocalDpi xmlns:a14="http://schemas.microsoft.com/office/drawing/2010/main" val="0"/>
                              </a:ext>
                            </a:extLst>
                          </a:blip>
                          <a:stretch>
                            <a:fillRect/>
                          </a:stretch>
                        </pic:blipFill>
                        <pic:spPr>
                          <a:xfrm>
                            <a:off x="0" y="0"/>
                            <a:ext cx="1456078" cy="1361433"/>
                          </a:xfrm>
                          <a:prstGeom prst="rect">
                            <a:avLst/>
                          </a:prstGeom>
                        </pic:spPr>
                      </pic:pic>
                    </a:graphicData>
                  </a:graphic>
                </wp:inline>
              </w:drawing>
            </w:r>
          </w:p>
        </w:tc>
        <w:tc>
          <w:tcPr>
            <w:tcW w:w="2942" w:type="dxa"/>
          </w:tcPr>
          <w:p w:rsidR="003410F6" w:rsidRPr="003410F6" w:rsidRDefault="006F1C79" w:rsidP="003410F6">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Abietane diterpenoid with conjugated quinone core; functional-class similarity </w:t>
            </w:r>
            <w:r w:rsidR="003410F6" w:rsidRPr="003410F6">
              <w:rPr>
                <w:rFonts w:ascii="Times New Roman" w:eastAsia="Times New Roman" w:hAnsi="Times New Roman" w:cs="Times New Roman"/>
                <w:sz w:val="24"/>
                <w:szCs w:val="24"/>
                <w:lang w:eastAsia="en-IN"/>
              </w:rPr>
              <w:t>(Lee et al., 2013)</w:t>
            </w:r>
            <w:r w:rsidR="003410F6">
              <w:rPr>
                <w:rFonts w:ascii="Times New Roman" w:eastAsia="Times New Roman" w:hAnsi="Times New Roman" w:cs="Times New Roman"/>
                <w:sz w:val="24"/>
                <w:szCs w:val="24"/>
                <w:lang w:eastAsia="en-IN"/>
              </w:rPr>
              <w:t>.</w:t>
            </w:r>
          </w:p>
          <w:p w:rsidR="006F1C79" w:rsidRPr="005A6267" w:rsidRDefault="006F1C79" w:rsidP="00AF7DB1">
            <w:pPr>
              <w:rPr>
                <w:rFonts w:ascii="Times New Roman" w:eastAsia="Times New Roman" w:hAnsi="Times New Roman" w:cs="Times New Roman"/>
                <w:szCs w:val="24"/>
                <w:lang w:eastAsia="en-IN"/>
              </w:rPr>
            </w:pP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Cannabidiol (CBD)</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Cannabis sativa</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ListParagraph"/>
              <w:ind w:left="0"/>
              <w:rPr>
                <w:rFonts w:ascii="Times New Roman" w:hAnsi="Times New Roman" w:cs="Times New Roman"/>
                <w:sz w:val="24"/>
                <w:szCs w:val="24"/>
              </w:rPr>
            </w:pPr>
            <w:r w:rsidRPr="005A6267">
              <w:rPr>
                <w:rFonts w:ascii="Times New Roman" w:hAnsi="Times New Roman" w:cs="Times New Roman"/>
                <w:sz w:val="24"/>
                <w:szCs w:val="24"/>
              </w:rPr>
              <w:t xml:space="preserve">Chemical Formula: </w:t>
            </w:r>
            <w:hyperlink r:id="rId61" w:anchor="query=C21H30O2"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21</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30</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2</w:t>
              </w:r>
            </w:hyperlink>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lastRenderedPageBreak/>
              <w:drawing>
                <wp:inline distT="0" distB="0" distL="0" distR="0" wp14:anchorId="7AEB7458" wp14:editId="35DB5C7D">
                  <wp:extent cx="904875" cy="16009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nnabidiol.png"/>
                          <pic:cNvPicPr/>
                        </pic:nvPicPr>
                        <pic:blipFill>
                          <a:blip r:embed="rId62">
                            <a:extLst>
                              <a:ext uri="{28A0092B-C50C-407E-A947-70E740481C1C}">
                                <a14:useLocalDpi xmlns:a14="http://schemas.microsoft.com/office/drawing/2010/main" val="0"/>
                              </a:ext>
                            </a:extLst>
                          </a:blip>
                          <a:stretch>
                            <a:fillRect/>
                          </a:stretch>
                        </pic:blipFill>
                        <pic:spPr>
                          <a:xfrm>
                            <a:off x="0" y="0"/>
                            <a:ext cx="910069" cy="1610121"/>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lastRenderedPageBreak/>
              <w:t>Perrottetinene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Radula marginata</w:t>
            </w:r>
          </w:p>
          <w:p w:rsidR="006F1C79" w:rsidRPr="005A6267" w:rsidRDefault="006F1C79" w:rsidP="00AF7DB1">
            <w:pPr>
              <w:pStyle w:val="NormalWeb"/>
              <w:rPr>
                <w:shd w:val="clear" w:color="auto" w:fill="FFFFFF"/>
              </w:rPr>
            </w:pPr>
            <w:r w:rsidRPr="005A6267">
              <w:t>Chemical Formula:</w:t>
            </w:r>
            <w:r w:rsidRPr="005A6267">
              <w:rPr>
                <w:rStyle w:val="url"/>
                <w:shd w:val="clear" w:color="auto" w:fill="FFFFFF"/>
              </w:rPr>
              <w:t xml:space="preserve"> </w:t>
            </w:r>
            <w:r w:rsidRPr="005A6267">
              <w:rPr>
                <w:rStyle w:val="f-medium"/>
                <w:shd w:val="clear" w:color="auto" w:fill="FFFFFF"/>
              </w:rPr>
              <w:t> </w:t>
            </w:r>
            <w:hyperlink r:id="rId63" w:anchor="query=C24H28O2" w:history="1">
              <w:r w:rsidRPr="005A6267">
                <w:rPr>
                  <w:rStyle w:val="breakword"/>
                  <w:shd w:val="clear" w:color="auto" w:fill="FFFFFF"/>
                </w:rPr>
                <w:t>C</w:t>
              </w:r>
              <w:r w:rsidRPr="005A6267">
                <w:rPr>
                  <w:rStyle w:val="breakword"/>
                  <w:shd w:val="clear" w:color="auto" w:fill="FFFFFF"/>
                  <w:vertAlign w:val="subscript"/>
                </w:rPr>
                <w:t>24</w:t>
              </w:r>
              <w:r w:rsidRPr="005A6267">
                <w:rPr>
                  <w:rStyle w:val="breakword"/>
                  <w:shd w:val="clear" w:color="auto" w:fill="FFFFFF"/>
                </w:rPr>
                <w:t>H</w:t>
              </w:r>
              <w:r w:rsidRPr="005A6267">
                <w:rPr>
                  <w:rStyle w:val="breakword"/>
                  <w:shd w:val="clear" w:color="auto" w:fill="FFFFFF"/>
                  <w:vertAlign w:val="subscript"/>
                </w:rPr>
                <w:t>28</w:t>
              </w:r>
              <w:r w:rsidRPr="005A6267">
                <w:rPr>
                  <w:rStyle w:val="breakword"/>
                  <w:shd w:val="clear" w:color="auto" w:fill="FFFFFF"/>
                </w:rPr>
                <w:t>O</w:t>
              </w:r>
              <w:r w:rsidRPr="005A6267">
                <w:rPr>
                  <w:rStyle w:val="breakword"/>
                  <w:shd w:val="clear" w:color="auto" w:fill="FFFFFF"/>
                  <w:vertAlign w:val="subscript"/>
                </w:rPr>
                <w:t>2</w:t>
              </w:r>
            </w:hyperlink>
            <w:r w:rsidRPr="005A6267">
              <w:rPr>
                <w:shd w:val="clear" w:color="auto" w:fill="FFFFFF"/>
              </w:rPr>
              <w:t> </w:t>
            </w:r>
          </w:p>
          <w:p w:rsidR="006F1C79" w:rsidRPr="005A6267" w:rsidRDefault="006F1C79" w:rsidP="00AF7DB1">
            <w:pPr>
              <w:pStyle w:val="NormalWeb"/>
              <w:jc w:val="center"/>
            </w:pPr>
            <w:r w:rsidRPr="005A6267">
              <w:rPr>
                <w:noProof/>
              </w:rPr>
              <w:lastRenderedPageBreak/>
              <w:drawing>
                <wp:inline distT="0" distB="0" distL="0" distR="0" wp14:anchorId="3B77FF74" wp14:editId="058FC908">
                  <wp:extent cx="1836967" cy="1285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rrottetinene.png"/>
                          <pic:cNvPicPr/>
                        </pic:nvPicPr>
                        <pic:blipFill>
                          <a:blip r:embed="rId64">
                            <a:extLst>
                              <a:ext uri="{28A0092B-C50C-407E-A947-70E740481C1C}">
                                <a14:useLocalDpi xmlns:a14="http://schemas.microsoft.com/office/drawing/2010/main" val="0"/>
                              </a:ext>
                            </a:extLst>
                          </a:blip>
                          <a:stretch>
                            <a:fillRect/>
                          </a:stretch>
                        </pic:blipFill>
                        <pic:spPr>
                          <a:xfrm>
                            <a:off x="0" y="0"/>
                            <a:ext cx="1854710" cy="1298295"/>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3013F4"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lastRenderedPageBreak/>
              <w:t xml:space="preserve">Cannabinoid-like meroterpenoid with resorcinyl aromatic ring and terpene chain </w:t>
            </w:r>
            <w:r w:rsidR="003013F4" w:rsidRPr="003013F4">
              <w:rPr>
                <w:rFonts w:ascii="Times New Roman" w:eastAsia="Times New Roman" w:hAnsi="Times New Roman" w:cs="Times New Roman"/>
                <w:sz w:val="24"/>
                <w:szCs w:val="24"/>
                <w:lang w:eastAsia="en-IN"/>
              </w:rPr>
              <w:t>(Chicca et al., 2018)</w:t>
            </w:r>
            <w:r w:rsidR="003013F4">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Daurichromenic acid</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Rhododendron dauricum</w:t>
            </w:r>
          </w:p>
          <w:p w:rsidR="006F1C79" w:rsidRPr="005A6267" w:rsidRDefault="006F1C79" w:rsidP="00AF7DB1">
            <w:pPr>
              <w:pStyle w:val="NormalWeb"/>
              <w:rPr>
                <w:shd w:val="clear" w:color="auto" w:fill="FFFFFF"/>
              </w:rPr>
            </w:pPr>
            <w:r w:rsidRPr="005A6267">
              <w:rPr>
                <w:iCs/>
                <w:sz w:val="22"/>
              </w:rPr>
              <w:t>C</w:t>
            </w:r>
            <w:r w:rsidRPr="005A6267">
              <w:t>hemical Formula:</w:t>
            </w:r>
            <w:r w:rsidRPr="005A6267">
              <w:rPr>
                <w:shd w:val="clear" w:color="auto" w:fill="FFFFFF"/>
              </w:rPr>
              <w:t xml:space="preserve"> </w:t>
            </w:r>
            <w:hyperlink r:id="rId65" w:anchor="query=C23H30O4" w:history="1">
              <w:r w:rsidRPr="005A6267">
                <w:rPr>
                  <w:rStyle w:val="breakword"/>
                  <w:shd w:val="clear" w:color="auto" w:fill="FFFFFF"/>
                </w:rPr>
                <w:t>C</w:t>
              </w:r>
              <w:r w:rsidRPr="005A6267">
                <w:rPr>
                  <w:rStyle w:val="breakword"/>
                  <w:shd w:val="clear" w:color="auto" w:fill="FFFFFF"/>
                  <w:vertAlign w:val="subscript"/>
                </w:rPr>
                <w:t>23</w:t>
              </w:r>
              <w:r w:rsidRPr="005A6267">
                <w:rPr>
                  <w:rStyle w:val="breakword"/>
                  <w:shd w:val="clear" w:color="auto" w:fill="FFFFFF"/>
                </w:rPr>
                <w:t>H</w:t>
              </w:r>
              <w:r w:rsidRPr="005A6267">
                <w:rPr>
                  <w:rStyle w:val="breakword"/>
                  <w:shd w:val="clear" w:color="auto" w:fill="FFFFFF"/>
                  <w:vertAlign w:val="subscript"/>
                </w:rPr>
                <w:t>30</w:t>
              </w:r>
              <w:r w:rsidRPr="005A6267">
                <w:rPr>
                  <w:rStyle w:val="breakword"/>
                  <w:shd w:val="clear" w:color="auto" w:fill="FFFFFF"/>
                </w:rPr>
                <w:t>O</w:t>
              </w:r>
              <w:r w:rsidRPr="005A6267">
                <w:rPr>
                  <w:rStyle w:val="breakword"/>
                  <w:shd w:val="clear" w:color="auto" w:fill="FFFFFF"/>
                  <w:vertAlign w:val="subscript"/>
                </w:rPr>
                <w:t>4</w:t>
              </w:r>
            </w:hyperlink>
            <w:r w:rsidRPr="005A6267">
              <w:rPr>
                <w:shd w:val="clear" w:color="auto" w:fill="FFFFFF"/>
              </w:rPr>
              <w:t> </w:t>
            </w:r>
          </w:p>
          <w:p w:rsidR="006F1C79" w:rsidRPr="005A6267" w:rsidRDefault="006F1C79" w:rsidP="00AF7DB1">
            <w:pPr>
              <w:pStyle w:val="NormalWeb"/>
              <w:jc w:val="center"/>
              <w:rPr>
                <w:shd w:val="clear" w:color="auto" w:fill="FFFFFF"/>
              </w:rPr>
            </w:pPr>
            <w:r w:rsidRPr="005A6267">
              <w:rPr>
                <w:noProof/>
              </w:rPr>
              <w:drawing>
                <wp:inline distT="0" distB="0" distL="0" distR="0" wp14:anchorId="781FDABF" wp14:editId="7917BCFB">
                  <wp:extent cx="2044462" cy="85266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urichromenic acid.png"/>
                          <pic:cNvPicPr/>
                        </pic:nvPicPr>
                        <pic:blipFill>
                          <a:blip r:embed="rId66">
                            <a:extLst>
                              <a:ext uri="{28A0092B-C50C-407E-A947-70E740481C1C}">
                                <a14:useLocalDpi xmlns:a14="http://schemas.microsoft.com/office/drawing/2010/main" val="0"/>
                              </a:ext>
                            </a:extLst>
                          </a:blip>
                          <a:stretch>
                            <a:fillRect/>
                          </a:stretch>
                        </pic:blipFill>
                        <pic:spPr>
                          <a:xfrm>
                            <a:off x="0" y="0"/>
                            <a:ext cx="2074996" cy="865400"/>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325251" w:rsidRPr="00325251"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Prenylated chromene carboxylic acid; cannabinoid-like scaffold </w:t>
            </w:r>
            <w:r w:rsidR="00325251" w:rsidRPr="00325251">
              <w:rPr>
                <w:rFonts w:ascii="Times New Roman" w:eastAsia="Times New Roman" w:hAnsi="Times New Roman" w:cs="Times New Roman"/>
                <w:sz w:val="24"/>
                <w:szCs w:val="24"/>
                <w:lang w:eastAsia="en-IN"/>
              </w:rPr>
              <w:t>(Iijima et al., 2017)</w:t>
            </w:r>
            <w:r w:rsidR="00325251">
              <w:rPr>
                <w:rFonts w:ascii="Times New Roman" w:eastAsia="Times New Roman" w:hAnsi="Times New Roman" w:cs="Times New Roman"/>
                <w:sz w:val="24"/>
                <w:szCs w:val="24"/>
                <w:lang w:eastAsia="en-IN"/>
              </w:rPr>
              <w:t>.</w:t>
            </w:r>
          </w:p>
          <w:p w:rsidR="006F1C79" w:rsidRPr="005A6267" w:rsidRDefault="006F1C79" w:rsidP="00AF7DB1">
            <w:pPr>
              <w:rPr>
                <w:rFonts w:ascii="Times New Roman" w:eastAsia="Times New Roman" w:hAnsi="Times New Roman" w:cs="Times New Roman"/>
                <w:szCs w:val="24"/>
                <w:lang w:eastAsia="en-IN"/>
              </w:rPr>
            </w:pP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t>Bacoside A</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Bacopa monnieri</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rPr>
                <w:rFonts w:ascii="Times New Roman" w:hAnsi="Times New Roman" w:cs="Times New Roman"/>
                <w:sz w:val="24"/>
                <w:szCs w:val="24"/>
                <w:shd w:val="clear" w:color="auto" w:fill="FFFFFF"/>
              </w:rPr>
            </w:pPr>
            <w:r w:rsidRPr="005A6267">
              <w:rPr>
                <w:rFonts w:ascii="Times New Roman" w:hAnsi="Times New Roman" w:cs="Times New Roman"/>
                <w:sz w:val="24"/>
                <w:szCs w:val="24"/>
              </w:rPr>
              <w:t>Chemical Formula:</w:t>
            </w:r>
            <w:r w:rsidRPr="005A6267">
              <w:rPr>
                <w:rFonts w:ascii="Times New Roman" w:hAnsi="Times New Roman" w:cs="Times New Roman"/>
                <w:sz w:val="24"/>
                <w:szCs w:val="24"/>
                <w:shd w:val="clear" w:color="auto" w:fill="FFFFFF"/>
              </w:rPr>
              <w:t xml:space="preserve"> </w:t>
            </w:r>
            <w:hyperlink r:id="rId67" w:anchor="query=C41H68O13"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41</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68</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13</w:t>
              </w:r>
            </w:hyperlink>
            <w:r w:rsidRPr="005A6267">
              <w:rPr>
                <w:rFonts w:ascii="Times New Roman" w:hAnsi="Times New Roman" w:cs="Times New Roman"/>
                <w:sz w:val="24"/>
                <w:szCs w:val="24"/>
                <w:shd w:val="clear" w:color="auto" w:fill="FFFFFF"/>
              </w:rPr>
              <w:t> </w:t>
            </w:r>
          </w:p>
          <w:p w:rsidR="006F1C79" w:rsidRPr="005A6267" w:rsidRDefault="006F1C79" w:rsidP="00AF7DB1">
            <w:pPr>
              <w:jc w:val="center"/>
              <w:rPr>
                <w:rFonts w:ascii="Times New Roman" w:hAnsi="Times New Roman" w:cs="Times New Roman"/>
                <w:sz w:val="24"/>
                <w:szCs w:val="24"/>
                <w:shd w:val="clear" w:color="auto" w:fill="FFFFFF"/>
              </w:rPr>
            </w:pPr>
            <w:r w:rsidRPr="005A6267">
              <w:rPr>
                <w:rFonts w:ascii="Times New Roman" w:hAnsi="Times New Roman" w:cs="Times New Roman"/>
                <w:noProof/>
                <w:sz w:val="24"/>
                <w:szCs w:val="24"/>
                <w:lang w:eastAsia="en-IN"/>
              </w:rPr>
              <w:drawing>
                <wp:inline distT="0" distB="0" distL="0" distR="0" wp14:anchorId="1EB9E318" wp14:editId="5C49D793">
                  <wp:extent cx="1156602" cy="2617938"/>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COSIDE A.png"/>
                          <pic:cNvPicPr/>
                        </pic:nvPicPr>
                        <pic:blipFill>
                          <a:blip r:embed="rId68">
                            <a:extLst>
                              <a:ext uri="{28A0092B-C50C-407E-A947-70E740481C1C}">
                                <a14:useLocalDpi xmlns:a14="http://schemas.microsoft.com/office/drawing/2010/main" val="0"/>
                              </a:ext>
                            </a:extLst>
                          </a:blip>
                          <a:stretch>
                            <a:fillRect/>
                          </a:stretch>
                        </pic:blipFill>
                        <pic:spPr>
                          <a:xfrm>
                            <a:off x="0" y="0"/>
                            <a:ext cx="1162155" cy="2630508"/>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Ginsenoside Rg1</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Panax ginseng</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rPr>
                <w:rFonts w:ascii="Times New Roman" w:hAnsi="Times New Roman" w:cs="Times New Roman"/>
                <w:sz w:val="24"/>
                <w:szCs w:val="24"/>
              </w:rPr>
            </w:pPr>
            <w:r w:rsidRPr="005A6267">
              <w:rPr>
                <w:rFonts w:ascii="Times New Roman" w:hAnsi="Times New Roman" w:cs="Times New Roman"/>
                <w:sz w:val="24"/>
                <w:szCs w:val="24"/>
              </w:rPr>
              <w:t>Chemical Formula:</w:t>
            </w:r>
            <w:r w:rsidRPr="005A6267">
              <w:rPr>
                <w:rFonts w:ascii="Times New Roman" w:hAnsi="Times New Roman" w:cs="Times New Roman"/>
                <w:sz w:val="24"/>
                <w:szCs w:val="24"/>
                <w:shd w:val="clear" w:color="auto" w:fill="FFFFFF"/>
              </w:rPr>
              <w:t xml:space="preserve"> </w:t>
            </w:r>
            <w:hyperlink r:id="rId69" w:anchor="query=C42H72O14"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42</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72</w:t>
              </w:r>
              <w:r w:rsidRPr="005A6267">
                <w:rPr>
                  <w:rStyle w:val="breakword"/>
                  <w:rFonts w:ascii="Times New Roman" w:hAnsi="Times New Roman" w:cs="Times New Roman"/>
                  <w:sz w:val="24"/>
                  <w:szCs w:val="24"/>
                  <w:shd w:val="clear" w:color="auto" w:fill="FFFFFF"/>
                </w:rPr>
                <w:t>O</w:t>
              </w:r>
              <w:r w:rsidRPr="005A6267">
                <w:rPr>
                  <w:rStyle w:val="breakword"/>
                  <w:rFonts w:ascii="Times New Roman" w:hAnsi="Times New Roman" w:cs="Times New Roman"/>
                  <w:sz w:val="24"/>
                  <w:szCs w:val="24"/>
                  <w:shd w:val="clear" w:color="auto" w:fill="FFFFFF"/>
                  <w:vertAlign w:val="subscript"/>
                </w:rPr>
                <w:t>14</w:t>
              </w:r>
            </w:hyperlink>
            <w:r w:rsidRPr="005A6267">
              <w:rPr>
                <w:rFonts w:ascii="Times New Roman" w:hAnsi="Times New Roman" w:cs="Times New Roman"/>
                <w:sz w:val="21"/>
                <w:szCs w:val="21"/>
                <w:shd w:val="clear" w:color="auto" w:fill="FFFFFF"/>
              </w:rPr>
              <w:t> </w:t>
            </w:r>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17E003A9" wp14:editId="07F93B65">
                  <wp:extent cx="2157992" cy="2152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insenoside Rg1.png"/>
                          <pic:cNvPicPr/>
                        </pic:nvPicPr>
                        <pic:blipFill>
                          <a:blip r:embed="rId70">
                            <a:extLst>
                              <a:ext uri="{28A0092B-C50C-407E-A947-70E740481C1C}">
                                <a14:useLocalDpi xmlns:a14="http://schemas.microsoft.com/office/drawing/2010/main" val="0"/>
                              </a:ext>
                            </a:extLst>
                          </a:blip>
                          <a:stretch>
                            <a:fillRect/>
                          </a:stretch>
                        </pic:blipFill>
                        <pic:spPr>
                          <a:xfrm>
                            <a:off x="0" y="0"/>
                            <a:ext cx="2176414" cy="2171027"/>
                          </a:xfrm>
                          <a:prstGeom prst="rect">
                            <a:avLst/>
                          </a:prstGeom>
                        </pic:spPr>
                      </pic:pic>
                    </a:graphicData>
                  </a:graphic>
                </wp:inline>
              </w:drawing>
            </w:r>
          </w:p>
        </w:tc>
        <w:tc>
          <w:tcPr>
            <w:tcW w:w="2942" w:type="dxa"/>
          </w:tcPr>
          <w:p w:rsidR="006312CA" w:rsidRPr="006312CA"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t xml:space="preserve">Dammarane-type triterpenoid saponin with sugar chains; same amphiphilic scaffold </w:t>
            </w:r>
            <w:r w:rsidR="006312CA" w:rsidRPr="006312CA">
              <w:rPr>
                <w:rFonts w:ascii="Times New Roman" w:eastAsia="Times New Roman" w:hAnsi="Times New Roman" w:cs="Times New Roman"/>
                <w:sz w:val="24"/>
                <w:szCs w:val="24"/>
                <w:lang w:eastAsia="en-IN"/>
              </w:rPr>
              <w:t>(Kennedy et al., 2002)</w:t>
            </w:r>
            <w:r w:rsidR="006312CA">
              <w:rPr>
                <w:rFonts w:ascii="Times New Roman" w:eastAsia="Times New Roman" w:hAnsi="Times New Roman" w:cs="Times New Roman"/>
                <w:sz w:val="24"/>
                <w:szCs w:val="24"/>
                <w:lang w:eastAsia="en-IN"/>
              </w:rPr>
              <w:t>.</w:t>
            </w:r>
          </w:p>
          <w:p w:rsidR="006F1C79" w:rsidRPr="005A6267" w:rsidRDefault="006F1C79" w:rsidP="00AF7DB1">
            <w:pPr>
              <w:rPr>
                <w:rFonts w:ascii="Times New Roman" w:eastAsia="Times New Roman" w:hAnsi="Times New Roman" w:cs="Times New Roman"/>
                <w:szCs w:val="24"/>
                <w:lang w:eastAsia="en-IN"/>
              </w:rPr>
            </w:pP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Jujuboside A</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Ziziphus jujube</w:t>
            </w:r>
          </w:p>
          <w:p w:rsidR="006F1C79" w:rsidRPr="005A6267" w:rsidRDefault="006F1C79" w:rsidP="00AF7DB1">
            <w:pPr>
              <w:pStyle w:val="NormalWeb"/>
              <w:rPr>
                <w:shd w:val="clear" w:color="auto" w:fill="FFFFFF"/>
              </w:rPr>
            </w:pPr>
            <w:r w:rsidRPr="005A6267">
              <w:t>Chemical Formula:</w:t>
            </w:r>
            <w:r w:rsidRPr="005A6267">
              <w:rPr>
                <w:shd w:val="clear" w:color="auto" w:fill="FFFFFF"/>
              </w:rPr>
              <w:t xml:space="preserve"> </w:t>
            </w:r>
            <w:hyperlink r:id="rId71" w:anchor="query=C58H94O26" w:history="1">
              <w:r w:rsidRPr="005A6267">
                <w:rPr>
                  <w:rStyle w:val="breakword"/>
                  <w:shd w:val="clear" w:color="auto" w:fill="FFFFFF"/>
                </w:rPr>
                <w:t>C</w:t>
              </w:r>
              <w:r w:rsidRPr="005A6267">
                <w:rPr>
                  <w:rStyle w:val="breakword"/>
                  <w:shd w:val="clear" w:color="auto" w:fill="FFFFFF"/>
                  <w:vertAlign w:val="subscript"/>
                </w:rPr>
                <w:t>58</w:t>
              </w:r>
              <w:r w:rsidRPr="005A6267">
                <w:rPr>
                  <w:rStyle w:val="breakword"/>
                  <w:shd w:val="clear" w:color="auto" w:fill="FFFFFF"/>
                </w:rPr>
                <w:t>H</w:t>
              </w:r>
              <w:r w:rsidRPr="005A6267">
                <w:rPr>
                  <w:rStyle w:val="breakword"/>
                  <w:shd w:val="clear" w:color="auto" w:fill="FFFFFF"/>
                  <w:vertAlign w:val="subscript"/>
                </w:rPr>
                <w:t>94</w:t>
              </w:r>
              <w:r w:rsidRPr="005A6267">
                <w:rPr>
                  <w:rStyle w:val="breakword"/>
                  <w:shd w:val="clear" w:color="auto" w:fill="FFFFFF"/>
                </w:rPr>
                <w:t>O</w:t>
              </w:r>
              <w:r w:rsidRPr="005A6267">
                <w:rPr>
                  <w:rStyle w:val="breakword"/>
                  <w:shd w:val="clear" w:color="auto" w:fill="FFFFFF"/>
                  <w:vertAlign w:val="subscript"/>
                </w:rPr>
                <w:t>26</w:t>
              </w:r>
            </w:hyperlink>
            <w:r w:rsidRPr="005A6267">
              <w:rPr>
                <w:shd w:val="clear" w:color="auto" w:fill="FFFFFF"/>
              </w:rPr>
              <w:t> </w:t>
            </w:r>
          </w:p>
          <w:p w:rsidR="006F1C79" w:rsidRPr="005A6267" w:rsidRDefault="00D9023C" w:rsidP="00AF7DB1">
            <w:pPr>
              <w:pStyle w:val="NormalWeb"/>
              <w:jc w:val="center"/>
              <w:rPr>
                <w:shd w:val="clear" w:color="auto" w:fill="FFFFFF"/>
              </w:rPr>
            </w:pPr>
            <w:r w:rsidRPr="005A6267">
              <w:rPr>
                <w:noProof/>
              </w:rPr>
              <w:lastRenderedPageBreak/>
              <w:drawing>
                <wp:inline distT="0" distB="0" distL="0" distR="0" wp14:anchorId="7F6852BA" wp14:editId="603A9CE2">
                  <wp:extent cx="2603143" cy="17145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ujuboside A.png"/>
                          <pic:cNvPicPr/>
                        </pic:nvPicPr>
                        <pic:blipFill>
                          <a:blip r:embed="rId72">
                            <a:extLst>
                              <a:ext uri="{28A0092B-C50C-407E-A947-70E740481C1C}">
                                <a14:useLocalDpi xmlns:a14="http://schemas.microsoft.com/office/drawing/2010/main" val="0"/>
                              </a:ext>
                            </a:extLst>
                          </a:blip>
                          <a:stretch>
                            <a:fillRect/>
                          </a:stretch>
                        </pic:blipFill>
                        <pic:spPr>
                          <a:xfrm>
                            <a:off x="0" y="0"/>
                            <a:ext cx="2626484" cy="1729873"/>
                          </a:xfrm>
                          <a:prstGeom prst="rect">
                            <a:avLst/>
                          </a:prstGeom>
                        </pic:spPr>
                      </pic:pic>
                    </a:graphicData>
                  </a:graphic>
                </wp:inline>
              </w:drawing>
            </w:r>
          </w:p>
          <w:p w:rsidR="006F1C79" w:rsidRPr="005A6267" w:rsidRDefault="006F1C79" w:rsidP="00AF7DB1">
            <w:pPr>
              <w:tabs>
                <w:tab w:val="center" w:pos="2490"/>
              </w:tabs>
              <w:rPr>
                <w:rFonts w:ascii="Times New Roman" w:eastAsia="Times New Roman" w:hAnsi="Times New Roman" w:cs="Times New Roman"/>
                <w:szCs w:val="24"/>
                <w:lang w:eastAsia="en-IN"/>
              </w:rPr>
            </w:pPr>
            <w:r w:rsidRPr="005A6267">
              <w:rPr>
                <w:rFonts w:ascii="Times New Roman" w:hAnsi="Times New Roman" w:cs="Times New Roman"/>
                <w:sz w:val="24"/>
                <w:szCs w:val="24"/>
              </w:rPr>
              <w:tab/>
            </w:r>
          </w:p>
        </w:tc>
        <w:tc>
          <w:tcPr>
            <w:tcW w:w="2942" w:type="dxa"/>
          </w:tcPr>
          <w:p w:rsidR="006F1C79" w:rsidRPr="006312CA"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Cs w:val="24"/>
                <w:lang w:eastAsia="en-IN"/>
              </w:rPr>
              <w:lastRenderedPageBreak/>
              <w:t xml:space="preserve">Triterpenoid saponin with oleanane core and oligosaccharides </w:t>
            </w:r>
            <w:r w:rsidR="006312CA" w:rsidRPr="006312CA">
              <w:rPr>
                <w:rFonts w:ascii="Times New Roman" w:eastAsia="Times New Roman" w:hAnsi="Times New Roman" w:cs="Times New Roman"/>
                <w:sz w:val="24"/>
                <w:szCs w:val="24"/>
                <w:lang w:eastAsia="en-IN"/>
              </w:rPr>
              <w:t>(Wu et al., 2013)</w:t>
            </w:r>
            <w:r w:rsidR="006312CA">
              <w:rPr>
                <w:rFonts w:ascii="Times New Roman" w:eastAsia="Times New Roman" w:hAnsi="Times New Roman" w:cs="Times New Roman"/>
                <w:sz w:val="24"/>
                <w:szCs w:val="24"/>
                <w:lang w:eastAsia="en-IN"/>
              </w:rPr>
              <w:t>.</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b/>
                <w:bCs/>
                <w:szCs w:val="24"/>
                <w:lang w:eastAsia="en-IN"/>
              </w:rPr>
            </w:pPr>
            <w:r w:rsidRPr="005A6267">
              <w:rPr>
                <w:rFonts w:ascii="Times New Roman" w:eastAsia="Times New Roman" w:hAnsi="Times New Roman" w:cs="Times New Roman"/>
                <w:b/>
                <w:bCs/>
                <w:szCs w:val="24"/>
                <w:lang w:eastAsia="en-IN"/>
              </w:rPr>
              <w:lastRenderedPageBreak/>
              <w:t>Lycopene</w:t>
            </w:r>
          </w:p>
          <w:p w:rsidR="006F1C79" w:rsidRPr="005A6267" w:rsidRDefault="006F1C79" w:rsidP="00AF7DB1">
            <w:pPr>
              <w:rPr>
                <w:rFonts w:ascii="Times New Roman" w:eastAsia="Times New Roman" w:hAnsi="Times New Roman" w:cs="Times New Roman"/>
                <w:b/>
                <w:bCs/>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Solanum lycopersicum</w:t>
            </w:r>
          </w:p>
          <w:p w:rsidR="006F1C79" w:rsidRPr="005A6267" w:rsidRDefault="006F1C79" w:rsidP="00AF7DB1">
            <w:pPr>
              <w:rPr>
                <w:rFonts w:ascii="Times New Roman" w:eastAsia="Times New Roman" w:hAnsi="Times New Roman" w:cs="Times New Roman"/>
                <w:i/>
                <w:iCs/>
                <w:szCs w:val="24"/>
                <w:lang w:eastAsia="en-IN"/>
              </w:rPr>
            </w:pPr>
          </w:p>
          <w:p w:rsidR="006F1C79" w:rsidRPr="005A6267" w:rsidRDefault="006F1C79" w:rsidP="00AF7DB1">
            <w:pPr>
              <w:pStyle w:val="ListParagraph"/>
              <w:ind w:left="0"/>
              <w:rPr>
                <w:rFonts w:ascii="Times New Roman" w:hAnsi="Times New Roman" w:cs="Times New Roman"/>
                <w:sz w:val="24"/>
                <w:szCs w:val="24"/>
              </w:rPr>
            </w:pPr>
            <w:r w:rsidRPr="005A6267">
              <w:rPr>
                <w:rFonts w:ascii="Times New Roman" w:hAnsi="Times New Roman" w:cs="Times New Roman"/>
                <w:sz w:val="24"/>
                <w:szCs w:val="24"/>
              </w:rPr>
              <w:t xml:space="preserve">Chemical Formula: </w:t>
            </w:r>
            <w:hyperlink r:id="rId73" w:anchor="query=C40H56" w:history="1">
              <w:r w:rsidRPr="005A6267">
                <w:rPr>
                  <w:rStyle w:val="breakword"/>
                  <w:rFonts w:ascii="Times New Roman" w:hAnsi="Times New Roman" w:cs="Times New Roman"/>
                  <w:sz w:val="24"/>
                  <w:szCs w:val="24"/>
                  <w:shd w:val="clear" w:color="auto" w:fill="FFFFFF"/>
                </w:rPr>
                <w:t>C</w:t>
              </w:r>
              <w:r w:rsidRPr="005A6267">
                <w:rPr>
                  <w:rStyle w:val="breakword"/>
                  <w:rFonts w:ascii="Times New Roman" w:hAnsi="Times New Roman" w:cs="Times New Roman"/>
                  <w:sz w:val="24"/>
                  <w:szCs w:val="24"/>
                  <w:shd w:val="clear" w:color="auto" w:fill="FFFFFF"/>
                  <w:vertAlign w:val="subscript"/>
                </w:rPr>
                <w:t>40</w:t>
              </w:r>
              <w:r w:rsidRPr="005A6267">
                <w:rPr>
                  <w:rStyle w:val="breakword"/>
                  <w:rFonts w:ascii="Times New Roman" w:hAnsi="Times New Roman" w:cs="Times New Roman"/>
                  <w:sz w:val="24"/>
                  <w:szCs w:val="24"/>
                  <w:shd w:val="clear" w:color="auto" w:fill="FFFFFF"/>
                </w:rPr>
                <w:t>H</w:t>
              </w:r>
              <w:r w:rsidRPr="005A6267">
                <w:rPr>
                  <w:rStyle w:val="breakword"/>
                  <w:rFonts w:ascii="Times New Roman" w:hAnsi="Times New Roman" w:cs="Times New Roman"/>
                  <w:sz w:val="24"/>
                  <w:szCs w:val="24"/>
                  <w:shd w:val="clear" w:color="auto" w:fill="FFFFFF"/>
                  <w:vertAlign w:val="subscript"/>
                </w:rPr>
                <w:t>56</w:t>
              </w:r>
            </w:hyperlink>
          </w:p>
          <w:p w:rsidR="006F1C79" w:rsidRPr="005A6267" w:rsidRDefault="006F1C79" w:rsidP="00AF7DB1">
            <w:pPr>
              <w:pStyle w:val="ListParagraph"/>
              <w:ind w:left="0"/>
              <w:rPr>
                <w:rFonts w:ascii="Times New Roman" w:hAnsi="Times New Roman" w:cs="Times New Roman"/>
                <w:sz w:val="24"/>
                <w:szCs w:val="24"/>
              </w:rPr>
            </w:pPr>
          </w:p>
          <w:p w:rsidR="006F1C79" w:rsidRPr="005A6267" w:rsidRDefault="006F1C79" w:rsidP="00AF7DB1">
            <w:pPr>
              <w:pStyle w:val="ListParagraph"/>
              <w:ind w:left="0"/>
              <w:jc w:val="center"/>
              <w:rPr>
                <w:rFonts w:ascii="Times New Roman" w:hAnsi="Times New Roman" w:cs="Times New Roman"/>
                <w:sz w:val="24"/>
                <w:szCs w:val="24"/>
              </w:rPr>
            </w:pPr>
            <w:r w:rsidRPr="005A6267">
              <w:rPr>
                <w:rFonts w:ascii="Times New Roman" w:hAnsi="Times New Roman" w:cs="Times New Roman"/>
                <w:noProof/>
                <w:sz w:val="24"/>
                <w:szCs w:val="24"/>
                <w:lang w:eastAsia="en-IN"/>
              </w:rPr>
              <w:drawing>
                <wp:inline distT="0" distB="0" distL="0" distR="0" wp14:anchorId="43A178EC" wp14:editId="24A8C203">
                  <wp:extent cx="2095500" cy="2373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ycopene.png"/>
                          <pic:cNvPicPr/>
                        </pic:nvPicPr>
                        <pic:blipFill>
                          <a:blip r:embed="rId74">
                            <a:extLst>
                              <a:ext uri="{28A0092B-C50C-407E-A947-70E740481C1C}">
                                <a14:useLocalDpi xmlns:a14="http://schemas.microsoft.com/office/drawing/2010/main" val="0"/>
                              </a:ext>
                            </a:extLst>
                          </a:blip>
                          <a:stretch>
                            <a:fillRect/>
                          </a:stretch>
                        </pic:blipFill>
                        <pic:spPr>
                          <a:xfrm flipV="1">
                            <a:off x="0" y="0"/>
                            <a:ext cx="2432604" cy="275478"/>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Phytofluene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Citrus paradise</w:t>
            </w:r>
          </w:p>
          <w:p w:rsidR="006F1C79" w:rsidRPr="005A6267" w:rsidRDefault="006F1C79" w:rsidP="00AF7DB1">
            <w:pPr>
              <w:pStyle w:val="NormalWeb"/>
              <w:rPr>
                <w:shd w:val="clear" w:color="auto" w:fill="FFFFFF"/>
              </w:rPr>
            </w:pPr>
            <w:r w:rsidRPr="005A6267">
              <w:t>Chemical Formula:</w:t>
            </w:r>
            <w:r w:rsidRPr="005A6267">
              <w:rPr>
                <w:shd w:val="clear" w:color="auto" w:fill="FFFFFF"/>
              </w:rPr>
              <w:t xml:space="preserve"> </w:t>
            </w:r>
            <w:hyperlink r:id="rId75" w:anchor="query=C40H62" w:history="1">
              <w:r w:rsidRPr="005A6267">
                <w:rPr>
                  <w:rStyle w:val="breakword"/>
                  <w:shd w:val="clear" w:color="auto" w:fill="FFFFFF"/>
                </w:rPr>
                <w:t>C</w:t>
              </w:r>
              <w:r w:rsidRPr="005A6267">
                <w:rPr>
                  <w:rStyle w:val="breakword"/>
                  <w:shd w:val="clear" w:color="auto" w:fill="FFFFFF"/>
                  <w:vertAlign w:val="subscript"/>
                </w:rPr>
                <w:t>40</w:t>
              </w:r>
              <w:r w:rsidRPr="005A6267">
                <w:rPr>
                  <w:rStyle w:val="breakword"/>
                  <w:shd w:val="clear" w:color="auto" w:fill="FFFFFF"/>
                </w:rPr>
                <w:t>H</w:t>
              </w:r>
              <w:r w:rsidRPr="005A6267">
                <w:rPr>
                  <w:rStyle w:val="breakword"/>
                  <w:shd w:val="clear" w:color="auto" w:fill="FFFFFF"/>
                  <w:vertAlign w:val="subscript"/>
                </w:rPr>
                <w:t>62</w:t>
              </w:r>
            </w:hyperlink>
            <w:r w:rsidRPr="005A6267">
              <w:rPr>
                <w:shd w:val="clear" w:color="auto" w:fill="FFFFFF"/>
              </w:rPr>
              <w:t> </w:t>
            </w:r>
          </w:p>
          <w:p w:rsidR="006F1C79" w:rsidRPr="005A6267" w:rsidRDefault="006F1C79" w:rsidP="00AF7DB1">
            <w:pPr>
              <w:jc w:val="center"/>
              <w:rPr>
                <w:rFonts w:ascii="Times New Roman" w:eastAsia="Times New Roman" w:hAnsi="Times New Roman" w:cs="Times New Roman"/>
                <w:szCs w:val="24"/>
                <w:lang w:eastAsia="en-IN"/>
              </w:rPr>
            </w:pPr>
            <w:r w:rsidRPr="005A6267">
              <w:rPr>
                <w:rFonts w:ascii="Times New Roman" w:hAnsi="Times New Roman" w:cs="Times New Roman"/>
                <w:noProof/>
                <w:sz w:val="24"/>
                <w:szCs w:val="24"/>
                <w:lang w:eastAsia="en-IN"/>
              </w:rPr>
              <w:drawing>
                <wp:inline distT="0" distB="0" distL="0" distR="0" wp14:anchorId="7927C37B" wp14:editId="05833016">
                  <wp:extent cx="2381250" cy="2696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ytofluene.png"/>
                          <pic:cNvPicPr/>
                        </pic:nvPicPr>
                        <pic:blipFill>
                          <a:blip r:embed="rId76">
                            <a:extLst>
                              <a:ext uri="{28A0092B-C50C-407E-A947-70E740481C1C}">
                                <a14:useLocalDpi xmlns:a14="http://schemas.microsoft.com/office/drawing/2010/main" val="0"/>
                              </a:ext>
                            </a:extLst>
                          </a:blip>
                          <a:stretch>
                            <a:fillRect/>
                          </a:stretch>
                        </pic:blipFill>
                        <pic:spPr>
                          <a:xfrm>
                            <a:off x="0" y="0"/>
                            <a:ext cx="2563098" cy="290255"/>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C</w:t>
            </w:r>
            <w:r w:rsidRPr="00725E5E">
              <w:rPr>
                <w:rFonts w:ascii="Times New Roman" w:eastAsia="Times New Roman" w:hAnsi="Times New Roman" w:cs="Times New Roman"/>
                <w:szCs w:val="24"/>
                <w:vertAlign w:val="subscript"/>
                <w:lang w:eastAsia="en-IN"/>
              </w:rPr>
              <w:t>40</w:t>
            </w:r>
            <w:r w:rsidRPr="005A6267">
              <w:rPr>
                <w:rFonts w:ascii="Times New Roman" w:eastAsia="Times New Roman" w:hAnsi="Times New Roman" w:cs="Times New Roman"/>
                <w:szCs w:val="24"/>
                <w:lang w:eastAsia="en-IN"/>
              </w:rPr>
              <w:t xml:space="preserve"> carotenoid with fewer double bonds but same polyene chain (Meléndez-Martínez et al., 2015).</w:t>
            </w:r>
          </w:p>
        </w:tc>
      </w:tr>
      <w:tr w:rsidR="006F1C79" w:rsidRPr="005A6267" w:rsidTr="007D1F43">
        <w:tc>
          <w:tcPr>
            <w:tcW w:w="3652" w:type="dxa"/>
            <w:hideMark/>
          </w:tcPr>
          <w:p w:rsidR="006F1C79" w:rsidRPr="005A6267" w:rsidRDefault="006F1C79" w:rsidP="00AF7DB1">
            <w:pPr>
              <w:rPr>
                <w:rFonts w:ascii="Times New Roman" w:eastAsia="Times New Roman" w:hAnsi="Times New Roman" w:cs="Times New Roman"/>
                <w:szCs w:val="24"/>
                <w:lang w:eastAsia="en-IN"/>
              </w:rPr>
            </w:pPr>
          </w:p>
        </w:tc>
        <w:tc>
          <w:tcPr>
            <w:tcW w:w="4287" w:type="dxa"/>
            <w:hideMark/>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Neurosporene</w:t>
            </w:r>
          </w:p>
          <w:p w:rsidR="006F1C79" w:rsidRPr="005A6267" w:rsidRDefault="006F1C79" w:rsidP="00AF7DB1">
            <w:pPr>
              <w:rPr>
                <w:rFonts w:ascii="Times New Roman" w:eastAsia="Times New Roman" w:hAnsi="Times New Roman" w:cs="Times New Roman"/>
                <w:szCs w:val="24"/>
                <w:lang w:eastAsia="en-IN"/>
              </w:rPr>
            </w:pPr>
          </w:p>
          <w:p w:rsidR="006F1C79" w:rsidRPr="005A6267" w:rsidRDefault="006F1C79" w:rsidP="00AF7DB1">
            <w:pPr>
              <w:rPr>
                <w:rFonts w:ascii="Times New Roman" w:eastAsia="Times New Roman" w:hAnsi="Times New Roman" w:cs="Times New Roman"/>
                <w:i/>
                <w:iCs/>
                <w:szCs w:val="24"/>
                <w:lang w:eastAsia="en-IN"/>
              </w:rPr>
            </w:pPr>
            <w:r w:rsidRPr="005A6267">
              <w:rPr>
                <w:rFonts w:ascii="Times New Roman" w:eastAsia="Times New Roman" w:hAnsi="Times New Roman" w:cs="Times New Roman"/>
                <w:i/>
                <w:iCs/>
                <w:szCs w:val="24"/>
                <w:lang w:eastAsia="en-IN"/>
              </w:rPr>
              <w:t>Zea mays</w:t>
            </w:r>
          </w:p>
          <w:p w:rsidR="006F1C79" w:rsidRPr="005A6267" w:rsidRDefault="006F1C79" w:rsidP="00AF7DB1">
            <w:pPr>
              <w:pStyle w:val="NormalWeb"/>
            </w:pPr>
            <w:r w:rsidRPr="005A6267">
              <w:t xml:space="preserve">Chemical Formula: </w:t>
            </w:r>
            <w:hyperlink r:id="rId77" w:anchor="query=C40H58" w:history="1">
              <w:r w:rsidRPr="005A6267">
                <w:rPr>
                  <w:rStyle w:val="breakword"/>
                  <w:shd w:val="clear" w:color="auto" w:fill="FFFFFF"/>
                </w:rPr>
                <w:t>C</w:t>
              </w:r>
              <w:r w:rsidRPr="005A6267">
                <w:rPr>
                  <w:rStyle w:val="breakword"/>
                  <w:shd w:val="clear" w:color="auto" w:fill="FFFFFF"/>
                  <w:vertAlign w:val="subscript"/>
                </w:rPr>
                <w:t>40</w:t>
              </w:r>
              <w:r w:rsidRPr="005A6267">
                <w:rPr>
                  <w:rStyle w:val="breakword"/>
                  <w:shd w:val="clear" w:color="auto" w:fill="FFFFFF"/>
                </w:rPr>
                <w:t>H</w:t>
              </w:r>
              <w:r w:rsidRPr="005A6267">
                <w:rPr>
                  <w:rStyle w:val="breakword"/>
                  <w:shd w:val="clear" w:color="auto" w:fill="FFFFFF"/>
                  <w:vertAlign w:val="subscript"/>
                </w:rPr>
                <w:t>58</w:t>
              </w:r>
            </w:hyperlink>
          </w:p>
          <w:p w:rsidR="006F1C79" w:rsidRPr="005A6267" w:rsidRDefault="006F1C79" w:rsidP="00AF7DB1">
            <w:pPr>
              <w:pStyle w:val="NormalWeb"/>
              <w:jc w:val="center"/>
            </w:pPr>
            <w:r w:rsidRPr="005A6267">
              <w:rPr>
                <w:noProof/>
              </w:rPr>
              <w:drawing>
                <wp:inline distT="0" distB="0" distL="0" distR="0" wp14:anchorId="14D86CC6" wp14:editId="4DD1A4EC">
                  <wp:extent cx="2486025" cy="28152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urosporene.png"/>
                          <pic:cNvPicPr/>
                        </pic:nvPicPr>
                        <pic:blipFill>
                          <a:blip r:embed="rId78">
                            <a:extLst>
                              <a:ext uri="{28A0092B-C50C-407E-A947-70E740481C1C}">
                                <a14:useLocalDpi xmlns:a14="http://schemas.microsoft.com/office/drawing/2010/main" val="0"/>
                              </a:ext>
                            </a:extLst>
                          </a:blip>
                          <a:stretch>
                            <a:fillRect/>
                          </a:stretch>
                        </pic:blipFill>
                        <pic:spPr>
                          <a:xfrm flipV="1">
                            <a:off x="0" y="0"/>
                            <a:ext cx="2551316" cy="288921"/>
                          </a:xfrm>
                          <a:prstGeom prst="rect">
                            <a:avLst/>
                          </a:prstGeom>
                        </pic:spPr>
                      </pic:pic>
                    </a:graphicData>
                  </a:graphic>
                </wp:inline>
              </w:drawing>
            </w:r>
          </w:p>
          <w:p w:rsidR="006F1C79" w:rsidRPr="005A6267" w:rsidRDefault="006F1C79" w:rsidP="00AF7DB1">
            <w:pPr>
              <w:rPr>
                <w:rFonts w:ascii="Times New Roman" w:eastAsia="Times New Roman" w:hAnsi="Times New Roman" w:cs="Times New Roman"/>
                <w:szCs w:val="24"/>
                <w:lang w:eastAsia="en-IN"/>
              </w:rPr>
            </w:pPr>
          </w:p>
        </w:tc>
        <w:tc>
          <w:tcPr>
            <w:tcW w:w="2942" w:type="dxa"/>
          </w:tcPr>
          <w:p w:rsidR="006F1C79" w:rsidRPr="005A6267" w:rsidRDefault="006F1C79" w:rsidP="00AF7DB1">
            <w:pPr>
              <w:rPr>
                <w:rFonts w:ascii="Times New Roman" w:eastAsia="Times New Roman" w:hAnsi="Times New Roman" w:cs="Times New Roman"/>
                <w:szCs w:val="24"/>
                <w:lang w:eastAsia="en-IN"/>
              </w:rPr>
            </w:pPr>
            <w:r w:rsidRPr="005A6267">
              <w:rPr>
                <w:rFonts w:ascii="Times New Roman" w:eastAsia="Times New Roman" w:hAnsi="Times New Roman" w:cs="Times New Roman"/>
                <w:szCs w:val="24"/>
                <w:lang w:eastAsia="en-IN"/>
              </w:rPr>
              <w:t>C</w:t>
            </w:r>
            <w:r w:rsidRPr="00725E5E">
              <w:rPr>
                <w:rFonts w:ascii="Times New Roman" w:eastAsia="Times New Roman" w:hAnsi="Times New Roman" w:cs="Times New Roman"/>
                <w:szCs w:val="24"/>
                <w:vertAlign w:val="subscript"/>
                <w:lang w:eastAsia="en-IN"/>
              </w:rPr>
              <w:t>40</w:t>
            </w:r>
            <w:r w:rsidRPr="005A6267">
              <w:rPr>
                <w:rFonts w:ascii="Times New Roman" w:eastAsia="Times New Roman" w:hAnsi="Times New Roman" w:cs="Times New Roman"/>
                <w:szCs w:val="24"/>
                <w:lang w:eastAsia="en-IN"/>
              </w:rPr>
              <w:t xml:space="preserve"> carotenoid, biosynthetic precursor to lycopene, differing by one double bond (Fraser &amp; Bramley, 2004).</w:t>
            </w:r>
          </w:p>
        </w:tc>
      </w:tr>
    </w:tbl>
    <w:p w:rsidR="006C657F" w:rsidRDefault="006C657F" w:rsidP="006C657F">
      <w:pPr>
        <w:pStyle w:val="Heading3"/>
        <w:spacing w:before="0" w:beforeAutospacing="0" w:after="0" w:afterAutospacing="0"/>
        <w:jc w:val="center"/>
        <w:rPr>
          <w:sz w:val="24"/>
          <w:szCs w:val="24"/>
        </w:rPr>
      </w:pPr>
    </w:p>
    <w:p w:rsidR="006C657F" w:rsidRPr="006C657F" w:rsidRDefault="006C657F" w:rsidP="006C657F">
      <w:pPr>
        <w:pStyle w:val="Heading3"/>
        <w:spacing w:before="0" w:beforeAutospacing="0" w:after="0" w:afterAutospacing="0"/>
        <w:jc w:val="center"/>
        <w:rPr>
          <w:sz w:val="24"/>
          <w:szCs w:val="24"/>
        </w:rPr>
      </w:pPr>
      <w:r w:rsidRPr="006C657F">
        <w:rPr>
          <w:sz w:val="24"/>
          <w:szCs w:val="24"/>
        </w:rPr>
        <w:t>Table 5: Neurological disorder-specific possible analogs for established compounds with their potential neuroprotective role</w:t>
      </w:r>
      <w:r w:rsidRPr="006C657F">
        <w:rPr>
          <w:sz w:val="24"/>
          <w:szCs w:val="24"/>
        </w:rPr>
        <w:br/>
      </w:r>
    </w:p>
    <w:tbl>
      <w:tblPr>
        <w:tblStyle w:val="TableGrid"/>
        <w:tblpPr w:leftFromText="180" w:rightFromText="180" w:vertAnchor="text" w:tblpY="1"/>
        <w:tblW w:w="0" w:type="auto"/>
        <w:tblLook w:val="04A0" w:firstRow="1" w:lastRow="0" w:firstColumn="1" w:lastColumn="0" w:noHBand="0" w:noVBand="1"/>
      </w:tblPr>
      <w:tblGrid>
        <w:gridCol w:w="2038"/>
        <w:gridCol w:w="2125"/>
        <w:gridCol w:w="2965"/>
        <w:gridCol w:w="3554"/>
      </w:tblGrid>
      <w:tr w:rsidR="006F1C79" w:rsidRPr="005A6267" w:rsidTr="006F1C79">
        <w:tc>
          <w:tcPr>
            <w:tcW w:w="0" w:type="auto"/>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Neurological Disorder</w:t>
            </w:r>
          </w:p>
        </w:tc>
        <w:tc>
          <w:tcPr>
            <w:tcW w:w="0" w:type="auto"/>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Key Established Compound</w:t>
            </w:r>
          </w:p>
        </w:tc>
        <w:tc>
          <w:tcPr>
            <w:tcW w:w="0" w:type="auto"/>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 xml:space="preserve">Promising Analogs with Source Plant </w:t>
            </w:r>
          </w:p>
        </w:tc>
        <w:tc>
          <w:tcPr>
            <w:tcW w:w="0" w:type="auto"/>
            <w:hideMark/>
          </w:tcPr>
          <w:p w:rsidR="006F1C79" w:rsidRPr="005A6267" w:rsidRDefault="006F1C79" w:rsidP="00AF7DB1">
            <w:pPr>
              <w:jc w:val="center"/>
              <w:rPr>
                <w:rFonts w:ascii="Times New Roman" w:eastAsia="Times New Roman" w:hAnsi="Times New Roman" w:cs="Times New Roman"/>
                <w:b/>
                <w:bCs/>
                <w:sz w:val="24"/>
                <w:szCs w:val="24"/>
                <w:lang w:eastAsia="en-IN"/>
              </w:rPr>
            </w:pPr>
            <w:r w:rsidRPr="005A6267">
              <w:rPr>
                <w:rFonts w:ascii="Times New Roman" w:eastAsia="Times New Roman" w:hAnsi="Times New Roman" w:cs="Times New Roman"/>
                <w:b/>
                <w:bCs/>
                <w:sz w:val="24"/>
                <w:szCs w:val="24"/>
                <w:lang w:eastAsia="en-IN"/>
              </w:rPr>
              <w:t>Potential Neuroprotective Role</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Alzheimer’s disease</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Galantamine (</w:t>
            </w:r>
            <w:r w:rsidRPr="005A6267">
              <w:rPr>
                <w:rFonts w:ascii="Times New Roman" w:eastAsia="Times New Roman" w:hAnsi="Times New Roman" w:cs="Times New Roman"/>
                <w:i/>
                <w:iCs/>
                <w:sz w:val="24"/>
                <w:szCs w:val="24"/>
                <w:lang w:eastAsia="en-IN"/>
              </w:rPr>
              <w:t>Galanthus</w:t>
            </w:r>
            <w:r w:rsidRPr="005A6267">
              <w:rPr>
                <w:rFonts w:ascii="Times New Roman" w:eastAsia="Times New Roman" w:hAnsi="Times New Roman" w:cs="Times New Roman"/>
                <w:sz w:val="24"/>
                <w:szCs w:val="24"/>
                <w:lang w:eastAsia="en-IN"/>
              </w:rPr>
              <w:t xml:space="preserve"> spp.)</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Narwedine (</w:t>
            </w:r>
            <w:r w:rsidRPr="005A6267">
              <w:rPr>
                <w:rFonts w:ascii="Times New Roman" w:eastAsia="Times New Roman" w:hAnsi="Times New Roman" w:cs="Times New Roman"/>
                <w:i/>
                <w:iCs/>
                <w:sz w:val="24"/>
                <w:szCs w:val="24"/>
                <w:lang w:eastAsia="en-IN"/>
              </w:rPr>
              <w:t>Narcissus pseudonarcissus</w:t>
            </w:r>
            <w:r w:rsidRPr="005A6267">
              <w:rPr>
                <w:rFonts w:ascii="Times New Roman" w:eastAsia="Times New Roman" w:hAnsi="Times New Roman" w:cs="Times New Roman"/>
                <w:sz w:val="24"/>
                <w:szCs w:val="24"/>
                <w:lang w:eastAsia="en-IN"/>
              </w:rPr>
              <w:t>); Sanguinine (</w:t>
            </w:r>
            <w:r w:rsidRPr="005A6267">
              <w:rPr>
                <w:rFonts w:ascii="Times New Roman" w:eastAsia="Times New Roman" w:hAnsi="Times New Roman" w:cs="Times New Roman"/>
                <w:i/>
                <w:iCs/>
                <w:sz w:val="24"/>
                <w:szCs w:val="24"/>
                <w:lang w:eastAsia="en-IN"/>
              </w:rPr>
              <w:t>Galanthus woronowii</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Enhanced acetylcholinesterase inhibition, improved cholinergic neurotransmission (</w:t>
            </w:r>
            <w:r w:rsidR="007E7135" w:rsidRPr="005A6267">
              <w:rPr>
                <w:rFonts w:ascii="Times New Roman" w:eastAsia="Times New Roman" w:hAnsi="Times New Roman" w:cs="Times New Roman"/>
                <w:sz w:val="24"/>
                <w:szCs w:val="24"/>
                <w:lang w:eastAsia="en-IN"/>
              </w:rPr>
              <w:t>Bastida et al., 2019</w:t>
            </w:r>
            <w:r w:rsidRPr="005A6267">
              <w:rPr>
                <w:rFonts w:ascii="Times New Roman" w:eastAsia="Times New Roman" w:hAnsi="Times New Roman" w:cs="Times New Roman"/>
                <w:sz w:val="24"/>
                <w:szCs w:val="24"/>
                <w:lang w:eastAsia="en-IN"/>
              </w:rPr>
              <w:t>)</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Huperzine A (</w:t>
            </w:r>
            <w:r w:rsidRPr="005A6267">
              <w:rPr>
                <w:rFonts w:ascii="Times New Roman" w:eastAsia="Times New Roman" w:hAnsi="Times New Roman" w:cs="Times New Roman"/>
                <w:i/>
                <w:iCs/>
                <w:sz w:val="24"/>
                <w:szCs w:val="24"/>
                <w:lang w:eastAsia="en-IN"/>
              </w:rPr>
              <w:t>Huperzia serrata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Lycodoline (</w:t>
            </w:r>
            <w:r w:rsidRPr="005A6267">
              <w:rPr>
                <w:rFonts w:ascii="Times New Roman" w:eastAsia="Times New Roman" w:hAnsi="Times New Roman" w:cs="Times New Roman"/>
                <w:i/>
                <w:iCs/>
                <w:sz w:val="24"/>
                <w:szCs w:val="24"/>
                <w:lang w:eastAsia="en-IN"/>
              </w:rPr>
              <w:t>Lycopodium clavatum</w:t>
            </w:r>
            <w:r w:rsidRPr="005A6267">
              <w:rPr>
                <w:rFonts w:ascii="Times New Roman" w:eastAsia="Times New Roman" w:hAnsi="Times New Roman" w:cs="Times New Roman"/>
                <w:sz w:val="24"/>
                <w:szCs w:val="24"/>
                <w:lang w:eastAsia="en-IN"/>
              </w:rPr>
              <w:t>); Fawcettimine (</w:t>
            </w:r>
            <w:r w:rsidRPr="005A6267">
              <w:rPr>
                <w:rFonts w:ascii="Times New Roman" w:eastAsia="Times New Roman" w:hAnsi="Times New Roman" w:cs="Times New Roman"/>
                <w:i/>
                <w:iCs/>
                <w:sz w:val="24"/>
                <w:szCs w:val="24"/>
                <w:lang w:eastAsia="en-IN"/>
              </w:rPr>
              <w:t>Lycopodium fawcettii</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1809ED">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Potent cholinesterase inhibition, possible cognitive enh</w:t>
            </w:r>
            <w:r w:rsidR="001809ED">
              <w:rPr>
                <w:rFonts w:ascii="Times New Roman" w:eastAsia="Times New Roman" w:hAnsi="Times New Roman" w:cs="Times New Roman"/>
                <w:sz w:val="24"/>
                <w:szCs w:val="24"/>
                <w:lang w:eastAsia="en-IN"/>
              </w:rPr>
              <w:t>ancement (Kitajima &amp; Takayama, 2011</w:t>
            </w:r>
            <w:r w:rsidR="00422B43">
              <w:rPr>
                <w:rFonts w:ascii="Times New Roman" w:eastAsia="Times New Roman" w:hAnsi="Times New Roman" w:cs="Times New Roman"/>
                <w:sz w:val="24"/>
                <w:szCs w:val="24"/>
                <w:lang w:eastAsia="en-IN"/>
              </w:rPr>
              <w:t>; Ma &amp; Gang, 200</w:t>
            </w:r>
            <w:r w:rsidR="007E7135">
              <w:rPr>
                <w:rFonts w:ascii="Times New Roman" w:eastAsia="Times New Roman" w:hAnsi="Times New Roman" w:cs="Times New Roman"/>
                <w:sz w:val="24"/>
                <w:szCs w:val="24"/>
                <w:lang w:eastAsia="en-IN"/>
              </w:rPr>
              <w:t>4</w:t>
            </w:r>
            <w:r w:rsidRPr="005A6267">
              <w:rPr>
                <w:rFonts w:ascii="Times New Roman" w:eastAsia="Times New Roman" w:hAnsi="Times New Roman" w:cs="Times New Roman"/>
                <w:sz w:val="24"/>
                <w:szCs w:val="24"/>
                <w:lang w:eastAsia="en-IN"/>
              </w:rPr>
              <w:t>)</w:t>
            </w:r>
          </w:p>
        </w:tc>
      </w:tr>
      <w:tr w:rsidR="006F1C79" w:rsidRPr="005A6267" w:rsidTr="006F1C79">
        <w:tc>
          <w:tcPr>
            <w:tcW w:w="0" w:type="auto"/>
            <w:hideMark/>
          </w:tcPr>
          <w:p w:rsidR="007D1F43" w:rsidRDefault="007D1F43" w:rsidP="00AF7DB1">
            <w:pPr>
              <w:rPr>
                <w:rFonts w:ascii="Times New Roman" w:eastAsia="Times New Roman" w:hAnsi="Times New Roman" w:cs="Times New Roman"/>
                <w:sz w:val="24"/>
                <w:szCs w:val="24"/>
                <w:lang w:eastAsia="en-IN"/>
              </w:rPr>
            </w:pPr>
          </w:p>
          <w:p w:rsidR="007D1F43" w:rsidRDefault="007D1F43" w:rsidP="007D1F43">
            <w:pPr>
              <w:rPr>
                <w:rFonts w:ascii="Times New Roman" w:eastAsia="Times New Roman" w:hAnsi="Times New Roman" w:cs="Times New Roman"/>
                <w:sz w:val="24"/>
                <w:szCs w:val="24"/>
                <w:lang w:eastAsia="en-IN"/>
              </w:rPr>
            </w:pPr>
          </w:p>
          <w:p w:rsidR="006F1C79" w:rsidRPr="007D1F43" w:rsidRDefault="006F1C79" w:rsidP="007D1F43">
            <w:pPr>
              <w:jc w:val="center"/>
              <w:rPr>
                <w:rFonts w:ascii="Times New Roman" w:eastAsia="Times New Roman" w:hAnsi="Times New Roman" w:cs="Times New Roman"/>
                <w:sz w:val="24"/>
                <w:szCs w:val="24"/>
                <w:lang w:eastAsia="en-IN"/>
              </w:rPr>
            </w:pP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Resveratrol (</w:t>
            </w:r>
            <w:r w:rsidRPr="005A6267">
              <w:rPr>
                <w:rFonts w:ascii="Times New Roman" w:eastAsia="Times New Roman" w:hAnsi="Times New Roman" w:cs="Times New Roman"/>
                <w:i/>
                <w:iCs/>
                <w:sz w:val="24"/>
                <w:szCs w:val="24"/>
                <w:lang w:eastAsia="en-IN"/>
              </w:rPr>
              <w:t>Vitis vinifera</w:t>
            </w:r>
            <w:r w:rsidRPr="005A6267">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i/>
                <w:iCs/>
                <w:sz w:val="24"/>
                <w:szCs w:val="24"/>
                <w:lang w:eastAsia="en-IN"/>
              </w:rPr>
              <w:t>Polygonum cuspidatum</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Oxyresveratrol (</w:t>
            </w:r>
            <w:r w:rsidRPr="005A6267">
              <w:rPr>
                <w:rFonts w:ascii="Times New Roman" w:eastAsia="Times New Roman" w:hAnsi="Times New Roman" w:cs="Times New Roman"/>
                <w:i/>
                <w:iCs/>
                <w:sz w:val="24"/>
                <w:szCs w:val="24"/>
                <w:lang w:eastAsia="en-IN"/>
              </w:rPr>
              <w:t>Morus alba</w:t>
            </w:r>
            <w:r w:rsidRPr="005A6267">
              <w:rPr>
                <w:rFonts w:ascii="Times New Roman" w:eastAsia="Times New Roman" w:hAnsi="Times New Roman" w:cs="Times New Roman"/>
                <w:sz w:val="24"/>
                <w:szCs w:val="24"/>
                <w:lang w:eastAsia="en-IN"/>
              </w:rPr>
              <w:t>); Piceatannol (</w:t>
            </w:r>
            <w:r w:rsidRPr="005A6267">
              <w:rPr>
                <w:rFonts w:ascii="Times New Roman" w:eastAsia="Times New Roman" w:hAnsi="Times New Roman" w:cs="Times New Roman"/>
                <w:i/>
                <w:iCs/>
                <w:sz w:val="24"/>
                <w:szCs w:val="24"/>
                <w:lang w:eastAsia="en-IN"/>
              </w:rPr>
              <w:t>Passiflora edulis</w:t>
            </w:r>
            <w:r w:rsidRPr="005A6267">
              <w:rPr>
                <w:rFonts w:ascii="Times New Roman" w:eastAsia="Times New Roman" w:hAnsi="Times New Roman" w:cs="Times New Roman"/>
                <w:sz w:val="24"/>
                <w:szCs w:val="24"/>
                <w:lang w:eastAsia="en-IN"/>
              </w:rPr>
              <w:t>)</w:t>
            </w:r>
          </w:p>
        </w:tc>
        <w:tc>
          <w:tcPr>
            <w:tcW w:w="0" w:type="auto"/>
            <w:hideMark/>
          </w:tcPr>
          <w:p w:rsidR="00845364" w:rsidRPr="00845364" w:rsidRDefault="006F1C79" w:rsidP="00845364">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Stronger antioxidant, anti-apoptotic and anti-amyloidogenic effects (Piotrowska et al., 2012; </w:t>
            </w:r>
            <w:r w:rsidR="00845364" w:rsidRPr="00845364">
              <w:rPr>
                <w:rFonts w:ascii="Times New Roman" w:eastAsia="Times New Roman" w:hAnsi="Times New Roman" w:cs="Times New Roman"/>
                <w:sz w:val="24"/>
                <w:szCs w:val="24"/>
                <w:lang w:eastAsia="en-IN"/>
              </w:rPr>
              <w:t>Shen et al., 2009)</w:t>
            </w:r>
          </w:p>
          <w:p w:rsidR="006F1C79" w:rsidRPr="005A6267" w:rsidRDefault="006F1C79" w:rsidP="00AF7DB1">
            <w:pPr>
              <w:rPr>
                <w:rFonts w:ascii="Times New Roman" w:eastAsia="Times New Roman" w:hAnsi="Times New Roman" w:cs="Times New Roman"/>
                <w:sz w:val="24"/>
                <w:szCs w:val="24"/>
                <w:lang w:eastAsia="en-IN"/>
              </w:rPr>
            </w:pP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Parkinson’s disease</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Curcumin (</w:t>
            </w:r>
            <w:r w:rsidRPr="005A6267">
              <w:rPr>
                <w:rFonts w:ascii="Times New Roman" w:eastAsia="Times New Roman" w:hAnsi="Times New Roman" w:cs="Times New Roman"/>
                <w:i/>
                <w:iCs/>
                <w:sz w:val="24"/>
                <w:szCs w:val="24"/>
                <w:lang w:eastAsia="en-IN"/>
              </w:rPr>
              <w:t>Curcuma longa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Yakuchinone A (</w:t>
            </w:r>
            <w:r w:rsidRPr="005A6267">
              <w:rPr>
                <w:rFonts w:ascii="Times New Roman" w:eastAsia="Times New Roman" w:hAnsi="Times New Roman" w:cs="Times New Roman"/>
                <w:i/>
                <w:iCs/>
                <w:sz w:val="24"/>
                <w:szCs w:val="24"/>
                <w:lang w:eastAsia="en-IN"/>
              </w:rPr>
              <w:t>Alpinia oxyphylla</w:t>
            </w:r>
            <w:r w:rsidRPr="005A6267">
              <w:rPr>
                <w:rFonts w:ascii="Times New Roman" w:eastAsia="Times New Roman" w:hAnsi="Times New Roman" w:cs="Times New Roman"/>
                <w:sz w:val="24"/>
                <w:szCs w:val="24"/>
                <w:lang w:eastAsia="en-IN"/>
              </w:rPr>
              <w:t>); Dehydrozingerone (</w:t>
            </w:r>
            <w:r w:rsidRPr="005A6267">
              <w:rPr>
                <w:rFonts w:ascii="Times New Roman" w:eastAsia="Times New Roman" w:hAnsi="Times New Roman" w:cs="Times New Roman"/>
                <w:i/>
                <w:iCs/>
                <w:sz w:val="24"/>
                <w:szCs w:val="24"/>
                <w:lang w:eastAsia="en-IN"/>
              </w:rPr>
              <w:t>Zingiber officinale</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E17F05">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Mitochondrial protection, inhibition of α-synuclein </w:t>
            </w:r>
            <w:r w:rsidR="00381D2D">
              <w:rPr>
                <w:rFonts w:ascii="Times New Roman" w:eastAsia="Times New Roman" w:hAnsi="Times New Roman" w:cs="Times New Roman"/>
                <w:sz w:val="24"/>
                <w:szCs w:val="24"/>
                <w:lang w:eastAsia="en-IN"/>
              </w:rPr>
              <w:t xml:space="preserve">aggregation </w:t>
            </w:r>
            <w:r w:rsidR="00E17F05" w:rsidRPr="00E17F05">
              <w:rPr>
                <w:rFonts w:ascii="Times New Roman" w:eastAsia="Times New Roman" w:hAnsi="Times New Roman" w:cs="Times New Roman"/>
                <w:sz w:val="24"/>
                <w:szCs w:val="24"/>
                <w:lang w:eastAsia="en-IN"/>
              </w:rPr>
              <w:t>(Chun et al., 2002c)</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Withanolide A (</w:t>
            </w:r>
            <w:r w:rsidRPr="005A6267">
              <w:rPr>
                <w:rFonts w:ascii="Times New Roman" w:eastAsia="Times New Roman" w:hAnsi="Times New Roman" w:cs="Times New Roman"/>
                <w:i/>
                <w:iCs/>
                <w:sz w:val="24"/>
                <w:szCs w:val="24"/>
                <w:lang w:eastAsia="en-IN"/>
              </w:rPr>
              <w:t>Withania somnifera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Physalin B (</w:t>
            </w:r>
            <w:r w:rsidRPr="005A6267">
              <w:rPr>
                <w:rFonts w:ascii="Times New Roman" w:eastAsia="Times New Roman" w:hAnsi="Times New Roman" w:cs="Times New Roman"/>
                <w:i/>
                <w:iCs/>
                <w:sz w:val="24"/>
                <w:szCs w:val="24"/>
                <w:lang w:eastAsia="en-IN"/>
              </w:rPr>
              <w:t>Physalis angulata</w:t>
            </w:r>
            <w:r w:rsidRPr="005A6267">
              <w:rPr>
                <w:rFonts w:ascii="Times New Roman" w:eastAsia="Times New Roman" w:hAnsi="Times New Roman" w:cs="Times New Roman"/>
                <w:sz w:val="24"/>
                <w:szCs w:val="24"/>
                <w:lang w:eastAsia="en-IN"/>
              </w:rPr>
              <w:t>); Withanolide E (</w:t>
            </w:r>
            <w:r w:rsidRPr="005A6267">
              <w:rPr>
                <w:rFonts w:ascii="Times New Roman" w:eastAsia="Times New Roman" w:hAnsi="Times New Roman" w:cs="Times New Roman"/>
                <w:i/>
                <w:iCs/>
                <w:sz w:val="24"/>
                <w:szCs w:val="24"/>
                <w:lang w:eastAsia="en-IN"/>
              </w:rPr>
              <w:t>Physalis peruviana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FB3C2A">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Neuroinflammation modulation, dop</w:t>
            </w:r>
            <w:r w:rsidR="00FB3C2A">
              <w:rPr>
                <w:rFonts w:ascii="Times New Roman" w:eastAsia="Times New Roman" w:hAnsi="Times New Roman" w:cs="Times New Roman"/>
                <w:sz w:val="24"/>
                <w:szCs w:val="24"/>
                <w:lang w:eastAsia="en-IN"/>
              </w:rPr>
              <w:t>aminergic neuron protection (Kuo et al., 2006</w:t>
            </w:r>
            <w:r w:rsidR="007E7135">
              <w:rPr>
                <w:rFonts w:ascii="Times New Roman" w:eastAsia="Times New Roman" w:hAnsi="Times New Roman" w:cs="Times New Roman"/>
                <w:sz w:val="24"/>
                <w:szCs w:val="24"/>
                <w:lang w:eastAsia="en-IN"/>
              </w:rPr>
              <w:t xml:space="preserve">; </w:t>
            </w:r>
            <w:r w:rsidRPr="005A6267">
              <w:rPr>
                <w:rFonts w:ascii="Times New Roman" w:eastAsia="Times New Roman" w:hAnsi="Times New Roman" w:cs="Times New Roman"/>
                <w:sz w:val="24"/>
                <w:szCs w:val="24"/>
                <w:lang w:eastAsia="en-IN"/>
              </w:rPr>
              <w:t>Mirjalili et al., 2009)</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Stroke &amp; Vascular Cognitive Impairment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Ginkgolide B (</w:t>
            </w:r>
            <w:r w:rsidRPr="005A6267">
              <w:rPr>
                <w:rFonts w:ascii="Times New Roman" w:eastAsia="Times New Roman" w:hAnsi="Times New Roman" w:cs="Times New Roman"/>
                <w:i/>
                <w:iCs/>
                <w:sz w:val="24"/>
                <w:szCs w:val="24"/>
                <w:lang w:eastAsia="en-IN"/>
              </w:rPr>
              <w:t>Ginkgo biloba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Andrographolide (</w:t>
            </w:r>
            <w:r w:rsidRPr="005A6267">
              <w:rPr>
                <w:rFonts w:ascii="Times New Roman" w:eastAsia="Times New Roman" w:hAnsi="Times New Roman" w:cs="Times New Roman"/>
                <w:i/>
                <w:iCs/>
                <w:sz w:val="24"/>
                <w:szCs w:val="24"/>
                <w:lang w:eastAsia="en-IN"/>
              </w:rPr>
              <w:t>Andrographis paniculata</w:t>
            </w:r>
            <w:r w:rsidRPr="005A6267">
              <w:rPr>
                <w:rFonts w:ascii="Times New Roman" w:eastAsia="Times New Roman" w:hAnsi="Times New Roman" w:cs="Times New Roman"/>
                <w:sz w:val="24"/>
                <w:szCs w:val="24"/>
                <w:lang w:eastAsia="en-IN"/>
              </w:rPr>
              <w:t>); Tanshinone IIA (</w:t>
            </w:r>
            <w:r w:rsidRPr="005A6267">
              <w:rPr>
                <w:rFonts w:ascii="Times New Roman" w:eastAsia="Times New Roman" w:hAnsi="Times New Roman" w:cs="Times New Roman"/>
                <w:i/>
                <w:iCs/>
                <w:sz w:val="24"/>
                <w:szCs w:val="24"/>
                <w:lang w:eastAsia="en-IN"/>
              </w:rPr>
              <w:t>Salvia miltiorrhiza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C341F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Anti-ischemic effects, mitochondrial stabilization, improved vascu</w:t>
            </w:r>
            <w:r w:rsidR="00C341F1">
              <w:rPr>
                <w:rFonts w:ascii="Times New Roman" w:eastAsia="Times New Roman" w:hAnsi="Times New Roman" w:cs="Times New Roman"/>
                <w:sz w:val="24"/>
                <w:szCs w:val="24"/>
                <w:lang w:eastAsia="en-IN"/>
              </w:rPr>
              <w:t>lar function (Islam et al., 2018b</w:t>
            </w:r>
            <w:r w:rsidRPr="005A6267">
              <w:rPr>
                <w:rFonts w:ascii="Times New Roman" w:eastAsia="Times New Roman" w:hAnsi="Times New Roman" w:cs="Times New Roman"/>
                <w:sz w:val="24"/>
                <w:szCs w:val="24"/>
                <w:lang w:eastAsia="en-IN"/>
              </w:rPr>
              <w:t xml:space="preserve">; </w:t>
            </w:r>
            <w:r w:rsidR="003410F6">
              <w:rPr>
                <w:rFonts w:ascii="Times New Roman" w:eastAsia="Times New Roman" w:hAnsi="Times New Roman" w:cs="Times New Roman"/>
                <w:sz w:val="24"/>
                <w:szCs w:val="24"/>
                <w:lang w:eastAsia="en-IN"/>
              </w:rPr>
              <w:t>Lee et al., 2013</w:t>
            </w:r>
            <w:r w:rsidRPr="005A6267">
              <w:rPr>
                <w:rFonts w:ascii="Times New Roman" w:eastAsia="Times New Roman" w:hAnsi="Times New Roman" w:cs="Times New Roman"/>
                <w:sz w:val="24"/>
                <w:szCs w:val="24"/>
                <w:lang w:eastAsia="en-IN"/>
              </w:rPr>
              <w:t>)</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Epilepsy &amp; Seizure Disorders</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Cannabidiol (CBD) (</w:t>
            </w:r>
            <w:r w:rsidRPr="005A6267">
              <w:rPr>
                <w:rFonts w:ascii="Times New Roman" w:eastAsia="Times New Roman" w:hAnsi="Times New Roman" w:cs="Times New Roman"/>
                <w:i/>
                <w:iCs/>
                <w:sz w:val="24"/>
                <w:szCs w:val="24"/>
                <w:lang w:eastAsia="en-IN"/>
              </w:rPr>
              <w:t>Cannabis sativa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Perrottetinene (</w:t>
            </w:r>
            <w:r w:rsidRPr="005A6267">
              <w:rPr>
                <w:rFonts w:ascii="Times New Roman" w:eastAsia="Times New Roman" w:hAnsi="Times New Roman" w:cs="Times New Roman"/>
                <w:i/>
                <w:iCs/>
                <w:sz w:val="24"/>
                <w:szCs w:val="24"/>
                <w:lang w:eastAsia="en-IN"/>
              </w:rPr>
              <w:t>Radula marginata</w:t>
            </w:r>
            <w:r w:rsidRPr="005A6267">
              <w:rPr>
                <w:rFonts w:ascii="Times New Roman" w:eastAsia="Times New Roman" w:hAnsi="Times New Roman" w:cs="Times New Roman"/>
                <w:sz w:val="24"/>
                <w:szCs w:val="24"/>
                <w:lang w:eastAsia="en-IN"/>
              </w:rPr>
              <w:t>); Daurichromenic acid (</w:t>
            </w:r>
            <w:r w:rsidRPr="005A6267">
              <w:rPr>
                <w:rFonts w:ascii="Times New Roman" w:eastAsia="Times New Roman" w:hAnsi="Times New Roman" w:cs="Times New Roman"/>
                <w:i/>
                <w:iCs/>
                <w:sz w:val="24"/>
                <w:szCs w:val="24"/>
                <w:lang w:eastAsia="en-IN"/>
              </w:rPr>
              <w:t>Rhododendron dauricum</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Anticonvulsant potential, endocannabinoid system modulation </w:t>
            </w:r>
            <w:r w:rsidR="003013F4" w:rsidRPr="003013F4">
              <w:rPr>
                <w:rFonts w:ascii="Times New Roman" w:eastAsia="Times New Roman" w:hAnsi="Times New Roman" w:cs="Times New Roman"/>
                <w:sz w:val="24"/>
                <w:szCs w:val="24"/>
                <w:lang w:eastAsia="en-IN"/>
              </w:rPr>
              <w:t>(Chicca et al., 2018)</w:t>
            </w:r>
            <w:r w:rsidR="003013F4">
              <w:rPr>
                <w:rFonts w:ascii="Times New Roman" w:eastAsia="Times New Roman" w:hAnsi="Times New Roman" w:cs="Times New Roman"/>
                <w:sz w:val="24"/>
                <w:szCs w:val="24"/>
                <w:lang w:eastAsia="en-IN"/>
              </w:rPr>
              <w:t>.</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Cognitive Decline / Memory Disorders</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Bacoside A (</w:t>
            </w:r>
            <w:r w:rsidRPr="005A6267">
              <w:rPr>
                <w:rFonts w:ascii="Times New Roman" w:eastAsia="Times New Roman" w:hAnsi="Times New Roman" w:cs="Times New Roman"/>
                <w:i/>
                <w:iCs/>
                <w:sz w:val="24"/>
                <w:szCs w:val="24"/>
                <w:lang w:eastAsia="en-IN"/>
              </w:rPr>
              <w:t>Bacopa monnieri</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Ginsenoside Rg1 (</w:t>
            </w:r>
            <w:r w:rsidRPr="005A6267">
              <w:rPr>
                <w:rFonts w:ascii="Times New Roman" w:eastAsia="Times New Roman" w:hAnsi="Times New Roman" w:cs="Times New Roman"/>
                <w:i/>
                <w:iCs/>
                <w:sz w:val="24"/>
                <w:szCs w:val="24"/>
                <w:lang w:eastAsia="en-IN"/>
              </w:rPr>
              <w:t>Panax ginseng</w:t>
            </w:r>
            <w:r w:rsidRPr="005A6267">
              <w:rPr>
                <w:rFonts w:ascii="Times New Roman" w:eastAsia="Times New Roman" w:hAnsi="Times New Roman" w:cs="Times New Roman"/>
                <w:sz w:val="24"/>
                <w:szCs w:val="24"/>
                <w:lang w:eastAsia="en-IN"/>
              </w:rPr>
              <w:t>); Jujuboside A (</w:t>
            </w:r>
            <w:r w:rsidRPr="005A6267">
              <w:rPr>
                <w:rFonts w:ascii="Times New Roman" w:eastAsia="Times New Roman" w:hAnsi="Times New Roman" w:cs="Times New Roman"/>
                <w:i/>
                <w:iCs/>
                <w:sz w:val="24"/>
                <w:szCs w:val="24"/>
                <w:lang w:eastAsia="en-IN"/>
              </w:rPr>
              <w:t>Ziziphus jujuba</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 xml:space="preserve">Synaptogenic support, improved learning and memory </w:t>
            </w:r>
            <w:r w:rsidR="006312CA" w:rsidRPr="006312CA">
              <w:rPr>
                <w:rFonts w:ascii="Times New Roman" w:eastAsia="Times New Roman" w:hAnsi="Times New Roman" w:cs="Times New Roman"/>
                <w:sz w:val="24"/>
                <w:szCs w:val="24"/>
                <w:lang w:eastAsia="en-IN"/>
              </w:rPr>
              <w:t>(Wu et al., 2013)</w:t>
            </w:r>
            <w:r w:rsidR="006312CA">
              <w:rPr>
                <w:rFonts w:ascii="Times New Roman" w:eastAsia="Times New Roman" w:hAnsi="Times New Roman" w:cs="Times New Roman"/>
                <w:sz w:val="24"/>
                <w:szCs w:val="24"/>
                <w:lang w:eastAsia="en-IN"/>
              </w:rPr>
              <w:t>.</w:t>
            </w:r>
          </w:p>
        </w:tc>
      </w:tr>
      <w:tr w:rsidR="006F1C79" w:rsidRPr="005A6267" w:rsidTr="006F1C79">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b/>
                <w:bCs/>
                <w:sz w:val="24"/>
                <w:szCs w:val="24"/>
                <w:lang w:eastAsia="en-IN"/>
              </w:rPr>
              <w:t>Migraine / Oxidative Stress-Linked Disorders</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Lycopene (</w:t>
            </w:r>
            <w:r w:rsidRPr="005A6267">
              <w:rPr>
                <w:rFonts w:ascii="Times New Roman" w:eastAsia="Times New Roman" w:hAnsi="Times New Roman" w:cs="Times New Roman"/>
                <w:i/>
                <w:iCs/>
                <w:sz w:val="24"/>
                <w:szCs w:val="24"/>
                <w:lang w:eastAsia="en-IN"/>
              </w:rPr>
              <w:t>Solanum lycopersicum</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Phytofluene (</w:t>
            </w:r>
            <w:r w:rsidRPr="005A6267">
              <w:rPr>
                <w:rFonts w:ascii="Times New Roman" w:eastAsia="Times New Roman" w:hAnsi="Times New Roman" w:cs="Times New Roman"/>
                <w:i/>
                <w:iCs/>
                <w:sz w:val="24"/>
                <w:szCs w:val="24"/>
                <w:lang w:eastAsia="en-IN"/>
              </w:rPr>
              <w:t>Citrus paradisi</w:t>
            </w:r>
            <w:r w:rsidRPr="005A6267">
              <w:rPr>
                <w:rFonts w:ascii="Times New Roman" w:eastAsia="Times New Roman" w:hAnsi="Times New Roman" w:cs="Times New Roman"/>
                <w:sz w:val="24"/>
                <w:szCs w:val="24"/>
                <w:lang w:eastAsia="en-IN"/>
              </w:rPr>
              <w:t>); Neurosporene (</w:t>
            </w:r>
            <w:r w:rsidRPr="005A6267">
              <w:rPr>
                <w:rFonts w:ascii="Times New Roman" w:eastAsia="Times New Roman" w:hAnsi="Times New Roman" w:cs="Times New Roman"/>
                <w:i/>
                <w:iCs/>
                <w:sz w:val="24"/>
                <w:szCs w:val="24"/>
                <w:lang w:eastAsia="en-IN"/>
              </w:rPr>
              <w:t>Zea mays</w:t>
            </w:r>
            <w:r w:rsidRPr="005A6267">
              <w:rPr>
                <w:rFonts w:ascii="Times New Roman" w:eastAsia="Times New Roman" w:hAnsi="Times New Roman" w:cs="Times New Roman"/>
                <w:sz w:val="24"/>
                <w:szCs w:val="24"/>
                <w:lang w:eastAsia="en-IN"/>
              </w:rPr>
              <w:t>)</w:t>
            </w:r>
          </w:p>
        </w:tc>
        <w:tc>
          <w:tcPr>
            <w:tcW w:w="0" w:type="auto"/>
            <w:hideMark/>
          </w:tcPr>
          <w:p w:rsidR="006F1C79" w:rsidRPr="005A6267" w:rsidRDefault="006F1C79" w:rsidP="00AF7DB1">
            <w:pPr>
              <w:rPr>
                <w:rFonts w:ascii="Times New Roman" w:eastAsia="Times New Roman" w:hAnsi="Times New Roman" w:cs="Times New Roman"/>
                <w:sz w:val="24"/>
                <w:szCs w:val="24"/>
                <w:lang w:eastAsia="en-IN"/>
              </w:rPr>
            </w:pPr>
            <w:r w:rsidRPr="005A6267">
              <w:rPr>
                <w:rFonts w:ascii="Times New Roman" w:eastAsia="Times New Roman" w:hAnsi="Times New Roman" w:cs="Times New Roman"/>
                <w:sz w:val="24"/>
                <w:szCs w:val="24"/>
                <w:lang w:eastAsia="en-IN"/>
              </w:rPr>
              <w:t>Antioxidant carotenoids, neurovascular protection (Meléndez-Martínez et al., 2015)</w:t>
            </w:r>
          </w:p>
        </w:tc>
      </w:tr>
    </w:tbl>
    <w:p w:rsidR="006C657F" w:rsidRDefault="006C657F" w:rsidP="007D1F43">
      <w:pPr>
        <w:pStyle w:val="Heading3"/>
        <w:spacing w:before="0" w:beforeAutospacing="0" w:after="0" w:afterAutospacing="0"/>
        <w:rPr>
          <w:sz w:val="28"/>
          <w:szCs w:val="24"/>
        </w:rPr>
      </w:pPr>
    </w:p>
    <w:p w:rsidR="006F1C79" w:rsidRPr="007D1F43" w:rsidRDefault="00800745" w:rsidP="007D1F43">
      <w:pPr>
        <w:pStyle w:val="Heading3"/>
        <w:spacing w:before="0" w:beforeAutospacing="0" w:after="0" w:afterAutospacing="0"/>
      </w:pPr>
      <w:r w:rsidRPr="00800745">
        <w:rPr>
          <w:sz w:val="28"/>
          <w:szCs w:val="24"/>
        </w:rPr>
        <w:t>FUTURE DIRECTIONS</w:t>
      </w:r>
    </w:p>
    <w:p w:rsidR="006F1C79" w:rsidRPr="005A6267" w:rsidRDefault="006F1C79" w:rsidP="007D1F43">
      <w:pPr>
        <w:pStyle w:val="Heading3"/>
        <w:jc w:val="both"/>
        <w:rPr>
          <w:b w:val="0"/>
          <w:bCs w:val="0"/>
          <w:sz w:val="24"/>
          <w:szCs w:val="24"/>
        </w:rPr>
      </w:pPr>
      <w:r w:rsidRPr="005A6267">
        <w:rPr>
          <w:b w:val="0"/>
          <w:bCs w:val="0"/>
          <w:sz w:val="24"/>
          <w:szCs w:val="24"/>
        </w:rPr>
        <w:t>The problem of neurological disorders is increasingly imposing a growing health and economic burden across the world, and the neurological drugs market is expected to grow swiftly. Although this has increased but still an enormous gap in effective therapeutics exists in terms of provision of such therapeutics. The available remedies are expensive, in many cases have side effects, and are not widely available to a majority population, especially in rural and resource-constrained areas. This disequilibrium highlights the necessity of low cost, safer, and more sustainable alternatives.</w:t>
      </w:r>
    </w:p>
    <w:p w:rsidR="006F1C79" w:rsidRPr="005A6267" w:rsidRDefault="006F1C79" w:rsidP="007D1F43">
      <w:pPr>
        <w:pStyle w:val="Heading3"/>
        <w:jc w:val="both"/>
        <w:rPr>
          <w:b w:val="0"/>
          <w:bCs w:val="0"/>
          <w:sz w:val="24"/>
          <w:szCs w:val="24"/>
        </w:rPr>
      </w:pPr>
      <w:r w:rsidRPr="005A6267">
        <w:rPr>
          <w:b w:val="0"/>
          <w:bCs w:val="0"/>
          <w:sz w:val="24"/>
          <w:szCs w:val="24"/>
        </w:rPr>
        <w:t>Here, phytochemical analogs have the transformational potential. Analogs serve the purpose of supplementing and not substituting current drugs as well as addressing the drawbacks of restricted bioavailability, therapeutic inconsistency, and dependency on threatened medicinal plant species through the provision of structurally similar, though functionally superior molecules. Their pharmacological retention capability coupled with stability and accessibility make them worthy alternatives in terms of filling the demand-supply gap.</w:t>
      </w:r>
    </w:p>
    <w:p w:rsidR="006F1C79" w:rsidRPr="005A6267" w:rsidRDefault="006F1C79" w:rsidP="007D1F43">
      <w:pPr>
        <w:pStyle w:val="Heading3"/>
        <w:jc w:val="both"/>
        <w:rPr>
          <w:b w:val="0"/>
          <w:bCs w:val="0"/>
          <w:sz w:val="24"/>
          <w:szCs w:val="24"/>
        </w:rPr>
      </w:pPr>
      <w:r w:rsidRPr="005A6267">
        <w:rPr>
          <w:b w:val="0"/>
          <w:bCs w:val="0"/>
          <w:sz w:val="24"/>
          <w:szCs w:val="24"/>
        </w:rPr>
        <w:t>The future is in identifying such analogs in a systematic manner as low-cost neurotherapeutic leads and establishing their validity. As the occurrence of neurological diseases is increasing, as well as the economic burden on healthcare systems, there is a strong demand to diversify the drug pipelines with cost-effective plant-derived analogs. Phytochemistry, computational modeling, and clinical validation can be strategically integrated to speed up the conversion of these analogs to clinically relevant drugs. The utilization of analogs would not only solve the worldwide problem of the lack of neurological therapeutics but also provide equal access to the issue, especially in such a country as India where the urban dwellers are exposed to the risks of stress and develop neuro</w:t>
      </w:r>
      <w:r w:rsidR="00944473" w:rsidRPr="005A6267">
        <w:rPr>
          <w:b w:val="0"/>
          <w:bCs w:val="0"/>
          <w:sz w:val="24"/>
          <w:szCs w:val="24"/>
        </w:rPr>
        <w:t xml:space="preserve">logical disorders and the </w:t>
      </w:r>
      <w:r w:rsidRPr="005A6267">
        <w:rPr>
          <w:b w:val="0"/>
          <w:bCs w:val="0"/>
          <w:sz w:val="24"/>
          <w:szCs w:val="24"/>
        </w:rPr>
        <w:t>residents of the non-metropolitan regions are underdiagnosed and lack adequate treatment choices.</w:t>
      </w:r>
    </w:p>
    <w:p w:rsidR="006F1C79" w:rsidRPr="00800745" w:rsidRDefault="00800745" w:rsidP="00800745">
      <w:pPr>
        <w:pStyle w:val="Heading3"/>
        <w:rPr>
          <w:sz w:val="28"/>
          <w:szCs w:val="24"/>
        </w:rPr>
      </w:pPr>
      <w:r w:rsidRPr="00800745">
        <w:rPr>
          <w:sz w:val="28"/>
          <w:szCs w:val="24"/>
        </w:rPr>
        <w:t>CONCLUSION</w:t>
      </w:r>
    </w:p>
    <w:p w:rsidR="006F1C79" w:rsidRPr="005A6267" w:rsidRDefault="006F1C79" w:rsidP="007D1F43">
      <w:pPr>
        <w:pStyle w:val="NormalWeb"/>
        <w:jc w:val="both"/>
      </w:pPr>
      <w:r w:rsidRPr="005A6267">
        <w:t>The therapeutic arena for neurological disorders is expanding beyond synthetic drugs and includes a wide range of plant-derived compounds. Well known phytochemicals like galantamine, curcumin and cannabidiol have forged the path to clinical acceptability and structurally identical though less explored analogues, like narwedine to phytofluene, are the future of neuroprotective studies. In the Indian case the miscellane of urban stress disorders versus metabolic disorders and conditions in non-metropolitan areas will leave no other way but to refine the public health strategies in terms of integrating these phytochemicals. Such an approach does not only underscore the scientific promise of ethnopharmacology but also strengthens the relevance of India’s biodiversity in neurological therapeutics at the global level.</w:t>
      </w:r>
    </w:p>
    <w:p w:rsidR="006F1C79" w:rsidRPr="00800745" w:rsidRDefault="00800745" w:rsidP="00AF7DB1">
      <w:pPr>
        <w:spacing w:after="0" w:line="240" w:lineRule="auto"/>
        <w:rPr>
          <w:rFonts w:ascii="Times New Roman" w:eastAsia="Times New Roman" w:hAnsi="Times New Roman" w:cs="Times New Roman"/>
          <w:b/>
          <w:sz w:val="28"/>
          <w:lang w:eastAsia="en-IN"/>
        </w:rPr>
      </w:pPr>
      <w:r w:rsidRPr="00800745">
        <w:rPr>
          <w:rFonts w:ascii="Times New Roman" w:eastAsia="Times New Roman" w:hAnsi="Times New Roman" w:cs="Times New Roman"/>
          <w:b/>
          <w:sz w:val="28"/>
          <w:lang w:eastAsia="en-IN"/>
        </w:rPr>
        <w:lastRenderedPageBreak/>
        <w:t>REFERENCES</w:t>
      </w:r>
    </w:p>
    <w:p w:rsidR="00B575F6" w:rsidRDefault="00B575F6" w:rsidP="00B575F6">
      <w:pPr>
        <w:spacing w:after="0" w:line="240" w:lineRule="auto"/>
        <w:rPr>
          <w:rFonts w:ascii="Times New Roman" w:eastAsia="Times New Roman" w:hAnsi="Times New Roman" w:cs="Times New Roman"/>
          <w:sz w:val="24"/>
          <w:szCs w:val="24"/>
          <w:lang w:eastAsia="en-IN"/>
        </w:rPr>
      </w:pPr>
    </w:p>
    <w:p w:rsidR="00B575F6"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b/>
          <w:bCs/>
          <w:sz w:val="24"/>
          <w:szCs w:val="24"/>
          <w:lang w:eastAsia="en-IN"/>
        </w:rPr>
      </w:pPr>
      <w:r w:rsidRPr="006C657F">
        <w:rPr>
          <w:rFonts w:ascii="Times New Roman" w:eastAsia="Times New Roman" w:hAnsi="Times New Roman" w:cs="Times New Roman"/>
          <w:sz w:val="24"/>
          <w:szCs w:val="24"/>
          <w:lang w:eastAsia="en-IN"/>
        </w:rPr>
        <w:t xml:space="preserve">Ansari, S., Maurya, V. K., Kumar, S., Tiwari, M., Abdel-Moneime, A. S., &amp; Saxena, S. K. (2025). Neuroprotective effects of Centella asiatica against LPS/amyloid beta-induced neurodegeneration through inhibition of neuroinflammation. </w:t>
      </w:r>
      <w:r w:rsidRPr="006C657F">
        <w:rPr>
          <w:rFonts w:ascii="Times New Roman" w:eastAsia="Times New Roman" w:hAnsi="Times New Roman" w:cs="Times New Roman"/>
          <w:i/>
          <w:iCs/>
          <w:sz w:val="24"/>
          <w:szCs w:val="24"/>
          <w:lang w:eastAsia="en-IN"/>
        </w:rPr>
        <w:t>Neuroscience</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575</w:t>
      </w:r>
      <w:r w:rsidRPr="006C657F">
        <w:rPr>
          <w:rFonts w:ascii="Times New Roman" w:eastAsia="Times New Roman" w:hAnsi="Times New Roman" w:cs="Times New Roman"/>
          <w:sz w:val="24"/>
          <w:szCs w:val="24"/>
          <w:lang w:eastAsia="en-IN"/>
        </w:rPr>
        <w:t xml:space="preserve">, 19–35. </w:t>
      </w:r>
      <w:hyperlink r:id="rId79" w:history="1">
        <w:r w:rsidRPr="006C657F">
          <w:rPr>
            <w:rStyle w:val="Hyperlink"/>
            <w:rFonts w:ascii="Times New Roman" w:hAnsi="Times New Roman" w:cs="Times New Roman"/>
            <w:sz w:val="24"/>
            <w:szCs w:val="24"/>
          </w:rPr>
          <w:t>https://doi.org/10.1016/j.neuroscience.2025.04.011</w:t>
        </w:r>
      </w:hyperlink>
      <w:bookmarkStart w:id="1" w:name="_Ref219485422"/>
      <w:bookmarkStart w:id="2" w:name="_Ref219487995"/>
    </w:p>
    <w:p w:rsidR="00B575F6"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b/>
          <w:bCs/>
          <w:sz w:val="24"/>
          <w:szCs w:val="24"/>
          <w:lang w:eastAsia="en-IN"/>
        </w:rPr>
      </w:pPr>
      <w:r w:rsidRPr="006C657F">
        <w:rPr>
          <w:rFonts w:ascii="Times New Roman" w:hAnsi="Times New Roman" w:cs="Times New Roman"/>
          <w:sz w:val="24"/>
          <w:szCs w:val="24"/>
        </w:rPr>
        <w:t xml:space="preserve">Asl, M. N., &amp; Hosseinzadeh, H. (2008). Review of pharmacological effects of </w:t>
      </w:r>
      <w:r w:rsidRPr="006C657F">
        <w:rPr>
          <w:rStyle w:val="Emphasis"/>
          <w:rFonts w:ascii="Times New Roman" w:hAnsi="Times New Roman" w:cs="Times New Roman"/>
          <w:sz w:val="24"/>
          <w:szCs w:val="24"/>
        </w:rPr>
        <w:t>Glycyrrhiza glabra</w:t>
      </w:r>
      <w:r w:rsidRPr="006C657F">
        <w:rPr>
          <w:rFonts w:ascii="Times New Roman" w:hAnsi="Times New Roman" w:cs="Times New Roman"/>
          <w:sz w:val="24"/>
          <w:szCs w:val="24"/>
        </w:rPr>
        <w:t xml:space="preserve">. </w:t>
      </w:r>
      <w:r w:rsidRPr="006C657F">
        <w:rPr>
          <w:rStyle w:val="Emphasis"/>
          <w:rFonts w:ascii="Times New Roman" w:hAnsi="Times New Roman" w:cs="Times New Roman"/>
          <w:sz w:val="24"/>
          <w:szCs w:val="24"/>
        </w:rPr>
        <w:t>Phytotherapy Research, 22</w:t>
      </w:r>
      <w:r w:rsidRPr="006C657F">
        <w:rPr>
          <w:rFonts w:ascii="Times New Roman" w:hAnsi="Times New Roman" w:cs="Times New Roman"/>
          <w:sz w:val="24"/>
          <w:szCs w:val="24"/>
        </w:rPr>
        <w:t>(6), 709–724.</w:t>
      </w:r>
      <w:bookmarkStart w:id="3" w:name="_Ref219478136"/>
      <w:bookmarkEnd w:id="1"/>
      <w:bookmarkEnd w:id="2"/>
    </w:p>
    <w:p w:rsidR="00B575F6" w:rsidRPr="006C657F" w:rsidRDefault="00D50CDA" w:rsidP="006C657F">
      <w:pPr>
        <w:pStyle w:val="ListParagraph"/>
        <w:numPr>
          <w:ilvl w:val="0"/>
          <w:numId w:val="25"/>
        </w:numPr>
        <w:spacing w:after="0" w:line="240" w:lineRule="auto"/>
        <w:ind w:left="1080"/>
        <w:jc w:val="both"/>
        <w:rPr>
          <w:rStyle w:val="Hyperlink"/>
          <w:rFonts w:ascii="Times New Roman" w:eastAsia="Times New Roman" w:hAnsi="Times New Roman" w:cs="Times New Roman"/>
          <w:b/>
          <w:bCs/>
          <w:color w:val="auto"/>
          <w:sz w:val="24"/>
          <w:szCs w:val="24"/>
          <w:u w:val="none"/>
          <w:lang w:eastAsia="en-IN"/>
        </w:rPr>
      </w:pPr>
      <w:r w:rsidRPr="006C657F">
        <w:rPr>
          <w:rFonts w:ascii="Times New Roman" w:hAnsi="Times New Roman" w:cs="Times New Roman"/>
          <w:sz w:val="24"/>
          <w:szCs w:val="24"/>
          <w:shd w:val="clear" w:color="auto" w:fill="FFFFFF"/>
        </w:rPr>
        <w:t>Balakrishnan, R., Cho, D. Y., Kim, I. S., Seol, S. H., &amp; Choi, D. K. (2022). Molecular Mechanisms and Therapeutic Potential of α- and β-Asarone in the Treatment of Neurological Disorders. </w:t>
      </w:r>
      <w:r w:rsidRPr="006C657F">
        <w:rPr>
          <w:rFonts w:ascii="Times New Roman" w:hAnsi="Times New Roman" w:cs="Times New Roman"/>
          <w:i/>
          <w:iCs/>
          <w:sz w:val="24"/>
          <w:szCs w:val="24"/>
          <w:shd w:val="clear" w:color="auto" w:fill="FFFFFF"/>
        </w:rPr>
        <w:t>Antioxidants (Basel, Switzerland)</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11</w:t>
      </w:r>
      <w:r w:rsidRPr="006C657F">
        <w:rPr>
          <w:rFonts w:ascii="Times New Roman" w:hAnsi="Times New Roman" w:cs="Times New Roman"/>
          <w:sz w:val="24"/>
          <w:szCs w:val="24"/>
          <w:shd w:val="clear" w:color="auto" w:fill="FFFFFF"/>
        </w:rPr>
        <w:t xml:space="preserve">(2), 281. </w:t>
      </w:r>
      <w:hyperlink r:id="rId80" w:history="1">
        <w:r w:rsidRPr="006C657F">
          <w:rPr>
            <w:rStyle w:val="Hyperlink"/>
            <w:rFonts w:ascii="Times New Roman" w:hAnsi="Times New Roman" w:cs="Times New Roman"/>
            <w:sz w:val="24"/>
            <w:szCs w:val="24"/>
            <w:shd w:val="clear" w:color="auto" w:fill="FFFFFF"/>
          </w:rPr>
          <w:t>https://doi.org/10.3390/antiox1102028</w:t>
        </w:r>
      </w:hyperlink>
      <w:bookmarkStart w:id="4" w:name="_Ref219475093"/>
      <w:bookmarkEnd w:id="3"/>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b/>
          <w:bCs/>
          <w:sz w:val="24"/>
          <w:szCs w:val="24"/>
          <w:lang w:eastAsia="en-IN"/>
        </w:rPr>
      </w:pPr>
      <w:r w:rsidRPr="006C657F">
        <w:rPr>
          <w:rFonts w:ascii="Times New Roman" w:eastAsia="Times New Roman" w:hAnsi="Times New Roman" w:cs="Times New Roman"/>
          <w:sz w:val="24"/>
          <w:szCs w:val="24"/>
          <w:lang w:eastAsia="en-IN"/>
        </w:rPr>
        <w:t xml:space="preserve">Balk, D., Montgomery, M. R., Engin, H., Lin, N., Major, E., &amp; Jones, B. D. (2019). </w:t>
      </w:r>
      <w:r w:rsidRPr="006C657F">
        <w:rPr>
          <w:rFonts w:ascii="Times New Roman" w:eastAsia="Times New Roman" w:hAnsi="Times New Roman" w:cs="Times New Roman"/>
          <w:i/>
          <w:iCs/>
          <w:sz w:val="24"/>
          <w:szCs w:val="24"/>
          <w:lang w:eastAsia="en-IN"/>
        </w:rPr>
        <w:t>Urbanization in India: Population and Urban Classification Grids for 2011</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4</w:t>
      </w:r>
      <w:r w:rsidRPr="006C657F">
        <w:rPr>
          <w:rFonts w:ascii="Times New Roman" w:eastAsia="Times New Roman" w:hAnsi="Times New Roman" w:cs="Times New Roman"/>
          <w:sz w:val="24"/>
          <w:szCs w:val="24"/>
          <w:lang w:eastAsia="en-IN"/>
        </w:rPr>
        <w:t xml:space="preserve">(1), 35. </w:t>
      </w:r>
      <w:hyperlink r:id="rId81" w:history="1">
        <w:r w:rsidRPr="006C657F">
          <w:rPr>
            <w:rStyle w:val="Hyperlink"/>
            <w:rFonts w:ascii="Times New Roman" w:eastAsia="Times New Roman" w:hAnsi="Times New Roman" w:cs="Times New Roman"/>
            <w:sz w:val="24"/>
            <w:szCs w:val="24"/>
            <w:lang w:eastAsia="en-IN"/>
          </w:rPr>
          <w:t>https://doi.org/10.3390/DATA4010035</w:t>
        </w:r>
      </w:hyperlink>
      <w:bookmarkEnd w:id="4"/>
    </w:p>
    <w:p w:rsidR="00B575F6" w:rsidRPr="00B575F6" w:rsidRDefault="00CD3331" w:rsidP="006C657F">
      <w:pPr>
        <w:pStyle w:val="NormalWeb"/>
        <w:numPr>
          <w:ilvl w:val="0"/>
          <w:numId w:val="25"/>
        </w:numPr>
        <w:spacing w:before="0" w:beforeAutospacing="0" w:after="0" w:afterAutospacing="0"/>
        <w:ind w:left="1080"/>
        <w:jc w:val="both"/>
        <w:rPr>
          <w:rStyle w:val="url"/>
        </w:rPr>
      </w:pPr>
      <w:bookmarkStart w:id="5" w:name="_Ref219479014"/>
      <w:r w:rsidRPr="00B575F6">
        <w:t xml:space="preserve">Armengol, J. B., Berkov, S., Claveria, L. T., Pigni, N. B., De Andradre, J. P., Martínez, V., Mahrer, C. C., &amp; Meya, F. V. (2011). Chemical and biological aspects of Amaryllidaceae alkaloids. In </w:t>
      </w:r>
      <w:r w:rsidRPr="00B575F6">
        <w:rPr>
          <w:i/>
          <w:iCs/>
        </w:rPr>
        <w:t>Transworld Research Network eBooks</w:t>
      </w:r>
      <w:r w:rsidRPr="00B575F6">
        <w:t xml:space="preserve">. </w:t>
      </w:r>
      <w:hyperlink r:id="rId82" w:history="1">
        <w:r w:rsidR="00B575F6" w:rsidRPr="00B575F6">
          <w:rPr>
            <w:rStyle w:val="Hyperlink"/>
          </w:rPr>
          <w:t>http://diposit.ub.edu/dspace/bitstream/2445/21374/1/259113.pdf</w:t>
        </w:r>
      </w:hyperlink>
    </w:p>
    <w:p w:rsidR="00D50CDA" w:rsidRPr="00B575F6" w:rsidRDefault="00D50CDA" w:rsidP="006C657F">
      <w:pPr>
        <w:pStyle w:val="NormalWeb"/>
        <w:numPr>
          <w:ilvl w:val="0"/>
          <w:numId w:val="25"/>
        </w:numPr>
        <w:spacing w:before="0" w:beforeAutospacing="0" w:after="0" w:afterAutospacing="0"/>
        <w:ind w:left="1080"/>
        <w:jc w:val="both"/>
        <w:rPr>
          <w:rStyle w:val="Hyperlink"/>
          <w:color w:val="auto"/>
          <w:u w:val="none"/>
        </w:rPr>
      </w:pPr>
      <w:r w:rsidRPr="00B575F6">
        <w:t xml:space="preserve">Bavarsad, N. H., Bagheri, S., Kourosh-Arami, M., &amp; Komaki, A. (2023). Aromatherapy for the brain: Lavender’s healing effect on epilepsy, depression, anxiety, migraine, and Alzheimer’s disease: A review article. </w:t>
      </w:r>
      <w:r w:rsidRPr="00B575F6">
        <w:rPr>
          <w:i/>
          <w:iCs/>
        </w:rPr>
        <w:t>Heliyon</w:t>
      </w:r>
      <w:r w:rsidRPr="00B575F6">
        <w:t xml:space="preserve">, </w:t>
      </w:r>
      <w:r w:rsidRPr="00B575F6">
        <w:rPr>
          <w:i/>
          <w:iCs/>
        </w:rPr>
        <w:t>9</w:t>
      </w:r>
      <w:r w:rsidRPr="00B575F6">
        <w:t xml:space="preserve">(8), e18492. </w:t>
      </w:r>
      <w:hyperlink r:id="rId83" w:history="1">
        <w:r w:rsidRPr="00B575F6">
          <w:rPr>
            <w:rStyle w:val="Hyperlink"/>
          </w:rPr>
          <w:t>https://doi.org/10.1016/j.heliyon.2023.e18492</w:t>
        </w:r>
      </w:hyperlink>
      <w:bookmarkEnd w:id="5"/>
    </w:p>
    <w:p w:rsidR="00F23E78" w:rsidRPr="00B575F6" w:rsidRDefault="00F23E78" w:rsidP="006C657F">
      <w:pPr>
        <w:pStyle w:val="NormalWeb"/>
        <w:numPr>
          <w:ilvl w:val="0"/>
          <w:numId w:val="25"/>
        </w:numPr>
        <w:spacing w:before="0" w:beforeAutospacing="0" w:after="0" w:afterAutospacing="0"/>
        <w:ind w:left="1080"/>
        <w:jc w:val="both"/>
      </w:pPr>
      <w:bookmarkStart w:id="6" w:name="_Ref219478215"/>
      <w:r w:rsidRPr="00B575F6">
        <w:t xml:space="preserve">Georgiev, B., Sidjimova, B., &amp; Berkov, S. (2024). Phytochemical and cytotoxic aspects of Amaryllidaceae alkaloids in Galanthus species: a review. </w:t>
      </w:r>
      <w:r w:rsidRPr="00B575F6">
        <w:rPr>
          <w:i/>
          <w:iCs/>
        </w:rPr>
        <w:t>Plants</w:t>
      </w:r>
      <w:r w:rsidRPr="00B575F6">
        <w:t xml:space="preserve">, </w:t>
      </w:r>
      <w:r w:rsidRPr="00B575F6">
        <w:rPr>
          <w:i/>
          <w:iCs/>
        </w:rPr>
        <w:t>13</w:t>
      </w:r>
      <w:r w:rsidRPr="00B575F6">
        <w:t xml:space="preserve">(24), 3577. </w:t>
      </w:r>
      <w:r w:rsidRPr="00B575F6">
        <w:rPr>
          <w:rStyle w:val="url"/>
        </w:rPr>
        <w:t>https://doi.org/10.3390/plants13243577</w:t>
      </w:r>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r w:rsidRPr="006C657F">
        <w:rPr>
          <w:rFonts w:ascii="Times New Roman" w:eastAsia="Times New Roman" w:hAnsi="Times New Roman" w:cs="Times New Roman"/>
          <w:sz w:val="24"/>
          <w:szCs w:val="24"/>
          <w:lang w:eastAsia="en-IN"/>
        </w:rPr>
        <w:t xml:space="preserve">Bharti, N. P., Singh, N. M., &amp; Singh, N. a. K. (2023). Role of Ahiphena (Papaver sominiferum) in modern and ancient treatment. </w:t>
      </w:r>
      <w:r w:rsidRPr="006C657F">
        <w:rPr>
          <w:rFonts w:ascii="Times New Roman" w:eastAsia="Times New Roman" w:hAnsi="Times New Roman" w:cs="Times New Roman"/>
          <w:i/>
          <w:iCs/>
          <w:sz w:val="24"/>
          <w:szCs w:val="24"/>
          <w:lang w:eastAsia="en-IN"/>
        </w:rPr>
        <w:t>Journal of Ayurveda and Integrated Medical Sciences</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8</w:t>
      </w:r>
      <w:r w:rsidRPr="006C657F">
        <w:rPr>
          <w:rFonts w:ascii="Times New Roman" w:eastAsia="Times New Roman" w:hAnsi="Times New Roman" w:cs="Times New Roman"/>
          <w:sz w:val="24"/>
          <w:szCs w:val="24"/>
          <w:lang w:eastAsia="en-IN"/>
        </w:rPr>
        <w:t xml:space="preserve">(10), 164–166. </w:t>
      </w:r>
      <w:hyperlink r:id="rId84" w:history="1">
        <w:r w:rsidRPr="006C657F">
          <w:rPr>
            <w:rStyle w:val="Hyperlink"/>
            <w:rFonts w:ascii="Times New Roman" w:eastAsia="Times New Roman" w:hAnsi="Times New Roman" w:cs="Times New Roman"/>
            <w:sz w:val="24"/>
            <w:szCs w:val="24"/>
            <w:lang w:eastAsia="en-IN"/>
          </w:rPr>
          <w:t>https://doi.org/10.21760/jaims.8.10.25</w:t>
        </w:r>
      </w:hyperlink>
      <w:bookmarkEnd w:id="6"/>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7" w:name="_Ref219478170"/>
      <w:r w:rsidRPr="006C657F">
        <w:rPr>
          <w:rFonts w:ascii="Times New Roman" w:hAnsi="Times New Roman" w:cs="Times New Roman"/>
          <w:sz w:val="24"/>
          <w:szCs w:val="24"/>
        </w:rPr>
        <w:t xml:space="preserve">Callizot, N., Campanari, M., Rouvière, L., Jacquemot, G., Henriques, A., Garayev, E., &amp; Poindron, P. (2021). Huperzia serrata Extract ‘NSP01’ With Neuroprotective Effects-Potential Synergies of Huperzine A and Polyphenols. </w:t>
      </w:r>
      <w:r w:rsidRPr="006C657F">
        <w:rPr>
          <w:rFonts w:ascii="Times New Roman" w:hAnsi="Times New Roman" w:cs="Times New Roman"/>
          <w:i/>
          <w:iCs/>
          <w:sz w:val="24"/>
          <w:szCs w:val="24"/>
        </w:rPr>
        <w:t>Frontiers in Pharmacology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12</w:t>
      </w:r>
      <w:r w:rsidRPr="006C657F">
        <w:rPr>
          <w:rFonts w:ascii="Times New Roman" w:hAnsi="Times New Roman" w:cs="Times New Roman"/>
          <w:sz w:val="24"/>
          <w:szCs w:val="24"/>
        </w:rPr>
        <w:t xml:space="preserve">, 681532. </w:t>
      </w:r>
      <w:hyperlink r:id="rId85" w:history="1">
        <w:r w:rsidRPr="006C657F">
          <w:rPr>
            <w:rStyle w:val="Hyperlink"/>
            <w:rFonts w:ascii="Times New Roman" w:hAnsi="Times New Roman" w:cs="Times New Roman"/>
            <w:sz w:val="24"/>
            <w:szCs w:val="24"/>
          </w:rPr>
          <w:t>https://doi.org/10.3389/fphar.2021.681532</w:t>
        </w:r>
      </w:hyperlink>
      <w:bookmarkEnd w:id="7"/>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sz w:val="24"/>
          <w:szCs w:val="24"/>
        </w:rPr>
      </w:pPr>
      <w:r w:rsidRPr="006C657F">
        <w:rPr>
          <w:rFonts w:ascii="Times New Roman" w:hAnsi="Times New Roman" w:cs="Times New Roman"/>
          <w:sz w:val="24"/>
          <w:szCs w:val="24"/>
        </w:rPr>
        <w:t xml:space="preserve">Cao, Y., Yang, L., &amp; Cheng, H. (2022). Ginkgolide B protects against ischemic stroke via targeting AMPK/PINK1. </w:t>
      </w:r>
      <w:r w:rsidRPr="006C657F">
        <w:rPr>
          <w:rFonts w:ascii="Times New Roman" w:hAnsi="Times New Roman" w:cs="Times New Roman"/>
          <w:i/>
          <w:iCs/>
          <w:sz w:val="24"/>
          <w:szCs w:val="24"/>
        </w:rPr>
        <w:t>Frontiers in Pharmacology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13</w:t>
      </w:r>
      <w:r w:rsidRPr="006C657F">
        <w:rPr>
          <w:rFonts w:ascii="Times New Roman" w:hAnsi="Times New Roman" w:cs="Times New Roman"/>
          <w:sz w:val="24"/>
          <w:szCs w:val="24"/>
        </w:rPr>
        <w:t xml:space="preserve">, 941094. </w:t>
      </w:r>
      <w:hyperlink r:id="rId86" w:history="1">
        <w:r w:rsidRPr="006C657F">
          <w:rPr>
            <w:rStyle w:val="Hyperlink"/>
            <w:rFonts w:ascii="Times New Roman" w:hAnsi="Times New Roman" w:cs="Times New Roman"/>
            <w:sz w:val="24"/>
            <w:szCs w:val="24"/>
          </w:rPr>
          <w:t>https://doi.org/10.3389/fphar.2022.941094</w:t>
        </w:r>
      </w:hyperlink>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8" w:name="_Ref219474990"/>
      <w:r w:rsidRPr="006C657F">
        <w:rPr>
          <w:rFonts w:ascii="Times New Roman" w:hAnsi="Times New Roman" w:cs="Times New Roman"/>
          <w:sz w:val="24"/>
          <w:szCs w:val="24"/>
          <w:shd w:val="clear" w:color="auto" w:fill="FFFFFF"/>
        </w:rPr>
        <w:t>Charlson, F. J., Baxter, A. J., Cheng, H. G., Shidhaye, R., &amp; Whiteford, H. A. (2016). The burden of mental, neurological, and substance use disorders in China and India: a systematic analysis of community representative epidemiological studies. </w:t>
      </w:r>
      <w:r w:rsidRPr="006C657F">
        <w:rPr>
          <w:rFonts w:ascii="Times New Roman" w:hAnsi="Times New Roman" w:cs="Times New Roman"/>
          <w:i/>
          <w:iCs/>
          <w:sz w:val="24"/>
          <w:szCs w:val="24"/>
          <w:shd w:val="clear" w:color="auto" w:fill="FFFFFF"/>
        </w:rPr>
        <w:t>The Lancet</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388</w:t>
      </w:r>
      <w:r w:rsidRPr="006C657F">
        <w:rPr>
          <w:rFonts w:ascii="Times New Roman" w:hAnsi="Times New Roman" w:cs="Times New Roman"/>
          <w:sz w:val="24"/>
          <w:szCs w:val="24"/>
          <w:shd w:val="clear" w:color="auto" w:fill="FFFFFF"/>
        </w:rPr>
        <w:t>(10042), 376-389.</w:t>
      </w:r>
      <w:bookmarkEnd w:id="8"/>
    </w:p>
    <w:p w:rsidR="00FB3C2A" w:rsidRPr="00B575F6" w:rsidRDefault="00FB3C2A" w:rsidP="006C657F">
      <w:pPr>
        <w:pStyle w:val="NormalWeb"/>
        <w:numPr>
          <w:ilvl w:val="0"/>
          <w:numId w:val="25"/>
        </w:numPr>
        <w:spacing w:before="0" w:beforeAutospacing="0" w:after="0" w:afterAutospacing="0"/>
        <w:ind w:left="1080"/>
        <w:jc w:val="both"/>
      </w:pPr>
      <w:bookmarkStart w:id="9" w:name="_Ref219478244"/>
      <w:r w:rsidRPr="00B575F6">
        <w:t xml:space="preserve">Kuo, P., Kuo, T., Damu, A. G., Su, C., Lee, E., Wu, T., Shu, R., Chen, C., Bastow, K. F., Chen, T., &amp; Lee, K. (2006). Physanolide A, a Novel Skeleton Steroid, and Other Cytotoxic Principles from Physalis angulata. </w:t>
      </w:r>
      <w:r w:rsidRPr="00B575F6">
        <w:rPr>
          <w:i/>
          <w:iCs/>
        </w:rPr>
        <w:t>Organic Letters</w:t>
      </w:r>
      <w:r w:rsidRPr="00B575F6">
        <w:t xml:space="preserve">, </w:t>
      </w:r>
      <w:r w:rsidRPr="00B575F6">
        <w:rPr>
          <w:i/>
          <w:iCs/>
        </w:rPr>
        <w:t>8</w:t>
      </w:r>
      <w:r w:rsidRPr="00B575F6">
        <w:t xml:space="preserve">(14), 2953–2956. </w:t>
      </w:r>
      <w:r w:rsidRPr="00B575F6">
        <w:rPr>
          <w:rStyle w:val="url"/>
        </w:rPr>
        <w:t>https://doi.org/10.1021/ol060801s</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hAnsi="Times New Roman" w:cs="Times New Roman"/>
          <w:sz w:val="24"/>
          <w:szCs w:val="24"/>
          <w:shd w:val="clear" w:color="auto" w:fill="FFFFFF"/>
        </w:rPr>
        <w:t>Cheng, Z., Kang, C., Che, S., Su, J., Sun, Q., Ge, T., Guo, Y., Lv, J., Sun, Z., Yang, W., Li, B., Li, X., &amp; Cui, R. (2022). Berberine: A Promising Treatment for Neurodegenerative Diseases. </w:t>
      </w:r>
      <w:r w:rsidRPr="006C657F">
        <w:rPr>
          <w:rFonts w:ascii="Times New Roman" w:hAnsi="Times New Roman" w:cs="Times New Roman"/>
          <w:i/>
          <w:iCs/>
          <w:sz w:val="24"/>
          <w:szCs w:val="24"/>
          <w:shd w:val="clear" w:color="auto" w:fill="FFFFFF"/>
        </w:rPr>
        <w:t>Frontiers in pharmacology</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13</w:t>
      </w:r>
      <w:r w:rsidRPr="006C657F">
        <w:rPr>
          <w:rFonts w:ascii="Times New Roman" w:hAnsi="Times New Roman" w:cs="Times New Roman"/>
          <w:sz w:val="24"/>
          <w:szCs w:val="24"/>
          <w:shd w:val="clear" w:color="auto" w:fill="FFFFFF"/>
        </w:rPr>
        <w:t xml:space="preserve">, 845591. </w:t>
      </w:r>
      <w:hyperlink r:id="rId87" w:history="1">
        <w:r w:rsidRPr="006C657F">
          <w:rPr>
            <w:rStyle w:val="Hyperlink"/>
            <w:rFonts w:ascii="Times New Roman" w:hAnsi="Times New Roman" w:cs="Times New Roman"/>
            <w:sz w:val="24"/>
            <w:szCs w:val="24"/>
            <w:shd w:val="clear" w:color="auto" w:fill="FFFFFF"/>
          </w:rPr>
          <w:t>https://doi.org/10.3389/fphar.2022.845591</w:t>
        </w:r>
      </w:hyperlink>
      <w:bookmarkEnd w:id="9"/>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sz w:val="24"/>
          <w:szCs w:val="24"/>
          <w:shd w:val="clear" w:color="auto" w:fill="FFFFFF"/>
        </w:rPr>
      </w:pPr>
      <w:bookmarkStart w:id="10" w:name="_Ref219478289"/>
      <w:r w:rsidRPr="006C657F">
        <w:rPr>
          <w:rFonts w:ascii="Times New Roman" w:hAnsi="Times New Roman" w:cs="Times New Roman"/>
          <w:sz w:val="24"/>
          <w:szCs w:val="24"/>
          <w:shd w:val="clear" w:color="auto" w:fill="FFFFFF"/>
        </w:rPr>
        <w:t>Chiang, M. C., Tsai, T. Y., &amp; Wang, C. J. (2023). The Potential Benefits of Quercetin for Brain Health: A Review of Anti-Inflammatory and Neuroprotective Mechanisms. </w:t>
      </w:r>
      <w:r w:rsidRPr="006C657F">
        <w:rPr>
          <w:rFonts w:ascii="Times New Roman" w:hAnsi="Times New Roman" w:cs="Times New Roman"/>
          <w:i/>
          <w:iCs/>
          <w:sz w:val="24"/>
          <w:szCs w:val="24"/>
          <w:shd w:val="clear" w:color="auto" w:fill="FFFFFF"/>
        </w:rPr>
        <w:t>International journal of molecular sciences</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24</w:t>
      </w:r>
      <w:r w:rsidRPr="006C657F">
        <w:rPr>
          <w:rFonts w:ascii="Times New Roman" w:hAnsi="Times New Roman" w:cs="Times New Roman"/>
          <w:sz w:val="24"/>
          <w:szCs w:val="24"/>
          <w:shd w:val="clear" w:color="auto" w:fill="FFFFFF"/>
        </w:rPr>
        <w:t xml:space="preserve">(7), 6328. </w:t>
      </w:r>
      <w:hyperlink r:id="rId88" w:history="1">
        <w:r w:rsidRPr="006C657F">
          <w:rPr>
            <w:rStyle w:val="Hyperlink"/>
            <w:rFonts w:ascii="Times New Roman" w:hAnsi="Times New Roman" w:cs="Times New Roman"/>
            <w:sz w:val="24"/>
            <w:szCs w:val="24"/>
            <w:shd w:val="clear" w:color="auto" w:fill="FFFFFF"/>
          </w:rPr>
          <w:t>https://doi.org/10.3390/ijms24076328</w:t>
        </w:r>
      </w:hyperlink>
      <w:bookmarkEnd w:id="10"/>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Chicca, A., Schafroth, M. A., Reynoso-Moreno, I., Erni, R., Petrucci, V., Carreira, E. M., &amp; Gertsch, J. (2018). Uncovering the psychoactivity of a cannabinoid from liverworts associated with a legal high. </w:t>
      </w:r>
      <w:r w:rsidRPr="00B575F6">
        <w:rPr>
          <w:i/>
          <w:iCs/>
        </w:rPr>
        <w:t>Science Advances</w:t>
      </w:r>
      <w:r w:rsidRPr="00B575F6">
        <w:t xml:space="preserve">, </w:t>
      </w:r>
      <w:r w:rsidRPr="00B575F6">
        <w:rPr>
          <w:i/>
          <w:iCs/>
        </w:rPr>
        <w:t>4</w:t>
      </w:r>
      <w:r w:rsidRPr="00B575F6">
        <w:t xml:space="preserve">(10), eaat2166. </w:t>
      </w:r>
      <w:r w:rsidRPr="00B575F6">
        <w:rPr>
          <w:rStyle w:val="url"/>
        </w:rPr>
        <w:t>https://doi.org/10.1126/sciadv.aat2166</w:t>
      </w:r>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11" w:name="_Ref219475998"/>
      <w:r w:rsidRPr="006C657F">
        <w:rPr>
          <w:rFonts w:ascii="Times New Roman" w:hAnsi="Times New Roman" w:cs="Times New Roman"/>
          <w:sz w:val="24"/>
          <w:szCs w:val="24"/>
        </w:rPr>
        <w:t xml:space="preserve">Chowdhury, D., Krishnan, A., Duggal, A., Amarchand, R., Husøy, A., &amp; Steiner, T. J. (2024). Headache prevalence and demographic associations in the Delhi and National Capital Region of India: estimates from a cross-sectional nationwide population-based study. </w:t>
      </w:r>
      <w:r w:rsidRPr="006C657F">
        <w:rPr>
          <w:rFonts w:ascii="Times New Roman" w:hAnsi="Times New Roman" w:cs="Times New Roman"/>
          <w:i/>
          <w:iCs/>
          <w:sz w:val="24"/>
          <w:szCs w:val="24"/>
        </w:rPr>
        <w:t>The Journal of Headache and Pain</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25</w:t>
      </w:r>
      <w:r w:rsidRPr="006C657F">
        <w:rPr>
          <w:rFonts w:ascii="Times New Roman" w:hAnsi="Times New Roman" w:cs="Times New Roman"/>
          <w:sz w:val="24"/>
          <w:szCs w:val="24"/>
        </w:rPr>
        <w:t xml:space="preserve">(1), 108. </w:t>
      </w:r>
      <w:hyperlink r:id="rId89" w:history="1">
        <w:r w:rsidRPr="006C657F">
          <w:rPr>
            <w:rStyle w:val="Hyperlink"/>
            <w:rFonts w:ascii="Times New Roman" w:hAnsi="Times New Roman" w:cs="Times New Roman"/>
            <w:sz w:val="24"/>
            <w:szCs w:val="24"/>
          </w:rPr>
          <w:t>https://doi.org/10.1186/s10194-024-01814-2</w:t>
        </w:r>
      </w:hyperlink>
      <w:bookmarkEnd w:id="11"/>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12" w:name="_Ref219479029"/>
      <w:r w:rsidRPr="006C657F">
        <w:rPr>
          <w:rFonts w:ascii="Times New Roman" w:hAnsi="Times New Roman" w:cs="Times New Roman"/>
          <w:sz w:val="24"/>
          <w:szCs w:val="24"/>
        </w:rPr>
        <w:t xml:space="preserve">De Oliveira Koren, L., Lejeune, V. B. P., Baggio, D. F., Da Luz, F. M. R., &amp; Chichorro, J. G. (2024). Effect of peppermint essential oil (Mentha piperita L.) in migraine-like responses in female rats. </w:t>
      </w:r>
      <w:r w:rsidRPr="006C657F">
        <w:rPr>
          <w:rFonts w:ascii="Times New Roman" w:hAnsi="Times New Roman" w:cs="Times New Roman"/>
          <w:i/>
          <w:iCs/>
          <w:sz w:val="24"/>
          <w:szCs w:val="24"/>
        </w:rPr>
        <w:lastRenderedPageBreak/>
        <w:t>Headache Medicine/Revista Headache Medicine</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15</w:t>
      </w:r>
      <w:r w:rsidRPr="006C657F">
        <w:rPr>
          <w:rFonts w:ascii="Times New Roman" w:hAnsi="Times New Roman" w:cs="Times New Roman"/>
          <w:sz w:val="24"/>
          <w:szCs w:val="24"/>
        </w:rPr>
        <w:t xml:space="preserve">(2), 78–85. </w:t>
      </w:r>
      <w:hyperlink r:id="rId90" w:history="1">
        <w:r w:rsidRPr="006C657F">
          <w:rPr>
            <w:rStyle w:val="Hyperlink"/>
            <w:rFonts w:ascii="Times New Roman" w:hAnsi="Times New Roman" w:cs="Times New Roman"/>
            <w:sz w:val="24"/>
            <w:szCs w:val="24"/>
          </w:rPr>
          <w:t>https://doi.org/10.48208/headachemed.2024.17</w:t>
        </w:r>
      </w:hyperlink>
      <w:bookmarkEnd w:id="12"/>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Dhiman, V., Menon, G. R., Kaur, S., Mishra, A., John, D., Vishnu, M. V. R., Tiwari, R. R., &amp; Dhaliwal, U. S. (2021). A systematic review and meta-analysis of prevalence of epilepsy, dementia, headache, and Parkinson disease in India. </w:t>
      </w:r>
      <w:r w:rsidRPr="00B575F6">
        <w:rPr>
          <w:i/>
          <w:iCs/>
        </w:rPr>
        <w:t>Neurology India</w:t>
      </w:r>
      <w:r w:rsidRPr="00B575F6">
        <w:t xml:space="preserve">, </w:t>
      </w:r>
      <w:r w:rsidRPr="00B575F6">
        <w:rPr>
          <w:i/>
          <w:iCs/>
        </w:rPr>
        <w:t>69</w:t>
      </w:r>
      <w:r w:rsidRPr="00B575F6">
        <w:t xml:space="preserve">(2), 294–301. </w:t>
      </w:r>
      <w:r w:rsidRPr="00B575F6">
        <w:rPr>
          <w:rStyle w:val="url"/>
        </w:rPr>
        <w:t>https://doi.org/10.4103/0028-3886.314588</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bookmarkStart w:id="13" w:name="_Ref219476053"/>
      <w:r w:rsidRPr="006C657F">
        <w:rPr>
          <w:rFonts w:ascii="Times New Roman" w:hAnsi="Times New Roman" w:cs="Times New Roman"/>
          <w:sz w:val="24"/>
          <w:szCs w:val="24"/>
          <w:shd w:val="clear" w:color="auto" w:fill="FFFFFF"/>
        </w:rPr>
        <w:t>Dhiman, V., Menon, G.R., Kaur, S., Mishra, A., John, D., Rao Vishnu, M.V., Tiwari, R.R., &amp; Dhaliwal, R.S. (2021). A Systematic Review and Meta-analysis of Prevalence of Epilepsy, Dementia, Headache, and Parkinson Disease in India. </w:t>
      </w:r>
      <w:r w:rsidRPr="006C657F">
        <w:rPr>
          <w:rStyle w:val="Emphasis"/>
          <w:rFonts w:ascii="Times New Roman" w:hAnsi="Times New Roman" w:cs="Times New Roman"/>
          <w:sz w:val="24"/>
          <w:szCs w:val="24"/>
        </w:rPr>
        <w:t>Neurology India, 69</w:t>
      </w:r>
      <w:r w:rsidRPr="006C657F">
        <w:rPr>
          <w:rFonts w:ascii="Times New Roman" w:hAnsi="Times New Roman" w:cs="Times New Roman"/>
          <w:sz w:val="24"/>
          <w:szCs w:val="24"/>
          <w:shd w:val="clear" w:color="auto" w:fill="FFFFFF"/>
        </w:rPr>
        <w:t>, 294 - 301.</w:t>
      </w:r>
      <w:bookmarkEnd w:id="13"/>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14" w:name="_Ref219479564"/>
      <w:r w:rsidRPr="006C657F">
        <w:rPr>
          <w:rFonts w:ascii="Times New Roman" w:hAnsi="Times New Roman" w:cs="Times New Roman"/>
          <w:sz w:val="24"/>
          <w:szCs w:val="24"/>
        </w:rPr>
        <w:t>Dillon, G. A., Lichter,</w:t>
      </w:r>
      <w:r w:rsidR="00CD3331" w:rsidRPr="006C657F">
        <w:rPr>
          <w:rFonts w:ascii="Times New Roman" w:hAnsi="Times New Roman" w:cs="Times New Roman"/>
          <w:sz w:val="24"/>
          <w:szCs w:val="24"/>
        </w:rPr>
        <w:t xml:space="preserve"> Z. S., &amp; Alexander, L. M. (2022</w:t>
      </w:r>
      <w:r w:rsidRPr="006C657F">
        <w:rPr>
          <w:rFonts w:ascii="Times New Roman" w:hAnsi="Times New Roman" w:cs="Times New Roman"/>
          <w:sz w:val="24"/>
          <w:szCs w:val="24"/>
        </w:rPr>
        <w:t xml:space="preserve">). Menthol-induced activation of TRPM8 receptors increases cutaneous blood flow across the dermatome. </w:t>
      </w:r>
      <w:r w:rsidRPr="006C657F">
        <w:rPr>
          <w:rFonts w:ascii="Times New Roman" w:hAnsi="Times New Roman" w:cs="Times New Roman"/>
          <w:i/>
          <w:iCs/>
          <w:sz w:val="24"/>
          <w:szCs w:val="24"/>
        </w:rPr>
        <w:t>Microvascular Research</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139</w:t>
      </w:r>
      <w:r w:rsidRPr="006C657F">
        <w:rPr>
          <w:rFonts w:ascii="Times New Roman" w:hAnsi="Times New Roman" w:cs="Times New Roman"/>
          <w:sz w:val="24"/>
          <w:szCs w:val="24"/>
        </w:rPr>
        <w:t xml:space="preserve">, 104271. </w:t>
      </w:r>
      <w:hyperlink r:id="rId91" w:history="1">
        <w:r w:rsidRPr="006C657F">
          <w:rPr>
            <w:rStyle w:val="Hyperlink"/>
            <w:rFonts w:ascii="Times New Roman" w:hAnsi="Times New Roman" w:cs="Times New Roman"/>
            <w:sz w:val="24"/>
            <w:szCs w:val="24"/>
          </w:rPr>
          <w:t>https://doi.org/10.1016/j.mvr.2021.104271</w:t>
        </w:r>
      </w:hyperlink>
      <w:bookmarkEnd w:id="14"/>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Eraiah, M. M., Shekhar, H. C., Joshua, L., &amp; Thomas, J. V. (2024). Effect of Bacopa monnieri Extract on Memory and Cognitive Skills in Adult Humans: A Randomized, Double-Blind, Placebo-Controlled Study. </w:t>
      </w:r>
      <w:r w:rsidRPr="00B575F6">
        <w:rPr>
          <w:i/>
          <w:iCs/>
        </w:rPr>
        <w:t>Journal of Psychiatry and Cognitive Behaviour</w:t>
      </w:r>
      <w:r w:rsidRPr="00B575F6">
        <w:t xml:space="preserve">, </w:t>
      </w:r>
      <w:r w:rsidRPr="00B575F6">
        <w:rPr>
          <w:i/>
          <w:iCs/>
        </w:rPr>
        <w:t>8</w:t>
      </w:r>
      <w:r w:rsidRPr="00B575F6">
        <w:t xml:space="preserve">(1). </w:t>
      </w:r>
      <w:r w:rsidRPr="00B575F6">
        <w:rPr>
          <w:rStyle w:val="url"/>
        </w:rPr>
        <w:t>https://doi.org/10.29011/2574-7762.000068</w:t>
      </w:r>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Fan, F., &amp; Lei, M. (2022). Mechanisms underlying Curcumin-Induced neuroprotection in cerebral ischemia. </w:t>
      </w:r>
      <w:r w:rsidRPr="00B575F6">
        <w:rPr>
          <w:i/>
          <w:iCs/>
        </w:rPr>
        <w:t>Frontiers in Pharmacology</w:t>
      </w:r>
      <w:r w:rsidRPr="00B575F6">
        <w:t xml:space="preserve">, </w:t>
      </w:r>
      <w:r w:rsidRPr="00B575F6">
        <w:rPr>
          <w:i/>
          <w:iCs/>
        </w:rPr>
        <w:t>13</w:t>
      </w:r>
      <w:r w:rsidRPr="00B575F6">
        <w:t xml:space="preserve">, 893118. </w:t>
      </w:r>
      <w:r w:rsidRPr="00B575F6">
        <w:rPr>
          <w:rStyle w:val="url"/>
        </w:rPr>
        <w:t>https://doi.org/10.3389/fphar.2022.893118</w:t>
      </w:r>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Farkhondeh, T., Samarghandian, S., Roshanravan, B., &amp; Peivasteh-Roudsari, L. (2019). Impact of curcumin on traumatic brain injury and involved molecular signaling pathways. </w:t>
      </w:r>
      <w:r w:rsidRPr="00B575F6">
        <w:rPr>
          <w:i/>
          <w:iCs/>
        </w:rPr>
        <w:t>Recent Patents on Food Nutrition &amp; Agriculture</w:t>
      </w:r>
      <w:r w:rsidRPr="00B575F6">
        <w:t xml:space="preserve">, </w:t>
      </w:r>
      <w:r w:rsidRPr="00B575F6">
        <w:rPr>
          <w:i/>
          <w:iCs/>
        </w:rPr>
        <w:t>11</w:t>
      </w:r>
      <w:r w:rsidRPr="00B575F6">
        <w:t xml:space="preserve">(2), 137–144. </w:t>
      </w:r>
      <w:r w:rsidRPr="00B575F6">
        <w:rPr>
          <w:rStyle w:val="url"/>
        </w:rPr>
        <w:t>https://doi.org/10.2174/2212798410666190617161523</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color w:val="000000" w:themeColor="text1"/>
          <w:sz w:val="24"/>
          <w:szCs w:val="24"/>
          <w:shd w:val="clear" w:color="auto" w:fill="FFFFFF"/>
        </w:rPr>
      </w:pPr>
      <w:bookmarkStart w:id="15" w:name="_Ref219475399"/>
      <w:r w:rsidRPr="006C657F">
        <w:rPr>
          <w:rFonts w:ascii="Times New Roman" w:eastAsia="Times New Roman" w:hAnsi="Times New Roman" w:cs="Times New Roman"/>
          <w:color w:val="000000" w:themeColor="text1"/>
          <w:sz w:val="24"/>
          <w:szCs w:val="24"/>
          <w:lang w:eastAsia="en-IN"/>
        </w:rPr>
        <w:t>Feigin, V. L., Nichols, E., Alam, T., Bannick, M. S., Beghi, E., Blake, N., Culpepper, W. J., Dorsey, E. R., Elbaz, A., Ellenbogen, R. G., Fisher, J. L., Fitzmaurice, C., Giussani, G., Glennie, L., James, S. L., Johnson, C. O., Kassebaum, N. J., Logroscino, G., Marin, B., . . . Car, M. (2019). Global, regional, and national burden of neurological disorders, 1990–2016: a systematic analysis for the Global Burden of Disease Study 2016. </w:t>
      </w:r>
      <w:r w:rsidRPr="006C657F">
        <w:rPr>
          <w:rFonts w:ascii="Times New Roman" w:eastAsia="Times New Roman" w:hAnsi="Times New Roman" w:cs="Times New Roman"/>
          <w:i/>
          <w:iCs/>
          <w:color w:val="000000" w:themeColor="text1"/>
          <w:sz w:val="24"/>
          <w:szCs w:val="24"/>
          <w:bdr w:val="single" w:sz="2" w:space="0" w:color="ECEDEE" w:frame="1"/>
          <w:lang w:eastAsia="en-IN"/>
        </w:rPr>
        <w:t>The Lancet Neurology</w:t>
      </w:r>
      <w:r w:rsidRPr="006C657F">
        <w:rPr>
          <w:rFonts w:ascii="Times New Roman" w:eastAsia="Times New Roman" w:hAnsi="Times New Roman" w:cs="Times New Roman"/>
          <w:color w:val="000000" w:themeColor="text1"/>
          <w:sz w:val="24"/>
          <w:szCs w:val="24"/>
          <w:lang w:eastAsia="en-IN"/>
        </w:rPr>
        <w:t>, </w:t>
      </w:r>
      <w:r w:rsidRPr="006C657F">
        <w:rPr>
          <w:rFonts w:ascii="Times New Roman" w:eastAsia="Times New Roman" w:hAnsi="Times New Roman" w:cs="Times New Roman"/>
          <w:i/>
          <w:iCs/>
          <w:color w:val="000000" w:themeColor="text1"/>
          <w:sz w:val="24"/>
          <w:szCs w:val="24"/>
          <w:bdr w:val="single" w:sz="2" w:space="0" w:color="ECEDEE" w:frame="1"/>
          <w:lang w:eastAsia="en-IN"/>
        </w:rPr>
        <w:t>18</w:t>
      </w:r>
      <w:r w:rsidRPr="006C657F">
        <w:rPr>
          <w:rFonts w:ascii="Times New Roman" w:eastAsia="Times New Roman" w:hAnsi="Times New Roman" w:cs="Times New Roman"/>
          <w:color w:val="000000" w:themeColor="text1"/>
          <w:sz w:val="24"/>
          <w:szCs w:val="24"/>
          <w:lang w:eastAsia="en-IN"/>
        </w:rPr>
        <w:t>(5), 459–480. </w:t>
      </w:r>
      <w:hyperlink r:id="rId92" w:history="1">
        <w:r w:rsidRPr="006C657F">
          <w:rPr>
            <w:rStyle w:val="Hyperlink"/>
            <w:rFonts w:ascii="Times New Roman" w:eastAsia="Times New Roman" w:hAnsi="Times New Roman" w:cs="Times New Roman"/>
            <w:sz w:val="24"/>
            <w:szCs w:val="24"/>
            <w:bdr w:val="single" w:sz="2" w:space="0" w:color="ECEDEE" w:frame="1"/>
            <w:lang w:eastAsia="en-IN"/>
          </w:rPr>
          <w:t>https://doi.org/10.1016/s1474-4422(18)30499-x</w:t>
        </w:r>
      </w:hyperlink>
      <w:bookmarkEnd w:id="15"/>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color w:val="000000" w:themeColor="text1"/>
          <w:sz w:val="24"/>
          <w:szCs w:val="24"/>
          <w:shd w:val="clear" w:color="auto" w:fill="FFFFFF"/>
        </w:rPr>
      </w:pPr>
      <w:bookmarkStart w:id="16" w:name="_Ref219476177"/>
      <w:r w:rsidRPr="006C657F">
        <w:rPr>
          <w:rFonts w:ascii="Times New Roman" w:hAnsi="Times New Roman" w:cs="Times New Roman"/>
          <w:color w:val="000000" w:themeColor="text1"/>
          <w:sz w:val="24"/>
          <w:szCs w:val="24"/>
          <w:shd w:val="clear" w:color="auto" w:fill="FFFFFF"/>
        </w:rPr>
        <w:t>Feigin, V. L., Stark, B. A., Johnson, C. O., Roth, G. A., Bisignano, C., Abady, G. G., ... &amp; Hamidi, S. (2021). Global, regional, and national burden of stroke and its risk factors, 1990–2019: a systematic analysis for the Global Burden of Disease Study 2019. </w:t>
      </w:r>
      <w:r w:rsidRPr="006C657F">
        <w:rPr>
          <w:rFonts w:ascii="Times New Roman" w:hAnsi="Times New Roman" w:cs="Times New Roman"/>
          <w:i/>
          <w:iCs/>
          <w:color w:val="000000" w:themeColor="text1"/>
          <w:sz w:val="24"/>
          <w:szCs w:val="24"/>
          <w:shd w:val="clear" w:color="auto" w:fill="FFFFFF"/>
        </w:rPr>
        <w:t>The Lancet Neurology</w:t>
      </w:r>
      <w:r w:rsidRPr="006C657F">
        <w:rPr>
          <w:rFonts w:ascii="Times New Roman" w:hAnsi="Times New Roman" w:cs="Times New Roman"/>
          <w:color w:val="000000" w:themeColor="text1"/>
          <w:sz w:val="24"/>
          <w:szCs w:val="24"/>
          <w:shd w:val="clear" w:color="auto" w:fill="FFFFFF"/>
        </w:rPr>
        <w:t>, </w:t>
      </w:r>
      <w:r w:rsidRPr="006C657F">
        <w:rPr>
          <w:rFonts w:ascii="Times New Roman" w:hAnsi="Times New Roman" w:cs="Times New Roman"/>
          <w:i/>
          <w:iCs/>
          <w:color w:val="000000" w:themeColor="text1"/>
          <w:sz w:val="24"/>
          <w:szCs w:val="24"/>
          <w:shd w:val="clear" w:color="auto" w:fill="FFFFFF"/>
        </w:rPr>
        <w:t>20</w:t>
      </w:r>
      <w:r w:rsidRPr="006C657F">
        <w:rPr>
          <w:rFonts w:ascii="Times New Roman" w:hAnsi="Times New Roman" w:cs="Times New Roman"/>
          <w:color w:val="000000" w:themeColor="text1"/>
          <w:sz w:val="24"/>
          <w:szCs w:val="24"/>
          <w:shd w:val="clear" w:color="auto" w:fill="FFFFFF"/>
        </w:rPr>
        <w:t>(10), 795-820.</w:t>
      </w:r>
      <w:bookmarkEnd w:id="16"/>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color w:val="000000" w:themeColor="text1"/>
          <w:sz w:val="24"/>
          <w:szCs w:val="24"/>
          <w:shd w:val="clear" w:color="auto" w:fill="FFFFFF"/>
        </w:rPr>
      </w:pPr>
      <w:bookmarkStart w:id="17" w:name="_Ref219478890"/>
      <w:r w:rsidRPr="006C657F">
        <w:rPr>
          <w:rFonts w:ascii="Times New Roman" w:eastAsia="Times New Roman" w:hAnsi="Times New Roman" w:cs="Times New Roman"/>
          <w:sz w:val="24"/>
          <w:szCs w:val="24"/>
          <w:lang w:eastAsia="en-IN"/>
        </w:rPr>
        <w:t>Feng, H., Xue, M., Deng, H., Cheng, S., Hu, Y., &amp; Zhou, C. (2022). Ginsenoside and Its Therapeutic Potential for Cognitive Impairment. </w:t>
      </w:r>
      <w:r w:rsidRPr="006C657F">
        <w:rPr>
          <w:rFonts w:ascii="Times New Roman" w:eastAsia="Times New Roman" w:hAnsi="Times New Roman" w:cs="Times New Roman"/>
          <w:i/>
          <w:iCs/>
          <w:sz w:val="24"/>
          <w:szCs w:val="24"/>
          <w:lang w:eastAsia="en-IN"/>
        </w:rPr>
        <w:t>Biomolecules</w:t>
      </w:r>
      <w:r w:rsidRPr="006C657F">
        <w:rPr>
          <w:rFonts w:ascii="Times New Roman" w:eastAsia="Times New Roman" w:hAnsi="Times New Roman" w:cs="Times New Roman"/>
          <w:sz w:val="24"/>
          <w:szCs w:val="24"/>
          <w:lang w:eastAsia="en-IN"/>
        </w:rPr>
        <w:t>, </w:t>
      </w:r>
      <w:r w:rsidRPr="006C657F">
        <w:rPr>
          <w:rFonts w:ascii="Times New Roman" w:eastAsia="Times New Roman" w:hAnsi="Times New Roman" w:cs="Times New Roman"/>
          <w:i/>
          <w:iCs/>
          <w:sz w:val="24"/>
          <w:szCs w:val="24"/>
          <w:lang w:eastAsia="en-IN"/>
        </w:rPr>
        <w:t>12</w:t>
      </w:r>
      <w:r w:rsidRPr="006C657F">
        <w:rPr>
          <w:rFonts w:ascii="Times New Roman" w:eastAsia="Times New Roman" w:hAnsi="Times New Roman" w:cs="Times New Roman"/>
          <w:sz w:val="24"/>
          <w:szCs w:val="24"/>
          <w:lang w:eastAsia="en-IN"/>
        </w:rPr>
        <w:t xml:space="preserve">(9), 1310. </w:t>
      </w:r>
      <w:hyperlink r:id="rId93" w:history="1">
        <w:r w:rsidRPr="006C657F">
          <w:rPr>
            <w:rStyle w:val="Hyperlink"/>
            <w:rFonts w:ascii="Times New Roman" w:hAnsi="Times New Roman" w:cs="Times New Roman"/>
            <w:sz w:val="24"/>
            <w:szCs w:val="24"/>
            <w:shd w:val="clear" w:color="auto" w:fill="FFFFFF"/>
          </w:rPr>
          <w:t>https://doi.org/10.3390/biom12091310</w:t>
        </w:r>
      </w:hyperlink>
      <w:bookmarkEnd w:id="17"/>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color w:val="222222"/>
          <w:sz w:val="24"/>
          <w:szCs w:val="24"/>
          <w:shd w:val="clear" w:color="auto" w:fill="FFFFFF"/>
        </w:rPr>
      </w:pPr>
      <w:bookmarkStart w:id="18" w:name="_Ref219474950"/>
      <w:r w:rsidRPr="006C657F">
        <w:rPr>
          <w:rFonts w:ascii="Times New Roman" w:eastAsia="Times New Roman" w:hAnsi="Times New Roman" w:cs="Times New Roman"/>
          <w:sz w:val="24"/>
          <w:szCs w:val="24"/>
          <w:lang w:eastAsia="en-IN"/>
        </w:rPr>
        <w:t>Ferrari, A. J., Santomauro, D. F., Aali, A., Abate, Y. H., Abbafati, C., Abbastabar, H., ElHafeez, S. A., Abdelmasseh, M., Abd-Elsalam, S., Abdollahi, A., Abdullahi, A., Abegaz, K. H., Zuñiga, R. a. A., Aboagye, R. G., Abolhassani, H., Abreu, L. G., Abualruz, H., Abu-Gharbieh, E., Abu-Rmeileh, N. M., . . . Murray, C. J. L. (2024). Global incidence, prevalence, years lived with disability (YLDs), disability-adjusted life-years (DALYs), and healthy life expectancy (HALE) for 371 diseases and injuries in 204 countries and territories and 811 subnational locations, 1990–2021: a systematic analysis for the Global Burden of Disease Study 2021. </w:t>
      </w:r>
      <w:r w:rsidRPr="006C657F">
        <w:rPr>
          <w:rFonts w:ascii="Times New Roman" w:eastAsia="Times New Roman" w:hAnsi="Times New Roman" w:cs="Times New Roman"/>
          <w:i/>
          <w:iCs/>
          <w:sz w:val="24"/>
          <w:szCs w:val="24"/>
          <w:bdr w:val="single" w:sz="2" w:space="0" w:color="ECEDEE" w:frame="1"/>
          <w:lang w:eastAsia="en-IN"/>
        </w:rPr>
        <w:t>The Lancet</w:t>
      </w:r>
      <w:r w:rsidRPr="006C657F">
        <w:rPr>
          <w:rFonts w:ascii="Times New Roman" w:eastAsia="Times New Roman" w:hAnsi="Times New Roman" w:cs="Times New Roman"/>
          <w:sz w:val="24"/>
          <w:szCs w:val="24"/>
          <w:lang w:eastAsia="en-IN"/>
        </w:rPr>
        <w:t>, </w:t>
      </w:r>
      <w:r w:rsidRPr="006C657F">
        <w:rPr>
          <w:rFonts w:ascii="Times New Roman" w:eastAsia="Times New Roman" w:hAnsi="Times New Roman" w:cs="Times New Roman"/>
          <w:i/>
          <w:iCs/>
          <w:sz w:val="24"/>
          <w:szCs w:val="24"/>
          <w:bdr w:val="single" w:sz="2" w:space="0" w:color="ECEDEE" w:frame="1"/>
          <w:lang w:eastAsia="en-IN"/>
        </w:rPr>
        <w:t>403</w:t>
      </w:r>
      <w:r w:rsidRPr="006C657F">
        <w:rPr>
          <w:rFonts w:ascii="Times New Roman" w:eastAsia="Times New Roman" w:hAnsi="Times New Roman" w:cs="Times New Roman"/>
          <w:sz w:val="24"/>
          <w:szCs w:val="24"/>
          <w:lang w:eastAsia="en-IN"/>
        </w:rPr>
        <w:t>(10440), 2133–2161.</w:t>
      </w:r>
      <w:bookmarkEnd w:id="18"/>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19" w:name="_Ref219486058"/>
      <w:r w:rsidRPr="006C657F">
        <w:rPr>
          <w:rFonts w:ascii="Times New Roman" w:eastAsia="Times New Roman" w:hAnsi="Times New Roman" w:cs="Times New Roman"/>
          <w:sz w:val="24"/>
          <w:szCs w:val="24"/>
          <w:lang w:eastAsia="en-IN"/>
        </w:rPr>
        <w:t xml:space="preserve">Fraser, P. D., &amp; Bramley, P. M. (2004). The biosynthesis and nutritional uses of carotenoids. </w:t>
      </w:r>
      <w:r w:rsidRPr="006C657F">
        <w:rPr>
          <w:rFonts w:ascii="Times New Roman" w:eastAsia="Times New Roman" w:hAnsi="Times New Roman" w:cs="Times New Roman"/>
          <w:i/>
          <w:iCs/>
          <w:sz w:val="24"/>
          <w:szCs w:val="24"/>
          <w:lang w:eastAsia="en-IN"/>
        </w:rPr>
        <w:t>Progress in Lipid Research, 43</w:t>
      </w:r>
      <w:r w:rsidRPr="006C657F">
        <w:rPr>
          <w:rFonts w:ascii="Times New Roman" w:eastAsia="Times New Roman" w:hAnsi="Times New Roman" w:cs="Times New Roman"/>
          <w:sz w:val="24"/>
          <w:szCs w:val="24"/>
          <w:lang w:eastAsia="en-IN"/>
        </w:rPr>
        <w:t>(3), 228–265.</w:t>
      </w:r>
      <w:bookmarkEnd w:id="19"/>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Fu, P., Guo, X., Cheung, F. M. H., &amp; Yung, K. K. L. (2018). The association between PM2.5 exposure and neurological disorders: A systematic review and meta-analysis. </w:t>
      </w:r>
      <w:r w:rsidRPr="00B575F6">
        <w:rPr>
          <w:i/>
          <w:iCs/>
        </w:rPr>
        <w:t>The Science of the Total Environment</w:t>
      </w:r>
      <w:r w:rsidRPr="00B575F6">
        <w:t xml:space="preserve">, </w:t>
      </w:r>
      <w:r w:rsidRPr="00B575F6">
        <w:rPr>
          <w:i/>
          <w:iCs/>
        </w:rPr>
        <w:t>655</w:t>
      </w:r>
      <w:r w:rsidRPr="00B575F6">
        <w:t xml:space="preserve">, 1240–1248. </w:t>
      </w:r>
      <w:r w:rsidRPr="00B575F6">
        <w:rPr>
          <w:rStyle w:val="url"/>
        </w:rPr>
        <w:t>https://doi.org/10.1016/j.scitotenv.2018.11.218</w:t>
      </w:r>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20" w:name="_Ref219479049"/>
      <w:r w:rsidRPr="006C657F">
        <w:rPr>
          <w:rFonts w:ascii="Times New Roman" w:hAnsi="Times New Roman" w:cs="Times New Roman"/>
          <w:sz w:val="24"/>
          <w:szCs w:val="24"/>
        </w:rPr>
        <w:t xml:space="preserve">Gago, C., Serralheiro, A., &amp; Da Graça Miguel, M. (2025). Anti-Inflammatory activity of thymol and Thymol-Rich essential oils: mechanisms, applications, and recent findings. </w:t>
      </w:r>
      <w:r w:rsidRPr="006C657F">
        <w:rPr>
          <w:rFonts w:ascii="Times New Roman" w:hAnsi="Times New Roman" w:cs="Times New Roman"/>
          <w:i/>
          <w:iCs/>
          <w:sz w:val="24"/>
          <w:szCs w:val="24"/>
        </w:rPr>
        <w:t>Molecules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30</w:t>
      </w:r>
      <w:r w:rsidRPr="006C657F">
        <w:rPr>
          <w:rFonts w:ascii="Times New Roman" w:hAnsi="Times New Roman" w:cs="Times New Roman"/>
          <w:sz w:val="24"/>
          <w:szCs w:val="24"/>
        </w:rPr>
        <w:t xml:space="preserve">(11), 2450. </w:t>
      </w:r>
      <w:hyperlink r:id="rId94" w:history="1">
        <w:r w:rsidRPr="006C657F">
          <w:rPr>
            <w:rStyle w:val="Hyperlink"/>
            <w:rFonts w:ascii="Times New Roman" w:hAnsi="Times New Roman" w:cs="Times New Roman"/>
            <w:sz w:val="24"/>
            <w:szCs w:val="24"/>
          </w:rPr>
          <w:t>https://doi.org/10.3390/molecules30112450</w:t>
        </w:r>
      </w:hyperlink>
      <w:bookmarkEnd w:id="20"/>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21" w:name="_Ref219477798"/>
      <w:r w:rsidRPr="006C657F">
        <w:rPr>
          <w:rFonts w:ascii="Times New Roman" w:eastAsia="Times New Roman" w:hAnsi="Times New Roman" w:cs="Times New Roman"/>
          <w:sz w:val="24"/>
          <w:szCs w:val="24"/>
          <w:lang w:eastAsia="en-IN"/>
        </w:rPr>
        <w:t xml:space="preserve">Garodia, P., Hegde, M., Kunnumakkara, A. B., &amp; Aggarwal, B. B. (2023). Curcumin, inflammation, and neurological disorders: How are they linked? </w:t>
      </w:r>
      <w:r w:rsidRPr="006C657F">
        <w:rPr>
          <w:rFonts w:ascii="Times New Roman" w:eastAsia="Times New Roman" w:hAnsi="Times New Roman" w:cs="Times New Roman"/>
          <w:i/>
          <w:iCs/>
          <w:sz w:val="24"/>
          <w:szCs w:val="24"/>
          <w:lang w:eastAsia="en-IN"/>
        </w:rPr>
        <w:t>Integrative Medicine Research</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12</w:t>
      </w:r>
      <w:r w:rsidRPr="006C657F">
        <w:rPr>
          <w:rFonts w:ascii="Times New Roman" w:eastAsia="Times New Roman" w:hAnsi="Times New Roman" w:cs="Times New Roman"/>
          <w:sz w:val="24"/>
          <w:szCs w:val="24"/>
          <w:lang w:eastAsia="en-IN"/>
        </w:rPr>
        <w:t xml:space="preserve">(3), 100968. </w:t>
      </w:r>
      <w:hyperlink r:id="rId95" w:history="1">
        <w:r w:rsidRPr="006C657F">
          <w:rPr>
            <w:rStyle w:val="Hyperlink"/>
            <w:rFonts w:ascii="Times New Roman" w:eastAsia="Times New Roman" w:hAnsi="Times New Roman" w:cs="Times New Roman"/>
            <w:sz w:val="24"/>
            <w:szCs w:val="24"/>
            <w:lang w:eastAsia="en-IN"/>
          </w:rPr>
          <w:t>https://doi.org/10.1016/j.imr.2023.100968</w:t>
        </w:r>
      </w:hyperlink>
      <w:bookmarkEnd w:id="21"/>
    </w:p>
    <w:p w:rsidR="00D50CDA" w:rsidRPr="00B575F6" w:rsidRDefault="00D50CDA" w:rsidP="006C657F">
      <w:pPr>
        <w:pStyle w:val="NormalWeb"/>
        <w:numPr>
          <w:ilvl w:val="0"/>
          <w:numId w:val="25"/>
        </w:numPr>
        <w:spacing w:before="0" w:beforeAutospacing="0" w:after="0" w:afterAutospacing="0"/>
        <w:ind w:left="1080"/>
        <w:jc w:val="both"/>
      </w:pPr>
      <w:r w:rsidRPr="00B575F6">
        <w:lastRenderedPageBreak/>
        <w:t xml:space="preserve">Gawrysz, Ż., Cholewa, Z., Derewjanko, S., Gaik, J., Woźniak, J., &amp; Capar, K. (2025). Curcumin as a neuroprotective agent: mechanisms and therapeutic potential in neurodegenerative diseases, acute brain injuries, and neuroinflammation. A review of the literature. </w:t>
      </w:r>
      <w:r w:rsidRPr="00B575F6">
        <w:rPr>
          <w:i/>
          <w:iCs/>
        </w:rPr>
        <w:t>Medical Science</w:t>
      </w:r>
      <w:r w:rsidRPr="00B575F6">
        <w:t xml:space="preserve">, </w:t>
      </w:r>
      <w:r w:rsidRPr="00B575F6">
        <w:rPr>
          <w:i/>
          <w:iCs/>
        </w:rPr>
        <w:t>29</w:t>
      </w:r>
      <w:r w:rsidRPr="00B575F6">
        <w:t xml:space="preserve">(163), 1–9. </w:t>
      </w:r>
      <w:r w:rsidRPr="00B575F6">
        <w:rPr>
          <w:rStyle w:val="url"/>
        </w:rPr>
        <w:t>https://doi.org/10.54905/disssi.v29i163.e174ms3680</w:t>
      </w:r>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r w:rsidRPr="006C657F">
        <w:rPr>
          <w:rFonts w:ascii="Times New Roman" w:eastAsia="Times New Roman" w:hAnsi="Times New Roman" w:cs="Times New Roman"/>
          <w:sz w:val="24"/>
          <w:szCs w:val="24"/>
          <w:lang w:eastAsia="en-IN"/>
        </w:rPr>
        <w:t xml:space="preserve">Genchi, G., Lauria, G., Catalano, A., Carocci, A., &amp; Sinicropi, M. S. (2024). Neuroprotective effects of curcumin in neurodegenerative diseases. </w:t>
      </w:r>
      <w:r w:rsidRPr="006C657F">
        <w:rPr>
          <w:rFonts w:ascii="Times New Roman" w:eastAsia="Times New Roman" w:hAnsi="Times New Roman" w:cs="Times New Roman"/>
          <w:i/>
          <w:iCs/>
          <w:sz w:val="24"/>
          <w:szCs w:val="24"/>
          <w:lang w:eastAsia="en-IN"/>
        </w:rPr>
        <w:t>Foods</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13</w:t>
      </w:r>
      <w:r w:rsidRPr="006C657F">
        <w:rPr>
          <w:rFonts w:ascii="Times New Roman" w:eastAsia="Times New Roman" w:hAnsi="Times New Roman" w:cs="Times New Roman"/>
          <w:sz w:val="24"/>
          <w:szCs w:val="24"/>
          <w:lang w:eastAsia="en-IN"/>
        </w:rPr>
        <w:t xml:space="preserve">(11), 1774. </w:t>
      </w:r>
      <w:hyperlink r:id="rId96" w:history="1">
        <w:r w:rsidRPr="006C657F">
          <w:rPr>
            <w:rStyle w:val="Hyperlink"/>
            <w:rFonts w:ascii="Times New Roman" w:eastAsia="Times New Roman" w:hAnsi="Times New Roman" w:cs="Times New Roman"/>
            <w:sz w:val="24"/>
            <w:szCs w:val="24"/>
            <w:lang w:eastAsia="en-IN"/>
          </w:rPr>
          <w:t>https://doi.org/10.3390/foods13111774</w:t>
        </w:r>
      </w:hyperlink>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color w:val="0000FF"/>
          <w:sz w:val="24"/>
          <w:szCs w:val="24"/>
          <w:u w:val="single"/>
          <w:lang w:eastAsia="en-IN"/>
        </w:rPr>
      </w:pPr>
      <w:r w:rsidRPr="006C657F">
        <w:rPr>
          <w:rFonts w:ascii="Times New Roman" w:eastAsia="Times New Roman" w:hAnsi="Times New Roman" w:cs="Times New Roman"/>
          <w:sz w:val="24"/>
          <w:szCs w:val="24"/>
          <w:lang w:eastAsia="en-IN"/>
        </w:rPr>
        <w:t xml:space="preserve">Gościniak, A., Stasiłowicz-Krzemień, A., Szeląg, M., Pawlak, J., Skiera, I., Kwiatkowska, H., Nowak, N., Bernady, K., Trzaskoma, P., Zimak-Krótkopad, O., &amp; Cielecka-Piontek, J. (2025). Bacopa monnieri: Preclinical and Clinical Evidence of Neuroactive Effects, Safety of Use and the Search for Improved Bioavailability. Nutrients, 17(11), 1939. </w:t>
      </w:r>
      <w:hyperlink r:id="rId97" w:history="1">
        <w:r w:rsidRPr="006C657F">
          <w:rPr>
            <w:rStyle w:val="Hyperlink"/>
            <w:rFonts w:ascii="Times New Roman" w:eastAsia="Times New Roman" w:hAnsi="Times New Roman" w:cs="Times New Roman"/>
            <w:sz w:val="24"/>
            <w:szCs w:val="24"/>
            <w:lang w:eastAsia="en-IN"/>
          </w:rPr>
          <w:t>https://doi.org/10.3390/nu17111939</w:t>
        </w:r>
      </w:hyperlink>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color w:val="0000FF"/>
          <w:sz w:val="24"/>
          <w:szCs w:val="24"/>
          <w:u w:val="single"/>
          <w:lang w:eastAsia="en-IN"/>
        </w:rPr>
      </w:pPr>
      <w:bookmarkStart w:id="22" w:name="_Ref219475026"/>
      <w:r w:rsidRPr="006C657F">
        <w:rPr>
          <w:rFonts w:ascii="Times New Roman" w:hAnsi="Times New Roman" w:cs="Times New Roman"/>
          <w:sz w:val="24"/>
          <w:szCs w:val="24"/>
        </w:rPr>
        <w:t xml:space="preserve">Gourie-Devi, M. (2014). Epidemiology of neurological disorders in India: Review of background, prevalence and incidence of epilepsy, stroke, Parkinson′s disease and tremors. </w:t>
      </w:r>
      <w:r w:rsidRPr="006C657F">
        <w:rPr>
          <w:rFonts w:ascii="Times New Roman" w:hAnsi="Times New Roman" w:cs="Times New Roman"/>
          <w:i/>
          <w:iCs/>
          <w:sz w:val="24"/>
          <w:szCs w:val="24"/>
        </w:rPr>
        <w:t>Neurology India</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62</w:t>
      </w:r>
      <w:r w:rsidRPr="006C657F">
        <w:rPr>
          <w:rFonts w:ascii="Times New Roman" w:hAnsi="Times New Roman" w:cs="Times New Roman"/>
          <w:sz w:val="24"/>
          <w:szCs w:val="24"/>
        </w:rPr>
        <w:t xml:space="preserve">(6), 588. </w:t>
      </w:r>
      <w:hyperlink r:id="rId98" w:history="1">
        <w:r w:rsidRPr="006C657F">
          <w:rPr>
            <w:rStyle w:val="Hyperlink"/>
            <w:rFonts w:ascii="Times New Roman" w:hAnsi="Times New Roman" w:cs="Times New Roman"/>
            <w:sz w:val="24"/>
            <w:szCs w:val="24"/>
          </w:rPr>
          <w:t>https://doi.org/10.4103/0028-3886.149365</w:t>
        </w:r>
      </w:hyperlink>
      <w:bookmarkEnd w:id="22"/>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color w:val="0000FF"/>
          <w:sz w:val="24"/>
          <w:szCs w:val="24"/>
          <w:u w:val="single"/>
          <w:lang w:eastAsia="en-IN"/>
        </w:rPr>
      </w:pPr>
      <w:bookmarkStart w:id="23" w:name="_Ref219475484"/>
      <w:r w:rsidRPr="006C657F">
        <w:rPr>
          <w:rFonts w:ascii="Times New Roman" w:hAnsi="Times New Roman" w:cs="Times New Roman"/>
          <w:sz w:val="24"/>
          <w:szCs w:val="24"/>
        </w:rPr>
        <w:t xml:space="preserve">Gourie-Devi, M., Gururaj, G., Satishchandra, P., &amp; Subbakrishna, D. (2004). Prevalence of Neurological Disorders in Bangalore, India: A Community-Based Study with a Comparison between Urban and Rural Areas. </w:t>
      </w:r>
      <w:r w:rsidRPr="006C657F">
        <w:rPr>
          <w:rFonts w:ascii="Times New Roman" w:hAnsi="Times New Roman" w:cs="Times New Roman"/>
          <w:i/>
          <w:iCs/>
          <w:sz w:val="24"/>
          <w:szCs w:val="24"/>
        </w:rPr>
        <w:t>Neuroepidemiology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23</w:t>
      </w:r>
      <w:r w:rsidRPr="006C657F">
        <w:rPr>
          <w:rFonts w:ascii="Times New Roman" w:hAnsi="Times New Roman" w:cs="Times New Roman"/>
          <w:sz w:val="24"/>
          <w:szCs w:val="24"/>
        </w:rPr>
        <w:t xml:space="preserve">(6), 261–268. </w:t>
      </w:r>
      <w:hyperlink r:id="rId99" w:history="1">
        <w:r w:rsidRPr="006C657F">
          <w:rPr>
            <w:rStyle w:val="Hyperlink"/>
            <w:rFonts w:ascii="Times New Roman" w:hAnsi="Times New Roman" w:cs="Times New Roman"/>
            <w:sz w:val="24"/>
            <w:szCs w:val="24"/>
          </w:rPr>
          <w:t>https://doi.org/10.1159/000080090</w:t>
        </w:r>
      </w:hyperlink>
      <w:bookmarkEnd w:id="23"/>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bookmarkStart w:id="24" w:name="_Ref219478051"/>
      <w:r w:rsidRPr="006C657F">
        <w:rPr>
          <w:rFonts w:ascii="Times New Roman" w:hAnsi="Times New Roman" w:cs="Times New Roman"/>
          <w:sz w:val="24"/>
          <w:szCs w:val="24"/>
          <w:shd w:val="clear" w:color="auto" w:fill="FFFFFF"/>
        </w:rPr>
        <w:t>Hammoud, F., Ismail, A., Zaher, R., El Majzoub, R., &amp; Abou-Abbas, L. (2025). </w:t>
      </w:r>
      <w:r w:rsidRPr="006C657F">
        <w:rPr>
          <w:rFonts w:ascii="Times New Roman" w:hAnsi="Times New Roman" w:cs="Times New Roman"/>
          <w:i/>
          <w:iCs/>
          <w:sz w:val="24"/>
          <w:szCs w:val="24"/>
          <w:shd w:val="clear" w:color="auto" w:fill="FFFFFF"/>
        </w:rPr>
        <w:t>Mucuna pruriens</w:t>
      </w:r>
      <w:r w:rsidRPr="006C657F">
        <w:rPr>
          <w:rFonts w:ascii="Times New Roman" w:hAnsi="Times New Roman" w:cs="Times New Roman"/>
          <w:sz w:val="24"/>
          <w:szCs w:val="24"/>
          <w:shd w:val="clear" w:color="auto" w:fill="FFFFFF"/>
        </w:rPr>
        <w:t> Treatment for Parkinson Disease: A Systematic Review of Clinical Trials. </w:t>
      </w:r>
      <w:r w:rsidRPr="006C657F">
        <w:rPr>
          <w:rFonts w:ascii="Times New Roman" w:hAnsi="Times New Roman" w:cs="Times New Roman"/>
          <w:i/>
          <w:iCs/>
          <w:sz w:val="24"/>
          <w:szCs w:val="24"/>
          <w:shd w:val="clear" w:color="auto" w:fill="FFFFFF"/>
        </w:rPr>
        <w:t>Parkinson's disease</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2025</w:t>
      </w:r>
      <w:r w:rsidRPr="006C657F">
        <w:rPr>
          <w:rFonts w:ascii="Times New Roman" w:hAnsi="Times New Roman" w:cs="Times New Roman"/>
          <w:sz w:val="24"/>
          <w:szCs w:val="24"/>
          <w:shd w:val="clear" w:color="auto" w:fill="FFFFFF"/>
        </w:rPr>
        <w:t xml:space="preserve">, 1319419. </w:t>
      </w:r>
      <w:hyperlink r:id="rId100" w:history="1">
        <w:r w:rsidRPr="006C657F">
          <w:rPr>
            <w:rStyle w:val="Hyperlink"/>
            <w:rFonts w:ascii="Times New Roman" w:hAnsi="Times New Roman" w:cs="Times New Roman"/>
            <w:sz w:val="24"/>
            <w:szCs w:val="24"/>
            <w:shd w:val="clear" w:color="auto" w:fill="FFFFFF"/>
          </w:rPr>
          <w:t>https://doi.org/10.1155/padi/1319419</w:t>
        </w:r>
      </w:hyperlink>
      <w:bookmarkEnd w:id="24"/>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u w:val="single"/>
          <w:lang w:eastAsia="en-IN"/>
        </w:rPr>
      </w:pPr>
      <w:bookmarkStart w:id="25" w:name="_Ref219475970"/>
      <w:r w:rsidRPr="006C657F">
        <w:rPr>
          <w:rFonts w:ascii="Times New Roman" w:eastAsia="Times New Roman" w:hAnsi="Times New Roman" w:cs="Times New Roman"/>
          <w:sz w:val="24"/>
          <w:szCs w:val="24"/>
          <w:lang w:eastAsia="en-IN"/>
        </w:rPr>
        <w:t xml:space="preserve">Hedau, V. N., &amp; Patil, T. (2024). Mounting stroke crisis in India: a systematic review. </w:t>
      </w:r>
      <w:r w:rsidRPr="006C657F">
        <w:rPr>
          <w:rFonts w:ascii="Times New Roman" w:eastAsia="Times New Roman" w:hAnsi="Times New Roman" w:cs="Times New Roman"/>
          <w:i/>
          <w:iCs/>
          <w:sz w:val="24"/>
          <w:szCs w:val="24"/>
          <w:lang w:eastAsia="en-IN"/>
        </w:rPr>
        <w:t>Cureus</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16</w:t>
      </w:r>
      <w:r w:rsidRPr="006C657F">
        <w:rPr>
          <w:rFonts w:ascii="Times New Roman" w:eastAsia="Times New Roman" w:hAnsi="Times New Roman" w:cs="Times New Roman"/>
          <w:sz w:val="24"/>
          <w:szCs w:val="24"/>
          <w:lang w:eastAsia="en-IN"/>
        </w:rPr>
        <w:t xml:space="preserve">(3), e57058. </w:t>
      </w:r>
      <w:hyperlink r:id="rId101" w:history="1">
        <w:r w:rsidRPr="006C657F">
          <w:rPr>
            <w:rStyle w:val="Hyperlink"/>
            <w:rFonts w:ascii="Times New Roman" w:hAnsi="Times New Roman" w:cs="Times New Roman"/>
            <w:sz w:val="24"/>
            <w:szCs w:val="24"/>
          </w:rPr>
          <w:t>https://doi.org/10.7759/cureus.57058</w:t>
        </w:r>
      </w:hyperlink>
      <w:bookmarkEnd w:id="25"/>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Huang, Y., Li, Y., Pan, H., &amp; Han, L. (2023). Global, regional, and national burden of neurological disorders in 204 countries and territories worldwide. </w:t>
      </w:r>
      <w:r w:rsidRPr="00B575F6">
        <w:rPr>
          <w:i/>
          <w:iCs/>
        </w:rPr>
        <w:t>Journal of Global Health</w:t>
      </w:r>
      <w:r w:rsidRPr="00B575F6">
        <w:t xml:space="preserve">, </w:t>
      </w:r>
      <w:r w:rsidRPr="00B575F6">
        <w:rPr>
          <w:i/>
          <w:iCs/>
        </w:rPr>
        <w:t>13</w:t>
      </w:r>
      <w:r w:rsidRPr="00B575F6">
        <w:t xml:space="preserve">, 04160. </w:t>
      </w:r>
      <w:r w:rsidRPr="00B575F6">
        <w:rPr>
          <w:rStyle w:val="url"/>
        </w:rPr>
        <w:t>https://doi.org/10.7189/jogh.13.04160</w:t>
      </w:r>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Iijima, M., Munakata, R., Takahashi, H., Kenmoku, H., Nakagawa, R., Kodama, T., Asakawa, Y., Abe, I., Yazaki, K., Kurosaki, F., &amp; Taura, F. (2017). Identification and characterization of daurichromenic acid synthase active in Anti-HIV biosynthesis. </w:t>
      </w:r>
      <w:r w:rsidRPr="00B575F6">
        <w:rPr>
          <w:i/>
          <w:iCs/>
        </w:rPr>
        <w:t>PLANT PHYSIOLOGY</w:t>
      </w:r>
      <w:r w:rsidRPr="00B575F6">
        <w:t xml:space="preserve">, </w:t>
      </w:r>
      <w:r w:rsidRPr="00B575F6">
        <w:rPr>
          <w:i/>
          <w:iCs/>
        </w:rPr>
        <w:t>174</w:t>
      </w:r>
      <w:r w:rsidRPr="00B575F6">
        <w:t xml:space="preserve">(4), 2213–2230. </w:t>
      </w:r>
      <w:r w:rsidRPr="00B575F6">
        <w:rPr>
          <w:rStyle w:val="url"/>
        </w:rPr>
        <w:t>https://doi.org/10.1104/pp.17.00586</w:t>
      </w:r>
    </w:p>
    <w:p w:rsidR="007E79B7" w:rsidRPr="00B575F6" w:rsidRDefault="007E79B7" w:rsidP="006C657F">
      <w:pPr>
        <w:pStyle w:val="NormalWeb"/>
        <w:numPr>
          <w:ilvl w:val="0"/>
          <w:numId w:val="25"/>
        </w:numPr>
        <w:spacing w:before="0" w:beforeAutospacing="0" w:after="0" w:afterAutospacing="0"/>
        <w:ind w:left="1080"/>
        <w:jc w:val="both"/>
      </w:pPr>
      <w:bookmarkStart w:id="26" w:name="_Ref219476071"/>
      <w:r w:rsidRPr="00B575F6">
        <w:t xml:space="preserve">Janardhana, K., Sujatha, B., Nagaraju, K., Prasad, P. V. V., Mohan, M. R., Aruna, D., &amp; ReddyAzizova, P. V. M. (2023). A -Comprehensive Review of Integrating Medicinal Plant Constituents into Neurological Disorder Therapeutics. </w:t>
      </w:r>
      <w:r w:rsidRPr="00B575F6">
        <w:rPr>
          <w:i/>
          <w:iCs/>
        </w:rPr>
        <w:t>Journal of Advanced Zoology</w:t>
      </w:r>
      <w:r w:rsidRPr="00B575F6">
        <w:t xml:space="preserve">, </w:t>
      </w:r>
      <w:r w:rsidRPr="00B575F6">
        <w:rPr>
          <w:i/>
          <w:iCs/>
        </w:rPr>
        <w:t>44</w:t>
      </w:r>
      <w:r w:rsidRPr="00B575F6">
        <w:t xml:space="preserve">(S3), 1654–1661. </w:t>
      </w:r>
      <w:r w:rsidRPr="00B575F6">
        <w:rPr>
          <w:rStyle w:val="url"/>
        </w:rPr>
        <w:t>https://doi.org/10.17762/jaz.v44is3.2171</w:t>
      </w:r>
    </w:p>
    <w:p w:rsidR="00E17F05" w:rsidRPr="00B575F6" w:rsidRDefault="00E17F05" w:rsidP="006C657F">
      <w:pPr>
        <w:pStyle w:val="NormalWeb"/>
        <w:numPr>
          <w:ilvl w:val="0"/>
          <w:numId w:val="25"/>
        </w:numPr>
        <w:spacing w:before="0" w:beforeAutospacing="0" w:after="0" w:afterAutospacing="0"/>
        <w:ind w:left="1080"/>
        <w:jc w:val="both"/>
      </w:pPr>
      <w:r w:rsidRPr="00B575F6">
        <w:t xml:space="preserve">Chun, K., Kang, J., Kim, O. H., Kang, H., &amp; Surh, Y. (2002c). Effects of Yakuchinone A and Yakuchinone В on the phorbol Ester-Induced expression of COX-2 and INOS and activation of NF-KB in mouse skin. </w:t>
      </w:r>
      <w:r w:rsidRPr="00B575F6">
        <w:rPr>
          <w:i/>
          <w:iCs/>
        </w:rPr>
        <w:t>Journal of Environmental Pathology Toxicology and Oncology</w:t>
      </w:r>
      <w:r w:rsidRPr="00B575F6">
        <w:t xml:space="preserve">, </w:t>
      </w:r>
      <w:r w:rsidRPr="00B575F6">
        <w:rPr>
          <w:i/>
          <w:iCs/>
        </w:rPr>
        <w:t>21</w:t>
      </w:r>
      <w:r w:rsidRPr="00B575F6">
        <w:t xml:space="preserve">(2), 9. </w:t>
      </w:r>
      <w:r w:rsidRPr="00B575F6">
        <w:rPr>
          <w:rStyle w:val="url"/>
        </w:rPr>
        <w:t>https://doi.org/10.1615/jenvironpatholtoxicoloncol.v21.i2.60</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r w:rsidRPr="006C657F">
        <w:rPr>
          <w:rFonts w:ascii="Times New Roman" w:hAnsi="Times New Roman" w:cs="Times New Roman"/>
          <w:sz w:val="24"/>
          <w:szCs w:val="24"/>
          <w:shd w:val="clear" w:color="auto" w:fill="FFFFFF"/>
        </w:rPr>
        <w:t>Je, G., Arora, S., Raithatha, S.J., Barrette, R., Valizadeh, N., Shah, U.M., Desai, D., Deb, A., &amp; Desai, S.D. (2021). Epidemiology of Parkinson’s Disease in Rural Gujarat, India. </w:t>
      </w:r>
      <w:r w:rsidRPr="006C657F">
        <w:rPr>
          <w:rStyle w:val="Emphasis"/>
          <w:rFonts w:ascii="Times New Roman" w:hAnsi="Times New Roman" w:cs="Times New Roman"/>
          <w:sz w:val="24"/>
          <w:szCs w:val="24"/>
        </w:rPr>
        <w:t>Neuroepidemiology, 55</w:t>
      </w:r>
      <w:r w:rsidRPr="006C657F">
        <w:rPr>
          <w:rFonts w:ascii="Times New Roman" w:hAnsi="Times New Roman" w:cs="Times New Roman"/>
          <w:sz w:val="24"/>
          <w:szCs w:val="24"/>
          <w:shd w:val="clear" w:color="auto" w:fill="FFFFFF"/>
        </w:rPr>
        <w:t>, 188 - 195.</w:t>
      </w:r>
      <w:bookmarkEnd w:id="26"/>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bookmarkStart w:id="27" w:name="_Ref219479595"/>
      <w:r w:rsidRPr="006C657F">
        <w:rPr>
          <w:rFonts w:ascii="Times New Roman" w:hAnsi="Times New Roman" w:cs="Times New Roman"/>
          <w:sz w:val="24"/>
          <w:szCs w:val="24"/>
        </w:rPr>
        <w:t xml:space="preserve">Kashkooe, A., Jalali, A., Zarshenas, M. M., &amp; Hamedi, A. (2024). Exploring the Phytochemistry, Signaling Pathways, and Mechanisms of Action of Tanacetum parthenium (L.) Sch.Bip.: A Comprehensive Literature Review. </w:t>
      </w:r>
      <w:r w:rsidRPr="006C657F">
        <w:rPr>
          <w:rFonts w:ascii="Times New Roman" w:hAnsi="Times New Roman" w:cs="Times New Roman"/>
          <w:i/>
          <w:iCs/>
          <w:sz w:val="24"/>
          <w:szCs w:val="24"/>
        </w:rPr>
        <w:t>Biomedicines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12</w:t>
      </w:r>
      <w:r w:rsidRPr="006C657F">
        <w:rPr>
          <w:rFonts w:ascii="Times New Roman" w:hAnsi="Times New Roman" w:cs="Times New Roman"/>
          <w:sz w:val="24"/>
          <w:szCs w:val="24"/>
        </w:rPr>
        <w:t xml:space="preserve">(10), 2297. </w:t>
      </w:r>
      <w:hyperlink r:id="rId102" w:history="1">
        <w:r w:rsidRPr="006C657F">
          <w:rPr>
            <w:rStyle w:val="Hyperlink"/>
            <w:rFonts w:ascii="Times New Roman" w:hAnsi="Times New Roman" w:cs="Times New Roman"/>
            <w:sz w:val="24"/>
            <w:szCs w:val="24"/>
          </w:rPr>
          <w:t>https://doi.org/10.3390/biomedicines12102297</w:t>
        </w:r>
      </w:hyperlink>
      <w:bookmarkEnd w:id="27"/>
    </w:p>
    <w:p w:rsidR="008013E5" w:rsidRPr="00B575F6" w:rsidRDefault="001809ED" w:rsidP="006C657F">
      <w:pPr>
        <w:pStyle w:val="NormalWeb"/>
        <w:numPr>
          <w:ilvl w:val="0"/>
          <w:numId w:val="25"/>
        </w:numPr>
        <w:spacing w:before="0" w:beforeAutospacing="0" w:after="0" w:afterAutospacing="0"/>
        <w:ind w:left="1080"/>
        <w:jc w:val="both"/>
      </w:pPr>
      <w:r w:rsidRPr="00B575F6">
        <w:t xml:space="preserve">Kitajima, M., &amp; Takayama, H. (2011). Lycopodium alkaloids: isolation and asymmetric synthesis. Topics in Current Chemistry, 309, 1–31. </w:t>
      </w:r>
      <w:hyperlink r:id="rId103" w:history="1">
        <w:r w:rsidR="008013E5" w:rsidRPr="00B575F6">
          <w:rPr>
            <w:rStyle w:val="Hyperlink"/>
          </w:rPr>
          <w:t>https://doi.org/10.1007/128_2011_126</w:t>
        </w:r>
      </w:hyperlink>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Kennedy, D., Scholey, A., &amp; Wesnes, K. (2002). Modulation of cognition and mood following administration of single doses of Ginkgo biloba, ginseng, and a ginkgo/ginseng combination to healthy young adults. </w:t>
      </w:r>
      <w:r w:rsidRPr="00B575F6">
        <w:rPr>
          <w:i/>
          <w:iCs/>
        </w:rPr>
        <w:t>Physiology &amp; Behavior</w:t>
      </w:r>
      <w:r w:rsidRPr="00B575F6">
        <w:t xml:space="preserve">, </w:t>
      </w:r>
      <w:r w:rsidRPr="00B575F6">
        <w:rPr>
          <w:i/>
          <w:iCs/>
        </w:rPr>
        <w:t>75</w:t>
      </w:r>
      <w:r w:rsidRPr="00B575F6">
        <w:t xml:space="preserve">(5), 739–751. </w:t>
      </w:r>
      <w:r w:rsidRPr="00B575F6">
        <w:rPr>
          <w:rStyle w:val="url"/>
        </w:rPr>
        <w:t>https://doi.org/10.1016/s0031-9384(02)00665-0</w:t>
      </w:r>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r w:rsidRPr="006C657F">
        <w:rPr>
          <w:rFonts w:ascii="Times New Roman" w:hAnsi="Times New Roman" w:cs="Times New Roman"/>
          <w:sz w:val="24"/>
          <w:szCs w:val="24"/>
        </w:rPr>
        <w:t xml:space="preserve">Khurana, S., &amp; Gourie-Devi, M. (2025). A Narrative review of Community-Based Epidemiological Studies on Parkinson’s Disease in India. </w:t>
      </w:r>
      <w:r w:rsidRPr="006C657F">
        <w:rPr>
          <w:rFonts w:ascii="Times New Roman" w:hAnsi="Times New Roman" w:cs="Times New Roman"/>
          <w:i/>
          <w:iCs/>
          <w:sz w:val="24"/>
          <w:szCs w:val="24"/>
        </w:rPr>
        <w:t>Cureus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17</w:t>
      </w:r>
      <w:r w:rsidRPr="006C657F">
        <w:rPr>
          <w:rFonts w:ascii="Times New Roman" w:hAnsi="Times New Roman" w:cs="Times New Roman"/>
          <w:sz w:val="24"/>
          <w:szCs w:val="24"/>
        </w:rPr>
        <w:t xml:space="preserve">(3), e80248. </w:t>
      </w:r>
      <w:hyperlink r:id="rId104" w:history="1">
        <w:r w:rsidRPr="006C657F">
          <w:rPr>
            <w:rStyle w:val="Hyperlink"/>
            <w:rFonts w:ascii="Times New Roman" w:hAnsi="Times New Roman" w:cs="Times New Roman"/>
            <w:sz w:val="24"/>
            <w:szCs w:val="24"/>
          </w:rPr>
          <w:t>https://doi.org/10.7759/cureus.80248</w:t>
        </w:r>
      </w:hyperlink>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r w:rsidRPr="006C657F">
        <w:rPr>
          <w:rFonts w:ascii="Times New Roman" w:hAnsi="Times New Roman" w:cs="Times New Roman"/>
          <w:sz w:val="24"/>
          <w:szCs w:val="24"/>
          <w:shd w:val="clear" w:color="auto" w:fill="FFFFFF"/>
        </w:rPr>
        <w:lastRenderedPageBreak/>
        <w:t>Kumar, C.T., George, S., &amp; Kallivayalil, R.A. (2019). Towards a Dementia-Friendly India. </w:t>
      </w:r>
      <w:r w:rsidRPr="006C657F">
        <w:rPr>
          <w:rStyle w:val="Emphasis"/>
          <w:rFonts w:ascii="Times New Roman" w:hAnsi="Times New Roman" w:cs="Times New Roman"/>
          <w:sz w:val="24"/>
          <w:szCs w:val="24"/>
        </w:rPr>
        <w:t>Indian Journal of Psychological Medicine, 41</w:t>
      </w:r>
      <w:r w:rsidRPr="006C657F">
        <w:rPr>
          <w:rFonts w:ascii="Times New Roman" w:hAnsi="Times New Roman" w:cs="Times New Roman"/>
          <w:sz w:val="24"/>
          <w:szCs w:val="24"/>
          <w:shd w:val="clear" w:color="auto" w:fill="FFFFFF"/>
        </w:rPr>
        <w:t>, 476 - 481.</w:t>
      </w:r>
    </w:p>
    <w:p w:rsidR="00C341F1" w:rsidRPr="00B575F6" w:rsidRDefault="00C341F1" w:rsidP="006C657F">
      <w:pPr>
        <w:pStyle w:val="NormalWeb"/>
        <w:numPr>
          <w:ilvl w:val="0"/>
          <w:numId w:val="25"/>
        </w:numPr>
        <w:spacing w:before="0" w:beforeAutospacing="0" w:after="0" w:afterAutospacing="0"/>
        <w:ind w:left="1080"/>
        <w:jc w:val="both"/>
      </w:pPr>
      <w:r w:rsidRPr="00B575F6">
        <w:t xml:space="preserve">Islam, M. T., Ali, E. S., Uddin, S. J., Islam, M. A., Shaw, S., Khan, I. N., Saravi, S. S. S., Ahmad, S., Rehman, S., Gupta, V. K., Găman, M., Găman, A. M., Yele, S., Das, A. K., De Castro E Sousa, J. M., De Moura Dantas, S. M. M., Rolim, H. M. L., De Carvalho Melo-Cavalcante, A. A., Mubarak, M. S., . . . Kamal, M. A. (2018b). Andrographolide, a diterpene lactone from Andrographis paniculata and its therapeutic promises in cancer. </w:t>
      </w:r>
      <w:r w:rsidRPr="00B575F6">
        <w:rPr>
          <w:i/>
          <w:iCs/>
        </w:rPr>
        <w:t>Cancer Letters</w:t>
      </w:r>
      <w:r w:rsidRPr="00B575F6">
        <w:t xml:space="preserve">, </w:t>
      </w:r>
      <w:r w:rsidRPr="00B575F6">
        <w:rPr>
          <w:i/>
          <w:iCs/>
        </w:rPr>
        <w:t>420</w:t>
      </w:r>
      <w:r w:rsidRPr="00B575F6">
        <w:t xml:space="preserve">, 129–145. </w:t>
      </w:r>
      <w:r w:rsidRPr="00B575F6">
        <w:rPr>
          <w:rStyle w:val="url"/>
        </w:rPr>
        <w:t>https://doi.org/10.1016/j.canlet.2018.01.074</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r w:rsidRPr="006C657F">
        <w:rPr>
          <w:rFonts w:ascii="Times New Roman" w:hAnsi="Times New Roman" w:cs="Times New Roman"/>
          <w:sz w:val="24"/>
          <w:szCs w:val="24"/>
          <w:shd w:val="clear" w:color="auto" w:fill="FFFFFF"/>
        </w:rPr>
        <w:t>Lee, R., Kim, J. H., Kim, W. W., Hwang, S. H., Choi, S. H., Kim, J. H., Cho, I. H., Kim, M., &amp; Nah, S. Y. (2024). Emerging evidence that ginseng components improve cognition in subjective memory impairment, mild cognitive impairment, and early Alzheimer's disease dementia. </w:t>
      </w:r>
      <w:r w:rsidRPr="006C657F">
        <w:rPr>
          <w:rFonts w:ascii="Times New Roman" w:hAnsi="Times New Roman" w:cs="Times New Roman"/>
          <w:i/>
          <w:iCs/>
          <w:sz w:val="24"/>
          <w:szCs w:val="24"/>
          <w:shd w:val="clear" w:color="auto" w:fill="FFFFFF"/>
        </w:rPr>
        <w:t>Journal of ginseng research</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48</w:t>
      </w:r>
      <w:r w:rsidRPr="006C657F">
        <w:rPr>
          <w:rFonts w:ascii="Times New Roman" w:hAnsi="Times New Roman" w:cs="Times New Roman"/>
          <w:sz w:val="24"/>
          <w:szCs w:val="24"/>
          <w:shd w:val="clear" w:color="auto" w:fill="FFFFFF"/>
        </w:rPr>
        <w:t xml:space="preserve">(3), 245–252. </w:t>
      </w:r>
      <w:hyperlink r:id="rId105" w:history="1">
        <w:r w:rsidRPr="006C657F">
          <w:rPr>
            <w:rStyle w:val="Hyperlink"/>
            <w:rFonts w:ascii="Times New Roman" w:hAnsi="Times New Roman" w:cs="Times New Roman"/>
            <w:sz w:val="24"/>
            <w:szCs w:val="24"/>
            <w:shd w:val="clear" w:color="auto" w:fill="FFFFFF"/>
          </w:rPr>
          <w:t>https://doi.org/10.1016/j.jgr.2024.02.002</w:t>
        </w:r>
      </w:hyperlink>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28" w:name="_Ref219479451"/>
      <w:r w:rsidRPr="006C657F">
        <w:rPr>
          <w:rFonts w:ascii="Times New Roman" w:hAnsi="Times New Roman" w:cs="Times New Roman"/>
          <w:sz w:val="24"/>
          <w:szCs w:val="24"/>
        </w:rPr>
        <w:t xml:space="preserve">Lee, T. H., Jung, C. H., &amp; Lee, D. (2012). Neuroprotective effects of Schisandrin B against transient focal cerebral ischemia in Sprague–Dawley rats. </w:t>
      </w:r>
      <w:r w:rsidRPr="006C657F">
        <w:rPr>
          <w:rFonts w:ascii="Times New Roman" w:hAnsi="Times New Roman" w:cs="Times New Roman"/>
          <w:i/>
          <w:iCs/>
          <w:sz w:val="24"/>
          <w:szCs w:val="24"/>
        </w:rPr>
        <w:t>Food and Chemical Toxicology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50</w:t>
      </w:r>
      <w:r w:rsidRPr="006C657F">
        <w:rPr>
          <w:rFonts w:ascii="Times New Roman" w:hAnsi="Times New Roman" w:cs="Times New Roman"/>
          <w:sz w:val="24"/>
          <w:szCs w:val="24"/>
        </w:rPr>
        <w:t xml:space="preserve">(12), 4239–4245. </w:t>
      </w:r>
      <w:hyperlink r:id="rId106" w:history="1">
        <w:r w:rsidRPr="006C657F">
          <w:rPr>
            <w:rStyle w:val="Hyperlink"/>
            <w:rFonts w:ascii="Times New Roman" w:hAnsi="Times New Roman" w:cs="Times New Roman"/>
            <w:sz w:val="24"/>
            <w:szCs w:val="24"/>
          </w:rPr>
          <w:t>https://doi.org/10.1016/j.fct.2012.08.047</w:t>
        </w:r>
      </w:hyperlink>
      <w:bookmarkEnd w:id="28"/>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29" w:name="_Ref219477934"/>
      <w:r w:rsidRPr="006C657F">
        <w:rPr>
          <w:rFonts w:ascii="Times New Roman" w:hAnsi="Times New Roman" w:cs="Times New Roman"/>
          <w:sz w:val="24"/>
          <w:szCs w:val="24"/>
        </w:rPr>
        <w:t>Lerose, V., Ponticelli, M., Benedetto, N., Carlucci, V., Lela, L., Tzvetkov, N. T., &amp; Milella, L. (2024). </w:t>
      </w:r>
      <w:r w:rsidRPr="006C657F">
        <w:rPr>
          <w:rFonts w:ascii="Times New Roman" w:hAnsi="Times New Roman" w:cs="Times New Roman"/>
          <w:i/>
          <w:iCs/>
          <w:sz w:val="24"/>
          <w:szCs w:val="24"/>
        </w:rPr>
        <w:t>Withania somnifera</w:t>
      </w:r>
      <w:r w:rsidRPr="006C657F">
        <w:rPr>
          <w:rFonts w:ascii="Times New Roman" w:hAnsi="Times New Roman" w:cs="Times New Roman"/>
          <w:sz w:val="24"/>
          <w:szCs w:val="24"/>
        </w:rPr>
        <w:t> (L.) Dunal, a Potential Source of Phytochemicals for Treating Neurodegenerative Diseases: A Systematic Review. </w:t>
      </w:r>
      <w:r w:rsidRPr="006C657F">
        <w:rPr>
          <w:rStyle w:val="Emphasis"/>
          <w:rFonts w:ascii="Times New Roman" w:hAnsi="Times New Roman" w:cs="Times New Roman"/>
          <w:sz w:val="24"/>
          <w:szCs w:val="24"/>
        </w:rPr>
        <w:t>Plants</w:t>
      </w:r>
      <w:r w:rsidRPr="006C657F">
        <w:rPr>
          <w:rFonts w:ascii="Times New Roman" w:hAnsi="Times New Roman" w:cs="Times New Roman"/>
          <w:sz w:val="24"/>
          <w:szCs w:val="24"/>
        </w:rPr>
        <w:t>, </w:t>
      </w:r>
      <w:r w:rsidRPr="006C657F">
        <w:rPr>
          <w:rStyle w:val="Emphasis"/>
          <w:rFonts w:ascii="Times New Roman" w:hAnsi="Times New Roman" w:cs="Times New Roman"/>
          <w:sz w:val="24"/>
          <w:szCs w:val="24"/>
        </w:rPr>
        <w:t>13</w:t>
      </w:r>
      <w:r w:rsidRPr="006C657F">
        <w:rPr>
          <w:rFonts w:ascii="Times New Roman" w:hAnsi="Times New Roman" w:cs="Times New Roman"/>
          <w:sz w:val="24"/>
          <w:szCs w:val="24"/>
        </w:rPr>
        <w:t xml:space="preserve">(6), 771. </w:t>
      </w:r>
      <w:hyperlink r:id="rId107" w:history="1">
        <w:r w:rsidRPr="006C657F">
          <w:rPr>
            <w:rStyle w:val="Hyperlink"/>
            <w:rFonts w:ascii="Times New Roman" w:hAnsi="Times New Roman" w:cs="Times New Roman"/>
            <w:sz w:val="24"/>
            <w:szCs w:val="24"/>
          </w:rPr>
          <w:t>https://doi.org/10.3390/plants13060771</w:t>
        </w:r>
      </w:hyperlink>
      <w:bookmarkEnd w:id="29"/>
    </w:p>
    <w:p w:rsidR="003410F6" w:rsidRPr="00B575F6" w:rsidRDefault="003410F6" w:rsidP="006C657F">
      <w:pPr>
        <w:pStyle w:val="NormalWeb"/>
        <w:numPr>
          <w:ilvl w:val="0"/>
          <w:numId w:val="25"/>
        </w:numPr>
        <w:spacing w:before="0" w:beforeAutospacing="0" w:after="0" w:afterAutospacing="0"/>
        <w:ind w:left="1080"/>
        <w:jc w:val="both"/>
      </w:pPr>
      <w:r w:rsidRPr="00B575F6">
        <w:t xml:space="preserve">Lee, J., Park, J. H., Park, O. K., Kim, I. H., Yan, B. C., Ahn, J. H., Kwon, S., Choi, J. H., Kim, J., &amp; Won, M. (2013). Neuroprotective effects of tanshinone I from Danshen extract in a mouse model of hypoxia-ischemia. </w:t>
      </w:r>
      <w:r w:rsidRPr="00B575F6">
        <w:rPr>
          <w:i/>
          <w:iCs/>
        </w:rPr>
        <w:t>Anatomy &amp; Cell Biology</w:t>
      </w:r>
      <w:r w:rsidRPr="00B575F6">
        <w:t xml:space="preserve">, </w:t>
      </w:r>
      <w:r w:rsidRPr="00B575F6">
        <w:rPr>
          <w:i/>
          <w:iCs/>
        </w:rPr>
        <w:t>46</w:t>
      </w:r>
      <w:r w:rsidRPr="00B575F6">
        <w:t xml:space="preserve">(3), 183. </w:t>
      </w:r>
      <w:r w:rsidRPr="00B575F6">
        <w:rPr>
          <w:rStyle w:val="url"/>
        </w:rPr>
        <w:t>https://doi.org/10.5115/acb.2013.46.3.183</w:t>
      </w:r>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r w:rsidRPr="006C657F">
        <w:rPr>
          <w:rFonts w:ascii="Times New Roman" w:hAnsi="Times New Roman" w:cs="Times New Roman"/>
          <w:sz w:val="24"/>
          <w:szCs w:val="24"/>
        </w:rPr>
        <w:t xml:space="preserve">Li, X., Yuan, W., Wu, J., Zhen, J., Sun, Q., &amp; Yu, M. (2022). Andrographolide, a natural anti-inflammatory agent: An Update. </w:t>
      </w:r>
      <w:r w:rsidRPr="006C657F">
        <w:rPr>
          <w:rFonts w:ascii="Times New Roman" w:hAnsi="Times New Roman" w:cs="Times New Roman"/>
          <w:i/>
          <w:iCs/>
          <w:sz w:val="24"/>
          <w:szCs w:val="24"/>
        </w:rPr>
        <w:t>Frontiers in Pharmacology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13</w:t>
      </w:r>
      <w:r w:rsidRPr="006C657F">
        <w:rPr>
          <w:rFonts w:ascii="Times New Roman" w:hAnsi="Times New Roman" w:cs="Times New Roman"/>
          <w:sz w:val="24"/>
          <w:szCs w:val="24"/>
        </w:rPr>
        <w:t xml:space="preserve">, 920435. </w:t>
      </w:r>
      <w:hyperlink r:id="rId108" w:history="1">
        <w:r w:rsidRPr="006C657F">
          <w:rPr>
            <w:rStyle w:val="Hyperlink"/>
            <w:rFonts w:ascii="Times New Roman" w:hAnsi="Times New Roman" w:cs="Times New Roman"/>
            <w:sz w:val="24"/>
            <w:szCs w:val="24"/>
          </w:rPr>
          <w:t>https://doi.org/10.3389/fphar.2022.920435</w:t>
        </w:r>
      </w:hyperlink>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color w:val="auto"/>
          <w:sz w:val="24"/>
          <w:szCs w:val="24"/>
          <w:u w:val="none"/>
        </w:rPr>
      </w:pPr>
      <w:bookmarkStart w:id="30" w:name="_Ref219478976"/>
      <w:r w:rsidRPr="006C657F">
        <w:rPr>
          <w:rFonts w:ascii="Times New Roman" w:hAnsi="Times New Roman" w:cs="Times New Roman"/>
          <w:sz w:val="24"/>
          <w:szCs w:val="24"/>
        </w:rPr>
        <w:t>Liang, K., Ma, S., Luo, K., Wang, R., Xiao, C., Zhang, X., Gao, Y., &amp; Li, M. (2024). Salidroside: An Overview of Its Promising Potential and Diverse Applications. </w:t>
      </w:r>
      <w:r w:rsidRPr="006C657F">
        <w:rPr>
          <w:rStyle w:val="Emphasis"/>
          <w:rFonts w:ascii="Times New Roman" w:hAnsi="Times New Roman" w:cs="Times New Roman"/>
          <w:sz w:val="24"/>
          <w:szCs w:val="24"/>
        </w:rPr>
        <w:t>Pharmaceuticals</w:t>
      </w:r>
      <w:r w:rsidRPr="006C657F">
        <w:rPr>
          <w:rFonts w:ascii="Times New Roman" w:hAnsi="Times New Roman" w:cs="Times New Roman"/>
          <w:sz w:val="24"/>
          <w:szCs w:val="24"/>
        </w:rPr>
        <w:t>, </w:t>
      </w:r>
      <w:r w:rsidRPr="006C657F">
        <w:rPr>
          <w:rStyle w:val="Emphasis"/>
          <w:rFonts w:ascii="Times New Roman" w:hAnsi="Times New Roman" w:cs="Times New Roman"/>
          <w:sz w:val="24"/>
          <w:szCs w:val="24"/>
        </w:rPr>
        <w:t>17</w:t>
      </w:r>
      <w:r w:rsidRPr="006C657F">
        <w:rPr>
          <w:rFonts w:ascii="Times New Roman" w:hAnsi="Times New Roman" w:cs="Times New Roman"/>
          <w:sz w:val="24"/>
          <w:szCs w:val="24"/>
        </w:rPr>
        <w:t xml:space="preserve">(12), 1703. </w:t>
      </w:r>
      <w:hyperlink r:id="rId109" w:history="1">
        <w:r w:rsidRPr="006C657F">
          <w:rPr>
            <w:rStyle w:val="Hyperlink"/>
            <w:rFonts w:ascii="Times New Roman" w:hAnsi="Times New Roman" w:cs="Times New Roman"/>
            <w:sz w:val="24"/>
            <w:szCs w:val="24"/>
          </w:rPr>
          <w:t>https://doi.org/10.3390/ph17121703</w:t>
        </w:r>
      </w:hyperlink>
      <w:bookmarkEnd w:id="30"/>
    </w:p>
    <w:p w:rsidR="00D50CDA" w:rsidRPr="00B575F6" w:rsidRDefault="00D50CDA" w:rsidP="006C657F">
      <w:pPr>
        <w:pStyle w:val="NormalWeb"/>
        <w:numPr>
          <w:ilvl w:val="0"/>
          <w:numId w:val="25"/>
        </w:numPr>
        <w:spacing w:before="0" w:beforeAutospacing="0" w:after="0" w:afterAutospacing="0"/>
        <w:ind w:left="1080"/>
        <w:jc w:val="both"/>
      </w:pPr>
      <w:bookmarkStart w:id="31" w:name="_Ref219479414"/>
      <w:r w:rsidRPr="00B575F6">
        <w:t xml:space="preserve">Lin, Z., Cheng, X., &amp; Zheng, H. (2023). Umbelliferon: a review of its pharmacology, toxicity and pharmacokinetics. </w:t>
      </w:r>
      <w:r w:rsidRPr="00B575F6">
        <w:rPr>
          <w:i/>
          <w:iCs/>
        </w:rPr>
        <w:t>Inflammopharmacology</w:t>
      </w:r>
      <w:r w:rsidRPr="00B575F6">
        <w:t xml:space="preserve">, </w:t>
      </w:r>
      <w:r w:rsidRPr="00B575F6">
        <w:rPr>
          <w:i/>
          <w:iCs/>
        </w:rPr>
        <w:t>31</w:t>
      </w:r>
      <w:r w:rsidRPr="00B575F6">
        <w:t xml:space="preserve">(4), 1731–1750. </w:t>
      </w:r>
      <w:hyperlink r:id="rId110" w:history="1">
        <w:r w:rsidRPr="00B575F6">
          <w:rPr>
            <w:rStyle w:val="Hyperlink"/>
          </w:rPr>
          <w:t>https://doi.org/10.1007/s10787-023-01256-3</w:t>
        </w:r>
      </w:hyperlink>
      <w:bookmarkEnd w:id="31"/>
      <w:r w:rsidRPr="00B575F6">
        <w:rPr>
          <w:rStyle w:val="url"/>
        </w:rPr>
        <w:t xml:space="preserve"> </w:t>
      </w:r>
    </w:p>
    <w:p w:rsidR="006D6BB9" w:rsidRPr="00B575F6" w:rsidRDefault="006D6BB9" w:rsidP="006C657F">
      <w:pPr>
        <w:pStyle w:val="NormalWeb"/>
        <w:numPr>
          <w:ilvl w:val="0"/>
          <w:numId w:val="25"/>
        </w:numPr>
        <w:spacing w:before="0" w:beforeAutospacing="0" w:after="0" w:afterAutospacing="0"/>
        <w:ind w:left="1080"/>
        <w:jc w:val="both"/>
      </w:pPr>
      <w:r w:rsidRPr="00B575F6">
        <w:rPr>
          <w:color w:val="222222"/>
          <w:shd w:val="clear" w:color="auto" w:fill="FFFFFF"/>
        </w:rPr>
        <w:t>Chindo, B. A., Adzu, B., &amp; Gamaniel, K. S. (2012). Saponins: structural diversity, properties and applications. </w:t>
      </w:r>
      <w:r w:rsidRPr="00B575F6">
        <w:rPr>
          <w:i/>
          <w:iCs/>
          <w:color w:val="222222"/>
          <w:shd w:val="clear" w:color="auto" w:fill="FFFFFF"/>
        </w:rPr>
        <w:t>Saponins: properties, applications and health benefits</w:t>
      </w:r>
      <w:r w:rsidRPr="00B575F6">
        <w:rPr>
          <w:color w:val="222222"/>
          <w:shd w:val="clear" w:color="auto" w:fill="FFFFFF"/>
        </w:rPr>
        <w:t>, 1-50.</w:t>
      </w:r>
    </w:p>
    <w:p w:rsidR="00422B43" w:rsidRPr="00B575F6" w:rsidRDefault="00422B43" w:rsidP="006C657F">
      <w:pPr>
        <w:pStyle w:val="NormalWeb"/>
        <w:numPr>
          <w:ilvl w:val="0"/>
          <w:numId w:val="25"/>
        </w:numPr>
        <w:spacing w:before="0" w:beforeAutospacing="0" w:after="0" w:afterAutospacing="0"/>
        <w:ind w:left="1080"/>
        <w:jc w:val="both"/>
      </w:pPr>
      <w:r w:rsidRPr="00B575F6">
        <w:t xml:space="preserve">Ma, X., &amp; Gang, D. R. (2004). The Lycopodium alkaloids. </w:t>
      </w:r>
      <w:r w:rsidRPr="00B575F6">
        <w:rPr>
          <w:i/>
          <w:iCs/>
        </w:rPr>
        <w:t>Natural Product Reports</w:t>
      </w:r>
      <w:r w:rsidRPr="00B575F6">
        <w:t xml:space="preserve">, </w:t>
      </w:r>
      <w:r w:rsidRPr="00B575F6">
        <w:rPr>
          <w:i/>
          <w:iCs/>
        </w:rPr>
        <w:t>21</w:t>
      </w:r>
      <w:r w:rsidRPr="00B575F6">
        <w:t xml:space="preserve">(6), 752. </w:t>
      </w:r>
      <w:r w:rsidRPr="00B575F6">
        <w:rPr>
          <w:rStyle w:val="url"/>
        </w:rPr>
        <w:t>https://doi.org/10.1039/b409720n</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hAnsi="Times New Roman" w:cs="Times New Roman"/>
          <w:sz w:val="24"/>
          <w:szCs w:val="24"/>
          <w:shd w:val="clear" w:color="auto" w:fill="FFFFFF"/>
        </w:rPr>
        <w:t>Mando, Z., Mando, H., Afzan, A., Shaari, K., Hassan, Z., Mohamad Taib, M. N. A., &amp; Zakaria, F. (2024). Biomarker triterpenoids of Centella asiatica as potential antidepressant agents: Combining in vivo and in silico studies. </w:t>
      </w:r>
      <w:r w:rsidRPr="006C657F">
        <w:rPr>
          <w:rFonts w:ascii="Times New Roman" w:hAnsi="Times New Roman" w:cs="Times New Roman"/>
          <w:i/>
          <w:iCs/>
          <w:sz w:val="24"/>
          <w:szCs w:val="24"/>
          <w:shd w:val="clear" w:color="auto" w:fill="FFFFFF"/>
        </w:rPr>
        <w:t>Behavioural brain research</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466</w:t>
      </w:r>
      <w:r w:rsidRPr="006C657F">
        <w:rPr>
          <w:rFonts w:ascii="Times New Roman" w:hAnsi="Times New Roman" w:cs="Times New Roman"/>
          <w:sz w:val="24"/>
          <w:szCs w:val="24"/>
          <w:shd w:val="clear" w:color="auto" w:fill="FFFFFF"/>
        </w:rPr>
        <w:t xml:space="preserve">, 114976. </w:t>
      </w:r>
      <w:hyperlink r:id="rId111" w:history="1">
        <w:r w:rsidRPr="006C657F">
          <w:rPr>
            <w:rStyle w:val="Hyperlink"/>
            <w:rFonts w:ascii="Times New Roman" w:hAnsi="Times New Roman" w:cs="Times New Roman"/>
            <w:sz w:val="24"/>
            <w:szCs w:val="24"/>
          </w:rPr>
          <w:t>https://doi.org/10.1016/j.bbr.2024.114976</w:t>
        </w:r>
      </w:hyperlink>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Meléndez-Martínez, A. J., Mapelli-Brahm, P., Benítez-González, A., &amp; Stinco, C. M. (2015). A comprehensive review on the colorless carotenoids phytoene and phytofluene. </w:t>
      </w:r>
      <w:r w:rsidRPr="00B575F6">
        <w:rPr>
          <w:i/>
          <w:iCs/>
        </w:rPr>
        <w:t>Archives of Biochemistry and Biophysics</w:t>
      </w:r>
      <w:r w:rsidRPr="00B575F6">
        <w:t xml:space="preserve">, </w:t>
      </w:r>
      <w:r w:rsidRPr="00B575F6">
        <w:rPr>
          <w:i/>
          <w:iCs/>
        </w:rPr>
        <w:t>572</w:t>
      </w:r>
      <w:r w:rsidRPr="00B575F6">
        <w:t xml:space="preserve">, 188–200. </w:t>
      </w:r>
      <w:r w:rsidRPr="00B575F6">
        <w:rPr>
          <w:rStyle w:val="url"/>
        </w:rPr>
        <w:t>https://doi.org/10.1016/j.abb.2015.01.003</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eastAsia="Times New Roman" w:hAnsi="Times New Roman" w:cs="Times New Roman"/>
          <w:sz w:val="24"/>
          <w:szCs w:val="24"/>
          <w:lang w:eastAsia="en-IN"/>
        </w:rPr>
        <w:t xml:space="preserve">Mirjalili, M. H., Moyano, E., Bonfill, M., Cusido, R. M., &amp; Palazón, J. (2009). Steroidal lactones from </w:t>
      </w:r>
      <w:r w:rsidRPr="006C657F">
        <w:rPr>
          <w:rFonts w:ascii="Times New Roman" w:eastAsia="Times New Roman" w:hAnsi="Times New Roman" w:cs="Times New Roman"/>
          <w:i/>
          <w:iCs/>
          <w:sz w:val="24"/>
          <w:szCs w:val="24"/>
          <w:lang w:eastAsia="en-IN"/>
        </w:rPr>
        <w:t>Physalis</w:t>
      </w:r>
      <w:r w:rsidRPr="006C657F">
        <w:rPr>
          <w:rFonts w:ascii="Times New Roman" w:eastAsia="Times New Roman" w:hAnsi="Times New Roman" w:cs="Times New Roman"/>
          <w:sz w:val="24"/>
          <w:szCs w:val="24"/>
          <w:lang w:eastAsia="en-IN"/>
        </w:rPr>
        <w:t xml:space="preserve"> and </w:t>
      </w:r>
      <w:r w:rsidRPr="006C657F">
        <w:rPr>
          <w:rFonts w:ascii="Times New Roman" w:eastAsia="Times New Roman" w:hAnsi="Times New Roman" w:cs="Times New Roman"/>
          <w:i/>
          <w:iCs/>
          <w:sz w:val="24"/>
          <w:szCs w:val="24"/>
          <w:lang w:eastAsia="en-IN"/>
        </w:rPr>
        <w:t>Withania</w:t>
      </w:r>
      <w:r w:rsidRPr="006C657F">
        <w:rPr>
          <w:rFonts w:ascii="Times New Roman" w:eastAsia="Times New Roman" w:hAnsi="Times New Roman" w:cs="Times New Roman"/>
          <w:sz w:val="24"/>
          <w:szCs w:val="24"/>
          <w:lang w:eastAsia="en-IN"/>
        </w:rPr>
        <w:t xml:space="preserve">: Structural diversity and bioactivity. </w:t>
      </w:r>
      <w:r w:rsidRPr="006C657F">
        <w:rPr>
          <w:rFonts w:ascii="Times New Roman" w:eastAsia="Times New Roman" w:hAnsi="Times New Roman" w:cs="Times New Roman"/>
          <w:i/>
          <w:iCs/>
          <w:sz w:val="24"/>
          <w:szCs w:val="24"/>
          <w:lang w:eastAsia="en-IN"/>
        </w:rPr>
        <w:t>Phytochemistry Reviews, 8</w:t>
      </w:r>
      <w:r w:rsidRPr="006C657F">
        <w:rPr>
          <w:rFonts w:ascii="Times New Roman" w:eastAsia="Times New Roman" w:hAnsi="Times New Roman" w:cs="Times New Roman"/>
          <w:sz w:val="24"/>
          <w:szCs w:val="24"/>
          <w:lang w:eastAsia="en-IN"/>
        </w:rPr>
        <w:t>(2), 401–420.</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32" w:name="_Ref219478807"/>
      <w:r w:rsidRPr="006C657F">
        <w:rPr>
          <w:rFonts w:ascii="Times New Roman" w:hAnsi="Times New Roman" w:cs="Times New Roman"/>
          <w:sz w:val="24"/>
          <w:szCs w:val="24"/>
          <w:shd w:val="clear" w:color="auto" w:fill="FFFFFF"/>
        </w:rPr>
        <w:t>Mokra, D., Joskova, M., &amp; Mokry, J. (2022). Therapeutic Effects of Green Tea Polyphenol (‒)-Epigallocatechin-3-Gallate (EGCG) in Relation to Molecular Pathways Controlling Inflammation, Oxidative Stress, and Apoptosis. </w:t>
      </w:r>
      <w:r w:rsidRPr="006C657F">
        <w:rPr>
          <w:rFonts w:ascii="Times New Roman" w:hAnsi="Times New Roman" w:cs="Times New Roman"/>
          <w:i/>
          <w:iCs/>
          <w:sz w:val="24"/>
          <w:szCs w:val="24"/>
          <w:shd w:val="clear" w:color="auto" w:fill="FFFFFF"/>
        </w:rPr>
        <w:t>International journal of molecular sciences</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24</w:t>
      </w:r>
      <w:r w:rsidRPr="006C657F">
        <w:rPr>
          <w:rFonts w:ascii="Times New Roman" w:hAnsi="Times New Roman" w:cs="Times New Roman"/>
          <w:sz w:val="24"/>
          <w:szCs w:val="24"/>
          <w:shd w:val="clear" w:color="auto" w:fill="FFFFFF"/>
        </w:rPr>
        <w:t xml:space="preserve">(1), 340. </w:t>
      </w:r>
      <w:hyperlink r:id="rId112" w:history="1">
        <w:r w:rsidRPr="006C657F">
          <w:rPr>
            <w:rStyle w:val="Hyperlink"/>
            <w:rFonts w:ascii="Times New Roman" w:hAnsi="Times New Roman" w:cs="Times New Roman"/>
            <w:sz w:val="24"/>
            <w:szCs w:val="24"/>
          </w:rPr>
          <w:t>https://doi.org/10.3390/ijms24010340</w:t>
        </w:r>
      </w:hyperlink>
      <w:bookmarkEnd w:id="32"/>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33" w:name="_Ref219478304"/>
      <w:r w:rsidRPr="006C657F">
        <w:rPr>
          <w:rFonts w:ascii="Times New Roman" w:hAnsi="Times New Roman" w:cs="Times New Roman"/>
          <w:sz w:val="24"/>
          <w:szCs w:val="24"/>
          <w:shd w:val="clear" w:color="auto" w:fill="FFFFFF"/>
        </w:rPr>
        <w:t>Nezhad Salari, A. M., Rasoulizadeh, Z., Shabgah, A. G., Vakili-Ghartavol, R., Sargazi, G., &amp; Gholizadeh Navashenaq, J. (2024). Exploring the mechanisms of kaempferol in neuroprotection: Implications for neurological disorders. </w:t>
      </w:r>
      <w:r w:rsidRPr="006C657F">
        <w:rPr>
          <w:rFonts w:ascii="Times New Roman" w:hAnsi="Times New Roman" w:cs="Times New Roman"/>
          <w:i/>
          <w:iCs/>
          <w:sz w:val="24"/>
          <w:szCs w:val="24"/>
          <w:shd w:val="clear" w:color="auto" w:fill="FFFFFF"/>
        </w:rPr>
        <w:t>Cell biochemistry and function</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42</w:t>
      </w:r>
      <w:r w:rsidRPr="006C657F">
        <w:rPr>
          <w:rFonts w:ascii="Times New Roman" w:hAnsi="Times New Roman" w:cs="Times New Roman"/>
          <w:sz w:val="24"/>
          <w:szCs w:val="24"/>
          <w:shd w:val="clear" w:color="auto" w:fill="FFFFFF"/>
        </w:rPr>
        <w:t xml:space="preserve">(2), e3964. </w:t>
      </w:r>
      <w:hyperlink r:id="rId113" w:history="1">
        <w:r w:rsidRPr="006C657F">
          <w:rPr>
            <w:rStyle w:val="Hyperlink"/>
            <w:rFonts w:ascii="Times New Roman" w:hAnsi="Times New Roman" w:cs="Times New Roman"/>
            <w:sz w:val="24"/>
            <w:szCs w:val="24"/>
          </w:rPr>
          <w:t>https://doi.org/10.1002/cbf.3964</w:t>
        </w:r>
      </w:hyperlink>
      <w:bookmarkEnd w:id="33"/>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eastAsia="Times New Roman" w:hAnsi="Times New Roman" w:cs="Times New Roman"/>
          <w:sz w:val="24"/>
          <w:szCs w:val="24"/>
          <w:lang w:eastAsia="en-IN"/>
        </w:rPr>
        <w:lastRenderedPageBreak/>
        <w:t>Olasehinde, T. A., &amp; Olaokun, O. O. (2024). The Beneficial Role of Apigenin against Cognitive and Neurobehavioural Dysfunction: A Systematic Review of Preclinical Investigations. </w:t>
      </w:r>
      <w:r w:rsidRPr="006C657F">
        <w:rPr>
          <w:rFonts w:ascii="Times New Roman" w:eastAsia="Times New Roman" w:hAnsi="Times New Roman" w:cs="Times New Roman"/>
          <w:i/>
          <w:iCs/>
          <w:sz w:val="24"/>
          <w:szCs w:val="24"/>
          <w:lang w:eastAsia="en-IN"/>
        </w:rPr>
        <w:t>Biomedicines</w:t>
      </w:r>
      <w:r w:rsidRPr="006C657F">
        <w:rPr>
          <w:rFonts w:ascii="Times New Roman" w:eastAsia="Times New Roman" w:hAnsi="Times New Roman" w:cs="Times New Roman"/>
          <w:sz w:val="24"/>
          <w:szCs w:val="24"/>
          <w:lang w:eastAsia="en-IN"/>
        </w:rPr>
        <w:t>, </w:t>
      </w:r>
      <w:r w:rsidRPr="006C657F">
        <w:rPr>
          <w:rFonts w:ascii="Times New Roman" w:eastAsia="Times New Roman" w:hAnsi="Times New Roman" w:cs="Times New Roman"/>
          <w:i/>
          <w:iCs/>
          <w:sz w:val="24"/>
          <w:szCs w:val="24"/>
          <w:lang w:eastAsia="en-IN"/>
        </w:rPr>
        <w:t>12</w:t>
      </w:r>
      <w:r w:rsidRPr="006C657F">
        <w:rPr>
          <w:rFonts w:ascii="Times New Roman" w:eastAsia="Times New Roman" w:hAnsi="Times New Roman" w:cs="Times New Roman"/>
          <w:sz w:val="24"/>
          <w:szCs w:val="24"/>
          <w:lang w:eastAsia="en-IN"/>
        </w:rPr>
        <w:t xml:space="preserve">(1), 178. </w:t>
      </w:r>
      <w:hyperlink r:id="rId114" w:history="1">
        <w:r w:rsidRPr="006C657F">
          <w:rPr>
            <w:rStyle w:val="Hyperlink"/>
            <w:rFonts w:ascii="Times New Roman" w:hAnsi="Times New Roman" w:cs="Times New Roman"/>
            <w:sz w:val="24"/>
            <w:szCs w:val="24"/>
          </w:rPr>
          <w:t>https://doi.org/10.3390/biomedicines12010178</w:t>
        </w:r>
      </w:hyperlink>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Pammi, S. S. (2026). Comparative phytochemical analysis of wild vs. cultivated medicinal plants: Implications for bioactivity. </w:t>
      </w:r>
      <w:r w:rsidRPr="00B575F6">
        <w:rPr>
          <w:i/>
          <w:iCs/>
        </w:rPr>
        <w:t>International Journal of Agricultural Sciences and Veterinary Medicine</w:t>
      </w:r>
      <w:r w:rsidRPr="00B575F6">
        <w:t xml:space="preserve">, </w:t>
      </w:r>
      <w:r w:rsidRPr="00B575F6">
        <w:rPr>
          <w:i/>
          <w:iCs/>
        </w:rPr>
        <w:t>3</w:t>
      </w:r>
      <w:r w:rsidRPr="00B575F6">
        <w:t xml:space="preserve">(13), 5. </w:t>
      </w:r>
      <w:r w:rsidRPr="00B575F6">
        <w:rPr>
          <w:rStyle w:val="url"/>
        </w:rPr>
        <w:t>https://doi.org/10.25303/1303ijasvm05019</w:t>
      </w:r>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color w:val="0000FF"/>
          <w:sz w:val="24"/>
          <w:szCs w:val="24"/>
          <w:u w:val="single"/>
          <w:lang w:eastAsia="en-IN"/>
        </w:rPr>
      </w:pPr>
      <w:r w:rsidRPr="006C657F">
        <w:rPr>
          <w:rFonts w:ascii="Times New Roman" w:hAnsi="Times New Roman" w:cs="Times New Roman"/>
          <w:sz w:val="24"/>
          <w:szCs w:val="24"/>
        </w:rPr>
        <w:t xml:space="preserve">Pandit, S., Srivastav, A. K., Sur, T. K., Chaudhuri, S., Wang, Y., &amp; Biswas, T. K. (2024). Effects of Withania somnifera Extract in Chronically Stressed Adults: A Randomized Controlled Trial. </w:t>
      </w:r>
      <w:r w:rsidRPr="006C657F">
        <w:rPr>
          <w:rFonts w:ascii="Times New Roman" w:hAnsi="Times New Roman" w:cs="Times New Roman"/>
          <w:i/>
          <w:iCs/>
          <w:sz w:val="24"/>
          <w:szCs w:val="24"/>
        </w:rPr>
        <w:t>Nutrients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16</w:t>
      </w:r>
      <w:r w:rsidRPr="006C657F">
        <w:rPr>
          <w:rFonts w:ascii="Times New Roman" w:hAnsi="Times New Roman" w:cs="Times New Roman"/>
          <w:sz w:val="24"/>
          <w:szCs w:val="24"/>
        </w:rPr>
        <w:t xml:space="preserve">(9), 1293. </w:t>
      </w:r>
      <w:hyperlink r:id="rId115" w:history="1">
        <w:r w:rsidRPr="006C657F">
          <w:rPr>
            <w:rStyle w:val="Hyperlink"/>
            <w:rFonts w:ascii="Times New Roman" w:hAnsi="Times New Roman" w:cs="Times New Roman"/>
            <w:sz w:val="24"/>
            <w:szCs w:val="24"/>
          </w:rPr>
          <w:t>https://doi.org/10.3390/nu16091293</w:t>
        </w:r>
      </w:hyperlink>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bookmarkStart w:id="34" w:name="_Ref219478122"/>
      <w:r w:rsidRPr="006C657F">
        <w:rPr>
          <w:rFonts w:ascii="Times New Roman" w:hAnsi="Times New Roman" w:cs="Times New Roman"/>
          <w:sz w:val="24"/>
          <w:szCs w:val="24"/>
          <w:shd w:val="clear" w:color="auto" w:fill="FFFFFF"/>
        </w:rPr>
        <w:t>Pathak, S., &amp; Godela, R. (2024). Nardostachys jatamansi: Phytochemistry, ethnomedicinal uses, and pharmacological activities: A comprehensive review. </w:t>
      </w:r>
      <w:r w:rsidRPr="006C657F">
        <w:rPr>
          <w:rFonts w:ascii="Times New Roman" w:hAnsi="Times New Roman" w:cs="Times New Roman"/>
          <w:i/>
          <w:iCs/>
          <w:sz w:val="24"/>
          <w:szCs w:val="24"/>
          <w:shd w:val="clear" w:color="auto" w:fill="FFFFFF"/>
        </w:rPr>
        <w:t>Fitoterapia</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172</w:t>
      </w:r>
      <w:r w:rsidRPr="006C657F">
        <w:rPr>
          <w:rFonts w:ascii="Times New Roman" w:hAnsi="Times New Roman" w:cs="Times New Roman"/>
          <w:sz w:val="24"/>
          <w:szCs w:val="24"/>
          <w:shd w:val="clear" w:color="auto" w:fill="FFFFFF"/>
        </w:rPr>
        <w:t xml:space="preserve">, 105764. </w:t>
      </w:r>
      <w:hyperlink r:id="rId116" w:history="1">
        <w:r w:rsidRPr="006C657F">
          <w:rPr>
            <w:rStyle w:val="Hyperlink"/>
            <w:rFonts w:ascii="Times New Roman" w:hAnsi="Times New Roman" w:cs="Times New Roman"/>
            <w:sz w:val="24"/>
            <w:szCs w:val="24"/>
            <w:shd w:val="clear" w:color="auto" w:fill="FFFFFF"/>
          </w:rPr>
          <w:t>https://doi.org/10.1016/j.fitote.2023.105764</w:t>
        </w:r>
      </w:hyperlink>
      <w:bookmarkEnd w:id="34"/>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r w:rsidRPr="006C657F">
        <w:rPr>
          <w:rFonts w:ascii="Times New Roman" w:eastAsia="Times New Roman" w:hAnsi="Times New Roman" w:cs="Times New Roman"/>
          <w:sz w:val="24"/>
          <w:szCs w:val="24"/>
          <w:lang w:eastAsia="en-IN"/>
        </w:rPr>
        <w:t xml:space="preserve">Piotrowska, H., Kucinska, M., &amp; Murias, M. (2012). Biological activity of piceatannol. </w:t>
      </w:r>
      <w:r w:rsidRPr="006C657F">
        <w:rPr>
          <w:rFonts w:ascii="Times New Roman" w:eastAsia="Times New Roman" w:hAnsi="Times New Roman" w:cs="Times New Roman"/>
          <w:i/>
          <w:iCs/>
          <w:sz w:val="24"/>
          <w:szCs w:val="24"/>
          <w:lang w:eastAsia="en-IN"/>
        </w:rPr>
        <w:t>Pharmacological Reports, 64</w:t>
      </w:r>
      <w:r w:rsidRPr="006C657F">
        <w:rPr>
          <w:rFonts w:ascii="Times New Roman" w:eastAsia="Times New Roman" w:hAnsi="Times New Roman" w:cs="Times New Roman"/>
          <w:sz w:val="24"/>
          <w:szCs w:val="24"/>
          <w:lang w:eastAsia="en-IN"/>
        </w:rPr>
        <w:t>(3), 439–450.</w:t>
      </w:r>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sz w:val="24"/>
          <w:szCs w:val="24"/>
          <w:shd w:val="clear" w:color="auto" w:fill="FFFFFF"/>
        </w:rPr>
      </w:pPr>
      <w:bookmarkStart w:id="35" w:name="_Ref219477976"/>
      <w:r w:rsidRPr="006C657F">
        <w:rPr>
          <w:rFonts w:ascii="Times New Roman" w:hAnsi="Times New Roman" w:cs="Times New Roman"/>
          <w:sz w:val="24"/>
          <w:szCs w:val="24"/>
          <w:shd w:val="clear" w:color="auto" w:fill="FFFFFF"/>
        </w:rPr>
        <w:t>Prabhakar, S., Vishnu, V. Y., Modi, M., Mohanty, M., Sharma, A., Medhi, B., Mittal, B. R., Khandelwal, N., Goyal, M. K., Lal, V., Singla, R., Kansal, A., &amp; Avasthi, A. (2020). Efficacy of Bacopa Monnieri (Brahmi) and Donepezil in Alzheimer's Disease and Mild Cognitive Impairment: A Randomized Double-Blind Parallel Phase 2b Study. </w:t>
      </w:r>
      <w:r w:rsidRPr="006C657F">
        <w:rPr>
          <w:rFonts w:ascii="Times New Roman" w:hAnsi="Times New Roman" w:cs="Times New Roman"/>
          <w:i/>
          <w:iCs/>
          <w:sz w:val="24"/>
          <w:szCs w:val="24"/>
          <w:shd w:val="clear" w:color="auto" w:fill="FFFFFF"/>
        </w:rPr>
        <w:t>Annals of Indian Academy of Neurology</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23</w:t>
      </w:r>
      <w:r w:rsidRPr="006C657F">
        <w:rPr>
          <w:rFonts w:ascii="Times New Roman" w:hAnsi="Times New Roman" w:cs="Times New Roman"/>
          <w:sz w:val="24"/>
          <w:szCs w:val="24"/>
          <w:shd w:val="clear" w:color="auto" w:fill="FFFFFF"/>
        </w:rPr>
        <w:t xml:space="preserve">(6), 767–773. </w:t>
      </w:r>
      <w:hyperlink r:id="rId117" w:history="1">
        <w:r w:rsidRPr="006C657F">
          <w:rPr>
            <w:rStyle w:val="Hyperlink"/>
            <w:rFonts w:ascii="Times New Roman" w:hAnsi="Times New Roman" w:cs="Times New Roman"/>
            <w:sz w:val="24"/>
            <w:szCs w:val="24"/>
            <w:shd w:val="clear" w:color="auto" w:fill="FFFFFF"/>
          </w:rPr>
          <w:t>https://doi.org/10.4103/aian.AIAN_610_19</w:t>
        </w:r>
      </w:hyperlink>
      <w:bookmarkEnd w:id="35"/>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color w:val="0000FF"/>
          <w:sz w:val="24"/>
          <w:szCs w:val="24"/>
          <w:u w:val="single"/>
          <w:shd w:val="clear" w:color="auto" w:fill="FFFFFF"/>
        </w:rPr>
      </w:pPr>
      <w:bookmarkStart w:id="36" w:name="_Ref219477671"/>
      <w:r w:rsidRPr="006C657F">
        <w:rPr>
          <w:rFonts w:ascii="Times New Roman" w:hAnsi="Times New Roman" w:cs="Times New Roman"/>
          <w:sz w:val="24"/>
          <w:szCs w:val="24"/>
        </w:rPr>
        <w:t xml:space="preserve">Prakash, J., Chouhan, S., Yadav, S. K., Westfall, S., Rai, S. N., &amp; Singh, S. P. (2014). Withania somnifera Alleviates Parkinsonian Phenotypes by Inhibiting Apoptotic Pathways in Dopaminergic Neurons. </w:t>
      </w:r>
      <w:r w:rsidRPr="006C657F">
        <w:rPr>
          <w:rFonts w:ascii="Times New Roman" w:hAnsi="Times New Roman" w:cs="Times New Roman"/>
          <w:i/>
          <w:iCs/>
          <w:sz w:val="24"/>
          <w:szCs w:val="24"/>
        </w:rPr>
        <w:t>Neurochemical Research</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39</w:t>
      </w:r>
      <w:r w:rsidRPr="006C657F">
        <w:rPr>
          <w:rFonts w:ascii="Times New Roman" w:hAnsi="Times New Roman" w:cs="Times New Roman"/>
          <w:sz w:val="24"/>
          <w:szCs w:val="24"/>
        </w:rPr>
        <w:t xml:space="preserve">(12), 2527–2536. </w:t>
      </w:r>
      <w:hyperlink r:id="rId118" w:history="1">
        <w:r w:rsidRPr="006C657F">
          <w:rPr>
            <w:rStyle w:val="Hyperlink"/>
            <w:rFonts w:ascii="Times New Roman" w:hAnsi="Times New Roman" w:cs="Times New Roman"/>
            <w:sz w:val="24"/>
            <w:szCs w:val="24"/>
          </w:rPr>
          <w:t>https://doi.org/10.1007/s11064-014-1443-7</w:t>
        </w:r>
      </w:hyperlink>
      <w:bookmarkEnd w:id="36"/>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37" w:name="_Ref219485023"/>
      <w:r w:rsidRPr="006C657F">
        <w:rPr>
          <w:rFonts w:ascii="Times New Roman" w:eastAsia="Times New Roman" w:hAnsi="Times New Roman" w:cs="Times New Roman"/>
          <w:sz w:val="24"/>
          <w:szCs w:val="24"/>
          <w:lang w:eastAsia="en-IN"/>
        </w:rPr>
        <w:t xml:space="preserve">Prema, A., Janakiraman, U., Manivasagam, T., &amp; Thenmozhi, A. J. (2015). Neuroprotective effect of lycopene against MPTP induced experimental Parkinson’s disease in mice. </w:t>
      </w:r>
      <w:r w:rsidRPr="006C657F">
        <w:rPr>
          <w:rFonts w:ascii="Times New Roman" w:eastAsia="Times New Roman" w:hAnsi="Times New Roman" w:cs="Times New Roman"/>
          <w:i/>
          <w:iCs/>
          <w:sz w:val="24"/>
          <w:szCs w:val="24"/>
          <w:lang w:eastAsia="en-IN"/>
        </w:rPr>
        <w:t>Neuroscience Letters</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599</w:t>
      </w:r>
      <w:r w:rsidRPr="006C657F">
        <w:rPr>
          <w:rFonts w:ascii="Times New Roman" w:eastAsia="Times New Roman" w:hAnsi="Times New Roman" w:cs="Times New Roman"/>
          <w:sz w:val="24"/>
          <w:szCs w:val="24"/>
          <w:lang w:eastAsia="en-IN"/>
        </w:rPr>
        <w:t xml:space="preserve">, 12–19. </w:t>
      </w:r>
      <w:hyperlink r:id="rId119" w:history="1">
        <w:r w:rsidRPr="006C657F">
          <w:rPr>
            <w:rStyle w:val="Hyperlink"/>
            <w:rFonts w:ascii="Times New Roman" w:eastAsia="Times New Roman" w:hAnsi="Times New Roman" w:cs="Times New Roman"/>
            <w:sz w:val="24"/>
            <w:szCs w:val="24"/>
            <w:lang w:eastAsia="en-IN"/>
          </w:rPr>
          <w:t>https://doi.org/10.1016/j.neulet.2015.05.024</w:t>
        </w:r>
      </w:hyperlink>
      <w:bookmarkEnd w:id="37"/>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38" w:name="_Ref219488074"/>
      <w:r w:rsidRPr="006C657F">
        <w:rPr>
          <w:rFonts w:ascii="Times New Roman" w:eastAsia="Times New Roman" w:hAnsi="Times New Roman" w:cs="Times New Roman"/>
          <w:sz w:val="24"/>
          <w:szCs w:val="24"/>
          <w:lang w:eastAsia="en-IN"/>
        </w:rPr>
        <w:t xml:space="preserve">Priyadarsini, K. I. (2014). The chemistry of curcumin: From extraction to therapeutic agent. </w:t>
      </w:r>
      <w:r w:rsidRPr="006C657F">
        <w:rPr>
          <w:rFonts w:ascii="Times New Roman" w:eastAsia="Times New Roman" w:hAnsi="Times New Roman" w:cs="Times New Roman"/>
          <w:i/>
          <w:iCs/>
          <w:sz w:val="24"/>
          <w:szCs w:val="24"/>
          <w:lang w:eastAsia="en-IN"/>
        </w:rPr>
        <w:t>Molecules, 19</w:t>
      </w:r>
      <w:r w:rsidRPr="006C657F">
        <w:rPr>
          <w:rFonts w:ascii="Times New Roman" w:eastAsia="Times New Roman" w:hAnsi="Times New Roman" w:cs="Times New Roman"/>
          <w:sz w:val="24"/>
          <w:szCs w:val="24"/>
          <w:lang w:eastAsia="en-IN"/>
        </w:rPr>
        <w:t>(12), 20091–20112.</w:t>
      </w:r>
      <w:bookmarkEnd w:id="38"/>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39" w:name="_Ref219479471"/>
      <w:r w:rsidRPr="006C657F">
        <w:rPr>
          <w:rFonts w:ascii="Times New Roman" w:hAnsi="Times New Roman" w:cs="Times New Roman"/>
          <w:sz w:val="24"/>
          <w:szCs w:val="24"/>
        </w:rPr>
        <w:t xml:space="preserve">Ruankham, W., Suwanjang, W., Wongchitrat, P., Prachayasittikul, V., Prachayasittikul, S., &amp; Phopin, K. (2019). Sesamin and sesamol attenuate H2O2-induced oxidative stress on human neuronal cells via the SIRT1-SIRT3-FOXO3a signaling pathway. </w:t>
      </w:r>
      <w:r w:rsidRPr="006C657F">
        <w:rPr>
          <w:rFonts w:ascii="Times New Roman" w:hAnsi="Times New Roman" w:cs="Times New Roman"/>
          <w:i/>
          <w:iCs/>
          <w:sz w:val="24"/>
          <w:szCs w:val="24"/>
        </w:rPr>
        <w:t>Nutritional Neuroscience</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24</w:t>
      </w:r>
      <w:r w:rsidRPr="006C657F">
        <w:rPr>
          <w:rFonts w:ascii="Times New Roman" w:hAnsi="Times New Roman" w:cs="Times New Roman"/>
          <w:sz w:val="24"/>
          <w:szCs w:val="24"/>
        </w:rPr>
        <w:t xml:space="preserve">(2), 90–101. </w:t>
      </w:r>
      <w:hyperlink r:id="rId120" w:history="1">
        <w:r w:rsidRPr="006C657F">
          <w:rPr>
            <w:rStyle w:val="Hyperlink"/>
            <w:rFonts w:ascii="Times New Roman" w:hAnsi="Times New Roman" w:cs="Times New Roman"/>
            <w:sz w:val="24"/>
            <w:szCs w:val="24"/>
          </w:rPr>
          <w:t>https://doi.org/10.1080/1028415x.2019.1596613</w:t>
        </w:r>
      </w:hyperlink>
      <w:bookmarkEnd w:id="39"/>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40" w:name="_Ref219479513"/>
      <w:r w:rsidRPr="006C657F">
        <w:rPr>
          <w:rFonts w:ascii="Times New Roman" w:hAnsi="Times New Roman" w:cs="Times New Roman"/>
          <w:sz w:val="24"/>
          <w:szCs w:val="24"/>
        </w:rPr>
        <w:t xml:space="preserve">Santos, É. R. Q. D., Maia, J. G. S., Fontes-Júnior, E. A., &amp; Maia, C. D. S. F. (2022). Linalool as a therapeutic and medicinal tool in depression treatment: AReview. </w:t>
      </w:r>
      <w:r w:rsidRPr="006C657F">
        <w:rPr>
          <w:rFonts w:ascii="Times New Roman" w:hAnsi="Times New Roman" w:cs="Times New Roman"/>
          <w:i/>
          <w:iCs/>
          <w:sz w:val="24"/>
          <w:szCs w:val="24"/>
        </w:rPr>
        <w:t>Current Neuropharmacology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20</w:t>
      </w:r>
      <w:r w:rsidRPr="006C657F">
        <w:rPr>
          <w:rFonts w:ascii="Times New Roman" w:hAnsi="Times New Roman" w:cs="Times New Roman"/>
          <w:sz w:val="24"/>
          <w:szCs w:val="24"/>
        </w:rPr>
        <w:t xml:space="preserve">(6), 1073–1092. </w:t>
      </w:r>
      <w:hyperlink r:id="rId121" w:history="1">
        <w:r w:rsidRPr="006C657F">
          <w:rPr>
            <w:rStyle w:val="Hyperlink"/>
            <w:rFonts w:ascii="Times New Roman" w:hAnsi="Times New Roman" w:cs="Times New Roman"/>
            <w:sz w:val="24"/>
            <w:szCs w:val="24"/>
          </w:rPr>
          <w:t>https://doi.org/10.2174/1570159x19666210920094504</w:t>
        </w:r>
      </w:hyperlink>
      <w:bookmarkEnd w:id="40"/>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r w:rsidRPr="006C657F">
        <w:rPr>
          <w:rFonts w:ascii="Times New Roman" w:eastAsia="Times New Roman" w:hAnsi="Times New Roman" w:cs="Times New Roman"/>
          <w:sz w:val="24"/>
          <w:szCs w:val="24"/>
          <w:lang w:eastAsia="en-IN"/>
        </w:rPr>
        <w:t xml:space="preserve">Santos, J. S. D., Cirino, J. P. G., De Oliveira Carvalho, P., &amp; Ortega, M. M. (2022). The Pharmacological Action of Kaempferol in Central Nervous System Diseases: A Review. </w:t>
      </w:r>
      <w:r w:rsidRPr="006C657F">
        <w:rPr>
          <w:rFonts w:ascii="Times New Roman" w:eastAsia="Times New Roman" w:hAnsi="Times New Roman" w:cs="Times New Roman"/>
          <w:i/>
          <w:iCs/>
          <w:sz w:val="24"/>
          <w:szCs w:val="24"/>
          <w:lang w:eastAsia="en-IN"/>
        </w:rPr>
        <w:t>Frontiers in Pharmacology</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11</w:t>
      </w:r>
      <w:r w:rsidRPr="006C657F">
        <w:rPr>
          <w:rFonts w:ascii="Times New Roman" w:eastAsia="Times New Roman" w:hAnsi="Times New Roman" w:cs="Times New Roman"/>
          <w:sz w:val="24"/>
          <w:szCs w:val="24"/>
          <w:lang w:eastAsia="en-IN"/>
        </w:rPr>
        <w:t xml:space="preserve">, 565700. </w:t>
      </w:r>
      <w:hyperlink r:id="rId122" w:history="1">
        <w:r w:rsidRPr="006C657F">
          <w:rPr>
            <w:rStyle w:val="Hyperlink"/>
            <w:rFonts w:ascii="Times New Roman" w:eastAsia="Times New Roman" w:hAnsi="Times New Roman" w:cs="Times New Roman"/>
            <w:sz w:val="24"/>
            <w:szCs w:val="24"/>
            <w:lang w:eastAsia="en-IN"/>
          </w:rPr>
          <w:t>https://doi.org/10.3389/fphar.2020.565700</w:t>
        </w:r>
      </w:hyperlink>
    </w:p>
    <w:p w:rsidR="00876EF8"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41" w:name="_Ref219485317"/>
      <w:r w:rsidRPr="006C657F">
        <w:rPr>
          <w:rFonts w:ascii="Arial" w:hAnsi="Arial" w:cs="Arial"/>
          <w:color w:val="222222"/>
          <w:sz w:val="24"/>
          <w:szCs w:val="24"/>
          <w:shd w:val="clear" w:color="auto" w:fill="FFFFFF"/>
        </w:rPr>
        <w:t>Semwal, P., Kapoor, T., Anthwal, P., Sati, B., &amp; Thapliyal, A. (2014). Herbal extract as potential modulator and drug for synaptic plasticity and neurodegenerative disorders. </w:t>
      </w:r>
      <w:r w:rsidRPr="006C657F">
        <w:rPr>
          <w:rFonts w:ascii="Arial" w:hAnsi="Arial" w:cs="Arial"/>
          <w:i/>
          <w:iCs/>
          <w:color w:val="222222"/>
          <w:sz w:val="24"/>
          <w:szCs w:val="24"/>
          <w:shd w:val="clear" w:color="auto" w:fill="FFFFFF"/>
        </w:rPr>
        <w:t>Int J Pharm Sci Rev Res</w:t>
      </w:r>
      <w:r w:rsidRPr="006C657F">
        <w:rPr>
          <w:rFonts w:ascii="Arial" w:hAnsi="Arial" w:cs="Arial"/>
          <w:color w:val="222222"/>
          <w:sz w:val="24"/>
          <w:szCs w:val="24"/>
          <w:shd w:val="clear" w:color="auto" w:fill="FFFFFF"/>
        </w:rPr>
        <w:t>, </w:t>
      </w:r>
      <w:r w:rsidRPr="006C657F">
        <w:rPr>
          <w:rFonts w:ascii="Arial" w:hAnsi="Arial" w:cs="Arial"/>
          <w:i/>
          <w:iCs/>
          <w:color w:val="222222"/>
          <w:sz w:val="24"/>
          <w:szCs w:val="24"/>
          <w:shd w:val="clear" w:color="auto" w:fill="FFFFFF"/>
        </w:rPr>
        <w:t>25</w:t>
      </w:r>
      <w:r w:rsidRPr="006C657F">
        <w:rPr>
          <w:rFonts w:ascii="Arial" w:hAnsi="Arial" w:cs="Arial"/>
          <w:color w:val="222222"/>
          <w:sz w:val="24"/>
          <w:szCs w:val="24"/>
          <w:shd w:val="clear" w:color="auto" w:fill="FFFFFF"/>
        </w:rPr>
        <w:t>(1), 69-79.</w:t>
      </w:r>
    </w:p>
    <w:p w:rsidR="00BC7CD3" w:rsidRPr="00B575F6" w:rsidRDefault="00BC7CD3" w:rsidP="006C657F">
      <w:pPr>
        <w:pStyle w:val="NormalWeb"/>
        <w:numPr>
          <w:ilvl w:val="0"/>
          <w:numId w:val="25"/>
        </w:numPr>
        <w:spacing w:before="0" w:beforeAutospacing="0" w:after="0" w:afterAutospacing="0"/>
        <w:ind w:left="1080"/>
        <w:jc w:val="both"/>
      </w:pPr>
      <w:bookmarkStart w:id="42" w:name="_Ref219478849"/>
      <w:bookmarkEnd w:id="41"/>
      <w:r w:rsidRPr="00B575F6">
        <w:t xml:space="preserve">Shen, T., Wang, X., &amp; Lou, H. (2009). Natural stilbenes: an overview. </w:t>
      </w:r>
      <w:r w:rsidRPr="00B575F6">
        <w:rPr>
          <w:i/>
          <w:iCs/>
        </w:rPr>
        <w:t>Natural Product Reports</w:t>
      </w:r>
      <w:r w:rsidRPr="00B575F6">
        <w:t xml:space="preserve">, </w:t>
      </w:r>
      <w:r w:rsidRPr="00B575F6">
        <w:rPr>
          <w:i/>
          <w:iCs/>
        </w:rPr>
        <w:t>26</w:t>
      </w:r>
      <w:r w:rsidRPr="00B575F6">
        <w:t xml:space="preserve">(7), 916. </w:t>
      </w:r>
      <w:r w:rsidRPr="00B575F6">
        <w:rPr>
          <w:rStyle w:val="url"/>
        </w:rPr>
        <w:t>https://doi.org/10.1039/b905960a</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r w:rsidRPr="006C657F">
        <w:rPr>
          <w:rFonts w:ascii="Times New Roman" w:hAnsi="Times New Roman" w:cs="Times New Roman"/>
          <w:sz w:val="24"/>
          <w:szCs w:val="24"/>
          <w:shd w:val="clear" w:color="auto" w:fill="FFFFFF"/>
        </w:rPr>
        <w:t>Shaito, A., Al-Mansoob, M., Ahmad, S. M. S., Haider, M. Z., Eid, A. H., Posadino, A. M., Pintus, G., &amp; Giordo, R. (2023). Resveratrol-Mediated Regulation of Mitochondria Biogenesis-associated Pathways in Neurodegenerative Diseases: Molecular Insights and Potential Therapeutic Applications. </w:t>
      </w:r>
      <w:r w:rsidRPr="006C657F">
        <w:rPr>
          <w:rFonts w:ascii="Times New Roman" w:hAnsi="Times New Roman" w:cs="Times New Roman"/>
          <w:i/>
          <w:iCs/>
          <w:sz w:val="24"/>
          <w:szCs w:val="24"/>
          <w:shd w:val="clear" w:color="auto" w:fill="FFFFFF"/>
        </w:rPr>
        <w:t>Current neuropharmacology</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21</w:t>
      </w:r>
      <w:r w:rsidRPr="006C657F">
        <w:rPr>
          <w:rFonts w:ascii="Times New Roman" w:hAnsi="Times New Roman" w:cs="Times New Roman"/>
          <w:sz w:val="24"/>
          <w:szCs w:val="24"/>
          <w:shd w:val="clear" w:color="auto" w:fill="FFFFFF"/>
        </w:rPr>
        <w:t xml:space="preserve">(5), 1184–1201. </w:t>
      </w:r>
      <w:hyperlink r:id="rId123" w:history="1">
        <w:r w:rsidRPr="006C657F">
          <w:rPr>
            <w:rStyle w:val="Hyperlink"/>
            <w:rFonts w:ascii="Times New Roman" w:hAnsi="Times New Roman" w:cs="Times New Roman"/>
            <w:sz w:val="24"/>
            <w:szCs w:val="24"/>
            <w:shd w:val="clear" w:color="auto" w:fill="FFFFFF"/>
          </w:rPr>
          <w:t>https://doi.org/10.2174/1570159X20666221012122855</w:t>
        </w:r>
      </w:hyperlink>
      <w:bookmarkEnd w:id="42"/>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sz w:val="24"/>
          <w:szCs w:val="24"/>
        </w:rPr>
      </w:pPr>
      <w:bookmarkStart w:id="43" w:name="_Ref219479654"/>
      <w:r w:rsidRPr="006C657F">
        <w:rPr>
          <w:rFonts w:ascii="Times New Roman" w:hAnsi="Times New Roman" w:cs="Times New Roman"/>
          <w:sz w:val="24"/>
          <w:szCs w:val="24"/>
        </w:rPr>
        <w:t xml:space="preserve">Shan, X., Li, S., Liu, J., Wang, C., Wei, Y., Shi, J., Zhang, X., &amp; Gu, L. (2025). The therapeutic potential of andrographolide and its derivatives in inflammatory diseases. </w:t>
      </w:r>
      <w:r w:rsidRPr="006C657F">
        <w:rPr>
          <w:rFonts w:ascii="Times New Roman" w:hAnsi="Times New Roman" w:cs="Times New Roman"/>
          <w:i/>
          <w:iCs/>
          <w:sz w:val="24"/>
          <w:szCs w:val="24"/>
        </w:rPr>
        <w:t>Pharmacology Research &amp; Perspectives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13</w:t>
      </w:r>
      <w:r w:rsidRPr="006C657F">
        <w:rPr>
          <w:rFonts w:ascii="Times New Roman" w:hAnsi="Times New Roman" w:cs="Times New Roman"/>
          <w:sz w:val="24"/>
          <w:szCs w:val="24"/>
        </w:rPr>
        <w:t xml:space="preserve">(5), e70161. </w:t>
      </w:r>
      <w:hyperlink r:id="rId124" w:history="1">
        <w:r w:rsidRPr="006C657F">
          <w:rPr>
            <w:rStyle w:val="Hyperlink"/>
            <w:rFonts w:ascii="Times New Roman" w:hAnsi="Times New Roman" w:cs="Times New Roman"/>
            <w:sz w:val="24"/>
            <w:szCs w:val="24"/>
          </w:rPr>
          <w:t>https://doi.org/10.1002/prp2.70161</w:t>
        </w:r>
      </w:hyperlink>
      <w:bookmarkEnd w:id="43"/>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44" w:name="_Ref219475066"/>
      <w:r w:rsidRPr="006C657F">
        <w:rPr>
          <w:rFonts w:ascii="Times New Roman" w:eastAsia="Times New Roman" w:hAnsi="Times New Roman" w:cs="Times New Roman"/>
          <w:sz w:val="24"/>
          <w:szCs w:val="24"/>
          <w:lang w:eastAsia="en-IN"/>
        </w:rPr>
        <w:t xml:space="preserve">Sharma, S. N. (2025). Understanding Metropolitan Areas and Metropolitan Regions: A Comparative analysis. </w:t>
      </w:r>
      <w:r w:rsidRPr="006C657F">
        <w:rPr>
          <w:rFonts w:ascii="Times New Roman" w:eastAsia="Times New Roman" w:hAnsi="Times New Roman" w:cs="Times New Roman"/>
          <w:i/>
          <w:iCs/>
          <w:sz w:val="24"/>
          <w:szCs w:val="24"/>
          <w:lang w:eastAsia="en-IN"/>
        </w:rPr>
        <w:t>SSRN Electronic Journal</w:t>
      </w:r>
      <w:r w:rsidRPr="006C657F">
        <w:rPr>
          <w:rFonts w:ascii="Times New Roman" w:eastAsia="Times New Roman" w:hAnsi="Times New Roman" w:cs="Times New Roman"/>
          <w:sz w:val="24"/>
          <w:szCs w:val="24"/>
          <w:lang w:eastAsia="en-IN"/>
        </w:rPr>
        <w:t>. https://doi.org/10.2139/ssrn.5828564</w:t>
      </w:r>
      <w:bookmarkEnd w:id="44"/>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45" w:name="_Ref219476145"/>
      <w:r w:rsidRPr="006C657F">
        <w:rPr>
          <w:rFonts w:ascii="Times New Roman" w:hAnsi="Times New Roman" w:cs="Times New Roman"/>
          <w:sz w:val="24"/>
          <w:szCs w:val="24"/>
        </w:rPr>
        <w:t xml:space="preserve">Singh, G., Sharma, M., Kumar, G. A., Rao, N. G., Prasad, K., Mathur, P., Pandian, J. D., Steinmetz, J. D., Dua, T., Dandona, L. (2021). </w:t>
      </w:r>
      <w:r w:rsidRPr="006C657F">
        <w:rPr>
          <w:rStyle w:val="Emphasis"/>
          <w:rFonts w:ascii="Times New Roman" w:hAnsi="Times New Roman" w:cs="Times New Roman"/>
          <w:sz w:val="24"/>
          <w:szCs w:val="24"/>
        </w:rPr>
        <w:t xml:space="preserve">The burden of neurological disorders across the states of India: </w:t>
      </w:r>
      <w:r w:rsidRPr="006C657F">
        <w:rPr>
          <w:rStyle w:val="Emphasis"/>
          <w:rFonts w:ascii="Times New Roman" w:hAnsi="Times New Roman" w:cs="Times New Roman"/>
          <w:sz w:val="24"/>
          <w:szCs w:val="24"/>
        </w:rPr>
        <w:lastRenderedPageBreak/>
        <w:t>The Global Burden of Disease Study 1990–2019.</w:t>
      </w:r>
      <w:r w:rsidRPr="006C657F">
        <w:rPr>
          <w:rFonts w:ascii="Times New Roman" w:hAnsi="Times New Roman" w:cs="Times New Roman"/>
          <w:sz w:val="24"/>
          <w:szCs w:val="24"/>
        </w:rPr>
        <w:t xml:space="preserve"> </w:t>
      </w:r>
      <w:r w:rsidRPr="006C657F">
        <w:rPr>
          <w:rStyle w:val="Emphasis"/>
          <w:rFonts w:ascii="Times New Roman" w:hAnsi="Times New Roman" w:cs="Times New Roman"/>
          <w:sz w:val="24"/>
          <w:szCs w:val="24"/>
        </w:rPr>
        <w:t>The Lancet Global Health</w:t>
      </w:r>
      <w:r w:rsidRPr="006C657F">
        <w:rPr>
          <w:rFonts w:ascii="Times New Roman" w:hAnsi="Times New Roman" w:cs="Times New Roman"/>
          <w:sz w:val="24"/>
          <w:szCs w:val="24"/>
        </w:rPr>
        <w:t xml:space="preserve">, 9(8), e1129–e1144. </w:t>
      </w:r>
      <w:hyperlink r:id="rId125" w:history="1">
        <w:r w:rsidRPr="006C657F">
          <w:rPr>
            <w:rStyle w:val="Hyperlink"/>
            <w:rFonts w:ascii="Times New Roman" w:hAnsi="Times New Roman" w:cs="Times New Roman"/>
            <w:sz w:val="24"/>
            <w:szCs w:val="24"/>
          </w:rPr>
          <w:t>https://doi.org/10.1016/S2214-109X(21)00164-9</w:t>
        </w:r>
      </w:hyperlink>
      <w:bookmarkEnd w:id="45"/>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46" w:name="_Ref219478095"/>
      <w:r w:rsidRPr="006C657F">
        <w:rPr>
          <w:rFonts w:ascii="Times New Roman" w:hAnsi="Times New Roman" w:cs="Times New Roman"/>
          <w:sz w:val="24"/>
          <w:szCs w:val="24"/>
          <w:shd w:val="clear" w:color="auto" w:fill="FFFFFF"/>
        </w:rPr>
        <w:t>Singh, S. K., Srivastav, S., Castellani, R. J., Plascencia-Villa, G., &amp; Perry, G. (2019). Neuroprotective and Antioxidant Effect of Ginkgo biloba Extract Against AD and Other Neurological Disorders. </w:t>
      </w:r>
      <w:r w:rsidRPr="006C657F">
        <w:rPr>
          <w:rFonts w:ascii="Times New Roman" w:hAnsi="Times New Roman" w:cs="Times New Roman"/>
          <w:i/>
          <w:iCs/>
          <w:sz w:val="24"/>
          <w:szCs w:val="24"/>
          <w:shd w:val="clear" w:color="auto" w:fill="FFFFFF"/>
        </w:rPr>
        <w:t>Neurotherapeutics : the journal of the American Society for Experimental NeuroTherapeutics</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16</w:t>
      </w:r>
      <w:r w:rsidRPr="006C657F">
        <w:rPr>
          <w:rFonts w:ascii="Times New Roman" w:hAnsi="Times New Roman" w:cs="Times New Roman"/>
          <w:sz w:val="24"/>
          <w:szCs w:val="24"/>
          <w:shd w:val="clear" w:color="auto" w:fill="FFFFFF"/>
        </w:rPr>
        <w:t xml:space="preserve">(3), 666–674. </w:t>
      </w:r>
      <w:hyperlink r:id="rId126" w:history="1">
        <w:r w:rsidRPr="006C657F">
          <w:rPr>
            <w:rStyle w:val="Hyperlink"/>
            <w:rFonts w:ascii="Times New Roman" w:hAnsi="Times New Roman" w:cs="Times New Roman"/>
            <w:sz w:val="24"/>
            <w:szCs w:val="24"/>
            <w:shd w:val="clear" w:color="auto" w:fill="FFFFFF"/>
          </w:rPr>
          <w:t>https://doi.org/10.1007/s13311-019-00767-8</w:t>
        </w:r>
      </w:hyperlink>
      <w:bookmarkEnd w:id="46"/>
    </w:p>
    <w:p w:rsidR="00D50CDA" w:rsidRPr="006C657F" w:rsidRDefault="00D50CDA" w:rsidP="006C657F">
      <w:pPr>
        <w:pStyle w:val="ListParagraph"/>
        <w:numPr>
          <w:ilvl w:val="0"/>
          <w:numId w:val="25"/>
        </w:numPr>
        <w:spacing w:after="0" w:line="240" w:lineRule="auto"/>
        <w:ind w:left="1080"/>
        <w:jc w:val="both"/>
        <w:rPr>
          <w:rStyle w:val="Hyperlink"/>
          <w:rFonts w:ascii="Times New Roman" w:eastAsia="Times New Roman" w:hAnsi="Times New Roman" w:cs="Times New Roman"/>
          <w:sz w:val="24"/>
          <w:szCs w:val="24"/>
          <w:lang w:eastAsia="en-IN"/>
        </w:rPr>
      </w:pPr>
      <w:bookmarkStart w:id="47" w:name="_Ref219478861"/>
      <w:r w:rsidRPr="006C657F">
        <w:rPr>
          <w:rFonts w:ascii="Times New Roman" w:eastAsia="Times New Roman" w:hAnsi="Times New Roman" w:cs="Times New Roman"/>
          <w:sz w:val="24"/>
          <w:szCs w:val="24"/>
          <w:lang w:eastAsia="en-IN"/>
        </w:rPr>
        <w:t xml:space="preserve">Singh, S., Arthur, R., Upadhayay, S., &amp; Kumar, P. (2022). Ferulic acid ameliorates neurodegeneration via the Nrf2/ARE signalling pathway: A Review. </w:t>
      </w:r>
      <w:r w:rsidRPr="006C657F">
        <w:rPr>
          <w:rFonts w:ascii="Times New Roman" w:eastAsia="Times New Roman" w:hAnsi="Times New Roman" w:cs="Times New Roman"/>
          <w:i/>
          <w:iCs/>
          <w:sz w:val="24"/>
          <w:szCs w:val="24"/>
          <w:lang w:eastAsia="en-IN"/>
        </w:rPr>
        <w:t>Pharmacological Research - Modern Chinese Medicine</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5</w:t>
      </w:r>
      <w:r w:rsidRPr="006C657F">
        <w:rPr>
          <w:rFonts w:ascii="Times New Roman" w:eastAsia="Times New Roman" w:hAnsi="Times New Roman" w:cs="Times New Roman"/>
          <w:sz w:val="24"/>
          <w:szCs w:val="24"/>
          <w:lang w:eastAsia="en-IN"/>
        </w:rPr>
        <w:t xml:space="preserve">, 100190. </w:t>
      </w:r>
      <w:hyperlink r:id="rId127" w:history="1">
        <w:r w:rsidRPr="006C657F">
          <w:rPr>
            <w:rStyle w:val="Hyperlink"/>
            <w:rFonts w:ascii="Times New Roman" w:eastAsia="Times New Roman" w:hAnsi="Times New Roman" w:cs="Times New Roman"/>
            <w:sz w:val="24"/>
            <w:szCs w:val="24"/>
            <w:lang w:eastAsia="en-IN"/>
          </w:rPr>
          <w:t>https://doi.org/10.1016/j.prmcm.2022.100190</w:t>
        </w:r>
      </w:hyperlink>
      <w:bookmarkEnd w:id="47"/>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r w:rsidRPr="006C657F">
        <w:rPr>
          <w:rFonts w:ascii="Times New Roman" w:hAnsi="Times New Roman" w:cs="Times New Roman"/>
          <w:sz w:val="24"/>
          <w:szCs w:val="24"/>
        </w:rPr>
        <w:t xml:space="preserve">Suvaiv, N., Singh, K., Hasan, S. M., Kumar, A., Khan, A., Shahanawaz, M., Zaidi, S. M. H., &amp; Verma, K. (2025). Huperzine A: a natural acetylcholinesterase inhibitor with multifunctional neuroprotective effects. </w:t>
      </w:r>
      <w:r w:rsidRPr="006C657F">
        <w:rPr>
          <w:rFonts w:ascii="Times New Roman" w:hAnsi="Times New Roman" w:cs="Times New Roman"/>
          <w:i/>
          <w:iCs/>
          <w:sz w:val="24"/>
          <w:szCs w:val="24"/>
        </w:rPr>
        <w:t>Beni-Suef University Journal of Basic and Applied Sciences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14</w:t>
      </w:r>
      <w:r w:rsidRPr="006C657F">
        <w:rPr>
          <w:rFonts w:ascii="Times New Roman" w:hAnsi="Times New Roman" w:cs="Times New Roman"/>
          <w:sz w:val="24"/>
          <w:szCs w:val="24"/>
        </w:rPr>
        <w:t xml:space="preserve">(1). </w:t>
      </w:r>
      <w:hyperlink r:id="rId128" w:history="1">
        <w:r w:rsidRPr="006C657F">
          <w:rPr>
            <w:rStyle w:val="Hyperlink"/>
            <w:rFonts w:ascii="Times New Roman" w:hAnsi="Times New Roman" w:cs="Times New Roman"/>
            <w:sz w:val="24"/>
            <w:szCs w:val="24"/>
          </w:rPr>
          <w:t>https://doi.org/10.1186/s43088-025-00675-1</w:t>
        </w:r>
      </w:hyperlink>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48" w:name="_Ref219485013"/>
      <w:r w:rsidRPr="006C657F">
        <w:rPr>
          <w:rFonts w:ascii="Times New Roman" w:hAnsi="Times New Roman" w:cs="Times New Roman"/>
          <w:sz w:val="24"/>
          <w:szCs w:val="24"/>
        </w:rPr>
        <w:t xml:space="preserve">Tan, S. C., Bhattamisra, S. K., Chellappan, D. K., &amp; Candasamy, M. (2021). Actions and Therapeutic Potential of Madecassoside and Other Major Constituents of Centella asiatica: A Review. </w:t>
      </w:r>
      <w:r w:rsidRPr="006C657F">
        <w:rPr>
          <w:rFonts w:ascii="Times New Roman" w:hAnsi="Times New Roman" w:cs="Times New Roman"/>
          <w:i/>
          <w:iCs/>
          <w:sz w:val="24"/>
          <w:szCs w:val="24"/>
        </w:rPr>
        <w:t>Applied Sciences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11</w:t>
      </w:r>
      <w:r w:rsidRPr="006C657F">
        <w:rPr>
          <w:rFonts w:ascii="Times New Roman" w:hAnsi="Times New Roman" w:cs="Times New Roman"/>
          <w:sz w:val="24"/>
          <w:szCs w:val="24"/>
        </w:rPr>
        <w:t xml:space="preserve">(18), 8475. </w:t>
      </w:r>
      <w:hyperlink r:id="rId129" w:history="1">
        <w:r w:rsidRPr="006C657F">
          <w:rPr>
            <w:rStyle w:val="Hyperlink"/>
            <w:rFonts w:ascii="Times New Roman" w:hAnsi="Times New Roman" w:cs="Times New Roman"/>
            <w:sz w:val="24"/>
            <w:szCs w:val="24"/>
          </w:rPr>
          <w:t>https://doi.org/10.3390/app11188475</w:t>
        </w:r>
      </w:hyperlink>
      <w:bookmarkEnd w:id="48"/>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49" w:name="_Ref219479440"/>
      <w:r w:rsidRPr="006C657F">
        <w:rPr>
          <w:rFonts w:ascii="Times New Roman" w:hAnsi="Times New Roman" w:cs="Times New Roman"/>
          <w:sz w:val="24"/>
          <w:szCs w:val="24"/>
        </w:rPr>
        <w:t xml:space="preserve">Tang, X., Yan, T., Wang, S., Liu, Q., Yang, Q., Zhang, Y., Li, Y., Wu, Y., Liu, S., Ma, Y., &amp; Yang, L. (2023). Treatment with β-sitosterol ameliorates the effects of cerebral ischemia/reperfusion injury by suppressing cholesterol overload, endoplasmic reticulum stress, and apoptosis. </w:t>
      </w:r>
      <w:r w:rsidRPr="006C657F">
        <w:rPr>
          <w:rFonts w:ascii="Times New Roman" w:hAnsi="Times New Roman" w:cs="Times New Roman"/>
          <w:i/>
          <w:iCs/>
          <w:sz w:val="24"/>
          <w:szCs w:val="24"/>
        </w:rPr>
        <w:t>Neural Regeneration Research</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19</w:t>
      </w:r>
      <w:r w:rsidRPr="006C657F">
        <w:rPr>
          <w:rFonts w:ascii="Times New Roman" w:hAnsi="Times New Roman" w:cs="Times New Roman"/>
          <w:sz w:val="24"/>
          <w:szCs w:val="24"/>
        </w:rPr>
        <w:t xml:space="preserve">(3), 642–649. </w:t>
      </w:r>
      <w:hyperlink r:id="rId130" w:history="1">
        <w:r w:rsidRPr="006C657F">
          <w:rPr>
            <w:rStyle w:val="Hyperlink"/>
            <w:rFonts w:ascii="Times New Roman" w:hAnsi="Times New Roman" w:cs="Times New Roman"/>
            <w:sz w:val="24"/>
            <w:szCs w:val="24"/>
          </w:rPr>
          <w:t>https://doi.org/10.4103/1673-5374.380904</w:t>
        </w:r>
      </w:hyperlink>
      <w:bookmarkEnd w:id="49"/>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bookmarkStart w:id="50" w:name="_Ref219478868"/>
      <w:r w:rsidRPr="006C657F">
        <w:rPr>
          <w:rFonts w:ascii="Times New Roman" w:hAnsi="Times New Roman" w:cs="Times New Roman"/>
          <w:sz w:val="24"/>
          <w:szCs w:val="24"/>
          <w:shd w:val="clear" w:color="auto" w:fill="FFFFFF"/>
        </w:rPr>
        <w:t>Tian, E., Sharma, G., &amp; Dai, C. (2023). Neuroprotective Properties of Berberine: Molecular Mechanisms and Clinical Implications. </w:t>
      </w:r>
      <w:r w:rsidRPr="006C657F">
        <w:rPr>
          <w:rFonts w:ascii="Times New Roman" w:hAnsi="Times New Roman" w:cs="Times New Roman"/>
          <w:i/>
          <w:iCs/>
          <w:sz w:val="24"/>
          <w:szCs w:val="24"/>
          <w:shd w:val="clear" w:color="auto" w:fill="FFFFFF"/>
        </w:rPr>
        <w:t>Antioxidants (Basel, Switzerland)</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12</w:t>
      </w:r>
      <w:r w:rsidRPr="006C657F">
        <w:rPr>
          <w:rFonts w:ascii="Times New Roman" w:hAnsi="Times New Roman" w:cs="Times New Roman"/>
          <w:sz w:val="24"/>
          <w:szCs w:val="24"/>
          <w:shd w:val="clear" w:color="auto" w:fill="FFFFFF"/>
        </w:rPr>
        <w:t xml:space="preserve">(10), 1883. </w:t>
      </w:r>
      <w:hyperlink r:id="rId131" w:history="1">
        <w:r w:rsidRPr="006C657F">
          <w:rPr>
            <w:rStyle w:val="Hyperlink"/>
            <w:rFonts w:ascii="Times New Roman" w:hAnsi="Times New Roman" w:cs="Times New Roman"/>
            <w:sz w:val="24"/>
            <w:szCs w:val="24"/>
          </w:rPr>
          <w:t>https://doi.org/10.3390/antiox12101883</w:t>
        </w:r>
      </w:hyperlink>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hAnsi="Times New Roman" w:cs="Times New Roman"/>
          <w:sz w:val="24"/>
          <w:szCs w:val="24"/>
          <w:shd w:val="clear" w:color="auto" w:fill="FFFFFF"/>
        </w:rPr>
        <w:t>Valotto Neto, L. J., Reverete de Araujo, M., Moretti Junior, R. C., Mendes Machado, N., Joshi, R. K., dos Santos Buglio, D., Barbalho Lamas, C., Direito, R., Fornari Laurindo, L., Tanaka, M., &amp; Barbalho, S. M. (2024). Investigating the Neuroprotective and Cognitive-Enhancing Effects of </w:t>
      </w:r>
      <w:r w:rsidRPr="006C657F">
        <w:rPr>
          <w:rFonts w:ascii="Times New Roman" w:hAnsi="Times New Roman" w:cs="Times New Roman"/>
          <w:i/>
          <w:iCs/>
          <w:sz w:val="24"/>
          <w:szCs w:val="24"/>
          <w:shd w:val="clear" w:color="auto" w:fill="FFFFFF"/>
        </w:rPr>
        <w:t>Bacopa monnieri</w:t>
      </w:r>
      <w:r w:rsidRPr="006C657F">
        <w:rPr>
          <w:rFonts w:ascii="Times New Roman" w:hAnsi="Times New Roman" w:cs="Times New Roman"/>
          <w:sz w:val="24"/>
          <w:szCs w:val="24"/>
          <w:shd w:val="clear" w:color="auto" w:fill="FFFFFF"/>
        </w:rPr>
        <w:t>: A Systematic Review Focused on Inflammation, Oxidative Stress, Mitochondrial Dysfunction, and Apoptosis. </w:t>
      </w:r>
      <w:r w:rsidRPr="006C657F">
        <w:rPr>
          <w:rStyle w:val="Emphasis"/>
          <w:rFonts w:ascii="Times New Roman" w:hAnsi="Times New Roman" w:cs="Times New Roman"/>
          <w:sz w:val="24"/>
          <w:szCs w:val="24"/>
          <w:shd w:val="clear" w:color="auto" w:fill="FFFFFF"/>
        </w:rPr>
        <w:t>Antioxidants</w:t>
      </w:r>
      <w:r w:rsidRPr="006C657F">
        <w:rPr>
          <w:rFonts w:ascii="Times New Roman" w:hAnsi="Times New Roman" w:cs="Times New Roman"/>
          <w:sz w:val="24"/>
          <w:szCs w:val="24"/>
          <w:shd w:val="clear" w:color="auto" w:fill="FFFFFF"/>
        </w:rPr>
        <w:t>, </w:t>
      </w:r>
      <w:r w:rsidRPr="006C657F">
        <w:rPr>
          <w:rStyle w:val="Emphasis"/>
          <w:rFonts w:ascii="Times New Roman" w:hAnsi="Times New Roman" w:cs="Times New Roman"/>
          <w:sz w:val="24"/>
          <w:szCs w:val="24"/>
          <w:shd w:val="clear" w:color="auto" w:fill="FFFFFF"/>
        </w:rPr>
        <w:t>13</w:t>
      </w:r>
      <w:r w:rsidRPr="006C657F">
        <w:rPr>
          <w:rFonts w:ascii="Times New Roman" w:hAnsi="Times New Roman" w:cs="Times New Roman"/>
          <w:sz w:val="24"/>
          <w:szCs w:val="24"/>
          <w:shd w:val="clear" w:color="auto" w:fill="FFFFFF"/>
        </w:rPr>
        <w:t xml:space="preserve">(4), 393. </w:t>
      </w:r>
      <w:hyperlink r:id="rId132" w:history="1">
        <w:r w:rsidRPr="006C657F">
          <w:rPr>
            <w:rStyle w:val="Hyperlink"/>
            <w:rFonts w:ascii="Times New Roman" w:hAnsi="Times New Roman" w:cs="Times New Roman"/>
            <w:sz w:val="24"/>
            <w:szCs w:val="24"/>
          </w:rPr>
          <w:t>https://doi.org/10.3390/antiox13040393</w:t>
        </w:r>
      </w:hyperlink>
      <w:bookmarkEnd w:id="50"/>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51" w:name="_Ref219478203"/>
      <w:r w:rsidRPr="006C657F">
        <w:rPr>
          <w:rFonts w:ascii="Times New Roman" w:hAnsi="Times New Roman" w:cs="Times New Roman"/>
          <w:sz w:val="24"/>
          <w:szCs w:val="24"/>
          <w:shd w:val="clear" w:color="auto" w:fill="FFFFFF"/>
        </w:rPr>
        <w:t>Varadharajan, A., Davis, A. D., Ghosh, A., Jagtap, T., Xavier, A., Menon, A. J., Roy, D., Gandhi, S., &amp; Gregor, T. (2023). Guidelines for pharmacotherapy in Alzheimer's disease - A primer on FDA-approved drugs. </w:t>
      </w:r>
      <w:r w:rsidRPr="006C657F">
        <w:rPr>
          <w:rFonts w:ascii="Times New Roman" w:hAnsi="Times New Roman" w:cs="Times New Roman"/>
          <w:i/>
          <w:iCs/>
          <w:sz w:val="24"/>
          <w:szCs w:val="24"/>
          <w:shd w:val="clear" w:color="auto" w:fill="FFFFFF"/>
        </w:rPr>
        <w:t>Journal of neurosciences in rural practice</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14</w:t>
      </w:r>
      <w:r w:rsidRPr="006C657F">
        <w:rPr>
          <w:rFonts w:ascii="Times New Roman" w:hAnsi="Times New Roman" w:cs="Times New Roman"/>
          <w:sz w:val="24"/>
          <w:szCs w:val="24"/>
          <w:shd w:val="clear" w:color="auto" w:fill="FFFFFF"/>
        </w:rPr>
        <w:t xml:space="preserve">(4), 566–573. </w:t>
      </w:r>
      <w:hyperlink r:id="rId133" w:history="1">
        <w:r w:rsidRPr="006C657F">
          <w:rPr>
            <w:rStyle w:val="Hyperlink"/>
            <w:rFonts w:ascii="Times New Roman" w:hAnsi="Times New Roman" w:cs="Times New Roman"/>
            <w:sz w:val="24"/>
            <w:szCs w:val="24"/>
            <w:shd w:val="clear" w:color="auto" w:fill="FFFFFF"/>
          </w:rPr>
          <w:t>https://doi.org/10.25259/JNRP_356_2023</w:t>
        </w:r>
      </w:hyperlink>
      <w:bookmarkEnd w:id="51"/>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52" w:name="_Ref219479674"/>
      <w:r w:rsidRPr="006C657F">
        <w:rPr>
          <w:rFonts w:ascii="Times New Roman" w:hAnsi="Times New Roman" w:cs="Times New Roman"/>
          <w:sz w:val="24"/>
          <w:szCs w:val="24"/>
        </w:rPr>
        <w:t xml:space="preserve">Vittal, M., &amp; Vinciguerra, M. (2025). Enhancing healthspan with Ashwagandha (Withania somnifera): a comprehensive review of its multifaceted geroprotective benefits. </w:t>
      </w:r>
      <w:r w:rsidRPr="006C657F">
        <w:rPr>
          <w:rFonts w:ascii="Times New Roman" w:hAnsi="Times New Roman" w:cs="Times New Roman"/>
          <w:i/>
          <w:iCs/>
          <w:sz w:val="24"/>
          <w:szCs w:val="24"/>
        </w:rPr>
        <w:t>Biogerontology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26</w:t>
      </w:r>
      <w:r w:rsidRPr="006C657F">
        <w:rPr>
          <w:rFonts w:ascii="Times New Roman" w:hAnsi="Times New Roman" w:cs="Times New Roman"/>
          <w:sz w:val="24"/>
          <w:szCs w:val="24"/>
        </w:rPr>
        <w:t xml:space="preserve">(5), 179. </w:t>
      </w:r>
      <w:hyperlink r:id="rId134" w:history="1">
        <w:r w:rsidRPr="006C657F">
          <w:rPr>
            <w:rStyle w:val="Hyperlink"/>
            <w:rFonts w:ascii="Times New Roman" w:hAnsi="Times New Roman" w:cs="Times New Roman"/>
            <w:sz w:val="24"/>
            <w:szCs w:val="24"/>
          </w:rPr>
          <w:t>https://doi.org/10.1007/s10522-025-10320-0</w:t>
        </w:r>
      </w:hyperlink>
      <w:bookmarkEnd w:id="52"/>
    </w:p>
    <w:p w:rsidR="00D50CDA" w:rsidRPr="006C657F" w:rsidRDefault="00D50CDA" w:rsidP="006C657F">
      <w:pPr>
        <w:pStyle w:val="ListParagraph"/>
        <w:numPr>
          <w:ilvl w:val="0"/>
          <w:numId w:val="25"/>
        </w:numPr>
        <w:spacing w:after="0" w:line="240" w:lineRule="auto"/>
        <w:ind w:left="1080"/>
        <w:jc w:val="both"/>
        <w:rPr>
          <w:rStyle w:val="url"/>
          <w:rFonts w:ascii="Times New Roman" w:hAnsi="Times New Roman" w:cs="Times New Roman"/>
          <w:sz w:val="24"/>
          <w:szCs w:val="24"/>
        </w:rPr>
      </w:pPr>
      <w:bookmarkStart w:id="53" w:name="_Ref219478996"/>
      <w:r w:rsidRPr="006C657F">
        <w:rPr>
          <w:rFonts w:ascii="Times New Roman" w:hAnsi="Times New Roman" w:cs="Times New Roman"/>
          <w:sz w:val="24"/>
          <w:szCs w:val="24"/>
        </w:rPr>
        <w:t xml:space="preserve">Wang, L., Chang, T., Zhu, T., Hu, W., Wang, X., Dong, C., Sun, Y., Zhang, T., Jiang, Y., Zhao, C., Cui, Y., Guo, J., &amp; Liao, X. (2025). Stevia rebaudiana Bertoni as a Sweet Herbal Medicine: Traditional Uses, Potential Applications, and Future Development. </w:t>
      </w:r>
      <w:r w:rsidRPr="006C657F">
        <w:rPr>
          <w:rFonts w:ascii="Times New Roman" w:hAnsi="Times New Roman" w:cs="Times New Roman"/>
          <w:i/>
          <w:iCs/>
          <w:sz w:val="24"/>
          <w:szCs w:val="24"/>
        </w:rPr>
        <w:t>Frontiers in Pharmacology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16</w:t>
      </w:r>
      <w:r w:rsidRPr="006C657F">
        <w:rPr>
          <w:rFonts w:ascii="Times New Roman" w:hAnsi="Times New Roman" w:cs="Times New Roman"/>
          <w:sz w:val="24"/>
          <w:szCs w:val="24"/>
        </w:rPr>
        <w:t xml:space="preserve">, 1638147. </w:t>
      </w:r>
      <w:hyperlink r:id="rId135" w:history="1">
        <w:r w:rsidRPr="006C657F">
          <w:rPr>
            <w:rStyle w:val="Hyperlink"/>
            <w:rFonts w:ascii="Times New Roman" w:hAnsi="Times New Roman" w:cs="Times New Roman"/>
            <w:sz w:val="24"/>
            <w:szCs w:val="24"/>
          </w:rPr>
          <w:t>https://doi.org/10.3389/fphar.2025.1638147</w:t>
        </w:r>
      </w:hyperlink>
      <w:bookmarkEnd w:id="53"/>
    </w:p>
    <w:p w:rsidR="00D50CDA" w:rsidRPr="006C657F" w:rsidRDefault="00D50CDA" w:rsidP="006C657F">
      <w:pPr>
        <w:pStyle w:val="ListParagraph"/>
        <w:numPr>
          <w:ilvl w:val="0"/>
          <w:numId w:val="25"/>
        </w:numPr>
        <w:spacing w:after="0" w:line="240" w:lineRule="auto"/>
        <w:ind w:left="1080"/>
        <w:jc w:val="both"/>
        <w:rPr>
          <w:rFonts w:ascii="Times New Roman" w:eastAsia="Times New Roman" w:hAnsi="Times New Roman" w:cs="Times New Roman"/>
          <w:sz w:val="24"/>
          <w:szCs w:val="24"/>
          <w:lang w:eastAsia="en-IN"/>
        </w:rPr>
      </w:pPr>
      <w:r w:rsidRPr="006C657F">
        <w:rPr>
          <w:rFonts w:ascii="Times New Roman" w:eastAsia="Times New Roman" w:hAnsi="Times New Roman" w:cs="Times New Roman"/>
          <w:sz w:val="24"/>
          <w:szCs w:val="24"/>
          <w:lang w:eastAsia="en-IN"/>
        </w:rPr>
        <w:t xml:space="preserve">Wang, L., Zhao, T., Zhu, X., &amp; Jiang, Q. (2023). Low blood carotenoid status in dementia and mild cognitive impairment: A systematic review and meta-analysis. </w:t>
      </w:r>
      <w:r w:rsidRPr="006C657F">
        <w:rPr>
          <w:rFonts w:ascii="Times New Roman" w:eastAsia="Times New Roman" w:hAnsi="Times New Roman" w:cs="Times New Roman"/>
          <w:i/>
          <w:iCs/>
          <w:sz w:val="24"/>
          <w:szCs w:val="24"/>
          <w:lang w:eastAsia="en-IN"/>
        </w:rPr>
        <w:t>BMC Geriatrics</w:t>
      </w:r>
      <w:r w:rsidRPr="006C657F">
        <w:rPr>
          <w:rFonts w:ascii="Times New Roman" w:eastAsia="Times New Roman" w:hAnsi="Times New Roman" w:cs="Times New Roman"/>
          <w:sz w:val="24"/>
          <w:szCs w:val="24"/>
          <w:lang w:eastAsia="en-IN"/>
        </w:rPr>
        <w:t xml:space="preserve">, </w:t>
      </w:r>
      <w:r w:rsidRPr="006C657F">
        <w:rPr>
          <w:rFonts w:ascii="Times New Roman" w:eastAsia="Times New Roman" w:hAnsi="Times New Roman" w:cs="Times New Roman"/>
          <w:i/>
          <w:iCs/>
          <w:sz w:val="24"/>
          <w:szCs w:val="24"/>
          <w:lang w:eastAsia="en-IN"/>
        </w:rPr>
        <w:t>23</w:t>
      </w:r>
      <w:r w:rsidRPr="006C657F">
        <w:rPr>
          <w:rFonts w:ascii="Times New Roman" w:eastAsia="Times New Roman" w:hAnsi="Times New Roman" w:cs="Times New Roman"/>
          <w:sz w:val="24"/>
          <w:szCs w:val="24"/>
          <w:lang w:eastAsia="en-IN"/>
        </w:rPr>
        <w:t xml:space="preserve">(1), 195. </w:t>
      </w:r>
      <w:hyperlink r:id="rId136" w:history="1">
        <w:r w:rsidRPr="006C657F">
          <w:rPr>
            <w:rStyle w:val="Hyperlink"/>
            <w:rFonts w:ascii="Times New Roman" w:eastAsia="Times New Roman" w:hAnsi="Times New Roman" w:cs="Times New Roman"/>
            <w:sz w:val="24"/>
            <w:szCs w:val="24"/>
            <w:lang w:eastAsia="en-IN"/>
          </w:rPr>
          <w:t>https://doi.org/10.1186/s12877-023-03900-7</w:t>
        </w:r>
      </w:hyperlink>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Wang, W., &amp; Xu, J. (2020). Curcumin attenuates cerebral ischemia-reperfusion injury through regulating mitophagy and preserving mitochondrial function. </w:t>
      </w:r>
      <w:r w:rsidRPr="00B575F6">
        <w:rPr>
          <w:i/>
          <w:iCs/>
        </w:rPr>
        <w:t>Current Neurovascular Research</w:t>
      </w:r>
      <w:r w:rsidRPr="00B575F6">
        <w:t xml:space="preserve">, </w:t>
      </w:r>
      <w:r w:rsidRPr="00B575F6">
        <w:rPr>
          <w:i/>
          <w:iCs/>
        </w:rPr>
        <w:t>17</w:t>
      </w:r>
      <w:r w:rsidRPr="00B575F6">
        <w:t xml:space="preserve">(2), 113–122. </w:t>
      </w:r>
      <w:r w:rsidRPr="00B575F6">
        <w:rPr>
          <w:rStyle w:val="url"/>
        </w:rPr>
        <w:t>https://doi.org/10.2174/1567202617666200225122620</w:t>
      </w:r>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shd w:val="clear" w:color="auto" w:fill="FFFFFF"/>
        </w:rPr>
      </w:pPr>
      <w:bookmarkStart w:id="54" w:name="_Ref219474750"/>
      <w:r w:rsidRPr="006C657F">
        <w:rPr>
          <w:rFonts w:ascii="Times New Roman" w:hAnsi="Times New Roman" w:cs="Times New Roman"/>
          <w:sz w:val="24"/>
          <w:szCs w:val="24"/>
          <w:shd w:val="clear" w:color="auto" w:fill="FFFFFF"/>
        </w:rPr>
        <w:t>Whiteford, H. A., Ferrari, A. J., Degenhardt, L., Feigin, V., &amp; Vos, T. (2015). The global burden of mental, neurological and substance use disorders: an analysis from the Global Burden of Disease Study 2010. </w:t>
      </w:r>
      <w:r w:rsidRPr="006C657F">
        <w:rPr>
          <w:rFonts w:ascii="Times New Roman" w:hAnsi="Times New Roman" w:cs="Times New Roman"/>
          <w:i/>
          <w:iCs/>
          <w:sz w:val="24"/>
          <w:szCs w:val="24"/>
          <w:shd w:val="clear" w:color="auto" w:fill="FFFFFF"/>
        </w:rPr>
        <w:t>PloS one</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10</w:t>
      </w:r>
      <w:r w:rsidRPr="006C657F">
        <w:rPr>
          <w:rFonts w:ascii="Times New Roman" w:hAnsi="Times New Roman" w:cs="Times New Roman"/>
          <w:sz w:val="24"/>
          <w:szCs w:val="24"/>
          <w:shd w:val="clear" w:color="auto" w:fill="FFFFFF"/>
        </w:rPr>
        <w:t xml:space="preserve">(2), e0116820. </w:t>
      </w:r>
      <w:hyperlink r:id="rId137" w:history="1">
        <w:r w:rsidRPr="006C657F">
          <w:rPr>
            <w:rStyle w:val="Hyperlink"/>
            <w:rFonts w:ascii="Times New Roman" w:hAnsi="Times New Roman" w:cs="Times New Roman"/>
            <w:sz w:val="24"/>
            <w:szCs w:val="24"/>
            <w:shd w:val="clear" w:color="auto" w:fill="FFFFFF"/>
          </w:rPr>
          <w:t>https://doi.org/10.1371/journal.pone.0116820</w:t>
        </w:r>
      </w:hyperlink>
      <w:bookmarkEnd w:id="54"/>
    </w:p>
    <w:p w:rsidR="00D50CDA" w:rsidRPr="00B575F6" w:rsidRDefault="00D50CDA" w:rsidP="006C657F">
      <w:pPr>
        <w:pStyle w:val="NormalWeb"/>
        <w:numPr>
          <w:ilvl w:val="0"/>
          <w:numId w:val="25"/>
        </w:numPr>
        <w:spacing w:before="0" w:beforeAutospacing="0" w:after="0" w:afterAutospacing="0"/>
        <w:ind w:left="1080"/>
        <w:jc w:val="both"/>
      </w:pPr>
      <w:r w:rsidRPr="00B575F6">
        <w:t xml:space="preserve">Wu, Y., Zhang, J., Wang, D., Liu, J., &amp; Hu, Y. (2013). Triterpenoid saponins from Ziziphus jujuba var. spinosa. </w:t>
      </w:r>
      <w:r w:rsidRPr="00B575F6">
        <w:rPr>
          <w:i/>
          <w:iCs/>
        </w:rPr>
        <w:t>Chemistry of Natural Compounds</w:t>
      </w:r>
      <w:r w:rsidRPr="00B575F6">
        <w:t xml:space="preserve">, </w:t>
      </w:r>
      <w:r w:rsidRPr="00B575F6">
        <w:rPr>
          <w:i/>
          <w:iCs/>
        </w:rPr>
        <w:t>49</w:t>
      </w:r>
      <w:r w:rsidRPr="00B575F6">
        <w:t xml:space="preserve">(4), 677–681. </w:t>
      </w:r>
      <w:r w:rsidRPr="00B575F6">
        <w:rPr>
          <w:rStyle w:val="url"/>
        </w:rPr>
        <w:t>https://doi.org/10.1007/s10600-013-0705-y</w:t>
      </w:r>
    </w:p>
    <w:p w:rsidR="00D50CDA" w:rsidRPr="006C657F" w:rsidRDefault="00D50CDA" w:rsidP="006C657F">
      <w:pPr>
        <w:pStyle w:val="ListParagraph"/>
        <w:numPr>
          <w:ilvl w:val="0"/>
          <w:numId w:val="25"/>
        </w:numPr>
        <w:spacing w:after="0" w:line="240" w:lineRule="auto"/>
        <w:ind w:left="1080"/>
        <w:jc w:val="both"/>
        <w:rPr>
          <w:rStyle w:val="Hyperlink"/>
          <w:rFonts w:ascii="Times New Roman" w:hAnsi="Times New Roman" w:cs="Times New Roman"/>
          <w:color w:val="auto"/>
          <w:sz w:val="24"/>
          <w:szCs w:val="24"/>
          <w:u w:val="none"/>
          <w:shd w:val="clear" w:color="auto" w:fill="FFFFFF"/>
        </w:rPr>
      </w:pPr>
      <w:bookmarkStart w:id="55" w:name="_Ref219478821"/>
      <w:r w:rsidRPr="006C657F">
        <w:rPr>
          <w:rFonts w:ascii="Times New Roman" w:hAnsi="Times New Roman" w:cs="Times New Roman"/>
          <w:sz w:val="24"/>
          <w:szCs w:val="24"/>
          <w:shd w:val="clear" w:color="auto" w:fill="FFFFFF"/>
        </w:rPr>
        <w:lastRenderedPageBreak/>
        <w:t>Xu, B., Chen, J., &amp; Liu, Y. (2022). Curcumin Interacts with α-Synuclein Condensates To Inhibit Amyloid Aggregation under Phase Separation. </w:t>
      </w:r>
      <w:r w:rsidRPr="006C657F">
        <w:rPr>
          <w:rFonts w:ascii="Times New Roman" w:hAnsi="Times New Roman" w:cs="Times New Roman"/>
          <w:i/>
          <w:iCs/>
          <w:sz w:val="24"/>
          <w:szCs w:val="24"/>
          <w:shd w:val="clear" w:color="auto" w:fill="FFFFFF"/>
        </w:rPr>
        <w:t>ACS omega</w:t>
      </w:r>
      <w:r w:rsidRPr="006C657F">
        <w:rPr>
          <w:rFonts w:ascii="Times New Roman" w:hAnsi="Times New Roman" w:cs="Times New Roman"/>
          <w:sz w:val="24"/>
          <w:szCs w:val="24"/>
          <w:shd w:val="clear" w:color="auto" w:fill="FFFFFF"/>
        </w:rPr>
        <w:t>, </w:t>
      </w:r>
      <w:r w:rsidRPr="006C657F">
        <w:rPr>
          <w:rFonts w:ascii="Times New Roman" w:hAnsi="Times New Roman" w:cs="Times New Roman"/>
          <w:i/>
          <w:iCs/>
          <w:sz w:val="24"/>
          <w:szCs w:val="24"/>
          <w:shd w:val="clear" w:color="auto" w:fill="FFFFFF"/>
        </w:rPr>
        <w:t>7</w:t>
      </w:r>
      <w:r w:rsidRPr="006C657F">
        <w:rPr>
          <w:rFonts w:ascii="Times New Roman" w:hAnsi="Times New Roman" w:cs="Times New Roman"/>
          <w:sz w:val="24"/>
          <w:szCs w:val="24"/>
          <w:shd w:val="clear" w:color="auto" w:fill="FFFFFF"/>
        </w:rPr>
        <w:t xml:space="preserve">(34), 30281–30290. </w:t>
      </w:r>
      <w:hyperlink r:id="rId138" w:history="1">
        <w:r w:rsidRPr="006C657F">
          <w:rPr>
            <w:rStyle w:val="Hyperlink"/>
            <w:rFonts w:ascii="Times New Roman" w:hAnsi="Times New Roman" w:cs="Times New Roman"/>
            <w:sz w:val="24"/>
            <w:szCs w:val="24"/>
            <w:shd w:val="clear" w:color="auto" w:fill="FFFFFF"/>
          </w:rPr>
          <w:t>https://doi.org/10.1021/acsomega.2c03534</w:t>
        </w:r>
      </w:hyperlink>
      <w:bookmarkEnd w:id="55"/>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56" w:name="_Ref219479483"/>
      <w:r w:rsidRPr="006C657F">
        <w:rPr>
          <w:rFonts w:ascii="Times New Roman" w:hAnsi="Times New Roman" w:cs="Times New Roman"/>
          <w:sz w:val="24"/>
          <w:szCs w:val="24"/>
        </w:rPr>
        <w:t xml:space="preserve">Yang, X., &amp; Tohda, C. (2023). Diosgenin restores memory function via SPARC-driven axonal growth from the hippocampus to the PFC in Alzheimer’s disease model mice. </w:t>
      </w:r>
      <w:r w:rsidRPr="006C657F">
        <w:rPr>
          <w:rFonts w:ascii="Times New Roman" w:hAnsi="Times New Roman" w:cs="Times New Roman"/>
          <w:i/>
          <w:iCs/>
          <w:sz w:val="24"/>
          <w:szCs w:val="24"/>
        </w:rPr>
        <w:t>Molecular Psychiatry</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28</w:t>
      </w:r>
      <w:r w:rsidRPr="006C657F">
        <w:rPr>
          <w:rFonts w:ascii="Times New Roman" w:hAnsi="Times New Roman" w:cs="Times New Roman"/>
          <w:sz w:val="24"/>
          <w:szCs w:val="24"/>
        </w:rPr>
        <w:t xml:space="preserve">(6), 2398–2411. </w:t>
      </w:r>
      <w:hyperlink r:id="rId139" w:history="1">
        <w:r w:rsidRPr="006C657F">
          <w:rPr>
            <w:rStyle w:val="Hyperlink"/>
            <w:rFonts w:ascii="Times New Roman" w:hAnsi="Times New Roman" w:cs="Times New Roman"/>
            <w:sz w:val="24"/>
            <w:szCs w:val="24"/>
          </w:rPr>
          <w:t>https://doi.org/10.1038/s41380-023-02052-9</w:t>
        </w:r>
      </w:hyperlink>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r w:rsidRPr="006C657F">
        <w:rPr>
          <w:rFonts w:ascii="Times New Roman" w:hAnsi="Times New Roman" w:cs="Times New Roman"/>
          <w:sz w:val="24"/>
          <w:szCs w:val="24"/>
        </w:rPr>
        <w:t xml:space="preserve">Yousaf, M., Chang, D., Liu, Y., Liu, T., &amp; Zhou, X. (2022). Neuroprotection of Cannabidiol, Its Synthetic Derivatives and Combination Preparations against Microglia-Mediated Neuroinflammation in Neurological Disorders. </w:t>
      </w:r>
      <w:r w:rsidRPr="006C657F">
        <w:rPr>
          <w:rFonts w:ascii="Times New Roman" w:hAnsi="Times New Roman" w:cs="Times New Roman"/>
          <w:i/>
          <w:iCs/>
          <w:sz w:val="24"/>
          <w:szCs w:val="24"/>
        </w:rPr>
        <w:t>Molecules</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27</w:t>
      </w:r>
      <w:r w:rsidRPr="006C657F">
        <w:rPr>
          <w:rFonts w:ascii="Times New Roman" w:hAnsi="Times New Roman" w:cs="Times New Roman"/>
          <w:sz w:val="24"/>
          <w:szCs w:val="24"/>
        </w:rPr>
        <w:t xml:space="preserve">(15), 4961. </w:t>
      </w:r>
      <w:hyperlink r:id="rId140" w:history="1">
        <w:r w:rsidRPr="006C657F">
          <w:rPr>
            <w:rStyle w:val="Hyperlink"/>
            <w:rFonts w:ascii="Times New Roman" w:hAnsi="Times New Roman" w:cs="Times New Roman"/>
            <w:sz w:val="24"/>
            <w:szCs w:val="24"/>
          </w:rPr>
          <w:t>https://doi.org/10.3390/molecules27154961</w:t>
        </w:r>
      </w:hyperlink>
      <w:bookmarkEnd w:id="56"/>
    </w:p>
    <w:p w:rsidR="00D50CDA" w:rsidRPr="006C657F" w:rsidRDefault="00D50CDA" w:rsidP="006C657F">
      <w:pPr>
        <w:pStyle w:val="ListParagraph"/>
        <w:numPr>
          <w:ilvl w:val="0"/>
          <w:numId w:val="25"/>
        </w:numPr>
        <w:spacing w:after="0" w:line="240" w:lineRule="auto"/>
        <w:ind w:left="1080"/>
        <w:jc w:val="both"/>
        <w:rPr>
          <w:rFonts w:ascii="Times New Roman" w:hAnsi="Times New Roman" w:cs="Times New Roman"/>
          <w:sz w:val="24"/>
          <w:szCs w:val="24"/>
        </w:rPr>
      </w:pPr>
      <w:bookmarkStart w:id="57" w:name="_Ref219479577"/>
      <w:r w:rsidRPr="006C657F">
        <w:rPr>
          <w:rFonts w:ascii="Times New Roman" w:hAnsi="Times New Roman" w:cs="Times New Roman"/>
          <w:sz w:val="24"/>
          <w:szCs w:val="24"/>
        </w:rPr>
        <w:t xml:space="preserve">Zhang, Y., Huang, Q., Wang, S., Liao, Z., Jin, H., Huang, S., Hong, X., Liu, Y., Pang, J., Shen, Q., Wang, Q., Li, C., &amp; Ji, L. (2022). The food additive Β-Caryophyllene exerts its neuroprotective effects through the JAK2-STAT3-BACE1 pathway. </w:t>
      </w:r>
      <w:r w:rsidRPr="006C657F">
        <w:rPr>
          <w:rFonts w:ascii="Times New Roman" w:hAnsi="Times New Roman" w:cs="Times New Roman"/>
          <w:i/>
          <w:iCs/>
          <w:sz w:val="24"/>
          <w:szCs w:val="24"/>
        </w:rPr>
        <w:t>Frontiers in Aging Neuroscience</w:t>
      </w:r>
      <w:r w:rsidRPr="006C657F">
        <w:rPr>
          <w:rFonts w:ascii="Times New Roman" w:hAnsi="Times New Roman" w:cs="Times New Roman"/>
          <w:sz w:val="24"/>
          <w:szCs w:val="24"/>
        </w:rPr>
        <w:t xml:space="preserve">, </w:t>
      </w:r>
      <w:r w:rsidRPr="006C657F">
        <w:rPr>
          <w:rFonts w:ascii="Times New Roman" w:hAnsi="Times New Roman" w:cs="Times New Roman"/>
          <w:i/>
          <w:iCs/>
          <w:sz w:val="24"/>
          <w:szCs w:val="24"/>
        </w:rPr>
        <w:t>14</w:t>
      </w:r>
      <w:r w:rsidRPr="006C657F">
        <w:rPr>
          <w:rFonts w:ascii="Times New Roman" w:hAnsi="Times New Roman" w:cs="Times New Roman"/>
          <w:sz w:val="24"/>
          <w:szCs w:val="24"/>
        </w:rPr>
        <w:t xml:space="preserve">, 814432. </w:t>
      </w:r>
      <w:hyperlink r:id="rId141" w:history="1">
        <w:r w:rsidRPr="006C657F">
          <w:rPr>
            <w:rStyle w:val="Hyperlink"/>
            <w:rFonts w:ascii="Times New Roman" w:hAnsi="Times New Roman" w:cs="Times New Roman"/>
            <w:sz w:val="24"/>
            <w:szCs w:val="24"/>
          </w:rPr>
          <w:t>https://doi.org/10.3389/fnagi.2022.814432</w:t>
        </w:r>
      </w:hyperlink>
      <w:bookmarkEnd w:id="57"/>
    </w:p>
    <w:p w:rsidR="00557150" w:rsidRPr="00B575F6" w:rsidRDefault="00557150" w:rsidP="006C657F">
      <w:pPr>
        <w:pStyle w:val="ListParagraph"/>
        <w:spacing w:after="0" w:line="240" w:lineRule="auto"/>
        <w:jc w:val="both"/>
        <w:rPr>
          <w:rFonts w:ascii="Times New Roman" w:hAnsi="Times New Roman" w:cs="Times New Roman"/>
          <w:sz w:val="24"/>
          <w:szCs w:val="24"/>
        </w:rPr>
      </w:pPr>
    </w:p>
    <w:sectPr w:rsidR="00557150" w:rsidRPr="00B575F6" w:rsidSect="007175D1">
      <w:pgSz w:w="11906" w:h="16838" w:code="9"/>
      <w:pgMar w:top="1077" w:right="607" w:bottom="607" w:left="607" w:header="346" w:footer="1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943" w:rsidRDefault="00206943" w:rsidP="00FC3EA8">
      <w:pPr>
        <w:spacing w:after="0" w:line="240" w:lineRule="auto"/>
      </w:pPr>
      <w:r>
        <w:separator/>
      </w:r>
    </w:p>
  </w:endnote>
  <w:endnote w:type="continuationSeparator" w:id="0">
    <w:p w:rsidR="00206943" w:rsidRDefault="00206943" w:rsidP="00FC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943" w:rsidRDefault="00206943" w:rsidP="00FC3EA8">
      <w:pPr>
        <w:spacing w:after="0" w:line="240" w:lineRule="auto"/>
      </w:pPr>
      <w:r>
        <w:separator/>
      </w:r>
    </w:p>
  </w:footnote>
  <w:footnote w:type="continuationSeparator" w:id="0">
    <w:p w:rsidR="00206943" w:rsidRDefault="00206943" w:rsidP="00FC3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973"/>
    <w:multiLevelType w:val="hybridMultilevel"/>
    <w:tmpl w:val="802A6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FB0322"/>
    <w:multiLevelType w:val="multilevel"/>
    <w:tmpl w:val="C312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84A38"/>
    <w:multiLevelType w:val="multilevel"/>
    <w:tmpl w:val="2FCE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61145"/>
    <w:multiLevelType w:val="multilevel"/>
    <w:tmpl w:val="581E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94564"/>
    <w:multiLevelType w:val="multilevel"/>
    <w:tmpl w:val="898A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910EA"/>
    <w:multiLevelType w:val="multilevel"/>
    <w:tmpl w:val="23F00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D226F2"/>
    <w:multiLevelType w:val="multilevel"/>
    <w:tmpl w:val="77AE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14253"/>
    <w:multiLevelType w:val="multilevel"/>
    <w:tmpl w:val="D346BB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6E4264"/>
    <w:multiLevelType w:val="multilevel"/>
    <w:tmpl w:val="918C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73729"/>
    <w:multiLevelType w:val="multilevel"/>
    <w:tmpl w:val="BADA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86E42"/>
    <w:multiLevelType w:val="multilevel"/>
    <w:tmpl w:val="6A68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9560A"/>
    <w:multiLevelType w:val="multilevel"/>
    <w:tmpl w:val="2EA6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B916D7"/>
    <w:multiLevelType w:val="hybridMultilevel"/>
    <w:tmpl w:val="E9FE76EC"/>
    <w:lvl w:ilvl="0" w:tplc="9C4CB360">
      <w:start w:val="1"/>
      <w:numFmt w:val="decimal"/>
      <w:lvlText w:val="%1)"/>
      <w:lvlJc w:val="left"/>
      <w:pPr>
        <w:ind w:left="360" w:hanging="360"/>
      </w:pPr>
      <w:rPr>
        <w:rFonts w:hint="default"/>
        <w:b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95683A"/>
    <w:multiLevelType w:val="multilevel"/>
    <w:tmpl w:val="909299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CE22EFB"/>
    <w:multiLevelType w:val="multilevel"/>
    <w:tmpl w:val="0482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AD7DF2"/>
    <w:multiLevelType w:val="hybridMultilevel"/>
    <w:tmpl w:val="E3DAB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5E8769E"/>
    <w:multiLevelType w:val="multilevel"/>
    <w:tmpl w:val="CC20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33120"/>
    <w:multiLevelType w:val="multilevel"/>
    <w:tmpl w:val="AEBC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F30A7A"/>
    <w:multiLevelType w:val="multilevel"/>
    <w:tmpl w:val="325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8536D6"/>
    <w:multiLevelType w:val="multilevel"/>
    <w:tmpl w:val="F626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ED3509"/>
    <w:multiLevelType w:val="multilevel"/>
    <w:tmpl w:val="BCE2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F3618F"/>
    <w:multiLevelType w:val="hybridMultilevel"/>
    <w:tmpl w:val="053288A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8CC70F2"/>
    <w:multiLevelType w:val="multilevel"/>
    <w:tmpl w:val="6404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91742F"/>
    <w:multiLevelType w:val="multilevel"/>
    <w:tmpl w:val="EA98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3035A"/>
    <w:multiLevelType w:val="multilevel"/>
    <w:tmpl w:val="790A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16"/>
  </w:num>
  <w:num w:numId="4">
    <w:abstractNumId w:val="8"/>
  </w:num>
  <w:num w:numId="5">
    <w:abstractNumId w:val="14"/>
  </w:num>
  <w:num w:numId="6">
    <w:abstractNumId w:val="20"/>
  </w:num>
  <w:num w:numId="7">
    <w:abstractNumId w:val="2"/>
  </w:num>
  <w:num w:numId="8">
    <w:abstractNumId w:val="9"/>
  </w:num>
  <w:num w:numId="9">
    <w:abstractNumId w:val="11"/>
  </w:num>
  <w:num w:numId="10">
    <w:abstractNumId w:val="19"/>
  </w:num>
  <w:num w:numId="11">
    <w:abstractNumId w:val="3"/>
  </w:num>
  <w:num w:numId="12">
    <w:abstractNumId w:val="13"/>
  </w:num>
  <w:num w:numId="13">
    <w:abstractNumId w:val="4"/>
  </w:num>
  <w:num w:numId="14">
    <w:abstractNumId w:val="10"/>
  </w:num>
  <w:num w:numId="15">
    <w:abstractNumId w:val="17"/>
  </w:num>
  <w:num w:numId="16">
    <w:abstractNumId w:val="1"/>
  </w:num>
  <w:num w:numId="17">
    <w:abstractNumId w:val="24"/>
  </w:num>
  <w:num w:numId="18">
    <w:abstractNumId w:val="23"/>
  </w:num>
  <w:num w:numId="19">
    <w:abstractNumId w:val="22"/>
  </w:num>
  <w:num w:numId="20">
    <w:abstractNumId w:val="21"/>
  </w:num>
  <w:num w:numId="21">
    <w:abstractNumId w:val="5"/>
  </w:num>
  <w:num w:numId="22">
    <w:abstractNumId w:val="7"/>
  </w:num>
  <w:num w:numId="23">
    <w:abstractNumId w:val="12"/>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79"/>
    <w:rsid w:val="000044F5"/>
    <w:rsid w:val="00092963"/>
    <w:rsid w:val="000E0909"/>
    <w:rsid w:val="000F056B"/>
    <w:rsid w:val="0010452E"/>
    <w:rsid w:val="0012634A"/>
    <w:rsid w:val="00140F74"/>
    <w:rsid w:val="001809ED"/>
    <w:rsid w:val="001A4103"/>
    <w:rsid w:val="001C7D9B"/>
    <w:rsid w:val="001D314E"/>
    <w:rsid w:val="001D6CA8"/>
    <w:rsid w:val="00206943"/>
    <w:rsid w:val="00210892"/>
    <w:rsid w:val="002154E2"/>
    <w:rsid w:val="00227612"/>
    <w:rsid w:val="00237800"/>
    <w:rsid w:val="00296844"/>
    <w:rsid w:val="002A45AA"/>
    <w:rsid w:val="002C6871"/>
    <w:rsid w:val="002E0D37"/>
    <w:rsid w:val="002F1BFE"/>
    <w:rsid w:val="002F6C58"/>
    <w:rsid w:val="003013F4"/>
    <w:rsid w:val="0030508E"/>
    <w:rsid w:val="0031340F"/>
    <w:rsid w:val="00325251"/>
    <w:rsid w:val="003410F6"/>
    <w:rsid w:val="0036516F"/>
    <w:rsid w:val="00381D2D"/>
    <w:rsid w:val="00386683"/>
    <w:rsid w:val="003D5A6F"/>
    <w:rsid w:val="003F70DE"/>
    <w:rsid w:val="00406C2C"/>
    <w:rsid w:val="004073F4"/>
    <w:rsid w:val="004224D8"/>
    <w:rsid w:val="00422B43"/>
    <w:rsid w:val="004642A5"/>
    <w:rsid w:val="00487155"/>
    <w:rsid w:val="004C1519"/>
    <w:rsid w:val="004F2B5A"/>
    <w:rsid w:val="004F6087"/>
    <w:rsid w:val="005065B1"/>
    <w:rsid w:val="0052701F"/>
    <w:rsid w:val="00550FA9"/>
    <w:rsid w:val="00557150"/>
    <w:rsid w:val="0057130C"/>
    <w:rsid w:val="00587A96"/>
    <w:rsid w:val="00591661"/>
    <w:rsid w:val="005935CF"/>
    <w:rsid w:val="005A6267"/>
    <w:rsid w:val="005C2AA5"/>
    <w:rsid w:val="005E585C"/>
    <w:rsid w:val="005F2E7C"/>
    <w:rsid w:val="00616CC9"/>
    <w:rsid w:val="00622265"/>
    <w:rsid w:val="0062633C"/>
    <w:rsid w:val="006312CA"/>
    <w:rsid w:val="00680256"/>
    <w:rsid w:val="006852BE"/>
    <w:rsid w:val="00691532"/>
    <w:rsid w:val="006C657F"/>
    <w:rsid w:val="006D154A"/>
    <w:rsid w:val="006D430D"/>
    <w:rsid w:val="006D6BB9"/>
    <w:rsid w:val="006E7736"/>
    <w:rsid w:val="006F1C79"/>
    <w:rsid w:val="006F4F21"/>
    <w:rsid w:val="007175D1"/>
    <w:rsid w:val="00725E5E"/>
    <w:rsid w:val="00734860"/>
    <w:rsid w:val="00741302"/>
    <w:rsid w:val="007724D5"/>
    <w:rsid w:val="007A1231"/>
    <w:rsid w:val="007A4311"/>
    <w:rsid w:val="007A77B7"/>
    <w:rsid w:val="007D1F43"/>
    <w:rsid w:val="007E7135"/>
    <w:rsid w:val="007E79B7"/>
    <w:rsid w:val="00800745"/>
    <w:rsid w:val="008013E5"/>
    <w:rsid w:val="00802093"/>
    <w:rsid w:val="00845364"/>
    <w:rsid w:val="0086080C"/>
    <w:rsid w:val="008628BE"/>
    <w:rsid w:val="00875017"/>
    <w:rsid w:val="00876EF8"/>
    <w:rsid w:val="008B74A4"/>
    <w:rsid w:val="008D2119"/>
    <w:rsid w:val="009113A5"/>
    <w:rsid w:val="00930B12"/>
    <w:rsid w:val="0093111D"/>
    <w:rsid w:val="00932B53"/>
    <w:rsid w:val="00940049"/>
    <w:rsid w:val="009401F8"/>
    <w:rsid w:val="00944473"/>
    <w:rsid w:val="00963482"/>
    <w:rsid w:val="0098449F"/>
    <w:rsid w:val="0098515F"/>
    <w:rsid w:val="009B760F"/>
    <w:rsid w:val="009C6103"/>
    <w:rsid w:val="00A064FC"/>
    <w:rsid w:val="00A07171"/>
    <w:rsid w:val="00A25BAF"/>
    <w:rsid w:val="00A27313"/>
    <w:rsid w:val="00A55CCC"/>
    <w:rsid w:val="00A807B1"/>
    <w:rsid w:val="00A96055"/>
    <w:rsid w:val="00AA3938"/>
    <w:rsid w:val="00AC240C"/>
    <w:rsid w:val="00AF7DB1"/>
    <w:rsid w:val="00B01E1A"/>
    <w:rsid w:val="00B04599"/>
    <w:rsid w:val="00B11EB1"/>
    <w:rsid w:val="00B260F6"/>
    <w:rsid w:val="00B575F6"/>
    <w:rsid w:val="00B67D49"/>
    <w:rsid w:val="00B97000"/>
    <w:rsid w:val="00BC7CD3"/>
    <w:rsid w:val="00C21D37"/>
    <w:rsid w:val="00C27EF9"/>
    <w:rsid w:val="00C341F1"/>
    <w:rsid w:val="00C55B07"/>
    <w:rsid w:val="00C7512C"/>
    <w:rsid w:val="00CD3331"/>
    <w:rsid w:val="00CE2F55"/>
    <w:rsid w:val="00D15F99"/>
    <w:rsid w:val="00D23654"/>
    <w:rsid w:val="00D50CDA"/>
    <w:rsid w:val="00D9023C"/>
    <w:rsid w:val="00DD60F1"/>
    <w:rsid w:val="00DE58F8"/>
    <w:rsid w:val="00DF5CDF"/>
    <w:rsid w:val="00E17F05"/>
    <w:rsid w:val="00E328B0"/>
    <w:rsid w:val="00E35A47"/>
    <w:rsid w:val="00E44DF7"/>
    <w:rsid w:val="00EB0A13"/>
    <w:rsid w:val="00EB123C"/>
    <w:rsid w:val="00EC31A7"/>
    <w:rsid w:val="00EE4632"/>
    <w:rsid w:val="00EE6A9B"/>
    <w:rsid w:val="00F10561"/>
    <w:rsid w:val="00F23E78"/>
    <w:rsid w:val="00F23FBC"/>
    <w:rsid w:val="00F74D4D"/>
    <w:rsid w:val="00FB0A9F"/>
    <w:rsid w:val="00FB3C2A"/>
    <w:rsid w:val="00FC0E7E"/>
    <w:rsid w:val="00FC251F"/>
    <w:rsid w:val="00FC3EA8"/>
    <w:rsid w:val="00FD58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CE8FF"/>
  <w15:chartTrackingRefBased/>
  <w15:docId w15:val="{203580CC-EA10-4C6B-B523-9FFCA65E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1C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F1C7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6F1C7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C7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1C7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F1C79"/>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6F1C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F1C79"/>
    <w:rPr>
      <w:b/>
      <w:bCs/>
    </w:rPr>
  </w:style>
  <w:style w:type="character" w:styleId="Hyperlink">
    <w:name w:val="Hyperlink"/>
    <w:basedOn w:val="DefaultParagraphFont"/>
    <w:uiPriority w:val="99"/>
    <w:unhideWhenUsed/>
    <w:rsid w:val="006F1C79"/>
    <w:rPr>
      <w:color w:val="0000FF"/>
      <w:u w:val="single"/>
    </w:rPr>
  </w:style>
  <w:style w:type="character" w:styleId="Emphasis">
    <w:name w:val="Emphasis"/>
    <w:basedOn w:val="DefaultParagraphFont"/>
    <w:uiPriority w:val="20"/>
    <w:qFormat/>
    <w:rsid w:val="006F1C79"/>
    <w:rPr>
      <w:i/>
      <w:iCs/>
    </w:rPr>
  </w:style>
  <w:style w:type="character" w:customStyle="1" w:styleId="ms-1">
    <w:name w:val="ms-1"/>
    <w:basedOn w:val="DefaultParagraphFont"/>
    <w:rsid w:val="006F1C79"/>
  </w:style>
  <w:style w:type="character" w:customStyle="1" w:styleId="max-w-full">
    <w:name w:val="max-w-full"/>
    <w:basedOn w:val="DefaultParagraphFont"/>
    <w:rsid w:val="006F1C79"/>
  </w:style>
  <w:style w:type="character" w:customStyle="1" w:styleId="url">
    <w:name w:val="url"/>
    <w:basedOn w:val="DefaultParagraphFont"/>
    <w:rsid w:val="006F1C79"/>
  </w:style>
  <w:style w:type="paragraph" w:styleId="ListParagraph">
    <w:name w:val="List Paragraph"/>
    <w:basedOn w:val="Normal"/>
    <w:uiPriority w:val="34"/>
    <w:qFormat/>
    <w:rsid w:val="006F1C79"/>
    <w:pPr>
      <w:ind w:left="720"/>
      <w:contextualSpacing/>
    </w:pPr>
  </w:style>
  <w:style w:type="paragraph" w:styleId="Header">
    <w:name w:val="header"/>
    <w:basedOn w:val="Normal"/>
    <w:link w:val="HeaderChar"/>
    <w:uiPriority w:val="99"/>
    <w:unhideWhenUsed/>
    <w:rsid w:val="006F1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C79"/>
  </w:style>
  <w:style w:type="paragraph" w:styleId="Footer">
    <w:name w:val="footer"/>
    <w:basedOn w:val="Normal"/>
    <w:link w:val="FooterChar"/>
    <w:uiPriority w:val="99"/>
    <w:unhideWhenUsed/>
    <w:rsid w:val="006F1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C79"/>
  </w:style>
  <w:style w:type="table" w:styleId="TableGrid">
    <w:name w:val="Table Grid"/>
    <w:basedOn w:val="TableNormal"/>
    <w:uiPriority w:val="39"/>
    <w:rsid w:val="006F1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word">
    <w:name w:val="breakword"/>
    <w:basedOn w:val="DefaultParagraphFont"/>
    <w:rsid w:val="006F1C79"/>
  </w:style>
  <w:style w:type="character" w:customStyle="1" w:styleId="f-medium">
    <w:name w:val="f-medium"/>
    <w:basedOn w:val="DefaultParagraphFont"/>
    <w:rsid w:val="006F1C79"/>
  </w:style>
  <w:style w:type="character" w:customStyle="1" w:styleId="paperpal-citation">
    <w:name w:val="paperpal-citation"/>
    <w:basedOn w:val="DefaultParagraphFont"/>
    <w:rsid w:val="006F1C79"/>
  </w:style>
  <w:style w:type="paragraph" w:customStyle="1" w:styleId="mb-2">
    <w:name w:val="mb-2"/>
    <w:basedOn w:val="Normal"/>
    <w:rsid w:val="006F1C7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bibliographic-informationcitation">
    <w:name w:val="c-bibliographic-information__citation"/>
    <w:basedOn w:val="Normal"/>
    <w:rsid w:val="006F1C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d">
    <w:name w:val="red"/>
    <w:basedOn w:val="DefaultParagraphFont"/>
    <w:rsid w:val="006F1C79"/>
  </w:style>
  <w:style w:type="character" w:customStyle="1" w:styleId="blue">
    <w:name w:val="blue"/>
    <w:basedOn w:val="DefaultParagraphFont"/>
    <w:rsid w:val="006F1C79"/>
  </w:style>
  <w:style w:type="character" w:customStyle="1" w:styleId="FootnoteTextChar">
    <w:name w:val="Footnote Text Char"/>
    <w:basedOn w:val="DefaultParagraphFont"/>
    <w:link w:val="FootnoteText"/>
    <w:uiPriority w:val="99"/>
    <w:semiHidden/>
    <w:rsid w:val="006F1C79"/>
    <w:rPr>
      <w:sz w:val="20"/>
      <w:szCs w:val="20"/>
    </w:rPr>
  </w:style>
  <w:style w:type="paragraph" w:styleId="FootnoteText">
    <w:name w:val="footnote text"/>
    <w:basedOn w:val="Normal"/>
    <w:link w:val="FootnoteTextChar"/>
    <w:uiPriority w:val="99"/>
    <w:semiHidden/>
    <w:unhideWhenUsed/>
    <w:rsid w:val="006F1C79"/>
    <w:pPr>
      <w:spacing w:after="0" w:line="240" w:lineRule="auto"/>
    </w:pPr>
    <w:rPr>
      <w:sz w:val="20"/>
      <w:szCs w:val="20"/>
    </w:rPr>
  </w:style>
  <w:style w:type="character" w:customStyle="1" w:styleId="truncate">
    <w:name w:val="truncate"/>
    <w:basedOn w:val="DefaultParagraphFont"/>
    <w:rsid w:val="00E35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571">
      <w:bodyDiv w:val="1"/>
      <w:marLeft w:val="0"/>
      <w:marRight w:val="0"/>
      <w:marTop w:val="0"/>
      <w:marBottom w:val="0"/>
      <w:divBdr>
        <w:top w:val="none" w:sz="0" w:space="0" w:color="auto"/>
        <w:left w:val="none" w:sz="0" w:space="0" w:color="auto"/>
        <w:bottom w:val="none" w:sz="0" w:space="0" w:color="auto"/>
        <w:right w:val="none" w:sz="0" w:space="0" w:color="auto"/>
      </w:divBdr>
    </w:div>
    <w:div w:id="28574783">
      <w:bodyDiv w:val="1"/>
      <w:marLeft w:val="0"/>
      <w:marRight w:val="0"/>
      <w:marTop w:val="0"/>
      <w:marBottom w:val="0"/>
      <w:divBdr>
        <w:top w:val="none" w:sz="0" w:space="0" w:color="auto"/>
        <w:left w:val="none" w:sz="0" w:space="0" w:color="auto"/>
        <w:bottom w:val="none" w:sz="0" w:space="0" w:color="auto"/>
        <w:right w:val="none" w:sz="0" w:space="0" w:color="auto"/>
      </w:divBdr>
    </w:div>
    <w:div w:id="37705230">
      <w:bodyDiv w:val="1"/>
      <w:marLeft w:val="0"/>
      <w:marRight w:val="0"/>
      <w:marTop w:val="0"/>
      <w:marBottom w:val="0"/>
      <w:divBdr>
        <w:top w:val="none" w:sz="0" w:space="0" w:color="auto"/>
        <w:left w:val="none" w:sz="0" w:space="0" w:color="auto"/>
        <w:bottom w:val="none" w:sz="0" w:space="0" w:color="auto"/>
        <w:right w:val="none" w:sz="0" w:space="0" w:color="auto"/>
      </w:divBdr>
    </w:div>
    <w:div w:id="102851275">
      <w:bodyDiv w:val="1"/>
      <w:marLeft w:val="0"/>
      <w:marRight w:val="0"/>
      <w:marTop w:val="0"/>
      <w:marBottom w:val="0"/>
      <w:divBdr>
        <w:top w:val="none" w:sz="0" w:space="0" w:color="auto"/>
        <w:left w:val="none" w:sz="0" w:space="0" w:color="auto"/>
        <w:bottom w:val="none" w:sz="0" w:space="0" w:color="auto"/>
        <w:right w:val="none" w:sz="0" w:space="0" w:color="auto"/>
      </w:divBdr>
    </w:div>
    <w:div w:id="239600831">
      <w:bodyDiv w:val="1"/>
      <w:marLeft w:val="0"/>
      <w:marRight w:val="0"/>
      <w:marTop w:val="0"/>
      <w:marBottom w:val="0"/>
      <w:divBdr>
        <w:top w:val="none" w:sz="0" w:space="0" w:color="auto"/>
        <w:left w:val="none" w:sz="0" w:space="0" w:color="auto"/>
        <w:bottom w:val="none" w:sz="0" w:space="0" w:color="auto"/>
        <w:right w:val="none" w:sz="0" w:space="0" w:color="auto"/>
      </w:divBdr>
      <w:divsChild>
        <w:div w:id="340937543">
          <w:marLeft w:val="-720"/>
          <w:marRight w:val="0"/>
          <w:marTop w:val="0"/>
          <w:marBottom w:val="0"/>
          <w:divBdr>
            <w:top w:val="none" w:sz="0" w:space="0" w:color="auto"/>
            <w:left w:val="none" w:sz="0" w:space="0" w:color="auto"/>
            <w:bottom w:val="none" w:sz="0" w:space="0" w:color="auto"/>
            <w:right w:val="none" w:sz="0" w:space="0" w:color="auto"/>
          </w:divBdr>
        </w:div>
      </w:divsChild>
    </w:div>
    <w:div w:id="312369942">
      <w:bodyDiv w:val="1"/>
      <w:marLeft w:val="0"/>
      <w:marRight w:val="0"/>
      <w:marTop w:val="0"/>
      <w:marBottom w:val="0"/>
      <w:divBdr>
        <w:top w:val="none" w:sz="0" w:space="0" w:color="auto"/>
        <w:left w:val="none" w:sz="0" w:space="0" w:color="auto"/>
        <w:bottom w:val="none" w:sz="0" w:space="0" w:color="auto"/>
        <w:right w:val="none" w:sz="0" w:space="0" w:color="auto"/>
      </w:divBdr>
      <w:divsChild>
        <w:div w:id="381712049">
          <w:marLeft w:val="-720"/>
          <w:marRight w:val="0"/>
          <w:marTop w:val="0"/>
          <w:marBottom w:val="0"/>
          <w:divBdr>
            <w:top w:val="none" w:sz="0" w:space="0" w:color="auto"/>
            <w:left w:val="none" w:sz="0" w:space="0" w:color="auto"/>
            <w:bottom w:val="none" w:sz="0" w:space="0" w:color="auto"/>
            <w:right w:val="none" w:sz="0" w:space="0" w:color="auto"/>
          </w:divBdr>
        </w:div>
      </w:divsChild>
    </w:div>
    <w:div w:id="312757339">
      <w:bodyDiv w:val="1"/>
      <w:marLeft w:val="0"/>
      <w:marRight w:val="0"/>
      <w:marTop w:val="0"/>
      <w:marBottom w:val="0"/>
      <w:divBdr>
        <w:top w:val="none" w:sz="0" w:space="0" w:color="auto"/>
        <w:left w:val="none" w:sz="0" w:space="0" w:color="auto"/>
        <w:bottom w:val="none" w:sz="0" w:space="0" w:color="auto"/>
        <w:right w:val="none" w:sz="0" w:space="0" w:color="auto"/>
      </w:divBdr>
    </w:div>
    <w:div w:id="319816899">
      <w:bodyDiv w:val="1"/>
      <w:marLeft w:val="0"/>
      <w:marRight w:val="0"/>
      <w:marTop w:val="0"/>
      <w:marBottom w:val="0"/>
      <w:divBdr>
        <w:top w:val="none" w:sz="0" w:space="0" w:color="auto"/>
        <w:left w:val="none" w:sz="0" w:space="0" w:color="auto"/>
        <w:bottom w:val="none" w:sz="0" w:space="0" w:color="auto"/>
        <w:right w:val="none" w:sz="0" w:space="0" w:color="auto"/>
      </w:divBdr>
    </w:div>
    <w:div w:id="326131036">
      <w:bodyDiv w:val="1"/>
      <w:marLeft w:val="0"/>
      <w:marRight w:val="0"/>
      <w:marTop w:val="0"/>
      <w:marBottom w:val="0"/>
      <w:divBdr>
        <w:top w:val="none" w:sz="0" w:space="0" w:color="auto"/>
        <w:left w:val="none" w:sz="0" w:space="0" w:color="auto"/>
        <w:bottom w:val="none" w:sz="0" w:space="0" w:color="auto"/>
        <w:right w:val="none" w:sz="0" w:space="0" w:color="auto"/>
      </w:divBdr>
    </w:div>
    <w:div w:id="335810253">
      <w:bodyDiv w:val="1"/>
      <w:marLeft w:val="0"/>
      <w:marRight w:val="0"/>
      <w:marTop w:val="0"/>
      <w:marBottom w:val="0"/>
      <w:divBdr>
        <w:top w:val="none" w:sz="0" w:space="0" w:color="auto"/>
        <w:left w:val="none" w:sz="0" w:space="0" w:color="auto"/>
        <w:bottom w:val="none" w:sz="0" w:space="0" w:color="auto"/>
        <w:right w:val="none" w:sz="0" w:space="0" w:color="auto"/>
      </w:divBdr>
      <w:divsChild>
        <w:div w:id="547686855">
          <w:marLeft w:val="-720"/>
          <w:marRight w:val="0"/>
          <w:marTop w:val="0"/>
          <w:marBottom w:val="0"/>
          <w:divBdr>
            <w:top w:val="none" w:sz="0" w:space="0" w:color="auto"/>
            <w:left w:val="none" w:sz="0" w:space="0" w:color="auto"/>
            <w:bottom w:val="none" w:sz="0" w:space="0" w:color="auto"/>
            <w:right w:val="none" w:sz="0" w:space="0" w:color="auto"/>
          </w:divBdr>
        </w:div>
      </w:divsChild>
    </w:div>
    <w:div w:id="397283511">
      <w:bodyDiv w:val="1"/>
      <w:marLeft w:val="0"/>
      <w:marRight w:val="0"/>
      <w:marTop w:val="0"/>
      <w:marBottom w:val="0"/>
      <w:divBdr>
        <w:top w:val="none" w:sz="0" w:space="0" w:color="auto"/>
        <w:left w:val="none" w:sz="0" w:space="0" w:color="auto"/>
        <w:bottom w:val="none" w:sz="0" w:space="0" w:color="auto"/>
        <w:right w:val="none" w:sz="0" w:space="0" w:color="auto"/>
      </w:divBdr>
    </w:div>
    <w:div w:id="402141718">
      <w:bodyDiv w:val="1"/>
      <w:marLeft w:val="0"/>
      <w:marRight w:val="0"/>
      <w:marTop w:val="0"/>
      <w:marBottom w:val="0"/>
      <w:divBdr>
        <w:top w:val="none" w:sz="0" w:space="0" w:color="auto"/>
        <w:left w:val="none" w:sz="0" w:space="0" w:color="auto"/>
        <w:bottom w:val="none" w:sz="0" w:space="0" w:color="auto"/>
        <w:right w:val="none" w:sz="0" w:space="0" w:color="auto"/>
      </w:divBdr>
      <w:divsChild>
        <w:div w:id="1607153064">
          <w:marLeft w:val="0"/>
          <w:marRight w:val="0"/>
          <w:marTop w:val="0"/>
          <w:marBottom w:val="0"/>
          <w:divBdr>
            <w:top w:val="none" w:sz="0" w:space="0" w:color="auto"/>
            <w:left w:val="none" w:sz="0" w:space="0" w:color="auto"/>
            <w:bottom w:val="none" w:sz="0" w:space="0" w:color="auto"/>
            <w:right w:val="none" w:sz="0" w:space="0" w:color="auto"/>
          </w:divBdr>
        </w:div>
      </w:divsChild>
    </w:div>
    <w:div w:id="406155183">
      <w:bodyDiv w:val="1"/>
      <w:marLeft w:val="0"/>
      <w:marRight w:val="0"/>
      <w:marTop w:val="0"/>
      <w:marBottom w:val="0"/>
      <w:divBdr>
        <w:top w:val="none" w:sz="0" w:space="0" w:color="auto"/>
        <w:left w:val="none" w:sz="0" w:space="0" w:color="auto"/>
        <w:bottom w:val="none" w:sz="0" w:space="0" w:color="auto"/>
        <w:right w:val="none" w:sz="0" w:space="0" w:color="auto"/>
      </w:divBdr>
    </w:div>
    <w:div w:id="417605438">
      <w:bodyDiv w:val="1"/>
      <w:marLeft w:val="0"/>
      <w:marRight w:val="0"/>
      <w:marTop w:val="0"/>
      <w:marBottom w:val="0"/>
      <w:divBdr>
        <w:top w:val="none" w:sz="0" w:space="0" w:color="auto"/>
        <w:left w:val="none" w:sz="0" w:space="0" w:color="auto"/>
        <w:bottom w:val="none" w:sz="0" w:space="0" w:color="auto"/>
        <w:right w:val="none" w:sz="0" w:space="0" w:color="auto"/>
      </w:divBdr>
    </w:div>
    <w:div w:id="459496076">
      <w:bodyDiv w:val="1"/>
      <w:marLeft w:val="0"/>
      <w:marRight w:val="0"/>
      <w:marTop w:val="0"/>
      <w:marBottom w:val="0"/>
      <w:divBdr>
        <w:top w:val="none" w:sz="0" w:space="0" w:color="auto"/>
        <w:left w:val="none" w:sz="0" w:space="0" w:color="auto"/>
        <w:bottom w:val="none" w:sz="0" w:space="0" w:color="auto"/>
        <w:right w:val="none" w:sz="0" w:space="0" w:color="auto"/>
      </w:divBdr>
    </w:div>
    <w:div w:id="484471124">
      <w:bodyDiv w:val="1"/>
      <w:marLeft w:val="0"/>
      <w:marRight w:val="0"/>
      <w:marTop w:val="0"/>
      <w:marBottom w:val="0"/>
      <w:divBdr>
        <w:top w:val="none" w:sz="0" w:space="0" w:color="auto"/>
        <w:left w:val="none" w:sz="0" w:space="0" w:color="auto"/>
        <w:bottom w:val="none" w:sz="0" w:space="0" w:color="auto"/>
        <w:right w:val="none" w:sz="0" w:space="0" w:color="auto"/>
      </w:divBdr>
    </w:div>
    <w:div w:id="495655713">
      <w:bodyDiv w:val="1"/>
      <w:marLeft w:val="0"/>
      <w:marRight w:val="0"/>
      <w:marTop w:val="0"/>
      <w:marBottom w:val="0"/>
      <w:divBdr>
        <w:top w:val="none" w:sz="0" w:space="0" w:color="auto"/>
        <w:left w:val="none" w:sz="0" w:space="0" w:color="auto"/>
        <w:bottom w:val="none" w:sz="0" w:space="0" w:color="auto"/>
        <w:right w:val="none" w:sz="0" w:space="0" w:color="auto"/>
      </w:divBdr>
    </w:div>
    <w:div w:id="499200444">
      <w:bodyDiv w:val="1"/>
      <w:marLeft w:val="0"/>
      <w:marRight w:val="0"/>
      <w:marTop w:val="0"/>
      <w:marBottom w:val="0"/>
      <w:divBdr>
        <w:top w:val="none" w:sz="0" w:space="0" w:color="auto"/>
        <w:left w:val="none" w:sz="0" w:space="0" w:color="auto"/>
        <w:bottom w:val="none" w:sz="0" w:space="0" w:color="auto"/>
        <w:right w:val="none" w:sz="0" w:space="0" w:color="auto"/>
      </w:divBdr>
      <w:divsChild>
        <w:div w:id="1383794252">
          <w:marLeft w:val="-720"/>
          <w:marRight w:val="0"/>
          <w:marTop w:val="0"/>
          <w:marBottom w:val="0"/>
          <w:divBdr>
            <w:top w:val="none" w:sz="0" w:space="0" w:color="auto"/>
            <w:left w:val="none" w:sz="0" w:space="0" w:color="auto"/>
            <w:bottom w:val="none" w:sz="0" w:space="0" w:color="auto"/>
            <w:right w:val="none" w:sz="0" w:space="0" w:color="auto"/>
          </w:divBdr>
        </w:div>
      </w:divsChild>
    </w:div>
    <w:div w:id="552935953">
      <w:bodyDiv w:val="1"/>
      <w:marLeft w:val="0"/>
      <w:marRight w:val="0"/>
      <w:marTop w:val="0"/>
      <w:marBottom w:val="0"/>
      <w:divBdr>
        <w:top w:val="none" w:sz="0" w:space="0" w:color="auto"/>
        <w:left w:val="none" w:sz="0" w:space="0" w:color="auto"/>
        <w:bottom w:val="none" w:sz="0" w:space="0" w:color="auto"/>
        <w:right w:val="none" w:sz="0" w:space="0" w:color="auto"/>
      </w:divBdr>
      <w:divsChild>
        <w:div w:id="642857342">
          <w:marLeft w:val="-720"/>
          <w:marRight w:val="0"/>
          <w:marTop w:val="0"/>
          <w:marBottom w:val="0"/>
          <w:divBdr>
            <w:top w:val="none" w:sz="0" w:space="0" w:color="auto"/>
            <w:left w:val="none" w:sz="0" w:space="0" w:color="auto"/>
            <w:bottom w:val="none" w:sz="0" w:space="0" w:color="auto"/>
            <w:right w:val="none" w:sz="0" w:space="0" w:color="auto"/>
          </w:divBdr>
        </w:div>
      </w:divsChild>
    </w:div>
    <w:div w:id="579563994">
      <w:bodyDiv w:val="1"/>
      <w:marLeft w:val="0"/>
      <w:marRight w:val="0"/>
      <w:marTop w:val="0"/>
      <w:marBottom w:val="0"/>
      <w:divBdr>
        <w:top w:val="none" w:sz="0" w:space="0" w:color="auto"/>
        <w:left w:val="none" w:sz="0" w:space="0" w:color="auto"/>
        <w:bottom w:val="none" w:sz="0" w:space="0" w:color="auto"/>
        <w:right w:val="none" w:sz="0" w:space="0" w:color="auto"/>
      </w:divBdr>
    </w:div>
    <w:div w:id="591160127">
      <w:bodyDiv w:val="1"/>
      <w:marLeft w:val="0"/>
      <w:marRight w:val="0"/>
      <w:marTop w:val="0"/>
      <w:marBottom w:val="0"/>
      <w:divBdr>
        <w:top w:val="none" w:sz="0" w:space="0" w:color="auto"/>
        <w:left w:val="none" w:sz="0" w:space="0" w:color="auto"/>
        <w:bottom w:val="none" w:sz="0" w:space="0" w:color="auto"/>
        <w:right w:val="none" w:sz="0" w:space="0" w:color="auto"/>
      </w:divBdr>
    </w:div>
    <w:div w:id="617489760">
      <w:bodyDiv w:val="1"/>
      <w:marLeft w:val="0"/>
      <w:marRight w:val="0"/>
      <w:marTop w:val="0"/>
      <w:marBottom w:val="0"/>
      <w:divBdr>
        <w:top w:val="none" w:sz="0" w:space="0" w:color="auto"/>
        <w:left w:val="none" w:sz="0" w:space="0" w:color="auto"/>
        <w:bottom w:val="none" w:sz="0" w:space="0" w:color="auto"/>
        <w:right w:val="none" w:sz="0" w:space="0" w:color="auto"/>
      </w:divBdr>
    </w:div>
    <w:div w:id="627325062">
      <w:bodyDiv w:val="1"/>
      <w:marLeft w:val="0"/>
      <w:marRight w:val="0"/>
      <w:marTop w:val="0"/>
      <w:marBottom w:val="0"/>
      <w:divBdr>
        <w:top w:val="none" w:sz="0" w:space="0" w:color="auto"/>
        <w:left w:val="none" w:sz="0" w:space="0" w:color="auto"/>
        <w:bottom w:val="none" w:sz="0" w:space="0" w:color="auto"/>
        <w:right w:val="none" w:sz="0" w:space="0" w:color="auto"/>
      </w:divBdr>
      <w:divsChild>
        <w:div w:id="52654683">
          <w:marLeft w:val="-720"/>
          <w:marRight w:val="0"/>
          <w:marTop w:val="0"/>
          <w:marBottom w:val="0"/>
          <w:divBdr>
            <w:top w:val="none" w:sz="0" w:space="0" w:color="auto"/>
            <w:left w:val="none" w:sz="0" w:space="0" w:color="auto"/>
            <w:bottom w:val="none" w:sz="0" w:space="0" w:color="auto"/>
            <w:right w:val="none" w:sz="0" w:space="0" w:color="auto"/>
          </w:divBdr>
        </w:div>
      </w:divsChild>
    </w:div>
    <w:div w:id="646860824">
      <w:bodyDiv w:val="1"/>
      <w:marLeft w:val="0"/>
      <w:marRight w:val="0"/>
      <w:marTop w:val="0"/>
      <w:marBottom w:val="0"/>
      <w:divBdr>
        <w:top w:val="none" w:sz="0" w:space="0" w:color="auto"/>
        <w:left w:val="none" w:sz="0" w:space="0" w:color="auto"/>
        <w:bottom w:val="none" w:sz="0" w:space="0" w:color="auto"/>
        <w:right w:val="none" w:sz="0" w:space="0" w:color="auto"/>
      </w:divBdr>
    </w:div>
    <w:div w:id="708994589">
      <w:bodyDiv w:val="1"/>
      <w:marLeft w:val="0"/>
      <w:marRight w:val="0"/>
      <w:marTop w:val="0"/>
      <w:marBottom w:val="0"/>
      <w:divBdr>
        <w:top w:val="none" w:sz="0" w:space="0" w:color="auto"/>
        <w:left w:val="none" w:sz="0" w:space="0" w:color="auto"/>
        <w:bottom w:val="none" w:sz="0" w:space="0" w:color="auto"/>
        <w:right w:val="none" w:sz="0" w:space="0" w:color="auto"/>
      </w:divBdr>
      <w:divsChild>
        <w:div w:id="1208226174">
          <w:marLeft w:val="-720"/>
          <w:marRight w:val="0"/>
          <w:marTop w:val="0"/>
          <w:marBottom w:val="0"/>
          <w:divBdr>
            <w:top w:val="none" w:sz="0" w:space="0" w:color="auto"/>
            <w:left w:val="none" w:sz="0" w:space="0" w:color="auto"/>
            <w:bottom w:val="none" w:sz="0" w:space="0" w:color="auto"/>
            <w:right w:val="none" w:sz="0" w:space="0" w:color="auto"/>
          </w:divBdr>
        </w:div>
      </w:divsChild>
    </w:div>
    <w:div w:id="725688633">
      <w:bodyDiv w:val="1"/>
      <w:marLeft w:val="0"/>
      <w:marRight w:val="0"/>
      <w:marTop w:val="0"/>
      <w:marBottom w:val="0"/>
      <w:divBdr>
        <w:top w:val="none" w:sz="0" w:space="0" w:color="auto"/>
        <w:left w:val="none" w:sz="0" w:space="0" w:color="auto"/>
        <w:bottom w:val="none" w:sz="0" w:space="0" w:color="auto"/>
        <w:right w:val="none" w:sz="0" w:space="0" w:color="auto"/>
      </w:divBdr>
    </w:div>
    <w:div w:id="760949368">
      <w:bodyDiv w:val="1"/>
      <w:marLeft w:val="0"/>
      <w:marRight w:val="0"/>
      <w:marTop w:val="0"/>
      <w:marBottom w:val="0"/>
      <w:divBdr>
        <w:top w:val="none" w:sz="0" w:space="0" w:color="auto"/>
        <w:left w:val="none" w:sz="0" w:space="0" w:color="auto"/>
        <w:bottom w:val="none" w:sz="0" w:space="0" w:color="auto"/>
        <w:right w:val="none" w:sz="0" w:space="0" w:color="auto"/>
      </w:divBdr>
    </w:div>
    <w:div w:id="767431232">
      <w:bodyDiv w:val="1"/>
      <w:marLeft w:val="0"/>
      <w:marRight w:val="0"/>
      <w:marTop w:val="0"/>
      <w:marBottom w:val="0"/>
      <w:divBdr>
        <w:top w:val="none" w:sz="0" w:space="0" w:color="auto"/>
        <w:left w:val="none" w:sz="0" w:space="0" w:color="auto"/>
        <w:bottom w:val="none" w:sz="0" w:space="0" w:color="auto"/>
        <w:right w:val="none" w:sz="0" w:space="0" w:color="auto"/>
      </w:divBdr>
    </w:div>
    <w:div w:id="768548517">
      <w:bodyDiv w:val="1"/>
      <w:marLeft w:val="0"/>
      <w:marRight w:val="0"/>
      <w:marTop w:val="0"/>
      <w:marBottom w:val="0"/>
      <w:divBdr>
        <w:top w:val="none" w:sz="0" w:space="0" w:color="auto"/>
        <w:left w:val="none" w:sz="0" w:space="0" w:color="auto"/>
        <w:bottom w:val="none" w:sz="0" w:space="0" w:color="auto"/>
        <w:right w:val="none" w:sz="0" w:space="0" w:color="auto"/>
      </w:divBdr>
      <w:divsChild>
        <w:div w:id="1149324955">
          <w:marLeft w:val="-720"/>
          <w:marRight w:val="0"/>
          <w:marTop w:val="0"/>
          <w:marBottom w:val="0"/>
          <w:divBdr>
            <w:top w:val="none" w:sz="0" w:space="0" w:color="auto"/>
            <w:left w:val="none" w:sz="0" w:space="0" w:color="auto"/>
            <w:bottom w:val="none" w:sz="0" w:space="0" w:color="auto"/>
            <w:right w:val="none" w:sz="0" w:space="0" w:color="auto"/>
          </w:divBdr>
        </w:div>
      </w:divsChild>
    </w:div>
    <w:div w:id="800920731">
      <w:bodyDiv w:val="1"/>
      <w:marLeft w:val="0"/>
      <w:marRight w:val="0"/>
      <w:marTop w:val="0"/>
      <w:marBottom w:val="0"/>
      <w:divBdr>
        <w:top w:val="none" w:sz="0" w:space="0" w:color="auto"/>
        <w:left w:val="none" w:sz="0" w:space="0" w:color="auto"/>
        <w:bottom w:val="none" w:sz="0" w:space="0" w:color="auto"/>
        <w:right w:val="none" w:sz="0" w:space="0" w:color="auto"/>
      </w:divBdr>
    </w:div>
    <w:div w:id="806167024">
      <w:bodyDiv w:val="1"/>
      <w:marLeft w:val="0"/>
      <w:marRight w:val="0"/>
      <w:marTop w:val="0"/>
      <w:marBottom w:val="0"/>
      <w:divBdr>
        <w:top w:val="none" w:sz="0" w:space="0" w:color="auto"/>
        <w:left w:val="none" w:sz="0" w:space="0" w:color="auto"/>
        <w:bottom w:val="none" w:sz="0" w:space="0" w:color="auto"/>
        <w:right w:val="none" w:sz="0" w:space="0" w:color="auto"/>
      </w:divBdr>
    </w:div>
    <w:div w:id="810636819">
      <w:bodyDiv w:val="1"/>
      <w:marLeft w:val="0"/>
      <w:marRight w:val="0"/>
      <w:marTop w:val="0"/>
      <w:marBottom w:val="0"/>
      <w:divBdr>
        <w:top w:val="none" w:sz="0" w:space="0" w:color="auto"/>
        <w:left w:val="none" w:sz="0" w:space="0" w:color="auto"/>
        <w:bottom w:val="none" w:sz="0" w:space="0" w:color="auto"/>
        <w:right w:val="none" w:sz="0" w:space="0" w:color="auto"/>
      </w:divBdr>
      <w:divsChild>
        <w:div w:id="888372661">
          <w:marLeft w:val="-720"/>
          <w:marRight w:val="0"/>
          <w:marTop w:val="0"/>
          <w:marBottom w:val="0"/>
          <w:divBdr>
            <w:top w:val="none" w:sz="0" w:space="0" w:color="auto"/>
            <w:left w:val="none" w:sz="0" w:space="0" w:color="auto"/>
            <w:bottom w:val="none" w:sz="0" w:space="0" w:color="auto"/>
            <w:right w:val="none" w:sz="0" w:space="0" w:color="auto"/>
          </w:divBdr>
        </w:div>
      </w:divsChild>
    </w:div>
    <w:div w:id="846553567">
      <w:bodyDiv w:val="1"/>
      <w:marLeft w:val="0"/>
      <w:marRight w:val="0"/>
      <w:marTop w:val="0"/>
      <w:marBottom w:val="0"/>
      <w:divBdr>
        <w:top w:val="none" w:sz="0" w:space="0" w:color="auto"/>
        <w:left w:val="none" w:sz="0" w:space="0" w:color="auto"/>
        <w:bottom w:val="none" w:sz="0" w:space="0" w:color="auto"/>
        <w:right w:val="none" w:sz="0" w:space="0" w:color="auto"/>
      </w:divBdr>
      <w:divsChild>
        <w:div w:id="1489638876">
          <w:marLeft w:val="-720"/>
          <w:marRight w:val="0"/>
          <w:marTop w:val="0"/>
          <w:marBottom w:val="0"/>
          <w:divBdr>
            <w:top w:val="none" w:sz="0" w:space="0" w:color="auto"/>
            <w:left w:val="none" w:sz="0" w:space="0" w:color="auto"/>
            <w:bottom w:val="none" w:sz="0" w:space="0" w:color="auto"/>
            <w:right w:val="none" w:sz="0" w:space="0" w:color="auto"/>
          </w:divBdr>
        </w:div>
      </w:divsChild>
    </w:div>
    <w:div w:id="897740222">
      <w:bodyDiv w:val="1"/>
      <w:marLeft w:val="0"/>
      <w:marRight w:val="0"/>
      <w:marTop w:val="0"/>
      <w:marBottom w:val="0"/>
      <w:divBdr>
        <w:top w:val="none" w:sz="0" w:space="0" w:color="auto"/>
        <w:left w:val="none" w:sz="0" w:space="0" w:color="auto"/>
        <w:bottom w:val="none" w:sz="0" w:space="0" w:color="auto"/>
        <w:right w:val="none" w:sz="0" w:space="0" w:color="auto"/>
      </w:divBdr>
      <w:divsChild>
        <w:div w:id="1065179050">
          <w:marLeft w:val="-720"/>
          <w:marRight w:val="0"/>
          <w:marTop w:val="0"/>
          <w:marBottom w:val="0"/>
          <w:divBdr>
            <w:top w:val="none" w:sz="0" w:space="0" w:color="auto"/>
            <w:left w:val="none" w:sz="0" w:space="0" w:color="auto"/>
            <w:bottom w:val="none" w:sz="0" w:space="0" w:color="auto"/>
            <w:right w:val="none" w:sz="0" w:space="0" w:color="auto"/>
          </w:divBdr>
        </w:div>
      </w:divsChild>
    </w:div>
    <w:div w:id="905839014">
      <w:bodyDiv w:val="1"/>
      <w:marLeft w:val="0"/>
      <w:marRight w:val="0"/>
      <w:marTop w:val="0"/>
      <w:marBottom w:val="0"/>
      <w:divBdr>
        <w:top w:val="none" w:sz="0" w:space="0" w:color="auto"/>
        <w:left w:val="none" w:sz="0" w:space="0" w:color="auto"/>
        <w:bottom w:val="none" w:sz="0" w:space="0" w:color="auto"/>
        <w:right w:val="none" w:sz="0" w:space="0" w:color="auto"/>
      </w:divBdr>
      <w:divsChild>
        <w:div w:id="1186023947">
          <w:marLeft w:val="0"/>
          <w:marRight w:val="0"/>
          <w:marTop w:val="240"/>
          <w:marBottom w:val="0"/>
          <w:divBdr>
            <w:top w:val="single" w:sz="2" w:space="0" w:color="ECEDEE"/>
            <w:left w:val="single" w:sz="2" w:space="0" w:color="ECEDEE"/>
            <w:bottom w:val="single" w:sz="2" w:space="0" w:color="ECEDEE"/>
            <w:right w:val="single" w:sz="2" w:space="0" w:color="ECEDEE"/>
          </w:divBdr>
          <w:divsChild>
            <w:div w:id="1009603982">
              <w:marLeft w:val="36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907956737">
      <w:bodyDiv w:val="1"/>
      <w:marLeft w:val="0"/>
      <w:marRight w:val="0"/>
      <w:marTop w:val="0"/>
      <w:marBottom w:val="0"/>
      <w:divBdr>
        <w:top w:val="none" w:sz="0" w:space="0" w:color="auto"/>
        <w:left w:val="none" w:sz="0" w:space="0" w:color="auto"/>
        <w:bottom w:val="none" w:sz="0" w:space="0" w:color="auto"/>
        <w:right w:val="none" w:sz="0" w:space="0" w:color="auto"/>
      </w:divBdr>
    </w:div>
    <w:div w:id="909923065">
      <w:bodyDiv w:val="1"/>
      <w:marLeft w:val="0"/>
      <w:marRight w:val="0"/>
      <w:marTop w:val="0"/>
      <w:marBottom w:val="0"/>
      <w:divBdr>
        <w:top w:val="none" w:sz="0" w:space="0" w:color="auto"/>
        <w:left w:val="none" w:sz="0" w:space="0" w:color="auto"/>
        <w:bottom w:val="none" w:sz="0" w:space="0" w:color="auto"/>
        <w:right w:val="none" w:sz="0" w:space="0" w:color="auto"/>
      </w:divBdr>
      <w:divsChild>
        <w:div w:id="574558581">
          <w:marLeft w:val="-720"/>
          <w:marRight w:val="0"/>
          <w:marTop w:val="0"/>
          <w:marBottom w:val="0"/>
          <w:divBdr>
            <w:top w:val="none" w:sz="0" w:space="0" w:color="auto"/>
            <w:left w:val="none" w:sz="0" w:space="0" w:color="auto"/>
            <w:bottom w:val="none" w:sz="0" w:space="0" w:color="auto"/>
            <w:right w:val="none" w:sz="0" w:space="0" w:color="auto"/>
          </w:divBdr>
        </w:div>
      </w:divsChild>
    </w:div>
    <w:div w:id="924802786">
      <w:bodyDiv w:val="1"/>
      <w:marLeft w:val="0"/>
      <w:marRight w:val="0"/>
      <w:marTop w:val="0"/>
      <w:marBottom w:val="0"/>
      <w:divBdr>
        <w:top w:val="none" w:sz="0" w:space="0" w:color="auto"/>
        <w:left w:val="none" w:sz="0" w:space="0" w:color="auto"/>
        <w:bottom w:val="none" w:sz="0" w:space="0" w:color="auto"/>
        <w:right w:val="none" w:sz="0" w:space="0" w:color="auto"/>
      </w:divBdr>
      <w:divsChild>
        <w:div w:id="1747413738">
          <w:marLeft w:val="-720"/>
          <w:marRight w:val="0"/>
          <w:marTop w:val="0"/>
          <w:marBottom w:val="0"/>
          <w:divBdr>
            <w:top w:val="none" w:sz="0" w:space="0" w:color="auto"/>
            <w:left w:val="none" w:sz="0" w:space="0" w:color="auto"/>
            <w:bottom w:val="none" w:sz="0" w:space="0" w:color="auto"/>
            <w:right w:val="none" w:sz="0" w:space="0" w:color="auto"/>
          </w:divBdr>
        </w:div>
      </w:divsChild>
    </w:div>
    <w:div w:id="933170986">
      <w:bodyDiv w:val="1"/>
      <w:marLeft w:val="0"/>
      <w:marRight w:val="0"/>
      <w:marTop w:val="0"/>
      <w:marBottom w:val="0"/>
      <w:divBdr>
        <w:top w:val="none" w:sz="0" w:space="0" w:color="auto"/>
        <w:left w:val="none" w:sz="0" w:space="0" w:color="auto"/>
        <w:bottom w:val="none" w:sz="0" w:space="0" w:color="auto"/>
        <w:right w:val="none" w:sz="0" w:space="0" w:color="auto"/>
      </w:divBdr>
      <w:divsChild>
        <w:div w:id="1142386627">
          <w:marLeft w:val="-720"/>
          <w:marRight w:val="0"/>
          <w:marTop w:val="0"/>
          <w:marBottom w:val="0"/>
          <w:divBdr>
            <w:top w:val="none" w:sz="0" w:space="0" w:color="auto"/>
            <w:left w:val="none" w:sz="0" w:space="0" w:color="auto"/>
            <w:bottom w:val="none" w:sz="0" w:space="0" w:color="auto"/>
            <w:right w:val="none" w:sz="0" w:space="0" w:color="auto"/>
          </w:divBdr>
        </w:div>
      </w:divsChild>
    </w:div>
    <w:div w:id="939023779">
      <w:bodyDiv w:val="1"/>
      <w:marLeft w:val="0"/>
      <w:marRight w:val="0"/>
      <w:marTop w:val="0"/>
      <w:marBottom w:val="0"/>
      <w:divBdr>
        <w:top w:val="none" w:sz="0" w:space="0" w:color="auto"/>
        <w:left w:val="none" w:sz="0" w:space="0" w:color="auto"/>
        <w:bottom w:val="none" w:sz="0" w:space="0" w:color="auto"/>
        <w:right w:val="none" w:sz="0" w:space="0" w:color="auto"/>
      </w:divBdr>
    </w:div>
    <w:div w:id="950745006">
      <w:bodyDiv w:val="1"/>
      <w:marLeft w:val="0"/>
      <w:marRight w:val="0"/>
      <w:marTop w:val="0"/>
      <w:marBottom w:val="0"/>
      <w:divBdr>
        <w:top w:val="none" w:sz="0" w:space="0" w:color="auto"/>
        <w:left w:val="none" w:sz="0" w:space="0" w:color="auto"/>
        <w:bottom w:val="none" w:sz="0" w:space="0" w:color="auto"/>
        <w:right w:val="none" w:sz="0" w:space="0" w:color="auto"/>
      </w:divBdr>
      <w:divsChild>
        <w:div w:id="1454514997">
          <w:marLeft w:val="-720"/>
          <w:marRight w:val="0"/>
          <w:marTop w:val="0"/>
          <w:marBottom w:val="0"/>
          <w:divBdr>
            <w:top w:val="none" w:sz="0" w:space="0" w:color="auto"/>
            <w:left w:val="none" w:sz="0" w:space="0" w:color="auto"/>
            <w:bottom w:val="none" w:sz="0" w:space="0" w:color="auto"/>
            <w:right w:val="none" w:sz="0" w:space="0" w:color="auto"/>
          </w:divBdr>
        </w:div>
      </w:divsChild>
    </w:div>
    <w:div w:id="968629980">
      <w:bodyDiv w:val="1"/>
      <w:marLeft w:val="0"/>
      <w:marRight w:val="0"/>
      <w:marTop w:val="0"/>
      <w:marBottom w:val="0"/>
      <w:divBdr>
        <w:top w:val="none" w:sz="0" w:space="0" w:color="auto"/>
        <w:left w:val="none" w:sz="0" w:space="0" w:color="auto"/>
        <w:bottom w:val="none" w:sz="0" w:space="0" w:color="auto"/>
        <w:right w:val="none" w:sz="0" w:space="0" w:color="auto"/>
      </w:divBdr>
    </w:div>
    <w:div w:id="988096240">
      <w:bodyDiv w:val="1"/>
      <w:marLeft w:val="0"/>
      <w:marRight w:val="0"/>
      <w:marTop w:val="0"/>
      <w:marBottom w:val="0"/>
      <w:divBdr>
        <w:top w:val="none" w:sz="0" w:space="0" w:color="auto"/>
        <w:left w:val="none" w:sz="0" w:space="0" w:color="auto"/>
        <w:bottom w:val="none" w:sz="0" w:space="0" w:color="auto"/>
        <w:right w:val="none" w:sz="0" w:space="0" w:color="auto"/>
      </w:divBdr>
      <w:divsChild>
        <w:div w:id="1499224388">
          <w:marLeft w:val="-720"/>
          <w:marRight w:val="0"/>
          <w:marTop w:val="0"/>
          <w:marBottom w:val="0"/>
          <w:divBdr>
            <w:top w:val="none" w:sz="0" w:space="0" w:color="auto"/>
            <w:left w:val="none" w:sz="0" w:space="0" w:color="auto"/>
            <w:bottom w:val="none" w:sz="0" w:space="0" w:color="auto"/>
            <w:right w:val="none" w:sz="0" w:space="0" w:color="auto"/>
          </w:divBdr>
        </w:div>
      </w:divsChild>
    </w:div>
    <w:div w:id="1005471433">
      <w:bodyDiv w:val="1"/>
      <w:marLeft w:val="0"/>
      <w:marRight w:val="0"/>
      <w:marTop w:val="0"/>
      <w:marBottom w:val="0"/>
      <w:divBdr>
        <w:top w:val="none" w:sz="0" w:space="0" w:color="auto"/>
        <w:left w:val="none" w:sz="0" w:space="0" w:color="auto"/>
        <w:bottom w:val="none" w:sz="0" w:space="0" w:color="auto"/>
        <w:right w:val="none" w:sz="0" w:space="0" w:color="auto"/>
      </w:divBdr>
    </w:div>
    <w:div w:id="1013804161">
      <w:bodyDiv w:val="1"/>
      <w:marLeft w:val="0"/>
      <w:marRight w:val="0"/>
      <w:marTop w:val="0"/>
      <w:marBottom w:val="0"/>
      <w:divBdr>
        <w:top w:val="none" w:sz="0" w:space="0" w:color="auto"/>
        <w:left w:val="none" w:sz="0" w:space="0" w:color="auto"/>
        <w:bottom w:val="none" w:sz="0" w:space="0" w:color="auto"/>
        <w:right w:val="none" w:sz="0" w:space="0" w:color="auto"/>
      </w:divBdr>
    </w:div>
    <w:div w:id="1083068319">
      <w:bodyDiv w:val="1"/>
      <w:marLeft w:val="0"/>
      <w:marRight w:val="0"/>
      <w:marTop w:val="0"/>
      <w:marBottom w:val="0"/>
      <w:divBdr>
        <w:top w:val="none" w:sz="0" w:space="0" w:color="auto"/>
        <w:left w:val="none" w:sz="0" w:space="0" w:color="auto"/>
        <w:bottom w:val="none" w:sz="0" w:space="0" w:color="auto"/>
        <w:right w:val="none" w:sz="0" w:space="0" w:color="auto"/>
      </w:divBdr>
    </w:div>
    <w:div w:id="1083186859">
      <w:bodyDiv w:val="1"/>
      <w:marLeft w:val="0"/>
      <w:marRight w:val="0"/>
      <w:marTop w:val="0"/>
      <w:marBottom w:val="0"/>
      <w:divBdr>
        <w:top w:val="none" w:sz="0" w:space="0" w:color="auto"/>
        <w:left w:val="none" w:sz="0" w:space="0" w:color="auto"/>
        <w:bottom w:val="none" w:sz="0" w:space="0" w:color="auto"/>
        <w:right w:val="none" w:sz="0" w:space="0" w:color="auto"/>
      </w:divBdr>
    </w:div>
    <w:div w:id="1085884458">
      <w:bodyDiv w:val="1"/>
      <w:marLeft w:val="0"/>
      <w:marRight w:val="0"/>
      <w:marTop w:val="0"/>
      <w:marBottom w:val="0"/>
      <w:divBdr>
        <w:top w:val="none" w:sz="0" w:space="0" w:color="auto"/>
        <w:left w:val="none" w:sz="0" w:space="0" w:color="auto"/>
        <w:bottom w:val="none" w:sz="0" w:space="0" w:color="auto"/>
        <w:right w:val="none" w:sz="0" w:space="0" w:color="auto"/>
      </w:divBdr>
      <w:divsChild>
        <w:div w:id="177696948">
          <w:marLeft w:val="0"/>
          <w:marRight w:val="0"/>
          <w:marTop w:val="0"/>
          <w:marBottom w:val="0"/>
          <w:divBdr>
            <w:top w:val="none" w:sz="0" w:space="0" w:color="auto"/>
            <w:left w:val="none" w:sz="0" w:space="0" w:color="auto"/>
            <w:bottom w:val="none" w:sz="0" w:space="0" w:color="auto"/>
            <w:right w:val="none" w:sz="0" w:space="0" w:color="auto"/>
          </w:divBdr>
        </w:div>
      </w:divsChild>
    </w:div>
    <w:div w:id="1119379176">
      <w:bodyDiv w:val="1"/>
      <w:marLeft w:val="0"/>
      <w:marRight w:val="0"/>
      <w:marTop w:val="0"/>
      <w:marBottom w:val="0"/>
      <w:divBdr>
        <w:top w:val="none" w:sz="0" w:space="0" w:color="auto"/>
        <w:left w:val="none" w:sz="0" w:space="0" w:color="auto"/>
        <w:bottom w:val="none" w:sz="0" w:space="0" w:color="auto"/>
        <w:right w:val="none" w:sz="0" w:space="0" w:color="auto"/>
      </w:divBdr>
    </w:div>
    <w:div w:id="1129711959">
      <w:bodyDiv w:val="1"/>
      <w:marLeft w:val="0"/>
      <w:marRight w:val="0"/>
      <w:marTop w:val="0"/>
      <w:marBottom w:val="0"/>
      <w:divBdr>
        <w:top w:val="none" w:sz="0" w:space="0" w:color="auto"/>
        <w:left w:val="none" w:sz="0" w:space="0" w:color="auto"/>
        <w:bottom w:val="none" w:sz="0" w:space="0" w:color="auto"/>
        <w:right w:val="none" w:sz="0" w:space="0" w:color="auto"/>
      </w:divBdr>
      <w:divsChild>
        <w:div w:id="131556070">
          <w:marLeft w:val="-720"/>
          <w:marRight w:val="0"/>
          <w:marTop w:val="0"/>
          <w:marBottom w:val="0"/>
          <w:divBdr>
            <w:top w:val="none" w:sz="0" w:space="0" w:color="auto"/>
            <w:left w:val="none" w:sz="0" w:space="0" w:color="auto"/>
            <w:bottom w:val="none" w:sz="0" w:space="0" w:color="auto"/>
            <w:right w:val="none" w:sz="0" w:space="0" w:color="auto"/>
          </w:divBdr>
        </w:div>
      </w:divsChild>
    </w:div>
    <w:div w:id="1169717779">
      <w:bodyDiv w:val="1"/>
      <w:marLeft w:val="0"/>
      <w:marRight w:val="0"/>
      <w:marTop w:val="0"/>
      <w:marBottom w:val="0"/>
      <w:divBdr>
        <w:top w:val="none" w:sz="0" w:space="0" w:color="auto"/>
        <w:left w:val="none" w:sz="0" w:space="0" w:color="auto"/>
        <w:bottom w:val="none" w:sz="0" w:space="0" w:color="auto"/>
        <w:right w:val="none" w:sz="0" w:space="0" w:color="auto"/>
      </w:divBdr>
      <w:divsChild>
        <w:div w:id="1828939495">
          <w:marLeft w:val="-720"/>
          <w:marRight w:val="0"/>
          <w:marTop w:val="0"/>
          <w:marBottom w:val="0"/>
          <w:divBdr>
            <w:top w:val="none" w:sz="0" w:space="0" w:color="auto"/>
            <w:left w:val="none" w:sz="0" w:space="0" w:color="auto"/>
            <w:bottom w:val="none" w:sz="0" w:space="0" w:color="auto"/>
            <w:right w:val="none" w:sz="0" w:space="0" w:color="auto"/>
          </w:divBdr>
        </w:div>
      </w:divsChild>
    </w:div>
    <w:div w:id="1172070148">
      <w:bodyDiv w:val="1"/>
      <w:marLeft w:val="0"/>
      <w:marRight w:val="0"/>
      <w:marTop w:val="0"/>
      <w:marBottom w:val="0"/>
      <w:divBdr>
        <w:top w:val="none" w:sz="0" w:space="0" w:color="auto"/>
        <w:left w:val="none" w:sz="0" w:space="0" w:color="auto"/>
        <w:bottom w:val="none" w:sz="0" w:space="0" w:color="auto"/>
        <w:right w:val="none" w:sz="0" w:space="0" w:color="auto"/>
      </w:divBdr>
    </w:div>
    <w:div w:id="1202550889">
      <w:bodyDiv w:val="1"/>
      <w:marLeft w:val="0"/>
      <w:marRight w:val="0"/>
      <w:marTop w:val="0"/>
      <w:marBottom w:val="0"/>
      <w:divBdr>
        <w:top w:val="none" w:sz="0" w:space="0" w:color="auto"/>
        <w:left w:val="none" w:sz="0" w:space="0" w:color="auto"/>
        <w:bottom w:val="none" w:sz="0" w:space="0" w:color="auto"/>
        <w:right w:val="none" w:sz="0" w:space="0" w:color="auto"/>
      </w:divBdr>
    </w:div>
    <w:div w:id="1205369180">
      <w:bodyDiv w:val="1"/>
      <w:marLeft w:val="0"/>
      <w:marRight w:val="0"/>
      <w:marTop w:val="0"/>
      <w:marBottom w:val="0"/>
      <w:divBdr>
        <w:top w:val="none" w:sz="0" w:space="0" w:color="auto"/>
        <w:left w:val="none" w:sz="0" w:space="0" w:color="auto"/>
        <w:bottom w:val="none" w:sz="0" w:space="0" w:color="auto"/>
        <w:right w:val="none" w:sz="0" w:space="0" w:color="auto"/>
      </w:divBdr>
    </w:div>
    <w:div w:id="1214733805">
      <w:bodyDiv w:val="1"/>
      <w:marLeft w:val="0"/>
      <w:marRight w:val="0"/>
      <w:marTop w:val="0"/>
      <w:marBottom w:val="0"/>
      <w:divBdr>
        <w:top w:val="none" w:sz="0" w:space="0" w:color="auto"/>
        <w:left w:val="none" w:sz="0" w:space="0" w:color="auto"/>
        <w:bottom w:val="none" w:sz="0" w:space="0" w:color="auto"/>
        <w:right w:val="none" w:sz="0" w:space="0" w:color="auto"/>
      </w:divBdr>
      <w:divsChild>
        <w:div w:id="1427189718">
          <w:marLeft w:val="-720"/>
          <w:marRight w:val="0"/>
          <w:marTop w:val="0"/>
          <w:marBottom w:val="0"/>
          <w:divBdr>
            <w:top w:val="none" w:sz="0" w:space="0" w:color="auto"/>
            <w:left w:val="none" w:sz="0" w:space="0" w:color="auto"/>
            <w:bottom w:val="none" w:sz="0" w:space="0" w:color="auto"/>
            <w:right w:val="none" w:sz="0" w:space="0" w:color="auto"/>
          </w:divBdr>
        </w:div>
      </w:divsChild>
    </w:div>
    <w:div w:id="1229607229">
      <w:bodyDiv w:val="1"/>
      <w:marLeft w:val="0"/>
      <w:marRight w:val="0"/>
      <w:marTop w:val="0"/>
      <w:marBottom w:val="0"/>
      <w:divBdr>
        <w:top w:val="none" w:sz="0" w:space="0" w:color="auto"/>
        <w:left w:val="none" w:sz="0" w:space="0" w:color="auto"/>
        <w:bottom w:val="none" w:sz="0" w:space="0" w:color="auto"/>
        <w:right w:val="none" w:sz="0" w:space="0" w:color="auto"/>
      </w:divBdr>
      <w:divsChild>
        <w:div w:id="1081175270">
          <w:marLeft w:val="-720"/>
          <w:marRight w:val="0"/>
          <w:marTop w:val="0"/>
          <w:marBottom w:val="0"/>
          <w:divBdr>
            <w:top w:val="none" w:sz="0" w:space="0" w:color="auto"/>
            <w:left w:val="none" w:sz="0" w:space="0" w:color="auto"/>
            <w:bottom w:val="none" w:sz="0" w:space="0" w:color="auto"/>
            <w:right w:val="none" w:sz="0" w:space="0" w:color="auto"/>
          </w:divBdr>
        </w:div>
      </w:divsChild>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sChild>
        <w:div w:id="488719270">
          <w:marLeft w:val="-720"/>
          <w:marRight w:val="0"/>
          <w:marTop w:val="0"/>
          <w:marBottom w:val="0"/>
          <w:divBdr>
            <w:top w:val="none" w:sz="0" w:space="0" w:color="auto"/>
            <w:left w:val="none" w:sz="0" w:space="0" w:color="auto"/>
            <w:bottom w:val="none" w:sz="0" w:space="0" w:color="auto"/>
            <w:right w:val="none" w:sz="0" w:space="0" w:color="auto"/>
          </w:divBdr>
        </w:div>
      </w:divsChild>
    </w:div>
    <w:div w:id="1261648106">
      <w:bodyDiv w:val="1"/>
      <w:marLeft w:val="0"/>
      <w:marRight w:val="0"/>
      <w:marTop w:val="0"/>
      <w:marBottom w:val="0"/>
      <w:divBdr>
        <w:top w:val="none" w:sz="0" w:space="0" w:color="auto"/>
        <w:left w:val="none" w:sz="0" w:space="0" w:color="auto"/>
        <w:bottom w:val="none" w:sz="0" w:space="0" w:color="auto"/>
        <w:right w:val="none" w:sz="0" w:space="0" w:color="auto"/>
      </w:divBdr>
    </w:div>
    <w:div w:id="1285119296">
      <w:bodyDiv w:val="1"/>
      <w:marLeft w:val="0"/>
      <w:marRight w:val="0"/>
      <w:marTop w:val="0"/>
      <w:marBottom w:val="0"/>
      <w:divBdr>
        <w:top w:val="none" w:sz="0" w:space="0" w:color="auto"/>
        <w:left w:val="none" w:sz="0" w:space="0" w:color="auto"/>
        <w:bottom w:val="none" w:sz="0" w:space="0" w:color="auto"/>
        <w:right w:val="none" w:sz="0" w:space="0" w:color="auto"/>
      </w:divBdr>
      <w:divsChild>
        <w:div w:id="1441145980">
          <w:marLeft w:val="-720"/>
          <w:marRight w:val="0"/>
          <w:marTop w:val="0"/>
          <w:marBottom w:val="0"/>
          <w:divBdr>
            <w:top w:val="none" w:sz="0" w:space="0" w:color="auto"/>
            <w:left w:val="none" w:sz="0" w:space="0" w:color="auto"/>
            <w:bottom w:val="none" w:sz="0" w:space="0" w:color="auto"/>
            <w:right w:val="none" w:sz="0" w:space="0" w:color="auto"/>
          </w:divBdr>
        </w:div>
      </w:divsChild>
    </w:div>
    <w:div w:id="1314212809">
      <w:bodyDiv w:val="1"/>
      <w:marLeft w:val="0"/>
      <w:marRight w:val="0"/>
      <w:marTop w:val="0"/>
      <w:marBottom w:val="0"/>
      <w:divBdr>
        <w:top w:val="none" w:sz="0" w:space="0" w:color="auto"/>
        <w:left w:val="none" w:sz="0" w:space="0" w:color="auto"/>
        <w:bottom w:val="none" w:sz="0" w:space="0" w:color="auto"/>
        <w:right w:val="none" w:sz="0" w:space="0" w:color="auto"/>
      </w:divBdr>
    </w:div>
    <w:div w:id="1336498387">
      <w:bodyDiv w:val="1"/>
      <w:marLeft w:val="0"/>
      <w:marRight w:val="0"/>
      <w:marTop w:val="0"/>
      <w:marBottom w:val="0"/>
      <w:divBdr>
        <w:top w:val="none" w:sz="0" w:space="0" w:color="auto"/>
        <w:left w:val="none" w:sz="0" w:space="0" w:color="auto"/>
        <w:bottom w:val="none" w:sz="0" w:space="0" w:color="auto"/>
        <w:right w:val="none" w:sz="0" w:space="0" w:color="auto"/>
      </w:divBdr>
    </w:div>
    <w:div w:id="1354576062">
      <w:bodyDiv w:val="1"/>
      <w:marLeft w:val="0"/>
      <w:marRight w:val="0"/>
      <w:marTop w:val="0"/>
      <w:marBottom w:val="0"/>
      <w:divBdr>
        <w:top w:val="none" w:sz="0" w:space="0" w:color="auto"/>
        <w:left w:val="none" w:sz="0" w:space="0" w:color="auto"/>
        <w:bottom w:val="none" w:sz="0" w:space="0" w:color="auto"/>
        <w:right w:val="none" w:sz="0" w:space="0" w:color="auto"/>
      </w:divBdr>
    </w:div>
    <w:div w:id="1382557417">
      <w:bodyDiv w:val="1"/>
      <w:marLeft w:val="0"/>
      <w:marRight w:val="0"/>
      <w:marTop w:val="0"/>
      <w:marBottom w:val="0"/>
      <w:divBdr>
        <w:top w:val="none" w:sz="0" w:space="0" w:color="auto"/>
        <w:left w:val="none" w:sz="0" w:space="0" w:color="auto"/>
        <w:bottom w:val="none" w:sz="0" w:space="0" w:color="auto"/>
        <w:right w:val="none" w:sz="0" w:space="0" w:color="auto"/>
      </w:divBdr>
      <w:divsChild>
        <w:div w:id="1036584852">
          <w:marLeft w:val="0"/>
          <w:marRight w:val="0"/>
          <w:marTop w:val="0"/>
          <w:marBottom w:val="0"/>
          <w:divBdr>
            <w:top w:val="none" w:sz="0" w:space="0" w:color="auto"/>
            <w:left w:val="none" w:sz="0" w:space="0" w:color="auto"/>
            <w:bottom w:val="none" w:sz="0" w:space="0" w:color="auto"/>
            <w:right w:val="none" w:sz="0" w:space="0" w:color="auto"/>
          </w:divBdr>
        </w:div>
      </w:divsChild>
    </w:div>
    <w:div w:id="1401178349">
      <w:bodyDiv w:val="1"/>
      <w:marLeft w:val="0"/>
      <w:marRight w:val="0"/>
      <w:marTop w:val="0"/>
      <w:marBottom w:val="0"/>
      <w:divBdr>
        <w:top w:val="none" w:sz="0" w:space="0" w:color="auto"/>
        <w:left w:val="none" w:sz="0" w:space="0" w:color="auto"/>
        <w:bottom w:val="none" w:sz="0" w:space="0" w:color="auto"/>
        <w:right w:val="none" w:sz="0" w:space="0" w:color="auto"/>
      </w:divBdr>
    </w:div>
    <w:div w:id="1438140951">
      <w:bodyDiv w:val="1"/>
      <w:marLeft w:val="0"/>
      <w:marRight w:val="0"/>
      <w:marTop w:val="0"/>
      <w:marBottom w:val="0"/>
      <w:divBdr>
        <w:top w:val="none" w:sz="0" w:space="0" w:color="auto"/>
        <w:left w:val="none" w:sz="0" w:space="0" w:color="auto"/>
        <w:bottom w:val="none" w:sz="0" w:space="0" w:color="auto"/>
        <w:right w:val="none" w:sz="0" w:space="0" w:color="auto"/>
      </w:divBdr>
    </w:div>
    <w:div w:id="1448770328">
      <w:bodyDiv w:val="1"/>
      <w:marLeft w:val="0"/>
      <w:marRight w:val="0"/>
      <w:marTop w:val="0"/>
      <w:marBottom w:val="0"/>
      <w:divBdr>
        <w:top w:val="none" w:sz="0" w:space="0" w:color="auto"/>
        <w:left w:val="none" w:sz="0" w:space="0" w:color="auto"/>
        <w:bottom w:val="none" w:sz="0" w:space="0" w:color="auto"/>
        <w:right w:val="none" w:sz="0" w:space="0" w:color="auto"/>
      </w:divBdr>
    </w:div>
    <w:div w:id="1463188177">
      <w:bodyDiv w:val="1"/>
      <w:marLeft w:val="0"/>
      <w:marRight w:val="0"/>
      <w:marTop w:val="0"/>
      <w:marBottom w:val="0"/>
      <w:divBdr>
        <w:top w:val="none" w:sz="0" w:space="0" w:color="auto"/>
        <w:left w:val="none" w:sz="0" w:space="0" w:color="auto"/>
        <w:bottom w:val="none" w:sz="0" w:space="0" w:color="auto"/>
        <w:right w:val="none" w:sz="0" w:space="0" w:color="auto"/>
      </w:divBdr>
    </w:div>
    <w:div w:id="1466702747">
      <w:bodyDiv w:val="1"/>
      <w:marLeft w:val="0"/>
      <w:marRight w:val="0"/>
      <w:marTop w:val="0"/>
      <w:marBottom w:val="0"/>
      <w:divBdr>
        <w:top w:val="none" w:sz="0" w:space="0" w:color="auto"/>
        <w:left w:val="none" w:sz="0" w:space="0" w:color="auto"/>
        <w:bottom w:val="none" w:sz="0" w:space="0" w:color="auto"/>
        <w:right w:val="none" w:sz="0" w:space="0" w:color="auto"/>
      </w:divBdr>
    </w:div>
    <w:div w:id="1573153824">
      <w:bodyDiv w:val="1"/>
      <w:marLeft w:val="0"/>
      <w:marRight w:val="0"/>
      <w:marTop w:val="0"/>
      <w:marBottom w:val="0"/>
      <w:divBdr>
        <w:top w:val="none" w:sz="0" w:space="0" w:color="auto"/>
        <w:left w:val="none" w:sz="0" w:space="0" w:color="auto"/>
        <w:bottom w:val="none" w:sz="0" w:space="0" w:color="auto"/>
        <w:right w:val="none" w:sz="0" w:space="0" w:color="auto"/>
      </w:divBdr>
    </w:div>
    <w:div w:id="1599094503">
      <w:bodyDiv w:val="1"/>
      <w:marLeft w:val="0"/>
      <w:marRight w:val="0"/>
      <w:marTop w:val="0"/>
      <w:marBottom w:val="0"/>
      <w:divBdr>
        <w:top w:val="none" w:sz="0" w:space="0" w:color="auto"/>
        <w:left w:val="none" w:sz="0" w:space="0" w:color="auto"/>
        <w:bottom w:val="none" w:sz="0" w:space="0" w:color="auto"/>
        <w:right w:val="none" w:sz="0" w:space="0" w:color="auto"/>
      </w:divBdr>
      <w:divsChild>
        <w:div w:id="373390464">
          <w:marLeft w:val="-720"/>
          <w:marRight w:val="0"/>
          <w:marTop w:val="0"/>
          <w:marBottom w:val="0"/>
          <w:divBdr>
            <w:top w:val="none" w:sz="0" w:space="0" w:color="auto"/>
            <w:left w:val="none" w:sz="0" w:space="0" w:color="auto"/>
            <w:bottom w:val="none" w:sz="0" w:space="0" w:color="auto"/>
            <w:right w:val="none" w:sz="0" w:space="0" w:color="auto"/>
          </w:divBdr>
        </w:div>
      </w:divsChild>
    </w:div>
    <w:div w:id="1652634008">
      <w:bodyDiv w:val="1"/>
      <w:marLeft w:val="0"/>
      <w:marRight w:val="0"/>
      <w:marTop w:val="0"/>
      <w:marBottom w:val="0"/>
      <w:divBdr>
        <w:top w:val="none" w:sz="0" w:space="0" w:color="auto"/>
        <w:left w:val="none" w:sz="0" w:space="0" w:color="auto"/>
        <w:bottom w:val="none" w:sz="0" w:space="0" w:color="auto"/>
        <w:right w:val="none" w:sz="0" w:space="0" w:color="auto"/>
      </w:divBdr>
    </w:div>
    <w:div w:id="1721442250">
      <w:bodyDiv w:val="1"/>
      <w:marLeft w:val="0"/>
      <w:marRight w:val="0"/>
      <w:marTop w:val="0"/>
      <w:marBottom w:val="0"/>
      <w:divBdr>
        <w:top w:val="none" w:sz="0" w:space="0" w:color="auto"/>
        <w:left w:val="none" w:sz="0" w:space="0" w:color="auto"/>
        <w:bottom w:val="none" w:sz="0" w:space="0" w:color="auto"/>
        <w:right w:val="none" w:sz="0" w:space="0" w:color="auto"/>
      </w:divBdr>
      <w:divsChild>
        <w:div w:id="610434957">
          <w:marLeft w:val="-720"/>
          <w:marRight w:val="0"/>
          <w:marTop w:val="0"/>
          <w:marBottom w:val="0"/>
          <w:divBdr>
            <w:top w:val="none" w:sz="0" w:space="0" w:color="auto"/>
            <w:left w:val="none" w:sz="0" w:space="0" w:color="auto"/>
            <w:bottom w:val="none" w:sz="0" w:space="0" w:color="auto"/>
            <w:right w:val="none" w:sz="0" w:space="0" w:color="auto"/>
          </w:divBdr>
        </w:div>
      </w:divsChild>
    </w:div>
    <w:div w:id="1732923287">
      <w:bodyDiv w:val="1"/>
      <w:marLeft w:val="0"/>
      <w:marRight w:val="0"/>
      <w:marTop w:val="0"/>
      <w:marBottom w:val="0"/>
      <w:divBdr>
        <w:top w:val="none" w:sz="0" w:space="0" w:color="auto"/>
        <w:left w:val="none" w:sz="0" w:space="0" w:color="auto"/>
        <w:bottom w:val="none" w:sz="0" w:space="0" w:color="auto"/>
        <w:right w:val="none" w:sz="0" w:space="0" w:color="auto"/>
      </w:divBdr>
    </w:div>
    <w:div w:id="1805268843">
      <w:bodyDiv w:val="1"/>
      <w:marLeft w:val="0"/>
      <w:marRight w:val="0"/>
      <w:marTop w:val="0"/>
      <w:marBottom w:val="0"/>
      <w:divBdr>
        <w:top w:val="none" w:sz="0" w:space="0" w:color="auto"/>
        <w:left w:val="none" w:sz="0" w:space="0" w:color="auto"/>
        <w:bottom w:val="none" w:sz="0" w:space="0" w:color="auto"/>
        <w:right w:val="none" w:sz="0" w:space="0" w:color="auto"/>
      </w:divBdr>
    </w:div>
    <w:div w:id="1842503275">
      <w:bodyDiv w:val="1"/>
      <w:marLeft w:val="0"/>
      <w:marRight w:val="0"/>
      <w:marTop w:val="0"/>
      <w:marBottom w:val="0"/>
      <w:divBdr>
        <w:top w:val="none" w:sz="0" w:space="0" w:color="auto"/>
        <w:left w:val="none" w:sz="0" w:space="0" w:color="auto"/>
        <w:bottom w:val="none" w:sz="0" w:space="0" w:color="auto"/>
        <w:right w:val="none" w:sz="0" w:space="0" w:color="auto"/>
      </w:divBdr>
      <w:divsChild>
        <w:div w:id="2144929178">
          <w:marLeft w:val="-720"/>
          <w:marRight w:val="0"/>
          <w:marTop w:val="0"/>
          <w:marBottom w:val="0"/>
          <w:divBdr>
            <w:top w:val="none" w:sz="0" w:space="0" w:color="auto"/>
            <w:left w:val="none" w:sz="0" w:space="0" w:color="auto"/>
            <w:bottom w:val="none" w:sz="0" w:space="0" w:color="auto"/>
            <w:right w:val="none" w:sz="0" w:space="0" w:color="auto"/>
          </w:divBdr>
        </w:div>
      </w:divsChild>
    </w:div>
    <w:div w:id="1843079176">
      <w:bodyDiv w:val="1"/>
      <w:marLeft w:val="0"/>
      <w:marRight w:val="0"/>
      <w:marTop w:val="0"/>
      <w:marBottom w:val="0"/>
      <w:divBdr>
        <w:top w:val="none" w:sz="0" w:space="0" w:color="auto"/>
        <w:left w:val="none" w:sz="0" w:space="0" w:color="auto"/>
        <w:bottom w:val="none" w:sz="0" w:space="0" w:color="auto"/>
        <w:right w:val="none" w:sz="0" w:space="0" w:color="auto"/>
      </w:divBdr>
      <w:divsChild>
        <w:div w:id="1986200409">
          <w:marLeft w:val="-720"/>
          <w:marRight w:val="0"/>
          <w:marTop w:val="0"/>
          <w:marBottom w:val="0"/>
          <w:divBdr>
            <w:top w:val="none" w:sz="0" w:space="0" w:color="auto"/>
            <w:left w:val="none" w:sz="0" w:space="0" w:color="auto"/>
            <w:bottom w:val="none" w:sz="0" w:space="0" w:color="auto"/>
            <w:right w:val="none" w:sz="0" w:space="0" w:color="auto"/>
          </w:divBdr>
        </w:div>
      </w:divsChild>
    </w:div>
    <w:div w:id="1847555739">
      <w:bodyDiv w:val="1"/>
      <w:marLeft w:val="0"/>
      <w:marRight w:val="0"/>
      <w:marTop w:val="0"/>
      <w:marBottom w:val="0"/>
      <w:divBdr>
        <w:top w:val="none" w:sz="0" w:space="0" w:color="auto"/>
        <w:left w:val="none" w:sz="0" w:space="0" w:color="auto"/>
        <w:bottom w:val="none" w:sz="0" w:space="0" w:color="auto"/>
        <w:right w:val="none" w:sz="0" w:space="0" w:color="auto"/>
      </w:divBdr>
      <w:divsChild>
        <w:div w:id="1372724662">
          <w:marLeft w:val="-720"/>
          <w:marRight w:val="0"/>
          <w:marTop w:val="0"/>
          <w:marBottom w:val="0"/>
          <w:divBdr>
            <w:top w:val="none" w:sz="0" w:space="0" w:color="auto"/>
            <w:left w:val="none" w:sz="0" w:space="0" w:color="auto"/>
            <w:bottom w:val="none" w:sz="0" w:space="0" w:color="auto"/>
            <w:right w:val="none" w:sz="0" w:space="0" w:color="auto"/>
          </w:divBdr>
        </w:div>
      </w:divsChild>
    </w:div>
    <w:div w:id="1908224723">
      <w:bodyDiv w:val="1"/>
      <w:marLeft w:val="0"/>
      <w:marRight w:val="0"/>
      <w:marTop w:val="0"/>
      <w:marBottom w:val="0"/>
      <w:divBdr>
        <w:top w:val="none" w:sz="0" w:space="0" w:color="auto"/>
        <w:left w:val="none" w:sz="0" w:space="0" w:color="auto"/>
        <w:bottom w:val="none" w:sz="0" w:space="0" w:color="auto"/>
        <w:right w:val="none" w:sz="0" w:space="0" w:color="auto"/>
      </w:divBdr>
      <w:divsChild>
        <w:div w:id="787548210">
          <w:marLeft w:val="-720"/>
          <w:marRight w:val="0"/>
          <w:marTop w:val="0"/>
          <w:marBottom w:val="0"/>
          <w:divBdr>
            <w:top w:val="none" w:sz="0" w:space="0" w:color="auto"/>
            <w:left w:val="none" w:sz="0" w:space="0" w:color="auto"/>
            <w:bottom w:val="none" w:sz="0" w:space="0" w:color="auto"/>
            <w:right w:val="none" w:sz="0" w:space="0" w:color="auto"/>
          </w:divBdr>
        </w:div>
      </w:divsChild>
    </w:div>
    <w:div w:id="1918785161">
      <w:bodyDiv w:val="1"/>
      <w:marLeft w:val="0"/>
      <w:marRight w:val="0"/>
      <w:marTop w:val="0"/>
      <w:marBottom w:val="0"/>
      <w:divBdr>
        <w:top w:val="none" w:sz="0" w:space="0" w:color="auto"/>
        <w:left w:val="none" w:sz="0" w:space="0" w:color="auto"/>
        <w:bottom w:val="none" w:sz="0" w:space="0" w:color="auto"/>
        <w:right w:val="none" w:sz="0" w:space="0" w:color="auto"/>
      </w:divBdr>
    </w:div>
    <w:div w:id="1930263338">
      <w:bodyDiv w:val="1"/>
      <w:marLeft w:val="0"/>
      <w:marRight w:val="0"/>
      <w:marTop w:val="0"/>
      <w:marBottom w:val="0"/>
      <w:divBdr>
        <w:top w:val="none" w:sz="0" w:space="0" w:color="auto"/>
        <w:left w:val="none" w:sz="0" w:space="0" w:color="auto"/>
        <w:bottom w:val="none" w:sz="0" w:space="0" w:color="auto"/>
        <w:right w:val="none" w:sz="0" w:space="0" w:color="auto"/>
      </w:divBdr>
    </w:div>
    <w:div w:id="1953050635">
      <w:bodyDiv w:val="1"/>
      <w:marLeft w:val="0"/>
      <w:marRight w:val="0"/>
      <w:marTop w:val="0"/>
      <w:marBottom w:val="0"/>
      <w:divBdr>
        <w:top w:val="none" w:sz="0" w:space="0" w:color="auto"/>
        <w:left w:val="none" w:sz="0" w:space="0" w:color="auto"/>
        <w:bottom w:val="none" w:sz="0" w:space="0" w:color="auto"/>
        <w:right w:val="none" w:sz="0" w:space="0" w:color="auto"/>
      </w:divBdr>
    </w:div>
    <w:div w:id="1972439994">
      <w:bodyDiv w:val="1"/>
      <w:marLeft w:val="0"/>
      <w:marRight w:val="0"/>
      <w:marTop w:val="0"/>
      <w:marBottom w:val="0"/>
      <w:divBdr>
        <w:top w:val="none" w:sz="0" w:space="0" w:color="auto"/>
        <w:left w:val="none" w:sz="0" w:space="0" w:color="auto"/>
        <w:bottom w:val="none" w:sz="0" w:space="0" w:color="auto"/>
        <w:right w:val="none" w:sz="0" w:space="0" w:color="auto"/>
      </w:divBdr>
      <w:divsChild>
        <w:div w:id="412508500">
          <w:marLeft w:val="-720"/>
          <w:marRight w:val="0"/>
          <w:marTop w:val="0"/>
          <w:marBottom w:val="0"/>
          <w:divBdr>
            <w:top w:val="none" w:sz="0" w:space="0" w:color="auto"/>
            <w:left w:val="none" w:sz="0" w:space="0" w:color="auto"/>
            <w:bottom w:val="none" w:sz="0" w:space="0" w:color="auto"/>
            <w:right w:val="none" w:sz="0" w:space="0" w:color="auto"/>
          </w:divBdr>
        </w:div>
      </w:divsChild>
    </w:div>
    <w:div w:id="2046827460">
      <w:bodyDiv w:val="1"/>
      <w:marLeft w:val="0"/>
      <w:marRight w:val="0"/>
      <w:marTop w:val="0"/>
      <w:marBottom w:val="0"/>
      <w:divBdr>
        <w:top w:val="none" w:sz="0" w:space="0" w:color="auto"/>
        <w:left w:val="none" w:sz="0" w:space="0" w:color="auto"/>
        <w:bottom w:val="none" w:sz="0" w:space="0" w:color="auto"/>
        <w:right w:val="none" w:sz="0" w:space="0" w:color="auto"/>
      </w:divBdr>
    </w:div>
    <w:div w:id="2102556323">
      <w:bodyDiv w:val="1"/>
      <w:marLeft w:val="0"/>
      <w:marRight w:val="0"/>
      <w:marTop w:val="0"/>
      <w:marBottom w:val="0"/>
      <w:divBdr>
        <w:top w:val="none" w:sz="0" w:space="0" w:color="auto"/>
        <w:left w:val="none" w:sz="0" w:space="0" w:color="auto"/>
        <w:bottom w:val="none" w:sz="0" w:space="0" w:color="auto"/>
        <w:right w:val="none" w:sz="0" w:space="0" w:color="auto"/>
      </w:divBdr>
    </w:div>
    <w:div w:id="2133135313">
      <w:bodyDiv w:val="1"/>
      <w:marLeft w:val="0"/>
      <w:marRight w:val="0"/>
      <w:marTop w:val="0"/>
      <w:marBottom w:val="0"/>
      <w:divBdr>
        <w:top w:val="none" w:sz="0" w:space="0" w:color="auto"/>
        <w:left w:val="none" w:sz="0" w:space="0" w:color="auto"/>
        <w:bottom w:val="none" w:sz="0" w:space="0" w:color="auto"/>
        <w:right w:val="none" w:sz="0" w:space="0" w:color="auto"/>
      </w:divBdr>
    </w:div>
    <w:div w:id="2134207700">
      <w:bodyDiv w:val="1"/>
      <w:marLeft w:val="0"/>
      <w:marRight w:val="0"/>
      <w:marTop w:val="0"/>
      <w:marBottom w:val="0"/>
      <w:divBdr>
        <w:top w:val="none" w:sz="0" w:space="0" w:color="auto"/>
        <w:left w:val="none" w:sz="0" w:space="0" w:color="auto"/>
        <w:bottom w:val="none" w:sz="0" w:space="0" w:color="auto"/>
        <w:right w:val="none" w:sz="0" w:space="0" w:color="auto"/>
      </w:divBdr>
    </w:div>
    <w:div w:id="2139257468">
      <w:bodyDiv w:val="1"/>
      <w:marLeft w:val="0"/>
      <w:marRight w:val="0"/>
      <w:marTop w:val="0"/>
      <w:marBottom w:val="0"/>
      <w:divBdr>
        <w:top w:val="none" w:sz="0" w:space="0" w:color="auto"/>
        <w:left w:val="none" w:sz="0" w:space="0" w:color="auto"/>
        <w:bottom w:val="none" w:sz="0" w:space="0" w:color="auto"/>
        <w:right w:val="none" w:sz="0" w:space="0" w:color="auto"/>
      </w:divBdr>
      <w:divsChild>
        <w:div w:id="114196943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103/aian.AIAN_610_19" TargetMode="External"/><Relationship Id="rId21" Type="http://schemas.openxmlformats.org/officeDocument/2006/relationships/hyperlink" Target="https://pubchem.ncbi.nlm.nih.gov/" TargetMode="External"/><Relationship Id="rId42" Type="http://schemas.openxmlformats.org/officeDocument/2006/relationships/image" Target="media/image20.png"/><Relationship Id="rId63" Type="http://schemas.openxmlformats.org/officeDocument/2006/relationships/hyperlink" Target="https://pubchem.ncbi.nlm.nih.gov/" TargetMode="External"/><Relationship Id="rId84" Type="http://schemas.openxmlformats.org/officeDocument/2006/relationships/hyperlink" Target="https://doi.org/10.21760/jaims.8.10.25" TargetMode="External"/><Relationship Id="rId138" Type="http://schemas.openxmlformats.org/officeDocument/2006/relationships/hyperlink" Target="https://doi.org/10.1021/acsomega.2c03534" TargetMode="External"/><Relationship Id="rId107" Type="http://schemas.openxmlformats.org/officeDocument/2006/relationships/hyperlink" Target="https://doi.org/10.3390/plants13060771" TargetMode="Externa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hyperlink" Target="https://pubchem.ncbi.nlm.nih.gov/" TargetMode="External"/><Relationship Id="rId53" Type="http://schemas.openxmlformats.org/officeDocument/2006/relationships/hyperlink" Target="https://pubchem.ncbi.nlm.nih.gov/" TargetMode="External"/><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hyperlink" Target="https://doi.org/10.1016/j.neuroscience.2025.04.011" TargetMode="External"/><Relationship Id="rId102" Type="http://schemas.openxmlformats.org/officeDocument/2006/relationships/hyperlink" Target="https://doi.org/10.3390/biomedicines12102297" TargetMode="External"/><Relationship Id="rId123" Type="http://schemas.openxmlformats.org/officeDocument/2006/relationships/hyperlink" Target="https://doi.org/10.2174/1570159X20666221012122855" TargetMode="External"/><Relationship Id="rId128" Type="http://schemas.openxmlformats.org/officeDocument/2006/relationships/hyperlink" Target="https://doi.org/10.1186/s43088-025-00675-1" TargetMode="External"/><Relationship Id="rId5" Type="http://schemas.openxmlformats.org/officeDocument/2006/relationships/webSettings" Target="webSettings.xml"/><Relationship Id="rId90" Type="http://schemas.openxmlformats.org/officeDocument/2006/relationships/hyperlink" Target="https://doi.org/10.48208/headachemed.2024.17" TargetMode="External"/><Relationship Id="rId95" Type="http://schemas.openxmlformats.org/officeDocument/2006/relationships/hyperlink" Target="https://doi.org/10.1016/j.imr.2023.100968" TargetMode="External"/><Relationship Id="rId22" Type="http://schemas.openxmlformats.org/officeDocument/2006/relationships/image" Target="media/image10.png"/><Relationship Id="rId27" Type="http://schemas.openxmlformats.org/officeDocument/2006/relationships/hyperlink" Target="https://pubchem.ncbi.nlm.nih.gov/" TargetMode="External"/><Relationship Id="rId43" Type="http://schemas.openxmlformats.org/officeDocument/2006/relationships/hyperlink" Target="https://pubchem.ncbi.nlm.nih.gov/" TargetMode="External"/><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yperlink" Target="https://pubchem.ncbi.nlm.nih.gov/" TargetMode="External"/><Relationship Id="rId113" Type="http://schemas.openxmlformats.org/officeDocument/2006/relationships/hyperlink" Target="https://doi.org/10.1002/cbf.3964" TargetMode="External"/><Relationship Id="rId118" Type="http://schemas.openxmlformats.org/officeDocument/2006/relationships/hyperlink" Target="https://doi.org/10.1007/s11064-014-1443-7" TargetMode="External"/><Relationship Id="rId134" Type="http://schemas.openxmlformats.org/officeDocument/2006/relationships/hyperlink" Target="https://doi.org/10.1007/s10522-025-10320-0" TargetMode="External"/><Relationship Id="rId139" Type="http://schemas.openxmlformats.org/officeDocument/2006/relationships/hyperlink" Target="https://doi.org/10.1038/s41380-023-02052-9" TargetMode="External"/><Relationship Id="rId80" Type="http://schemas.openxmlformats.org/officeDocument/2006/relationships/hyperlink" Target="https://doi.org/10.3390/antiox1102028" TargetMode="External"/><Relationship Id="rId85" Type="http://schemas.openxmlformats.org/officeDocument/2006/relationships/hyperlink" Target="https://doi.org/10.3389/fphar.2021.681532" TargetMode="Externa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s://pubchem.ncbi.nlm.nih.gov/" TargetMode="External"/><Relationship Id="rId38" Type="http://schemas.openxmlformats.org/officeDocument/2006/relationships/image" Target="media/image18.png"/><Relationship Id="rId59" Type="http://schemas.openxmlformats.org/officeDocument/2006/relationships/hyperlink" Target="https://pubchem.ncbi.nlm.nih.gov/" TargetMode="External"/><Relationship Id="rId103" Type="http://schemas.openxmlformats.org/officeDocument/2006/relationships/hyperlink" Target="https://doi.org/10.1007/128_2011_126" TargetMode="External"/><Relationship Id="rId108" Type="http://schemas.openxmlformats.org/officeDocument/2006/relationships/hyperlink" Target="https://doi.org/10.3389/fphar.2022.920435" TargetMode="External"/><Relationship Id="rId124" Type="http://schemas.openxmlformats.org/officeDocument/2006/relationships/hyperlink" Target="https://doi.org/10.1002/prp2.70161" TargetMode="External"/><Relationship Id="rId129" Type="http://schemas.openxmlformats.org/officeDocument/2006/relationships/hyperlink" Target="https://doi.org/10.3390/app11188475" TargetMode="External"/><Relationship Id="rId54"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https://pubchem.ncbi.nlm.nih.gov/" TargetMode="External"/><Relationship Id="rId91" Type="http://schemas.openxmlformats.org/officeDocument/2006/relationships/hyperlink" Target="https://doi.org/10.1016/j.mvr.2021.104271" TargetMode="External"/><Relationship Id="rId96" Type="http://schemas.openxmlformats.org/officeDocument/2006/relationships/hyperlink" Target="https://doi.org/10.3390/foods13111774" TargetMode="External"/><Relationship Id="rId140" Type="http://schemas.openxmlformats.org/officeDocument/2006/relationships/hyperlink" Target="https://doi.org/10.3390/molecules2715496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ubchem.ncbi.nlm.nih.gov/" TargetMode="External"/><Relationship Id="rId28" Type="http://schemas.openxmlformats.org/officeDocument/2006/relationships/image" Target="media/image13.png"/><Relationship Id="rId49" Type="http://schemas.openxmlformats.org/officeDocument/2006/relationships/hyperlink" Target="https://pubchem.ncbi.nlm.nih.gov/" TargetMode="External"/><Relationship Id="rId114" Type="http://schemas.openxmlformats.org/officeDocument/2006/relationships/hyperlink" Target="https://doi.org/10.3390/biomedicines12010178" TargetMode="External"/><Relationship Id="rId119" Type="http://schemas.openxmlformats.org/officeDocument/2006/relationships/hyperlink" Target="https://doi.org/10.1016/j.neulet.2015.05.024" TargetMode="External"/><Relationship Id="rId44"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s://pubchem.ncbi.nlm.nih.gov/" TargetMode="External"/><Relationship Id="rId81" Type="http://schemas.openxmlformats.org/officeDocument/2006/relationships/hyperlink" Target="https://doi.org/10.3390/DATA4010035" TargetMode="External"/><Relationship Id="rId86" Type="http://schemas.openxmlformats.org/officeDocument/2006/relationships/hyperlink" Target="https://doi.org/10.3389/fphar.2022.941094" TargetMode="External"/><Relationship Id="rId130" Type="http://schemas.openxmlformats.org/officeDocument/2006/relationships/hyperlink" Target="https://doi.org/10.4103/1673-5374.380904" TargetMode="External"/><Relationship Id="rId135" Type="http://schemas.openxmlformats.org/officeDocument/2006/relationships/hyperlink" Target="https://doi.org/10.3389/fphar.2025.1638147" TargetMode="External"/><Relationship Id="rId13" Type="http://schemas.openxmlformats.org/officeDocument/2006/relationships/image" Target="media/image4.jpg"/><Relationship Id="rId18" Type="http://schemas.openxmlformats.org/officeDocument/2006/relationships/image" Target="media/image8.png"/><Relationship Id="rId39" Type="http://schemas.openxmlformats.org/officeDocument/2006/relationships/hyperlink" Target="https://pubchem.ncbi.nlm.nih.gov/" TargetMode="External"/><Relationship Id="rId109" Type="http://schemas.openxmlformats.org/officeDocument/2006/relationships/hyperlink" Target="https://doi.org/10.3390/ph17121703"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s://pubchem.ncbi.nlm.nih.gov/" TargetMode="External"/><Relationship Id="rId76" Type="http://schemas.openxmlformats.org/officeDocument/2006/relationships/image" Target="media/image37.png"/><Relationship Id="rId97" Type="http://schemas.openxmlformats.org/officeDocument/2006/relationships/hyperlink" Target="https://doi.org/10.3390/nu17111939" TargetMode="External"/><Relationship Id="rId104" Type="http://schemas.openxmlformats.org/officeDocument/2006/relationships/hyperlink" Target="https://doi.org/10.7759/cureus.80248" TargetMode="External"/><Relationship Id="rId120" Type="http://schemas.openxmlformats.org/officeDocument/2006/relationships/hyperlink" Target="https://doi.org/10.1080/1028415x.2019.1596613" TargetMode="External"/><Relationship Id="rId125" Type="http://schemas.openxmlformats.org/officeDocument/2006/relationships/hyperlink" Target="https://doi.org/10.1016/S2214-109X(21)00164-9" TargetMode="External"/><Relationship Id="rId141" Type="http://schemas.openxmlformats.org/officeDocument/2006/relationships/hyperlink" Target="https://doi.org/10.3389/fnagi.2022.814432" TargetMode="External"/><Relationship Id="rId7" Type="http://schemas.openxmlformats.org/officeDocument/2006/relationships/endnotes" Target="endnotes.xml"/><Relationship Id="rId71" Type="http://schemas.openxmlformats.org/officeDocument/2006/relationships/hyperlink" Target="https://pubchem.ncbi.nlm.nih.gov/" TargetMode="External"/><Relationship Id="rId92" Type="http://schemas.openxmlformats.org/officeDocument/2006/relationships/hyperlink" Target="https://doi.org/10.1016/s1474-4422(18)30499-x" TargetMode="External"/><Relationship Id="rId2" Type="http://schemas.openxmlformats.org/officeDocument/2006/relationships/numbering" Target="numbering.xml"/><Relationship Id="rId29" Type="http://schemas.openxmlformats.org/officeDocument/2006/relationships/hyperlink" Target="https://pubchem.ncbi.nlm.nih.gov/"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hyperlink" Target="https://pubchem.ncbi.nlm.nih.gov/" TargetMode="External"/><Relationship Id="rId66" Type="http://schemas.openxmlformats.org/officeDocument/2006/relationships/image" Target="media/image32.png"/><Relationship Id="rId87" Type="http://schemas.openxmlformats.org/officeDocument/2006/relationships/hyperlink" Target="https://doi.org/10.3389/fphar.2022.845591" TargetMode="External"/><Relationship Id="rId110" Type="http://schemas.openxmlformats.org/officeDocument/2006/relationships/hyperlink" Target="https://doi.org/10.1007/s10787-023-01256-3" TargetMode="External"/><Relationship Id="rId115" Type="http://schemas.openxmlformats.org/officeDocument/2006/relationships/hyperlink" Target="https://doi.org/10.3390/nu16091293" TargetMode="External"/><Relationship Id="rId131" Type="http://schemas.openxmlformats.org/officeDocument/2006/relationships/hyperlink" Target="https://doi.org/10.3390/antiox12101883" TargetMode="External"/><Relationship Id="rId136" Type="http://schemas.openxmlformats.org/officeDocument/2006/relationships/hyperlink" Target="https://doi.org/10.1186/s12877-023-03900-7" TargetMode="External"/><Relationship Id="rId61" Type="http://schemas.openxmlformats.org/officeDocument/2006/relationships/hyperlink" Target="https://pubchem.ncbi.nlm.nih.gov/" TargetMode="External"/><Relationship Id="rId82" Type="http://schemas.openxmlformats.org/officeDocument/2006/relationships/hyperlink" Target="http://diposit.ub.edu/dspace/bitstream/2445/21374/1/259113.pdf" TargetMode="External"/><Relationship Id="rId19" Type="http://schemas.openxmlformats.org/officeDocument/2006/relationships/hyperlink" Target="https://pubchem.ncbi.nlm.nih.gov/" TargetMode="External"/><Relationship Id="rId14" Type="http://schemas.openxmlformats.org/officeDocument/2006/relationships/hyperlink" Target="https://www.sciencedirect.com/topics/neuroscience/neurological-disorder" TargetMode="External"/><Relationship Id="rId30" Type="http://schemas.openxmlformats.org/officeDocument/2006/relationships/image" Target="media/image14.png"/><Relationship Id="rId35" Type="http://schemas.openxmlformats.org/officeDocument/2006/relationships/hyperlink" Target="https://pubchem.ncbi.nlm.nih.gov/" TargetMode="External"/><Relationship Id="rId56" Type="http://schemas.openxmlformats.org/officeDocument/2006/relationships/image" Target="media/image27.png"/><Relationship Id="rId77" Type="http://schemas.openxmlformats.org/officeDocument/2006/relationships/hyperlink" Target="https://pubchem.ncbi.nlm.nih.gov/" TargetMode="External"/><Relationship Id="rId100" Type="http://schemas.openxmlformats.org/officeDocument/2006/relationships/hyperlink" Target="https://doi.org/10.1155/padi/1319419" TargetMode="External"/><Relationship Id="rId105" Type="http://schemas.openxmlformats.org/officeDocument/2006/relationships/hyperlink" Target="https://doi.org/10.1016/j.jgr.2024.02.002" TargetMode="External"/><Relationship Id="rId126" Type="http://schemas.openxmlformats.org/officeDocument/2006/relationships/hyperlink" Target="https://doi.org/10.1007/s13311-019-00767-8" TargetMode="External"/><Relationship Id="rId8" Type="http://schemas.openxmlformats.org/officeDocument/2006/relationships/hyperlink" Target="mailto:mriarehan@gmail.com" TargetMode="External"/><Relationship Id="rId51" Type="http://schemas.openxmlformats.org/officeDocument/2006/relationships/hyperlink" Target="https://pubchem.ncbi.nlm.nih.gov/" TargetMode="External"/><Relationship Id="rId72" Type="http://schemas.openxmlformats.org/officeDocument/2006/relationships/image" Target="media/image35.png"/><Relationship Id="rId93" Type="http://schemas.openxmlformats.org/officeDocument/2006/relationships/hyperlink" Target="https://doi.org/10.3390/biom12091310" TargetMode="External"/><Relationship Id="rId98" Type="http://schemas.openxmlformats.org/officeDocument/2006/relationships/hyperlink" Target="https://doi.org/10.4103/0028-3886.149365" TargetMode="External"/><Relationship Id="rId121" Type="http://schemas.openxmlformats.org/officeDocument/2006/relationships/hyperlink" Target="https://doi.org/10.2174/1570159x19666210920094504"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pubchem.ncbi.nlm.nih.gov/" TargetMode="External"/><Relationship Id="rId46" Type="http://schemas.openxmlformats.org/officeDocument/2006/relationships/image" Target="media/image22.png"/><Relationship Id="rId67" Type="http://schemas.openxmlformats.org/officeDocument/2006/relationships/hyperlink" Target="https://pubchem.ncbi.nlm.nih.gov/" TargetMode="External"/><Relationship Id="rId116" Type="http://schemas.openxmlformats.org/officeDocument/2006/relationships/hyperlink" Target="https://doi.org/10.1016/j.fitote.2023.105764" TargetMode="External"/><Relationship Id="rId137" Type="http://schemas.openxmlformats.org/officeDocument/2006/relationships/hyperlink" Target="https://doi.org/10.1371/journal.pone.0116820" TargetMode="External"/><Relationship Id="rId20" Type="http://schemas.openxmlformats.org/officeDocument/2006/relationships/image" Target="media/image9.png"/><Relationship Id="rId41" Type="http://schemas.openxmlformats.org/officeDocument/2006/relationships/hyperlink" Target="https://pubchem.ncbi.nlm.nih.gov/" TargetMode="External"/><Relationship Id="rId62" Type="http://schemas.openxmlformats.org/officeDocument/2006/relationships/image" Target="media/image30.png"/><Relationship Id="rId83" Type="http://schemas.openxmlformats.org/officeDocument/2006/relationships/hyperlink" Target="https://doi.org/10.1016/j.heliyon.2023.e18492" TargetMode="External"/><Relationship Id="rId88" Type="http://schemas.openxmlformats.org/officeDocument/2006/relationships/hyperlink" Target="https://doi.org/10.3390/ijms24076328" TargetMode="External"/><Relationship Id="rId111" Type="http://schemas.openxmlformats.org/officeDocument/2006/relationships/hyperlink" Target="https://doi.org/10.1016/j.bbr.2024.114976" TargetMode="External"/><Relationship Id="rId132" Type="http://schemas.openxmlformats.org/officeDocument/2006/relationships/hyperlink" Target="https://doi.org/10.3390/antiox13040393" TargetMode="Externa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hyperlink" Target="https://pubchem.ncbi.nlm.nih.gov/" TargetMode="External"/><Relationship Id="rId106" Type="http://schemas.openxmlformats.org/officeDocument/2006/relationships/hyperlink" Target="https://doi.org/10.1016/j.fct.2012.08.047" TargetMode="External"/><Relationship Id="rId127" Type="http://schemas.openxmlformats.org/officeDocument/2006/relationships/hyperlink" Target="https://doi.org/10.1016/j.prmcm.2022.100190" TargetMode="External"/><Relationship Id="rId10" Type="http://schemas.openxmlformats.org/officeDocument/2006/relationships/image" Target="media/image1.png"/><Relationship Id="rId31" Type="http://schemas.openxmlformats.org/officeDocument/2006/relationships/hyperlink" Target="https://pubchem.ncbi.nlm.nih.gov/" TargetMode="External"/><Relationship Id="rId52" Type="http://schemas.openxmlformats.org/officeDocument/2006/relationships/image" Target="media/image25.png"/><Relationship Id="rId73" Type="http://schemas.openxmlformats.org/officeDocument/2006/relationships/hyperlink" Target="https://pubchem.ncbi.nlm.nih.gov/" TargetMode="External"/><Relationship Id="rId78" Type="http://schemas.openxmlformats.org/officeDocument/2006/relationships/image" Target="media/image38.png"/><Relationship Id="rId94" Type="http://schemas.openxmlformats.org/officeDocument/2006/relationships/hyperlink" Target="https://doi.org/10.3390/molecules30112450" TargetMode="External"/><Relationship Id="rId99" Type="http://schemas.openxmlformats.org/officeDocument/2006/relationships/hyperlink" Target="https://doi.org/10.1159/000080090" TargetMode="External"/><Relationship Id="rId101" Type="http://schemas.openxmlformats.org/officeDocument/2006/relationships/hyperlink" Target="https://doi.org/10.7759/cureus.57058" TargetMode="External"/><Relationship Id="rId122" Type="http://schemas.openxmlformats.org/officeDocument/2006/relationships/hyperlink" Target="https://doi.org/10.3389/fphar.2020.565700"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rsharan@hpcu.ac.in" TargetMode="External"/><Relationship Id="rId26" Type="http://schemas.openxmlformats.org/officeDocument/2006/relationships/image" Target="media/image12.png"/><Relationship Id="rId47" Type="http://schemas.openxmlformats.org/officeDocument/2006/relationships/hyperlink" Target="https://pubchem.ncbi.nlm.nih.gov/" TargetMode="External"/><Relationship Id="rId68" Type="http://schemas.openxmlformats.org/officeDocument/2006/relationships/image" Target="media/image33.png"/><Relationship Id="rId89" Type="http://schemas.openxmlformats.org/officeDocument/2006/relationships/hyperlink" Target="https://doi.org/10.1186/s10194-024-01814-2" TargetMode="External"/><Relationship Id="rId112" Type="http://schemas.openxmlformats.org/officeDocument/2006/relationships/hyperlink" Target="https://doi.org/10.3390/ijms24010340" TargetMode="External"/><Relationship Id="rId133" Type="http://schemas.openxmlformats.org/officeDocument/2006/relationships/hyperlink" Target="https://doi.org/10.25259/JNRP_356_2023" TargetMode="External"/><Relationship Id="rId1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E237C62-7F52-4144-8988-78285704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31</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71</cp:revision>
  <dcterms:created xsi:type="dcterms:W3CDTF">2026-01-15T08:06:00Z</dcterms:created>
  <dcterms:modified xsi:type="dcterms:W3CDTF">2026-02-18T08:58:00Z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3dcc8579-f547-49ea-9254-e72fccec1518</vt:lpwstr>
  </property>
  <property fmtid="{D5CDD505-2E9C-101B-9397-08002B2CF9AE}" pid="3" name="Mendeley Document_1">
    <vt:lpwstr>True</vt:lpwstr>
  </property>
</Properties>
</file>