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09E4" w14:textId="77777777" w:rsidR="002D256C" w:rsidRPr="002D256C" w:rsidRDefault="002D256C" w:rsidP="002D256C">
      <w:pPr>
        <w:pStyle w:val="Heading1"/>
        <w:spacing w:after="240" w:line="240" w:lineRule="auto"/>
        <w:jc w:val="center"/>
        <w:rPr>
          <w:rFonts w:cs="Times New Roman"/>
          <w:color w:val="1C1C1C"/>
          <w:sz w:val="36"/>
          <w:szCs w:val="36"/>
          <w:shd w:val="clear" w:color="auto" w:fill="FFFFFF"/>
        </w:rPr>
      </w:pPr>
      <w:r w:rsidRPr="002D256C">
        <w:rPr>
          <w:rFonts w:cs="Times New Roman"/>
          <w:sz w:val="36"/>
          <w:szCs w:val="36"/>
        </w:rPr>
        <w:t>Assess the Productivity of Dengue Vector Breeding Habitat Through Pupal Productivity in Kalutara District, Sri Lanka</w:t>
      </w:r>
      <w:r w:rsidRPr="002D256C">
        <w:rPr>
          <w:rFonts w:cs="Times New Roman"/>
          <w:color w:val="1C1C1C"/>
          <w:sz w:val="36"/>
          <w:szCs w:val="36"/>
          <w:shd w:val="clear" w:color="auto" w:fill="FFFFFF"/>
        </w:rPr>
        <w:t>.</w:t>
      </w:r>
    </w:p>
    <w:p w14:paraId="4FF05C68" w14:textId="0A0A890F" w:rsidR="0068144D" w:rsidRPr="008A07D7" w:rsidRDefault="008A07D7" w:rsidP="008A07D7">
      <w:pPr>
        <w:pStyle w:val="Heading2"/>
      </w:pPr>
      <w:r w:rsidRPr="008A07D7">
        <w:t>ABSTRACT</w:t>
      </w:r>
    </w:p>
    <w:p w14:paraId="252DE385" w14:textId="77777777" w:rsidR="00112D12" w:rsidRDefault="00EC3CF3" w:rsidP="00EC3CF3">
      <w:pPr>
        <w:spacing w:before="240" w:after="240" w:line="240" w:lineRule="auto"/>
        <w:jc w:val="both"/>
        <w:rPr>
          <w:rFonts w:ascii="Times New Roman" w:eastAsia="Times New Roman" w:hAnsi="Times New Roman" w:cs="Times New Roman"/>
          <w:sz w:val="24"/>
          <w:szCs w:val="24"/>
        </w:rPr>
      </w:pPr>
      <w:r w:rsidRPr="00EC3CF3">
        <w:rPr>
          <w:rFonts w:ascii="Times New Roman" w:eastAsia="Times New Roman" w:hAnsi="Times New Roman" w:cs="Times New Roman"/>
          <w:sz w:val="24"/>
          <w:szCs w:val="24"/>
        </w:rPr>
        <w:t xml:space="preserve">Dengue is a rapidly spreading mosquito-borne disease, and infected female </w:t>
      </w:r>
      <w:r w:rsidRPr="00112D12">
        <w:rPr>
          <w:rFonts w:ascii="Times New Roman" w:eastAsia="Times New Roman" w:hAnsi="Times New Roman" w:cs="Times New Roman"/>
          <w:i/>
          <w:iCs/>
          <w:sz w:val="24"/>
          <w:szCs w:val="24"/>
        </w:rPr>
        <w:t>Aedes aegypti</w:t>
      </w:r>
      <w:r w:rsidRPr="00EC3CF3">
        <w:rPr>
          <w:rFonts w:ascii="Times New Roman" w:eastAsia="Times New Roman" w:hAnsi="Times New Roman" w:cs="Times New Roman"/>
          <w:sz w:val="24"/>
          <w:szCs w:val="24"/>
        </w:rPr>
        <w:t xml:space="preserve"> and </w:t>
      </w:r>
      <w:r w:rsidRPr="00112D12">
        <w:rPr>
          <w:rFonts w:ascii="Times New Roman" w:eastAsia="Times New Roman" w:hAnsi="Times New Roman" w:cs="Times New Roman"/>
          <w:i/>
          <w:iCs/>
          <w:sz w:val="24"/>
          <w:szCs w:val="24"/>
        </w:rPr>
        <w:t>Aedes albopictus</w:t>
      </w:r>
      <w:r w:rsidRPr="00EC3CF3">
        <w:rPr>
          <w:rFonts w:ascii="Times New Roman" w:eastAsia="Times New Roman" w:hAnsi="Times New Roman" w:cs="Times New Roman"/>
          <w:sz w:val="24"/>
          <w:szCs w:val="24"/>
        </w:rPr>
        <w:t xml:space="preserve"> serve as the vectors. The study was conducted to assess the pupal productivity of dengue vector breeding habitats in the Kalutara District. All pupae from positive breeding habitats and the physicochemical parameters of water in positive breeding habitats were recorded. The recorded data were analyzed using IBM SPSS Statistics version 23 at α = 0.05. Pupae-per-House Index (PHI), Pupal per Person Index (PPI), Breeding Preference Ratio (BPR) and Pupal Productivity Percentage (PPP) were calculated.  The relationship between breeding habitat variables and pupal productivity was evaluated using One-way ANOVA Water parameter differences in breeding habitats were analyzed using an independent sample t-test, and the relationship between physiochemical parameters and pupal productivity was assessed using Pearson correlations. Out of 2,400 premises surveyed, 23.92% were positive for Aedes pupae. The PHI and PPI showed no significant differences among the vectors. Among 1,480 potential breeding habitats, 21.55% contained Aedes immatures, and 23.5% of larval habitats had pupae. The highest BPR and pupal productivity of </w:t>
      </w:r>
      <w:r w:rsidRPr="00112D12">
        <w:rPr>
          <w:rFonts w:ascii="Times New Roman" w:eastAsia="Times New Roman" w:hAnsi="Times New Roman" w:cs="Times New Roman"/>
          <w:i/>
          <w:iCs/>
          <w:sz w:val="24"/>
          <w:szCs w:val="24"/>
        </w:rPr>
        <w:t>Ae. aegypti</w:t>
      </w:r>
      <w:r w:rsidRPr="00EC3CF3">
        <w:rPr>
          <w:rFonts w:ascii="Times New Roman" w:eastAsia="Times New Roman" w:hAnsi="Times New Roman" w:cs="Times New Roman"/>
          <w:sz w:val="24"/>
          <w:szCs w:val="24"/>
        </w:rPr>
        <w:t xml:space="preserve"> was found in tyres, with significant variation (p=0.021). For </w:t>
      </w:r>
      <w:r w:rsidRPr="00112D12">
        <w:rPr>
          <w:rFonts w:ascii="Times New Roman" w:eastAsia="Times New Roman" w:hAnsi="Times New Roman" w:cs="Times New Roman"/>
          <w:i/>
          <w:iCs/>
          <w:sz w:val="24"/>
          <w:szCs w:val="24"/>
        </w:rPr>
        <w:t>Ae. albopictus</w:t>
      </w:r>
      <w:r w:rsidRPr="00EC3CF3">
        <w:rPr>
          <w:rFonts w:ascii="Times New Roman" w:eastAsia="Times New Roman" w:hAnsi="Times New Roman" w:cs="Times New Roman"/>
          <w:sz w:val="24"/>
          <w:szCs w:val="24"/>
        </w:rPr>
        <w:t xml:space="preserve">, BPR was highest in natural items, while pupal productivity was highest in temporary removed items, without significant differences. Outdoor habitats yielded highest pupal productivity for both species. Location of breeding habitats significantly affected </w:t>
      </w:r>
      <w:r w:rsidRPr="00112D12">
        <w:rPr>
          <w:rFonts w:ascii="Times New Roman" w:eastAsia="Times New Roman" w:hAnsi="Times New Roman" w:cs="Times New Roman"/>
          <w:i/>
          <w:iCs/>
          <w:sz w:val="24"/>
          <w:szCs w:val="24"/>
        </w:rPr>
        <w:t>Ae. albopictus</w:t>
      </w:r>
      <w:r w:rsidRPr="00EC3CF3">
        <w:rPr>
          <w:rFonts w:ascii="Times New Roman" w:eastAsia="Times New Roman" w:hAnsi="Times New Roman" w:cs="Times New Roman"/>
          <w:sz w:val="24"/>
          <w:szCs w:val="24"/>
        </w:rPr>
        <w:t xml:space="preserve"> pupal productivity (p=0.014), but not </w:t>
      </w:r>
      <w:r w:rsidRPr="00112D12">
        <w:rPr>
          <w:rFonts w:ascii="Times New Roman" w:eastAsia="Times New Roman" w:hAnsi="Times New Roman" w:cs="Times New Roman"/>
          <w:i/>
          <w:iCs/>
          <w:sz w:val="24"/>
          <w:szCs w:val="24"/>
        </w:rPr>
        <w:t>Ae. aegypti.</w:t>
      </w:r>
      <w:r w:rsidRPr="00EC3CF3">
        <w:rPr>
          <w:rFonts w:ascii="Times New Roman" w:eastAsia="Times New Roman" w:hAnsi="Times New Roman" w:cs="Times New Roman"/>
          <w:sz w:val="24"/>
          <w:szCs w:val="24"/>
        </w:rPr>
        <w:t xml:space="preserve">  The productivity of </w:t>
      </w:r>
      <w:r w:rsidRPr="00112D12">
        <w:rPr>
          <w:rFonts w:ascii="Times New Roman" w:eastAsia="Times New Roman" w:hAnsi="Times New Roman" w:cs="Times New Roman"/>
          <w:i/>
          <w:iCs/>
          <w:sz w:val="24"/>
          <w:szCs w:val="24"/>
        </w:rPr>
        <w:t>Ae. aegypti</w:t>
      </w:r>
      <w:r w:rsidRPr="00EC3CF3">
        <w:rPr>
          <w:rFonts w:ascii="Times New Roman" w:eastAsia="Times New Roman" w:hAnsi="Times New Roman" w:cs="Times New Roman"/>
          <w:sz w:val="24"/>
          <w:szCs w:val="24"/>
        </w:rPr>
        <w:t xml:space="preserve"> pupae varied significantly with breeding materials (p = 0.01), in contrast to </w:t>
      </w:r>
      <w:r w:rsidRPr="00112D12">
        <w:rPr>
          <w:rFonts w:ascii="Times New Roman" w:eastAsia="Times New Roman" w:hAnsi="Times New Roman" w:cs="Times New Roman"/>
          <w:i/>
          <w:iCs/>
          <w:sz w:val="24"/>
          <w:szCs w:val="24"/>
        </w:rPr>
        <w:t>Ae. albopictus</w:t>
      </w:r>
      <w:r w:rsidRPr="00EC3CF3">
        <w:rPr>
          <w:rFonts w:ascii="Times New Roman" w:eastAsia="Times New Roman" w:hAnsi="Times New Roman" w:cs="Times New Roman"/>
          <w:sz w:val="24"/>
          <w:szCs w:val="24"/>
        </w:rPr>
        <w:t xml:space="preserve">. Rainwater was the primary water source in productive habitats. Effective </w:t>
      </w:r>
      <w:r w:rsidRPr="00112D12">
        <w:rPr>
          <w:rFonts w:ascii="Times New Roman" w:eastAsia="Times New Roman" w:hAnsi="Times New Roman" w:cs="Times New Roman"/>
          <w:i/>
          <w:iCs/>
          <w:sz w:val="24"/>
          <w:szCs w:val="24"/>
        </w:rPr>
        <w:t>Ae. aegypti</w:t>
      </w:r>
      <w:r w:rsidRPr="00EC3CF3">
        <w:rPr>
          <w:rFonts w:ascii="Times New Roman" w:eastAsia="Times New Roman" w:hAnsi="Times New Roman" w:cs="Times New Roman"/>
          <w:sz w:val="24"/>
          <w:szCs w:val="24"/>
        </w:rPr>
        <w:t xml:space="preserve"> management requires targeted removal of key containers. But, </w:t>
      </w:r>
      <w:r w:rsidRPr="00112D12">
        <w:rPr>
          <w:rFonts w:ascii="Times New Roman" w:eastAsia="Times New Roman" w:hAnsi="Times New Roman" w:cs="Times New Roman"/>
          <w:i/>
          <w:iCs/>
          <w:sz w:val="24"/>
          <w:szCs w:val="24"/>
        </w:rPr>
        <w:t>Ae. albopictus</w:t>
      </w:r>
      <w:r w:rsidRPr="00EC3CF3">
        <w:rPr>
          <w:rFonts w:ascii="Times New Roman" w:eastAsia="Times New Roman" w:hAnsi="Times New Roman" w:cs="Times New Roman"/>
          <w:sz w:val="24"/>
          <w:szCs w:val="24"/>
        </w:rPr>
        <w:t xml:space="preserve"> control demands community-wide elimination of outdoor breeding sources. Public health messaging should focus on species-specific breeding habits to reduce vector density and dengue risk.</w:t>
      </w:r>
    </w:p>
    <w:p w14:paraId="56B1280F" w14:textId="29DD2DAC" w:rsidR="00EC3CF3" w:rsidRPr="002445BC" w:rsidRDefault="00EC3CF3" w:rsidP="00EC3CF3">
      <w:pPr>
        <w:spacing w:before="240" w:after="240" w:line="240" w:lineRule="auto"/>
        <w:jc w:val="both"/>
        <w:rPr>
          <w:rFonts w:ascii="Times New Roman" w:eastAsia="Times New Roman" w:hAnsi="Times New Roman" w:cs="Times New Roman"/>
          <w:sz w:val="24"/>
          <w:szCs w:val="24"/>
        </w:rPr>
      </w:pPr>
      <w:r w:rsidRPr="00112D12">
        <w:rPr>
          <w:rFonts w:ascii="Times New Roman" w:eastAsia="Times New Roman" w:hAnsi="Times New Roman" w:cs="Times New Roman"/>
          <w:b/>
          <w:bCs/>
          <w:sz w:val="24"/>
          <w:szCs w:val="24"/>
        </w:rPr>
        <w:t>Key words:</w:t>
      </w:r>
      <w:r w:rsidRPr="00EC3CF3">
        <w:rPr>
          <w:rFonts w:ascii="Times New Roman" w:eastAsia="Times New Roman" w:hAnsi="Times New Roman" w:cs="Times New Roman"/>
          <w:sz w:val="24"/>
          <w:szCs w:val="24"/>
        </w:rPr>
        <w:t xml:space="preserve">  </w:t>
      </w:r>
      <w:r w:rsidRPr="00112D12">
        <w:rPr>
          <w:rFonts w:ascii="Times New Roman" w:eastAsia="Times New Roman" w:hAnsi="Times New Roman" w:cs="Times New Roman"/>
          <w:i/>
          <w:iCs/>
          <w:sz w:val="24"/>
          <w:szCs w:val="24"/>
        </w:rPr>
        <w:t>Ae. aegypti, Ae. albopictus</w:t>
      </w:r>
      <w:r w:rsidRPr="00EC3CF3">
        <w:rPr>
          <w:rFonts w:ascii="Times New Roman" w:eastAsia="Times New Roman" w:hAnsi="Times New Roman" w:cs="Times New Roman"/>
          <w:sz w:val="24"/>
          <w:szCs w:val="24"/>
        </w:rPr>
        <w:t>, Breeding habitat, Pupal productivity</w:t>
      </w:r>
    </w:p>
    <w:p w14:paraId="25D308E0" w14:textId="78FE66A5" w:rsidR="004B2874" w:rsidRPr="008A07D7" w:rsidRDefault="00C803D1" w:rsidP="007476E0">
      <w:pPr>
        <w:pStyle w:val="Heading2"/>
        <w:spacing w:before="0"/>
      </w:pPr>
      <w:r w:rsidRPr="008A07D7">
        <w:rPr>
          <w:rStyle w:val="Strong"/>
          <w:b/>
          <w:bCs w:val="0"/>
        </w:rPr>
        <w:t>INTRODUCTION</w:t>
      </w:r>
    </w:p>
    <w:p w14:paraId="373AC838" w14:textId="5B840489" w:rsidR="007476E0" w:rsidRDefault="00376340"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Dengue is the most rapidly spreading mosquito-borne disease </w:t>
      </w:r>
      <w:r w:rsidR="006C32E5">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10.1016/S1473-3099(14)70834-5","ISSN":"14733099","author":[{"dropping-particle":"","family":"Schaffner","given":"Francis","non-dropping-particle":"","parse-names":false,"suffix":""},{"dropping-particle":"","family":"Mathis","given":"Alexander","non-dropping-particle":"","parse-names":false,"suffix":""}],"container-title":"The Lancet Infectious Diseases","id":"ITEM-1","issue":"12","issued":{"date-parts":[["2014","12"]]},"page":"1271-1280","title":"Dengue and dengue vectors in the WHO European region: past, present, and scenarios for the future","type":"article-journal","volume":"14"},"uris":["http://www.mendeley.com/documents/?uuid=0df36d3d-e601-444a-8376-5a0d65e4fc34"]}],"mendeley":{"formattedCitation":"(Schaffner &amp; Mathis, 2014)","plainTextFormattedCitation":"(Schaffner &amp; Mathis, 2014)","previouslyFormattedCitation":"(Schaffner &amp; Mathis, 2014)"},"properties":{"noteIndex":0},"schema":"https://github.com/citation-style-language/schema/raw/master/csl-citation.json"}</w:instrText>
      </w:r>
      <w:r w:rsidR="006C32E5">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(Schaffner &amp; Mathis, 2014)</w:t>
      </w:r>
      <w:r w:rsidR="006C32E5">
        <w:rPr>
          <w:rFonts w:ascii="Times New Roman" w:hAnsi="Times New Roman" w:cs="Times New Roman"/>
          <w:sz w:val="24"/>
          <w:szCs w:val="24"/>
        </w:rPr>
        <w:fldChar w:fldCharType="end"/>
      </w:r>
      <w:r w:rsidRPr="002445BC">
        <w:rPr>
          <w:rFonts w:ascii="Times New Roman" w:hAnsi="Times New Roman" w:cs="Times New Roman"/>
          <w:sz w:val="24"/>
          <w:szCs w:val="24"/>
        </w:rPr>
        <w:t xml:space="preserve"> and has become one of the most significant public health risks worldwide. As a South Asian country, Sri Lanka has been affected by dengue fever (DF)/dengue hemorrhagic fever (DHF) epidemics for over two decades, and DENV infections have been endemic in Sri Lanka since the mid-1960s</w:t>
      </w:r>
      <w:r w:rsidR="006C32E5">
        <w:rPr>
          <w:rFonts w:ascii="Times New Roman" w:hAnsi="Times New Roman" w:cs="Times New Roman"/>
          <w:sz w:val="24"/>
          <w:szCs w:val="24"/>
        </w:rPr>
        <w:t xml:space="preserve"> </w:t>
      </w:r>
      <w:r w:rsidR="006C32E5">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{"citationItems":[{"id":"ITEM-1","itemData":{"DOI":"10.1016/J.IJID.2013.10.012","ISSN":"1201-9712","PMID":"24334026","abstract":"Despite the presence of dengue in Sri Lanka since the early 1960s, dengue has become a major public health issue, with a high morbidity and mortality. Aedes aegypti and Aedes albopictus are the vectors responsible for the transmission of dengue viruses (DENV). The four DENV serotypes (1, 2, 3, and 4) have been co-circulating in Sri Lanka for more than 30 years. The new genotype of DENV-1 has replaced an old genotype, and new clades of DENV-3 genotype III have replaced older clades. The emergence of new clades of DENV-3 in the recent past coincided with an abrupt increase in the number of dengue fever (DF)/dengue hemorrhagic fever (DHF) cases, implicating this serotype in severe epidemics. Climatic factors play a pivotal role in the epidemiological pattern of DF/DHF in terms of the number of cases, severity of illness, shifts in affected age groups, and the expansion of spread from urban to rural areas. There is a regular incidence of DF/DHF throughout the year, with the highest incidence during the rainy months. To reduce the morbidity and mortality associated with DF/DHF, it is important to implement effective vector control programs in the country. The economic impact of DF/DHF results from the expenditure on DF/DHF critical care units in several hospitals and the cost of case management. © 2013 The Authors.","author":[{"dropping-particle":"","family":"Sirisena","given":"P. D.N.N.","non-dropping-particle":"","parse-names":false,"suffix":""},{"dropping-particle":"","family":"Noordeen","given":"F.","non-dropping-particle":"","parse-names":false,"suffix":""}],"container-title":"International Journal of Infectious Diseases","id":"ITEM-1","issue":"1","issued":{"date-parts":[["2014","2","1"]]},"page":"6-12","publisher":"Elsevier","title":"Evolution of dengue in Sri Lanka—changes in the virus, vector, and climate","type":"article-journal","volume":"19"},"uris":["http://www.mendeley.com/documents/?uuid=5bbb36a3-9c4f-35e1-a90c-6f465a35c216"]}],"mendeley":{"formattedCitation":"(Sirisena &amp; Noordeen, 2014)","plainTextFormattedCitation":"(Sirisena &amp; Noordeen, 2014)","previouslyFormattedCitation":"(Sirisena &amp; Noordeen, 2014)"},"properties":{"noteIndex":0},"schema":"https://github.com/citation-style-language/schema/raw/master/csl-citation.json"}</w:instrText>
      </w:r>
      <w:r w:rsidR="006C32E5">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(Sirisena &amp; Noordeen, 2014)</w:t>
      </w:r>
      <w:r w:rsidR="006C32E5">
        <w:rPr>
          <w:rFonts w:ascii="Times New Roman" w:hAnsi="Times New Roman" w:cs="Times New Roman"/>
          <w:sz w:val="24"/>
          <w:szCs w:val="24"/>
        </w:rPr>
        <w:fldChar w:fldCharType="end"/>
      </w:r>
      <w:r w:rsidRPr="002445BC">
        <w:rPr>
          <w:rFonts w:ascii="Times New Roman" w:hAnsi="Times New Roman" w:cs="Times New Roman"/>
          <w:sz w:val="24"/>
          <w:szCs w:val="24"/>
        </w:rPr>
        <w:t>. Currently, dengue is the most significant public health problem among infectious dis</w:t>
      </w:r>
      <w:r w:rsidR="006C32E5">
        <w:rPr>
          <w:rFonts w:ascii="Times New Roman" w:hAnsi="Times New Roman" w:cs="Times New Roman"/>
          <w:sz w:val="24"/>
          <w:szCs w:val="24"/>
        </w:rPr>
        <w:t xml:space="preserve">eases in Sri Lanka </w:t>
      </w:r>
      <w:r w:rsidR="006C32E5">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{"citationItems":[{"id":"ITEM-1","itemData":{"DOI":"10.1186/s13071-022-05377-6","ISSN":"17563305","abstract":"Background: Dengue is a major public health problem in Sri Lanka. Aedes vector surveillance and monitoring of larval indices are routine, long-established public health practices in the country. However, the association between Aedes larval indices and dengue incidence is poorly understood. It is crucial to evaluate lagged effects and threshold values of Aedes larval indices to set pragmatic targets for sustainable vector control interventions. Methods: Monthly Aedes larval indices and dengue cases in all 10 Medical Officer of Health (MOH) divisions in Kalutara district were obtained from 2010 to 2019. Using a novel statistical approach, a distributed lag non-linear model and a two-staged hierarchical meta-analysis, we estimated the overall non-linear and delayed effects of the Premise Index (PI), Breteau Index (BI) and Container Index (CI) on dengue incidence in Kalutara district. A set of MOH division-specific variables were evaluated within the same meta-analytical framework to determine their moderator effects on dengue risk. Using generalized additive models, we assessed the utility of Aedes larval indices in predicting dengue incidence. Results: We found that all three larval indices were associated with dengue risk at a lag of 1 to 2 months. The relationship between PI and dengue was homogeneous across MOH divisions, whereas that with BI and CI was heterogeneous. The threshold values of BI, PI and CI associated with dengue risk were 2, 15 and 45, respectively. All three indices showed a low to moderate accuracy in predicting dengue risk in Kalutara district. Conclusions: This study showed the potential of vector surveillance information in Kalutara district in developing a threshold-based, location-specific early warning system with a lead time of 2 months. The estimated thresholds are nonetheless time-bound and may not be universally applicable. Whenever longitudinal vector surveillance data areavailable, the methodological framework we propose here can be used to estimate location-specific Aedes larval index thresholds in any other dengue-endemic setting. Graphical Abstract: [Figure not available: see fulltext.]","author":[{"dropping-particle":"","family":"Liyanage","given":"Prasad","non-dropping-particle":"","parse-names":false,"suffix":""},{"dropping-particle":"","family":"Tozan","given":"Yesim","non-dropping-particle":"","parse-names":false,"suffix":""},{"dropping-particle":"","family":"Tissera","given":"Hasitha Aravinda","non-dropping-particle":"","parse-names":false,"suffix":""},{"dropping-particle":"","family":"Overgaard","given":"Hans J.","non-dropping-particle":"","parse-names":false,"suffix":""},{"dropping-particle":"","family":"Rocklöv","given":"Joacim","non-dropping-particle":"","parse-names":false,"suffix":""}],"container-title":"Parasites and Vectors","id":"ITEM-1","issue":"1","issued":{"date-parts":[["2022"]]},"page":"1-15","publisher":"BioMed Central","title":"Assessing the associations between Aedes larval indices and dengue risk in Kalutara district, Sri Lanka: a hierarchical time series analysis from 2010 to 2019","type":"article-journal","volume":"15"},"uris":["http://www.mendeley.com/documents/?uuid=27098932-32f0-4d51-b30c-0df6d08badeb"]}],"mendeley":{"formattedCitation":"(Liyanage et al., 2022)","plainTextFormattedCitation":"(Liyanage et al., 2022)","previouslyFormattedCitation":"(Liyanage et al., 2022)"},"properties":{"noteIndex":0},"schema":"https://github.com/citation-style-language/schema/raw/master/csl-citation.json"}</w:instrText>
      </w:r>
      <w:r w:rsidR="006C32E5">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(Liyanage et al., 2022)</w:t>
      </w:r>
      <w:r w:rsidR="006C32E5">
        <w:rPr>
          <w:rFonts w:ascii="Times New Roman" w:hAnsi="Times New Roman" w:cs="Times New Roman"/>
          <w:sz w:val="24"/>
          <w:szCs w:val="24"/>
        </w:rPr>
        <w:fldChar w:fldCharType="end"/>
      </w:r>
      <w:r w:rsidR="006C32E5">
        <w:rPr>
          <w:rFonts w:ascii="Times New Roman" w:hAnsi="Times New Roman" w:cs="Times New Roman"/>
          <w:sz w:val="24"/>
          <w:szCs w:val="24"/>
        </w:rPr>
        <w:t xml:space="preserve"> </w:t>
      </w:r>
      <w:r w:rsidRPr="002445BC">
        <w:rPr>
          <w:rFonts w:ascii="Times New Roman" w:hAnsi="Times New Roman" w:cs="Times New Roman"/>
          <w:sz w:val="24"/>
          <w:szCs w:val="24"/>
        </w:rPr>
        <w:t>and is prevalent all over the country except few districts with seasonal and periodic epidemics. Approximately half of the total dengue incidences were reported in the Western Province, which comprises of Districts of Colombo, Gampah</w:t>
      </w:r>
      <w:r w:rsidR="006C32E5">
        <w:rPr>
          <w:rFonts w:ascii="Times New Roman" w:hAnsi="Times New Roman" w:cs="Times New Roman"/>
          <w:sz w:val="24"/>
          <w:szCs w:val="24"/>
        </w:rPr>
        <w:t xml:space="preserve">a and Kalutara </w:t>
      </w:r>
      <w:r w:rsidR="006C32E5">
        <w:rPr>
          <w:rFonts w:ascii="Times New Roman" w:hAnsi="Times New Roman" w:cs="Times New Roman"/>
          <w:sz w:val="24"/>
          <w:szCs w:val="24"/>
        </w:rPr>
        <w:fldChar w:fldCharType="begin" w:fldLock="1"/>
      </w:r>
      <w:r w:rsidR="00BE4410">
        <w:rPr>
          <w:rFonts w:ascii="Times New Roman" w:hAnsi="Times New Roman" w:cs="Times New Roman"/>
          <w:sz w:val="24"/>
          <w:szCs w:val="24"/>
        </w:rPr>
        <w:instrText>ADDIN CSL_CITATION {"citationItems":[{"id":"ITEM-1","itemData":{"DOI":"10.1371/journal.pone.0231408","ISBN":"1111111111","abstract":"Dengue is the most important mosquito-borne viral infection disease in Sri Lanka triggering extensive economic and social burden in the country. Even after numerous source reduction programmes, more than 30,000 incidences are reporting in the country every year. The last and greatest dengue epidemic in the country was reported in July, 2017 with more than 300 dengue related deaths and the highest number of dengue incidences were reported from the District of Gampaha. There is no Dengue Virus (DENV) detection system in field specimens in the district yet and therefore the aim of the study is development of entomological surveillance approach through vector survey programmes together with molecular and phy-logenetic methods to identify detection of DENV serotypes circulation in order to minimize adverse effects of imminent dengue outbreaks. Entomological surveys were conducted in five study areas in the district for 36 months and altogether, 10,616 potential breeding places were investigated and 423 were positive for immature stages of dengue vector mosquitoes. During adult collections, 2,718 dengue vector mosquitoes were collected and 4.6% (n = 124) were Aedes aegypti. While entomological indices demonstrate various correlations with meteorological variables and reported dengue incidences, the mosquito pools collected during the epidemic in 2017 were positive for DENV. The results of the phylogenetic analysis illustrated that Envelope (E) gene sequences derived from the isolated DENV belongs to the Clade Ib of Cosmopolitan genotype of the DENV serotype 2 which has been the dominant stain in SouthEast Asian evidencing that a recent migration of DENV strain to Sri Lanka.","author":[{"dropping-particle":"","family":"Withanage","given":"Gayan P","non-dropping-particle":"","parse-names":false,"suffix":""},{"dropping-particle":"","family":"Hapuarachchi","given":"Hapuarachchige C","non-dropping-particle":"","parse-names":false,"suffix":""},{"dropping-particle":"","family":"Viswakula","given":"Sameera D","non-dropping-particle":"","parse-names":false,"suffix":""},{"dropping-particle":"","family":"Nilmini","given":"Y I","non-dropping-particle":"","parse-names":false,"suffix":""},{"dropping-particle":"","family":"Gunawardena","given":"Silva","non-dropping-particle":"","parse-names":false,"suffix":""},{"dropping-particle":"","family":"Hapugodaid","given":"Menaka","non-dropping-particle":"","parse-names":false,"suffix":""}],"id":"ITEM-1","issued":{"date-parts":[["2020"]]},"title":"Entomological surveillance with viral tracking demonstrates a migrated viral strain caused dengue epidemic in July, 2017 in Sri Lanka","type":"article-journal"},"uris":["http://www.mendeley.com/documents/?uuid=1d0386f6-8701-341b-9408-a2c34c195370"]}],"mendeley":{"formattedCitation":"(Withanage et al., 2020)","plainTextFormattedCitation":"(Withanage et al., 2020)","previouslyFormattedCitation":"(Withanage et al., 2020)"},"properties":{"noteIndex":0},"schema":"https://github.com/citation-style-language/schema/raw/master/csl-citation.json"}</w:instrText>
      </w:r>
      <w:r w:rsidR="006C32E5">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(Withanage et al., 2020)</w:t>
      </w:r>
      <w:r w:rsidR="006C32E5">
        <w:rPr>
          <w:rFonts w:ascii="Times New Roman" w:hAnsi="Times New Roman" w:cs="Times New Roman"/>
          <w:sz w:val="24"/>
          <w:szCs w:val="24"/>
        </w:rPr>
        <w:fldChar w:fldCharType="end"/>
      </w:r>
      <w:r w:rsidRPr="002445BC">
        <w:rPr>
          <w:rFonts w:ascii="Times New Roman" w:hAnsi="Times New Roman" w:cs="Times New Roman"/>
          <w:sz w:val="24"/>
          <w:szCs w:val="24"/>
        </w:rPr>
        <w:t xml:space="preserve">. </w:t>
      </w:r>
    </w:p>
    <w:p w14:paraId="78C66732" w14:textId="5BB87899" w:rsidR="007476E0" w:rsidRDefault="00376340" w:rsidP="007476E0">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Dengue is caused by any one of four recognized serotypes of dengue virus: DENV-1, DENV-2, DENV-3 or DENV-4 and these viruses are transmitted to vertebrates, including humans, by the bite of an infected female mosquito belonging to the genus </w:t>
      </w:r>
      <w:r w:rsidRPr="002445BC">
        <w:rPr>
          <w:rFonts w:ascii="Times New Roman" w:hAnsi="Times New Roman" w:cs="Times New Roman"/>
          <w:i/>
          <w:iCs/>
          <w:sz w:val="24"/>
          <w:szCs w:val="24"/>
        </w:rPr>
        <w:t>Aedes,</w:t>
      </w:r>
      <w:r w:rsidRPr="002445BC">
        <w:rPr>
          <w:rFonts w:ascii="Times New Roman" w:hAnsi="Times New Roman" w:cs="Times New Roman"/>
          <w:sz w:val="24"/>
          <w:szCs w:val="24"/>
        </w:rPr>
        <w:t xml:space="preserve"> notably </w:t>
      </w:r>
      <w:r w:rsidRPr="002445BC">
        <w:rPr>
          <w:rFonts w:ascii="Times New Roman" w:hAnsi="Times New Roman" w:cs="Times New Roman"/>
          <w:i/>
          <w:iCs/>
          <w:sz w:val="24"/>
          <w:szCs w:val="24"/>
        </w:rPr>
        <w:t>Aedes aegypti</w:t>
      </w:r>
      <w:r w:rsidRPr="002445BC">
        <w:rPr>
          <w:rFonts w:ascii="Times New Roman" w:hAnsi="Times New Roman" w:cs="Times New Roman"/>
          <w:sz w:val="24"/>
          <w:szCs w:val="24"/>
        </w:rPr>
        <w:t xml:space="preserve"> (Linnaeus) and </w:t>
      </w:r>
      <w:r w:rsidRPr="002445BC">
        <w:rPr>
          <w:rFonts w:ascii="Times New Roman" w:hAnsi="Times New Roman" w:cs="Times New Roman"/>
          <w:i/>
          <w:iCs/>
          <w:sz w:val="24"/>
          <w:szCs w:val="24"/>
        </w:rPr>
        <w:t>Aedes albopictus</w:t>
      </w:r>
      <w:r w:rsidRPr="002445BC">
        <w:rPr>
          <w:rFonts w:ascii="Times New Roman" w:hAnsi="Times New Roman" w:cs="Times New Roman"/>
          <w:sz w:val="24"/>
          <w:szCs w:val="24"/>
        </w:rPr>
        <w:t xml:space="preserve"> (Skuse) </w:t>
      </w:r>
      <w:r w:rsidR="00BE4410">
        <w:rPr>
          <w:rFonts w:ascii="Times New Roman" w:hAnsi="Times New Roman" w:cs="Times New Roman"/>
          <w:sz w:val="24"/>
          <w:szCs w:val="24"/>
        </w:rPr>
        <w:fldChar w:fldCharType="begin" w:fldLock="1"/>
      </w:r>
      <w:r w:rsidR="00BE4410">
        <w:rPr>
          <w:rFonts w:ascii="Times New Roman" w:hAnsi="Times New Roman" w:cs="Times New Roman"/>
          <w:sz w:val="24"/>
          <w:szCs w:val="24"/>
        </w:rPr>
        <w:instrText>ADDIN CSL_CITATION {"citationItems":[{"id":"ITEM-1","itemData":{"DOI":"10.1186/S13071-020-04374-X","ISSN":"17563305","PMID":"32977841","abstract":"Background: Invasive mosquito species, such as Aedes albopictus in Congo can affect the distribution of native species, changing the vector composition and pattern of disease transmission. Here, we comparatively establish the geographical distribution and larval habitat preference of Ae. aegypti and Ae. albopictus and the risk of arbovirus disease outbreaks using Stegomyia indices in the city of Brazzaville, the capital of the Republic of the Congo. Methods: Human dwelling surveys of water-holding containers for immature stages of Aedes was carried out in December 2017 in Brazzaville through a random cluster sampling method. A total of 268 human dwellings distributed in 9 boroughs and 27 neighbourhoods were surveyed across the city. Results: Overall, 455 potential larval habitats were surveyed. Both Ae. aegypti and Ae. albopictus were collected across the city with an overall high prevalence of Ae. aegypti (53.1%) compared to Ae. albopictus (46.9%). Geographical distribution analysis showed that Ae. aegypti was more abundant (mean = 6.6 ± 1.4) in neighbourhoods located in downtown, while the abundance of Ae. albopictus was low (mean = 3.5 ± 0.6) in suburbs. Peridomestic containers, especially discarded tanks, were the most strongly colonized productive larval habitat for both mosquito species with the prevalence of 56.4% and 53.1% for Ae. aegypti and Ae. albopictus, respectively. Globally, the house index (HI), Breteau index (BI) and container index (CI) were high for Ae. aegypti (26.6%, 38.4% and 22.6%) and Ae. albopictus (33.3%, 49.6% and 26.6%) compared to the transmission risk threshold (5%, 5% and 20%) established by the WHO/PAHO. Overall, pupae-based indices (the pupae index and the pupae per person index) were not significantly different between Ae. aegypti (273.4% and 23.2%) and Ae. albopictus (228.8% and 19.5%). Conclusions: The findings of this study suggest a high risk for transmission of arbovirus diseases in Brazzaville and call for an urgent need to implement vector control strategies against these vectors in the Republic of the Congo.[Figure not available: see fulltext.]","author":[{"dropping-particle":"","family":"Wilson-Bahun","given":"Theodel A.","non-dropping-particle":"","parse-names":false,"suffix":""},{"dropping-particle":"","family":"Kamgang","given":"Basile","non-dropping-particle":"","parse-names":false,"suffix":""},{"dropping-particle":"","family":"Lenga","given":"Arsène","non-dropping-particle":"","parse-names":false,"suffix":""},{"dropping-particle":"","family":"Wondji","given":"Charles S.","non-dropping-particle":"","parse-names":false,"suffix":""}],"container-title":"Parasites and Vectors","id":"ITEM-1","issue":"1","issued":{"date-parts":[["2020","9","25"]]},"publisher":"BioMed Central Ltd","title":"Larval ecology and infestation indices of two major arbovirus vectors, Aedes aegypti and Aedes albopictus (Diptera: Culicidae), in Brazzaville, the capital city of the Republic of the Congo","type":"article-journal","volume":"13"},"uris":["http://www.mendeley.com/documents/?uuid=13774493-052a-3999-a412-1fb021e72543"]}],"mendeley":{"formattedCitation":"(Wilson-Bahun et al., 2020)","plainTextFormattedCitation":"(Wilson-Bahun et al., 2020)","previouslyFormattedCitation":"(Wilson-Bahun et al., 2020)"},"properties":{"noteIndex":0},"schema":"https://github.com/citation-style-language/schema/raw/master/csl-citation.json"}</w:instrText>
      </w:r>
      <w:r w:rsidR="00BE4410">
        <w:rPr>
          <w:rFonts w:ascii="Times New Roman" w:hAnsi="Times New Roman" w:cs="Times New Roman"/>
          <w:sz w:val="24"/>
          <w:szCs w:val="24"/>
        </w:rPr>
        <w:fldChar w:fldCharType="separate"/>
      </w:r>
      <w:r w:rsidR="00BE4410" w:rsidRPr="00BE4410">
        <w:rPr>
          <w:rFonts w:ascii="Times New Roman" w:hAnsi="Times New Roman" w:cs="Times New Roman"/>
          <w:noProof/>
          <w:sz w:val="24"/>
          <w:szCs w:val="24"/>
        </w:rPr>
        <w:t>(Wilson-Bahun et al., 2020)</w:t>
      </w:r>
      <w:r w:rsidR="00BE4410">
        <w:rPr>
          <w:rFonts w:ascii="Times New Roman" w:hAnsi="Times New Roman" w:cs="Times New Roman"/>
          <w:sz w:val="24"/>
          <w:szCs w:val="24"/>
        </w:rPr>
        <w:fldChar w:fldCharType="end"/>
      </w:r>
      <w:r w:rsidRPr="002445BC">
        <w:rPr>
          <w:rFonts w:ascii="Times New Roman" w:hAnsi="Times New Roman" w:cs="Times New Roman"/>
          <w:sz w:val="24"/>
          <w:szCs w:val="24"/>
        </w:rPr>
        <w:t xml:space="preserve">.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is considered the main or primary vector</w:t>
      </w:r>
      <w:r w:rsidR="00BE4410">
        <w:rPr>
          <w:rFonts w:ascii="Times New Roman" w:hAnsi="Times New Roman" w:cs="Times New Roman"/>
          <w:sz w:val="24"/>
          <w:szCs w:val="24"/>
        </w:rPr>
        <w:t xml:space="preserve"> </w:t>
      </w:r>
      <w:r w:rsidR="00BE4410">
        <w:rPr>
          <w:rFonts w:ascii="Times New Roman" w:hAnsi="Times New Roman" w:cs="Times New Roman"/>
          <w:sz w:val="24"/>
          <w:szCs w:val="24"/>
        </w:rPr>
        <w:fldChar w:fldCharType="begin" w:fldLock="1"/>
      </w:r>
      <w:r w:rsidR="00BE4410">
        <w:rPr>
          <w:rFonts w:ascii="Times New Roman" w:hAnsi="Times New Roman" w:cs="Times New Roman"/>
          <w:sz w:val="24"/>
          <w:szCs w:val="24"/>
        </w:rPr>
        <w:instrText>ADDIN CSL_CITATION {"citationItems":[{"id":"ITEM-1","itemData":{"DOI":"10.1186/S13071-020-04374-X","ISSN":"17563305","PMID":"32977841","abstract":"Background: Invasive mosquito species, such as Aedes albopictus in Congo can affect the distribution of native species, changing the vector composition and pattern of disease transmission. Here, we comparatively establish the geographical distribution and larval habitat preference of Ae. aegypti and Ae. albopictus and the risk of arbovirus disease outbreaks using Stegomyia indices in the city of Brazzaville, the capital of the Republic of the Congo. Methods: Human dwelling surveys of water-holding containers for immature stages of Aedes was carried out in December 2017 in Brazzaville through a random cluster sampling method. A total of 268 human dwellings distributed in 9 boroughs and 27 neighbourhoods were surveyed across the city. Results: Overall, 455 potential larval habitats were surveyed. Both Ae. aegypti and Ae. albopictus were collected across the city with an overall high prevalence of Ae. aegypti (53.1%) compared to Ae. albopictus (46.9%). Geographical distribution analysis showed that Ae. aegypti was more abundant (mean = 6.6 ± 1.4) in neighbourhoods located in downtown, while the abundance of Ae. albopictus was low (mean = 3.5 ± 0.6) in suburbs. Peridomestic containers, especially discarded tanks, were the most strongly colonized productive larval habitat for both mosquito species with the prevalence of 56.4% and 53.1% for Ae. aegypti and Ae. albopictus, respectively. Globally, the house index (HI), Breteau index (BI) and container index (CI) were high for Ae. aegypti (26.6%, 38.4% and 22.6%) and Ae. albopictus (33.3%, 49.6% and 26.6%) compared to the transmission risk threshold (5%, 5% and 20%) established by the WHO/PAHO. Overall, pupae-based indices (the pupae index and the pupae per person index) were not significantly different between Ae. aegypti (273.4% and 23.2%) and Ae. albopictus (228.8% and 19.5%). Conclusions: The findings of this study suggest a high risk for transmission of arbovirus diseases in Brazzaville and call for an urgent need to implement vector control strategies against these vectors in the Republic of the Congo.[Figure not available: see fulltext.]","author":[{"dropping-particle":"","family":"Wilson-Bahun","given":"Theodel A.","non-dropping-particle":"","parse-names":false,"suffix":""},{"dropping-particle":"","family":"Kamgang","given":"Basile","non-dropping-particle":"","parse-names":false,"suffix":""},{"dropping-particle":"","family":"Lenga","given":"Arsène","non-dropping-particle":"","parse-names":false,"suffix":""},{"dropping-particle":"","family":"Wondji","given":"Charles S.","non-dropping-particle":"","parse-names":false,"suffix":""}],"container-title":"Parasites and Vectors","id":"ITEM-1","issue":"1","issued":{"date-parts":[["2020","9","25"]]},"publisher":"BioMed Central Ltd","title":"Larval ecology and infestation indices of two major arbovirus vectors, Aedes aegypti and Aedes albopictus (Diptera: Culicidae), in Brazzaville, the capital city of the Republic of the Congo","type":"article-journal","volume":"13"},"uris":["http://www.mendeley.com/documents/?uuid=13774493-052a-3999-a412-1fb021e72543"]},{"id":"ITEM-2","itemData":{"ISSN":"26975718","PMID":"23413699","abstract":"We conducted this study to assess how well a pupal survey of dengue mosquito vectors, Aedes aegypti and Aedes albopictus, is able to target the most productive breeding sites. The study was carried out monthly during the rainy season (8 months) in 2008 in Guba, Cebu City, Philippines. The hypotheses tested were: 1) most pupae of Ae. aegypti or Ae. albopictus were produced in a few types of breeding sites and 2) the most productive types of breeding sites for each species were the most abundant. Approximately 2,500 pupae were collected from 554 breeding sites in 279 houses. Thirty-eight point four percent of ten types of breeding sites were positive for Ae. aegypti, and 11.9% of nine types of sites were positive for Ae. albopictus. Plastic drums (40.2%), metal drums (29.6%), and plastic containers (10.5%) were the key sites for Ae. aegypti pupae, whereas bamboo stumps (28.5%), plastic drums (21.1%), and rubber tires (19.1%) were the key sites for Ae. albopictus. The most productive breeding sites for Ae. aegypti were common but not the most common for Ae. albopictus. These results are relevant for dengue vector control programs.","author":[{"dropping-particle":"","family":"Edillo","given":"Frances E.","non-dropping-particle":"","parse-names":false,"suffix":""},{"dropping-particle":"","family":"Roble","given":"Noel D.","non-dropping-particle":"","parse-names":false,"suffix":""},{"dropping-particle":"","family":"Otero","given":"Nenito D.","non-dropping-particle":"","parse-names":false,"suffix":""}],"container-title":"Southeast Asian Journal of Tropical Medicine and Public Health","id":"ITEM-2","issue":"6","issued":{"date-parts":[["2012"]]},"page":"1365-1374","title":"The key breeding sites by pupal survey for dengue mosquito vectors, Aedes aegypti (Linnaeus) and Aedes albopictus (Skuse), in Guba, Cebu City, Philippines","type":"article-journal","volume":"43"},"uris":["http://www.mendeley.com/documents/?uuid=339988e6-54ab-4290-8a15-ddb3d436341b"]}],"mendeley":{"formattedCitation":"(Edillo et al., 2012; Wilson-Bahun et al., 2020)","plainTextFormattedCitation":"(Edillo et al., 2012; Wilson-Bahun et al., 2020)","previouslyFormattedCitation":"(Edillo et al., 2012; Wilson-Bahun et al., 2020)"},"properties":{"noteIndex":0},"schema":"https://github.com/citation-style-language/schema/raw/master/csl-citation.json"}</w:instrText>
      </w:r>
      <w:r w:rsidR="00BE4410">
        <w:rPr>
          <w:rFonts w:ascii="Times New Roman" w:hAnsi="Times New Roman" w:cs="Times New Roman"/>
          <w:sz w:val="24"/>
          <w:szCs w:val="24"/>
        </w:rPr>
        <w:fldChar w:fldCharType="separate"/>
      </w:r>
      <w:r w:rsidR="00BE4410" w:rsidRPr="00BE4410">
        <w:rPr>
          <w:rFonts w:ascii="Times New Roman" w:hAnsi="Times New Roman" w:cs="Times New Roman"/>
          <w:noProof/>
          <w:sz w:val="24"/>
          <w:szCs w:val="24"/>
        </w:rPr>
        <w:t>(Edillo et al., 2012; Wilson-Bahun et al., 2020)</w:t>
      </w:r>
      <w:r w:rsidR="00BE4410">
        <w:rPr>
          <w:rFonts w:ascii="Times New Roman" w:hAnsi="Times New Roman" w:cs="Times New Roman"/>
          <w:sz w:val="24"/>
          <w:szCs w:val="24"/>
        </w:rPr>
        <w:fldChar w:fldCharType="end"/>
      </w:r>
      <w:r w:rsidR="00BE4410">
        <w:rPr>
          <w:rFonts w:ascii="Times New Roman" w:hAnsi="Times New Roman" w:cs="Times New Roman"/>
          <w:sz w:val="24"/>
          <w:szCs w:val="24"/>
        </w:rPr>
        <w:t xml:space="preserve"> </w:t>
      </w:r>
      <w:r w:rsidRPr="002445BC">
        <w:rPr>
          <w:rFonts w:ascii="Times New Roman" w:hAnsi="Times New Roman" w:cs="Times New Roman"/>
          <w:sz w:val="24"/>
          <w:szCs w:val="24"/>
        </w:rPr>
        <w:t xml:space="preserve">and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xml:space="preserve"> is con</w:t>
      </w:r>
      <w:r w:rsidR="00BE4410">
        <w:rPr>
          <w:rFonts w:ascii="Times New Roman" w:hAnsi="Times New Roman" w:cs="Times New Roman"/>
          <w:sz w:val="24"/>
          <w:szCs w:val="24"/>
        </w:rPr>
        <w:t xml:space="preserve">sidered the secondary vector </w:t>
      </w:r>
      <w:r w:rsidR="00BE4410">
        <w:rPr>
          <w:rFonts w:ascii="Times New Roman" w:hAnsi="Times New Roman" w:cs="Times New Roman"/>
          <w:sz w:val="24"/>
          <w:szCs w:val="24"/>
        </w:rPr>
        <w:fldChar w:fldCharType="begin" w:fldLock="1"/>
      </w:r>
      <w:r w:rsidR="00E3023B">
        <w:rPr>
          <w:rFonts w:ascii="Times New Roman" w:hAnsi="Times New Roman" w:cs="Times New Roman"/>
          <w:sz w:val="24"/>
          <w:szCs w:val="24"/>
        </w:rPr>
        <w:instrText>ADDIN CSL_CITATION {"citationItems":[{"id":"ITEM-1","itemData":{"ISSN":"26975718","PMID":"23413699","abstract":"We conducted this study to assess how well a pupal survey of dengue mosquito vectors, Aedes aegypti and Aedes albopictus, is able to target the most productive breeding sites. The study was carried out monthly during the rainy season (8 months) in 2008 in Guba, Cebu City, Philippines. The hypotheses tested were: 1) most pupae of Ae. aegypti or Ae. albopictus were produced in a few types of breeding sites and 2) the most productive types of breeding sites for each species were the most abundant. Approximately 2,500 pupae were collected from 554 breeding sites in 279 houses. Thirty-eight point four percent of ten types of breeding sites were positive for Ae. aegypti, and 11.9% of nine types of sites were positive for Ae. albopictus. Plastic drums (40.2%), metal drums (29.6%), and plastic containers (10.5%) were the key sites for Ae. aegypti pupae, whereas bamboo stumps (28.5%), plastic drums (21.1%), and rubber tires (19.1%) were the key sites for Ae. albopictus. The most productive breeding sites for Ae. aegypti were common but not the most common for Ae. albopictus. These results are relevant for dengue vector control programs.","author":[{"dropping-particle":"","family":"Edillo","given":"Frances E.","non-dropping-particle":"","parse-names":false,"suffix":""},{"dropping-particle":"","family":"Roble","given":"Noel D.","non-dropping-particle":"","parse-names":false,"suffix":""},{"dropping-particle":"","family":"Otero","given":"Nenito D.","non-dropping-particle":"","parse-names":false,"suffix":""}],"container-title":"Southeast Asian Journal of Tropical Medicine and Public Health","id":"ITEM-1","issue":"6","issued":{"date-parts":[["2012"]]},"page":"1365-1374","title":"The key breeding sites by pupal survey for dengue mosquito vectors, Aedes aegypti (Linnaeus) and Aedes albopictus (Skuse), in Guba, Cebu City, Philippines","type":"article-journal","volume":"43"},"uris":["http://www.mendeley.com/documents/?uuid=339988e6-54ab-4290-8a15-ddb3d436341b"]}],"mendeley":{"formattedCitation":"(Edillo et al., 2012)","plainTextFormattedCitation":"(Edillo et al., 2012)","previouslyFormattedCitation":"(Edillo et al., 2012)"},"properties":{"noteIndex":0},"schema":"https://github.com/citation-style-language/schema/raw/master/csl-citation.json"}</w:instrText>
      </w:r>
      <w:r w:rsidR="00BE4410">
        <w:rPr>
          <w:rFonts w:ascii="Times New Roman" w:hAnsi="Times New Roman" w:cs="Times New Roman"/>
          <w:sz w:val="24"/>
          <w:szCs w:val="24"/>
        </w:rPr>
        <w:fldChar w:fldCharType="separate"/>
      </w:r>
      <w:r w:rsidR="00BE4410" w:rsidRPr="00BE4410">
        <w:rPr>
          <w:rFonts w:ascii="Times New Roman" w:hAnsi="Times New Roman" w:cs="Times New Roman"/>
          <w:noProof/>
          <w:sz w:val="24"/>
          <w:szCs w:val="24"/>
        </w:rPr>
        <w:t>(Edillo et al., 2012)</w:t>
      </w:r>
      <w:r w:rsidR="00BE4410">
        <w:rPr>
          <w:rFonts w:ascii="Times New Roman" w:hAnsi="Times New Roman" w:cs="Times New Roman"/>
          <w:sz w:val="24"/>
          <w:szCs w:val="24"/>
        </w:rPr>
        <w:fldChar w:fldCharType="end"/>
      </w:r>
      <w:r w:rsidRPr="002445BC">
        <w:rPr>
          <w:rFonts w:ascii="Times New Roman" w:hAnsi="Times New Roman" w:cs="Times New Roman"/>
          <w:sz w:val="24"/>
          <w:szCs w:val="24"/>
        </w:rPr>
        <w:t xml:space="preserve"> in Asia. Other than Dengue, these vectors also act as vectors for Chikungunya, Zika, and Yellow fever. Both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and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xml:space="preserve"> have been recorded in Sri Lanka. Kalutara district is one of the districts severely affected by dengue, where both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and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xml:space="preserve"> are found in different proportions. Although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xml:space="preserve"> is more prevalent in the Kalutara district, areas where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is present are significantly more vulnerable to higher incidence rates of Dengue.</w:t>
      </w:r>
    </w:p>
    <w:p w14:paraId="4F3F7974" w14:textId="571A3C05" w:rsidR="007476E0" w:rsidRDefault="0006606C" w:rsidP="007476E0">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As there is no efficient vaccine or specific treatment against dengue, vector control remains the c</w:t>
      </w:r>
      <w:r w:rsidR="00E3023B">
        <w:rPr>
          <w:rFonts w:ascii="Times New Roman" w:hAnsi="Times New Roman" w:cs="Times New Roman"/>
          <w:sz w:val="24"/>
          <w:szCs w:val="24"/>
        </w:rPr>
        <w:t xml:space="preserve">ornerstone to prevent outbreaks </w:t>
      </w:r>
      <w:r w:rsidR="00E3023B">
        <w:rPr>
          <w:rFonts w:ascii="Times New Roman" w:hAnsi="Times New Roman" w:cs="Times New Roman"/>
          <w:sz w:val="24"/>
          <w:szCs w:val="24"/>
        </w:rPr>
        <w:fldChar w:fldCharType="begin" w:fldLock="1"/>
      </w:r>
      <w:r w:rsidR="00E3023B">
        <w:rPr>
          <w:rFonts w:ascii="Times New Roman" w:hAnsi="Times New Roman" w:cs="Times New Roman"/>
          <w:sz w:val="24"/>
          <w:szCs w:val="24"/>
        </w:rPr>
        <w:instrText>ADDIN CSL_CITATION {"citationItems":[{"id":"ITEM-1","itemData":{"DOI":"10.1186/S13071-020-04374-X","ISSN":"17563305","PMID":"32977841","abstract":"Background: Invasive mosquito species, such as Aedes albopictus in Congo can affect the distribution of native species, changing the vector composition and pattern of disease transmission. Here, we comparatively establish the geographical distribution and larval habitat preference of Ae. aegypti and Ae. albopictus and the risk of arbovirus disease outbreaks using Stegomyia indices in the city of Brazzaville, the capital of the Republic of the Congo. Methods: Human dwelling surveys of water-holding containers for immature stages of Aedes was carried out in December 2017 in Brazzaville through a random cluster sampling method. A total of 268 human dwellings distributed in 9 boroughs and 27 neighbourhoods were surveyed across the city. Results: Overall, 455 potential larval habitats were surveyed. Both Ae. aegypti and Ae. albopictus were collected across the city with an overall high prevalence of Ae. aegypti (53.1%) compared to Ae. albopictus (46.9%). Geographical distribution analysis showed that Ae. aegypti was more abundant (mean = 6.6 ± 1.4) in neighbourhoods located in downtown, while the abundance of Ae. albopictus was low (mean = 3.5 ± 0.6) in suburbs. Peridomestic containers, especially discarded tanks, were the most strongly colonized productive larval habitat for both mosquito species with the prevalence of 56.4% and 53.1% for Ae. aegypti and Ae. albopictus, respectively. Globally, the house index (HI), Breteau index (BI) and container index (CI) were high for Ae. aegypti (26.6%, 38.4% and 22.6%) and Ae. albopictus (33.3%, 49.6% and 26.6%) compared to the transmission risk threshold (5%, 5% and 20%) established by the WHO/PAHO. Overall, pupae-based indices (the pupae index and the pupae per person index) were not significantly different between Ae. aegypti (273.4% and 23.2%) and Ae. albopictus (228.8% and 19.5%). Conclusions: The findings of this study suggest a high risk for transmission of arbovirus diseases in Brazzaville and call for an urgent need to implement vector control strategies against these vectors in the Republic of the Congo.[Figure not available: see fulltext.]","author":[{"dropping-particle":"","family":"Wilson-Bahun","given":"Theodel A.","non-dropping-particle":"","parse-names":false,"suffix":""},{"dropping-particle":"","family":"Kamgang","given":"Basile","non-dropping-particle":"","parse-names":false,"suffix":""},{"dropping-particle":"","family":"Lenga","given":"Arsène","non-dropping-particle":"","parse-names":false,"suffix":""},{"dropping-particle":"","family":"Wondji","given":"Charles S.","non-dropping-particle":"","parse-names":false,"suffix":""}],"container-title":"Parasites and Vectors","id":"ITEM-1","issue":"1","issued":{"date-parts":[["2020","9","25"]]},"publisher":"BioMed Central Ltd","title":"Larval ecology and infestation indices of two major arbovirus vectors, Aedes aegypti and Aedes albopictus (Diptera: Culicidae), in Brazzaville, the capital city of the Republic of the Congo","type":"article-journal","volume":"13"},"uris":["http://www.mendeley.com/documents/?uuid=13774493-052a-3999-a412-1fb021e72543"]}],"mendeley":{"formattedCitation":"(Wilson-Bahun et al., 2020)","plainTextFormattedCitation":"(Wilson-Bahun et al., 2020)","previouslyFormattedCitation":"(Wilson-Bahun et al., 2020)"},"properties":{"noteIndex":0},"schema":"https://github.com/citation-style-language/schema/raw/master/csl-citation.json"}</w:instrText>
      </w:r>
      <w:r w:rsidR="00E3023B">
        <w:rPr>
          <w:rFonts w:ascii="Times New Roman" w:hAnsi="Times New Roman" w:cs="Times New Roman"/>
          <w:sz w:val="24"/>
          <w:szCs w:val="24"/>
        </w:rPr>
        <w:fldChar w:fldCharType="separate"/>
      </w:r>
      <w:r w:rsidR="00E3023B" w:rsidRPr="00E3023B">
        <w:rPr>
          <w:rFonts w:ascii="Times New Roman" w:hAnsi="Times New Roman" w:cs="Times New Roman"/>
          <w:noProof/>
          <w:sz w:val="24"/>
          <w:szCs w:val="24"/>
        </w:rPr>
        <w:t>(Wilson-Bahun et al., 2020)</w:t>
      </w:r>
      <w:r w:rsidR="00E3023B">
        <w:rPr>
          <w:rFonts w:ascii="Times New Roman" w:hAnsi="Times New Roman" w:cs="Times New Roman"/>
          <w:sz w:val="24"/>
          <w:szCs w:val="24"/>
        </w:rPr>
        <w:fldChar w:fldCharType="end"/>
      </w:r>
      <w:r w:rsidRPr="002445BC">
        <w:rPr>
          <w:rFonts w:ascii="Times New Roman" w:hAnsi="Times New Roman" w:cs="Times New Roman"/>
          <w:sz w:val="24"/>
          <w:szCs w:val="24"/>
        </w:rPr>
        <w:t xml:space="preserve">. Vector control aims to limit the transmission of pathogens by </w:t>
      </w:r>
      <w:r w:rsidRPr="002445BC">
        <w:rPr>
          <w:rFonts w:ascii="Times New Roman" w:hAnsi="Times New Roman" w:cs="Times New Roman"/>
          <w:sz w:val="24"/>
          <w:szCs w:val="24"/>
        </w:rPr>
        <w:lastRenderedPageBreak/>
        <w:t xml:space="preserve">reducing or preventing human contact with the vector, and a wide range of vector control tools exists. Immature vector control by breeding habitat elimination is a more efficient, economically and environmentally friendly tool than any other adult vector control methods. To implement proper breeding habitat elimination activities, it is essential to identify the productivity of breeding habitats. Most studies about the productive breeding habitat of dengue vectors focused on traditional larval stegomyia index calculation rather than pupal densities. However, these indices are insufficient for making decisions about control actions </w:t>
      </w:r>
      <w:r w:rsidR="002C7BAA">
        <w:rPr>
          <w:rFonts w:ascii="Times New Roman" w:hAnsi="Times New Roman" w:cs="Times New Roman"/>
          <w:sz w:val="24"/>
          <w:szCs w:val="24"/>
        </w:rPr>
        <w:fldChar w:fldCharType="begin" w:fldLock="1"/>
      </w:r>
      <w:r w:rsidR="002C7BAA">
        <w:rPr>
          <w:rFonts w:ascii="Times New Roman" w:hAnsi="Times New Roman" w:cs="Times New Roman"/>
          <w:sz w:val="24"/>
          <w:szCs w:val="24"/>
        </w:rPr>
        <w:instrText>ADDIN CSL_CITATION {"citationItems":[{"id":"ITEM-1","itemData":{"DOI":"10.1179/136485906X105462","ISSN":"00034983","PMID":"16630386","author":[{"dropping-particle":"","family":"Nathan","given":"M. B.","non-dropping-particle":"","parse-names":false,"suffix":""},{"dropping-particle":"","family":"Focks","given":"D. A.","non-dropping-particle":"","parse-names":false,"suffix":""},{"dropping-particle":"","family":"Kroeger","given":"A.","non-dropping-particle":"","parse-names":false,"suffix":""}],"container-title":"Annals of Tropical Medicine and Parasitology","id":"ITEM-1","issue":"SUPPL. 1","issued":{"date-parts":[["2006"]]},"title":"Pupal/demographic surveys to inform dengue-vector control","type":"article-journal","volume":"100"},"uris":["http://www.mendeley.com/documents/?uuid=2d0c6f65-233a-40f9-8d92-6f844e5df9f3"]}],"mendeley":{"formattedCitation":"(Nathan et al., 2006)","plainTextFormattedCitation":"(Nathan et al., 2006)"},"properties":{"noteIndex":0},"schema":"https://github.com/citation-style-language/schema/raw/master/csl-citation.json"}</w:instrText>
      </w:r>
      <w:r w:rsidR="002C7BAA">
        <w:rPr>
          <w:rFonts w:ascii="Times New Roman" w:hAnsi="Times New Roman" w:cs="Times New Roman"/>
          <w:sz w:val="24"/>
          <w:szCs w:val="24"/>
        </w:rPr>
        <w:fldChar w:fldCharType="separate"/>
      </w:r>
      <w:r w:rsidR="002C7BAA" w:rsidRPr="002C7BAA">
        <w:rPr>
          <w:rFonts w:ascii="Times New Roman" w:hAnsi="Times New Roman" w:cs="Times New Roman"/>
          <w:noProof/>
          <w:sz w:val="24"/>
          <w:szCs w:val="24"/>
        </w:rPr>
        <w:t>(Nathan et al., 2006)</w:t>
      </w:r>
      <w:r w:rsidR="002C7BAA">
        <w:rPr>
          <w:rFonts w:ascii="Times New Roman" w:hAnsi="Times New Roman" w:cs="Times New Roman"/>
          <w:sz w:val="24"/>
          <w:szCs w:val="24"/>
        </w:rPr>
        <w:fldChar w:fldCharType="end"/>
      </w:r>
      <w:r w:rsidRPr="002445BC">
        <w:rPr>
          <w:rFonts w:ascii="Times New Roman" w:hAnsi="Times New Roman" w:cs="Times New Roman"/>
          <w:sz w:val="24"/>
          <w:szCs w:val="24"/>
        </w:rPr>
        <w:t xml:space="preserve"> because these indices do not consider key demographic factors, such as larval density and survival rates. As a result, predicting the abundance of adult mosquitoes, which is an epidemiologically significant stage, is challenging.</w:t>
      </w:r>
    </w:p>
    <w:p w14:paraId="07B4D9B6" w14:textId="37B43CEF" w:rsidR="001967D7" w:rsidRPr="002445BC" w:rsidRDefault="001967D7" w:rsidP="007476E0">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Moreover, the larval indices of Stegomyia mosquitoes fail to provide valuable insights into the productivity of various breeding habitats, making it challenging to identify which specific container types significantly contribute to the adult vector population</w:t>
      </w:r>
      <w:r w:rsidR="00205FFF">
        <w:rPr>
          <w:rFonts w:ascii="Times New Roman" w:hAnsi="Times New Roman" w:cs="Times New Roman"/>
          <w:sz w:val="24"/>
          <w:szCs w:val="24"/>
        </w:rPr>
        <w:t xml:space="preserve"> </w:t>
      </w:r>
      <w:r w:rsidR="00205FFF">
        <w:rPr>
          <w:rFonts w:ascii="Times New Roman" w:hAnsi="Times New Roman" w:cs="Times New Roman"/>
          <w:sz w:val="24"/>
          <w:szCs w:val="24"/>
        </w:rPr>
        <w:fldChar w:fldCharType="begin" w:fldLock="1"/>
      </w:r>
      <w:r w:rsidR="002C7BAA">
        <w:rPr>
          <w:rFonts w:ascii="Times New Roman" w:hAnsi="Times New Roman" w:cs="Times New Roman"/>
          <w:sz w:val="24"/>
          <w:szCs w:val="24"/>
        </w:rPr>
        <w:instrText>ADDIN CSL_CITATION {"citationItems":[{"id":"ITEM-1","itemData":{"DOI":"10.1179/136485906X105462","ISSN":"00034983","PMID":"16630386","author":[{"dropping-particle":"","family":"Nathan","given":"M. B.","non-dropping-particle":"","parse-names":false,"suffix":""},{"dropping-particle":"","family":"Focks","given":"D. A.","non-dropping-particle":"","parse-names":false,"suffix":""},{"dropping-particle":"","family":"Kroeger","given":"A.","non-dropping-particle":"","parse-names":false,"suffix":""}],"container-title":"Annals of Tropical Medicine and Parasitology","id":"ITEM-1","issue":"SUPPL. 1","issued":{"date-parts":[["2006"]]},"title":"Pupal/demographic surveys to inform dengue-vector control","type":"article-journal","volume":"100"},"uris":["http://www.mendeley.com/documents/?uuid=2d0c6f65-233a-40f9-8d92-6f844e5df9f3"]},{"id":"ITEM-2","itemData":{"DOI":"10.1155/2014/301083","ISSN":"2356-7465","abstract":" The control of dengue relies on the elimination of vector breeding sites. This study identified the container categories most productive for A. aegypti within the framework of the São Paulo dengue vector control program (DVCP) in São Sebastião, a large city located on the state’s coast where dengue cases have occurred since 2001. Containers were inspected monthly for the occurrence of mosquito immature stages during two consecutive vector-breeding seasons in 2002–2004. Containers were classified by their material, use, and fixed or removable status. Pupal productivity differed significantly among container types, items made of metal and plastic, and boats being those with the highest relative contribution. Significant correlations between traditional indices of A. aegypti abundance (Container Index, House Index, and Breteau Index) and pupal productivity/demographic indices (Pupae/Container, Pupae/House, Pupae/ha, and Pupae/Person) ranged 0.56–0.65; correlations were not statistically significant for any combination involving the Pupae/Container index. The assessment of pupal productivity indices could be incorporated into the DVCP without any additional operational onus, allowing vector control managers to determine appropriate control actions targeting the most productive containers and sites. Further studies are needed to assess whether pupal productivity indices may be used as epidemiological indicators of risk of dengue transmission. ","author":[{"dropping-particle":"","family":"Brito Arduino","given":"Marylene","non-dropping-particle":"de","parse-names":false,"suffix":""}],"container-title":"Journal of Insects","id":"ITEM-2","issued":{"date-parts":[["2014"]]},"page":"1-9","title":" Assessment of Aedes aegypti Pupal Productivity during the Dengue Vector Control Program in a Costal Urban Centre of São Paulo State, Brazil ","type":"article-journal","volume":"2014"},"uris":["http://www.mendeley.com/documents/?uuid=2e0db90c-2c41-450a-893e-421647fdcfec"]}],"mendeley":{"formattedCitation":"(de Brito Arduino, 2014; Nathan et al., 2006)","plainTextFormattedCitation":"(de Brito Arduino, 2014; Nathan et al., 2006)","previouslyFormattedCitation":"(de Brito Arduino, 2014; Nathan et al., 2006a)"},"properties":{"noteIndex":0},"schema":"https://github.com/citation-style-language/schema/raw/master/csl-citation.json"}</w:instrText>
      </w:r>
      <w:r w:rsidR="00205FFF">
        <w:rPr>
          <w:rFonts w:ascii="Times New Roman" w:hAnsi="Times New Roman" w:cs="Times New Roman"/>
          <w:sz w:val="24"/>
          <w:szCs w:val="24"/>
        </w:rPr>
        <w:fldChar w:fldCharType="separate"/>
      </w:r>
      <w:r w:rsidR="002C7BAA" w:rsidRPr="002C7BAA">
        <w:rPr>
          <w:rFonts w:ascii="Times New Roman" w:hAnsi="Times New Roman" w:cs="Times New Roman"/>
          <w:noProof/>
          <w:sz w:val="24"/>
          <w:szCs w:val="24"/>
        </w:rPr>
        <w:t>(de Brito Arduino, 2014; Nathan et al., 2006)</w:t>
      </w:r>
      <w:r w:rsidR="00205FFF">
        <w:rPr>
          <w:rFonts w:ascii="Times New Roman" w:hAnsi="Times New Roman" w:cs="Times New Roman"/>
          <w:sz w:val="24"/>
          <w:szCs w:val="24"/>
        </w:rPr>
        <w:fldChar w:fldCharType="end"/>
      </w:r>
      <w:r w:rsidRPr="002445BC">
        <w:rPr>
          <w:rFonts w:ascii="Times New Roman" w:hAnsi="Times New Roman" w:cs="Times New Roman"/>
          <w:sz w:val="24"/>
          <w:szCs w:val="24"/>
        </w:rPr>
        <w:t>. Since mosquito pupae are more proximal to adults than to the larval stages, and because pupal mortality is minimal, the number of pupae is highly correlated with the number of adult mosquitoes</w:t>
      </w:r>
      <w:r w:rsidR="00205FFF">
        <w:rPr>
          <w:rFonts w:ascii="Times New Roman" w:hAnsi="Times New Roman" w:cs="Times New Roman"/>
          <w:sz w:val="24"/>
          <w:szCs w:val="24"/>
        </w:rPr>
        <w:t xml:space="preserve"> </w:t>
      </w:r>
      <w:r w:rsidR="00205FFF">
        <w:rPr>
          <w:rFonts w:ascii="Times New Roman" w:hAnsi="Times New Roman" w:cs="Times New Roman"/>
          <w:sz w:val="24"/>
          <w:szCs w:val="24"/>
        </w:rPr>
        <w:fldChar w:fldCharType="begin" w:fldLock="1"/>
      </w:r>
      <w:r w:rsidR="006D485A">
        <w:rPr>
          <w:rFonts w:ascii="Times New Roman" w:hAnsi="Times New Roman" w:cs="Times New Roman"/>
          <w:sz w:val="24"/>
          <w:szCs w:val="24"/>
        </w:rPr>
        <w:instrText>ADDIN CSL_CITATION {"citationItems":[{"id":"ITEM-1","itemData":{"author":[{"dropping-particle":"","family":"Focks","given":"Dana A","non-dropping-particle":"","parse-names":false,"suffix":""},{"dropping-particle":"","family":"Alexander","given":"Neal","non-dropping-particle":"","parse-names":false,"suffix":""},{"dropping-particle":"","family":"Romero-Vivas","given":"Claudia ME","non-dropping-particle":"","parse-names":false,"suffix":""},{"dropping-particle":"","family":"Theresa Midega","given":"Janet","non-dropping-particle":"","parse-names":false,"suffix":""},{"dropping-particle":"","family":"Bisset","given":"Juan","non-dropping-particle":"","parse-names":false,"suffix":""},{"dropping-particle":"","family":"Barbazan","given":"Philippe","non-dropping-particle":"","parse-names":false,"suffix":""},{"dropping-particle":"","family":"Sinh Nam","given":"Vu","non-dropping-particle":"","parse-names":false,"suffix":""},{"dropping-particle":"","family":"Arredondo-Jiménez","given":"Juan I","non-dropping-particle":"","parse-names":false,"suffix":""}],"id":"ITEM-1","issued":{"date-parts":[["2006"]]},"title":"Multicountry study of Aedes aegypti pupal productivity survey methodology: findings and recommendations","type":"report"},"uris":["http://www.mendeley.com/documents/?uuid=97b440fd-9b6b-35aa-853e-6c2275d9c253"]},{"id":"ITEM-2","itemData":{"DOI":"10.1007/s00436-022-07777-0","ISSN":"0932-0113","abstract":"Aedes aegypti is an important vector of several arboviruses including dengue and chikungunya viruses. Accurate identification of larval habitats of Ae. aegypti is considered an essential step in targeted control. This study determined Ae. aegypti productivity in selected larval habitats in Msambweni, Kwale County, Kenya. Three sequential larval habitat surveys were conducted. The first survey was habitat census (baseline) through which 83 representative larval habitats were identified and selected. The second and third surveys involved estimating daily productivity of the 83 selected larval habitats for 30 consecutive days during a wet and a dry season, respectively. Of 664 larval habitats examined at baseline, 144 larval habitats (21.7%) were found to be infested with Ae. aegypti larvae. At baseline, majority (71%) of the pupae were collected from two (2/6) larval habitat types, tires and pots. Multivariate analysis identified habitat type and the habitat being movable as the predictors for pupal abundance. During the 30-day daily pupal production surveys, only a few of the habitats harbored pupae persistently. Pupae were found in 28% and 12% of the larval habitats during the wet and dry seasons, respectively. In the wet season, drums, tires, and pots were identified as the key habitat types accounting for 85% of all pupae sampled. Three habitats (all drums) accounted for 80% of all the pupae collected in the dry season. Predictors for pupal productivity in the wet season were habitat type, place (whether the habitat is located at the back or front of the house), habitat purpose (use of the water in the habitat), and source of water. Although the multivariate model for habitat type did not converge, habitat type and habitat size were the only significant predictors during the dry season. Drums, pots, and tires were sources of more than 85% of Ae. aegypti pupae, reinforcing the “key container concept.” Targeting these three types of habitats makes epidemiological sense, especially during the dry season.","author":[{"dropping-particle":"","family":"Mwakutwaa","given":"Alawih S.","non-dropping-particle":"","parse-names":false,"suffix":""},{"dropping-particle":"","family":"Ngugi","given":"Harun N.","non-dropping-particle":"","parse-names":false,"suffix":""},{"dropping-particle":"","family":"Ndenga","given":"Bryson A.","non-dropping-particle":"","parse-names":false,"suffix":""},{"dropping-particle":"","family":"Krystosik","given":"Amy","non-dropping-particle":"","parse-names":false,"suffix":""},{"dropping-particle":"","family":"Ngari","given":"Moses","non-dropping-particle":"","parse-names":false,"suffix":""},{"dropping-particle":"","family":"Abubakar","given":"Laila U.","non-dropping-particle":"","parse-names":false,"suffix":""},{"dropping-particle":"","family":"Yonge","given":"Shadrack","non-dropping-particle":"","parse-names":false,"suffix":""},{"dropping-particle":"","family":"Kitron","given":"Uriel","non-dropping-particle":"","parse-names":false,"suffix":""},{"dropping-particle":"","family":"LaBeaud","given":"A. Desiree","non-dropping-particle":"","parse-names":false,"suffix":""},{"dropping-particle":"","family":"Mutuku","given":"Francis M.","non-dropping-particle":"","parse-names":false,"suffix":""}],"container-title":"Parasitology Research","id":"ITEM-2","issue":"3","issued":{"date-parts":[["2023","3","23"]]},"page":"801-814","title":"Pupal productivity of larval habitats of Aedes aegypti in Msambweni, Kwale County, Kenya","type":"article-journal","volume":"122"},"uris":["http://www.mendeley.com/documents/?uuid=e21e1b9b-1cd6-43ec-aa8e-bfcb32a1baa3"]}],"mendeley":{"formattedCitation":"(Focks et al., 2006; Mwakutwaa et al., 2023)","plainTextFormattedCitation":"(Focks et al., 2006; Mwakutwaa et al., 2023)","previouslyFormattedCitation":"(Focks et al., 2006; Mwakutwaa et al., 2023)"},"properties":{"noteIndex":0},"schema":"https://github.com/citation-style-language/schema/raw/master/csl-citation.json"}</w:instrText>
      </w:r>
      <w:r w:rsidR="00205FFF">
        <w:rPr>
          <w:rFonts w:ascii="Times New Roman" w:hAnsi="Times New Roman" w:cs="Times New Roman"/>
          <w:sz w:val="24"/>
          <w:szCs w:val="24"/>
        </w:rPr>
        <w:fldChar w:fldCharType="separate"/>
      </w:r>
      <w:r w:rsidR="00205FFF" w:rsidRPr="00205FFF">
        <w:rPr>
          <w:rFonts w:ascii="Times New Roman" w:hAnsi="Times New Roman" w:cs="Times New Roman"/>
          <w:noProof/>
          <w:sz w:val="24"/>
          <w:szCs w:val="24"/>
        </w:rPr>
        <w:t>(Focks et al., 2006; Mwakutwaa et al., 2023)</w:t>
      </w:r>
      <w:r w:rsidR="00205FFF">
        <w:rPr>
          <w:rFonts w:ascii="Times New Roman" w:hAnsi="Times New Roman" w:cs="Times New Roman"/>
          <w:sz w:val="24"/>
          <w:szCs w:val="24"/>
        </w:rPr>
        <w:fldChar w:fldCharType="end"/>
      </w:r>
      <w:r w:rsidRPr="002445BC">
        <w:rPr>
          <w:rFonts w:ascii="Times New Roman" w:hAnsi="Times New Roman" w:cs="Times New Roman"/>
          <w:sz w:val="24"/>
          <w:szCs w:val="24"/>
        </w:rPr>
        <w:t xml:space="preserve">. Also, pupal indices provide more accurate information about adult density compared to larval indices. Moreover, it was envisaged that pupal surveys, if combined with the collection of demographic data, could help elucidate the transmission dynamics of dengue, identify transmission risk, and quantify and validate target levels of vector abundance </w:t>
      </w:r>
      <w:r w:rsidR="00205FFF">
        <w:rPr>
          <w:rFonts w:ascii="Times New Roman" w:hAnsi="Times New Roman" w:cs="Times New Roman"/>
          <w:sz w:val="24"/>
          <w:szCs w:val="24"/>
        </w:rPr>
        <w:fldChar w:fldCharType="begin" w:fldLock="1"/>
      </w:r>
      <w:r w:rsidR="002C7BAA">
        <w:rPr>
          <w:rFonts w:ascii="Times New Roman" w:hAnsi="Times New Roman" w:cs="Times New Roman"/>
          <w:sz w:val="24"/>
          <w:szCs w:val="24"/>
        </w:rPr>
        <w:instrText>ADDIN CSL_CITATION {"citationItems":[{"id":"ITEM-1","itemData":{"DOI":"10.1179/136485906X105462","ISSN":"00034983","PMID":"16630386","author":[{"dropping-particle":"","family":"Nathan","given":"M. B.","non-dropping-particle":"","parse-names":false,"suffix":""},{"dropping-particle":"","family":"Focks","given":"D. A.","non-dropping-particle":"","parse-names":false,"suffix":""},{"dropping-particle":"","family":"Kroeger","given":"A.","non-dropping-particle":"","parse-names":false,"suffix":""}],"container-title":"Annals of Tropical Medicine and Parasitology","id":"ITEM-1","issue":"SUPPL. 1","issued":{"date-parts":[["2006"]]},"title":"Pupal/demographic surveys to inform dengue-vector control","type":"article-journal","volume":"100"},"uris":["http://www.mendeley.com/documents/?uuid=2d0c6f65-233a-40f9-8d92-6f844e5df9f3"]}],"mendeley":{"formattedCitation":"(Nathan et al., 2006)","plainTextFormattedCitation":"(Nathan et al., 2006)","previouslyFormattedCitation":"(Nathan et al., 2006a)"},"properties":{"noteIndex":0},"schema":"https://github.com/citation-style-language/schema/raw/master/csl-citation.json"}</w:instrText>
      </w:r>
      <w:r w:rsidR="00205FFF">
        <w:rPr>
          <w:rFonts w:ascii="Times New Roman" w:hAnsi="Times New Roman" w:cs="Times New Roman"/>
          <w:sz w:val="24"/>
          <w:szCs w:val="24"/>
        </w:rPr>
        <w:fldChar w:fldCharType="separate"/>
      </w:r>
      <w:r w:rsidR="002C7BAA" w:rsidRPr="002C7BAA">
        <w:rPr>
          <w:rFonts w:ascii="Times New Roman" w:hAnsi="Times New Roman" w:cs="Times New Roman"/>
          <w:noProof/>
          <w:sz w:val="24"/>
          <w:szCs w:val="24"/>
        </w:rPr>
        <w:t>(Nathan et al., 2006)</w:t>
      </w:r>
      <w:r w:rsidR="00205FFF">
        <w:rPr>
          <w:rFonts w:ascii="Times New Roman" w:hAnsi="Times New Roman" w:cs="Times New Roman"/>
          <w:sz w:val="24"/>
          <w:szCs w:val="24"/>
        </w:rPr>
        <w:fldChar w:fldCharType="end"/>
      </w:r>
      <w:r w:rsidRPr="002445BC">
        <w:rPr>
          <w:rFonts w:ascii="Times New Roman" w:hAnsi="Times New Roman" w:cs="Times New Roman"/>
          <w:sz w:val="24"/>
          <w:szCs w:val="24"/>
        </w:rPr>
        <w:t>Therefore, this study was carried out to assess the productivity of dengue vector breeding habitats using pupal indices and to examine the relationships between pupal productivity and associated abiotic factors, as well as the physiochemical parameters of water in six localities within the Kalutara District of Sri Lanka.</w:t>
      </w:r>
    </w:p>
    <w:p w14:paraId="487D42B5" w14:textId="509EC1E3" w:rsidR="00B83C3C" w:rsidRPr="007476E0" w:rsidRDefault="007476E0" w:rsidP="007476E0">
      <w:pPr>
        <w:pStyle w:val="Heading2"/>
      </w:pPr>
      <w:r w:rsidRPr="007476E0">
        <w:t>METHODOLOGY</w:t>
      </w:r>
    </w:p>
    <w:p w14:paraId="08750667" w14:textId="4D186EAF" w:rsidR="00B83C3C" w:rsidRPr="0049340C" w:rsidRDefault="0049340C" w:rsidP="002445BC">
      <w:pPr>
        <w:pStyle w:val="Heading3"/>
        <w:spacing w:before="240" w:after="240" w:line="240" w:lineRule="auto"/>
        <w:rPr>
          <w:rFonts w:cs="Times New Roman"/>
          <w:b/>
          <w:bCs/>
        </w:rPr>
      </w:pPr>
      <w:r w:rsidRPr="0049340C">
        <w:rPr>
          <w:rFonts w:cs="Times New Roman"/>
          <w:b/>
          <w:bCs/>
        </w:rPr>
        <w:t>Study area</w:t>
      </w:r>
    </w:p>
    <w:p w14:paraId="6BE2C7B2" w14:textId="3A1F5EED" w:rsidR="00D551C2" w:rsidRDefault="00B83C3C" w:rsidP="002445BC">
      <w:pPr>
        <w:autoSpaceDE w:val="0"/>
        <w:autoSpaceDN w:val="0"/>
        <w:adjustRightInd w:val="0"/>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Kalutara District is a district in the Western Province of Sri Lanka, located in the southwestern part of the island</w:t>
      </w:r>
      <w:r w:rsidR="00E4686D" w:rsidRPr="002445BC">
        <w:rPr>
          <w:rFonts w:ascii="Times New Roman" w:hAnsi="Times New Roman" w:cs="Times New Roman"/>
          <w:sz w:val="24"/>
          <w:szCs w:val="24"/>
        </w:rPr>
        <w:t xml:space="preserve"> and geographical boundaries fall within the latitudes of 6°47′ N and 6°91′ N and the longitudes of 79°570′ E and 80°18′ E </w:t>
      </w:r>
      <w:r w:rsidR="00E4686D"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{"citationItems":[{"id":"ITEM-1","itemData":{"DOI":"10.1186/s13071-022-05377-6","ISSN":"17563305","abstract":"Background: Dengue is a major public health problem in Sri Lanka. Aedes vector surveillance and monitoring of larval indices are routine, long-established public health practices in the country. However, the association between Aedes larval indices and dengue incidence is poorly understood. It is crucial to evaluate lagged effects and threshold values of Aedes larval indices to set pragmatic targets for sustainable vector control interventions. Methods: Monthly Aedes larval indices and dengue cases in all 10 Medical Officer of Health (MOH) divisions in Kalutara district were obtained from 2010 to 2019. Using a novel statistical approach, a distributed lag non-linear model and a two-staged hierarchical meta-analysis, we estimated the overall non-linear and delayed effects of the Premise Index (PI), Breteau Index (BI) and Container Index (CI) on dengue incidence in Kalutara district. A set of MOH division-specific variables were evaluated within the same meta-analytical framework to determine their moderator effects on dengue risk. Using generalized additive models, we assessed the utility of Aedes larval indices in predicting dengue incidence. Results: We found that all three larval indices were associated with dengue risk at a lag of 1 to 2 months. The relationship between PI and dengue was homogeneous across MOH divisions, whereas that with BI and CI was heterogeneous. The threshold values of BI, PI and CI associated with dengue risk were 2, 15 and 45, respectively. All three indices showed a low to moderate accuracy in predicting dengue risk in Kalutara district. Conclusions: This study showed the potential of vector surveillance information in Kalutara district in developing a threshold-based, location-specific early warning system with a lead time of 2 months. The estimated thresholds are nonetheless time-bound and may not be universally applicable. Whenever longitudinal vector surveillance data areavailable, the methodological framework we propose here can be used to estimate location-specific Aedes larval index thresholds in any other dengue-endemic setting. Graphical Abstract: [Figure not available: see fulltext.]","author":[{"dropping-particle":"","family":"Liyanage","given":"Prasad","non-dropping-particle":"","parse-names":false,"suffix":""},{"dropping-particle":"","family":"Tozan","given":"Yesim","non-dropping-particle":"","parse-names":false,"suffix":""},{"dropping-particle":"","family":"Tissera","given":"Hasitha Aravinda","non-dropping-particle":"","parse-names":false,"suffix":""},{"dropping-particle":"","family":"Overgaard","given":"Hans J.","non-dropping-particle":"","parse-names":false,"suffix":""},{"dropping-particle":"","family":"Rocklöv","given":"Joacim","non-dropping-particle":"","parse-names":false,"suffix":""}],"container-title":"Parasites and Vectors","id":"ITEM-1","issue":"1","issued":{"date-parts":[["2022"]]},"page":"1-15","publisher":"BioMed Central","title":"Assessing the associations between Aedes larval indices and dengue risk in Kalutara district, Sri Lanka: a hierarchical time series analysis from 2010 to 2019","type":"article-journal","volume":"15"},"uris":["http://www.mendeley.com/documents/?uuid=27098932-32f0-4d51-b30c-0df6d08badeb"]}],"mendeley":{"formattedCitation":"(Liyanage et al., 2022)","plainTextFormattedCitation":"(Liyanage et al., 2022)","previouslyFormattedCitation":"(Liyanage et al., 2022)"},"properties":{"noteIndex":0},"schema":"https://github.com/citation-style-language/schema/raw/master/csl-citation.json"}</w:instrText>
      </w:r>
      <w:r w:rsidR="00E4686D"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(Liyanage et al., 2022)</w:t>
      </w:r>
      <w:r w:rsidR="00E4686D" w:rsidRPr="002445BC">
        <w:rPr>
          <w:rFonts w:ascii="Times New Roman" w:hAnsi="Times New Roman" w:cs="Times New Roman"/>
          <w:sz w:val="24"/>
          <w:szCs w:val="24"/>
        </w:rPr>
        <w:fldChar w:fldCharType="end"/>
      </w:r>
      <w:r w:rsidR="00E4686D" w:rsidRPr="002445BC">
        <w:rPr>
          <w:rFonts w:ascii="Times New Roman" w:hAnsi="Times New Roman" w:cs="Times New Roman"/>
          <w:sz w:val="24"/>
          <w:szCs w:val="24"/>
        </w:rPr>
        <w:t>.</w:t>
      </w:r>
      <w:r w:rsidR="007B703E" w:rsidRPr="002445BC">
        <w:rPr>
          <w:rFonts w:ascii="Times New Roman" w:hAnsi="Times New Roman" w:cs="Times New Roman"/>
          <w:sz w:val="24"/>
          <w:szCs w:val="24"/>
        </w:rPr>
        <w:t xml:space="preserve"> Kalutara District is located in Sri Lanka’s low country wet zone, characterized by an average annual rainfall of 2,931 mm and an average annual temperature of 27.7 °C. The study area extends over 148.3 km² from Waskaduwa to Aluthgama along the southern coastal boundary of the Kalutara district (Fig 01).</w:t>
      </w:r>
    </w:p>
    <w:p w14:paraId="00B5E3E3" w14:textId="77777777" w:rsidR="00576E48" w:rsidRPr="0015347D" w:rsidRDefault="00576E48" w:rsidP="00576E48">
      <w:pPr>
        <w:pStyle w:val="Heading3"/>
        <w:spacing w:before="240" w:after="240" w:line="240" w:lineRule="auto"/>
        <w:rPr>
          <w:rFonts w:cs="Times New Roman"/>
          <w:b/>
          <w:bCs/>
        </w:rPr>
      </w:pPr>
      <w:r w:rsidRPr="0015347D">
        <w:rPr>
          <w:rFonts w:cs="Times New Roman"/>
          <w:b/>
          <w:bCs/>
        </w:rPr>
        <w:t>Methods</w:t>
      </w:r>
    </w:p>
    <w:p w14:paraId="21126A32" w14:textId="4A61FB56" w:rsidR="00576E48" w:rsidRPr="002445BC" w:rsidRDefault="00576E48" w:rsidP="00576E48">
      <w:pPr>
        <w:autoSpaceDE w:val="0"/>
        <w:autoSpaceDN w:val="0"/>
        <w:adjustRightInd w:val="0"/>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During the surveillances, premises of a house hold considered as the basic sampling unit </w:t>
      </w:r>
      <w:r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{"citationItems":[{"id":"ITEM-1","itemData":{"DOI":"10.1016/j.actatropica.2019.105155","ISSN":"18736254","PMID":"31454507","abstract":"Despite the efforts in reducing vector densities, outbreaks of dengue fever have become a frequent event in Sri Lanka. As explained by dengue transmission dynamics, vector control activities intensified at peak or near peak outbreak situations would not be successful in controlling the outbreaks. A reliable method of outbreak prediction is always warranted for early preparedness. Relationships between the monthly Breteau indices of the two vector species (Aedes aegypti L. and Ae. albopictus Skuse) and the monthly dengue incidence in a selected high-risk health division (Kaduwela) in the Colombo District, Sri Lanka were determined for three consecutive years, 2009 to 2011. The same procedure was extended for the whole Colombo District from 2013 to 2016. Cross correlation functions were used to determine the relationships with the corresponding lag-periods. Receiver Operating Characteristic Curves (ROC) were constructed to determine the performance of the Breteau indices as predictors of impending dengue outbreaks and to establish the threshold values. The pronounced performance with &gt;80% areas under ROC curves and &gt;75% sensitivity and &gt;70% specificity of threshold values with defined lag-periods in correlations emphasize the importance of the Breteau index as a promising early warning signal for dengue outbreaks. The results indicate the importance of the carefully planned routine vector larval surveillance in dengue control programs which would make reliable outbreak predictions with a sufficient window period for early preparedness.","author":[{"dropping-particle":"","family":"Aryaprema","given":"Vindhya S.","non-dropping-particle":"","parse-names":false,"suffix":""},{"dropping-particle":"De","family":"Xue","given":"Rui","non-dropping-particle":"","parse-names":false,"suffix":""}],"container-title":"Acta Tropica","id":"ITEM-1","issue":"October","issued":{"date-parts":[["2019"]]},"page":"105155","publisher":"Elsevier","title":"Breteau index as a promising early warning signal for dengue fever outbreaks in the Colombo District, Sri Lanka","type":"article-journal","volume":"199"},"uris":["http://www.mendeley.com/documents/?uuid=d6a1c903-761d-423e-877b-7e188d591c8a"]}],"mendeley":{"formattedCitation":"(Aryaprema &amp; Xue, 2019)","plainTextFormattedCitation":"(Aryaprema &amp; Xue, 2019)","previouslyFormattedCitation":"(Aryaprema &amp; Xue, 2019)"},"properties":{"noteIndex":0},"schema":"https://github.com/citation-style-language/schema/raw/master/csl-citation.json"}</w:instrText>
      </w:r>
      <w:r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(Aryaprema &amp; Xue, 2019)</w:t>
      </w:r>
      <w:r w:rsidRPr="002445BC">
        <w:rPr>
          <w:rFonts w:ascii="Times New Roman" w:hAnsi="Times New Roman" w:cs="Times New Roman"/>
          <w:sz w:val="24"/>
          <w:szCs w:val="24"/>
        </w:rPr>
        <w:fldChar w:fldCharType="end"/>
      </w:r>
      <w:r w:rsidRPr="002445BC">
        <w:rPr>
          <w:rFonts w:ascii="Times New Roman" w:hAnsi="Times New Roman" w:cs="Times New Roman"/>
          <w:sz w:val="24"/>
          <w:szCs w:val="24"/>
        </w:rPr>
        <w:t xml:space="preserve">. Simple random sampling method was used to select the first premises surveyed, and every second premise on the right side was included until the required sample size was reached. About 200 premises were surveyed for each month from October 2023 to September 2024 with informed consent from the owner of the premise-hold. Premises with immature mosquito stages were identified as positive during inspections of both indoor (domestic) and outdoor (peri-domestic) areas.  Additionally, the size of the area and the number of residents living in the positive premises were recorded. </w:t>
      </w:r>
    </w:p>
    <w:p w14:paraId="5A80D3B5" w14:textId="3459EEA5" w:rsidR="00576E48" w:rsidRPr="002445BC" w:rsidRDefault="00576E48" w:rsidP="00576E48">
      <w:pPr>
        <w:autoSpaceDE w:val="0"/>
        <w:autoSpaceDN w:val="0"/>
        <w:adjustRightInd w:val="0"/>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All pupae and a sample of larvae (third and fourth instars) from positive breeding habitats were collected according WHO Operational Guide </w:t>
      </w:r>
      <w:r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{"citationItems":[{"id":"ITEM-1","itemData":{"ISBN":"9789241502689","abstract":"Dengue fever has become a major public health concern in recent decades. The following document is an operational guide on how to perform Aedes aegypi 1 pupal productivity surveys. These surveys are used to identify the most productive dengue vector breeding sites so that they can be targeted for interventions. The use of pupal productivity surveys and the targeted control of the most productive breeding sites, (i.e. those that produce &gt; 70% of all Ae. aegypti pupae; with pupae serving as a proxy measure for adult mosquitoes), has been promoted by the World Health Organization (WHO) and the Special Programme for Research and Training in Tropical Diseases (TDR), over the last decade. This strategy is based on the outcomes of multicentre studies of pupal survey techniques and on the cost-effectiveness of targeted interventions (e.g. Focks, 2003; Focks and Alexander, 2006; McCall and Kittayapong, 2007; McCall, Lloyd &amp; Nathan, 2009; Tun Lin et al., 2009; WHO, 2009). Since the Ae. aegypti eradication campaigns of the 1940s in the Americas (Nathan, Focks &amp; Kroeger, 2006), vector infestation levels have been determined by house-to-house surveys investigating the presence of immature stages of the vector (larvae and pupae) in water containers. The results are used to calculate the conventional Stegomyia indices: the house (or premise) index, the container index and the Breteau index (the number of positive containers per 100 houses inspected). However, the limitations of these indices in accurately estimating vector densities and ultimately dengue transmission risk, were acknowledged in an informal consultation at the World Health Organization in 1999 (WHO, 2000). After a decade of revising dengue vector entomological survey methods and indicators (Focks, 2003), a series of studies were conducted under the sponsorship and coordination of TDR and the WHO Department for Neglected Tropical Diseases (NTD). Subsequently, recommendations were issued to incorporate pupal productivity surveys alongside traditional larval surveys to determine the most productive water container types, in order to design more targeted and cost-effective vector-control interventions. The methodology was validated in a nine-country study in Asia, Africa and Latin America e.g. Focks &amp; Alexander 2006; Lenhart et al., 2006), and the cost-effectiveness of targeted interventions by another multi-centre study involving eight countries in Asia and Latin America (Tun Lin et al., 2009). Other studi…","author":[{"dropping-particle":"","family":"Azael Che-Mendoza, Pablo Manrique-Saide, Nidia Rizzo, Daniel Pilger, Audrey Lenhart, Axel Kroeger","given":"Byron Arana","non-dropping-particle":"","parse-names":false,"suffix":""}],"container-title":"World Health Organization","id":"ITEM-1","issue":"October","issued":{"date-parts":[["2011"]]},"page":"1-30","title":"Operational guide for assessing the productivity of Aedes aegypti breeding sites","type":"article-journal"},"uris":["http://www.mendeley.com/documents/?uuid=f722669f-106b-45b8-b3c3-bb3a743fa323"]}],"mendeley":{"formattedCitation":"(Azael Che-Mendoza, Pablo Manrique-Saide, Nidia Rizzo, Daniel Pilger, Audrey Lenhart, Axel Kroeger, 2011)","plainTextFormattedCitation":"(Azael Che-Mendoza, Pablo Manrique-Saide, Nidia Rizzo, Daniel Pilger, Audrey Lenhart, Axel Kroeger, 2011)","previouslyFormattedCitation":"(Azael Che-Mendoza, Pablo Manrique-Saide, Nidia Rizzo, Daniel Pilger, Audrey Lenhart, Axel Kroeger, 2011)"},"properties":{"noteIndex":0},"schema":"https://github.com/citation-style-language/schema/raw/master/csl-citation.json"}</w:instrText>
      </w:r>
      <w:r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(Azael Che-Mendoza, Pablo Manrique-Saide, Nidia Rizzo, Daniel Pilger, Audrey Lenhart, Axel Kroeger, 2011)</w:t>
      </w:r>
      <w:r w:rsidRPr="002445BC">
        <w:rPr>
          <w:rFonts w:ascii="Times New Roman" w:hAnsi="Times New Roman" w:cs="Times New Roman"/>
          <w:sz w:val="24"/>
          <w:szCs w:val="24"/>
        </w:rPr>
        <w:fldChar w:fldCharType="end"/>
      </w:r>
      <w:r w:rsidRPr="002445BC">
        <w:rPr>
          <w:rFonts w:ascii="Times New Roman" w:hAnsi="Times New Roman" w:cs="Times New Roman"/>
          <w:sz w:val="24"/>
          <w:szCs w:val="24"/>
        </w:rPr>
        <w:t xml:space="preserve"> with the aid of pipettes and ladles </w:t>
      </w:r>
      <w:r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{"citationItems":[{"id":"ITEM-1","itemData":{"DOI":"10.1016/J.ACTATROPICA.2007.06.006","ISSN":"0001-706X","PMID":"17803949","abstract":"A novel dengue surveillance method is described and used to evaluate 100 suspected dengue fever (DF) cases in county St. Patrick, Trinidad, West Indies. From the 30 confirmed DF cases fully investigated within 48 h of diagnosis, 63% (19/30 houses) of their homes were found harboring Aedes aegypti immature stages. Only houses at the four cardinal points of the index case rather than the entire neighborhood were investigated. The results showed significantly (P &lt; 0.001) more Ae. aegypti positive houses were observed to the east (P &lt; 0.04) and west (P &lt; 0.01) than to the north and south (P &gt; 0.9). In addition, from the 150 houses inspected a total of 474 artificial containers were inspected and treated, of which 20.8% (99) were infested with Ae. aegypti immature stages. More than 49% of the containers inspected were small miscellaneous containers, but they only produced 4.0% of the Ae. aegypti immatures, of which only 0.4% were pupae. Water tanks (41.7%), drums (40.4%) and buckets (24.2%) produced over 98% of the pupae. The results of this study imply that dengue vector control programs in Trinidad could increase their efficiency by applying the cardinal points surveillance approach during DF case investigations and concentrating their vector control measures on the most productive containers located at the east and west of the index cases. © 2007 Elsevier B.V. All rights reserved.","author":[{"dropping-particle":"","family":"Chadee","given":"Dave D.","non-dropping-particle":"","parse-names":false,"suffix":""},{"dropping-particle":"","family":"Doon","given":"Rohit","non-dropping-particle":"","parse-names":false,"suffix":""},{"dropping-particle":"","family":"Severson","given":"David W.","non-dropping-particle":"","parse-names":false,"suffix":""}],"container-title":"Acta Tropica","id":"ITEM-1","issue":"1","issued":{"date-parts":[["2007","10","1"]]},"page":"1-7","publisher":"Elsevier","title":"Surveillance of dengue fever cases using a novel Aedes aegypti population sampling method in Trinidad, West Indies: the cardinal points approach","type":"article-journal","volume":"104"},"uris":["http://www.mendeley.com/documents/?uuid=255bf64c-e889-3b5d-88e7-5a0c2c3dab5b"]}],"mendeley":{"formattedCitation":"(Chadee et al., 2007)","plainTextFormattedCitation":"(Chadee et al., 2007)","previouslyFormattedCitation":"(Chadee et al., 2007)"},"properties":{"noteIndex":0},"schema":"https://github.com/citation-style-language/schema/raw/master/csl-citation.json"}</w:instrText>
      </w:r>
      <w:r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(Chadee et al., 2007)</w:t>
      </w:r>
      <w:r w:rsidRPr="002445BC">
        <w:rPr>
          <w:rFonts w:ascii="Times New Roman" w:hAnsi="Times New Roman" w:cs="Times New Roman"/>
          <w:sz w:val="24"/>
          <w:szCs w:val="24"/>
        </w:rPr>
        <w:fldChar w:fldCharType="end"/>
      </w:r>
      <w:r w:rsidRPr="002445BC">
        <w:rPr>
          <w:rFonts w:ascii="Times New Roman" w:hAnsi="Times New Roman" w:cs="Times New Roman"/>
          <w:sz w:val="24"/>
          <w:szCs w:val="24"/>
        </w:rPr>
        <w:t>. Number of larvae and pupae of the positive breeding habitats were recorded. Collected larvae and pupae were placed in labeled vials and transported to the entomological laboratory at the National Institute of Health Sciences in Kalutara. Collected larvae were identified using X33RTFS2 Olympus CX33 Trinocular biological microscope and standard larval identification keys. The collected pupae were allowed to emerge into adults and identified using a Zeiss Stereo Microscope (Stemi 2000) and standard adult mosquito’s identification keys</w:t>
      </w:r>
    </w:p>
    <w:p w14:paraId="1B46B4E7" w14:textId="77777777" w:rsidR="00576E48" w:rsidRPr="002445BC" w:rsidRDefault="00576E48" w:rsidP="00576E48">
      <w:pPr>
        <w:autoSpaceDE w:val="0"/>
        <w:autoSpaceDN w:val="0"/>
        <w:adjustRightInd w:val="0"/>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The generic or descriptive name of each pupae positive breeding habitat were recorded with location, building material, volume of water and source of water. </w:t>
      </w:r>
      <w:r w:rsidRPr="002445BC">
        <w:rPr>
          <w:rFonts w:ascii="Times New Roman" w:hAnsi="Times New Roman" w:cs="Times New Roman"/>
          <w:sz w:val="24"/>
          <w:szCs w:val="24"/>
          <w:shd w:val="clear" w:color="auto" w:fill="FFFFFF"/>
        </w:rPr>
        <w:t xml:space="preserve">The physicochemical parameters of water </w:t>
      </w:r>
      <w:r w:rsidRPr="002445BC">
        <w:rPr>
          <w:rFonts w:ascii="Times New Roman" w:hAnsi="Times New Roman" w:cs="Times New Roman"/>
          <w:sz w:val="24"/>
          <w:szCs w:val="24"/>
        </w:rPr>
        <w:t xml:space="preserve">in pupae positive </w:t>
      </w:r>
      <w:r w:rsidRPr="002445BC">
        <w:rPr>
          <w:rFonts w:ascii="Times New Roman" w:hAnsi="Times New Roman" w:cs="Times New Roman"/>
          <w:sz w:val="24"/>
          <w:szCs w:val="24"/>
        </w:rPr>
        <w:lastRenderedPageBreak/>
        <w:t xml:space="preserve">breeding habitats </w:t>
      </w:r>
      <w:r w:rsidRPr="002445BC">
        <w:rPr>
          <w:rFonts w:ascii="Times New Roman" w:hAnsi="Times New Roman" w:cs="Times New Roman"/>
          <w:sz w:val="24"/>
          <w:szCs w:val="24"/>
          <w:shd w:val="clear" w:color="auto" w:fill="FFFFFF"/>
        </w:rPr>
        <w:t>were measured in situ using appropriate meters. Accordingly, water temperature and pH were measured with a portable HANNA pH and Temperature Meter (pHep 5 - HI98128). Conductivity and salinity were assessed using a portable APERA EC60 Cond./TDS/</w:t>
      </w:r>
      <w:r w:rsidRPr="002445BC">
        <w:rPr>
          <w:rFonts w:ascii="Times New Roman" w:hAnsi="Times New Roman" w:cs="Times New Roman"/>
          <w:spacing w:val="15"/>
          <w:sz w:val="24"/>
          <w:szCs w:val="24"/>
        </w:rPr>
        <w:t>Sal. tester</w:t>
      </w:r>
      <w:r w:rsidRPr="002445BC">
        <w:rPr>
          <w:rFonts w:ascii="Times New Roman" w:hAnsi="Times New Roman" w:cs="Times New Roman"/>
          <w:sz w:val="24"/>
          <w:szCs w:val="24"/>
        </w:rPr>
        <w:t>.</w:t>
      </w:r>
    </w:p>
    <w:p w14:paraId="3477EA0F" w14:textId="77777777" w:rsidR="00576E48" w:rsidRDefault="00D551C2" w:rsidP="00576E48">
      <w:pPr>
        <w:keepNext/>
        <w:autoSpaceDE w:val="0"/>
        <w:autoSpaceDN w:val="0"/>
        <w:adjustRightInd w:val="0"/>
        <w:spacing w:before="240" w:after="240" w:line="240" w:lineRule="auto"/>
        <w:jc w:val="center"/>
      </w:pPr>
      <w:r>
        <w:rPr>
          <w:rFonts w:ascii="Times New Roman" w:hAnsi="Times New Roman" w:cs="Times New Roman"/>
          <w:noProof/>
          <w:sz w:val="24"/>
          <w:szCs w:val="24"/>
        </w:rPr>
        <w:drawing>
          <wp:inline distT="0" distB="0" distL="0" distR="0" wp14:anchorId="5B40B0A3" wp14:editId="0130D33C">
            <wp:extent cx="3600450" cy="428206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4302" cy="4286648"/>
                    </a:xfrm>
                    <a:prstGeom prst="rect">
                      <a:avLst/>
                    </a:prstGeom>
                    <a:noFill/>
                  </pic:spPr>
                </pic:pic>
              </a:graphicData>
            </a:graphic>
          </wp:inline>
        </w:drawing>
      </w:r>
    </w:p>
    <w:p w14:paraId="347B71A5" w14:textId="01D7725F" w:rsidR="00D551C2" w:rsidRPr="00AB6519" w:rsidRDefault="00576E48" w:rsidP="00576E48">
      <w:pPr>
        <w:pStyle w:val="Caption"/>
        <w:jc w:val="center"/>
        <w:rPr>
          <w:rFonts w:ascii="Times New Roman" w:hAnsi="Times New Roman" w:cs="Times New Roman"/>
          <w:i w:val="0"/>
          <w:iCs w:val="0"/>
          <w:sz w:val="36"/>
          <w:szCs w:val="36"/>
        </w:rPr>
      </w:pPr>
      <w:r w:rsidRPr="00AB6519">
        <w:rPr>
          <w:rFonts w:ascii="Times New Roman" w:hAnsi="Times New Roman" w:cs="Times New Roman"/>
          <w:i w:val="0"/>
          <w:iCs w:val="0"/>
          <w:sz w:val="24"/>
          <w:szCs w:val="24"/>
        </w:rPr>
        <w:t xml:space="preserve">Fig  </w:t>
      </w:r>
      <w:r w:rsidR="00AB6519">
        <w:rPr>
          <w:rFonts w:ascii="Times New Roman" w:hAnsi="Times New Roman" w:cs="Times New Roman"/>
          <w:i w:val="0"/>
          <w:iCs w:val="0"/>
          <w:sz w:val="24"/>
          <w:szCs w:val="24"/>
        </w:rPr>
        <w:t>0</w:t>
      </w:r>
      <w:r w:rsidR="00BF4203" w:rsidRPr="00AB6519">
        <w:rPr>
          <w:rFonts w:ascii="Times New Roman" w:hAnsi="Times New Roman" w:cs="Times New Roman"/>
          <w:i w:val="0"/>
          <w:iCs w:val="0"/>
          <w:sz w:val="24"/>
          <w:szCs w:val="24"/>
        </w:rPr>
        <w:fldChar w:fldCharType="begin"/>
      </w:r>
      <w:r w:rsidR="00BF4203" w:rsidRPr="00AB6519">
        <w:rPr>
          <w:rFonts w:ascii="Times New Roman" w:hAnsi="Times New Roman" w:cs="Times New Roman"/>
          <w:i w:val="0"/>
          <w:iCs w:val="0"/>
          <w:sz w:val="24"/>
          <w:szCs w:val="24"/>
        </w:rPr>
        <w:instrText xml:space="preserve"> SEQ Figure \* ARABIC </w:instrText>
      </w:r>
      <w:r w:rsidR="00BF4203" w:rsidRPr="00AB6519">
        <w:rPr>
          <w:rFonts w:ascii="Times New Roman" w:hAnsi="Times New Roman" w:cs="Times New Roman"/>
          <w:i w:val="0"/>
          <w:iCs w:val="0"/>
          <w:sz w:val="24"/>
          <w:szCs w:val="24"/>
        </w:rPr>
        <w:fldChar w:fldCharType="separate"/>
      </w:r>
      <w:r w:rsidR="00BF4203" w:rsidRPr="00AB6519">
        <w:rPr>
          <w:rFonts w:ascii="Times New Roman" w:hAnsi="Times New Roman" w:cs="Times New Roman"/>
          <w:i w:val="0"/>
          <w:iCs w:val="0"/>
          <w:noProof/>
          <w:sz w:val="24"/>
          <w:szCs w:val="24"/>
        </w:rPr>
        <w:t>1</w:t>
      </w:r>
      <w:r w:rsidR="00BF4203" w:rsidRPr="00AB6519">
        <w:rPr>
          <w:rFonts w:ascii="Times New Roman" w:hAnsi="Times New Roman" w:cs="Times New Roman"/>
          <w:i w:val="0"/>
          <w:iCs w:val="0"/>
          <w:sz w:val="24"/>
          <w:szCs w:val="24"/>
        </w:rPr>
        <w:fldChar w:fldCharType="end"/>
      </w:r>
      <w:r w:rsidRPr="00AB6519">
        <w:rPr>
          <w:rFonts w:ascii="Times New Roman" w:hAnsi="Times New Roman" w:cs="Times New Roman"/>
          <w:i w:val="0"/>
          <w:iCs w:val="0"/>
          <w:sz w:val="24"/>
          <w:szCs w:val="24"/>
        </w:rPr>
        <w:t xml:space="preserve"> Map of study site</w:t>
      </w:r>
    </w:p>
    <w:p w14:paraId="09412AC4" w14:textId="30937F9C" w:rsidR="00003445" w:rsidRPr="00576E48" w:rsidRDefault="00003445" w:rsidP="002445BC">
      <w:pPr>
        <w:pStyle w:val="Heading3"/>
        <w:spacing w:before="240" w:after="240" w:line="240" w:lineRule="auto"/>
        <w:rPr>
          <w:rFonts w:cs="Times New Roman"/>
          <w:b/>
          <w:bCs/>
        </w:rPr>
      </w:pPr>
      <w:r w:rsidRPr="00576E48">
        <w:rPr>
          <w:rFonts w:cs="Times New Roman"/>
          <w:b/>
          <w:bCs/>
        </w:rPr>
        <w:t>Data analysis</w:t>
      </w:r>
    </w:p>
    <w:p w14:paraId="713B66DE" w14:textId="4BA20333" w:rsidR="00980060" w:rsidRPr="002445BC" w:rsidRDefault="00390534"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The recorded data was entered into MS Excel sheets and statistically analyzed using IBM SPSS Statistics version 23 at a significance level of α = 0.05. Both mixed breeding</w:t>
      </w:r>
      <w:r w:rsidR="00144177" w:rsidRPr="002445BC">
        <w:rPr>
          <w:rFonts w:ascii="Times New Roman" w:hAnsi="Times New Roman" w:cs="Times New Roman"/>
          <w:sz w:val="24"/>
          <w:szCs w:val="24"/>
        </w:rPr>
        <w:t xml:space="preserve"> (positive for both vectors)</w:t>
      </w:r>
      <w:r w:rsidRPr="002445BC">
        <w:rPr>
          <w:rFonts w:ascii="Times New Roman" w:hAnsi="Times New Roman" w:cs="Times New Roman"/>
          <w:sz w:val="24"/>
          <w:szCs w:val="24"/>
        </w:rPr>
        <w:t xml:space="preserve"> premises and breeding </w:t>
      </w:r>
      <w:r w:rsidR="00232B1D" w:rsidRPr="002445BC">
        <w:rPr>
          <w:rFonts w:ascii="Times New Roman" w:hAnsi="Times New Roman" w:cs="Times New Roman"/>
          <w:sz w:val="24"/>
          <w:szCs w:val="24"/>
        </w:rPr>
        <w:t>habitats</w:t>
      </w:r>
      <w:r w:rsidRPr="002445BC">
        <w:rPr>
          <w:rFonts w:ascii="Times New Roman" w:hAnsi="Times New Roman" w:cs="Times New Roman"/>
          <w:sz w:val="24"/>
          <w:szCs w:val="24"/>
        </w:rPr>
        <w:t xml:space="preserve"> were not considered during the statistical analysis due to their low numbers.</w:t>
      </w:r>
      <w:r w:rsidR="00DF28A8">
        <w:rPr>
          <w:rFonts w:ascii="Times New Roman" w:hAnsi="Times New Roman" w:cs="Times New Roman"/>
          <w:sz w:val="24"/>
          <w:szCs w:val="24"/>
        </w:rPr>
        <w:t xml:space="preserve"> </w:t>
      </w:r>
      <w:r w:rsidR="007A7C32" w:rsidRPr="002445BC">
        <w:rPr>
          <w:rFonts w:ascii="Times New Roman" w:hAnsi="Times New Roman" w:cs="Times New Roman"/>
          <w:sz w:val="24"/>
          <w:szCs w:val="24"/>
        </w:rPr>
        <w:t>Pupae-per-House I</w:t>
      </w:r>
      <w:r w:rsidR="00B83C3C" w:rsidRPr="002445BC">
        <w:rPr>
          <w:rFonts w:ascii="Times New Roman" w:hAnsi="Times New Roman" w:cs="Times New Roman"/>
          <w:sz w:val="24"/>
          <w:szCs w:val="24"/>
        </w:rPr>
        <w:t>ndex (PHI)</w:t>
      </w:r>
      <w:r w:rsidR="00E7791A" w:rsidRPr="002445BC">
        <w:rPr>
          <w:rFonts w:ascii="Times New Roman" w:hAnsi="Times New Roman" w:cs="Times New Roman"/>
          <w:sz w:val="24"/>
          <w:szCs w:val="24"/>
        </w:rPr>
        <w:t xml:space="preserve"> and Pupal </w:t>
      </w:r>
      <w:r w:rsidR="001029B4" w:rsidRPr="002445BC">
        <w:rPr>
          <w:rFonts w:ascii="Times New Roman" w:hAnsi="Times New Roman" w:cs="Times New Roman"/>
          <w:sz w:val="24"/>
          <w:szCs w:val="24"/>
        </w:rPr>
        <w:t>per Person Index (PP</w:t>
      </w:r>
      <w:r w:rsidR="00E7791A" w:rsidRPr="002445BC">
        <w:rPr>
          <w:rFonts w:ascii="Times New Roman" w:hAnsi="Times New Roman" w:cs="Times New Roman"/>
          <w:sz w:val="24"/>
          <w:szCs w:val="24"/>
        </w:rPr>
        <w:t>I)</w:t>
      </w:r>
      <w:r w:rsidR="00B83C3C" w:rsidRPr="002445BC">
        <w:rPr>
          <w:rFonts w:ascii="Times New Roman" w:hAnsi="Times New Roman" w:cs="Times New Roman"/>
          <w:sz w:val="24"/>
          <w:szCs w:val="24"/>
        </w:rPr>
        <w:t xml:space="preserve"> </w:t>
      </w:r>
      <w:r w:rsidR="00E7791A" w:rsidRPr="002445BC">
        <w:rPr>
          <w:rFonts w:ascii="Times New Roman" w:hAnsi="Times New Roman" w:cs="Times New Roman"/>
          <w:sz w:val="24"/>
          <w:szCs w:val="24"/>
        </w:rPr>
        <w:t>wer</w:t>
      </w:r>
      <w:r w:rsidR="001E065A" w:rsidRPr="002445BC">
        <w:rPr>
          <w:rFonts w:ascii="Times New Roman" w:hAnsi="Times New Roman" w:cs="Times New Roman"/>
          <w:sz w:val="24"/>
          <w:szCs w:val="24"/>
        </w:rPr>
        <w:t xml:space="preserve">e calculated </w:t>
      </w:r>
      <w:r w:rsidR="001029B4" w:rsidRPr="002445BC">
        <w:rPr>
          <w:rFonts w:ascii="Times New Roman" w:hAnsi="Times New Roman" w:cs="Times New Roman"/>
          <w:sz w:val="24"/>
          <w:szCs w:val="24"/>
        </w:rPr>
        <w:t>as Pupal demographic indexes.</w:t>
      </w:r>
      <w:r w:rsidR="00C3061E" w:rsidRPr="002445BC">
        <w:rPr>
          <w:rFonts w:ascii="Times New Roman" w:hAnsi="Times New Roman" w:cs="Times New Roman"/>
          <w:sz w:val="24"/>
          <w:szCs w:val="24"/>
        </w:rPr>
        <w:t xml:space="preserve"> </w:t>
      </w:r>
      <w:r w:rsidR="001E065A" w:rsidRPr="002445BC">
        <w:rPr>
          <w:rFonts w:ascii="Times New Roman" w:hAnsi="Times New Roman" w:cs="Times New Roman"/>
          <w:sz w:val="24"/>
          <w:szCs w:val="24"/>
        </w:rPr>
        <w:t>PHI was calculated</w:t>
      </w:r>
      <w:r w:rsidR="001029B4" w:rsidRPr="002445BC">
        <w:rPr>
          <w:rFonts w:ascii="Times New Roman" w:hAnsi="Times New Roman" w:cs="Times New Roman"/>
          <w:sz w:val="24"/>
          <w:szCs w:val="24"/>
        </w:rPr>
        <w:t xml:space="preserve"> as</w:t>
      </w:r>
      <w:r w:rsidR="002441C5" w:rsidRPr="002445BC">
        <w:rPr>
          <w:rFonts w:ascii="Times New Roman" w:hAnsi="Times New Roman" w:cs="Times New Roman"/>
          <w:sz w:val="24"/>
          <w:szCs w:val="24"/>
        </w:rPr>
        <w:t xml:space="preserve"> total number of pupae found, divided by the total number of households inspected</w:t>
      </w:r>
      <w:r w:rsidR="001029B4" w:rsidRPr="002445BC">
        <w:rPr>
          <w:rFonts w:ascii="Times New Roman" w:hAnsi="Times New Roman" w:cs="Times New Roman"/>
          <w:sz w:val="24"/>
          <w:szCs w:val="24"/>
        </w:rPr>
        <w:t xml:space="preserve"> </w:t>
      </w:r>
      <w:r w:rsidR="002441C5" w:rsidRPr="002445BC">
        <w:rPr>
          <w:rFonts w:ascii="Times New Roman" w:hAnsi="Times New Roman" w:cs="Times New Roman"/>
          <w:sz w:val="24"/>
          <w:szCs w:val="24"/>
        </w:rPr>
        <w:t xml:space="preserve"> </w:t>
      </w:r>
      <w:r w:rsidR="002441C5"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{"citationItems":[{"id":"ITEM-1","itemData":{"DOI":"10.1371/journal.pntd.0008768","ISBN":"1111111111","abstract":"Background","author":[{"dropping-particle":"","family":"Morales-Pé Rez Id","given":"Arcadio","non-dropping-particle":"","parse-names":false,"suffix":""},{"dropping-particle":"","family":"Nava-Aguilera","given":"Elizabeth","non-dropping-particle":"","parse-names":false,"suffix":""},{"dropping-particle":"","family":"Herná Ndez-Alvarez","given":"Carlos","non-dropping-particle":"","parse-names":false,"suffix":""},{"dropping-particle":"","family":"Alvarado-Castro","given":"Manuel","non-dropping-particle":"","parse-names":false,"suffix":""},{"dropping-particle":"","family":"Arosteguí","given":"Jorge","non-dropping-particle":"","parse-names":false,"suffix":""},{"dropping-particle":"","family":"Legorreta-Soberanis","given":"José","non-dropping-particle":"","parse-names":false,"suffix":""},{"dropping-particle":"","family":"Flores-Moreno","given":"Miguel","non-dropping-particle":"","parse-names":false,"suffix":""},{"dropping-particle":"","family":"Morales-Nava","given":"Liliana","non-dropping-particle":"","parse-names":false,"suffix":""},{"dropping-particle":"","family":"Harris","given":"Eva","non-dropping-particle":"","parse-names":false,"suffix":""},{"dropping-particle":"","family":"Ledogar","given":"Robert J","non-dropping-particle":"","parse-names":false,"suffix":""},{"dropping-particle":"","family":"Andersson","given":"Neil","non-dropping-particle":"","parse-names":false,"suffix":""},{"dropping-particle":"","family":"Cockcroft","given":"Anne","non-dropping-particle":"","parse-names":false,"suffix":""}],"id":"ITEM-1","issued":{"date-parts":[["0"]]},"title":"Utility of entomological indices for predicting transmission of dengue virus: secondary analysis of data from the Camino Verde trial in Mexico and Nicaragua","type":"article-journal"},"uris":["http://www.mendeley.com/documents/?uuid=ad955334-2c07-3b51-aa6f-b5c158d6ea3b"]}],"mendeley":{"formattedCitation":"(Morales-Pé Rez Id et al., n.d.)","plainTextFormattedCitation":"(Morales-Pé Rez Id et al., n.d.)","previouslyFormattedCitation":"(Morales-Pé Rez Id et al., n.d.)"},"properties":{"noteIndex":0},"schema":"https://github.com/citation-style-language/schema/raw/master/csl-citation.json"}</w:instrText>
      </w:r>
      <w:r w:rsidR="002441C5"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(Morales-Pé Rez Id et al., n.d.)</w:t>
      </w:r>
      <w:r w:rsidR="002441C5" w:rsidRPr="002445BC">
        <w:rPr>
          <w:rFonts w:ascii="Times New Roman" w:hAnsi="Times New Roman" w:cs="Times New Roman"/>
          <w:sz w:val="24"/>
          <w:szCs w:val="24"/>
        </w:rPr>
        <w:fldChar w:fldCharType="end"/>
      </w:r>
      <w:r w:rsidR="002441C5" w:rsidRPr="002445BC">
        <w:rPr>
          <w:rFonts w:ascii="Times New Roman" w:hAnsi="Times New Roman" w:cs="Times New Roman"/>
          <w:sz w:val="24"/>
          <w:szCs w:val="24"/>
        </w:rPr>
        <w:t xml:space="preserve"> </w:t>
      </w:r>
      <w:r w:rsidR="001029B4" w:rsidRPr="002445BC">
        <w:rPr>
          <w:rFonts w:ascii="Times New Roman" w:hAnsi="Times New Roman" w:cs="Times New Roman"/>
          <w:sz w:val="24"/>
          <w:szCs w:val="24"/>
        </w:rPr>
        <w:t>and PP</w:t>
      </w:r>
      <w:r w:rsidR="001E065A" w:rsidRPr="002445BC">
        <w:rPr>
          <w:rFonts w:ascii="Times New Roman" w:hAnsi="Times New Roman" w:cs="Times New Roman"/>
          <w:sz w:val="24"/>
          <w:szCs w:val="24"/>
        </w:rPr>
        <w:t xml:space="preserve">I was calculated as the total number of </w:t>
      </w:r>
      <w:r w:rsidR="00BF602E" w:rsidRPr="002445BC">
        <w:rPr>
          <w:rFonts w:ascii="Times New Roman" w:hAnsi="Times New Roman" w:cs="Times New Roman"/>
          <w:sz w:val="24"/>
          <w:szCs w:val="24"/>
        </w:rPr>
        <w:t xml:space="preserve">recorded </w:t>
      </w:r>
      <w:r w:rsidR="001029B4" w:rsidRPr="002445BC">
        <w:rPr>
          <w:rFonts w:ascii="Times New Roman" w:hAnsi="Times New Roman" w:cs="Times New Roman"/>
          <w:sz w:val="24"/>
          <w:szCs w:val="24"/>
        </w:rPr>
        <w:t>pupae</w:t>
      </w:r>
      <w:r w:rsidR="001E065A" w:rsidRPr="002445BC">
        <w:rPr>
          <w:rFonts w:ascii="Times New Roman" w:hAnsi="Times New Roman" w:cs="Times New Roman"/>
          <w:sz w:val="24"/>
          <w:szCs w:val="24"/>
        </w:rPr>
        <w:t xml:space="preserve">, divided by the total population of the inspected households </w:t>
      </w:r>
      <w:r w:rsidR="00E7791A"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{"citationItems":[{"id":"ITEM-1","itemData":{"DOI":"10.1186/S12889-017-4294-8/TABLES/5","ISSN":"14712458","PMID":"28699555","abstract":"Background: The follow-up survey of a cluster-randomised controlled trial of evidence-based community mobilisation for dengue control in Nicaragua and Mexico included entomological information from the 2012 rainy and dry seasons. We used data from the Mexican arm of the trial to assess the impact of the community action on pupal production of the dengue vector Aedes aegypti in both rainy and dry seasons. Methods: Trained field workers inspected household water containers in 90 clusters and collected any pupae or larvae present for entomological examination. We calculated indices of pupae per person and pupae per household, and traditional entomological indices of container index, household index and Breteau index, and compared these between rainy and dry seasons and between intervention and control clusters, using a cluster t-test to test significance of differences. Results: In 11,933 houses in the rainy season, we inspected 40,323 containers and found 7070 Aedes aegypti pupae. In the dry season, we inspected 43,461 containers and counted 6552 pupae. All pupae and entomological indices were lower in the intervention clusters (IC) than in control clusters (CC) in both the rainy season (RS) and the dry season (DS): pupae per container 0.12 IC and 0.24 CC in RS, and 0.10 IC and 0.20 CC in DS; pupae per household 0.46 IC and 0.82 CC in RS, and 0.41 IC and 0.83 CC in DS; pupae per person 0.11 IC and 0.19 CC in RS, and 0.10 IC and 0.20 CC in DS; household index 16% IC and 21% CC in RS, and 12.1% IC and 17.9% CC in DS; container index 7.5% IC and 11.5% CC in RS, and 4.6% IC and 7.1% CC in DS; Breteau index 27% IC and 36% CC in RS, and 19% IC and 29% CC in DS. All differences between the intervention and control clusters were statistically significant, taking into account clustering. Conclusions: The trial intervention led to significant decreases in pupal and conventional entomological indices in both rainy and dry seasons. Trial registration: ISRCTN27581154.","author":[{"dropping-particle":"","family":"Jiménez-Alejo","given":"Abel","non-dropping-particle":"","parse-names":false,"suffix":""},{"dropping-particle":"","family":"Morales-Pérez","given":"Arcadio","non-dropping-particle":"","parse-names":false,"suffix":""},{"dropping-particle":"","family":"Nava-Aguilera","given":"Elizabeth","non-dropping-particle":"","parse-names":false,"suffix":""},{"dropping-particle":"","family":"Flores-Moreno","given":"Miguel","non-dropping-particle":"","parse-names":false,"suffix":""},{"dropping-particle":"","family":"Apreza-Aguilar","given":"Sinahí","non-dropping-particle":"","parse-names":false,"suffix":""},{"dropping-particle":"","family":"Carranza-Alcaraz","given":"Wilhelm","non-dropping-particle":"","parse-names":false,"suffix":""},{"dropping-particle":"","family":"Cortés-Guzmán","given":"Antonio Juan","non-dropping-particle":"","parse-names":false,"suffix":""},{"dropping-particle":"","family":"Fernández-Salas","given":"Ildefonso","non-dropping-particle":"","parse-names":false,"suffix":""},{"dropping-particle":"","family":"Ledogar","given":"Robert J.","non-dropping-particle":"","parse-names":false,"suffix":""},{"dropping-particle":"","family":"Cockcroft","given":"Anne","non-dropping-particle":"","parse-names":false,"suffix":""},{"dropping-particle":"","family":"Andersson","given":"Neil","non-dropping-particle":"","parse-names":false,"suffix":""}],"container-title":"BMC Public Health","id":"ITEM-1","issue":"1","issued":{"date-parts":[["2017","5","30"]]},"page":"71-78","publisher":"BioMed Central Ltd.","title":"Pupal productivity in rainy and dry seasons: Findings from the impact survey of a randomised controlled trial of dengue prevention in Guerrero, Mexico","type":"article-journal","volume":"17"},"uris":["http://www.mendeley.com/documents/?uuid=2befd6e4-2af1-30f9-bbae-ccb9be0405de"]}],"mendeley":{"formattedCitation":"(Jiménez-Alejo et al., 2017)","plainTextFormattedCitation":"(Jiménez-Alejo et al., 2017)","previouslyFormattedCitation":"(Jiménez-Alejo et al., 2017)"},"properties":{"noteIndex":0},"schema":"https://github.com/citation-style-language/schema/raw/master/csl-citation.json"}</w:instrText>
      </w:r>
      <w:r w:rsidR="00E7791A"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(Jiménez-Alejo et al., 2017)</w:t>
      </w:r>
      <w:r w:rsidR="00E7791A" w:rsidRPr="002445BC">
        <w:rPr>
          <w:rFonts w:ascii="Times New Roman" w:hAnsi="Times New Roman" w:cs="Times New Roman"/>
          <w:sz w:val="24"/>
          <w:szCs w:val="24"/>
        </w:rPr>
        <w:fldChar w:fldCharType="end"/>
      </w:r>
      <w:r w:rsidR="007A7C32" w:rsidRPr="002445BC">
        <w:rPr>
          <w:rFonts w:ascii="Times New Roman" w:hAnsi="Times New Roman" w:cs="Times New Roman"/>
          <w:sz w:val="24"/>
          <w:szCs w:val="24"/>
        </w:rPr>
        <w:t>.</w:t>
      </w:r>
      <w:r w:rsidR="007A7C32" w:rsidRPr="002445BC">
        <w:rPr>
          <w:rFonts w:ascii="Times New Roman" w:eastAsiaTheme="minorEastAsia" w:hAnsi="Times New Roman" w:cs="Times New Roman"/>
          <w:sz w:val="24"/>
          <w:szCs w:val="24"/>
        </w:rPr>
        <w:t xml:space="preserve"> </w:t>
      </w:r>
      <w:r w:rsidR="00003445" w:rsidRPr="002445BC">
        <w:rPr>
          <w:rFonts w:ascii="Times New Roman" w:eastAsiaTheme="minorEastAsia" w:hAnsi="Times New Roman" w:cs="Times New Roman"/>
          <w:sz w:val="24"/>
          <w:szCs w:val="24"/>
        </w:rPr>
        <w:t>Comparison of demographic indexes</w:t>
      </w:r>
      <w:r w:rsidR="00C3061E" w:rsidRPr="002445BC">
        <w:rPr>
          <w:rFonts w:ascii="Times New Roman" w:eastAsiaTheme="minorEastAsia" w:hAnsi="Times New Roman" w:cs="Times New Roman"/>
          <w:sz w:val="24"/>
          <w:szCs w:val="24"/>
        </w:rPr>
        <w:t xml:space="preserve"> for both species were done </w:t>
      </w:r>
      <w:r w:rsidR="00003445" w:rsidRPr="002445BC">
        <w:rPr>
          <w:rFonts w:ascii="Times New Roman" w:eastAsiaTheme="minorEastAsia" w:hAnsi="Times New Roman" w:cs="Times New Roman"/>
          <w:sz w:val="24"/>
          <w:szCs w:val="24"/>
        </w:rPr>
        <w:t>using</w:t>
      </w:r>
      <w:r w:rsidR="00C3061E" w:rsidRPr="002445BC">
        <w:rPr>
          <w:rFonts w:ascii="Times New Roman" w:eastAsiaTheme="minorEastAsia" w:hAnsi="Times New Roman" w:cs="Times New Roman"/>
          <w:sz w:val="24"/>
          <w:szCs w:val="24"/>
        </w:rPr>
        <w:t xml:space="preserve"> Mann Whitney U test.</w:t>
      </w:r>
      <w:r w:rsidR="00F72286" w:rsidRPr="002445BC">
        <w:rPr>
          <w:rFonts w:ascii="Times New Roman" w:eastAsiaTheme="minorEastAsia" w:hAnsi="Times New Roman" w:cs="Times New Roman"/>
          <w:sz w:val="24"/>
          <w:szCs w:val="24"/>
        </w:rPr>
        <w:t xml:space="preserve"> </w:t>
      </w:r>
    </w:p>
    <w:p w14:paraId="33813854" w14:textId="6FB0497E" w:rsidR="00CE177D" w:rsidRPr="002445BC" w:rsidRDefault="007A7C32" w:rsidP="00B80829">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Index of A</w:t>
      </w:r>
      <w:r w:rsidR="00BF602E" w:rsidRPr="002445BC">
        <w:rPr>
          <w:rFonts w:ascii="Times New Roman" w:hAnsi="Times New Roman" w:cs="Times New Roman"/>
          <w:sz w:val="24"/>
          <w:szCs w:val="24"/>
        </w:rPr>
        <w:t xml:space="preserve">vailable Breeding </w:t>
      </w:r>
      <w:r w:rsidR="00CA7B46" w:rsidRPr="002445BC">
        <w:rPr>
          <w:rFonts w:ascii="Times New Roman" w:hAnsi="Times New Roman" w:cs="Times New Roman"/>
          <w:sz w:val="24"/>
          <w:szCs w:val="24"/>
        </w:rPr>
        <w:t>Habitats</w:t>
      </w:r>
      <w:r w:rsidR="00BF602E" w:rsidRPr="002445BC">
        <w:rPr>
          <w:rFonts w:ascii="Times New Roman" w:hAnsi="Times New Roman" w:cs="Times New Roman"/>
          <w:sz w:val="24"/>
          <w:szCs w:val="24"/>
        </w:rPr>
        <w:t xml:space="preserve"> (IAB</w:t>
      </w:r>
      <w:r w:rsidR="00CA7B46" w:rsidRPr="002445BC">
        <w:rPr>
          <w:rFonts w:ascii="Times New Roman" w:hAnsi="Times New Roman" w:cs="Times New Roman"/>
          <w:sz w:val="24"/>
          <w:szCs w:val="24"/>
        </w:rPr>
        <w:t>H</w:t>
      </w:r>
      <w:r w:rsidR="00BF602E" w:rsidRPr="002445BC">
        <w:rPr>
          <w:rFonts w:ascii="Times New Roman" w:hAnsi="Times New Roman" w:cs="Times New Roman"/>
          <w:sz w:val="24"/>
          <w:szCs w:val="24"/>
        </w:rPr>
        <w:t xml:space="preserve">) and </w:t>
      </w:r>
      <w:r w:rsidRPr="002445BC">
        <w:rPr>
          <w:rFonts w:ascii="Times New Roman" w:hAnsi="Times New Roman" w:cs="Times New Roman"/>
          <w:sz w:val="24"/>
          <w:szCs w:val="24"/>
        </w:rPr>
        <w:t>Index of C</w:t>
      </w:r>
      <w:r w:rsidR="004F3E42" w:rsidRPr="002445BC">
        <w:rPr>
          <w:rFonts w:ascii="Times New Roman" w:hAnsi="Times New Roman" w:cs="Times New Roman"/>
          <w:sz w:val="24"/>
          <w:szCs w:val="24"/>
        </w:rPr>
        <w:t xml:space="preserve">ontribution to Breeding </w:t>
      </w:r>
      <w:r w:rsidR="00CA7B46" w:rsidRPr="002445BC">
        <w:rPr>
          <w:rFonts w:ascii="Times New Roman" w:hAnsi="Times New Roman" w:cs="Times New Roman"/>
          <w:sz w:val="24"/>
          <w:szCs w:val="24"/>
        </w:rPr>
        <w:t xml:space="preserve">habitats </w:t>
      </w:r>
      <w:r w:rsidRPr="002445BC">
        <w:rPr>
          <w:rFonts w:ascii="Times New Roman" w:hAnsi="Times New Roman" w:cs="Times New Roman"/>
          <w:sz w:val="24"/>
          <w:szCs w:val="24"/>
        </w:rPr>
        <w:t>(ICB</w:t>
      </w:r>
      <w:r w:rsidR="00CA7B46" w:rsidRPr="002445BC">
        <w:rPr>
          <w:rFonts w:ascii="Times New Roman" w:hAnsi="Times New Roman" w:cs="Times New Roman"/>
          <w:sz w:val="24"/>
          <w:szCs w:val="24"/>
        </w:rPr>
        <w:t>H</w:t>
      </w:r>
      <w:r w:rsidRPr="002445BC">
        <w:rPr>
          <w:rFonts w:ascii="Times New Roman" w:hAnsi="Times New Roman" w:cs="Times New Roman"/>
          <w:sz w:val="24"/>
          <w:szCs w:val="24"/>
        </w:rPr>
        <w:t xml:space="preserve">), </w:t>
      </w:r>
      <w:r w:rsidR="00BF602E" w:rsidRPr="002445BC">
        <w:rPr>
          <w:rFonts w:ascii="Times New Roman" w:hAnsi="Times New Roman" w:cs="Times New Roman"/>
          <w:sz w:val="24"/>
          <w:szCs w:val="24"/>
        </w:rPr>
        <w:t xml:space="preserve">for each breeding </w:t>
      </w:r>
      <w:r w:rsidR="00232B1D" w:rsidRPr="002445BC">
        <w:rPr>
          <w:rFonts w:ascii="Times New Roman" w:hAnsi="Times New Roman" w:cs="Times New Roman"/>
          <w:sz w:val="24"/>
          <w:szCs w:val="24"/>
        </w:rPr>
        <w:t>habitats</w:t>
      </w:r>
      <w:r w:rsidR="00BF602E" w:rsidRPr="002445BC">
        <w:rPr>
          <w:rFonts w:ascii="Times New Roman" w:hAnsi="Times New Roman" w:cs="Times New Roman"/>
          <w:sz w:val="24"/>
          <w:szCs w:val="24"/>
        </w:rPr>
        <w:t xml:space="preserve"> were calculated to determine the</w:t>
      </w:r>
      <w:r w:rsidRPr="002445BC">
        <w:rPr>
          <w:rFonts w:ascii="Times New Roman" w:hAnsi="Times New Roman" w:cs="Times New Roman"/>
          <w:sz w:val="24"/>
          <w:szCs w:val="24"/>
        </w:rPr>
        <w:t xml:space="preserve"> </w:t>
      </w:r>
      <w:r w:rsidR="004F3E42" w:rsidRPr="002445BC">
        <w:rPr>
          <w:rFonts w:ascii="Times New Roman" w:hAnsi="Times New Roman" w:cs="Times New Roman"/>
          <w:sz w:val="24"/>
          <w:szCs w:val="24"/>
        </w:rPr>
        <w:t>Breeding Preference R</w:t>
      </w:r>
      <w:r w:rsidRPr="002445BC">
        <w:rPr>
          <w:rFonts w:ascii="Times New Roman" w:hAnsi="Times New Roman" w:cs="Times New Roman"/>
          <w:sz w:val="24"/>
          <w:szCs w:val="24"/>
        </w:rPr>
        <w:t>atio (BPR)</w:t>
      </w:r>
      <w:r w:rsidR="00F646F6" w:rsidRPr="002445BC">
        <w:rPr>
          <w:rFonts w:ascii="Times New Roman" w:hAnsi="Times New Roman" w:cs="Times New Roman"/>
          <w:sz w:val="24"/>
          <w:szCs w:val="24"/>
        </w:rPr>
        <w:t xml:space="preserve"> of both species</w:t>
      </w:r>
      <w:r w:rsidR="00227C06" w:rsidRPr="002445BC">
        <w:rPr>
          <w:rFonts w:ascii="Times New Roman" w:hAnsi="Times New Roman" w:cs="Times New Roman"/>
          <w:sz w:val="24"/>
          <w:szCs w:val="24"/>
        </w:rPr>
        <w:t xml:space="preserve"> </w:t>
      </w:r>
      <w:r w:rsidR="00227C06"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{"citationItems":[{"id":"ITEM-1","itemData":{"ISSN":"0019-5138","PMID":"12718342","abstract":"Entomological studies on relative prevalence and distribution of adults and immatures of Aedes aegypti were conducted in Rajahmundry town of Andhra Pradesh from December 1998 to November 1999. Adults and immature stages of Aedes aegypti were found in all the 22 localities viz; posh area (8), mixed area (8) and slum area (6) of the town. Larval indices were found to be higher in slum areas as compared to mixed or posh areas of the town. However, the larval habitats were observed to be similar in all localities. The larval indices were highest during monsoon and post-monsoon months. The breeding preference ratio (BPR) was highest for cement tubs followed by discarded tyres and barrels. The high larval indices of Aedes aegypti in these areas warrant intensification of vector surveillance activities along with source reduction and health education.","author":[{"dropping-particle":"","family":"Kumar","given":"R Ravi","non-dropping-particle":"","parse-names":false,"suffix":""},{"dropping-particle":"","family":"Kamal","given":"S","non-dropping-particle":"","parse-names":false,"suffix":""},{"dropping-particle":"","family":"Patnaik","given":"S K","non-dropping-particle":"","parse-names":false,"suffix":""},{"dropping-particle":"","family":"Sharma","given":"R C","non-dropping-particle":"","parse-names":false,"suffix":""}],"container-title":"The Journal of communicable diseases","id":"ITEM-1","issue":"1","issued":{"date-parts":[["2002","3"]]},"page":"50-8","title":"Breeding habitats and larval indices of Aedes aegypti (L) in residential areas of Rajahmundry town, Andhra Pradesh.","type":"article-journal","volume":"34"},"uris":["http://www.mendeley.com/documents/?uuid=ea84fa5c-e18e-4ac8-899a-bebc71273314"]}],"mendeley":{"formattedCitation":"(Kumar et al., 2002)","plainTextFormattedCitation":"(Kumar et al., 2002)","previouslyFormattedCitation":"(Kumar et al., 2002)"},"properties":{"noteIndex":0},"schema":"https://github.com/citation-style-language/schema/raw/master/csl-citation.json"}</w:instrText>
      </w:r>
      <w:r w:rsidR="00227C06"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(Kumar et al., 2002)</w:t>
      </w:r>
      <w:r w:rsidR="00227C06" w:rsidRPr="002445BC">
        <w:rPr>
          <w:rFonts w:ascii="Times New Roman" w:hAnsi="Times New Roman" w:cs="Times New Roman"/>
          <w:sz w:val="24"/>
          <w:szCs w:val="24"/>
        </w:rPr>
        <w:fldChar w:fldCharType="end"/>
      </w:r>
      <w:r w:rsidRPr="002445BC">
        <w:rPr>
          <w:rFonts w:ascii="Times New Roman" w:hAnsi="Times New Roman" w:cs="Times New Roman"/>
          <w:sz w:val="24"/>
          <w:szCs w:val="24"/>
        </w:rPr>
        <w:t>.</w:t>
      </w:r>
      <w:r w:rsidR="00E75DBA" w:rsidRPr="002445BC">
        <w:rPr>
          <w:rFonts w:ascii="Times New Roman" w:hAnsi="Times New Roman" w:cs="Times New Roman"/>
          <w:sz w:val="24"/>
          <w:szCs w:val="24"/>
        </w:rPr>
        <w:t xml:space="preserve"> </w:t>
      </w:r>
      <w:r w:rsidR="008E09BB" w:rsidRPr="002445BC">
        <w:rPr>
          <w:rFonts w:ascii="Times New Roman" w:hAnsi="Times New Roman" w:cs="Times New Roman"/>
          <w:sz w:val="24"/>
          <w:szCs w:val="24"/>
        </w:rPr>
        <w:t xml:space="preserve">Pupal Productivity Percentage (PPP) for different container types (the total number of pupae in the container type, divided by the total number of pupae in all </w:t>
      </w:r>
      <w:r w:rsidR="008C5127" w:rsidRPr="002445BC">
        <w:rPr>
          <w:rFonts w:ascii="Times New Roman" w:hAnsi="Times New Roman" w:cs="Times New Roman"/>
          <w:sz w:val="24"/>
          <w:szCs w:val="24"/>
        </w:rPr>
        <w:t xml:space="preserve">breeding </w:t>
      </w:r>
      <w:r w:rsidR="00232B1D" w:rsidRPr="002445BC">
        <w:rPr>
          <w:rFonts w:ascii="Times New Roman" w:hAnsi="Times New Roman" w:cs="Times New Roman"/>
          <w:sz w:val="24"/>
          <w:szCs w:val="24"/>
        </w:rPr>
        <w:t>habitats</w:t>
      </w:r>
      <w:r w:rsidR="008E09BB" w:rsidRPr="002445BC">
        <w:rPr>
          <w:rFonts w:ascii="Times New Roman" w:hAnsi="Times New Roman" w:cs="Times New Roman"/>
          <w:sz w:val="24"/>
          <w:szCs w:val="24"/>
        </w:rPr>
        <w:t>, multiplied by 100)</w:t>
      </w:r>
      <w:r w:rsidR="00C605CC" w:rsidRPr="002445BC">
        <w:rPr>
          <w:rFonts w:ascii="Times New Roman" w:hAnsi="Times New Roman" w:cs="Times New Roman"/>
          <w:sz w:val="24"/>
          <w:szCs w:val="24"/>
        </w:rPr>
        <w:t xml:space="preserve"> </w:t>
      </w:r>
      <w:r w:rsidR="008E09BB" w:rsidRPr="002445BC">
        <w:rPr>
          <w:rFonts w:ascii="Times New Roman" w:hAnsi="Times New Roman" w:cs="Times New Roman"/>
          <w:sz w:val="24"/>
          <w:szCs w:val="24"/>
        </w:rPr>
        <w:t>were calculated</w:t>
      </w:r>
      <w:r w:rsidR="003A5489" w:rsidRPr="002445BC">
        <w:rPr>
          <w:rFonts w:ascii="Times New Roman" w:hAnsi="Times New Roman" w:cs="Times New Roman"/>
          <w:sz w:val="24"/>
          <w:szCs w:val="24"/>
        </w:rPr>
        <w:t xml:space="preserve"> </w:t>
      </w:r>
      <w:r w:rsidR="003A5489"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{"citationItems":[{"id":"ITEM-1","itemData":{"DOI":"10.1186/S12889-017-4294-8/TABLES/5","ISSN":"14712458","PMID":"28699555","abstract":"Background: The follow-up survey of a cluster-randomised controlled trial of evidence-based community mobilisation for dengue control in Nicaragua and Mexico included entomological information from the 2012 rainy and dry seasons. We used data from the Mexican arm of the trial to assess the impact of the community action on pupal production of the dengue vector Aedes aegypti in both rainy and dry seasons. Methods: Trained field workers inspected household water containers in 90 clusters and collected any pupae or larvae present for entomological examination. We calculated indices of pupae per person and pupae per household, and traditional entomological indices of container index, household index and Breteau index, and compared these between rainy and dry seasons and between intervention and control clusters, using a cluster t-test to test significance of differences. Results: In 11,933 houses in the rainy season, we inspected 40,323 containers and found 7070 Aedes aegypti pupae. In the dry season, we inspected 43,461 containers and counted 6552 pupae. All pupae and entomological indices were lower in the intervention clusters (IC) than in control clusters (CC) in both the rainy season (RS) and the dry season (DS): pupae per container 0.12 IC and 0.24 CC in RS, and 0.10 IC and 0.20 CC in DS; pupae per household 0.46 IC and 0.82 CC in RS, and 0.41 IC and 0.83 CC in DS; pupae per person 0.11 IC and 0.19 CC in RS, and 0.10 IC and 0.20 CC in DS; household index 16% IC and 21% CC in RS, and 12.1% IC and 17.9% CC in DS; container index 7.5% IC and 11.5% CC in RS, and 4.6% IC and 7.1% CC in DS; Breteau index 27% IC and 36% CC in RS, and 19% IC and 29% CC in DS. All differences between the intervention and control clusters were statistically significant, taking into account clustering. Conclusions: The trial intervention led to significant decreases in pupal and conventional entomological indices in both rainy and dry seasons. Trial registration: ISRCTN27581154.","author":[{"dropping-particle":"","family":"Jiménez-Alejo","given":"Abel","non-dropping-particle":"","parse-names":false,"suffix":""},{"dropping-particle":"","family":"Morales-Pérez","given":"Arcadio","non-dropping-particle":"","parse-names":false,"suffix":""},{"dropping-particle":"","family":"Nava-Aguilera","given":"Elizabeth","non-dropping-particle":"","parse-names":false,"suffix":""},{"dropping-particle":"","family":"Flores-Moreno","given":"Miguel","non-dropping-particle":"","parse-names":false,"suffix":""},{"dropping-particle":"","family":"Apreza-Aguilar","given":"Sinahí","non-dropping-particle":"","parse-names":false,"suffix":""},{"dropping-particle":"","family":"Carranza-Alcaraz","given":"Wilhelm","non-dropping-particle":"","parse-names":false,"suffix":""},{"dropping-particle":"","family":"Cortés-Guzmán","given":"Antonio Juan","non-dropping-particle":"","parse-names":false,"suffix":""},{"dropping-particle":"","family":"Fernández-Salas","given":"Ildefonso","non-dropping-particle":"","parse-names":false,"suffix":""},{"dropping-particle":"","family":"Ledogar","given":"Robert J.","non-dropping-particle":"","parse-names":false,"suffix":""},{"dropping-particle":"","family":"Cockcroft","given":"Anne","non-dropping-particle":"","parse-names":false,"suffix":""},{"dropping-particle":"","family":"Andersson","given":"Neil","non-dropping-particle":"","parse-names":false,"suffix":""}],"container-title":"BMC Public Health","id":"ITEM-1","issue":"1","issued":{"date-parts":[["2017","5","30"]]},"page":"71-78","publisher":"BioMed Central Ltd.","title":"Pupal productivity in rainy and dry seasons: Findings from the impact survey of a randomised controlled trial of dengue prevention in Guerrero, Mexico","type":"article-journal","volume":"17"},"uris":["http://www.mendeley.com/documents/?uuid=2befd6e4-2af1-30f9-bbae-ccb9be0405de"]}],"mendeley":{"formattedCitation":"(Jiménez-Alejo et al., 2017)","plainTextFormattedCitation":"(Jiménez-Alejo et al., 2017)","previouslyFormattedCitation":"(Jiménez-Alejo et al., 2017)"},"properties":{"noteIndex":0},"schema":"https://github.com/citation-style-language/schema/raw/master/csl-citation.json"}</w:instrText>
      </w:r>
      <w:r w:rsidR="003A5489"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(Jiménez-Alejo et al., 2017)</w:t>
      </w:r>
      <w:r w:rsidR="003A5489" w:rsidRPr="002445BC">
        <w:rPr>
          <w:rFonts w:ascii="Times New Roman" w:hAnsi="Times New Roman" w:cs="Times New Roman"/>
          <w:sz w:val="24"/>
          <w:szCs w:val="24"/>
        </w:rPr>
        <w:fldChar w:fldCharType="end"/>
      </w:r>
      <w:r w:rsidR="00B80829">
        <w:rPr>
          <w:rFonts w:ascii="Times New Roman" w:hAnsi="Times New Roman" w:cs="Times New Roman"/>
          <w:sz w:val="24"/>
          <w:szCs w:val="24"/>
        </w:rPr>
        <w:t xml:space="preserve">. </w:t>
      </w:r>
      <w:r w:rsidR="00C605CC" w:rsidRPr="002445BC">
        <w:rPr>
          <w:rFonts w:ascii="Times New Roman" w:hAnsi="Times New Roman" w:cs="Times New Roman"/>
          <w:sz w:val="24"/>
          <w:szCs w:val="24"/>
        </w:rPr>
        <w:t>O</w:t>
      </w:r>
      <w:r w:rsidR="00B04205" w:rsidRPr="002445BC">
        <w:rPr>
          <w:rFonts w:ascii="Times New Roman" w:hAnsi="Times New Roman" w:cs="Times New Roman"/>
          <w:sz w:val="24"/>
          <w:szCs w:val="24"/>
        </w:rPr>
        <w:t xml:space="preserve">ne-way ANOVA was used to evaluate the relationship between breeding </w:t>
      </w:r>
      <w:r w:rsidR="00C61D12" w:rsidRPr="002445BC">
        <w:rPr>
          <w:rFonts w:ascii="Times New Roman" w:hAnsi="Times New Roman" w:cs="Times New Roman"/>
          <w:sz w:val="24"/>
          <w:szCs w:val="24"/>
        </w:rPr>
        <w:t>habitat</w:t>
      </w:r>
      <w:r w:rsidR="00B04205" w:rsidRPr="002445BC">
        <w:rPr>
          <w:rFonts w:ascii="Times New Roman" w:hAnsi="Times New Roman" w:cs="Times New Roman"/>
          <w:sz w:val="24"/>
          <w:szCs w:val="24"/>
        </w:rPr>
        <w:t xml:space="preserve"> variables, (types, locations, building materials, and sources of water) and </w:t>
      </w:r>
      <w:r w:rsidR="00F06E05" w:rsidRPr="002445BC">
        <w:rPr>
          <w:rFonts w:ascii="Times New Roman" w:hAnsi="Times New Roman" w:cs="Times New Roman"/>
          <w:sz w:val="24"/>
          <w:szCs w:val="24"/>
        </w:rPr>
        <w:t xml:space="preserve">pupal productivity </w:t>
      </w:r>
      <w:r w:rsidR="00B04205" w:rsidRPr="002445BC">
        <w:rPr>
          <w:rFonts w:ascii="Times New Roman" w:hAnsi="Times New Roman" w:cs="Times New Roman"/>
          <w:sz w:val="24"/>
          <w:szCs w:val="24"/>
        </w:rPr>
        <w:t xml:space="preserve">for both vectors. </w:t>
      </w:r>
      <w:r w:rsidR="003D6B02" w:rsidRPr="002445BC">
        <w:rPr>
          <w:rFonts w:ascii="Times New Roman" w:hAnsi="Times New Roman" w:cs="Times New Roman"/>
          <w:sz w:val="24"/>
          <w:szCs w:val="24"/>
        </w:rPr>
        <w:t xml:space="preserve">Difference between </w:t>
      </w:r>
      <w:r w:rsidR="00B04205" w:rsidRPr="002445BC">
        <w:rPr>
          <w:rFonts w:ascii="Times New Roman" w:hAnsi="Times New Roman" w:cs="Times New Roman"/>
          <w:sz w:val="24"/>
          <w:szCs w:val="24"/>
        </w:rPr>
        <w:t>the</w:t>
      </w:r>
      <w:r w:rsidR="003D6B02" w:rsidRPr="002445BC">
        <w:rPr>
          <w:rFonts w:ascii="Times New Roman" w:hAnsi="Times New Roman" w:cs="Times New Roman"/>
          <w:sz w:val="24"/>
          <w:szCs w:val="24"/>
        </w:rPr>
        <w:t xml:space="preserve"> measured water parameters of breeding </w:t>
      </w:r>
      <w:r w:rsidR="00101AED" w:rsidRPr="002445BC">
        <w:rPr>
          <w:rFonts w:ascii="Times New Roman" w:hAnsi="Times New Roman" w:cs="Times New Roman"/>
          <w:sz w:val="24"/>
          <w:szCs w:val="24"/>
        </w:rPr>
        <w:t>habitats</w:t>
      </w:r>
      <w:r w:rsidR="003D6B02" w:rsidRPr="002445BC">
        <w:rPr>
          <w:rFonts w:ascii="Times New Roman" w:hAnsi="Times New Roman" w:cs="Times New Roman"/>
          <w:sz w:val="24"/>
          <w:szCs w:val="24"/>
        </w:rPr>
        <w:t xml:space="preserve"> of the two species were analysed using independent sample T test and, correlation between physiochemical parameters and pupal </w:t>
      </w:r>
      <w:r w:rsidR="00101AED" w:rsidRPr="002445BC">
        <w:rPr>
          <w:rFonts w:ascii="Times New Roman" w:hAnsi="Times New Roman" w:cs="Times New Roman"/>
          <w:sz w:val="24"/>
          <w:szCs w:val="24"/>
        </w:rPr>
        <w:t>productivity</w:t>
      </w:r>
      <w:r w:rsidR="003D6B02" w:rsidRPr="002445BC">
        <w:rPr>
          <w:rFonts w:ascii="Times New Roman" w:hAnsi="Times New Roman" w:cs="Times New Roman"/>
          <w:sz w:val="24"/>
          <w:szCs w:val="24"/>
        </w:rPr>
        <w:t xml:space="preserve"> were checked using Pearson correlations.</w:t>
      </w:r>
    </w:p>
    <w:p w14:paraId="55D6DE7C" w14:textId="55AB594C" w:rsidR="00747C8F" w:rsidRPr="007476E0" w:rsidRDefault="007476E0" w:rsidP="007476E0">
      <w:pPr>
        <w:pStyle w:val="Heading2"/>
      </w:pPr>
      <w:r w:rsidRPr="007476E0">
        <w:lastRenderedPageBreak/>
        <w:t>RESULTS</w:t>
      </w:r>
    </w:p>
    <w:p w14:paraId="49B05853" w14:textId="786CD1FA" w:rsidR="00CF1950" w:rsidRPr="005A6883" w:rsidRDefault="00C136A7" w:rsidP="002445BC">
      <w:pPr>
        <w:spacing w:before="240" w:after="240" w:line="240" w:lineRule="auto"/>
        <w:rPr>
          <w:rFonts w:ascii="Times New Roman" w:hAnsi="Times New Roman" w:cs="Times New Roman"/>
          <w:b/>
          <w:bCs/>
          <w:sz w:val="24"/>
          <w:szCs w:val="24"/>
        </w:rPr>
      </w:pPr>
      <w:r w:rsidRPr="005A6883">
        <w:rPr>
          <w:rFonts w:ascii="Times New Roman" w:hAnsi="Times New Roman" w:cs="Times New Roman"/>
          <w:b/>
          <w:bCs/>
          <w:sz w:val="24"/>
          <w:szCs w:val="24"/>
        </w:rPr>
        <w:t xml:space="preserve">Analysis of </w:t>
      </w:r>
      <w:r w:rsidR="00CF1950" w:rsidRPr="005A6883">
        <w:rPr>
          <w:rFonts w:ascii="Times New Roman" w:hAnsi="Times New Roman" w:cs="Times New Roman"/>
          <w:b/>
          <w:bCs/>
          <w:sz w:val="24"/>
          <w:szCs w:val="24"/>
        </w:rPr>
        <w:t xml:space="preserve">Pupal </w:t>
      </w:r>
      <w:r w:rsidR="00427BE6" w:rsidRPr="005A6883">
        <w:rPr>
          <w:rFonts w:ascii="Times New Roman" w:hAnsi="Times New Roman" w:cs="Times New Roman"/>
          <w:b/>
          <w:bCs/>
          <w:sz w:val="24"/>
          <w:szCs w:val="24"/>
        </w:rPr>
        <w:t>Demographic</w:t>
      </w:r>
      <w:r w:rsidR="00227C06" w:rsidRPr="005A6883">
        <w:rPr>
          <w:rFonts w:ascii="Times New Roman" w:hAnsi="Times New Roman" w:cs="Times New Roman"/>
          <w:b/>
          <w:bCs/>
          <w:sz w:val="24"/>
          <w:szCs w:val="24"/>
        </w:rPr>
        <w:t xml:space="preserve"> </w:t>
      </w:r>
      <w:r w:rsidRPr="005A6883">
        <w:rPr>
          <w:rFonts w:ascii="Times New Roman" w:hAnsi="Times New Roman" w:cs="Times New Roman"/>
          <w:b/>
          <w:bCs/>
          <w:sz w:val="24"/>
          <w:szCs w:val="24"/>
        </w:rPr>
        <w:t>Data</w:t>
      </w:r>
    </w:p>
    <w:p w14:paraId="0D395494" w14:textId="77777777" w:rsidR="00270DF4" w:rsidRPr="002445BC" w:rsidRDefault="00270DF4"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A total of 2,400 premises were surveyed during the study period. Out of these, 3.29%</w:t>
      </w:r>
      <w:r w:rsidR="008D5285" w:rsidRPr="002445BC">
        <w:rPr>
          <w:rFonts w:ascii="Times New Roman" w:hAnsi="Times New Roman" w:cs="Times New Roman"/>
          <w:sz w:val="24"/>
          <w:szCs w:val="24"/>
        </w:rPr>
        <w:t xml:space="preserve"> (n=79)</w:t>
      </w:r>
      <w:r w:rsidRPr="002445BC">
        <w:rPr>
          <w:rFonts w:ascii="Times New Roman" w:hAnsi="Times New Roman" w:cs="Times New Roman"/>
          <w:sz w:val="24"/>
          <w:szCs w:val="24"/>
        </w:rPr>
        <w:t>, 6.91</w:t>
      </w:r>
      <w:r w:rsidR="008D5285" w:rsidRPr="002445BC">
        <w:rPr>
          <w:rFonts w:ascii="Times New Roman" w:hAnsi="Times New Roman" w:cs="Times New Roman"/>
          <w:sz w:val="24"/>
          <w:szCs w:val="24"/>
        </w:rPr>
        <w:t>% (n = 166)</w:t>
      </w:r>
      <w:r w:rsidRPr="002445BC">
        <w:rPr>
          <w:rFonts w:ascii="Times New Roman" w:hAnsi="Times New Roman" w:cs="Times New Roman"/>
          <w:sz w:val="24"/>
          <w:szCs w:val="24"/>
        </w:rPr>
        <w:t xml:space="preserve"> and 0.41%</w:t>
      </w:r>
      <w:r w:rsidR="008D5285" w:rsidRPr="002445BC">
        <w:rPr>
          <w:rFonts w:ascii="Times New Roman" w:hAnsi="Times New Roman" w:cs="Times New Roman"/>
          <w:sz w:val="24"/>
          <w:szCs w:val="24"/>
        </w:rPr>
        <w:t xml:space="preserve"> (n = 10) </w:t>
      </w:r>
      <w:r w:rsidRPr="002445BC">
        <w:rPr>
          <w:rFonts w:ascii="Times New Roman" w:hAnsi="Times New Roman" w:cs="Times New Roman"/>
          <w:sz w:val="24"/>
          <w:szCs w:val="24"/>
        </w:rPr>
        <w:t xml:space="preserve">were respectively positive </w:t>
      </w:r>
      <w:r w:rsidR="008D5285" w:rsidRPr="002445BC">
        <w:rPr>
          <w:rFonts w:ascii="Times New Roman" w:hAnsi="Times New Roman" w:cs="Times New Roman"/>
          <w:sz w:val="24"/>
          <w:szCs w:val="24"/>
        </w:rPr>
        <w:t>with</w:t>
      </w:r>
      <w:r w:rsidRPr="002445BC">
        <w:rPr>
          <w:rFonts w:ascii="Times New Roman" w:hAnsi="Times New Roman" w:cs="Times New Roman"/>
          <w:sz w:val="24"/>
          <w:szCs w:val="24"/>
        </w:rPr>
        <w:t xml:space="preserve"> immatures of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xml:space="preserve">, and both species. Among the premises positive with </w:t>
      </w:r>
      <w:r w:rsidRPr="002445BC">
        <w:rPr>
          <w:rFonts w:ascii="Times New Roman" w:hAnsi="Times New Roman" w:cs="Times New Roman"/>
          <w:i/>
          <w:iCs/>
          <w:sz w:val="24"/>
          <w:szCs w:val="24"/>
        </w:rPr>
        <w:t xml:space="preserve">Aedes </w:t>
      </w:r>
      <w:r w:rsidRPr="002445BC">
        <w:rPr>
          <w:rFonts w:ascii="Times New Roman" w:hAnsi="Times New Roman" w:cs="Times New Roman"/>
          <w:sz w:val="24"/>
          <w:szCs w:val="24"/>
        </w:rPr>
        <w:t>immatures</w:t>
      </w:r>
      <w:r w:rsidR="008D5285" w:rsidRPr="002445BC">
        <w:rPr>
          <w:rFonts w:ascii="Times New Roman" w:hAnsi="Times New Roman" w:cs="Times New Roman"/>
          <w:sz w:val="24"/>
          <w:szCs w:val="24"/>
        </w:rPr>
        <w:t xml:space="preserve">, </w:t>
      </w:r>
      <w:r w:rsidRPr="002445BC">
        <w:rPr>
          <w:rFonts w:ascii="Times New Roman" w:hAnsi="Times New Roman" w:cs="Times New Roman"/>
          <w:sz w:val="24"/>
          <w:szCs w:val="24"/>
        </w:rPr>
        <w:t>23.92%</w:t>
      </w:r>
      <w:r w:rsidR="008D5285" w:rsidRPr="002445BC">
        <w:rPr>
          <w:rFonts w:ascii="Times New Roman" w:hAnsi="Times New Roman" w:cs="Times New Roman"/>
          <w:sz w:val="24"/>
          <w:szCs w:val="24"/>
        </w:rPr>
        <w:t xml:space="preserve"> (n = 61) </w:t>
      </w:r>
      <w:r w:rsidRPr="002445BC">
        <w:rPr>
          <w:rFonts w:ascii="Times New Roman" w:hAnsi="Times New Roman" w:cs="Times New Roman"/>
          <w:sz w:val="24"/>
          <w:szCs w:val="24"/>
        </w:rPr>
        <w:t xml:space="preserve">also </w:t>
      </w:r>
      <w:r w:rsidR="008D5285" w:rsidRPr="002445BC">
        <w:rPr>
          <w:rFonts w:ascii="Times New Roman" w:hAnsi="Times New Roman" w:cs="Times New Roman"/>
          <w:sz w:val="24"/>
          <w:szCs w:val="24"/>
        </w:rPr>
        <w:t>were positive for</w:t>
      </w:r>
      <w:r w:rsidRPr="002445BC">
        <w:rPr>
          <w:rFonts w:ascii="Times New Roman" w:hAnsi="Times New Roman" w:cs="Times New Roman"/>
          <w:sz w:val="24"/>
          <w:szCs w:val="24"/>
        </w:rPr>
        <w:t xml:space="preserve"> </w:t>
      </w:r>
      <w:r w:rsidRPr="002445BC">
        <w:rPr>
          <w:rFonts w:ascii="Times New Roman" w:hAnsi="Times New Roman" w:cs="Times New Roman"/>
          <w:i/>
          <w:iCs/>
          <w:sz w:val="24"/>
          <w:szCs w:val="24"/>
        </w:rPr>
        <w:t xml:space="preserve">Aedes </w:t>
      </w:r>
      <w:r w:rsidRPr="002445BC">
        <w:rPr>
          <w:rFonts w:ascii="Times New Roman" w:hAnsi="Times New Roman" w:cs="Times New Roman"/>
          <w:sz w:val="24"/>
          <w:szCs w:val="24"/>
        </w:rPr>
        <w:t>pupae</w:t>
      </w:r>
      <w:r w:rsidRPr="002445BC">
        <w:rPr>
          <w:rFonts w:ascii="Times New Roman" w:hAnsi="Times New Roman" w:cs="Times New Roman"/>
          <w:i/>
          <w:iCs/>
          <w:sz w:val="24"/>
          <w:szCs w:val="24"/>
        </w:rPr>
        <w:t xml:space="preserve">. Ae. albopictus </w:t>
      </w:r>
      <w:r w:rsidRPr="002445BC">
        <w:rPr>
          <w:rFonts w:ascii="Times New Roman" w:hAnsi="Times New Roman" w:cs="Times New Roman"/>
          <w:sz w:val="24"/>
          <w:szCs w:val="24"/>
        </w:rPr>
        <w:t xml:space="preserve">showed significantly higher positivity rates than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in both the larval (U = 127.00, P = 0.001) and pupal (U = 178.00, P = 0.017) stages. The </w:t>
      </w:r>
      <w:r w:rsidR="008D5285" w:rsidRPr="002445BC">
        <w:rPr>
          <w:rFonts w:ascii="Times New Roman" w:hAnsi="Times New Roman" w:cs="Times New Roman"/>
          <w:sz w:val="24"/>
          <w:szCs w:val="24"/>
        </w:rPr>
        <w:t>PHI</w:t>
      </w:r>
      <w:r w:rsidRPr="002445BC">
        <w:rPr>
          <w:rFonts w:ascii="Times New Roman" w:hAnsi="Times New Roman" w:cs="Times New Roman"/>
          <w:sz w:val="24"/>
          <w:szCs w:val="24"/>
        </w:rPr>
        <w:t xml:space="preserve"> for both species was quite similar, with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at 0.16 and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xml:space="preserve"> at 0.17, without significant difference (U = 441.5, p = 0.071). The </w:t>
      </w:r>
      <w:r w:rsidR="008D5285" w:rsidRPr="002445BC">
        <w:rPr>
          <w:rFonts w:ascii="Times New Roman" w:hAnsi="Times New Roman" w:cs="Times New Roman"/>
          <w:sz w:val="24"/>
          <w:szCs w:val="24"/>
        </w:rPr>
        <w:t>PPI</w:t>
      </w:r>
      <w:r w:rsidRPr="002445BC">
        <w:rPr>
          <w:rFonts w:ascii="Times New Roman" w:hAnsi="Times New Roman" w:cs="Times New Roman"/>
          <w:sz w:val="24"/>
          <w:szCs w:val="24"/>
        </w:rPr>
        <w:t xml:space="preserve"> was 1.53 for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and 1.63 for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also without significant difference (U = 456.0, p = 0.932).</w:t>
      </w:r>
    </w:p>
    <w:p w14:paraId="6B6E5EDF" w14:textId="7933F057" w:rsidR="00227C06" w:rsidRPr="005A6883" w:rsidRDefault="00C136A7" w:rsidP="002445BC">
      <w:pPr>
        <w:spacing w:before="240" w:after="240" w:line="240" w:lineRule="auto"/>
        <w:jc w:val="both"/>
        <w:rPr>
          <w:rFonts w:ascii="Times New Roman" w:hAnsi="Times New Roman" w:cs="Times New Roman"/>
          <w:b/>
          <w:bCs/>
          <w:sz w:val="24"/>
          <w:szCs w:val="24"/>
        </w:rPr>
      </w:pPr>
      <w:r w:rsidRPr="005A6883">
        <w:rPr>
          <w:rFonts w:ascii="Times New Roman" w:hAnsi="Times New Roman" w:cs="Times New Roman"/>
          <w:b/>
          <w:bCs/>
          <w:sz w:val="24"/>
          <w:szCs w:val="24"/>
        </w:rPr>
        <w:t xml:space="preserve">Analysis of </w:t>
      </w:r>
      <w:r w:rsidR="00CF1950" w:rsidRPr="005A6883">
        <w:rPr>
          <w:rFonts w:ascii="Times New Roman" w:hAnsi="Times New Roman" w:cs="Times New Roman"/>
          <w:b/>
          <w:bCs/>
          <w:sz w:val="24"/>
          <w:szCs w:val="24"/>
        </w:rPr>
        <w:t xml:space="preserve">Breeding </w:t>
      </w:r>
      <w:r w:rsidR="00CA7B46" w:rsidRPr="005A6883">
        <w:rPr>
          <w:rFonts w:ascii="Times New Roman" w:hAnsi="Times New Roman" w:cs="Times New Roman"/>
          <w:b/>
          <w:bCs/>
          <w:sz w:val="24"/>
          <w:szCs w:val="24"/>
        </w:rPr>
        <w:t>habitat</w:t>
      </w:r>
      <w:r w:rsidR="00406CCD" w:rsidRPr="005A6883">
        <w:rPr>
          <w:rFonts w:ascii="Times New Roman" w:hAnsi="Times New Roman" w:cs="Times New Roman"/>
          <w:b/>
          <w:bCs/>
          <w:sz w:val="24"/>
          <w:szCs w:val="24"/>
        </w:rPr>
        <w:t>s</w:t>
      </w:r>
      <w:r w:rsidR="00227C06" w:rsidRPr="005A6883">
        <w:rPr>
          <w:rFonts w:ascii="Times New Roman" w:hAnsi="Times New Roman" w:cs="Times New Roman"/>
          <w:b/>
          <w:bCs/>
          <w:sz w:val="24"/>
          <w:szCs w:val="24"/>
        </w:rPr>
        <w:t xml:space="preserve"> </w:t>
      </w:r>
    </w:p>
    <w:p w14:paraId="043A7831" w14:textId="4EBE6ABF" w:rsidR="00270DF4" w:rsidRPr="002445BC" w:rsidRDefault="00FE4DDE"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Among the surveyed premises, total</w:t>
      </w:r>
      <w:r w:rsidR="00270DF4" w:rsidRPr="002445BC">
        <w:rPr>
          <w:rFonts w:ascii="Times New Roman" w:hAnsi="Times New Roman" w:cs="Times New Roman"/>
          <w:sz w:val="24"/>
          <w:szCs w:val="24"/>
        </w:rPr>
        <w:t xml:space="preserve"> of 1,480 potential </w:t>
      </w:r>
      <w:r w:rsidR="008C5127" w:rsidRPr="002445BC">
        <w:rPr>
          <w:rFonts w:ascii="Times New Roman" w:hAnsi="Times New Roman" w:cs="Times New Roman"/>
          <w:sz w:val="24"/>
          <w:szCs w:val="24"/>
        </w:rPr>
        <w:t xml:space="preserve">breeding </w:t>
      </w:r>
      <w:r w:rsidR="00CA7B46" w:rsidRPr="002445BC">
        <w:rPr>
          <w:rFonts w:ascii="Times New Roman" w:hAnsi="Times New Roman" w:cs="Times New Roman"/>
          <w:sz w:val="24"/>
          <w:szCs w:val="24"/>
        </w:rPr>
        <w:t>habitats</w:t>
      </w:r>
      <w:r w:rsidR="00270DF4" w:rsidRPr="002445BC">
        <w:rPr>
          <w:rFonts w:ascii="Times New Roman" w:hAnsi="Times New Roman" w:cs="Times New Roman"/>
          <w:sz w:val="24"/>
          <w:szCs w:val="24"/>
        </w:rPr>
        <w:t xml:space="preserve"> were recorded. Of these, </w:t>
      </w:r>
      <w:r w:rsidR="00420166" w:rsidRPr="002445BC">
        <w:rPr>
          <w:rFonts w:ascii="Times New Roman" w:hAnsi="Times New Roman" w:cs="Times New Roman"/>
          <w:sz w:val="24"/>
          <w:szCs w:val="24"/>
        </w:rPr>
        <w:t xml:space="preserve">85.54% (n = </w:t>
      </w:r>
      <w:r w:rsidR="00270DF4" w:rsidRPr="002445BC">
        <w:rPr>
          <w:rFonts w:ascii="Times New Roman" w:hAnsi="Times New Roman" w:cs="Times New Roman"/>
          <w:sz w:val="24"/>
          <w:szCs w:val="24"/>
        </w:rPr>
        <w:t>1,266</w:t>
      </w:r>
      <w:r w:rsidR="00420166" w:rsidRPr="002445BC">
        <w:rPr>
          <w:rFonts w:ascii="Times New Roman" w:hAnsi="Times New Roman" w:cs="Times New Roman"/>
          <w:sz w:val="24"/>
          <w:szCs w:val="24"/>
        </w:rPr>
        <w:t>)</w:t>
      </w:r>
      <w:r w:rsidR="00270DF4" w:rsidRPr="002445BC">
        <w:rPr>
          <w:rFonts w:ascii="Times New Roman" w:hAnsi="Times New Roman" w:cs="Times New Roman"/>
          <w:sz w:val="24"/>
          <w:szCs w:val="24"/>
        </w:rPr>
        <w:t xml:space="preserve"> were identified as water</w:t>
      </w:r>
      <w:r w:rsidR="00E363DB" w:rsidRPr="002445BC">
        <w:rPr>
          <w:rFonts w:ascii="Times New Roman" w:hAnsi="Times New Roman" w:cs="Times New Roman"/>
          <w:sz w:val="24"/>
          <w:szCs w:val="24"/>
        </w:rPr>
        <w:t xml:space="preserve"> holding (wet)</w:t>
      </w:r>
      <w:r w:rsidR="00270DF4" w:rsidRPr="002445BC">
        <w:rPr>
          <w:rFonts w:ascii="Times New Roman" w:hAnsi="Times New Roman" w:cs="Times New Roman"/>
          <w:sz w:val="24"/>
          <w:szCs w:val="24"/>
        </w:rPr>
        <w:t>, and</w:t>
      </w:r>
      <w:r w:rsidR="00420166" w:rsidRPr="002445BC">
        <w:rPr>
          <w:rFonts w:ascii="Times New Roman" w:hAnsi="Times New Roman" w:cs="Times New Roman"/>
          <w:sz w:val="24"/>
          <w:szCs w:val="24"/>
        </w:rPr>
        <w:t xml:space="preserve"> 21.55% (n =</w:t>
      </w:r>
      <w:r w:rsidR="00270DF4" w:rsidRPr="002445BC">
        <w:rPr>
          <w:rFonts w:ascii="Times New Roman" w:hAnsi="Times New Roman" w:cs="Times New Roman"/>
          <w:sz w:val="24"/>
          <w:szCs w:val="24"/>
        </w:rPr>
        <w:t xml:space="preserve"> 319</w:t>
      </w:r>
      <w:r w:rsidR="00420166" w:rsidRPr="002445BC">
        <w:rPr>
          <w:rFonts w:ascii="Times New Roman" w:hAnsi="Times New Roman" w:cs="Times New Roman"/>
          <w:sz w:val="24"/>
          <w:szCs w:val="24"/>
        </w:rPr>
        <w:t>)</w:t>
      </w:r>
      <w:r w:rsidRPr="002445BC">
        <w:rPr>
          <w:rFonts w:ascii="Times New Roman" w:hAnsi="Times New Roman" w:cs="Times New Roman"/>
          <w:sz w:val="24"/>
          <w:szCs w:val="24"/>
        </w:rPr>
        <w:t xml:space="preserve"> were positive</w:t>
      </w:r>
      <w:r w:rsidR="00270DF4" w:rsidRPr="002445BC">
        <w:rPr>
          <w:rFonts w:ascii="Times New Roman" w:hAnsi="Times New Roman" w:cs="Times New Roman"/>
          <w:sz w:val="24"/>
          <w:szCs w:val="24"/>
        </w:rPr>
        <w:t xml:space="preserve"> for </w:t>
      </w:r>
      <w:r w:rsidR="00270DF4" w:rsidRPr="002445BC">
        <w:rPr>
          <w:rFonts w:ascii="Times New Roman" w:hAnsi="Times New Roman" w:cs="Times New Roman"/>
          <w:i/>
          <w:iCs/>
          <w:sz w:val="24"/>
          <w:szCs w:val="24"/>
        </w:rPr>
        <w:t>Aedes</w:t>
      </w:r>
      <w:r w:rsidR="00270DF4" w:rsidRPr="002445BC">
        <w:rPr>
          <w:rFonts w:ascii="Times New Roman" w:hAnsi="Times New Roman" w:cs="Times New Roman"/>
          <w:sz w:val="24"/>
          <w:szCs w:val="24"/>
        </w:rPr>
        <w:t xml:space="preserve"> immatures. All recorded </w:t>
      </w:r>
      <w:r w:rsidR="008C5127" w:rsidRPr="002445BC">
        <w:rPr>
          <w:rFonts w:ascii="Times New Roman" w:hAnsi="Times New Roman" w:cs="Times New Roman"/>
          <w:sz w:val="24"/>
          <w:szCs w:val="24"/>
        </w:rPr>
        <w:t xml:space="preserve">breeding </w:t>
      </w:r>
      <w:r w:rsidR="00CA7B46" w:rsidRPr="002445BC">
        <w:rPr>
          <w:rFonts w:ascii="Times New Roman" w:hAnsi="Times New Roman" w:cs="Times New Roman"/>
          <w:sz w:val="24"/>
          <w:szCs w:val="24"/>
        </w:rPr>
        <w:t>habitats</w:t>
      </w:r>
      <w:r w:rsidR="00270DF4" w:rsidRPr="002445BC">
        <w:rPr>
          <w:rFonts w:ascii="Times New Roman" w:hAnsi="Times New Roman" w:cs="Times New Roman"/>
          <w:sz w:val="24"/>
          <w:szCs w:val="24"/>
        </w:rPr>
        <w:t xml:space="preserve"> were categorized into 12 categories to estimate container productivity (Annex 01). Temporary removed items had the highest </w:t>
      </w:r>
      <w:r w:rsidR="009C6852" w:rsidRPr="002445BC">
        <w:rPr>
          <w:rFonts w:ascii="Times New Roman" w:hAnsi="Times New Roman" w:cs="Times New Roman"/>
          <w:sz w:val="24"/>
          <w:szCs w:val="24"/>
        </w:rPr>
        <w:t>IAB</w:t>
      </w:r>
      <w:r w:rsidR="00CA7B46" w:rsidRPr="002445BC">
        <w:rPr>
          <w:rFonts w:ascii="Times New Roman" w:hAnsi="Times New Roman" w:cs="Times New Roman"/>
          <w:sz w:val="24"/>
          <w:szCs w:val="24"/>
        </w:rPr>
        <w:t>H</w:t>
      </w:r>
      <w:r w:rsidR="009C6852" w:rsidRPr="002445BC">
        <w:rPr>
          <w:rFonts w:ascii="Times New Roman" w:hAnsi="Times New Roman" w:cs="Times New Roman"/>
          <w:sz w:val="24"/>
          <w:szCs w:val="24"/>
        </w:rPr>
        <w:t xml:space="preserve"> </w:t>
      </w:r>
      <w:r w:rsidR="00270DF4" w:rsidRPr="002445BC">
        <w:rPr>
          <w:rFonts w:ascii="Times New Roman" w:hAnsi="Times New Roman" w:cs="Times New Roman"/>
          <w:sz w:val="24"/>
          <w:szCs w:val="24"/>
        </w:rPr>
        <w:t>(38.72) followed by discarded items (IAB</w:t>
      </w:r>
      <w:r w:rsidR="00CA7B46" w:rsidRPr="002445BC">
        <w:rPr>
          <w:rFonts w:ascii="Times New Roman" w:hAnsi="Times New Roman" w:cs="Times New Roman"/>
          <w:sz w:val="24"/>
          <w:szCs w:val="24"/>
        </w:rPr>
        <w:t>H</w:t>
      </w:r>
      <w:r w:rsidR="00270DF4" w:rsidRPr="002445BC">
        <w:rPr>
          <w:rFonts w:ascii="Times New Roman" w:hAnsi="Times New Roman" w:cs="Times New Roman"/>
          <w:sz w:val="24"/>
          <w:szCs w:val="24"/>
        </w:rPr>
        <w:t xml:space="preserve"> = 17.50) and water storage items (IAB</w:t>
      </w:r>
      <w:r w:rsidR="00CA7B46" w:rsidRPr="002445BC">
        <w:rPr>
          <w:rFonts w:ascii="Times New Roman" w:hAnsi="Times New Roman" w:cs="Times New Roman"/>
          <w:sz w:val="24"/>
          <w:szCs w:val="24"/>
        </w:rPr>
        <w:t>H</w:t>
      </w:r>
      <w:r w:rsidR="00270DF4" w:rsidRPr="002445BC">
        <w:rPr>
          <w:rFonts w:ascii="Times New Roman" w:hAnsi="Times New Roman" w:cs="Times New Roman"/>
          <w:sz w:val="24"/>
          <w:szCs w:val="24"/>
        </w:rPr>
        <w:t xml:space="preserve"> = 13.58) (Table 01). However, the highest </w:t>
      </w:r>
      <w:r w:rsidR="009C6852" w:rsidRPr="002445BC">
        <w:rPr>
          <w:rFonts w:ascii="Times New Roman" w:hAnsi="Times New Roman" w:cs="Times New Roman"/>
          <w:sz w:val="24"/>
          <w:szCs w:val="24"/>
        </w:rPr>
        <w:t>BPR</w:t>
      </w:r>
      <w:r w:rsidR="00270DF4" w:rsidRPr="002445BC">
        <w:rPr>
          <w:rFonts w:ascii="Times New Roman" w:hAnsi="Times New Roman" w:cs="Times New Roman"/>
          <w:sz w:val="24"/>
          <w:szCs w:val="24"/>
        </w:rPr>
        <w:t xml:space="preserve"> for </w:t>
      </w:r>
      <w:r w:rsidR="00270DF4" w:rsidRPr="002445BC">
        <w:rPr>
          <w:rFonts w:ascii="Times New Roman" w:hAnsi="Times New Roman" w:cs="Times New Roman"/>
          <w:i/>
          <w:iCs/>
          <w:sz w:val="24"/>
          <w:szCs w:val="24"/>
        </w:rPr>
        <w:t>Ae. aegypti</w:t>
      </w:r>
      <w:r w:rsidR="009C6852" w:rsidRPr="002445BC">
        <w:rPr>
          <w:rFonts w:ascii="Times New Roman" w:hAnsi="Times New Roman" w:cs="Times New Roman"/>
          <w:sz w:val="24"/>
          <w:szCs w:val="24"/>
        </w:rPr>
        <w:t xml:space="preserve"> was </w:t>
      </w:r>
      <w:r w:rsidRPr="002445BC">
        <w:rPr>
          <w:rFonts w:ascii="Times New Roman" w:hAnsi="Times New Roman" w:cs="Times New Roman"/>
          <w:sz w:val="24"/>
          <w:szCs w:val="24"/>
        </w:rPr>
        <w:t>recorded</w:t>
      </w:r>
      <w:r w:rsidR="009C6852" w:rsidRPr="002445BC">
        <w:rPr>
          <w:rFonts w:ascii="Times New Roman" w:hAnsi="Times New Roman" w:cs="Times New Roman"/>
          <w:sz w:val="24"/>
          <w:szCs w:val="24"/>
        </w:rPr>
        <w:t xml:space="preserve"> in tyre</w:t>
      </w:r>
      <w:r w:rsidR="00270DF4" w:rsidRPr="002445BC">
        <w:rPr>
          <w:rFonts w:ascii="Times New Roman" w:hAnsi="Times New Roman" w:cs="Times New Roman"/>
          <w:sz w:val="24"/>
          <w:szCs w:val="24"/>
        </w:rPr>
        <w:t xml:space="preserve"> and gutters, while for </w:t>
      </w:r>
      <w:r w:rsidR="00270DF4" w:rsidRPr="002445BC">
        <w:rPr>
          <w:rFonts w:ascii="Times New Roman" w:hAnsi="Times New Roman" w:cs="Times New Roman"/>
          <w:i/>
          <w:iCs/>
          <w:sz w:val="24"/>
          <w:szCs w:val="24"/>
        </w:rPr>
        <w:t>Ae. albopictus,</w:t>
      </w:r>
      <w:r w:rsidR="00270DF4" w:rsidRPr="002445BC">
        <w:rPr>
          <w:rFonts w:ascii="Times New Roman" w:hAnsi="Times New Roman" w:cs="Times New Roman"/>
          <w:sz w:val="24"/>
          <w:szCs w:val="24"/>
        </w:rPr>
        <w:t xml:space="preserve"> it was </w:t>
      </w:r>
      <w:r w:rsidR="00F72286" w:rsidRPr="002445BC">
        <w:rPr>
          <w:rFonts w:ascii="Times New Roman" w:hAnsi="Times New Roman" w:cs="Times New Roman"/>
          <w:sz w:val="24"/>
          <w:szCs w:val="24"/>
        </w:rPr>
        <w:t>recorded</w:t>
      </w:r>
      <w:r w:rsidR="00270DF4" w:rsidRPr="002445BC">
        <w:rPr>
          <w:rFonts w:ascii="Times New Roman" w:hAnsi="Times New Roman" w:cs="Times New Roman"/>
          <w:sz w:val="24"/>
          <w:szCs w:val="24"/>
        </w:rPr>
        <w:t xml:space="preserve"> in natural and ornamental items (</w:t>
      </w:r>
      <w:r w:rsidR="00144177" w:rsidRPr="002445BC">
        <w:rPr>
          <w:rFonts w:ascii="Times New Roman" w:hAnsi="Times New Roman" w:cs="Times New Roman"/>
          <w:sz w:val="24"/>
          <w:szCs w:val="24"/>
        </w:rPr>
        <w:t>Table 01</w:t>
      </w:r>
      <w:r w:rsidR="00270DF4" w:rsidRPr="002445BC">
        <w:rPr>
          <w:rFonts w:ascii="Times New Roman" w:hAnsi="Times New Roman" w:cs="Times New Roman"/>
          <w:sz w:val="24"/>
          <w:szCs w:val="24"/>
        </w:rPr>
        <w:t>).</w:t>
      </w:r>
    </w:p>
    <w:p w14:paraId="7BD45C8F" w14:textId="3762488C" w:rsidR="006A3D25" w:rsidRPr="002445BC" w:rsidRDefault="00494A4E"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Among the immature</w:t>
      </w:r>
      <w:r w:rsidR="00B77152" w:rsidRPr="002445BC">
        <w:rPr>
          <w:rFonts w:ascii="Times New Roman" w:hAnsi="Times New Roman" w:cs="Times New Roman"/>
          <w:sz w:val="24"/>
          <w:szCs w:val="24"/>
        </w:rPr>
        <w:t xml:space="preserve"> positive breeding habitats, 9.09% (n = 29), 14.11% (n= 45), and 0.31% (n=1) were positive for pupae of </w:t>
      </w:r>
      <w:r w:rsidR="00B77152" w:rsidRPr="002445BC">
        <w:rPr>
          <w:rFonts w:ascii="Times New Roman" w:hAnsi="Times New Roman" w:cs="Times New Roman"/>
          <w:i/>
          <w:iCs/>
          <w:sz w:val="24"/>
          <w:szCs w:val="24"/>
        </w:rPr>
        <w:t>Ae. aegypti</w:t>
      </w:r>
      <w:r w:rsidR="00B77152" w:rsidRPr="002445BC">
        <w:rPr>
          <w:rFonts w:ascii="Times New Roman" w:hAnsi="Times New Roman" w:cs="Times New Roman"/>
          <w:sz w:val="24"/>
          <w:szCs w:val="24"/>
        </w:rPr>
        <w:t xml:space="preserve">, </w:t>
      </w:r>
      <w:r w:rsidR="00B77152" w:rsidRPr="002445BC">
        <w:rPr>
          <w:rFonts w:ascii="Times New Roman" w:hAnsi="Times New Roman" w:cs="Times New Roman"/>
          <w:i/>
          <w:iCs/>
          <w:sz w:val="24"/>
          <w:szCs w:val="24"/>
        </w:rPr>
        <w:t>Ae. albopictus</w:t>
      </w:r>
      <w:r w:rsidR="00B77152" w:rsidRPr="002445BC">
        <w:rPr>
          <w:rFonts w:ascii="Times New Roman" w:hAnsi="Times New Roman" w:cs="Times New Roman"/>
          <w:sz w:val="24"/>
          <w:szCs w:val="24"/>
        </w:rPr>
        <w:t xml:space="preserve"> and both respectively. That is approximately 23.5%</w:t>
      </w:r>
      <w:r w:rsidR="00AF4C59" w:rsidRPr="002445BC">
        <w:rPr>
          <w:rFonts w:ascii="Times New Roman" w:hAnsi="Times New Roman" w:cs="Times New Roman"/>
          <w:sz w:val="24"/>
          <w:szCs w:val="24"/>
        </w:rPr>
        <w:t xml:space="preserve"> (n= 75)</w:t>
      </w:r>
      <w:r w:rsidR="00B77152" w:rsidRPr="002445BC">
        <w:rPr>
          <w:rFonts w:ascii="Times New Roman" w:hAnsi="Times New Roman" w:cs="Times New Roman"/>
          <w:sz w:val="24"/>
          <w:szCs w:val="24"/>
        </w:rPr>
        <w:t xml:space="preserve"> of bre</w:t>
      </w:r>
      <w:r w:rsidR="00FF2B8F" w:rsidRPr="002445BC">
        <w:rPr>
          <w:rFonts w:ascii="Times New Roman" w:hAnsi="Times New Roman" w:cs="Times New Roman"/>
          <w:sz w:val="24"/>
          <w:szCs w:val="24"/>
        </w:rPr>
        <w:t>eding habitats with larvae were</w:t>
      </w:r>
      <w:r w:rsidR="00B77152" w:rsidRPr="002445BC">
        <w:rPr>
          <w:rFonts w:ascii="Times New Roman" w:hAnsi="Times New Roman" w:cs="Times New Roman"/>
          <w:sz w:val="24"/>
          <w:szCs w:val="24"/>
        </w:rPr>
        <w:t xml:space="preserve"> positive with pupae of both species. </w:t>
      </w:r>
    </w:p>
    <w:p w14:paraId="191A5FDB" w14:textId="77777777" w:rsidR="006A3D25" w:rsidRPr="002445BC" w:rsidRDefault="006A3D25"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color w:val="1C1C1C"/>
          <w:sz w:val="24"/>
          <w:szCs w:val="24"/>
          <w:shd w:val="clear" w:color="auto" w:fill="FFFFFF"/>
        </w:rPr>
        <w:t xml:space="preserve">As same as the highest BPR, the highest pupal productivity of </w:t>
      </w:r>
      <w:r w:rsidRPr="002445BC">
        <w:rPr>
          <w:rFonts w:ascii="Times New Roman" w:hAnsi="Times New Roman" w:cs="Times New Roman"/>
          <w:i/>
          <w:iCs/>
          <w:color w:val="1C1C1C"/>
          <w:sz w:val="24"/>
          <w:szCs w:val="24"/>
          <w:shd w:val="clear" w:color="auto" w:fill="FFFFFF"/>
        </w:rPr>
        <w:t>Ae. aegypti</w:t>
      </w:r>
      <w:r w:rsidRPr="002445BC">
        <w:rPr>
          <w:rFonts w:ascii="Times New Roman" w:hAnsi="Times New Roman" w:cs="Times New Roman"/>
          <w:color w:val="1C1C1C"/>
          <w:sz w:val="24"/>
          <w:szCs w:val="24"/>
          <w:shd w:val="clear" w:color="auto" w:fill="FFFFFF"/>
        </w:rPr>
        <w:t xml:space="preserve"> was observed in tyre </w:t>
      </w:r>
      <w:r w:rsidRPr="002445BC">
        <w:rPr>
          <w:rFonts w:ascii="Times New Roman" w:hAnsi="Times New Roman" w:cs="Times New Roman"/>
          <w:sz w:val="24"/>
          <w:szCs w:val="24"/>
        </w:rPr>
        <w:t xml:space="preserve">with a significant difference in productivity among the various breeding habitats (F = 3.265, p = 0.021, df = 6, 20). </w:t>
      </w:r>
      <w:r w:rsidRPr="002445BC">
        <w:rPr>
          <w:rFonts w:ascii="Times New Roman" w:hAnsi="Times New Roman" w:cs="Times New Roman"/>
          <w:color w:val="1C1C1C"/>
          <w:sz w:val="24"/>
          <w:szCs w:val="24"/>
          <w:shd w:val="clear" w:color="auto" w:fill="FFFFFF"/>
        </w:rPr>
        <w:t xml:space="preserve">Although the highest BPR and pupal productivity of </w:t>
      </w:r>
      <w:r w:rsidRPr="002445BC">
        <w:rPr>
          <w:rFonts w:ascii="Times New Roman" w:hAnsi="Times New Roman" w:cs="Times New Roman"/>
          <w:i/>
          <w:iCs/>
          <w:color w:val="1C1C1C"/>
          <w:sz w:val="24"/>
          <w:szCs w:val="24"/>
          <w:shd w:val="clear" w:color="auto" w:fill="FFFFFF"/>
        </w:rPr>
        <w:t>Ae. albopictus</w:t>
      </w:r>
      <w:r w:rsidRPr="002445BC">
        <w:rPr>
          <w:rFonts w:ascii="Times New Roman" w:hAnsi="Times New Roman" w:cs="Times New Roman"/>
          <w:color w:val="1C1C1C"/>
          <w:sz w:val="24"/>
          <w:szCs w:val="24"/>
          <w:shd w:val="clear" w:color="auto" w:fill="FFFFFF"/>
        </w:rPr>
        <w:t xml:space="preserve"> were not the same; the highest BPR was recorded in natural and ornamental items, while the highest pupal productivity was observed in temporarily removed items, without significant differences </w:t>
      </w:r>
      <w:r w:rsidRPr="002445BC">
        <w:rPr>
          <w:rFonts w:ascii="Times New Roman" w:hAnsi="Times New Roman" w:cs="Times New Roman"/>
          <w:sz w:val="24"/>
          <w:szCs w:val="24"/>
        </w:rPr>
        <w:t>(F = 0.543, p = 0.796, df = 7, 35) (Table 01, Fig. 02).</w:t>
      </w:r>
    </w:p>
    <w:p w14:paraId="11CFCFD8" w14:textId="44BC8C8B" w:rsidR="00144177" w:rsidRDefault="00144177"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Table </w:t>
      </w:r>
      <w:r w:rsidR="00A32EAA">
        <w:rPr>
          <w:rFonts w:ascii="Times New Roman" w:hAnsi="Times New Roman" w:cs="Times New Roman"/>
          <w:sz w:val="24"/>
          <w:szCs w:val="24"/>
        </w:rPr>
        <w:t>0</w:t>
      </w:r>
      <w:r w:rsidR="00D77092" w:rsidRPr="002445BC">
        <w:rPr>
          <w:rFonts w:ascii="Times New Roman" w:hAnsi="Times New Roman" w:cs="Times New Roman"/>
          <w:sz w:val="24"/>
          <w:szCs w:val="24"/>
        </w:rPr>
        <w:fldChar w:fldCharType="begin"/>
      </w:r>
      <w:r w:rsidR="00D77092" w:rsidRPr="002445BC">
        <w:rPr>
          <w:rFonts w:ascii="Times New Roman" w:hAnsi="Times New Roman" w:cs="Times New Roman"/>
          <w:sz w:val="24"/>
          <w:szCs w:val="24"/>
        </w:rPr>
        <w:instrText xml:space="preserve"> SEQ Table \* ARABIC </w:instrText>
      </w:r>
      <w:r w:rsidR="00D77092" w:rsidRPr="002445BC">
        <w:rPr>
          <w:rFonts w:ascii="Times New Roman" w:hAnsi="Times New Roman" w:cs="Times New Roman"/>
          <w:sz w:val="24"/>
          <w:szCs w:val="24"/>
        </w:rPr>
        <w:fldChar w:fldCharType="separate"/>
      </w:r>
      <w:r w:rsidR="00E46B46">
        <w:rPr>
          <w:rFonts w:ascii="Times New Roman" w:hAnsi="Times New Roman" w:cs="Times New Roman"/>
          <w:noProof/>
          <w:sz w:val="24"/>
          <w:szCs w:val="24"/>
        </w:rPr>
        <w:t>1</w:t>
      </w:r>
      <w:r w:rsidR="00D77092" w:rsidRPr="002445BC">
        <w:rPr>
          <w:rFonts w:ascii="Times New Roman" w:hAnsi="Times New Roman" w:cs="Times New Roman"/>
          <w:noProof/>
          <w:sz w:val="24"/>
          <w:szCs w:val="24"/>
        </w:rPr>
        <w:fldChar w:fldCharType="end"/>
      </w:r>
      <w:r w:rsidRPr="002445BC">
        <w:rPr>
          <w:rFonts w:ascii="Times New Roman" w:hAnsi="Times New Roman" w:cs="Times New Roman"/>
          <w:sz w:val="24"/>
          <w:szCs w:val="24"/>
        </w:rPr>
        <w:t xml:space="preserve"> Calculated larval and pupal indexes according to type of  breeding </w:t>
      </w:r>
      <w:r w:rsidR="00232B1D" w:rsidRPr="002445BC">
        <w:rPr>
          <w:rFonts w:ascii="Times New Roman" w:hAnsi="Times New Roman" w:cs="Times New Roman"/>
          <w:sz w:val="24"/>
          <w:szCs w:val="24"/>
        </w:rPr>
        <w:t>habitats</w:t>
      </w:r>
    </w:p>
    <w:tbl>
      <w:tblPr>
        <w:tblW w:w="9180" w:type="dxa"/>
        <w:tblLook w:val="06A0" w:firstRow="1" w:lastRow="0" w:firstColumn="1" w:lastColumn="0" w:noHBand="1" w:noVBand="1"/>
      </w:tblPr>
      <w:tblGrid>
        <w:gridCol w:w="2790"/>
        <w:gridCol w:w="943"/>
        <w:gridCol w:w="964"/>
        <w:gridCol w:w="964"/>
        <w:gridCol w:w="817"/>
        <w:gridCol w:w="823"/>
        <w:gridCol w:w="889"/>
        <w:gridCol w:w="990"/>
      </w:tblGrid>
      <w:tr w:rsidR="00A22F4A" w:rsidRPr="00A32EAA" w14:paraId="141A37B5" w14:textId="77777777" w:rsidTr="00421ABF">
        <w:trPr>
          <w:trHeight w:val="301"/>
        </w:trPr>
        <w:tc>
          <w:tcPr>
            <w:tcW w:w="2790" w:type="dxa"/>
            <w:vMerge w:val="restart"/>
            <w:tcBorders>
              <w:top w:val="single" w:sz="8" w:space="0" w:color="auto"/>
              <w:left w:val="nil"/>
              <w:bottom w:val="single" w:sz="8" w:space="0" w:color="000000"/>
              <w:right w:val="nil"/>
            </w:tcBorders>
            <w:noWrap/>
            <w:vAlign w:val="center"/>
            <w:hideMark/>
          </w:tcPr>
          <w:p w14:paraId="1DDBA4F1"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Breeding Habitat</w:t>
            </w:r>
          </w:p>
        </w:tc>
        <w:tc>
          <w:tcPr>
            <w:tcW w:w="4511" w:type="dxa"/>
            <w:gridSpan w:val="5"/>
            <w:tcBorders>
              <w:top w:val="single" w:sz="8" w:space="0" w:color="auto"/>
              <w:left w:val="nil"/>
              <w:bottom w:val="nil"/>
              <w:right w:val="nil"/>
            </w:tcBorders>
            <w:noWrap/>
            <w:vAlign w:val="center"/>
            <w:hideMark/>
          </w:tcPr>
          <w:p w14:paraId="0E537331"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Larval Indexes</w:t>
            </w:r>
          </w:p>
        </w:tc>
        <w:tc>
          <w:tcPr>
            <w:tcW w:w="1879" w:type="dxa"/>
            <w:gridSpan w:val="2"/>
            <w:tcBorders>
              <w:top w:val="single" w:sz="8" w:space="0" w:color="auto"/>
              <w:left w:val="nil"/>
              <w:bottom w:val="nil"/>
              <w:right w:val="nil"/>
            </w:tcBorders>
            <w:vAlign w:val="center"/>
            <w:hideMark/>
          </w:tcPr>
          <w:p w14:paraId="3276D6C6"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Pupal Indexes</w:t>
            </w:r>
          </w:p>
        </w:tc>
      </w:tr>
      <w:tr w:rsidR="00A22F4A" w:rsidRPr="00A32EAA" w14:paraId="2429CB54" w14:textId="77777777" w:rsidTr="00421ABF">
        <w:trPr>
          <w:trHeight w:val="315"/>
        </w:trPr>
        <w:tc>
          <w:tcPr>
            <w:tcW w:w="2790" w:type="dxa"/>
            <w:vMerge/>
            <w:tcBorders>
              <w:top w:val="single" w:sz="8" w:space="0" w:color="auto"/>
              <w:left w:val="nil"/>
              <w:bottom w:val="single" w:sz="8" w:space="0" w:color="000000"/>
              <w:right w:val="nil"/>
            </w:tcBorders>
            <w:vAlign w:val="center"/>
            <w:hideMark/>
          </w:tcPr>
          <w:p w14:paraId="4CD7E30F"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p>
        </w:tc>
        <w:tc>
          <w:tcPr>
            <w:tcW w:w="943" w:type="dxa"/>
            <w:tcBorders>
              <w:top w:val="nil"/>
              <w:left w:val="nil"/>
              <w:bottom w:val="single" w:sz="8" w:space="0" w:color="auto"/>
              <w:right w:val="nil"/>
            </w:tcBorders>
            <w:noWrap/>
            <w:vAlign w:val="center"/>
            <w:hideMark/>
          </w:tcPr>
          <w:p w14:paraId="112E9B28"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IABH</w:t>
            </w:r>
          </w:p>
        </w:tc>
        <w:tc>
          <w:tcPr>
            <w:tcW w:w="964" w:type="dxa"/>
            <w:tcBorders>
              <w:top w:val="nil"/>
              <w:left w:val="nil"/>
              <w:bottom w:val="single" w:sz="8" w:space="0" w:color="auto"/>
              <w:right w:val="nil"/>
            </w:tcBorders>
            <w:noWrap/>
            <w:vAlign w:val="center"/>
            <w:hideMark/>
          </w:tcPr>
          <w:p w14:paraId="440305CD"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ICBH (A)</w:t>
            </w:r>
          </w:p>
        </w:tc>
        <w:tc>
          <w:tcPr>
            <w:tcW w:w="964" w:type="dxa"/>
            <w:tcBorders>
              <w:top w:val="nil"/>
              <w:left w:val="nil"/>
              <w:bottom w:val="single" w:sz="8" w:space="0" w:color="auto"/>
              <w:right w:val="nil"/>
            </w:tcBorders>
            <w:noWrap/>
            <w:vAlign w:val="center"/>
            <w:hideMark/>
          </w:tcPr>
          <w:p w14:paraId="4302731F"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ICBH (B)</w:t>
            </w:r>
          </w:p>
        </w:tc>
        <w:tc>
          <w:tcPr>
            <w:tcW w:w="817" w:type="dxa"/>
            <w:tcBorders>
              <w:top w:val="nil"/>
              <w:left w:val="nil"/>
              <w:bottom w:val="single" w:sz="8" w:space="0" w:color="auto"/>
              <w:right w:val="nil"/>
            </w:tcBorders>
            <w:noWrap/>
            <w:vAlign w:val="center"/>
            <w:hideMark/>
          </w:tcPr>
          <w:p w14:paraId="50074A72"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BPR (A)</w:t>
            </w:r>
          </w:p>
        </w:tc>
        <w:tc>
          <w:tcPr>
            <w:tcW w:w="823" w:type="dxa"/>
            <w:tcBorders>
              <w:top w:val="nil"/>
              <w:left w:val="nil"/>
              <w:bottom w:val="single" w:sz="8" w:space="0" w:color="auto"/>
              <w:right w:val="nil"/>
            </w:tcBorders>
            <w:noWrap/>
            <w:vAlign w:val="center"/>
            <w:hideMark/>
          </w:tcPr>
          <w:p w14:paraId="42BFDD9E"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BPR (B)</w:t>
            </w:r>
          </w:p>
        </w:tc>
        <w:tc>
          <w:tcPr>
            <w:tcW w:w="889" w:type="dxa"/>
            <w:tcBorders>
              <w:top w:val="nil"/>
              <w:left w:val="nil"/>
              <w:bottom w:val="single" w:sz="8" w:space="0" w:color="auto"/>
              <w:right w:val="nil"/>
            </w:tcBorders>
            <w:noWrap/>
            <w:vAlign w:val="center"/>
            <w:hideMark/>
          </w:tcPr>
          <w:p w14:paraId="55A5C6F2"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PPP (A)</w:t>
            </w:r>
          </w:p>
        </w:tc>
        <w:tc>
          <w:tcPr>
            <w:tcW w:w="990" w:type="dxa"/>
            <w:tcBorders>
              <w:top w:val="nil"/>
              <w:left w:val="nil"/>
              <w:bottom w:val="single" w:sz="8" w:space="0" w:color="auto"/>
              <w:right w:val="nil"/>
            </w:tcBorders>
            <w:noWrap/>
            <w:vAlign w:val="center"/>
            <w:hideMark/>
          </w:tcPr>
          <w:p w14:paraId="53CE15DE"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PPP (B)</w:t>
            </w:r>
          </w:p>
        </w:tc>
      </w:tr>
      <w:tr w:rsidR="00A22F4A" w:rsidRPr="00A32EAA" w14:paraId="3C805B97" w14:textId="77777777" w:rsidTr="00421ABF">
        <w:trPr>
          <w:trHeight w:val="301"/>
        </w:trPr>
        <w:tc>
          <w:tcPr>
            <w:tcW w:w="2790" w:type="dxa"/>
            <w:tcBorders>
              <w:top w:val="nil"/>
              <w:left w:val="nil"/>
              <w:bottom w:val="nil"/>
              <w:right w:val="nil"/>
            </w:tcBorders>
            <w:noWrap/>
            <w:vAlign w:val="center"/>
            <w:hideMark/>
          </w:tcPr>
          <w:p w14:paraId="726A1BA5"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Covering Items</w:t>
            </w:r>
          </w:p>
        </w:tc>
        <w:tc>
          <w:tcPr>
            <w:tcW w:w="943" w:type="dxa"/>
            <w:tcBorders>
              <w:top w:val="nil"/>
              <w:left w:val="nil"/>
              <w:bottom w:val="nil"/>
              <w:right w:val="nil"/>
            </w:tcBorders>
            <w:noWrap/>
            <w:vAlign w:val="center"/>
            <w:hideMark/>
          </w:tcPr>
          <w:p w14:paraId="6BB389BE"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5.2</w:t>
            </w:r>
          </w:p>
        </w:tc>
        <w:tc>
          <w:tcPr>
            <w:tcW w:w="964" w:type="dxa"/>
            <w:tcBorders>
              <w:top w:val="nil"/>
              <w:left w:val="nil"/>
              <w:bottom w:val="nil"/>
              <w:right w:val="nil"/>
            </w:tcBorders>
            <w:noWrap/>
            <w:vAlign w:val="center"/>
            <w:hideMark/>
          </w:tcPr>
          <w:p w14:paraId="61B8212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9.62</w:t>
            </w:r>
          </w:p>
        </w:tc>
        <w:tc>
          <w:tcPr>
            <w:tcW w:w="964" w:type="dxa"/>
            <w:tcBorders>
              <w:top w:val="nil"/>
              <w:left w:val="nil"/>
              <w:bottom w:val="nil"/>
              <w:right w:val="nil"/>
            </w:tcBorders>
            <w:noWrap/>
            <w:vAlign w:val="center"/>
            <w:hideMark/>
          </w:tcPr>
          <w:p w14:paraId="6FDCBAFE"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7.94</w:t>
            </w:r>
          </w:p>
        </w:tc>
        <w:tc>
          <w:tcPr>
            <w:tcW w:w="817" w:type="dxa"/>
            <w:tcBorders>
              <w:top w:val="nil"/>
              <w:left w:val="nil"/>
              <w:bottom w:val="nil"/>
              <w:right w:val="nil"/>
            </w:tcBorders>
            <w:noWrap/>
            <w:vAlign w:val="center"/>
            <w:hideMark/>
          </w:tcPr>
          <w:p w14:paraId="01FE9CB6"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1.85</w:t>
            </w:r>
          </w:p>
        </w:tc>
        <w:tc>
          <w:tcPr>
            <w:tcW w:w="823" w:type="dxa"/>
            <w:tcBorders>
              <w:top w:val="nil"/>
              <w:left w:val="nil"/>
              <w:bottom w:val="nil"/>
              <w:right w:val="nil"/>
            </w:tcBorders>
            <w:noWrap/>
            <w:vAlign w:val="center"/>
            <w:hideMark/>
          </w:tcPr>
          <w:p w14:paraId="1FCE9E1A"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1.53</w:t>
            </w:r>
          </w:p>
        </w:tc>
        <w:tc>
          <w:tcPr>
            <w:tcW w:w="889" w:type="dxa"/>
            <w:tcBorders>
              <w:top w:val="nil"/>
              <w:left w:val="nil"/>
              <w:bottom w:val="nil"/>
              <w:right w:val="nil"/>
            </w:tcBorders>
            <w:noWrap/>
            <w:vAlign w:val="center"/>
            <w:hideMark/>
          </w:tcPr>
          <w:p w14:paraId="549416D3"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18.62</w:t>
            </w:r>
          </w:p>
        </w:tc>
        <w:tc>
          <w:tcPr>
            <w:tcW w:w="990" w:type="dxa"/>
            <w:tcBorders>
              <w:top w:val="nil"/>
              <w:left w:val="nil"/>
              <w:bottom w:val="nil"/>
              <w:right w:val="nil"/>
            </w:tcBorders>
            <w:noWrap/>
            <w:vAlign w:val="center"/>
            <w:hideMark/>
          </w:tcPr>
          <w:p w14:paraId="503C832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9.75</w:t>
            </w:r>
          </w:p>
        </w:tc>
      </w:tr>
      <w:tr w:rsidR="00A22F4A" w:rsidRPr="00A32EAA" w14:paraId="779F40A0" w14:textId="77777777" w:rsidTr="00421ABF">
        <w:trPr>
          <w:trHeight w:val="301"/>
        </w:trPr>
        <w:tc>
          <w:tcPr>
            <w:tcW w:w="2790" w:type="dxa"/>
            <w:tcBorders>
              <w:top w:val="nil"/>
              <w:left w:val="nil"/>
              <w:bottom w:val="nil"/>
              <w:right w:val="nil"/>
            </w:tcBorders>
            <w:noWrap/>
            <w:vAlign w:val="center"/>
            <w:hideMark/>
          </w:tcPr>
          <w:p w14:paraId="23468354"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Gutters</w:t>
            </w:r>
          </w:p>
        </w:tc>
        <w:tc>
          <w:tcPr>
            <w:tcW w:w="943" w:type="dxa"/>
            <w:tcBorders>
              <w:top w:val="nil"/>
              <w:left w:val="nil"/>
              <w:bottom w:val="nil"/>
              <w:right w:val="nil"/>
            </w:tcBorders>
            <w:noWrap/>
            <w:vAlign w:val="center"/>
            <w:hideMark/>
          </w:tcPr>
          <w:p w14:paraId="6328EE54"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0.88</w:t>
            </w:r>
          </w:p>
        </w:tc>
        <w:tc>
          <w:tcPr>
            <w:tcW w:w="964" w:type="dxa"/>
            <w:tcBorders>
              <w:top w:val="nil"/>
              <w:left w:val="nil"/>
              <w:bottom w:val="nil"/>
              <w:right w:val="nil"/>
            </w:tcBorders>
            <w:noWrap/>
            <w:vAlign w:val="center"/>
            <w:hideMark/>
          </w:tcPr>
          <w:p w14:paraId="344BEAED"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1.92</w:t>
            </w:r>
          </w:p>
        </w:tc>
        <w:tc>
          <w:tcPr>
            <w:tcW w:w="964" w:type="dxa"/>
            <w:tcBorders>
              <w:top w:val="nil"/>
              <w:left w:val="nil"/>
              <w:bottom w:val="nil"/>
              <w:right w:val="nil"/>
            </w:tcBorders>
            <w:noWrap/>
            <w:vAlign w:val="center"/>
            <w:hideMark/>
          </w:tcPr>
          <w:p w14:paraId="5F805AD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1.4</w:t>
            </w:r>
          </w:p>
        </w:tc>
        <w:tc>
          <w:tcPr>
            <w:tcW w:w="817" w:type="dxa"/>
            <w:tcBorders>
              <w:top w:val="nil"/>
              <w:left w:val="nil"/>
              <w:bottom w:val="nil"/>
              <w:right w:val="nil"/>
            </w:tcBorders>
            <w:noWrap/>
            <w:vAlign w:val="center"/>
            <w:hideMark/>
          </w:tcPr>
          <w:p w14:paraId="5A29D4A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2.19</w:t>
            </w:r>
          </w:p>
        </w:tc>
        <w:tc>
          <w:tcPr>
            <w:tcW w:w="823" w:type="dxa"/>
            <w:tcBorders>
              <w:top w:val="nil"/>
              <w:left w:val="nil"/>
              <w:bottom w:val="nil"/>
              <w:right w:val="nil"/>
            </w:tcBorders>
            <w:noWrap/>
            <w:vAlign w:val="center"/>
            <w:hideMark/>
          </w:tcPr>
          <w:p w14:paraId="11CFEFC0"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1.6</w:t>
            </w:r>
          </w:p>
        </w:tc>
        <w:tc>
          <w:tcPr>
            <w:tcW w:w="889" w:type="dxa"/>
            <w:tcBorders>
              <w:top w:val="nil"/>
              <w:left w:val="nil"/>
              <w:bottom w:val="nil"/>
              <w:right w:val="nil"/>
            </w:tcBorders>
            <w:noWrap/>
            <w:vAlign w:val="center"/>
            <w:hideMark/>
          </w:tcPr>
          <w:p w14:paraId="712D4D7F"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990" w:type="dxa"/>
            <w:tcBorders>
              <w:top w:val="nil"/>
              <w:left w:val="nil"/>
              <w:bottom w:val="nil"/>
              <w:right w:val="nil"/>
            </w:tcBorders>
            <w:noWrap/>
            <w:vAlign w:val="center"/>
            <w:hideMark/>
          </w:tcPr>
          <w:p w14:paraId="7202FC8A"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r>
      <w:tr w:rsidR="00A22F4A" w:rsidRPr="00A32EAA" w14:paraId="313E8B53" w14:textId="77777777" w:rsidTr="00421ABF">
        <w:trPr>
          <w:trHeight w:val="301"/>
        </w:trPr>
        <w:tc>
          <w:tcPr>
            <w:tcW w:w="2790" w:type="dxa"/>
            <w:tcBorders>
              <w:top w:val="nil"/>
              <w:left w:val="nil"/>
              <w:bottom w:val="nil"/>
              <w:right w:val="nil"/>
            </w:tcBorders>
            <w:noWrap/>
            <w:vAlign w:val="center"/>
            <w:hideMark/>
          </w:tcPr>
          <w:p w14:paraId="337F3C20"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Discarded Items</w:t>
            </w:r>
          </w:p>
        </w:tc>
        <w:tc>
          <w:tcPr>
            <w:tcW w:w="943" w:type="dxa"/>
            <w:tcBorders>
              <w:top w:val="nil"/>
              <w:left w:val="nil"/>
              <w:bottom w:val="nil"/>
              <w:right w:val="nil"/>
            </w:tcBorders>
            <w:noWrap/>
            <w:vAlign w:val="center"/>
            <w:hideMark/>
          </w:tcPr>
          <w:p w14:paraId="33327729"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17.5</w:t>
            </w:r>
          </w:p>
        </w:tc>
        <w:tc>
          <w:tcPr>
            <w:tcW w:w="964" w:type="dxa"/>
            <w:tcBorders>
              <w:top w:val="nil"/>
              <w:left w:val="nil"/>
              <w:bottom w:val="nil"/>
              <w:right w:val="nil"/>
            </w:tcBorders>
            <w:noWrap/>
            <w:vAlign w:val="center"/>
            <w:hideMark/>
          </w:tcPr>
          <w:p w14:paraId="32122A13"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25</w:t>
            </w:r>
          </w:p>
        </w:tc>
        <w:tc>
          <w:tcPr>
            <w:tcW w:w="964" w:type="dxa"/>
            <w:tcBorders>
              <w:top w:val="nil"/>
              <w:left w:val="nil"/>
              <w:bottom w:val="nil"/>
              <w:right w:val="nil"/>
            </w:tcBorders>
            <w:noWrap/>
            <w:vAlign w:val="center"/>
            <w:hideMark/>
          </w:tcPr>
          <w:p w14:paraId="7DE4EDFF"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14.02</w:t>
            </w:r>
          </w:p>
        </w:tc>
        <w:tc>
          <w:tcPr>
            <w:tcW w:w="817" w:type="dxa"/>
            <w:tcBorders>
              <w:top w:val="nil"/>
              <w:left w:val="nil"/>
              <w:bottom w:val="nil"/>
              <w:right w:val="nil"/>
            </w:tcBorders>
            <w:noWrap/>
            <w:vAlign w:val="center"/>
            <w:hideMark/>
          </w:tcPr>
          <w:p w14:paraId="528B3A55"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1.43</w:t>
            </w:r>
          </w:p>
        </w:tc>
        <w:tc>
          <w:tcPr>
            <w:tcW w:w="823" w:type="dxa"/>
            <w:tcBorders>
              <w:top w:val="nil"/>
              <w:left w:val="nil"/>
              <w:bottom w:val="nil"/>
              <w:right w:val="nil"/>
            </w:tcBorders>
            <w:noWrap/>
            <w:vAlign w:val="center"/>
            <w:hideMark/>
          </w:tcPr>
          <w:p w14:paraId="4249C1E5"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0.8</w:t>
            </w:r>
          </w:p>
        </w:tc>
        <w:tc>
          <w:tcPr>
            <w:tcW w:w="889" w:type="dxa"/>
            <w:tcBorders>
              <w:top w:val="nil"/>
              <w:left w:val="nil"/>
              <w:bottom w:val="nil"/>
              <w:right w:val="nil"/>
            </w:tcBorders>
            <w:noWrap/>
            <w:vAlign w:val="center"/>
            <w:hideMark/>
          </w:tcPr>
          <w:p w14:paraId="22A04110"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4.52</w:t>
            </w:r>
          </w:p>
        </w:tc>
        <w:tc>
          <w:tcPr>
            <w:tcW w:w="990" w:type="dxa"/>
            <w:tcBorders>
              <w:top w:val="nil"/>
              <w:left w:val="nil"/>
              <w:bottom w:val="nil"/>
              <w:right w:val="nil"/>
            </w:tcBorders>
            <w:noWrap/>
            <w:vAlign w:val="center"/>
            <w:hideMark/>
          </w:tcPr>
          <w:p w14:paraId="78ECD89A"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19.5</w:t>
            </w:r>
          </w:p>
        </w:tc>
      </w:tr>
      <w:tr w:rsidR="00A22F4A" w:rsidRPr="00A32EAA" w14:paraId="6A8F8A00" w14:textId="77777777" w:rsidTr="00421ABF">
        <w:trPr>
          <w:trHeight w:val="301"/>
        </w:trPr>
        <w:tc>
          <w:tcPr>
            <w:tcW w:w="2790" w:type="dxa"/>
            <w:tcBorders>
              <w:top w:val="nil"/>
              <w:left w:val="nil"/>
              <w:bottom w:val="nil"/>
              <w:right w:val="nil"/>
            </w:tcBorders>
            <w:noWrap/>
            <w:vAlign w:val="center"/>
            <w:hideMark/>
          </w:tcPr>
          <w:p w14:paraId="4773C0E6"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Temporary removed Items</w:t>
            </w:r>
          </w:p>
        </w:tc>
        <w:tc>
          <w:tcPr>
            <w:tcW w:w="943" w:type="dxa"/>
            <w:tcBorders>
              <w:top w:val="nil"/>
              <w:left w:val="nil"/>
              <w:bottom w:val="nil"/>
              <w:right w:val="nil"/>
            </w:tcBorders>
            <w:noWrap/>
            <w:vAlign w:val="center"/>
            <w:hideMark/>
          </w:tcPr>
          <w:p w14:paraId="3EBC17EA"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38.72</w:t>
            </w:r>
          </w:p>
        </w:tc>
        <w:tc>
          <w:tcPr>
            <w:tcW w:w="964" w:type="dxa"/>
            <w:tcBorders>
              <w:top w:val="nil"/>
              <w:left w:val="nil"/>
              <w:bottom w:val="nil"/>
              <w:right w:val="nil"/>
            </w:tcBorders>
            <w:noWrap/>
            <w:vAlign w:val="center"/>
            <w:hideMark/>
          </w:tcPr>
          <w:p w14:paraId="50EE361C"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18.27</w:t>
            </w:r>
          </w:p>
        </w:tc>
        <w:tc>
          <w:tcPr>
            <w:tcW w:w="964" w:type="dxa"/>
            <w:tcBorders>
              <w:top w:val="nil"/>
              <w:left w:val="nil"/>
              <w:bottom w:val="nil"/>
              <w:right w:val="nil"/>
            </w:tcBorders>
            <w:noWrap/>
            <w:vAlign w:val="center"/>
            <w:hideMark/>
          </w:tcPr>
          <w:p w14:paraId="5D9EC2A9"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42.99</w:t>
            </w:r>
          </w:p>
        </w:tc>
        <w:tc>
          <w:tcPr>
            <w:tcW w:w="817" w:type="dxa"/>
            <w:tcBorders>
              <w:top w:val="nil"/>
              <w:left w:val="nil"/>
              <w:bottom w:val="nil"/>
              <w:right w:val="nil"/>
            </w:tcBorders>
            <w:noWrap/>
            <w:vAlign w:val="center"/>
            <w:hideMark/>
          </w:tcPr>
          <w:p w14:paraId="2E9EBC3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0.47</w:t>
            </w:r>
          </w:p>
        </w:tc>
        <w:tc>
          <w:tcPr>
            <w:tcW w:w="823" w:type="dxa"/>
            <w:tcBorders>
              <w:top w:val="nil"/>
              <w:left w:val="nil"/>
              <w:bottom w:val="nil"/>
              <w:right w:val="nil"/>
            </w:tcBorders>
            <w:noWrap/>
            <w:vAlign w:val="center"/>
            <w:hideMark/>
          </w:tcPr>
          <w:p w14:paraId="1AA75643"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1.11</w:t>
            </w:r>
          </w:p>
        </w:tc>
        <w:tc>
          <w:tcPr>
            <w:tcW w:w="889" w:type="dxa"/>
            <w:tcBorders>
              <w:top w:val="nil"/>
              <w:left w:val="nil"/>
              <w:bottom w:val="nil"/>
              <w:right w:val="nil"/>
            </w:tcBorders>
            <w:noWrap/>
            <w:vAlign w:val="center"/>
            <w:hideMark/>
          </w:tcPr>
          <w:p w14:paraId="20A4F85F"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30.59</w:t>
            </w:r>
          </w:p>
        </w:tc>
        <w:tc>
          <w:tcPr>
            <w:tcW w:w="990" w:type="dxa"/>
            <w:tcBorders>
              <w:top w:val="nil"/>
              <w:left w:val="nil"/>
              <w:bottom w:val="nil"/>
              <w:right w:val="nil"/>
            </w:tcBorders>
            <w:noWrap/>
            <w:vAlign w:val="center"/>
            <w:hideMark/>
          </w:tcPr>
          <w:p w14:paraId="73D9188B"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48</w:t>
            </w:r>
          </w:p>
        </w:tc>
      </w:tr>
      <w:tr w:rsidR="00A22F4A" w:rsidRPr="00A32EAA" w14:paraId="348BB7AB" w14:textId="77777777" w:rsidTr="00421ABF">
        <w:trPr>
          <w:trHeight w:val="301"/>
        </w:trPr>
        <w:tc>
          <w:tcPr>
            <w:tcW w:w="2790" w:type="dxa"/>
            <w:tcBorders>
              <w:top w:val="nil"/>
              <w:left w:val="nil"/>
              <w:bottom w:val="nil"/>
              <w:right w:val="nil"/>
            </w:tcBorders>
            <w:noWrap/>
            <w:vAlign w:val="center"/>
            <w:hideMark/>
          </w:tcPr>
          <w:p w14:paraId="1FAE056F"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Natura Items</w:t>
            </w:r>
          </w:p>
        </w:tc>
        <w:tc>
          <w:tcPr>
            <w:tcW w:w="943" w:type="dxa"/>
            <w:tcBorders>
              <w:top w:val="nil"/>
              <w:left w:val="nil"/>
              <w:bottom w:val="nil"/>
              <w:right w:val="nil"/>
            </w:tcBorders>
            <w:noWrap/>
            <w:vAlign w:val="center"/>
            <w:hideMark/>
          </w:tcPr>
          <w:p w14:paraId="72132839"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1.76</w:t>
            </w:r>
          </w:p>
        </w:tc>
        <w:tc>
          <w:tcPr>
            <w:tcW w:w="964" w:type="dxa"/>
            <w:tcBorders>
              <w:top w:val="nil"/>
              <w:left w:val="nil"/>
              <w:bottom w:val="nil"/>
              <w:right w:val="nil"/>
            </w:tcBorders>
            <w:noWrap/>
            <w:vAlign w:val="center"/>
            <w:hideMark/>
          </w:tcPr>
          <w:p w14:paraId="63FAF5AF"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0.96</w:t>
            </w:r>
          </w:p>
        </w:tc>
        <w:tc>
          <w:tcPr>
            <w:tcW w:w="964" w:type="dxa"/>
            <w:tcBorders>
              <w:top w:val="nil"/>
              <w:left w:val="nil"/>
              <w:bottom w:val="nil"/>
              <w:right w:val="nil"/>
            </w:tcBorders>
            <w:noWrap/>
            <w:vAlign w:val="center"/>
            <w:hideMark/>
          </w:tcPr>
          <w:p w14:paraId="2DB038D4"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3.74</w:t>
            </w:r>
          </w:p>
        </w:tc>
        <w:tc>
          <w:tcPr>
            <w:tcW w:w="817" w:type="dxa"/>
            <w:tcBorders>
              <w:top w:val="nil"/>
              <w:left w:val="nil"/>
              <w:bottom w:val="nil"/>
              <w:right w:val="nil"/>
            </w:tcBorders>
            <w:noWrap/>
            <w:vAlign w:val="center"/>
            <w:hideMark/>
          </w:tcPr>
          <w:p w14:paraId="5C80F953"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0.55</w:t>
            </w:r>
          </w:p>
        </w:tc>
        <w:tc>
          <w:tcPr>
            <w:tcW w:w="823" w:type="dxa"/>
            <w:tcBorders>
              <w:top w:val="nil"/>
              <w:left w:val="nil"/>
              <w:bottom w:val="nil"/>
              <w:right w:val="nil"/>
            </w:tcBorders>
            <w:noWrap/>
            <w:vAlign w:val="center"/>
            <w:hideMark/>
          </w:tcPr>
          <w:p w14:paraId="5AE9DCF6"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2.13</w:t>
            </w:r>
          </w:p>
        </w:tc>
        <w:tc>
          <w:tcPr>
            <w:tcW w:w="889" w:type="dxa"/>
            <w:tcBorders>
              <w:top w:val="nil"/>
              <w:left w:val="nil"/>
              <w:bottom w:val="nil"/>
              <w:right w:val="nil"/>
            </w:tcBorders>
            <w:noWrap/>
            <w:vAlign w:val="center"/>
            <w:hideMark/>
          </w:tcPr>
          <w:p w14:paraId="58CEB43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990" w:type="dxa"/>
            <w:tcBorders>
              <w:top w:val="nil"/>
              <w:left w:val="nil"/>
              <w:bottom w:val="nil"/>
              <w:right w:val="nil"/>
            </w:tcBorders>
            <w:noWrap/>
            <w:vAlign w:val="center"/>
            <w:hideMark/>
          </w:tcPr>
          <w:p w14:paraId="0CE47C92"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1.25</w:t>
            </w:r>
          </w:p>
        </w:tc>
      </w:tr>
      <w:tr w:rsidR="00A22F4A" w:rsidRPr="00A32EAA" w14:paraId="28C04436" w14:textId="77777777" w:rsidTr="00421ABF">
        <w:trPr>
          <w:trHeight w:val="301"/>
        </w:trPr>
        <w:tc>
          <w:tcPr>
            <w:tcW w:w="2790" w:type="dxa"/>
            <w:tcBorders>
              <w:top w:val="nil"/>
              <w:left w:val="nil"/>
              <w:bottom w:val="nil"/>
              <w:right w:val="nil"/>
            </w:tcBorders>
            <w:noWrap/>
            <w:vAlign w:val="center"/>
            <w:hideMark/>
          </w:tcPr>
          <w:p w14:paraId="6F11F1A9"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Ornamental Items</w:t>
            </w:r>
          </w:p>
        </w:tc>
        <w:tc>
          <w:tcPr>
            <w:tcW w:w="943" w:type="dxa"/>
            <w:tcBorders>
              <w:top w:val="nil"/>
              <w:left w:val="nil"/>
              <w:bottom w:val="nil"/>
              <w:right w:val="nil"/>
            </w:tcBorders>
            <w:noWrap/>
            <w:vAlign w:val="center"/>
            <w:hideMark/>
          </w:tcPr>
          <w:p w14:paraId="1E70D8BB"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4.39</w:t>
            </w:r>
          </w:p>
        </w:tc>
        <w:tc>
          <w:tcPr>
            <w:tcW w:w="964" w:type="dxa"/>
            <w:tcBorders>
              <w:top w:val="nil"/>
              <w:left w:val="nil"/>
              <w:bottom w:val="nil"/>
              <w:right w:val="nil"/>
            </w:tcBorders>
            <w:noWrap/>
            <w:vAlign w:val="center"/>
            <w:hideMark/>
          </w:tcPr>
          <w:p w14:paraId="6A374CFB"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8.65</w:t>
            </w:r>
          </w:p>
        </w:tc>
        <w:tc>
          <w:tcPr>
            <w:tcW w:w="964" w:type="dxa"/>
            <w:tcBorders>
              <w:top w:val="nil"/>
              <w:left w:val="nil"/>
              <w:bottom w:val="nil"/>
              <w:right w:val="nil"/>
            </w:tcBorders>
            <w:noWrap/>
            <w:vAlign w:val="center"/>
            <w:hideMark/>
          </w:tcPr>
          <w:p w14:paraId="66912B39"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9.35</w:t>
            </w:r>
          </w:p>
        </w:tc>
        <w:tc>
          <w:tcPr>
            <w:tcW w:w="817" w:type="dxa"/>
            <w:tcBorders>
              <w:top w:val="nil"/>
              <w:left w:val="nil"/>
              <w:bottom w:val="nil"/>
              <w:right w:val="nil"/>
            </w:tcBorders>
            <w:noWrap/>
            <w:vAlign w:val="center"/>
            <w:hideMark/>
          </w:tcPr>
          <w:p w14:paraId="6A341514"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1.97</w:t>
            </w:r>
          </w:p>
        </w:tc>
        <w:tc>
          <w:tcPr>
            <w:tcW w:w="823" w:type="dxa"/>
            <w:tcBorders>
              <w:top w:val="nil"/>
              <w:left w:val="nil"/>
              <w:bottom w:val="nil"/>
              <w:right w:val="nil"/>
            </w:tcBorders>
            <w:noWrap/>
            <w:vAlign w:val="center"/>
            <w:hideMark/>
          </w:tcPr>
          <w:p w14:paraId="6B198544"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2.13</w:t>
            </w:r>
          </w:p>
        </w:tc>
        <w:tc>
          <w:tcPr>
            <w:tcW w:w="889" w:type="dxa"/>
            <w:tcBorders>
              <w:top w:val="nil"/>
              <w:left w:val="nil"/>
              <w:bottom w:val="nil"/>
              <w:right w:val="nil"/>
            </w:tcBorders>
            <w:noWrap/>
            <w:vAlign w:val="center"/>
            <w:hideMark/>
          </w:tcPr>
          <w:p w14:paraId="4D1A7C36"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1.06</w:t>
            </w:r>
          </w:p>
        </w:tc>
        <w:tc>
          <w:tcPr>
            <w:tcW w:w="990" w:type="dxa"/>
            <w:tcBorders>
              <w:top w:val="nil"/>
              <w:left w:val="nil"/>
              <w:bottom w:val="nil"/>
              <w:right w:val="nil"/>
            </w:tcBorders>
            <w:noWrap/>
            <w:vAlign w:val="center"/>
            <w:hideMark/>
          </w:tcPr>
          <w:p w14:paraId="0C1BFCDC"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5.25</w:t>
            </w:r>
          </w:p>
        </w:tc>
      </w:tr>
      <w:tr w:rsidR="00A22F4A" w:rsidRPr="00A32EAA" w14:paraId="59D33583" w14:textId="77777777" w:rsidTr="00421ABF">
        <w:trPr>
          <w:trHeight w:val="301"/>
        </w:trPr>
        <w:tc>
          <w:tcPr>
            <w:tcW w:w="2790" w:type="dxa"/>
            <w:tcBorders>
              <w:top w:val="nil"/>
              <w:left w:val="nil"/>
              <w:bottom w:val="nil"/>
              <w:right w:val="nil"/>
            </w:tcBorders>
            <w:noWrap/>
            <w:vAlign w:val="center"/>
            <w:hideMark/>
          </w:tcPr>
          <w:p w14:paraId="73059F9C"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Pet Feeding Containers</w:t>
            </w:r>
          </w:p>
        </w:tc>
        <w:tc>
          <w:tcPr>
            <w:tcW w:w="943" w:type="dxa"/>
            <w:tcBorders>
              <w:top w:val="nil"/>
              <w:left w:val="nil"/>
              <w:bottom w:val="nil"/>
              <w:right w:val="nil"/>
            </w:tcBorders>
            <w:noWrap/>
            <w:vAlign w:val="center"/>
            <w:hideMark/>
          </w:tcPr>
          <w:p w14:paraId="39C91544"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2.7</w:t>
            </w:r>
          </w:p>
        </w:tc>
        <w:tc>
          <w:tcPr>
            <w:tcW w:w="964" w:type="dxa"/>
            <w:tcBorders>
              <w:top w:val="nil"/>
              <w:left w:val="nil"/>
              <w:bottom w:val="nil"/>
              <w:right w:val="nil"/>
            </w:tcBorders>
            <w:noWrap/>
            <w:vAlign w:val="center"/>
            <w:hideMark/>
          </w:tcPr>
          <w:p w14:paraId="72419343"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2.88</w:t>
            </w:r>
          </w:p>
        </w:tc>
        <w:tc>
          <w:tcPr>
            <w:tcW w:w="964" w:type="dxa"/>
            <w:tcBorders>
              <w:top w:val="nil"/>
              <w:left w:val="nil"/>
              <w:bottom w:val="nil"/>
              <w:right w:val="nil"/>
            </w:tcBorders>
            <w:noWrap/>
            <w:vAlign w:val="center"/>
            <w:hideMark/>
          </w:tcPr>
          <w:p w14:paraId="58BB6F11"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1.4</w:t>
            </w:r>
          </w:p>
        </w:tc>
        <w:tc>
          <w:tcPr>
            <w:tcW w:w="817" w:type="dxa"/>
            <w:tcBorders>
              <w:top w:val="nil"/>
              <w:left w:val="nil"/>
              <w:bottom w:val="nil"/>
              <w:right w:val="nil"/>
            </w:tcBorders>
            <w:noWrap/>
            <w:vAlign w:val="center"/>
            <w:hideMark/>
          </w:tcPr>
          <w:p w14:paraId="29A0D796"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1.07</w:t>
            </w:r>
          </w:p>
        </w:tc>
        <w:tc>
          <w:tcPr>
            <w:tcW w:w="823" w:type="dxa"/>
            <w:tcBorders>
              <w:top w:val="nil"/>
              <w:left w:val="nil"/>
              <w:bottom w:val="nil"/>
              <w:right w:val="nil"/>
            </w:tcBorders>
            <w:noWrap/>
            <w:vAlign w:val="center"/>
            <w:hideMark/>
          </w:tcPr>
          <w:p w14:paraId="1A7B6B5D"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0.52</w:t>
            </w:r>
          </w:p>
        </w:tc>
        <w:tc>
          <w:tcPr>
            <w:tcW w:w="889" w:type="dxa"/>
            <w:tcBorders>
              <w:top w:val="nil"/>
              <w:left w:val="nil"/>
              <w:bottom w:val="nil"/>
              <w:right w:val="nil"/>
            </w:tcBorders>
            <w:noWrap/>
            <w:vAlign w:val="center"/>
            <w:hideMark/>
          </w:tcPr>
          <w:p w14:paraId="0BD28869"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0.53</w:t>
            </w:r>
          </w:p>
        </w:tc>
        <w:tc>
          <w:tcPr>
            <w:tcW w:w="990" w:type="dxa"/>
            <w:tcBorders>
              <w:top w:val="nil"/>
              <w:left w:val="nil"/>
              <w:bottom w:val="nil"/>
              <w:right w:val="nil"/>
            </w:tcBorders>
            <w:noWrap/>
            <w:vAlign w:val="center"/>
            <w:hideMark/>
          </w:tcPr>
          <w:p w14:paraId="26C7CB69"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r>
      <w:tr w:rsidR="00A22F4A" w:rsidRPr="00A32EAA" w14:paraId="2FFCFC0D" w14:textId="77777777" w:rsidTr="00421ABF">
        <w:trPr>
          <w:trHeight w:val="301"/>
        </w:trPr>
        <w:tc>
          <w:tcPr>
            <w:tcW w:w="2790" w:type="dxa"/>
            <w:tcBorders>
              <w:top w:val="nil"/>
              <w:left w:val="nil"/>
              <w:bottom w:val="nil"/>
              <w:right w:val="nil"/>
            </w:tcBorders>
            <w:noWrap/>
            <w:vAlign w:val="center"/>
            <w:hideMark/>
          </w:tcPr>
          <w:p w14:paraId="16B8CF8A"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Refrigerators</w:t>
            </w:r>
          </w:p>
        </w:tc>
        <w:tc>
          <w:tcPr>
            <w:tcW w:w="943" w:type="dxa"/>
            <w:tcBorders>
              <w:top w:val="nil"/>
              <w:left w:val="nil"/>
              <w:bottom w:val="nil"/>
              <w:right w:val="nil"/>
            </w:tcBorders>
            <w:noWrap/>
            <w:vAlign w:val="center"/>
            <w:hideMark/>
          </w:tcPr>
          <w:p w14:paraId="4AFE98A8"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2.16</w:t>
            </w:r>
          </w:p>
        </w:tc>
        <w:tc>
          <w:tcPr>
            <w:tcW w:w="964" w:type="dxa"/>
            <w:tcBorders>
              <w:top w:val="nil"/>
              <w:left w:val="nil"/>
              <w:bottom w:val="nil"/>
              <w:right w:val="nil"/>
            </w:tcBorders>
            <w:noWrap/>
            <w:vAlign w:val="center"/>
            <w:hideMark/>
          </w:tcPr>
          <w:p w14:paraId="24332F5D"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964" w:type="dxa"/>
            <w:tcBorders>
              <w:top w:val="nil"/>
              <w:left w:val="nil"/>
              <w:bottom w:val="nil"/>
              <w:right w:val="nil"/>
            </w:tcBorders>
            <w:noWrap/>
            <w:vAlign w:val="center"/>
            <w:hideMark/>
          </w:tcPr>
          <w:p w14:paraId="5AACBD74"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0.93</w:t>
            </w:r>
          </w:p>
        </w:tc>
        <w:tc>
          <w:tcPr>
            <w:tcW w:w="817" w:type="dxa"/>
            <w:tcBorders>
              <w:top w:val="nil"/>
              <w:left w:val="nil"/>
              <w:bottom w:val="nil"/>
              <w:right w:val="nil"/>
            </w:tcBorders>
            <w:noWrap/>
            <w:vAlign w:val="center"/>
            <w:hideMark/>
          </w:tcPr>
          <w:p w14:paraId="2FECED99"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823" w:type="dxa"/>
            <w:tcBorders>
              <w:top w:val="nil"/>
              <w:left w:val="nil"/>
              <w:bottom w:val="nil"/>
              <w:right w:val="nil"/>
            </w:tcBorders>
            <w:noWrap/>
            <w:vAlign w:val="center"/>
            <w:hideMark/>
          </w:tcPr>
          <w:p w14:paraId="2F63D3FC"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0.43</w:t>
            </w:r>
          </w:p>
        </w:tc>
        <w:tc>
          <w:tcPr>
            <w:tcW w:w="889" w:type="dxa"/>
            <w:tcBorders>
              <w:top w:val="nil"/>
              <w:left w:val="nil"/>
              <w:bottom w:val="nil"/>
              <w:right w:val="nil"/>
            </w:tcBorders>
            <w:noWrap/>
            <w:vAlign w:val="center"/>
            <w:hideMark/>
          </w:tcPr>
          <w:p w14:paraId="23C83660"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990" w:type="dxa"/>
            <w:tcBorders>
              <w:top w:val="nil"/>
              <w:left w:val="nil"/>
              <w:bottom w:val="nil"/>
              <w:right w:val="nil"/>
            </w:tcBorders>
            <w:noWrap/>
            <w:vAlign w:val="center"/>
            <w:hideMark/>
          </w:tcPr>
          <w:p w14:paraId="52DAD3D2"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r>
      <w:tr w:rsidR="00A22F4A" w:rsidRPr="00A32EAA" w14:paraId="2D36B855" w14:textId="77777777" w:rsidTr="00421ABF">
        <w:trPr>
          <w:trHeight w:val="301"/>
        </w:trPr>
        <w:tc>
          <w:tcPr>
            <w:tcW w:w="2790" w:type="dxa"/>
            <w:tcBorders>
              <w:top w:val="nil"/>
              <w:left w:val="nil"/>
              <w:bottom w:val="nil"/>
              <w:right w:val="nil"/>
            </w:tcBorders>
            <w:noWrap/>
            <w:vAlign w:val="center"/>
            <w:hideMark/>
          </w:tcPr>
          <w:p w14:paraId="175E539F"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Slabs</w:t>
            </w:r>
          </w:p>
        </w:tc>
        <w:tc>
          <w:tcPr>
            <w:tcW w:w="943" w:type="dxa"/>
            <w:tcBorders>
              <w:top w:val="nil"/>
              <w:left w:val="nil"/>
              <w:bottom w:val="nil"/>
              <w:right w:val="nil"/>
            </w:tcBorders>
            <w:noWrap/>
            <w:vAlign w:val="center"/>
            <w:hideMark/>
          </w:tcPr>
          <w:p w14:paraId="18BAA686"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3.92</w:t>
            </w:r>
          </w:p>
        </w:tc>
        <w:tc>
          <w:tcPr>
            <w:tcW w:w="964" w:type="dxa"/>
            <w:tcBorders>
              <w:top w:val="nil"/>
              <w:left w:val="nil"/>
              <w:bottom w:val="nil"/>
              <w:right w:val="nil"/>
            </w:tcBorders>
            <w:noWrap/>
            <w:vAlign w:val="center"/>
            <w:hideMark/>
          </w:tcPr>
          <w:p w14:paraId="4B93192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964" w:type="dxa"/>
            <w:tcBorders>
              <w:top w:val="nil"/>
              <w:left w:val="nil"/>
              <w:bottom w:val="nil"/>
              <w:right w:val="nil"/>
            </w:tcBorders>
            <w:noWrap/>
            <w:vAlign w:val="center"/>
            <w:hideMark/>
          </w:tcPr>
          <w:p w14:paraId="6538C90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0.47</w:t>
            </w:r>
          </w:p>
        </w:tc>
        <w:tc>
          <w:tcPr>
            <w:tcW w:w="817" w:type="dxa"/>
            <w:tcBorders>
              <w:top w:val="nil"/>
              <w:left w:val="nil"/>
              <w:bottom w:val="nil"/>
              <w:right w:val="nil"/>
            </w:tcBorders>
            <w:noWrap/>
            <w:vAlign w:val="center"/>
            <w:hideMark/>
          </w:tcPr>
          <w:p w14:paraId="4E8505E8"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823" w:type="dxa"/>
            <w:tcBorders>
              <w:top w:val="nil"/>
              <w:left w:val="nil"/>
              <w:bottom w:val="nil"/>
              <w:right w:val="nil"/>
            </w:tcBorders>
            <w:noWrap/>
            <w:vAlign w:val="center"/>
            <w:hideMark/>
          </w:tcPr>
          <w:p w14:paraId="6040727E"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0.12</w:t>
            </w:r>
          </w:p>
        </w:tc>
        <w:tc>
          <w:tcPr>
            <w:tcW w:w="889" w:type="dxa"/>
            <w:tcBorders>
              <w:top w:val="nil"/>
              <w:left w:val="nil"/>
              <w:bottom w:val="nil"/>
              <w:right w:val="nil"/>
            </w:tcBorders>
            <w:noWrap/>
            <w:vAlign w:val="center"/>
            <w:hideMark/>
          </w:tcPr>
          <w:p w14:paraId="2375241E"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990" w:type="dxa"/>
            <w:tcBorders>
              <w:top w:val="nil"/>
              <w:left w:val="nil"/>
              <w:bottom w:val="nil"/>
              <w:right w:val="nil"/>
            </w:tcBorders>
            <w:noWrap/>
            <w:vAlign w:val="center"/>
            <w:hideMark/>
          </w:tcPr>
          <w:p w14:paraId="5FF74C4B"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2.5</w:t>
            </w:r>
          </w:p>
        </w:tc>
      </w:tr>
      <w:tr w:rsidR="00A22F4A" w:rsidRPr="00A32EAA" w14:paraId="79559736" w14:textId="77777777" w:rsidTr="00421ABF">
        <w:trPr>
          <w:trHeight w:val="301"/>
        </w:trPr>
        <w:tc>
          <w:tcPr>
            <w:tcW w:w="2790" w:type="dxa"/>
            <w:tcBorders>
              <w:top w:val="nil"/>
              <w:left w:val="nil"/>
              <w:bottom w:val="nil"/>
              <w:right w:val="nil"/>
            </w:tcBorders>
            <w:noWrap/>
            <w:vAlign w:val="center"/>
            <w:hideMark/>
          </w:tcPr>
          <w:p w14:paraId="274A5B9D"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Tyre</w:t>
            </w:r>
          </w:p>
        </w:tc>
        <w:tc>
          <w:tcPr>
            <w:tcW w:w="943" w:type="dxa"/>
            <w:tcBorders>
              <w:top w:val="nil"/>
              <w:left w:val="nil"/>
              <w:bottom w:val="nil"/>
              <w:right w:val="nil"/>
            </w:tcBorders>
            <w:noWrap/>
            <w:vAlign w:val="center"/>
            <w:hideMark/>
          </w:tcPr>
          <w:p w14:paraId="6AA95B7E"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7.84</w:t>
            </w:r>
          </w:p>
        </w:tc>
        <w:tc>
          <w:tcPr>
            <w:tcW w:w="964" w:type="dxa"/>
            <w:tcBorders>
              <w:top w:val="nil"/>
              <w:left w:val="nil"/>
              <w:bottom w:val="nil"/>
              <w:right w:val="nil"/>
            </w:tcBorders>
            <w:noWrap/>
            <w:vAlign w:val="center"/>
            <w:hideMark/>
          </w:tcPr>
          <w:p w14:paraId="7E27D938"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17.31</w:t>
            </w:r>
          </w:p>
        </w:tc>
        <w:tc>
          <w:tcPr>
            <w:tcW w:w="964" w:type="dxa"/>
            <w:tcBorders>
              <w:top w:val="nil"/>
              <w:left w:val="nil"/>
              <w:bottom w:val="nil"/>
              <w:right w:val="nil"/>
            </w:tcBorders>
            <w:noWrap/>
            <w:vAlign w:val="center"/>
            <w:hideMark/>
          </w:tcPr>
          <w:p w14:paraId="59C5417D"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5.14</w:t>
            </w:r>
          </w:p>
        </w:tc>
        <w:tc>
          <w:tcPr>
            <w:tcW w:w="817" w:type="dxa"/>
            <w:tcBorders>
              <w:top w:val="nil"/>
              <w:left w:val="nil"/>
              <w:bottom w:val="nil"/>
              <w:right w:val="nil"/>
            </w:tcBorders>
            <w:noWrap/>
            <w:vAlign w:val="center"/>
            <w:hideMark/>
          </w:tcPr>
          <w:p w14:paraId="7F6E33E5"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2.21</w:t>
            </w:r>
          </w:p>
        </w:tc>
        <w:tc>
          <w:tcPr>
            <w:tcW w:w="823" w:type="dxa"/>
            <w:tcBorders>
              <w:top w:val="nil"/>
              <w:left w:val="nil"/>
              <w:bottom w:val="nil"/>
              <w:right w:val="nil"/>
            </w:tcBorders>
            <w:noWrap/>
            <w:vAlign w:val="center"/>
            <w:hideMark/>
          </w:tcPr>
          <w:p w14:paraId="41C9D014"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0.66</w:t>
            </w:r>
          </w:p>
        </w:tc>
        <w:tc>
          <w:tcPr>
            <w:tcW w:w="889" w:type="dxa"/>
            <w:tcBorders>
              <w:top w:val="nil"/>
              <w:left w:val="nil"/>
              <w:bottom w:val="nil"/>
              <w:right w:val="nil"/>
            </w:tcBorders>
            <w:noWrap/>
            <w:vAlign w:val="center"/>
            <w:hideMark/>
          </w:tcPr>
          <w:p w14:paraId="76405AB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32.98</w:t>
            </w:r>
          </w:p>
        </w:tc>
        <w:tc>
          <w:tcPr>
            <w:tcW w:w="990" w:type="dxa"/>
            <w:tcBorders>
              <w:top w:val="nil"/>
              <w:left w:val="nil"/>
              <w:bottom w:val="nil"/>
              <w:right w:val="nil"/>
            </w:tcBorders>
            <w:noWrap/>
            <w:vAlign w:val="center"/>
            <w:hideMark/>
          </w:tcPr>
          <w:p w14:paraId="1DE51B50"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3</w:t>
            </w:r>
          </w:p>
        </w:tc>
      </w:tr>
      <w:tr w:rsidR="00A22F4A" w:rsidRPr="00A32EAA" w14:paraId="66754B22" w14:textId="77777777" w:rsidTr="00421ABF">
        <w:trPr>
          <w:trHeight w:val="315"/>
        </w:trPr>
        <w:tc>
          <w:tcPr>
            <w:tcW w:w="2790" w:type="dxa"/>
            <w:tcBorders>
              <w:top w:val="nil"/>
              <w:left w:val="nil"/>
              <w:bottom w:val="single" w:sz="8" w:space="0" w:color="auto"/>
              <w:right w:val="nil"/>
            </w:tcBorders>
            <w:noWrap/>
            <w:vAlign w:val="center"/>
            <w:hideMark/>
          </w:tcPr>
          <w:p w14:paraId="6396F9F0"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Water Storage Items</w:t>
            </w:r>
          </w:p>
        </w:tc>
        <w:tc>
          <w:tcPr>
            <w:tcW w:w="943" w:type="dxa"/>
            <w:tcBorders>
              <w:top w:val="nil"/>
              <w:left w:val="nil"/>
              <w:bottom w:val="single" w:sz="8" w:space="0" w:color="auto"/>
              <w:right w:val="nil"/>
            </w:tcBorders>
            <w:noWrap/>
            <w:vAlign w:val="center"/>
            <w:hideMark/>
          </w:tcPr>
          <w:p w14:paraId="31FF47D3"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13.58</w:t>
            </w:r>
          </w:p>
        </w:tc>
        <w:tc>
          <w:tcPr>
            <w:tcW w:w="964" w:type="dxa"/>
            <w:tcBorders>
              <w:top w:val="nil"/>
              <w:left w:val="nil"/>
              <w:bottom w:val="single" w:sz="8" w:space="0" w:color="auto"/>
              <w:right w:val="nil"/>
            </w:tcBorders>
            <w:noWrap/>
            <w:vAlign w:val="center"/>
            <w:hideMark/>
          </w:tcPr>
          <w:p w14:paraId="2973491D"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12.5</w:t>
            </w:r>
          </w:p>
        </w:tc>
        <w:tc>
          <w:tcPr>
            <w:tcW w:w="964" w:type="dxa"/>
            <w:tcBorders>
              <w:top w:val="nil"/>
              <w:left w:val="nil"/>
              <w:bottom w:val="single" w:sz="8" w:space="0" w:color="auto"/>
              <w:right w:val="nil"/>
            </w:tcBorders>
            <w:noWrap/>
            <w:vAlign w:val="center"/>
            <w:hideMark/>
          </w:tcPr>
          <w:p w14:paraId="46C8A0BF"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9.81</w:t>
            </w:r>
          </w:p>
        </w:tc>
        <w:tc>
          <w:tcPr>
            <w:tcW w:w="817" w:type="dxa"/>
            <w:tcBorders>
              <w:top w:val="nil"/>
              <w:left w:val="nil"/>
              <w:bottom w:val="single" w:sz="8" w:space="0" w:color="auto"/>
              <w:right w:val="nil"/>
            </w:tcBorders>
            <w:noWrap/>
            <w:vAlign w:val="center"/>
            <w:hideMark/>
          </w:tcPr>
          <w:p w14:paraId="19CB969B"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0.92</w:t>
            </w:r>
          </w:p>
        </w:tc>
        <w:tc>
          <w:tcPr>
            <w:tcW w:w="823" w:type="dxa"/>
            <w:tcBorders>
              <w:top w:val="nil"/>
              <w:left w:val="nil"/>
              <w:bottom w:val="single" w:sz="8" w:space="0" w:color="auto"/>
              <w:right w:val="nil"/>
            </w:tcBorders>
            <w:noWrap/>
            <w:vAlign w:val="center"/>
            <w:hideMark/>
          </w:tcPr>
          <w:p w14:paraId="325D7C45"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0.72</w:t>
            </w:r>
          </w:p>
        </w:tc>
        <w:tc>
          <w:tcPr>
            <w:tcW w:w="889" w:type="dxa"/>
            <w:tcBorders>
              <w:top w:val="nil"/>
              <w:left w:val="nil"/>
              <w:bottom w:val="single" w:sz="8" w:space="0" w:color="auto"/>
              <w:right w:val="nil"/>
            </w:tcBorders>
            <w:noWrap/>
            <w:vAlign w:val="center"/>
            <w:hideMark/>
          </w:tcPr>
          <w:p w14:paraId="4775333D"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9.57</w:t>
            </w:r>
          </w:p>
        </w:tc>
        <w:tc>
          <w:tcPr>
            <w:tcW w:w="990" w:type="dxa"/>
            <w:tcBorders>
              <w:top w:val="nil"/>
              <w:left w:val="nil"/>
              <w:bottom w:val="single" w:sz="8" w:space="0" w:color="auto"/>
              <w:right w:val="nil"/>
            </w:tcBorders>
            <w:noWrap/>
            <w:vAlign w:val="center"/>
            <w:hideMark/>
          </w:tcPr>
          <w:p w14:paraId="763B92A2"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3.25</w:t>
            </w:r>
          </w:p>
        </w:tc>
      </w:tr>
    </w:tbl>
    <w:p w14:paraId="120BE71C" w14:textId="4943A19B" w:rsidR="004005A9" w:rsidRPr="002445BC" w:rsidRDefault="008E1CC4" w:rsidP="00421ABF">
      <w:pPr>
        <w:spacing w:before="240" w:after="240" w:line="240" w:lineRule="auto"/>
        <w:jc w:val="both"/>
        <w:rPr>
          <w:rFonts w:ascii="Times New Roman" w:hAnsi="Times New Roman" w:cs="Times New Roman"/>
          <w:i/>
          <w:iCs/>
          <w:sz w:val="24"/>
          <w:szCs w:val="24"/>
        </w:rPr>
      </w:pPr>
      <w:r w:rsidRPr="002445BC">
        <w:rPr>
          <w:rFonts w:ascii="Times New Roman" w:hAnsi="Times New Roman" w:cs="Times New Roman"/>
          <w:b/>
          <w:bCs/>
          <w:sz w:val="24"/>
          <w:szCs w:val="24"/>
        </w:rPr>
        <w:t xml:space="preserve">A: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w:t>
      </w:r>
      <w:r w:rsidR="00FE4DDE" w:rsidRPr="002445BC">
        <w:rPr>
          <w:rFonts w:ascii="Times New Roman" w:hAnsi="Times New Roman" w:cs="Times New Roman"/>
          <w:sz w:val="24"/>
          <w:szCs w:val="24"/>
        </w:rPr>
        <w:tab/>
      </w:r>
      <w:r w:rsidRPr="002445BC">
        <w:rPr>
          <w:rFonts w:ascii="Times New Roman" w:hAnsi="Times New Roman" w:cs="Times New Roman"/>
          <w:b/>
          <w:bCs/>
          <w:sz w:val="24"/>
          <w:szCs w:val="24"/>
        </w:rPr>
        <w:t>B</w:t>
      </w:r>
      <w:r w:rsidRPr="002445BC">
        <w:rPr>
          <w:rFonts w:ascii="Times New Roman" w:hAnsi="Times New Roman" w:cs="Times New Roman"/>
          <w:sz w:val="24"/>
          <w:szCs w:val="24"/>
        </w:rPr>
        <w:t xml:space="preserve">: </w:t>
      </w:r>
      <w:r w:rsidRPr="002445BC">
        <w:rPr>
          <w:rFonts w:ascii="Times New Roman" w:hAnsi="Times New Roman" w:cs="Times New Roman"/>
          <w:i/>
          <w:iCs/>
          <w:sz w:val="24"/>
          <w:szCs w:val="24"/>
        </w:rPr>
        <w:t>Ae. albopictus</w:t>
      </w:r>
    </w:p>
    <w:p w14:paraId="4A6B0328" w14:textId="4854B01F" w:rsidR="00BD6A62" w:rsidRPr="002445BC" w:rsidRDefault="008D1CBE"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 </w:t>
      </w:r>
    </w:p>
    <w:p w14:paraId="0664E615" w14:textId="77777777" w:rsidR="00BD6A62" w:rsidRPr="002445BC" w:rsidRDefault="00BD6A62" w:rsidP="002445BC">
      <w:pPr>
        <w:autoSpaceDE w:val="0"/>
        <w:autoSpaceDN w:val="0"/>
        <w:adjustRightInd w:val="0"/>
        <w:spacing w:before="240" w:after="240" w:line="240" w:lineRule="auto"/>
        <w:rPr>
          <w:rFonts w:ascii="Times New Roman" w:hAnsi="Times New Roman" w:cs="Times New Roman"/>
          <w:sz w:val="24"/>
          <w:szCs w:val="24"/>
        </w:rPr>
      </w:pPr>
    </w:p>
    <w:p w14:paraId="67DB7138" w14:textId="73F5717F" w:rsidR="00BD6A62" w:rsidRPr="002445BC" w:rsidRDefault="006A3D25" w:rsidP="002445BC">
      <w:pPr>
        <w:autoSpaceDE w:val="0"/>
        <w:autoSpaceDN w:val="0"/>
        <w:adjustRightInd w:val="0"/>
        <w:spacing w:before="240" w:after="240" w:line="240" w:lineRule="auto"/>
        <w:rPr>
          <w:rFonts w:ascii="Times New Roman" w:hAnsi="Times New Roman" w:cs="Times New Roman"/>
          <w:sz w:val="24"/>
          <w:szCs w:val="24"/>
        </w:rPr>
      </w:pPr>
      <w:r w:rsidRPr="002445BC">
        <w:rPr>
          <w:rFonts w:ascii="Times New Roman" w:hAnsi="Times New Roman" w:cs="Times New Roman"/>
          <w:noProof/>
          <w:sz w:val="24"/>
          <w:szCs w:val="24"/>
        </w:rPr>
        <w:lastRenderedPageBreak/>
        <w:drawing>
          <wp:inline distT="0" distB="0" distL="0" distR="0" wp14:anchorId="0EEBB334" wp14:editId="1F00D22F">
            <wp:extent cx="4192270" cy="353561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658" t="-507" r="18364" b="2519"/>
                    <a:stretch/>
                  </pic:blipFill>
                  <pic:spPr bwMode="auto">
                    <a:xfrm>
                      <a:off x="0" y="0"/>
                      <a:ext cx="4210435" cy="3550931"/>
                    </a:xfrm>
                    <a:prstGeom prst="rect">
                      <a:avLst/>
                    </a:prstGeom>
                    <a:ln>
                      <a:noFill/>
                    </a:ln>
                    <a:extLst>
                      <a:ext uri="{53640926-AAD7-44D8-BBD7-CCE9431645EC}">
                        <a14:shadowObscured xmlns:a14="http://schemas.microsoft.com/office/drawing/2010/main"/>
                      </a:ext>
                    </a:extLst>
                  </pic:spPr>
                </pic:pic>
              </a:graphicData>
            </a:graphic>
          </wp:inline>
        </w:drawing>
      </w:r>
    </w:p>
    <w:p w14:paraId="4B135A02" w14:textId="51A59EC7" w:rsidR="00215579" w:rsidRPr="006D485A" w:rsidRDefault="00A32EAA" w:rsidP="002445BC">
      <w:pPr>
        <w:pStyle w:val="Caption"/>
        <w:spacing w:before="240" w:after="240"/>
        <w:rPr>
          <w:rFonts w:ascii="Times New Roman" w:hAnsi="Times New Roman" w:cs="Times New Roman"/>
          <w:i w:val="0"/>
          <w:iCs w:val="0"/>
          <w:color w:val="auto"/>
          <w:sz w:val="24"/>
          <w:szCs w:val="24"/>
        </w:rPr>
      </w:pPr>
      <w:r w:rsidRPr="006D485A">
        <w:rPr>
          <w:rFonts w:ascii="Times New Roman" w:hAnsi="Times New Roman" w:cs="Times New Roman"/>
          <w:i w:val="0"/>
          <w:iCs w:val="0"/>
          <w:color w:val="auto"/>
          <w:sz w:val="24"/>
          <w:szCs w:val="24"/>
        </w:rPr>
        <w:t>Fig</w:t>
      </w:r>
      <w:r w:rsidR="00215579" w:rsidRPr="006D485A">
        <w:rPr>
          <w:rFonts w:ascii="Times New Roman" w:hAnsi="Times New Roman" w:cs="Times New Roman"/>
          <w:i w:val="0"/>
          <w:iCs w:val="0"/>
          <w:color w:val="auto"/>
          <w:sz w:val="24"/>
          <w:szCs w:val="24"/>
        </w:rPr>
        <w:t xml:space="preserve"> </w:t>
      </w:r>
      <w:r w:rsidR="00B00800" w:rsidRPr="006D485A">
        <w:rPr>
          <w:rFonts w:ascii="Times New Roman" w:hAnsi="Times New Roman" w:cs="Times New Roman"/>
          <w:i w:val="0"/>
          <w:iCs w:val="0"/>
          <w:color w:val="auto"/>
          <w:sz w:val="24"/>
          <w:szCs w:val="24"/>
        </w:rPr>
        <w:t>0</w:t>
      </w:r>
      <w:r w:rsidR="00645375" w:rsidRPr="006D485A">
        <w:rPr>
          <w:rFonts w:ascii="Times New Roman" w:hAnsi="Times New Roman" w:cs="Times New Roman"/>
          <w:i w:val="0"/>
          <w:iCs w:val="0"/>
          <w:color w:val="auto"/>
          <w:sz w:val="24"/>
          <w:szCs w:val="24"/>
        </w:rPr>
        <w:t xml:space="preserve">2 </w:t>
      </w:r>
      <w:r w:rsidR="00406CCD" w:rsidRPr="006D485A">
        <w:rPr>
          <w:rFonts w:ascii="Times New Roman" w:hAnsi="Times New Roman" w:cs="Times New Roman"/>
          <w:i w:val="0"/>
          <w:iCs w:val="0"/>
          <w:color w:val="auto"/>
          <w:sz w:val="24"/>
          <w:szCs w:val="24"/>
        </w:rPr>
        <w:t xml:space="preserve">Productivity Variation of </w:t>
      </w:r>
      <w:r w:rsidR="00215579" w:rsidRPr="006D485A">
        <w:rPr>
          <w:rFonts w:ascii="Times New Roman" w:hAnsi="Times New Roman" w:cs="Times New Roman"/>
          <w:color w:val="auto"/>
          <w:sz w:val="24"/>
          <w:szCs w:val="24"/>
        </w:rPr>
        <w:t>Ae aegypti</w:t>
      </w:r>
      <w:r w:rsidR="00215579" w:rsidRPr="006D485A">
        <w:rPr>
          <w:rFonts w:ascii="Times New Roman" w:hAnsi="Times New Roman" w:cs="Times New Roman"/>
          <w:i w:val="0"/>
          <w:iCs w:val="0"/>
          <w:color w:val="auto"/>
          <w:sz w:val="24"/>
          <w:szCs w:val="24"/>
        </w:rPr>
        <w:t xml:space="preserve"> and </w:t>
      </w:r>
      <w:r w:rsidR="00215579" w:rsidRPr="006D485A">
        <w:rPr>
          <w:rFonts w:ascii="Times New Roman" w:hAnsi="Times New Roman" w:cs="Times New Roman"/>
          <w:color w:val="auto"/>
          <w:sz w:val="24"/>
          <w:szCs w:val="24"/>
        </w:rPr>
        <w:t>Ae. albopictus</w:t>
      </w:r>
      <w:r w:rsidR="00215579" w:rsidRPr="006D485A">
        <w:rPr>
          <w:rFonts w:ascii="Times New Roman" w:hAnsi="Times New Roman" w:cs="Times New Roman"/>
          <w:i w:val="0"/>
          <w:iCs w:val="0"/>
          <w:color w:val="auto"/>
          <w:sz w:val="24"/>
          <w:szCs w:val="24"/>
        </w:rPr>
        <w:t xml:space="preserve"> among different breeding habitats</w:t>
      </w:r>
    </w:p>
    <w:p w14:paraId="3BD8F750" w14:textId="77777777" w:rsidR="00DE23FA" w:rsidRPr="00A32EAA" w:rsidRDefault="00C136A7" w:rsidP="002445BC">
      <w:pPr>
        <w:spacing w:before="240" w:after="240" w:line="240" w:lineRule="auto"/>
        <w:jc w:val="both"/>
        <w:rPr>
          <w:rFonts w:ascii="Times New Roman" w:hAnsi="Times New Roman" w:cs="Times New Roman"/>
          <w:b/>
          <w:bCs/>
          <w:sz w:val="24"/>
          <w:szCs w:val="24"/>
        </w:rPr>
      </w:pPr>
      <w:r w:rsidRPr="00A32EAA">
        <w:rPr>
          <w:rFonts w:ascii="Times New Roman" w:hAnsi="Times New Roman" w:cs="Times New Roman"/>
          <w:b/>
          <w:bCs/>
          <w:sz w:val="24"/>
          <w:szCs w:val="24"/>
        </w:rPr>
        <w:t xml:space="preserve">Analysis </w:t>
      </w:r>
      <w:r w:rsidR="00AC06CA" w:rsidRPr="00A32EAA">
        <w:rPr>
          <w:rFonts w:ascii="Times New Roman" w:hAnsi="Times New Roman" w:cs="Times New Roman"/>
          <w:b/>
          <w:bCs/>
          <w:sz w:val="24"/>
          <w:szCs w:val="24"/>
        </w:rPr>
        <w:t>of breeding habitats</w:t>
      </w:r>
      <w:r w:rsidR="00DE23FA" w:rsidRPr="00A32EAA">
        <w:rPr>
          <w:rFonts w:ascii="Times New Roman" w:hAnsi="Times New Roman" w:cs="Times New Roman"/>
          <w:b/>
          <w:bCs/>
          <w:sz w:val="24"/>
          <w:szCs w:val="24"/>
        </w:rPr>
        <w:t xml:space="preserve"> locations</w:t>
      </w:r>
    </w:p>
    <w:p w14:paraId="4EFFD248" w14:textId="1C2112BF" w:rsidR="002648EE" w:rsidRPr="002445BC" w:rsidRDefault="002A0403"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color w:val="1C1C1C"/>
          <w:sz w:val="24"/>
          <w:szCs w:val="24"/>
          <w:shd w:val="clear" w:color="auto" w:fill="FFFFFF"/>
        </w:rPr>
        <w:t>Breeding habitat locations were categorized into indoor and outdoor</w:t>
      </w:r>
      <w:r w:rsidR="003A0B3F" w:rsidRPr="002445BC">
        <w:rPr>
          <w:rFonts w:ascii="Times New Roman" w:hAnsi="Times New Roman" w:cs="Times New Roman"/>
          <w:color w:val="1C1C1C"/>
          <w:sz w:val="24"/>
          <w:szCs w:val="24"/>
          <w:shd w:val="clear" w:color="auto" w:fill="FFFFFF"/>
        </w:rPr>
        <w:t>;</w:t>
      </w:r>
      <w:r w:rsidRPr="002445BC">
        <w:rPr>
          <w:rFonts w:ascii="Times New Roman" w:hAnsi="Times New Roman" w:cs="Times New Roman"/>
          <w:color w:val="1C1C1C"/>
          <w:sz w:val="24"/>
          <w:szCs w:val="24"/>
          <w:shd w:val="clear" w:color="auto" w:fill="FFFFFF"/>
        </w:rPr>
        <w:t xml:space="preserve"> </w:t>
      </w:r>
      <w:r w:rsidR="00857476" w:rsidRPr="002445BC">
        <w:rPr>
          <w:rFonts w:ascii="Times New Roman" w:hAnsi="Times New Roman" w:cs="Times New Roman"/>
          <w:color w:val="1C1C1C"/>
          <w:sz w:val="24"/>
          <w:szCs w:val="24"/>
          <w:shd w:val="clear" w:color="auto" w:fill="FFFFFF"/>
        </w:rPr>
        <w:t>the</w:t>
      </w:r>
      <w:r w:rsidRPr="002445BC">
        <w:rPr>
          <w:rFonts w:ascii="Times New Roman" w:hAnsi="Times New Roman" w:cs="Times New Roman"/>
          <w:color w:val="1C1C1C"/>
          <w:sz w:val="24"/>
          <w:szCs w:val="24"/>
          <w:shd w:val="clear" w:color="auto" w:fill="FFFFFF"/>
        </w:rPr>
        <w:t xml:space="preserve"> outdoor habitats</w:t>
      </w:r>
      <w:r w:rsidR="003A0B3F" w:rsidRPr="002445BC">
        <w:rPr>
          <w:rFonts w:ascii="Times New Roman" w:hAnsi="Times New Roman" w:cs="Times New Roman"/>
          <w:color w:val="1C1C1C"/>
          <w:sz w:val="24"/>
          <w:szCs w:val="24"/>
          <w:shd w:val="clear" w:color="auto" w:fill="FFFFFF"/>
        </w:rPr>
        <w:t xml:space="preserve"> were</w:t>
      </w:r>
      <w:r w:rsidRPr="002445BC">
        <w:rPr>
          <w:rFonts w:ascii="Times New Roman" w:hAnsi="Times New Roman" w:cs="Times New Roman"/>
          <w:color w:val="1C1C1C"/>
          <w:sz w:val="24"/>
          <w:szCs w:val="24"/>
          <w:shd w:val="clear" w:color="auto" w:fill="FFFFFF"/>
        </w:rPr>
        <w:t xml:space="preserve"> further divided into shady and open areas.</w:t>
      </w:r>
      <w:r w:rsidR="00081814" w:rsidRPr="002445BC">
        <w:rPr>
          <w:rFonts w:ascii="Times New Roman" w:hAnsi="Times New Roman" w:cs="Times New Roman"/>
          <w:color w:val="1C1C1C"/>
          <w:sz w:val="24"/>
          <w:szCs w:val="24"/>
          <w:shd w:val="clear" w:color="auto" w:fill="FFFFFF"/>
        </w:rPr>
        <w:t xml:space="preserve"> </w:t>
      </w:r>
      <w:r w:rsidR="00D34B61" w:rsidRPr="002445BC">
        <w:rPr>
          <w:rFonts w:ascii="Times New Roman" w:hAnsi="Times New Roman" w:cs="Times New Roman"/>
          <w:color w:val="1C1C1C"/>
          <w:sz w:val="24"/>
          <w:szCs w:val="24"/>
          <w:shd w:val="clear" w:color="auto" w:fill="FFFFFF"/>
        </w:rPr>
        <w:t xml:space="preserve">Approximately 97.12% (n = 101) of habitats </w:t>
      </w:r>
      <w:r w:rsidR="00027982" w:rsidRPr="002445BC">
        <w:rPr>
          <w:rFonts w:ascii="Times New Roman" w:hAnsi="Times New Roman" w:cs="Times New Roman"/>
          <w:color w:val="1C1C1C"/>
          <w:sz w:val="24"/>
          <w:szCs w:val="24"/>
          <w:shd w:val="clear" w:color="auto" w:fill="FFFFFF"/>
        </w:rPr>
        <w:t xml:space="preserve">were </w:t>
      </w:r>
      <w:r w:rsidR="00E43B5F" w:rsidRPr="002445BC">
        <w:rPr>
          <w:rFonts w:ascii="Times New Roman" w:hAnsi="Times New Roman" w:cs="Times New Roman"/>
          <w:color w:val="1C1C1C"/>
          <w:sz w:val="24"/>
          <w:szCs w:val="24"/>
          <w:shd w:val="clear" w:color="auto" w:fill="FFFFFF"/>
        </w:rPr>
        <w:t xml:space="preserve">positive for </w:t>
      </w:r>
      <w:r w:rsidR="00E43B5F" w:rsidRPr="002445BC">
        <w:rPr>
          <w:rFonts w:ascii="Times New Roman" w:hAnsi="Times New Roman" w:cs="Times New Roman"/>
          <w:i/>
          <w:iCs/>
          <w:color w:val="1C1C1C"/>
          <w:sz w:val="24"/>
          <w:szCs w:val="24"/>
          <w:shd w:val="clear" w:color="auto" w:fill="FFFFFF"/>
        </w:rPr>
        <w:t>Ae. aegypti</w:t>
      </w:r>
      <w:r w:rsidR="00E43B5F" w:rsidRPr="002445BC">
        <w:rPr>
          <w:rFonts w:ascii="Times New Roman" w:hAnsi="Times New Roman" w:cs="Times New Roman"/>
          <w:color w:val="1C1C1C"/>
          <w:sz w:val="24"/>
          <w:szCs w:val="24"/>
          <w:shd w:val="clear" w:color="auto" w:fill="FFFFFF"/>
        </w:rPr>
        <w:t xml:space="preserve"> larvae </w:t>
      </w:r>
      <w:r w:rsidR="00D34B61" w:rsidRPr="002445BC">
        <w:rPr>
          <w:rFonts w:ascii="Times New Roman" w:hAnsi="Times New Roman" w:cs="Times New Roman"/>
          <w:color w:val="1C1C1C"/>
          <w:sz w:val="24"/>
          <w:szCs w:val="24"/>
          <w:shd w:val="clear" w:color="auto" w:fill="FFFFFF"/>
        </w:rPr>
        <w:t>were found outdoors, while only 2.88% (n = 3) were found indoors. The h</w:t>
      </w:r>
      <w:r w:rsidR="00E43B5F" w:rsidRPr="002445BC">
        <w:rPr>
          <w:rFonts w:ascii="Times New Roman" w:hAnsi="Times New Roman" w:cs="Times New Roman"/>
          <w:color w:val="1C1C1C"/>
          <w:sz w:val="24"/>
          <w:szCs w:val="24"/>
          <w:shd w:val="clear" w:color="auto" w:fill="FFFFFF"/>
        </w:rPr>
        <w:t xml:space="preserve">ighest pupal productivity of </w:t>
      </w:r>
      <w:r w:rsidR="00E43B5F" w:rsidRPr="002445BC">
        <w:rPr>
          <w:rFonts w:ascii="Times New Roman" w:hAnsi="Times New Roman" w:cs="Times New Roman"/>
          <w:i/>
          <w:iCs/>
          <w:color w:val="1C1C1C"/>
          <w:sz w:val="24"/>
          <w:szCs w:val="24"/>
          <w:shd w:val="clear" w:color="auto" w:fill="FFFFFF"/>
        </w:rPr>
        <w:t xml:space="preserve">Ae. </w:t>
      </w:r>
      <w:r w:rsidR="00D34B61" w:rsidRPr="002445BC">
        <w:rPr>
          <w:rFonts w:ascii="Times New Roman" w:hAnsi="Times New Roman" w:cs="Times New Roman"/>
          <w:i/>
          <w:iCs/>
          <w:color w:val="1C1C1C"/>
          <w:sz w:val="24"/>
          <w:szCs w:val="24"/>
          <w:shd w:val="clear" w:color="auto" w:fill="FFFFFF"/>
        </w:rPr>
        <w:t xml:space="preserve"> aegypti</w:t>
      </w:r>
      <w:r w:rsidR="00D34B61" w:rsidRPr="002445BC">
        <w:rPr>
          <w:rFonts w:ascii="Times New Roman" w:hAnsi="Times New Roman" w:cs="Times New Roman"/>
          <w:color w:val="1C1C1C"/>
          <w:sz w:val="24"/>
          <w:szCs w:val="24"/>
          <w:shd w:val="clear" w:color="auto" w:fill="FFFFFF"/>
        </w:rPr>
        <w:t xml:space="preserve"> was observed in outdoor </w:t>
      </w:r>
      <w:r w:rsidR="00FA3274" w:rsidRPr="002445BC">
        <w:rPr>
          <w:rFonts w:ascii="Times New Roman" w:hAnsi="Times New Roman" w:cs="Times New Roman"/>
          <w:color w:val="1C1C1C"/>
          <w:sz w:val="24"/>
          <w:szCs w:val="24"/>
          <w:shd w:val="clear" w:color="auto" w:fill="FFFFFF"/>
        </w:rPr>
        <w:t>breeding habitats</w:t>
      </w:r>
      <w:r w:rsidR="00D34B61" w:rsidRPr="002445BC">
        <w:rPr>
          <w:rFonts w:ascii="Times New Roman" w:hAnsi="Times New Roman" w:cs="Times New Roman"/>
          <w:color w:val="1C1C1C"/>
          <w:sz w:val="24"/>
          <w:szCs w:val="24"/>
          <w:shd w:val="clear" w:color="auto" w:fill="FFFFFF"/>
        </w:rPr>
        <w:t>, with 64.36% (n = 242) in open areas and 31.91% (n = 120) in shad</w:t>
      </w:r>
      <w:r w:rsidR="00FA3274" w:rsidRPr="002445BC">
        <w:rPr>
          <w:rFonts w:ascii="Times New Roman" w:hAnsi="Times New Roman" w:cs="Times New Roman"/>
          <w:color w:val="1C1C1C"/>
          <w:sz w:val="24"/>
          <w:szCs w:val="24"/>
          <w:shd w:val="clear" w:color="auto" w:fill="FFFFFF"/>
        </w:rPr>
        <w:t>y</w:t>
      </w:r>
      <w:r w:rsidR="00D34B61" w:rsidRPr="002445BC">
        <w:rPr>
          <w:rFonts w:ascii="Times New Roman" w:hAnsi="Times New Roman" w:cs="Times New Roman"/>
          <w:color w:val="1C1C1C"/>
          <w:sz w:val="24"/>
          <w:szCs w:val="24"/>
          <w:shd w:val="clear" w:color="auto" w:fill="FFFFFF"/>
        </w:rPr>
        <w:t xml:space="preserve"> areas. </w:t>
      </w:r>
      <w:r w:rsidR="003A0B3F" w:rsidRPr="002445BC">
        <w:rPr>
          <w:rFonts w:ascii="Times New Roman" w:hAnsi="Times New Roman" w:cs="Times New Roman"/>
          <w:color w:val="1C1C1C"/>
          <w:sz w:val="24"/>
          <w:szCs w:val="24"/>
          <w:shd w:val="clear" w:color="auto" w:fill="FFFFFF"/>
        </w:rPr>
        <w:t xml:space="preserve">In contrast, the lowest pupal productivity was recorded in indoor breeding habitats, at 3.72% (n = 14). </w:t>
      </w:r>
      <w:r w:rsidR="00D34B61" w:rsidRPr="002445BC">
        <w:rPr>
          <w:rFonts w:ascii="Times New Roman" w:hAnsi="Times New Roman" w:cs="Times New Roman"/>
          <w:color w:val="1C1C1C"/>
          <w:sz w:val="24"/>
          <w:szCs w:val="24"/>
          <w:shd w:val="clear" w:color="auto" w:fill="FFFFFF"/>
        </w:rPr>
        <w:t xml:space="preserve">There was no significant difference in </w:t>
      </w:r>
      <w:r w:rsidR="008E0EEA" w:rsidRPr="002445BC">
        <w:rPr>
          <w:rFonts w:ascii="Times New Roman" w:hAnsi="Times New Roman" w:cs="Times New Roman"/>
          <w:i/>
          <w:iCs/>
          <w:color w:val="1C1C1C"/>
          <w:sz w:val="24"/>
          <w:szCs w:val="24"/>
          <w:shd w:val="clear" w:color="auto" w:fill="FFFFFF"/>
        </w:rPr>
        <w:t>Ae. aegypti</w:t>
      </w:r>
      <w:r w:rsidR="008E0EEA" w:rsidRPr="002445BC">
        <w:rPr>
          <w:rFonts w:ascii="Times New Roman" w:hAnsi="Times New Roman" w:cs="Times New Roman"/>
          <w:color w:val="1C1C1C"/>
          <w:sz w:val="24"/>
          <w:szCs w:val="24"/>
          <w:shd w:val="clear" w:color="auto" w:fill="FFFFFF"/>
        </w:rPr>
        <w:t xml:space="preserve"> </w:t>
      </w:r>
      <w:r w:rsidR="00D34B61" w:rsidRPr="002445BC">
        <w:rPr>
          <w:rFonts w:ascii="Times New Roman" w:hAnsi="Times New Roman" w:cs="Times New Roman"/>
          <w:color w:val="1C1C1C"/>
          <w:sz w:val="24"/>
          <w:szCs w:val="24"/>
          <w:shd w:val="clear" w:color="auto" w:fill="FFFFFF"/>
        </w:rPr>
        <w:t>pupal productivity</w:t>
      </w:r>
      <w:r w:rsidR="008E0EEA" w:rsidRPr="002445BC">
        <w:rPr>
          <w:rFonts w:ascii="Times New Roman" w:hAnsi="Times New Roman" w:cs="Times New Roman"/>
          <w:color w:val="1C1C1C"/>
          <w:sz w:val="24"/>
          <w:szCs w:val="24"/>
          <w:shd w:val="clear" w:color="auto" w:fill="FFFFFF"/>
        </w:rPr>
        <w:t xml:space="preserve"> </w:t>
      </w:r>
      <w:r w:rsidR="00D34B61" w:rsidRPr="002445BC">
        <w:rPr>
          <w:rFonts w:ascii="Times New Roman" w:hAnsi="Times New Roman" w:cs="Times New Roman"/>
          <w:color w:val="1C1C1C"/>
          <w:sz w:val="24"/>
          <w:szCs w:val="24"/>
          <w:shd w:val="clear" w:color="auto" w:fill="FFFFFF"/>
        </w:rPr>
        <w:t xml:space="preserve">among the </w:t>
      </w:r>
      <w:r w:rsidR="00E43B5F" w:rsidRPr="002445BC">
        <w:rPr>
          <w:rFonts w:ascii="Times New Roman" w:hAnsi="Times New Roman" w:cs="Times New Roman"/>
          <w:color w:val="1C1C1C"/>
          <w:sz w:val="24"/>
          <w:szCs w:val="24"/>
          <w:shd w:val="clear" w:color="auto" w:fill="FFFFFF"/>
        </w:rPr>
        <w:t>locations of breeding habitats</w:t>
      </w:r>
      <w:r w:rsidR="00D34B61" w:rsidRPr="002445BC">
        <w:rPr>
          <w:rFonts w:ascii="Times New Roman" w:hAnsi="Times New Roman" w:cs="Times New Roman"/>
          <w:color w:val="1C1C1C"/>
          <w:sz w:val="24"/>
          <w:szCs w:val="24"/>
          <w:shd w:val="clear" w:color="auto" w:fill="FFFFFF"/>
        </w:rPr>
        <w:t xml:space="preserve"> (F = 2.4</w:t>
      </w:r>
      <w:r w:rsidR="00E43B5F" w:rsidRPr="002445BC">
        <w:rPr>
          <w:rFonts w:ascii="Times New Roman" w:hAnsi="Times New Roman" w:cs="Times New Roman"/>
          <w:color w:val="1C1C1C"/>
          <w:sz w:val="24"/>
          <w:szCs w:val="24"/>
          <w:shd w:val="clear" w:color="auto" w:fill="FFFFFF"/>
        </w:rPr>
        <w:t>04, p = 0.112, df = 2, 24) (</w:t>
      </w:r>
      <w:r w:rsidR="00D34B61" w:rsidRPr="002445BC">
        <w:rPr>
          <w:rFonts w:ascii="Times New Roman" w:hAnsi="Times New Roman" w:cs="Times New Roman"/>
          <w:color w:val="1C1C1C"/>
          <w:sz w:val="24"/>
          <w:szCs w:val="24"/>
          <w:shd w:val="clear" w:color="auto" w:fill="FFFFFF"/>
        </w:rPr>
        <w:t>Fig. 03).</w:t>
      </w:r>
      <w:r w:rsidR="00A841A1" w:rsidRPr="002445BC">
        <w:rPr>
          <w:rFonts w:ascii="Times New Roman" w:hAnsi="Times New Roman" w:cs="Times New Roman"/>
          <w:color w:val="1C1C1C"/>
          <w:sz w:val="24"/>
          <w:szCs w:val="24"/>
          <w:shd w:val="clear" w:color="auto" w:fill="FFFFFF"/>
        </w:rPr>
        <w:t xml:space="preserve"> </w:t>
      </w:r>
      <w:r w:rsidR="00FA3274" w:rsidRPr="002445BC">
        <w:rPr>
          <w:rFonts w:ascii="Times New Roman" w:hAnsi="Times New Roman" w:cs="Times New Roman"/>
          <w:color w:val="1C1C1C"/>
          <w:sz w:val="24"/>
          <w:szCs w:val="24"/>
          <w:shd w:val="clear" w:color="auto" w:fill="FFFFFF"/>
        </w:rPr>
        <w:t>Similarly,</w:t>
      </w:r>
      <w:r w:rsidR="00E43B5F" w:rsidRPr="002445BC">
        <w:rPr>
          <w:rFonts w:ascii="Times New Roman" w:hAnsi="Times New Roman" w:cs="Times New Roman"/>
          <w:color w:val="1C1C1C"/>
          <w:sz w:val="24"/>
          <w:szCs w:val="24"/>
          <w:shd w:val="clear" w:color="auto" w:fill="FFFFFF"/>
        </w:rPr>
        <w:t xml:space="preserve"> </w:t>
      </w:r>
      <w:r w:rsidR="00405AE6" w:rsidRPr="002445BC">
        <w:rPr>
          <w:rFonts w:ascii="Times New Roman" w:hAnsi="Times New Roman" w:cs="Times New Roman"/>
          <w:color w:val="1C1C1C"/>
          <w:sz w:val="24"/>
          <w:szCs w:val="24"/>
          <w:shd w:val="clear" w:color="auto" w:fill="FFFFFF"/>
        </w:rPr>
        <w:t>98.</w:t>
      </w:r>
      <w:r w:rsidR="00CD649A" w:rsidRPr="002445BC">
        <w:rPr>
          <w:rFonts w:ascii="Times New Roman" w:hAnsi="Times New Roman" w:cs="Times New Roman"/>
          <w:color w:val="1C1C1C"/>
          <w:sz w:val="24"/>
          <w:szCs w:val="24"/>
          <w:shd w:val="clear" w:color="auto" w:fill="FFFFFF"/>
        </w:rPr>
        <w:t>59</w:t>
      </w:r>
      <w:r w:rsidR="00405AE6" w:rsidRPr="002445BC">
        <w:rPr>
          <w:rFonts w:ascii="Times New Roman" w:hAnsi="Times New Roman" w:cs="Times New Roman"/>
          <w:color w:val="1C1C1C"/>
          <w:sz w:val="24"/>
          <w:szCs w:val="24"/>
          <w:shd w:val="clear" w:color="auto" w:fill="FFFFFF"/>
        </w:rPr>
        <w:t>% (n = 21</w:t>
      </w:r>
      <w:r w:rsidR="00CD649A" w:rsidRPr="002445BC">
        <w:rPr>
          <w:rFonts w:ascii="Times New Roman" w:hAnsi="Times New Roman" w:cs="Times New Roman"/>
          <w:color w:val="1C1C1C"/>
          <w:sz w:val="24"/>
          <w:szCs w:val="24"/>
          <w:shd w:val="clear" w:color="auto" w:fill="FFFFFF"/>
        </w:rPr>
        <w:t>1</w:t>
      </w:r>
      <w:r w:rsidR="00405AE6" w:rsidRPr="002445BC">
        <w:rPr>
          <w:rFonts w:ascii="Times New Roman" w:hAnsi="Times New Roman" w:cs="Times New Roman"/>
          <w:color w:val="1C1C1C"/>
          <w:sz w:val="24"/>
          <w:szCs w:val="24"/>
          <w:shd w:val="clear" w:color="auto" w:fill="FFFFFF"/>
        </w:rPr>
        <w:t xml:space="preserve">) of habitats </w:t>
      </w:r>
      <w:r w:rsidR="003A0B3F" w:rsidRPr="002445BC">
        <w:rPr>
          <w:rFonts w:ascii="Times New Roman" w:hAnsi="Times New Roman" w:cs="Times New Roman"/>
          <w:color w:val="1C1C1C"/>
          <w:sz w:val="24"/>
          <w:szCs w:val="24"/>
          <w:shd w:val="clear" w:color="auto" w:fill="FFFFFF"/>
        </w:rPr>
        <w:t xml:space="preserve">were </w:t>
      </w:r>
      <w:r w:rsidR="00405AE6" w:rsidRPr="002445BC">
        <w:rPr>
          <w:rFonts w:ascii="Times New Roman" w:hAnsi="Times New Roman" w:cs="Times New Roman"/>
          <w:color w:val="1C1C1C"/>
          <w:sz w:val="24"/>
          <w:szCs w:val="24"/>
          <w:shd w:val="clear" w:color="auto" w:fill="FFFFFF"/>
        </w:rPr>
        <w:t xml:space="preserve">positive for </w:t>
      </w:r>
      <w:r w:rsidR="00405AE6" w:rsidRPr="002445BC">
        <w:rPr>
          <w:rFonts w:ascii="Times New Roman" w:hAnsi="Times New Roman" w:cs="Times New Roman"/>
          <w:i/>
          <w:iCs/>
          <w:color w:val="1C1C1C"/>
          <w:sz w:val="24"/>
          <w:szCs w:val="24"/>
          <w:shd w:val="clear" w:color="auto" w:fill="FFFFFF"/>
        </w:rPr>
        <w:t>Ae. albopictus</w:t>
      </w:r>
      <w:r w:rsidR="00405AE6" w:rsidRPr="002445BC">
        <w:rPr>
          <w:rFonts w:ascii="Times New Roman" w:hAnsi="Times New Roman" w:cs="Times New Roman"/>
          <w:color w:val="1C1C1C"/>
          <w:sz w:val="24"/>
          <w:szCs w:val="24"/>
          <w:shd w:val="clear" w:color="auto" w:fill="FFFFFF"/>
        </w:rPr>
        <w:t xml:space="preserve"> larvae were found outdoors</w:t>
      </w:r>
      <w:r w:rsidR="003A0B3F" w:rsidRPr="002445BC">
        <w:rPr>
          <w:rFonts w:ascii="Times New Roman" w:hAnsi="Times New Roman" w:cs="Times New Roman"/>
          <w:color w:val="1C1C1C"/>
          <w:sz w:val="24"/>
          <w:szCs w:val="24"/>
          <w:shd w:val="clear" w:color="auto" w:fill="FFFFFF"/>
        </w:rPr>
        <w:t>,</w:t>
      </w:r>
      <w:r w:rsidR="00E43B5F" w:rsidRPr="002445BC">
        <w:rPr>
          <w:rFonts w:ascii="Times New Roman" w:hAnsi="Times New Roman" w:cs="Times New Roman"/>
          <w:color w:val="1C1C1C"/>
          <w:sz w:val="24"/>
          <w:szCs w:val="24"/>
          <w:shd w:val="clear" w:color="auto" w:fill="FFFFFF"/>
        </w:rPr>
        <w:t xml:space="preserve"> and 1.</w:t>
      </w:r>
      <w:r w:rsidR="00CD649A" w:rsidRPr="002445BC">
        <w:rPr>
          <w:rFonts w:ascii="Times New Roman" w:hAnsi="Times New Roman" w:cs="Times New Roman"/>
          <w:color w:val="1C1C1C"/>
          <w:sz w:val="24"/>
          <w:szCs w:val="24"/>
          <w:shd w:val="clear" w:color="auto" w:fill="FFFFFF"/>
        </w:rPr>
        <w:t>41</w:t>
      </w:r>
      <w:r w:rsidR="00E43B5F" w:rsidRPr="002445BC">
        <w:rPr>
          <w:rFonts w:ascii="Times New Roman" w:hAnsi="Times New Roman" w:cs="Times New Roman"/>
          <w:color w:val="1C1C1C"/>
          <w:sz w:val="24"/>
          <w:szCs w:val="24"/>
          <w:shd w:val="clear" w:color="auto" w:fill="FFFFFF"/>
        </w:rPr>
        <w:t>% (n = 3) were found indoors</w:t>
      </w:r>
      <w:r w:rsidR="00405AE6" w:rsidRPr="002445BC">
        <w:rPr>
          <w:rFonts w:ascii="Times New Roman" w:hAnsi="Times New Roman" w:cs="Times New Roman"/>
          <w:color w:val="1C1C1C"/>
          <w:sz w:val="24"/>
          <w:szCs w:val="24"/>
          <w:shd w:val="clear" w:color="auto" w:fill="FFFFFF"/>
        </w:rPr>
        <w:t>.</w:t>
      </w:r>
      <w:r w:rsidR="00E43B5F" w:rsidRPr="002445BC">
        <w:rPr>
          <w:rFonts w:ascii="Times New Roman" w:hAnsi="Times New Roman" w:cs="Times New Roman"/>
          <w:color w:val="1C1C1C"/>
          <w:sz w:val="24"/>
          <w:szCs w:val="24"/>
          <w:shd w:val="clear" w:color="auto" w:fill="FFFFFF"/>
        </w:rPr>
        <w:t xml:space="preserve"> </w:t>
      </w:r>
      <w:r w:rsidR="00FA3274" w:rsidRPr="002445BC">
        <w:rPr>
          <w:rFonts w:ascii="Times New Roman" w:hAnsi="Times New Roman" w:cs="Times New Roman"/>
          <w:color w:val="1C1C1C"/>
          <w:sz w:val="24"/>
          <w:szCs w:val="24"/>
          <w:shd w:val="clear" w:color="auto" w:fill="FFFFFF"/>
        </w:rPr>
        <w:t>T</w:t>
      </w:r>
      <w:r w:rsidR="00FA5F83" w:rsidRPr="002445BC">
        <w:rPr>
          <w:rFonts w:ascii="Times New Roman" w:hAnsi="Times New Roman" w:cs="Times New Roman"/>
          <w:color w:val="1C1C1C"/>
          <w:sz w:val="24"/>
          <w:szCs w:val="24"/>
          <w:shd w:val="clear" w:color="auto" w:fill="FFFFFF"/>
        </w:rPr>
        <w:t xml:space="preserve">he </w:t>
      </w:r>
      <w:r w:rsidR="00E43B5F" w:rsidRPr="002445BC">
        <w:rPr>
          <w:rFonts w:ascii="Times New Roman" w:hAnsi="Times New Roman" w:cs="Times New Roman"/>
          <w:color w:val="1C1C1C"/>
          <w:sz w:val="24"/>
          <w:szCs w:val="24"/>
          <w:shd w:val="clear" w:color="auto" w:fill="FFFFFF"/>
        </w:rPr>
        <w:t xml:space="preserve">highest </w:t>
      </w:r>
      <w:r w:rsidR="00FA5F83" w:rsidRPr="002445BC">
        <w:rPr>
          <w:rFonts w:ascii="Times New Roman" w:hAnsi="Times New Roman" w:cs="Times New Roman"/>
          <w:color w:val="1C1C1C"/>
          <w:sz w:val="24"/>
          <w:szCs w:val="24"/>
          <w:shd w:val="clear" w:color="auto" w:fill="FFFFFF"/>
        </w:rPr>
        <w:t xml:space="preserve">pupal productivity of </w:t>
      </w:r>
      <w:r w:rsidR="00FA5F83" w:rsidRPr="002445BC">
        <w:rPr>
          <w:rFonts w:ascii="Times New Roman" w:hAnsi="Times New Roman" w:cs="Times New Roman"/>
          <w:i/>
          <w:iCs/>
          <w:color w:val="1C1C1C"/>
          <w:sz w:val="24"/>
          <w:szCs w:val="24"/>
          <w:shd w:val="clear" w:color="auto" w:fill="FFFFFF"/>
        </w:rPr>
        <w:t xml:space="preserve">Ae. albopictus </w:t>
      </w:r>
      <w:r w:rsidR="00E43B5F" w:rsidRPr="002445BC">
        <w:rPr>
          <w:rFonts w:ascii="Times New Roman" w:hAnsi="Times New Roman" w:cs="Times New Roman"/>
          <w:color w:val="1C1C1C"/>
          <w:sz w:val="24"/>
          <w:szCs w:val="24"/>
          <w:shd w:val="clear" w:color="auto" w:fill="FFFFFF"/>
        </w:rPr>
        <w:t xml:space="preserve">were </w:t>
      </w:r>
      <w:r w:rsidR="00FA3274" w:rsidRPr="002445BC">
        <w:rPr>
          <w:rFonts w:ascii="Times New Roman" w:hAnsi="Times New Roman" w:cs="Times New Roman"/>
          <w:color w:val="1C1C1C"/>
          <w:sz w:val="24"/>
          <w:szCs w:val="24"/>
          <w:shd w:val="clear" w:color="auto" w:fill="FFFFFF"/>
        </w:rPr>
        <w:t>also recorded in</w:t>
      </w:r>
      <w:r w:rsidR="003A0B3F" w:rsidRPr="002445BC">
        <w:rPr>
          <w:rFonts w:ascii="Times New Roman" w:hAnsi="Times New Roman" w:cs="Times New Roman"/>
          <w:color w:val="1C1C1C"/>
          <w:sz w:val="24"/>
          <w:szCs w:val="24"/>
          <w:shd w:val="clear" w:color="auto" w:fill="FFFFFF"/>
        </w:rPr>
        <w:t xml:space="preserve"> outdoor</w:t>
      </w:r>
      <w:r w:rsidR="00FA3274" w:rsidRPr="002445BC">
        <w:rPr>
          <w:rFonts w:ascii="Times New Roman" w:hAnsi="Times New Roman" w:cs="Times New Roman"/>
          <w:color w:val="1C1C1C"/>
          <w:sz w:val="24"/>
          <w:szCs w:val="24"/>
          <w:shd w:val="clear" w:color="auto" w:fill="FFFFFF"/>
        </w:rPr>
        <w:t xml:space="preserve"> breeding ha</w:t>
      </w:r>
      <w:r w:rsidR="003A0B3F" w:rsidRPr="002445BC">
        <w:rPr>
          <w:rFonts w:ascii="Times New Roman" w:hAnsi="Times New Roman" w:cs="Times New Roman"/>
          <w:color w:val="1C1C1C"/>
          <w:sz w:val="24"/>
          <w:szCs w:val="24"/>
          <w:shd w:val="clear" w:color="auto" w:fill="FFFFFF"/>
        </w:rPr>
        <w:t>bitats</w:t>
      </w:r>
      <w:r w:rsidR="00FA5F83" w:rsidRPr="002445BC">
        <w:rPr>
          <w:rFonts w:ascii="Times New Roman" w:hAnsi="Times New Roman" w:cs="Times New Roman"/>
          <w:color w:val="1C1C1C"/>
          <w:sz w:val="24"/>
          <w:szCs w:val="24"/>
          <w:shd w:val="clear" w:color="auto" w:fill="FFFFFF"/>
        </w:rPr>
        <w:t xml:space="preserve">, </w:t>
      </w:r>
      <w:r w:rsidR="00A841A1" w:rsidRPr="002445BC">
        <w:rPr>
          <w:rFonts w:ascii="Times New Roman" w:hAnsi="Times New Roman" w:cs="Times New Roman"/>
          <w:color w:val="1C1C1C"/>
          <w:sz w:val="24"/>
          <w:szCs w:val="24"/>
          <w:shd w:val="clear" w:color="auto" w:fill="FFFFFF"/>
        </w:rPr>
        <w:t>with 55.25% (n = 221) in open areas and 44.00% (n = 176</w:t>
      </w:r>
      <w:r w:rsidR="00FA3274" w:rsidRPr="002445BC">
        <w:rPr>
          <w:rFonts w:ascii="Times New Roman" w:hAnsi="Times New Roman" w:cs="Times New Roman"/>
          <w:color w:val="1C1C1C"/>
          <w:sz w:val="24"/>
          <w:szCs w:val="24"/>
          <w:shd w:val="clear" w:color="auto" w:fill="FFFFFF"/>
        </w:rPr>
        <w:t>) in shady</w:t>
      </w:r>
      <w:r w:rsidR="00A841A1" w:rsidRPr="002445BC">
        <w:rPr>
          <w:rFonts w:ascii="Times New Roman" w:hAnsi="Times New Roman" w:cs="Times New Roman"/>
          <w:color w:val="1C1C1C"/>
          <w:sz w:val="24"/>
          <w:szCs w:val="24"/>
          <w:shd w:val="clear" w:color="auto" w:fill="FFFFFF"/>
        </w:rPr>
        <w:t xml:space="preserve"> areas. There was a </w:t>
      </w:r>
      <w:r w:rsidR="003A0B3F" w:rsidRPr="002445BC">
        <w:rPr>
          <w:rFonts w:ascii="Times New Roman" w:hAnsi="Times New Roman" w:cs="Times New Roman"/>
          <w:color w:val="1C1C1C"/>
          <w:sz w:val="24"/>
          <w:szCs w:val="24"/>
          <w:shd w:val="clear" w:color="auto" w:fill="FFFFFF"/>
        </w:rPr>
        <w:t xml:space="preserve">significant difference in </w:t>
      </w:r>
      <w:r w:rsidR="00A841A1" w:rsidRPr="002445BC">
        <w:rPr>
          <w:rFonts w:ascii="Times New Roman" w:hAnsi="Times New Roman" w:cs="Times New Roman"/>
          <w:color w:val="1C1C1C"/>
          <w:sz w:val="24"/>
          <w:szCs w:val="24"/>
          <w:shd w:val="clear" w:color="auto" w:fill="FFFFFF"/>
        </w:rPr>
        <w:t xml:space="preserve">pupal productivity of </w:t>
      </w:r>
      <w:r w:rsidR="00A841A1" w:rsidRPr="002445BC">
        <w:rPr>
          <w:rFonts w:ascii="Times New Roman" w:hAnsi="Times New Roman" w:cs="Times New Roman"/>
          <w:i/>
          <w:iCs/>
          <w:color w:val="1C1C1C"/>
          <w:sz w:val="24"/>
          <w:szCs w:val="24"/>
          <w:shd w:val="clear" w:color="auto" w:fill="FFFFFF"/>
        </w:rPr>
        <w:t>Ae. albopictus</w:t>
      </w:r>
      <w:r w:rsidR="00A841A1" w:rsidRPr="002445BC">
        <w:rPr>
          <w:rFonts w:ascii="Times New Roman" w:hAnsi="Times New Roman" w:cs="Times New Roman"/>
          <w:color w:val="1C1C1C"/>
          <w:sz w:val="24"/>
          <w:szCs w:val="24"/>
          <w:shd w:val="clear" w:color="auto" w:fill="FFFFFF"/>
        </w:rPr>
        <w:t xml:space="preserve"> among the locations </w:t>
      </w:r>
      <w:r w:rsidR="003A0B3F" w:rsidRPr="002445BC">
        <w:rPr>
          <w:rFonts w:ascii="Times New Roman" w:hAnsi="Times New Roman" w:cs="Times New Roman"/>
          <w:color w:val="1C1C1C"/>
          <w:sz w:val="24"/>
          <w:szCs w:val="24"/>
          <w:shd w:val="clear" w:color="auto" w:fill="FFFFFF"/>
        </w:rPr>
        <w:t>of breeding</w:t>
      </w:r>
      <w:r w:rsidR="00A841A1" w:rsidRPr="002445BC">
        <w:rPr>
          <w:rFonts w:ascii="Times New Roman" w:hAnsi="Times New Roman" w:cs="Times New Roman"/>
          <w:color w:val="1C1C1C"/>
          <w:sz w:val="24"/>
          <w:szCs w:val="24"/>
          <w:shd w:val="clear" w:color="auto" w:fill="FFFFFF"/>
        </w:rPr>
        <w:t xml:space="preserve"> habitats </w:t>
      </w:r>
      <w:r w:rsidR="00FA5F83" w:rsidRPr="002445BC">
        <w:rPr>
          <w:rFonts w:ascii="Times New Roman" w:hAnsi="Times New Roman" w:cs="Times New Roman"/>
          <w:color w:val="1C1C1C"/>
          <w:sz w:val="24"/>
          <w:szCs w:val="24"/>
          <w:shd w:val="clear" w:color="auto" w:fill="FFFFFF"/>
        </w:rPr>
        <w:t>(F =</w:t>
      </w:r>
      <w:r w:rsidR="00A841A1" w:rsidRPr="002445BC">
        <w:rPr>
          <w:rFonts w:ascii="Times New Roman" w:hAnsi="Times New Roman" w:cs="Times New Roman"/>
          <w:color w:val="1C1C1C"/>
          <w:sz w:val="24"/>
          <w:szCs w:val="24"/>
          <w:shd w:val="clear" w:color="auto" w:fill="FFFFFF"/>
        </w:rPr>
        <w:t xml:space="preserve"> 4.807, p = 0.014, df = 2, 40), and</w:t>
      </w:r>
      <w:r w:rsidR="004C36FC" w:rsidRPr="002445BC">
        <w:rPr>
          <w:rFonts w:ascii="Times New Roman" w:hAnsi="Times New Roman" w:cs="Times New Roman"/>
          <w:color w:val="1C1C1C"/>
          <w:sz w:val="24"/>
          <w:szCs w:val="24"/>
          <w:shd w:val="clear" w:color="auto" w:fill="FFFFFF"/>
        </w:rPr>
        <w:t xml:space="preserve"> a significantly lower productivity </w:t>
      </w:r>
      <w:r w:rsidR="00FA5F83" w:rsidRPr="002445BC">
        <w:rPr>
          <w:rFonts w:ascii="Times New Roman" w:hAnsi="Times New Roman" w:cs="Times New Roman"/>
          <w:color w:val="1C1C1C"/>
          <w:sz w:val="24"/>
          <w:szCs w:val="24"/>
          <w:shd w:val="clear" w:color="auto" w:fill="FFFFFF"/>
        </w:rPr>
        <w:t>of pupae was found</w:t>
      </w:r>
      <w:r w:rsidR="00FA3274" w:rsidRPr="002445BC">
        <w:rPr>
          <w:rFonts w:ascii="Times New Roman" w:hAnsi="Times New Roman" w:cs="Times New Roman"/>
          <w:color w:val="1C1C1C"/>
          <w:sz w:val="24"/>
          <w:szCs w:val="24"/>
          <w:shd w:val="clear" w:color="auto" w:fill="FFFFFF"/>
        </w:rPr>
        <w:t xml:space="preserve"> </w:t>
      </w:r>
      <w:r w:rsidR="003A0B3F" w:rsidRPr="002445BC">
        <w:rPr>
          <w:rFonts w:ascii="Times New Roman" w:hAnsi="Times New Roman" w:cs="Times New Roman"/>
          <w:color w:val="1C1C1C"/>
          <w:sz w:val="24"/>
          <w:szCs w:val="24"/>
          <w:shd w:val="clear" w:color="auto" w:fill="FFFFFF"/>
        </w:rPr>
        <w:t xml:space="preserve">in </w:t>
      </w:r>
      <w:r w:rsidR="00FA3274" w:rsidRPr="002445BC">
        <w:rPr>
          <w:rFonts w:ascii="Times New Roman" w:hAnsi="Times New Roman" w:cs="Times New Roman"/>
          <w:color w:val="1C1C1C"/>
          <w:sz w:val="24"/>
          <w:szCs w:val="24"/>
          <w:shd w:val="clear" w:color="auto" w:fill="FFFFFF"/>
        </w:rPr>
        <w:t xml:space="preserve">indoor habitats </w:t>
      </w:r>
      <w:r w:rsidR="00FA5F83" w:rsidRPr="002445BC">
        <w:rPr>
          <w:rFonts w:ascii="Times New Roman" w:hAnsi="Times New Roman" w:cs="Times New Roman"/>
          <w:color w:val="1C1C1C"/>
          <w:sz w:val="24"/>
          <w:szCs w:val="24"/>
          <w:shd w:val="clear" w:color="auto" w:fill="FFFFFF"/>
        </w:rPr>
        <w:t xml:space="preserve">compared to </w:t>
      </w:r>
      <w:r w:rsidR="003A0B3F" w:rsidRPr="002445BC">
        <w:rPr>
          <w:rFonts w:ascii="Times New Roman" w:hAnsi="Times New Roman" w:cs="Times New Roman"/>
          <w:color w:val="1C1C1C"/>
          <w:sz w:val="24"/>
          <w:szCs w:val="24"/>
          <w:shd w:val="clear" w:color="auto" w:fill="FFFFFF"/>
        </w:rPr>
        <w:t xml:space="preserve">habitats located in </w:t>
      </w:r>
      <w:r w:rsidR="00FA5F83" w:rsidRPr="002445BC">
        <w:rPr>
          <w:rFonts w:ascii="Times New Roman" w:hAnsi="Times New Roman" w:cs="Times New Roman"/>
          <w:color w:val="1C1C1C"/>
          <w:sz w:val="24"/>
          <w:szCs w:val="24"/>
          <w:shd w:val="clear" w:color="auto" w:fill="FFFFFF"/>
        </w:rPr>
        <w:t>both open (p = 0.016) and shady (p = 0.011) areas (Fig. 03).</w:t>
      </w:r>
    </w:p>
    <w:p w14:paraId="1FC7750E" w14:textId="77777777" w:rsidR="00A32EAA" w:rsidRPr="00A32EAA" w:rsidRDefault="00A32EAA" w:rsidP="00A32EAA">
      <w:pPr>
        <w:autoSpaceDE w:val="0"/>
        <w:autoSpaceDN w:val="0"/>
        <w:adjustRightInd w:val="0"/>
        <w:spacing w:before="240" w:after="240" w:line="240" w:lineRule="auto"/>
        <w:jc w:val="both"/>
        <w:rPr>
          <w:rFonts w:ascii="Times New Roman" w:hAnsi="Times New Roman" w:cs="Times New Roman"/>
          <w:b/>
          <w:bCs/>
          <w:sz w:val="24"/>
          <w:szCs w:val="24"/>
        </w:rPr>
      </w:pPr>
      <w:r w:rsidRPr="00A32EAA">
        <w:rPr>
          <w:rFonts w:ascii="Times New Roman" w:hAnsi="Times New Roman" w:cs="Times New Roman"/>
          <w:b/>
          <w:bCs/>
          <w:sz w:val="24"/>
          <w:szCs w:val="24"/>
        </w:rPr>
        <w:t xml:space="preserve">Analysis of building materials of breeding habitats </w:t>
      </w:r>
    </w:p>
    <w:p w14:paraId="41E257D4" w14:textId="77777777" w:rsidR="00A32EAA" w:rsidRPr="002445BC" w:rsidRDefault="00A32EAA" w:rsidP="00A32EAA">
      <w:pPr>
        <w:autoSpaceDE w:val="0"/>
        <w:autoSpaceDN w:val="0"/>
        <w:adjustRightInd w:val="0"/>
        <w:spacing w:before="240" w:after="240" w:line="240" w:lineRule="auto"/>
        <w:jc w:val="both"/>
        <w:rPr>
          <w:rFonts w:ascii="Times New Roman" w:eastAsia="Times New Roman" w:hAnsi="Times New Roman" w:cs="Times New Roman"/>
          <w:sz w:val="24"/>
          <w:szCs w:val="24"/>
        </w:rPr>
      </w:pPr>
      <w:r w:rsidRPr="002445BC">
        <w:rPr>
          <w:rFonts w:ascii="Times New Roman" w:hAnsi="Times New Roman" w:cs="Times New Roman"/>
          <w:sz w:val="24"/>
          <w:szCs w:val="24"/>
        </w:rPr>
        <w:t xml:space="preserve">Most of the larvae positive breeding habitats for both species were composed of plastic, 35.58% (n = 37) of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breeding habitats and 42.52% (n= 91) of </w:t>
      </w:r>
      <w:r w:rsidRPr="002445BC">
        <w:rPr>
          <w:rFonts w:ascii="Times New Roman" w:hAnsi="Times New Roman" w:cs="Times New Roman"/>
          <w:i/>
          <w:iCs/>
          <w:color w:val="1C1C1C"/>
          <w:sz w:val="24"/>
          <w:szCs w:val="24"/>
          <w:shd w:val="clear" w:color="auto" w:fill="FFFFFF"/>
        </w:rPr>
        <w:t xml:space="preserve">Ae. albopictus </w:t>
      </w:r>
      <w:r w:rsidRPr="002445BC">
        <w:rPr>
          <w:rFonts w:ascii="Times New Roman" w:hAnsi="Times New Roman" w:cs="Times New Roman"/>
          <w:color w:val="1C1C1C"/>
          <w:sz w:val="24"/>
          <w:szCs w:val="24"/>
          <w:shd w:val="clear" w:color="auto" w:fill="FFFFFF"/>
        </w:rPr>
        <w:t xml:space="preserve">breeding habitats were made from plastic. </w:t>
      </w:r>
      <w:r w:rsidRPr="002445BC">
        <w:rPr>
          <w:rFonts w:ascii="Times New Roman" w:hAnsi="Times New Roman" w:cs="Times New Roman"/>
          <w:sz w:val="24"/>
          <w:szCs w:val="24"/>
        </w:rPr>
        <w:t xml:space="preserve">The productivity of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pupae varied significantly with the building materials of breeding habitats (F = 7.008, p = 0.01, df = 4, 21), with the highest productivity found in rubber-made habitats at 34.04% (n = 128), followed by plastic-made habitats at 22.87% (n =86) Fig 04. In contrast, the productivity of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xml:space="preserve"> pupae did not vary significantly with building materials of breeding habitats (F = 1.329, p = 0.265, df = 8, 32). However, plastic-made habitats, with 41.25% (n=165) and cement-made habitats, with16.5% (n=65), had the highest productivity (Fig. 04).</w:t>
      </w:r>
      <w:r w:rsidRPr="002445BC">
        <w:rPr>
          <w:rFonts w:ascii="Times New Roman" w:eastAsia="Times New Roman" w:hAnsi="Times New Roman" w:cs="Times New Roman"/>
          <w:sz w:val="24"/>
          <w:szCs w:val="24"/>
        </w:rPr>
        <w:t xml:space="preserve"> </w:t>
      </w:r>
    </w:p>
    <w:p w14:paraId="4732F244" w14:textId="20AE4A91" w:rsidR="00FA3274" w:rsidRPr="002445BC" w:rsidRDefault="0016220C" w:rsidP="002445BC">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98176" behindDoc="0" locked="0" layoutInCell="1" allowOverlap="1" wp14:anchorId="67ABA24E" wp14:editId="3EF8DE28">
            <wp:simplePos x="0" y="0"/>
            <wp:positionH relativeFrom="margin">
              <wp:align>left</wp:align>
            </wp:positionH>
            <wp:positionV relativeFrom="paragraph">
              <wp:posOffset>9953</wp:posOffset>
            </wp:positionV>
            <wp:extent cx="3987165" cy="31883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7165" cy="3188335"/>
                    </a:xfrm>
                    <a:prstGeom prst="rect">
                      <a:avLst/>
                    </a:prstGeom>
                    <a:noFill/>
                  </pic:spPr>
                </pic:pic>
              </a:graphicData>
            </a:graphic>
            <wp14:sizeRelH relativeFrom="page">
              <wp14:pctWidth>0</wp14:pctWidth>
            </wp14:sizeRelH>
            <wp14:sizeRelV relativeFrom="page">
              <wp14:pctHeight>0</wp14:pctHeight>
            </wp14:sizeRelV>
          </wp:anchor>
        </w:drawing>
      </w:r>
    </w:p>
    <w:p w14:paraId="50242200" w14:textId="583C9771" w:rsidR="00BF4203" w:rsidRDefault="00BF4203" w:rsidP="00BF4203">
      <w:pPr>
        <w:keepNext/>
        <w:autoSpaceDE w:val="0"/>
        <w:autoSpaceDN w:val="0"/>
        <w:adjustRightInd w:val="0"/>
        <w:spacing w:before="240" w:after="240" w:line="240" w:lineRule="auto"/>
      </w:pPr>
    </w:p>
    <w:p w14:paraId="5D45F523" w14:textId="0259DBFB" w:rsidR="00A133CC" w:rsidRPr="002445BC" w:rsidRDefault="00A133CC" w:rsidP="002445BC">
      <w:pPr>
        <w:autoSpaceDE w:val="0"/>
        <w:autoSpaceDN w:val="0"/>
        <w:adjustRightInd w:val="0"/>
        <w:spacing w:before="240" w:after="240" w:line="240" w:lineRule="auto"/>
        <w:jc w:val="both"/>
        <w:rPr>
          <w:rFonts w:ascii="Times New Roman" w:hAnsi="Times New Roman" w:cs="Times New Roman"/>
          <w:color w:val="1C1C1C"/>
          <w:sz w:val="24"/>
          <w:szCs w:val="24"/>
          <w:shd w:val="clear" w:color="auto" w:fill="FFFFFF"/>
        </w:rPr>
      </w:pPr>
    </w:p>
    <w:p w14:paraId="308BA8D8" w14:textId="5FD03578" w:rsidR="00027982" w:rsidRPr="002445BC" w:rsidRDefault="00027982" w:rsidP="002445BC">
      <w:pPr>
        <w:autoSpaceDE w:val="0"/>
        <w:autoSpaceDN w:val="0"/>
        <w:adjustRightInd w:val="0"/>
        <w:spacing w:before="240" w:after="240" w:line="240" w:lineRule="auto"/>
        <w:jc w:val="both"/>
        <w:rPr>
          <w:rFonts w:ascii="Times New Roman" w:eastAsia="Times New Roman" w:hAnsi="Times New Roman" w:cs="Times New Roman"/>
          <w:sz w:val="24"/>
          <w:szCs w:val="24"/>
        </w:rPr>
      </w:pPr>
    </w:p>
    <w:p w14:paraId="7896A42E" w14:textId="4FB5023B"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27AAAE9A" w14:textId="7582998E"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4089451F" w14:textId="6435D913"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08122637" w14:textId="3B0E3439"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252C6D66" w14:textId="451DC2D9"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7021999F" w14:textId="5ADA2163" w:rsidR="00462B2B"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r w:rsidRPr="002445BC">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C90C825" wp14:editId="776C9EC4">
                <wp:simplePos x="0" y="0"/>
                <wp:positionH relativeFrom="margin">
                  <wp:posOffset>146685</wp:posOffset>
                </wp:positionH>
                <wp:positionV relativeFrom="paragraph">
                  <wp:posOffset>299528</wp:posOffset>
                </wp:positionV>
                <wp:extent cx="5598795" cy="635"/>
                <wp:effectExtent l="0" t="0" r="1905" b="0"/>
                <wp:wrapSquare wrapText="bothSides"/>
                <wp:docPr id="5" name="Text Box 5"/>
                <wp:cNvGraphicFramePr/>
                <a:graphic xmlns:a="http://schemas.openxmlformats.org/drawingml/2006/main">
                  <a:graphicData uri="http://schemas.microsoft.com/office/word/2010/wordprocessingShape">
                    <wps:wsp>
                      <wps:cNvSpPr txBox="1"/>
                      <wps:spPr>
                        <a:xfrm>
                          <a:off x="0" y="0"/>
                          <a:ext cx="5598795" cy="635"/>
                        </a:xfrm>
                        <a:prstGeom prst="rect">
                          <a:avLst/>
                        </a:prstGeom>
                        <a:solidFill>
                          <a:prstClr val="white"/>
                        </a:solidFill>
                        <a:ln>
                          <a:noFill/>
                        </a:ln>
                      </wps:spPr>
                      <wps:txbx>
                        <w:txbxContent>
                          <w:p w14:paraId="2932145E" w14:textId="4DFECC83" w:rsidR="00175798" w:rsidRPr="00AB6519" w:rsidRDefault="00175798" w:rsidP="00593033">
                            <w:pPr>
                              <w:pStyle w:val="Caption"/>
                              <w:rPr>
                                <w:rFonts w:ascii="Times New Roman" w:hAnsi="Times New Roman" w:cs="Times New Roman"/>
                                <w:i w:val="0"/>
                                <w:iCs w:val="0"/>
                                <w:color w:val="auto"/>
                                <w:sz w:val="24"/>
                                <w:szCs w:val="24"/>
                                <w:shd w:val="clear" w:color="auto" w:fill="FFFFFF"/>
                              </w:rPr>
                            </w:pPr>
                            <w:r w:rsidRPr="00AB6519">
                              <w:rPr>
                                <w:rFonts w:ascii="Times New Roman" w:hAnsi="Times New Roman" w:cs="Times New Roman"/>
                                <w:i w:val="0"/>
                                <w:iCs w:val="0"/>
                                <w:color w:val="auto"/>
                                <w:sz w:val="24"/>
                                <w:szCs w:val="24"/>
                              </w:rPr>
                              <w:t>Fig 03 Variation of pupal productivity among locations of breeding habitats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C90C825" id="_x0000_t202" coordsize="21600,21600" o:spt="202" path="m,l,21600r21600,l21600,xe">
                <v:stroke joinstyle="miter"/>
                <v:path gradientshapeok="t" o:connecttype="rect"/>
              </v:shapetype>
              <v:shape id="Text Box 5" o:spid="_x0000_s1026" type="#_x0000_t202" style="position:absolute;left:0;text-align:left;margin-left:11.55pt;margin-top:23.6pt;width:440.85pt;height:.05pt;z-index:251682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" stroked="f">
                <v:textbox style="mso-fit-shape-to-text:t" inset="0,0,0,0">
                  <w:txbxContent>
                    <w:p w14:paraId="2932145E" w14:textId="4DFECC83" w:rsidR="00175798" w:rsidRPr="00AB6519" w:rsidRDefault="00175798" w:rsidP="00593033">
                      <w:pPr>
                        <w:pStyle w:val="Caption"/>
                        <w:rPr>
                          <w:rFonts w:ascii="Times New Roman" w:hAnsi="Times New Roman" w:cs="Times New Roman"/>
                          <w:i w:val="0"/>
                          <w:iCs w:val="0"/>
                          <w:color w:val="auto"/>
                          <w:sz w:val="24"/>
                          <w:szCs w:val="24"/>
                          <w:shd w:val="clear" w:color="auto" w:fill="FFFFFF"/>
                        </w:rPr>
                      </w:pPr>
                      <w:r w:rsidRPr="00AB6519">
                        <w:rPr>
                          <w:rFonts w:ascii="Times New Roman" w:hAnsi="Times New Roman" w:cs="Times New Roman"/>
                          <w:i w:val="0"/>
                          <w:iCs w:val="0"/>
                          <w:color w:val="auto"/>
                          <w:sz w:val="24"/>
                          <w:szCs w:val="24"/>
                        </w:rPr>
                        <w:t>Fig 03 Variation of pupal productivity among locations of breeding habitats</w:t>
                      </w:r>
                    </w:p>
                  </w:txbxContent>
                </v:textbox>
                <w10:wrap type="square" anchorx="margin"/>
              </v:shape>
            </w:pict>
          </mc:Fallback>
        </mc:AlternateContent>
      </w:r>
    </w:p>
    <w:p w14:paraId="6AF902FB" w14:textId="4040247F"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4DE3CF83" w14:textId="21C8CCD6" w:rsidR="00462B2B"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97152" behindDoc="0" locked="0" layoutInCell="1" allowOverlap="1" wp14:anchorId="14206A70" wp14:editId="200BBD17">
            <wp:simplePos x="0" y="0"/>
            <wp:positionH relativeFrom="margin">
              <wp:align>left</wp:align>
            </wp:positionH>
            <wp:positionV relativeFrom="paragraph">
              <wp:posOffset>196466</wp:posOffset>
            </wp:positionV>
            <wp:extent cx="4855845" cy="4050665"/>
            <wp:effectExtent l="0" t="0" r="1905"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5845" cy="4050665"/>
                    </a:xfrm>
                    <a:prstGeom prst="rect">
                      <a:avLst/>
                    </a:prstGeom>
                    <a:noFill/>
                  </pic:spPr>
                </pic:pic>
              </a:graphicData>
            </a:graphic>
            <wp14:sizeRelH relativeFrom="page">
              <wp14:pctWidth>0</wp14:pctWidth>
            </wp14:sizeRelH>
            <wp14:sizeRelV relativeFrom="page">
              <wp14:pctHeight>0</wp14:pctHeight>
            </wp14:sizeRelV>
          </wp:anchor>
        </w:drawing>
      </w:r>
    </w:p>
    <w:p w14:paraId="1263720C" w14:textId="77777777"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01B72F54" w14:textId="3C77AF64"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5C99C41E" w14:textId="3FD0F96F"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7C67A423" w14:textId="2E50FD97"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30FFEF92" w14:textId="063816EE"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5AAB6F79" w14:textId="46542A99"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333A044C" w14:textId="77777777"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52314D26" w14:textId="77777777"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37E4C4F6" w14:textId="77777777"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38A7BA48" w14:textId="77777777"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433806C5" w14:textId="6CA6324B"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45A5EC65" w14:textId="77777777"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0BF58844" w14:textId="30D46228"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r w:rsidRPr="002445BC">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0F53430C" wp14:editId="15AED310">
                <wp:simplePos x="0" y="0"/>
                <wp:positionH relativeFrom="column">
                  <wp:posOffset>109486</wp:posOffset>
                </wp:positionH>
                <wp:positionV relativeFrom="paragraph">
                  <wp:posOffset>9762</wp:posOffset>
                </wp:positionV>
                <wp:extent cx="5343525" cy="635"/>
                <wp:effectExtent l="0" t="0" r="9525" b="2540"/>
                <wp:wrapSquare wrapText="bothSides"/>
                <wp:docPr id="3" name="Text Box 3"/>
                <wp:cNvGraphicFramePr/>
                <a:graphic xmlns:a="http://schemas.openxmlformats.org/drawingml/2006/main">
                  <a:graphicData uri="http://schemas.microsoft.com/office/word/2010/wordprocessingShape">
                    <wps:wsp>
                      <wps:cNvSpPr txBox="1"/>
                      <wps:spPr>
                        <a:xfrm>
                          <a:off x="0" y="0"/>
                          <a:ext cx="5343525" cy="635"/>
                        </a:xfrm>
                        <a:prstGeom prst="rect">
                          <a:avLst/>
                        </a:prstGeom>
                        <a:solidFill>
                          <a:prstClr val="white"/>
                        </a:solidFill>
                        <a:ln>
                          <a:noFill/>
                        </a:ln>
                      </wps:spPr>
                      <wps:txbx>
                        <w:txbxContent>
                          <w:p w14:paraId="62954F6F" w14:textId="2856D546" w:rsidR="00175798" w:rsidRPr="00AB6519" w:rsidRDefault="00175798" w:rsidP="00421413">
                            <w:pPr>
                              <w:pStyle w:val="Caption"/>
                              <w:rPr>
                                <w:rFonts w:ascii="Times New Roman" w:hAnsi="Times New Roman" w:cs="Times New Roman"/>
                                <w:i w:val="0"/>
                                <w:iCs w:val="0"/>
                                <w:noProof/>
                                <w:color w:val="auto"/>
                                <w:sz w:val="24"/>
                                <w:szCs w:val="24"/>
                              </w:rPr>
                            </w:pPr>
                            <w:r w:rsidRPr="00AB6519">
                              <w:rPr>
                                <w:rFonts w:ascii="Times New Roman" w:hAnsi="Times New Roman" w:cs="Times New Roman"/>
                                <w:i w:val="0"/>
                                <w:iCs w:val="0"/>
                                <w:color w:val="auto"/>
                                <w:sz w:val="24"/>
                                <w:szCs w:val="24"/>
                              </w:rPr>
                              <w:t>Fig 04 Variation of pupal productivity with building materials of breeding habitats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53430C" id="Text Box 3" o:spid="_x0000_s1027" type="#_x0000_t202" style="position:absolute;left:0;text-align:left;margin-left:8.6pt;margin-top:.75pt;width:420.75pt;height:.0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" stroked="f">
                <v:textbox style="mso-fit-shape-to-text:t" inset="0,0,0,0">
                  <w:txbxContent>
                    <w:p w14:paraId="62954F6F" w14:textId="2856D546" w:rsidR="00175798" w:rsidRPr="00AB6519" w:rsidRDefault="00175798" w:rsidP="00421413">
                      <w:pPr>
                        <w:pStyle w:val="Caption"/>
                        <w:rPr>
                          <w:rFonts w:ascii="Times New Roman" w:hAnsi="Times New Roman" w:cs="Times New Roman"/>
                          <w:i w:val="0"/>
                          <w:iCs w:val="0"/>
                          <w:noProof/>
                          <w:color w:val="auto"/>
                          <w:sz w:val="24"/>
                          <w:szCs w:val="24"/>
                        </w:rPr>
                      </w:pPr>
                      <w:r w:rsidRPr="00AB6519">
                        <w:rPr>
                          <w:rFonts w:ascii="Times New Roman" w:hAnsi="Times New Roman" w:cs="Times New Roman"/>
                          <w:i w:val="0"/>
                          <w:iCs w:val="0"/>
                          <w:color w:val="auto"/>
                          <w:sz w:val="24"/>
                          <w:szCs w:val="24"/>
                        </w:rPr>
                        <w:t>Fig 04 Variation of pupal productivity with building materials of breeding habitats</w:t>
                      </w:r>
                    </w:p>
                  </w:txbxContent>
                </v:textbox>
                <w10:wrap type="square"/>
              </v:shape>
            </w:pict>
          </mc:Fallback>
        </mc:AlternateContent>
      </w:r>
    </w:p>
    <w:p w14:paraId="3A7A3A8E" w14:textId="49E663C8"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08421C92" w14:textId="77777777"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7F78CBE4" w14:textId="71DEB7E7" w:rsidR="009F137B" w:rsidRPr="0070082C" w:rsidRDefault="00DE23FA" w:rsidP="002445BC">
      <w:pPr>
        <w:autoSpaceDE w:val="0"/>
        <w:autoSpaceDN w:val="0"/>
        <w:adjustRightInd w:val="0"/>
        <w:spacing w:before="240" w:after="240" w:line="240" w:lineRule="auto"/>
        <w:jc w:val="both"/>
        <w:rPr>
          <w:rFonts w:ascii="Times New Roman" w:hAnsi="Times New Roman" w:cs="Times New Roman"/>
          <w:b/>
          <w:bCs/>
          <w:sz w:val="24"/>
          <w:szCs w:val="24"/>
        </w:rPr>
      </w:pPr>
      <w:r w:rsidRPr="0070082C">
        <w:rPr>
          <w:rFonts w:ascii="Times New Roman" w:hAnsi="Times New Roman" w:cs="Times New Roman"/>
          <w:b/>
          <w:bCs/>
          <w:sz w:val="24"/>
          <w:szCs w:val="24"/>
        </w:rPr>
        <w:t xml:space="preserve">Analysis of </w:t>
      </w:r>
      <w:r w:rsidR="006F361A" w:rsidRPr="0070082C">
        <w:rPr>
          <w:rFonts w:ascii="Times New Roman" w:hAnsi="Times New Roman" w:cs="Times New Roman"/>
          <w:b/>
          <w:bCs/>
          <w:sz w:val="24"/>
          <w:szCs w:val="24"/>
        </w:rPr>
        <w:t>Source of water</w:t>
      </w:r>
    </w:p>
    <w:p w14:paraId="5832DF77" w14:textId="3B90DA1F" w:rsidR="0012388F" w:rsidRPr="002445BC" w:rsidRDefault="0012388F" w:rsidP="002445BC">
      <w:pPr>
        <w:autoSpaceDE w:val="0"/>
        <w:autoSpaceDN w:val="0"/>
        <w:adjustRightInd w:val="0"/>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lastRenderedPageBreak/>
        <w:t xml:space="preserve">Rainwater was the primary water source found in both positive and pupal productive breeding habitats for both mosquito vectors. The pupal productivity of </w:t>
      </w:r>
      <w:r w:rsidRPr="002445BC">
        <w:rPr>
          <w:rFonts w:ascii="Times New Roman" w:hAnsi="Times New Roman" w:cs="Times New Roman"/>
          <w:i/>
          <w:iCs/>
          <w:sz w:val="24"/>
          <w:szCs w:val="24"/>
        </w:rPr>
        <w:t>Ae</w:t>
      </w:r>
      <w:r w:rsidR="002738CA" w:rsidRPr="002445BC">
        <w:rPr>
          <w:rFonts w:ascii="Times New Roman" w:hAnsi="Times New Roman" w:cs="Times New Roman"/>
          <w:i/>
          <w:iCs/>
          <w:sz w:val="24"/>
          <w:szCs w:val="24"/>
        </w:rPr>
        <w:t>.</w:t>
      </w:r>
      <w:r w:rsidRPr="002445BC">
        <w:rPr>
          <w:rFonts w:ascii="Times New Roman" w:hAnsi="Times New Roman" w:cs="Times New Roman"/>
          <w:i/>
          <w:iCs/>
          <w:sz w:val="24"/>
          <w:szCs w:val="24"/>
        </w:rPr>
        <w:t xml:space="preserve"> aegypti</w:t>
      </w:r>
      <w:r w:rsidRPr="002445BC">
        <w:rPr>
          <w:rFonts w:ascii="Times New Roman" w:hAnsi="Times New Roman" w:cs="Times New Roman"/>
          <w:sz w:val="24"/>
          <w:szCs w:val="24"/>
        </w:rPr>
        <w:t xml:space="preserve"> did not show a significant variation based on the water source (F = 2.962, p = 0.051, df = 3, 26), with the highest productivity recorded at 90.96% (n = 342) in breeding habitats containing rainwater</w:t>
      </w:r>
      <w:r w:rsidR="00DE23FA" w:rsidRPr="002445BC">
        <w:rPr>
          <w:rFonts w:ascii="Times New Roman" w:hAnsi="Times New Roman" w:cs="Times New Roman"/>
          <w:sz w:val="24"/>
          <w:szCs w:val="24"/>
        </w:rPr>
        <w:t xml:space="preserve"> (Fig 05)</w:t>
      </w:r>
      <w:r w:rsidRPr="002445BC">
        <w:rPr>
          <w:rFonts w:ascii="Times New Roman" w:hAnsi="Times New Roman" w:cs="Times New Roman"/>
          <w:sz w:val="24"/>
          <w:szCs w:val="24"/>
        </w:rPr>
        <w:t xml:space="preserve">. Similarly, the pupal productivity of </w:t>
      </w:r>
      <w:r w:rsidRPr="002445BC">
        <w:rPr>
          <w:rFonts w:ascii="Times New Roman" w:hAnsi="Times New Roman" w:cs="Times New Roman"/>
          <w:i/>
          <w:iCs/>
          <w:sz w:val="24"/>
          <w:szCs w:val="24"/>
        </w:rPr>
        <w:t>Ae</w:t>
      </w:r>
      <w:r w:rsidR="002738CA" w:rsidRPr="002445BC">
        <w:rPr>
          <w:rFonts w:ascii="Times New Roman" w:hAnsi="Times New Roman" w:cs="Times New Roman"/>
          <w:i/>
          <w:iCs/>
          <w:sz w:val="24"/>
          <w:szCs w:val="24"/>
        </w:rPr>
        <w:t>.</w:t>
      </w:r>
      <w:r w:rsidRPr="002445BC">
        <w:rPr>
          <w:rFonts w:ascii="Times New Roman" w:hAnsi="Times New Roman" w:cs="Times New Roman"/>
          <w:i/>
          <w:iCs/>
          <w:sz w:val="24"/>
          <w:szCs w:val="24"/>
        </w:rPr>
        <w:t xml:space="preserve"> albopictus</w:t>
      </w:r>
      <w:r w:rsidRPr="002445BC">
        <w:rPr>
          <w:rFonts w:ascii="Times New Roman" w:hAnsi="Times New Roman" w:cs="Times New Roman"/>
          <w:sz w:val="24"/>
          <w:szCs w:val="24"/>
        </w:rPr>
        <w:t xml:space="preserve"> also did not significantly vary with the water source (F = 0.005, p = 0.995, df = 2, 42), with the highest productivity of 90.50% (n = 362) observed in breeding habitats with </w:t>
      </w:r>
      <w:r w:rsidR="00DE23FA" w:rsidRPr="002445BC">
        <w:rPr>
          <w:rFonts w:ascii="Times New Roman" w:hAnsi="Times New Roman" w:cs="Times New Roman"/>
          <w:sz w:val="24"/>
          <w:szCs w:val="24"/>
        </w:rPr>
        <w:t>rainwater (Fig 05)</w:t>
      </w:r>
      <w:r w:rsidRPr="002445BC">
        <w:rPr>
          <w:rFonts w:ascii="Times New Roman" w:hAnsi="Times New Roman" w:cs="Times New Roman"/>
          <w:sz w:val="24"/>
          <w:szCs w:val="24"/>
        </w:rPr>
        <w:t>.</w:t>
      </w:r>
    </w:p>
    <w:p w14:paraId="32B3B8F7" w14:textId="77777777" w:rsidR="0012388F" w:rsidRPr="002445BC" w:rsidRDefault="0012388F" w:rsidP="002445BC">
      <w:pPr>
        <w:autoSpaceDE w:val="0"/>
        <w:autoSpaceDN w:val="0"/>
        <w:adjustRightInd w:val="0"/>
        <w:spacing w:before="240" w:after="240" w:line="240" w:lineRule="auto"/>
        <w:rPr>
          <w:rFonts w:ascii="Times New Roman" w:hAnsi="Times New Roman" w:cs="Times New Roman"/>
          <w:sz w:val="24"/>
          <w:szCs w:val="24"/>
        </w:rPr>
      </w:pPr>
    </w:p>
    <w:p w14:paraId="33CBA250" w14:textId="67F21B11" w:rsidR="0012388F" w:rsidRPr="002445BC" w:rsidRDefault="006A3D25" w:rsidP="002445BC">
      <w:pPr>
        <w:autoSpaceDE w:val="0"/>
        <w:autoSpaceDN w:val="0"/>
        <w:adjustRightInd w:val="0"/>
        <w:spacing w:before="240" w:after="240" w:line="240" w:lineRule="auto"/>
        <w:rPr>
          <w:rFonts w:ascii="Times New Roman" w:hAnsi="Times New Roman" w:cs="Times New Roman"/>
          <w:sz w:val="24"/>
          <w:szCs w:val="24"/>
        </w:rPr>
      </w:pPr>
      <w:r w:rsidRPr="002445BC">
        <w:rPr>
          <w:rFonts w:ascii="Times New Roman" w:hAnsi="Times New Roman" w:cs="Times New Roman"/>
          <w:noProof/>
          <w:sz w:val="24"/>
          <w:szCs w:val="24"/>
        </w:rPr>
        <w:drawing>
          <wp:inline distT="0" distB="0" distL="0" distR="0" wp14:anchorId="4E0553E2" wp14:editId="78103B55">
            <wp:extent cx="4418990" cy="353377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0610" cy="3543067"/>
                    </a:xfrm>
                    <a:prstGeom prst="rect">
                      <a:avLst/>
                    </a:prstGeom>
                    <a:noFill/>
                    <a:ln>
                      <a:noFill/>
                    </a:ln>
                  </pic:spPr>
                </pic:pic>
              </a:graphicData>
            </a:graphic>
          </wp:inline>
        </w:drawing>
      </w:r>
    </w:p>
    <w:p w14:paraId="0310989C" w14:textId="6BD04259" w:rsidR="003819FF" w:rsidRPr="00BF4203" w:rsidRDefault="0070082C" w:rsidP="002445BC">
      <w:pPr>
        <w:pStyle w:val="Caption"/>
        <w:spacing w:before="240" w:after="240"/>
        <w:rPr>
          <w:rFonts w:ascii="Times New Roman" w:hAnsi="Times New Roman" w:cs="Times New Roman"/>
          <w:i w:val="0"/>
          <w:iCs w:val="0"/>
          <w:color w:val="auto"/>
          <w:sz w:val="24"/>
          <w:szCs w:val="24"/>
        </w:rPr>
      </w:pPr>
      <w:r w:rsidRPr="00BF4203">
        <w:rPr>
          <w:rFonts w:ascii="Times New Roman" w:hAnsi="Times New Roman" w:cs="Times New Roman"/>
          <w:i w:val="0"/>
          <w:iCs w:val="0"/>
          <w:color w:val="auto"/>
          <w:sz w:val="24"/>
          <w:szCs w:val="24"/>
        </w:rPr>
        <w:t>Fig</w:t>
      </w:r>
      <w:r w:rsidR="003D2EFB" w:rsidRPr="00BF4203">
        <w:rPr>
          <w:rFonts w:ascii="Times New Roman" w:hAnsi="Times New Roman" w:cs="Times New Roman"/>
          <w:i w:val="0"/>
          <w:iCs w:val="0"/>
          <w:color w:val="auto"/>
          <w:sz w:val="24"/>
          <w:szCs w:val="24"/>
        </w:rPr>
        <w:t xml:space="preserve"> </w:t>
      </w:r>
      <w:r w:rsidR="00DE23FA" w:rsidRPr="00BF4203">
        <w:rPr>
          <w:rFonts w:ascii="Times New Roman" w:hAnsi="Times New Roman" w:cs="Times New Roman"/>
          <w:i w:val="0"/>
          <w:iCs w:val="0"/>
          <w:color w:val="auto"/>
          <w:sz w:val="24"/>
          <w:szCs w:val="24"/>
        </w:rPr>
        <w:t>05 Variation of pupal productivity among different source of water</w:t>
      </w:r>
    </w:p>
    <w:p w14:paraId="2F5EA174" w14:textId="0D739FF9" w:rsidR="00EA78CA" w:rsidRPr="00E46B46" w:rsidRDefault="00C230FE" w:rsidP="002445BC">
      <w:pPr>
        <w:autoSpaceDE w:val="0"/>
        <w:autoSpaceDN w:val="0"/>
        <w:adjustRightInd w:val="0"/>
        <w:spacing w:before="240" w:after="240" w:line="240" w:lineRule="auto"/>
        <w:jc w:val="both"/>
        <w:rPr>
          <w:rFonts w:ascii="Times New Roman" w:hAnsi="Times New Roman" w:cs="Times New Roman"/>
          <w:b/>
          <w:bCs/>
          <w:strike/>
          <w:sz w:val="24"/>
          <w:szCs w:val="24"/>
        </w:rPr>
      </w:pPr>
      <w:r w:rsidRPr="00E46B46">
        <w:rPr>
          <w:rFonts w:ascii="Times New Roman" w:hAnsi="Times New Roman" w:cs="Times New Roman"/>
          <w:b/>
          <w:bCs/>
          <w:sz w:val="24"/>
          <w:szCs w:val="24"/>
        </w:rPr>
        <w:t xml:space="preserve">Analysis </w:t>
      </w:r>
      <w:r w:rsidR="00E46B46">
        <w:rPr>
          <w:rFonts w:ascii="Times New Roman" w:hAnsi="Times New Roman" w:cs="Times New Roman"/>
          <w:b/>
          <w:bCs/>
          <w:sz w:val="24"/>
          <w:szCs w:val="24"/>
        </w:rPr>
        <w:t xml:space="preserve">physiochemical parameters </w:t>
      </w:r>
      <w:r w:rsidRPr="00E46B46">
        <w:rPr>
          <w:rFonts w:ascii="Times New Roman" w:hAnsi="Times New Roman" w:cs="Times New Roman"/>
          <w:b/>
          <w:bCs/>
          <w:sz w:val="24"/>
          <w:szCs w:val="24"/>
        </w:rPr>
        <w:t xml:space="preserve">of </w:t>
      </w:r>
      <w:r w:rsidR="00E46B46">
        <w:rPr>
          <w:rFonts w:ascii="Times New Roman" w:hAnsi="Times New Roman" w:cs="Times New Roman"/>
          <w:b/>
          <w:bCs/>
          <w:sz w:val="24"/>
          <w:szCs w:val="24"/>
        </w:rPr>
        <w:t xml:space="preserve">Water </w:t>
      </w:r>
    </w:p>
    <w:p w14:paraId="5C64AD11" w14:textId="77777777" w:rsidR="00CA3E18" w:rsidRPr="002445BC" w:rsidRDefault="00764CBF"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shd w:val="clear" w:color="auto" w:fill="FFFFFF"/>
        </w:rPr>
        <w:t xml:space="preserve">The mean and standard deviation of water parameters at the breeding </w:t>
      </w:r>
      <w:r w:rsidR="00B06077" w:rsidRPr="002445BC">
        <w:rPr>
          <w:rFonts w:ascii="Times New Roman" w:hAnsi="Times New Roman" w:cs="Times New Roman"/>
          <w:sz w:val="24"/>
          <w:szCs w:val="24"/>
          <w:shd w:val="clear" w:color="auto" w:fill="FFFFFF"/>
        </w:rPr>
        <w:t>habitat</w:t>
      </w:r>
      <w:r w:rsidRPr="002445BC">
        <w:rPr>
          <w:rFonts w:ascii="Times New Roman" w:hAnsi="Times New Roman" w:cs="Times New Roman"/>
          <w:sz w:val="24"/>
          <w:szCs w:val="24"/>
          <w:shd w:val="clear" w:color="auto" w:fill="FFFFFF"/>
        </w:rPr>
        <w:t xml:space="preserve"> of both pupae species are summarized below. However, there were no significant differences in the measured water parameters between the two species. The results are as follows: </w:t>
      </w:r>
      <w:r w:rsidR="00C66436" w:rsidRPr="002445BC">
        <w:rPr>
          <w:rFonts w:ascii="Times New Roman" w:hAnsi="Times New Roman" w:cs="Times New Roman"/>
          <w:sz w:val="24"/>
          <w:szCs w:val="24"/>
        </w:rPr>
        <w:t>Temperature (t =1.073, p =0.289, df =49), pH (t = 0.443, p =0.661, df =28), Conductivity (t = - 0.020, p =0.984, df =49), TDS (t =-0.226, p =0.822, df =48), Salinity (t =1.029, p =0.309, df =49).</w:t>
      </w:r>
    </w:p>
    <w:p w14:paraId="68A19176" w14:textId="4F61758D" w:rsidR="00E46B46" w:rsidRPr="00BF4203" w:rsidRDefault="00E46B46" w:rsidP="00E46B46">
      <w:pPr>
        <w:pStyle w:val="Caption"/>
        <w:keepNext/>
        <w:rPr>
          <w:rFonts w:ascii="Times New Roman" w:hAnsi="Times New Roman" w:cs="Times New Roman"/>
          <w:i w:val="0"/>
          <w:iCs w:val="0"/>
          <w:color w:val="auto"/>
          <w:sz w:val="24"/>
          <w:szCs w:val="24"/>
        </w:rPr>
      </w:pPr>
      <w:r w:rsidRPr="00BF4203">
        <w:rPr>
          <w:rFonts w:ascii="Times New Roman" w:hAnsi="Times New Roman" w:cs="Times New Roman"/>
          <w:i w:val="0"/>
          <w:iCs w:val="0"/>
          <w:color w:val="auto"/>
          <w:sz w:val="24"/>
          <w:szCs w:val="24"/>
        </w:rPr>
        <w:t>Table 0</w:t>
      </w:r>
      <w:r w:rsidRPr="00BF4203">
        <w:rPr>
          <w:rFonts w:ascii="Times New Roman" w:hAnsi="Times New Roman" w:cs="Times New Roman"/>
          <w:i w:val="0"/>
          <w:iCs w:val="0"/>
          <w:color w:val="auto"/>
          <w:sz w:val="24"/>
          <w:szCs w:val="24"/>
        </w:rPr>
        <w:fldChar w:fldCharType="begin"/>
      </w:r>
      <w:r w:rsidRPr="00BF4203">
        <w:rPr>
          <w:rFonts w:ascii="Times New Roman" w:hAnsi="Times New Roman" w:cs="Times New Roman"/>
          <w:i w:val="0"/>
          <w:iCs w:val="0"/>
          <w:color w:val="auto"/>
          <w:sz w:val="24"/>
          <w:szCs w:val="24"/>
        </w:rPr>
        <w:instrText xml:space="preserve"> SEQ Table \* ARABIC </w:instrText>
      </w:r>
      <w:r w:rsidRPr="00BF4203">
        <w:rPr>
          <w:rFonts w:ascii="Times New Roman" w:hAnsi="Times New Roman" w:cs="Times New Roman"/>
          <w:i w:val="0"/>
          <w:iCs w:val="0"/>
          <w:color w:val="auto"/>
          <w:sz w:val="24"/>
          <w:szCs w:val="24"/>
        </w:rPr>
        <w:fldChar w:fldCharType="separate"/>
      </w:r>
      <w:r w:rsidRPr="00BF4203">
        <w:rPr>
          <w:rFonts w:ascii="Times New Roman" w:hAnsi="Times New Roman" w:cs="Times New Roman"/>
          <w:i w:val="0"/>
          <w:iCs w:val="0"/>
          <w:noProof/>
          <w:color w:val="auto"/>
          <w:sz w:val="24"/>
          <w:szCs w:val="24"/>
        </w:rPr>
        <w:t>2</w:t>
      </w:r>
      <w:r w:rsidRPr="00BF4203">
        <w:rPr>
          <w:rFonts w:ascii="Times New Roman" w:hAnsi="Times New Roman" w:cs="Times New Roman"/>
          <w:i w:val="0"/>
          <w:iCs w:val="0"/>
          <w:color w:val="auto"/>
          <w:sz w:val="24"/>
          <w:szCs w:val="24"/>
        </w:rPr>
        <w:fldChar w:fldCharType="end"/>
      </w:r>
      <w:r w:rsidRPr="00BF4203">
        <w:rPr>
          <w:rFonts w:ascii="Times New Roman" w:hAnsi="Times New Roman" w:cs="Times New Roman"/>
          <w:i w:val="0"/>
          <w:iCs w:val="0"/>
          <w:color w:val="auto"/>
          <w:sz w:val="24"/>
          <w:szCs w:val="24"/>
        </w:rPr>
        <w:t xml:space="preserve"> Physiochemical parameters of water in breeding habitats</w:t>
      </w:r>
    </w:p>
    <w:tbl>
      <w:tblPr>
        <w:tblW w:w="10177" w:type="dxa"/>
        <w:tblLook w:val="04A0" w:firstRow="1" w:lastRow="0" w:firstColumn="1" w:lastColumn="0" w:noHBand="0" w:noVBand="1"/>
      </w:tblPr>
      <w:tblGrid>
        <w:gridCol w:w="1989"/>
        <w:gridCol w:w="1127"/>
        <w:gridCol w:w="1123"/>
        <w:gridCol w:w="1729"/>
        <w:gridCol w:w="1127"/>
        <w:gridCol w:w="1123"/>
        <w:gridCol w:w="1959"/>
      </w:tblGrid>
      <w:tr w:rsidR="00E46B46" w:rsidRPr="00E46B46" w14:paraId="4D0F0EE6" w14:textId="77777777" w:rsidTr="00E46B46">
        <w:trPr>
          <w:trHeight w:val="296"/>
        </w:trPr>
        <w:tc>
          <w:tcPr>
            <w:tcW w:w="1989" w:type="dxa"/>
            <w:tcBorders>
              <w:top w:val="single" w:sz="4" w:space="0" w:color="auto"/>
              <w:left w:val="nil"/>
              <w:bottom w:val="nil"/>
              <w:right w:val="nil"/>
            </w:tcBorders>
            <w:noWrap/>
            <w:vAlign w:val="bottom"/>
            <w:hideMark/>
          </w:tcPr>
          <w:p w14:paraId="1B6D46A9" w14:textId="77777777"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 </w:t>
            </w:r>
          </w:p>
        </w:tc>
        <w:tc>
          <w:tcPr>
            <w:tcW w:w="3979" w:type="dxa"/>
            <w:gridSpan w:val="3"/>
            <w:tcBorders>
              <w:top w:val="single" w:sz="4" w:space="0" w:color="auto"/>
              <w:left w:val="nil"/>
              <w:bottom w:val="nil"/>
              <w:right w:val="nil"/>
            </w:tcBorders>
            <w:noWrap/>
            <w:vAlign w:val="bottom"/>
            <w:hideMark/>
          </w:tcPr>
          <w:p w14:paraId="4A3C722C" w14:textId="77777777" w:rsidR="00E46B46" w:rsidRPr="00E46B46" w:rsidRDefault="00E46B46" w:rsidP="00E46B46">
            <w:pPr>
              <w:spacing w:after="0" w:line="240" w:lineRule="auto"/>
              <w:jc w:val="center"/>
              <w:rPr>
                <w:rFonts w:ascii="Calibri" w:eastAsia="Times New Roman" w:hAnsi="Calibri" w:cs="Calibri"/>
                <w:i/>
                <w:iCs/>
                <w:color w:val="000000"/>
              </w:rPr>
            </w:pPr>
            <w:r w:rsidRPr="00E46B46">
              <w:rPr>
                <w:rFonts w:ascii="Calibri" w:eastAsia="Times New Roman" w:hAnsi="Calibri" w:cs="Calibri"/>
                <w:i/>
                <w:iCs/>
                <w:color w:val="000000"/>
              </w:rPr>
              <w:t>Aedes aegypti</w:t>
            </w:r>
          </w:p>
        </w:tc>
        <w:tc>
          <w:tcPr>
            <w:tcW w:w="4209" w:type="dxa"/>
            <w:gridSpan w:val="3"/>
            <w:tcBorders>
              <w:top w:val="single" w:sz="4" w:space="0" w:color="auto"/>
              <w:left w:val="nil"/>
              <w:bottom w:val="nil"/>
              <w:right w:val="nil"/>
            </w:tcBorders>
            <w:noWrap/>
            <w:vAlign w:val="bottom"/>
            <w:hideMark/>
          </w:tcPr>
          <w:p w14:paraId="0BF4E558" w14:textId="77777777" w:rsidR="00E46B46" w:rsidRPr="00E46B46" w:rsidRDefault="00E46B46" w:rsidP="00E46B46">
            <w:pPr>
              <w:spacing w:after="0" w:line="240" w:lineRule="auto"/>
              <w:jc w:val="center"/>
              <w:rPr>
                <w:rFonts w:ascii="Calibri" w:eastAsia="Times New Roman" w:hAnsi="Calibri" w:cs="Calibri"/>
                <w:i/>
                <w:iCs/>
                <w:color w:val="000000"/>
              </w:rPr>
            </w:pPr>
            <w:r w:rsidRPr="00E46B46">
              <w:rPr>
                <w:rFonts w:ascii="Calibri" w:eastAsia="Times New Roman" w:hAnsi="Calibri" w:cs="Calibri"/>
                <w:i/>
                <w:iCs/>
                <w:color w:val="000000"/>
              </w:rPr>
              <w:t>Aedes albopictus</w:t>
            </w:r>
          </w:p>
        </w:tc>
      </w:tr>
      <w:tr w:rsidR="00E46B46" w:rsidRPr="00E46B46" w14:paraId="7C8E6314" w14:textId="77777777" w:rsidTr="00E46B46">
        <w:trPr>
          <w:trHeight w:val="296"/>
        </w:trPr>
        <w:tc>
          <w:tcPr>
            <w:tcW w:w="1989" w:type="dxa"/>
            <w:tcBorders>
              <w:top w:val="nil"/>
              <w:left w:val="nil"/>
              <w:bottom w:val="single" w:sz="4" w:space="0" w:color="auto"/>
              <w:right w:val="nil"/>
            </w:tcBorders>
            <w:noWrap/>
            <w:vAlign w:val="bottom"/>
            <w:hideMark/>
          </w:tcPr>
          <w:p w14:paraId="55BB74A8" w14:textId="77777777"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 </w:t>
            </w:r>
          </w:p>
        </w:tc>
        <w:tc>
          <w:tcPr>
            <w:tcW w:w="1127" w:type="dxa"/>
            <w:tcBorders>
              <w:top w:val="single" w:sz="4" w:space="0" w:color="auto"/>
              <w:left w:val="nil"/>
              <w:bottom w:val="single" w:sz="4" w:space="0" w:color="auto"/>
              <w:right w:val="nil"/>
            </w:tcBorders>
            <w:noWrap/>
            <w:vAlign w:val="bottom"/>
            <w:hideMark/>
          </w:tcPr>
          <w:p w14:paraId="1377287A"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Minimum</w:t>
            </w:r>
          </w:p>
        </w:tc>
        <w:tc>
          <w:tcPr>
            <w:tcW w:w="1123" w:type="dxa"/>
            <w:tcBorders>
              <w:top w:val="single" w:sz="4" w:space="0" w:color="auto"/>
              <w:left w:val="nil"/>
              <w:bottom w:val="single" w:sz="4" w:space="0" w:color="auto"/>
              <w:right w:val="nil"/>
            </w:tcBorders>
            <w:noWrap/>
            <w:vAlign w:val="bottom"/>
            <w:hideMark/>
          </w:tcPr>
          <w:p w14:paraId="5D5882D2" w14:textId="39FBDE14"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Maximum</w:t>
            </w:r>
          </w:p>
        </w:tc>
        <w:tc>
          <w:tcPr>
            <w:tcW w:w="1729" w:type="dxa"/>
            <w:tcBorders>
              <w:top w:val="single" w:sz="4" w:space="0" w:color="auto"/>
              <w:left w:val="nil"/>
              <w:bottom w:val="single" w:sz="4" w:space="0" w:color="auto"/>
              <w:right w:val="nil"/>
            </w:tcBorders>
            <w:noWrap/>
            <w:vAlign w:val="bottom"/>
            <w:hideMark/>
          </w:tcPr>
          <w:p w14:paraId="279F9C77"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Mean ± SD</w:t>
            </w:r>
          </w:p>
        </w:tc>
        <w:tc>
          <w:tcPr>
            <w:tcW w:w="1127" w:type="dxa"/>
            <w:tcBorders>
              <w:top w:val="single" w:sz="4" w:space="0" w:color="auto"/>
              <w:left w:val="nil"/>
              <w:bottom w:val="single" w:sz="4" w:space="0" w:color="auto"/>
              <w:right w:val="nil"/>
            </w:tcBorders>
            <w:noWrap/>
            <w:vAlign w:val="bottom"/>
            <w:hideMark/>
          </w:tcPr>
          <w:p w14:paraId="31424378"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Minimum</w:t>
            </w:r>
          </w:p>
        </w:tc>
        <w:tc>
          <w:tcPr>
            <w:tcW w:w="1123" w:type="dxa"/>
            <w:tcBorders>
              <w:top w:val="single" w:sz="4" w:space="0" w:color="auto"/>
              <w:left w:val="nil"/>
              <w:bottom w:val="single" w:sz="4" w:space="0" w:color="auto"/>
              <w:right w:val="nil"/>
            </w:tcBorders>
            <w:noWrap/>
            <w:vAlign w:val="bottom"/>
            <w:hideMark/>
          </w:tcPr>
          <w:p w14:paraId="56231BF3" w14:textId="08F9732E"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Maximum</w:t>
            </w:r>
          </w:p>
        </w:tc>
        <w:tc>
          <w:tcPr>
            <w:tcW w:w="1959" w:type="dxa"/>
            <w:tcBorders>
              <w:top w:val="single" w:sz="4" w:space="0" w:color="auto"/>
              <w:left w:val="nil"/>
              <w:bottom w:val="single" w:sz="4" w:space="0" w:color="auto"/>
              <w:right w:val="nil"/>
            </w:tcBorders>
            <w:noWrap/>
            <w:vAlign w:val="bottom"/>
            <w:hideMark/>
          </w:tcPr>
          <w:p w14:paraId="1BF40C73"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Mean ± SD</w:t>
            </w:r>
          </w:p>
        </w:tc>
      </w:tr>
      <w:tr w:rsidR="00E46B46" w:rsidRPr="00E46B46" w14:paraId="55B210CF" w14:textId="77777777" w:rsidTr="00E46B46">
        <w:trPr>
          <w:trHeight w:val="296"/>
        </w:trPr>
        <w:tc>
          <w:tcPr>
            <w:tcW w:w="1989" w:type="dxa"/>
            <w:tcBorders>
              <w:top w:val="nil"/>
              <w:left w:val="nil"/>
              <w:bottom w:val="nil"/>
              <w:right w:val="nil"/>
            </w:tcBorders>
            <w:noWrap/>
            <w:vAlign w:val="bottom"/>
            <w:hideMark/>
          </w:tcPr>
          <w:p w14:paraId="7D7BE528" w14:textId="77777777"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Temperature (⁰C)</w:t>
            </w:r>
          </w:p>
        </w:tc>
        <w:tc>
          <w:tcPr>
            <w:tcW w:w="1127" w:type="dxa"/>
            <w:tcBorders>
              <w:top w:val="nil"/>
              <w:left w:val="nil"/>
              <w:bottom w:val="nil"/>
              <w:right w:val="nil"/>
            </w:tcBorders>
            <w:noWrap/>
            <w:vAlign w:val="bottom"/>
            <w:hideMark/>
          </w:tcPr>
          <w:p w14:paraId="15132925"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28.1</w:t>
            </w:r>
          </w:p>
        </w:tc>
        <w:tc>
          <w:tcPr>
            <w:tcW w:w="1123" w:type="dxa"/>
            <w:tcBorders>
              <w:top w:val="nil"/>
              <w:left w:val="nil"/>
              <w:bottom w:val="nil"/>
              <w:right w:val="nil"/>
            </w:tcBorders>
            <w:noWrap/>
            <w:vAlign w:val="bottom"/>
            <w:hideMark/>
          </w:tcPr>
          <w:p w14:paraId="1B1E1C6D"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34.3</w:t>
            </w:r>
          </w:p>
        </w:tc>
        <w:tc>
          <w:tcPr>
            <w:tcW w:w="1729" w:type="dxa"/>
            <w:tcBorders>
              <w:top w:val="nil"/>
              <w:left w:val="nil"/>
              <w:bottom w:val="nil"/>
              <w:right w:val="nil"/>
            </w:tcBorders>
            <w:noWrap/>
            <w:vAlign w:val="bottom"/>
            <w:hideMark/>
          </w:tcPr>
          <w:p w14:paraId="6D354CF9"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31.81 ±  1.41</w:t>
            </w:r>
          </w:p>
        </w:tc>
        <w:tc>
          <w:tcPr>
            <w:tcW w:w="1127" w:type="dxa"/>
            <w:tcBorders>
              <w:top w:val="nil"/>
              <w:left w:val="nil"/>
              <w:bottom w:val="nil"/>
              <w:right w:val="nil"/>
            </w:tcBorders>
            <w:noWrap/>
            <w:vAlign w:val="bottom"/>
            <w:hideMark/>
          </w:tcPr>
          <w:p w14:paraId="30D6E252"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27.9</w:t>
            </w:r>
          </w:p>
        </w:tc>
        <w:tc>
          <w:tcPr>
            <w:tcW w:w="1123" w:type="dxa"/>
            <w:tcBorders>
              <w:top w:val="nil"/>
              <w:left w:val="nil"/>
              <w:bottom w:val="nil"/>
              <w:right w:val="nil"/>
            </w:tcBorders>
            <w:noWrap/>
            <w:vAlign w:val="bottom"/>
            <w:hideMark/>
          </w:tcPr>
          <w:p w14:paraId="3EB532FD"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33.2</w:t>
            </w:r>
          </w:p>
        </w:tc>
        <w:tc>
          <w:tcPr>
            <w:tcW w:w="1959" w:type="dxa"/>
            <w:tcBorders>
              <w:top w:val="nil"/>
              <w:left w:val="nil"/>
              <w:bottom w:val="nil"/>
              <w:right w:val="nil"/>
            </w:tcBorders>
            <w:noWrap/>
            <w:vAlign w:val="bottom"/>
            <w:hideMark/>
          </w:tcPr>
          <w:p w14:paraId="4871ED86"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31.39 ± 1.38</w:t>
            </w:r>
          </w:p>
        </w:tc>
      </w:tr>
      <w:tr w:rsidR="00E46B46" w:rsidRPr="00E46B46" w14:paraId="0E960601" w14:textId="77777777" w:rsidTr="00E46B46">
        <w:trPr>
          <w:trHeight w:val="296"/>
        </w:trPr>
        <w:tc>
          <w:tcPr>
            <w:tcW w:w="1989" w:type="dxa"/>
            <w:tcBorders>
              <w:top w:val="nil"/>
              <w:left w:val="nil"/>
              <w:bottom w:val="nil"/>
              <w:right w:val="nil"/>
            </w:tcBorders>
            <w:noWrap/>
            <w:vAlign w:val="bottom"/>
            <w:hideMark/>
          </w:tcPr>
          <w:p w14:paraId="2B3BBAF4" w14:textId="77777777"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PH</w:t>
            </w:r>
          </w:p>
        </w:tc>
        <w:tc>
          <w:tcPr>
            <w:tcW w:w="1127" w:type="dxa"/>
            <w:tcBorders>
              <w:top w:val="nil"/>
              <w:left w:val="nil"/>
              <w:bottom w:val="nil"/>
              <w:right w:val="nil"/>
            </w:tcBorders>
            <w:noWrap/>
            <w:vAlign w:val="bottom"/>
            <w:hideMark/>
          </w:tcPr>
          <w:p w14:paraId="2D7FEFBE"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5.98</w:t>
            </w:r>
          </w:p>
        </w:tc>
        <w:tc>
          <w:tcPr>
            <w:tcW w:w="1123" w:type="dxa"/>
            <w:tcBorders>
              <w:top w:val="nil"/>
              <w:left w:val="nil"/>
              <w:bottom w:val="nil"/>
              <w:right w:val="nil"/>
            </w:tcBorders>
            <w:noWrap/>
            <w:vAlign w:val="bottom"/>
            <w:hideMark/>
          </w:tcPr>
          <w:p w14:paraId="201D2258"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7.24</w:t>
            </w:r>
          </w:p>
        </w:tc>
        <w:tc>
          <w:tcPr>
            <w:tcW w:w="1729" w:type="dxa"/>
            <w:tcBorders>
              <w:top w:val="nil"/>
              <w:left w:val="nil"/>
              <w:bottom w:val="nil"/>
              <w:right w:val="nil"/>
            </w:tcBorders>
            <w:noWrap/>
            <w:vAlign w:val="bottom"/>
            <w:hideMark/>
          </w:tcPr>
          <w:p w14:paraId="18BB470A"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6.59 ± 0.43</w:t>
            </w:r>
          </w:p>
        </w:tc>
        <w:tc>
          <w:tcPr>
            <w:tcW w:w="1127" w:type="dxa"/>
            <w:tcBorders>
              <w:top w:val="nil"/>
              <w:left w:val="nil"/>
              <w:bottom w:val="nil"/>
              <w:right w:val="nil"/>
            </w:tcBorders>
            <w:noWrap/>
            <w:vAlign w:val="bottom"/>
            <w:hideMark/>
          </w:tcPr>
          <w:p w14:paraId="63A0FF88"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5.59</w:t>
            </w:r>
          </w:p>
        </w:tc>
        <w:tc>
          <w:tcPr>
            <w:tcW w:w="1123" w:type="dxa"/>
            <w:tcBorders>
              <w:top w:val="nil"/>
              <w:left w:val="nil"/>
              <w:bottom w:val="nil"/>
              <w:right w:val="nil"/>
            </w:tcBorders>
            <w:noWrap/>
            <w:vAlign w:val="bottom"/>
            <w:hideMark/>
          </w:tcPr>
          <w:p w14:paraId="3277E763"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7.29</w:t>
            </w:r>
          </w:p>
        </w:tc>
        <w:tc>
          <w:tcPr>
            <w:tcW w:w="1959" w:type="dxa"/>
            <w:tcBorders>
              <w:top w:val="nil"/>
              <w:left w:val="nil"/>
              <w:bottom w:val="nil"/>
              <w:right w:val="nil"/>
            </w:tcBorders>
            <w:noWrap/>
            <w:vAlign w:val="bottom"/>
            <w:hideMark/>
          </w:tcPr>
          <w:p w14:paraId="3CF498C8"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6.52 ±  0.38</w:t>
            </w:r>
          </w:p>
        </w:tc>
      </w:tr>
      <w:tr w:rsidR="00E46B46" w:rsidRPr="00E46B46" w14:paraId="04A68A4D" w14:textId="77777777" w:rsidTr="00E46B46">
        <w:trPr>
          <w:trHeight w:val="296"/>
        </w:trPr>
        <w:tc>
          <w:tcPr>
            <w:tcW w:w="1989" w:type="dxa"/>
            <w:tcBorders>
              <w:top w:val="nil"/>
              <w:left w:val="nil"/>
              <w:bottom w:val="nil"/>
              <w:right w:val="nil"/>
            </w:tcBorders>
            <w:noWrap/>
            <w:vAlign w:val="bottom"/>
            <w:hideMark/>
          </w:tcPr>
          <w:p w14:paraId="2C710392" w14:textId="77777777"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Conductivity (</w:t>
            </w:r>
            <w:r w:rsidRPr="00E46B46">
              <w:rPr>
                <w:rFonts w:ascii="Symbol" w:eastAsia="Times New Roman" w:hAnsi="Symbol" w:cs="Calibri"/>
                <w:color w:val="000000"/>
              </w:rPr>
              <w:t></w:t>
            </w:r>
            <w:r w:rsidRPr="00E46B46">
              <w:rPr>
                <w:rFonts w:ascii="Calibri" w:eastAsia="Times New Roman" w:hAnsi="Calibri" w:cs="Calibri"/>
                <w:color w:val="000000"/>
              </w:rPr>
              <w:t>S)</w:t>
            </w:r>
          </w:p>
        </w:tc>
        <w:tc>
          <w:tcPr>
            <w:tcW w:w="1127" w:type="dxa"/>
            <w:tcBorders>
              <w:top w:val="nil"/>
              <w:left w:val="nil"/>
              <w:bottom w:val="nil"/>
              <w:right w:val="nil"/>
            </w:tcBorders>
            <w:noWrap/>
            <w:vAlign w:val="bottom"/>
            <w:hideMark/>
          </w:tcPr>
          <w:p w14:paraId="06A2BC27"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35.9</w:t>
            </w:r>
          </w:p>
        </w:tc>
        <w:tc>
          <w:tcPr>
            <w:tcW w:w="1123" w:type="dxa"/>
            <w:tcBorders>
              <w:top w:val="nil"/>
              <w:left w:val="nil"/>
              <w:bottom w:val="nil"/>
              <w:right w:val="nil"/>
            </w:tcBorders>
            <w:noWrap/>
            <w:vAlign w:val="bottom"/>
            <w:hideMark/>
          </w:tcPr>
          <w:p w14:paraId="2C18DBEB"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887</w:t>
            </w:r>
          </w:p>
        </w:tc>
        <w:tc>
          <w:tcPr>
            <w:tcW w:w="1729" w:type="dxa"/>
            <w:tcBorders>
              <w:top w:val="nil"/>
              <w:left w:val="nil"/>
              <w:bottom w:val="nil"/>
              <w:right w:val="nil"/>
            </w:tcBorders>
            <w:noWrap/>
            <w:vAlign w:val="bottom"/>
            <w:hideMark/>
          </w:tcPr>
          <w:p w14:paraId="50B97F3E"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394.2 ±  274.02</w:t>
            </w:r>
          </w:p>
        </w:tc>
        <w:tc>
          <w:tcPr>
            <w:tcW w:w="1127" w:type="dxa"/>
            <w:tcBorders>
              <w:top w:val="nil"/>
              <w:left w:val="nil"/>
              <w:bottom w:val="nil"/>
              <w:right w:val="nil"/>
            </w:tcBorders>
            <w:noWrap/>
            <w:vAlign w:val="bottom"/>
            <w:hideMark/>
          </w:tcPr>
          <w:p w14:paraId="77534230"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58.2</w:t>
            </w:r>
          </w:p>
        </w:tc>
        <w:tc>
          <w:tcPr>
            <w:tcW w:w="1123" w:type="dxa"/>
            <w:tcBorders>
              <w:top w:val="nil"/>
              <w:left w:val="nil"/>
              <w:bottom w:val="nil"/>
              <w:right w:val="nil"/>
            </w:tcBorders>
            <w:noWrap/>
            <w:vAlign w:val="bottom"/>
            <w:hideMark/>
          </w:tcPr>
          <w:p w14:paraId="501F3561"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873</w:t>
            </w:r>
          </w:p>
        </w:tc>
        <w:tc>
          <w:tcPr>
            <w:tcW w:w="1959" w:type="dxa"/>
            <w:tcBorders>
              <w:top w:val="nil"/>
              <w:left w:val="nil"/>
              <w:bottom w:val="nil"/>
              <w:right w:val="nil"/>
            </w:tcBorders>
            <w:noWrap/>
            <w:vAlign w:val="bottom"/>
            <w:hideMark/>
          </w:tcPr>
          <w:p w14:paraId="584FB383"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395.67 ± 260.29</w:t>
            </w:r>
          </w:p>
        </w:tc>
      </w:tr>
      <w:tr w:rsidR="00E46B46" w:rsidRPr="00E46B46" w14:paraId="6F6E4644" w14:textId="77777777" w:rsidTr="00E46B46">
        <w:trPr>
          <w:trHeight w:val="296"/>
        </w:trPr>
        <w:tc>
          <w:tcPr>
            <w:tcW w:w="1989" w:type="dxa"/>
            <w:tcBorders>
              <w:top w:val="nil"/>
              <w:left w:val="nil"/>
              <w:bottom w:val="nil"/>
              <w:right w:val="nil"/>
            </w:tcBorders>
            <w:noWrap/>
            <w:vAlign w:val="bottom"/>
            <w:hideMark/>
          </w:tcPr>
          <w:p w14:paraId="04145A0F" w14:textId="77777777"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TDS (ppm)</w:t>
            </w:r>
          </w:p>
        </w:tc>
        <w:tc>
          <w:tcPr>
            <w:tcW w:w="1127" w:type="dxa"/>
            <w:tcBorders>
              <w:top w:val="nil"/>
              <w:left w:val="nil"/>
              <w:bottom w:val="nil"/>
              <w:right w:val="nil"/>
            </w:tcBorders>
            <w:noWrap/>
            <w:vAlign w:val="bottom"/>
            <w:hideMark/>
          </w:tcPr>
          <w:p w14:paraId="1BCF99C3"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25.4</w:t>
            </w:r>
          </w:p>
        </w:tc>
        <w:tc>
          <w:tcPr>
            <w:tcW w:w="1123" w:type="dxa"/>
            <w:tcBorders>
              <w:top w:val="nil"/>
              <w:left w:val="nil"/>
              <w:bottom w:val="nil"/>
              <w:right w:val="nil"/>
            </w:tcBorders>
            <w:noWrap/>
            <w:vAlign w:val="bottom"/>
            <w:hideMark/>
          </w:tcPr>
          <w:p w14:paraId="064A9D0B"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629</w:t>
            </w:r>
          </w:p>
        </w:tc>
        <w:tc>
          <w:tcPr>
            <w:tcW w:w="1729" w:type="dxa"/>
            <w:tcBorders>
              <w:top w:val="nil"/>
              <w:left w:val="nil"/>
              <w:bottom w:val="nil"/>
              <w:right w:val="nil"/>
            </w:tcBorders>
            <w:noWrap/>
            <w:vAlign w:val="bottom"/>
            <w:hideMark/>
          </w:tcPr>
          <w:p w14:paraId="7777623E"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274.29 ±  197.24</w:t>
            </w:r>
          </w:p>
        </w:tc>
        <w:tc>
          <w:tcPr>
            <w:tcW w:w="1127" w:type="dxa"/>
            <w:tcBorders>
              <w:top w:val="nil"/>
              <w:left w:val="nil"/>
              <w:bottom w:val="nil"/>
              <w:right w:val="nil"/>
            </w:tcBorders>
            <w:noWrap/>
            <w:vAlign w:val="bottom"/>
            <w:hideMark/>
          </w:tcPr>
          <w:p w14:paraId="3A00EE04"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72.6</w:t>
            </w:r>
          </w:p>
        </w:tc>
        <w:tc>
          <w:tcPr>
            <w:tcW w:w="1123" w:type="dxa"/>
            <w:tcBorders>
              <w:top w:val="nil"/>
              <w:left w:val="nil"/>
              <w:bottom w:val="nil"/>
              <w:right w:val="nil"/>
            </w:tcBorders>
            <w:noWrap/>
            <w:vAlign w:val="bottom"/>
            <w:hideMark/>
          </w:tcPr>
          <w:p w14:paraId="50B7F548"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623</w:t>
            </w:r>
          </w:p>
        </w:tc>
        <w:tc>
          <w:tcPr>
            <w:tcW w:w="1959" w:type="dxa"/>
            <w:tcBorders>
              <w:top w:val="nil"/>
              <w:left w:val="nil"/>
              <w:bottom w:val="nil"/>
              <w:right w:val="nil"/>
            </w:tcBorders>
            <w:noWrap/>
            <w:vAlign w:val="bottom"/>
            <w:hideMark/>
          </w:tcPr>
          <w:p w14:paraId="3C499F3A"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286.5 ±  184.63</w:t>
            </w:r>
          </w:p>
        </w:tc>
      </w:tr>
      <w:tr w:rsidR="00E46B46" w:rsidRPr="00E46B46" w14:paraId="277E5F20" w14:textId="77777777" w:rsidTr="00E46B46">
        <w:trPr>
          <w:trHeight w:val="296"/>
        </w:trPr>
        <w:tc>
          <w:tcPr>
            <w:tcW w:w="1989" w:type="dxa"/>
            <w:tcBorders>
              <w:top w:val="nil"/>
              <w:left w:val="nil"/>
              <w:bottom w:val="nil"/>
              <w:right w:val="nil"/>
            </w:tcBorders>
            <w:noWrap/>
            <w:vAlign w:val="bottom"/>
            <w:hideMark/>
          </w:tcPr>
          <w:p w14:paraId="748A8281" w14:textId="4430DF46"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Salinity (ppt)</w:t>
            </w:r>
          </w:p>
        </w:tc>
        <w:tc>
          <w:tcPr>
            <w:tcW w:w="1127" w:type="dxa"/>
            <w:tcBorders>
              <w:top w:val="nil"/>
              <w:left w:val="nil"/>
              <w:bottom w:val="nil"/>
              <w:right w:val="nil"/>
            </w:tcBorders>
            <w:noWrap/>
            <w:vAlign w:val="bottom"/>
            <w:hideMark/>
          </w:tcPr>
          <w:p w14:paraId="00BD8CF9"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0.02</w:t>
            </w:r>
          </w:p>
        </w:tc>
        <w:tc>
          <w:tcPr>
            <w:tcW w:w="1123" w:type="dxa"/>
            <w:tcBorders>
              <w:top w:val="nil"/>
              <w:left w:val="nil"/>
              <w:bottom w:val="nil"/>
              <w:right w:val="nil"/>
            </w:tcBorders>
            <w:noWrap/>
            <w:vAlign w:val="bottom"/>
            <w:hideMark/>
          </w:tcPr>
          <w:p w14:paraId="02D5D48C"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0.52</w:t>
            </w:r>
          </w:p>
        </w:tc>
        <w:tc>
          <w:tcPr>
            <w:tcW w:w="1729" w:type="dxa"/>
            <w:tcBorders>
              <w:top w:val="nil"/>
              <w:left w:val="nil"/>
              <w:bottom w:val="nil"/>
              <w:right w:val="nil"/>
            </w:tcBorders>
            <w:noWrap/>
            <w:vAlign w:val="bottom"/>
            <w:hideMark/>
          </w:tcPr>
          <w:p w14:paraId="6047B927"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0.22 ±  0.15</w:t>
            </w:r>
          </w:p>
        </w:tc>
        <w:tc>
          <w:tcPr>
            <w:tcW w:w="1127" w:type="dxa"/>
            <w:tcBorders>
              <w:top w:val="nil"/>
              <w:left w:val="nil"/>
              <w:bottom w:val="nil"/>
              <w:right w:val="nil"/>
            </w:tcBorders>
            <w:noWrap/>
            <w:vAlign w:val="bottom"/>
            <w:hideMark/>
          </w:tcPr>
          <w:p w14:paraId="3A96FEA5"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0.01</w:t>
            </w:r>
          </w:p>
        </w:tc>
        <w:tc>
          <w:tcPr>
            <w:tcW w:w="1123" w:type="dxa"/>
            <w:tcBorders>
              <w:top w:val="nil"/>
              <w:left w:val="nil"/>
              <w:bottom w:val="nil"/>
              <w:right w:val="nil"/>
            </w:tcBorders>
            <w:noWrap/>
            <w:vAlign w:val="bottom"/>
            <w:hideMark/>
          </w:tcPr>
          <w:p w14:paraId="4DB3D9A1"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0.44</w:t>
            </w:r>
          </w:p>
        </w:tc>
        <w:tc>
          <w:tcPr>
            <w:tcW w:w="1959" w:type="dxa"/>
            <w:tcBorders>
              <w:top w:val="nil"/>
              <w:left w:val="nil"/>
              <w:bottom w:val="nil"/>
              <w:right w:val="nil"/>
            </w:tcBorders>
            <w:noWrap/>
            <w:vAlign w:val="bottom"/>
            <w:hideMark/>
          </w:tcPr>
          <w:p w14:paraId="07B0DF97"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0.17 ±  0.14</w:t>
            </w:r>
          </w:p>
        </w:tc>
      </w:tr>
      <w:tr w:rsidR="00E46B46" w:rsidRPr="00E46B46" w14:paraId="480697A3" w14:textId="77777777" w:rsidTr="00E46B46">
        <w:trPr>
          <w:trHeight w:val="296"/>
        </w:trPr>
        <w:tc>
          <w:tcPr>
            <w:tcW w:w="1989" w:type="dxa"/>
            <w:tcBorders>
              <w:top w:val="nil"/>
              <w:left w:val="nil"/>
              <w:bottom w:val="single" w:sz="4" w:space="0" w:color="auto"/>
              <w:right w:val="nil"/>
            </w:tcBorders>
            <w:noWrap/>
            <w:vAlign w:val="bottom"/>
            <w:hideMark/>
          </w:tcPr>
          <w:p w14:paraId="36141C1A" w14:textId="77777777"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Water Volume (ml)</w:t>
            </w:r>
          </w:p>
        </w:tc>
        <w:tc>
          <w:tcPr>
            <w:tcW w:w="1127" w:type="dxa"/>
            <w:tcBorders>
              <w:top w:val="nil"/>
              <w:left w:val="nil"/>
              <w:bottom w:val="single" w:sz="4" w:space="0" w:color="auto"/>
              <w:right w:val="nil"/>
            </w:tcBorders>
            <w:noWrap/>
            <w:vAlign w:val="bottom"/>
            <w:hideMark/>
          </w:tcPr>
          <w:p w14:paraId="3C86E43E"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629</w:t>
            </w:r>
          </w:p>
        </w:tc>
        <w:tc>
          <w:tcPr>
            <w:tcW w:w="1123" w:type="dxa"/>
            <w:tcBorders>
              <w:top w:val="nil"/>
              <w:left w:val="nil"/>
              <w:bottom w:val="single" w:sz="4" w:space="0" w:color="auto"/>
              <w:right w:val="nil"/>
            </w:tcBorders>
            <w:noWrap/>
            <w:vAlign w:val="bottom"/>
            <w:hideMark/>
          </w:tcPr>
          <w:p w14:paraId="1DEEED5A"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5000</w:t>
            </w:r>
          </w:p>
        </w:tc>
        <w:tc>
          <w:tcPr>
            <w:tcW w:w="1729" w:type="dxa"/>
            <w:tcBorders>
              <w:top w:val="nil"/>
              <w:left w:val="nil"/>
              <w:bottom w:val="single" w:sz="4" w:space="0" w:color="auto"/>
              <w:right w:val="nil"/>
            </w:tcBorders>
            <w:noWrap/>
            <w:vAlign w:val="bottom"/>
            <w:hideMark/>
          </w:tcPr>
          <w:p w14:paraId="72144C77"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906 ±  1424</w:t>
            </w:r>
          </w:p>
        </w:tc>
        <w:tc>
          <w:tcPr>
            <w:tcW w:w="1127" w:type="dxa"/>
            <w:tcBorders>
              <w:top w:val="nil"/>
              <w:left w:val="nil"/>
              <w:bottom w:val="single" w:sz="4" w:space="0" w:color="auto"/>
              <w:right w:val="nil"/>
            </w:tcBorders>
            <w:noWrap/>
            <w:vAlign w:val="bottom"/>
            <w:hideMark/>
          </w:tcPr>
          <w:p w14:paraId="0FC668F8"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30</w:t>
            </w:r>
          </w:p>
        </w:tc>
        <w:tc>
          <w:tcPr>
            <w:tcW w:w="1123" w:type="dxa"/>
            <w:tcBorders>
              <w:top w:val="nil"/>
              <w:left w:val="nil"/>
              <w:bottom w:val="single" w:sz="4" w:space="0" w:color="auto"/>
              <w:right w:val="nil"/>
            </w:tcBorders>
            <w:noWrap/>
            <w:vAlign w:val="bottom"/>
            <w:hideMark/>
          </w:tcPr>
          <w:p w14:paraId="49B5AFC2"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30000</w:t>
            </w:r>
          </w:p>
        </w:tc>
        <w:tc>
          <w:tcPr>
            <w:tcW w:w="1959" w:type="dxa"/>
            <w:tcBorders>
              <w:top w:val="nil"/>
              <w:left w:val="nil"/>
              <w:bottom w:val="single" w:sz="4" w:space="0" w:color="auto"/>
              <w:right w:val="nil"/>
            </w:tcBorders>
            <w:noWrap/>
            <w:vAlign w:val="bottom"/>
            <w:hideMark/>
          </w:tcPr>
          <w:p w14:paraId="5A24921F"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1660.93 ±  4923.93</w:t>
            </w:r>
          </w:p>
        </w:tc>
      </w:tr>
    </w:tbl>
    <w:p w14:paraId="2A045456" w14:textId="50A60783" w:rsidR="00476774" w:rsidRPr="002445BC" w:rsidRDefault="00476774"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lastRenderedPageBreak/>
        <w:t xml:space="preserve">The pupal productivity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showed a significant positive correlation with the volume of water in breeding habitats (r = 0.449, p = 0.019, df = 27). In contrast, the pupal productivity of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did not show a correlation with the volume of water in breeding habitats (r = -0.209, p = 0.178, df = 43).</w:t>
      </w:r>
    </w:p>
    <w:p w14:paraId="03242044" w14:textId="0C76DEDF" w:rsidR="00476774" w:rsidRPr="002445BC" w:rsidRDefault="00476774" w:rsidP="002445BC">
      <w:pPr>
        <w:spacing w:before="240" w:after="240" w:line="240" w:lineRule="auto"/>
        <w:jc w:val="both"/>
        <w:rPr>
          <w:rFonts w:ascii="Times New Roman" w:hAnsi="Times New Roman" w:cs="Times New Roman"/>
          <w:i/>
          <w:iCs/>
          <w:sz w:val="24"/>
          <w:szCs w:val="24"/>
          <w:shd w:val="clear" w:color="auto" w:fill="FFFFFF"/>
        </w:rPr>
      </w:pPr>
      <w:r w:rsidRPr="002445BC">
        <w:rPr>
          <w:rFonts w:ascii="Times New Roman" w:hAnsi="Times New Roman" w:cs="Times New Roman"/>
          <w:sz w:val="24"/>
          <w:szCs w:val="24"/>
          <w:shd w:val="clear" w:color="auto" w:fill="FFFFFF"/>
        </w:rPr>
        <w:t xml:space="preserve">Additionally, no correlations were observed between the pupal productivity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and following physicochemical parameters of water, temperature (r = 0.071, p = 0.740, df = 24), pH (r = -0.353, p = 0.317, df = 10), conductivity (r = -0.174, p = 0.416, df = 24), total dissolved solids (r = -0.186, p = 0.395, df = 23), </w:t>
      </w:r>
      <w:r w:rsidR="00923AA2" w:rsidRPr="002445BC">
        <w:rPr>
          <w:rFonts w:ascii="Times New Roman" w:hAnsi="Times New Roman" w:cs="Times New Roman"/>
          <w:sz w:val="24"/>
          <w:szCs w:val="24"/>
          <w:shd w:val="clear" w:color="auto" w:fill="FFFFFF"/>
        </w:rPr>
        <w:t xml:space="preserve">and </w:t>
      </w:r>
      <w:r w:rsidRPr="002445BC">
        <w:rPr>
          <w:rFonts w:ascii="Times New Roman" w:hAnsi="Times New Roman" w:cs="Times New Roman"/>
          <w:sz w:val="24"/>
          <w:szCs w:val="24"/>
          <w:shd w:val="clear" w:color="auto" w:fill="FFFFFF"/>
        </w:rPr>
        <w:t>salinity (r = -0.112, p = 0.603, df = 24). Similarly, there were no correlations between temperature (r = 0.100, p = 0.619, df = 27), pH (r = 0.387, p = 0.091, df = 20), conductivity (r = 0.183, p = 0.360, df = 27), total dissolved solids (r = 0.204, p = 0.308, df = 27</w:t>
      </w:r>
      <w:r w:rsidR="00923AA2" w:rsidRPr="002445BC">
        <w:rPr>
          <w:rFonts w:ascii="Times New Roman" w:hAnsi="Times New Roman" w:cs="Times New Roman"/>
          <w:sz w:val="24"/>
          <w:szCs w:val="24"/>
          <w:shd w:val="clear" w:color="auto" w:fill="FFFFFF"/>
        </w:rPr>
        <w:t>), salinity</w:t>
      </w:r>
      <w:r w:rsidRPr="002445BC">
        <w:rPr>
          <w:rFonts w:ascii="Times New Roman" w:hAnsi="Times New Roman" w:cs="Times New Roman"/>
          <w:sz w:val="24"/>
          <w:szCs w:val="24"/>
          <w:shd w:val="clear" w:color="auto" w:fill="FFFFFF"/>
        </w:rPr>
        <w:t xml:space="preserve"> (r = 0.097, p = 0.632, df = 27) and pupal productivity of </w:t>
      </w:r>
      <w:r w:rsidRPr="002445BC">
        <w:rPr>
          <w:rFonts w:ascii="Times New Roman" w:hAnsi="Times New Roman" w:cs="Times New Roman"/>
          <w:i/>
          <w:iCs/>
          <w:sz w:val="24"/>
          <w:szCs w:val="24"/>
          <w:shd w:val="clear" w:color="auto" w:fill="FFFFFF"/>
        </w:rPr>
        <w:t>Ae albopictus.</w:t>
      </w:r>
    </w:p>
    <w:p w14:paraId="039C9DE9" w14:textId="6CA05BA1" w:rsidR="006E367C" w:rsidRPr="002445BC" w:rsidRDefault="007476E0" w:rsidP="007476E0">
      <w:pPr>
        <w:pStyle w:val="Heading2"/>
        <w:rPr>
          <w:shd w:val="clear" w:color="auto" w:fill="FFFFFF"/>
        </w:rPr>
      </w:pPr>
      <w:r>
        <w:rPr>
          <w:shd w:val="clear" w:color="auto" w:fill="FFFFFF"/>
        </w:rPr>
        <w:t>DISCUSSION</w:t>
      </w:r>
    </w:p>
    <w:p w14:paraId="2A629E48" w14:textId="4E0FC7B0" w:rsidR="006E367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 xml:space="preserve">Even though positivity of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significantly higher than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PHI was remarkably similar and statistically indistinguishable between the two species. This indicates that breeding habitats were positive for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may contain more pupae on average, making them more efficient for mosquito production. Furthermore, the findings indicated that a significant proportion of infested households didn’t facilitate the development of larvae into their adult stage. This is why pupal indices area considered a more direct measure of adult vector production and transmission risk th</w:t>
      </w:r>
      <w:r w:rsidR="006D485A">
        <w:rPr>
          <w:rFonts w:ascii="Times New Roman" w:hAnsi="Times New Roman" w:cs="Times New Roman"/>
          <w:sz w:val="24"/>
          <w:szCs w:val="24"/>
          <w:shd w:val="clear" w:color="auto" w:fill="FFFFFF"/>
        </w:rPr>
        <w:t xml:space="preserve">an just measuring the container </w:t>
      </w:r>
      <w:r w:rsidR="006D485A">
        <w:rPr>
          <w:rFonts w:ascii="Times New Roman" w:hAnsi="Times New Roman" w:cs="Times New Roman"/>
          <w:sz w:val="24"/>
          <w:szCs w:val="24"/>
          <w:shd w:val="clear" w:color="auto" w:fill="FFFFFF"/>
        </w:rPr>
        <w:fldChar w:fldCharType="begin" w:fldLock="1"/>
      </w:r>
      <w:r w:rsidR="006D485A">
        <w:rPr>
          <w:rFonts w:ascii="Times New Roman" w:hAnsi="Times New Roman" w:cs="Times New Roman"/>
          <w:sz w:val="24"/>
          <w:szCs w:val="24"/>
          <w:shd w:val="clear" w:color="auto" w:fill="FFFFFF"/>
        </w:rPr>
        <w:instrText>ADDIN CSL_CITATION {"citationItems":[{"id":"ITEM-1","itemData":{"DOI":"10.3390/INSECTS16121215","ISSN":"2075-4450","abstract":"Simple SummaryMosquitoes of the Aedes genus transmit several arboviral diseases, including dengue fever, chikungunya, and Zika, to humans. In order to...","author":[{"dropping-particle":"","family":"Padonou","given":"Germain Gil","non-dropping-particle":"","parse-names":false,"suffix":""},{"dropping-particle":"","family":"Hoyochi","given":"Isidore","non-dropping-particle":"","parse-names":false,"suffix":""},{"dropping-particle":"","family":"Sovi","given":"Arthur","non-dropping-particle":"","parse-names":false,"suffix":""},{"dropping-particle":"","family":"Konkon","given":"Alphonse Keller","non-dropping-particle":"","parse-names":false,"suffix":""},{"dropping-particle":"","family":"Zoungbédji","given":"David Mahouton","non-dropping-particle":"","parse-names":false,"suffix":""},{"dropping-particle":"","family":"Salako","given":"Albert Sourou","non-dropping-particle":"","parse-names":false,"suffix":""},{"dropping-particle":"","family":"Adoha","given":"Constantin Jésukèdè","non-dropping-particle":"","parse-names":false,"suffix":""},{"dropping-particle":"","family":"Fassinou","given":"Arsène","non-dropping-particle":"","parse-names":false,"suffix":""},{"dropping-particle":"","family":"Koukpo","given":"Come Z.","non-dropping-particle":"","parse-names":false,"suffix":""},{"dropping-particle":"","family":"Chitou","given":"Saïd","non-dropping-particle":"","parse-names":false,"suffix":""},{"dropping-particle":"","family":"Nwangwu","given":"Udoka","non-dropping-particle":"","parse-names":false,"suffix":""},{"dropping-particle":"","family":"Yadouleton","given":"Anges","non-dropping-particle":"","parse-names":false,"suffix":""},{"dropping-particle":"","family":"Baba-Moussa","given":"Lamine","non-dropping-particle":"","parse-names":false,"suffix":""},{"dropping-particle":"","family":"Akogbéto","given":"Martin Codjo","non-dropping-particle":"","parse-names":false,"suffix":""},{"dropping-particle":"","family":"Padonou","given":"Germain Gil","non-dropping-particle":"","parse-names":false,"suffix":""},{"dropping-particle":"","family":"Hoyochi","given":"Isidore","non-dropping-particle":"","parse-names":false,"suffix":""},{"dropping-particle":"","family":"Sovi","given":"Arthur","non-dropping-particle":"","parse-names":false,"suffix":""},{"dropping-particle":"","family":"Konkon","given":"Alphonse Keller","non-dropping-particle":"","parse-names":false,"suffix":""},{"dropping-particle":"","family":"Zoungbédji","given":"David Mahouton","non-dropping-particle":"","parse-names":false,"suffix":""},{"dropping-particle":"","family":"Salako","given":"Albert Sourou","non-dropping-particle":"","parse-names":false,"suffix":""},{"dropping-particle":"","family":"Adoha","given":"Constantin Jésukèdè","non-dropping-particle":"","parse-names":false,"suffix":""},{"dropping-particle":"","family":"Fassinou","given":"Arsène","non-dropping-particle":"","parse-names":false,"suffix":""},{"dropping-particle":"","family":"Koukpo","given":"Come Z.","non-dropping-particle":"","parse-names":false,"suffix":""},{"dropping-particle":"","family":"Chitou","given":"Saïd","non-dropping-particle":"","parse-names":false,"suffix":""},{"dropping-particle":"","family":"Nwangwu","given":"Udoka","non-dropping-particle":"","parse-names":false,"suffix":""},{"dropping-particle":"","family":"Yadouleton","given":"Anges","non-dropping-particle":"","parse-names":false,"suffix":""},{"dropping-particle":"","family":"Baba-Moussa","given":"Lamine","non-dropping-particle":"","parse-names":false,"suffix":""},{"dropping-particle":"","family":"Akogbéto","given":"Martin Codjo","non-dropping-particle":"","parse-names":false,"suffix":""}],"container-title":"Insects 2025, Vol. 16,","id":"ITEM-1","issue":"12","issued":{"date-parts":[["2025","11","28"]]},"page":"1215","publisher":"Multidisciplinary Digital Publishing Institute","title":"Diversity of Aedes Mosquito Breeding Sites and the Epidemic Risk of Arboviral Diseases in Benin","type":"article-journal","volume":"16"},"uris":["http://www.mendeley.com/documents/?uuid=cdffc132-782f-3971-a7f6-c28c81672da9"]}],"mendeley":{"formattedCitation":"(Padonou et al., 2025)","plainTextFormattedCitation":"(Padonou et al., 2025)","previouslyFormattedCitation":"(Padonou et al., 2025)"},"properties":{"noteIndex":0},"schema":"https://github.com/citation-style-language/schema/raw/master/csl-citation.json"}</w:instrText>
      </w:r>
      <w:r w:rsidR="006D485A">
        <w:rPr>
          <w:rFonts w:ascii="Times New Roman" w:hAnsi="Times New Roman" w:cs="Times New Roman"/>
          <w:sz w:val="24"/>
          <w:szCs w:val="24"/>
          <w:shd w:val="clear" w:color="auto" w:fill="FFFFFF"/>
        </w:rPr>
        <w:fldChar w:fldCharType="separate"/>
      </w:r>
      <w:r w:rsidR="006D485A" w:rsidRPr="006D485A">
        <w:rPr>
          <w:rFonts w:ascii="Times New Roman" w:hAnsi="Times New Roman" w:cs="Times New Roman"/>
          <w:noProof/>
          <w:sz w:val="24"/>
          <w:szCs w:val="24"/>
          <w:shd w:val="clear" w:color="auto" w:fill="FFFFFF"/>
        </w:rPr>
        <w:t>(Padonou et al., 2025)</w:t>
      </w:r>
      <w:r w:rsidR="006D485A">
        <w:rPr>
          <w:rFonts w:ascii="Times New Roman" w:hAnsi="Times New Roman" w:cs="Times New Roman"/>
          <w:sz w:val="24"/>
          <w:szCs w:val="24"/>
          <w:shd w:val="clear" w:color="auto" w:fill="FFFFFF"/>
        </w:rPr>
        <w:fldChar w:fldCharType="end"/>
      </w:r>
      <w:r w:rsidR="006D485A">
        <w:rPr>
          <w:rFonts w:ascii="Times New Roman" w:hAnsi="Times New Roman" w:cs="Times New Roman"/>
          <w:sz w:val="24"/>
          <w:szCs w:val="24"/>
          <w:shd w:val="clear" w:color="auto" w:fill="FFFFFF"/>
        </w:rPr>
        <w:t xml:space="preserve">. </w:t>
      </w:r>
      <w:r w:rsidRPr="002445BC">
        <w:rPr>
          <w:rFonts w:ascii="Times New Roman" w:hAnsi="Times New Roman" w:cs="Times New Roman"/>
          <w:sz w:val="24"/>
          <w:szCs w:val="24"/>
          <w:shd w:val="clear" w:color="auto" w:fill="FFFFFF"/>
        </w:rPr>
        <w:t>This type of study provides a valuable framework for prioritizing vector-control interventions, while also highlighting the limitations of data gathered fro</w:t>
      </w:r>
      <w:r w:rsidR="006D485A">
        <w:rPr>
          <w:rFonts w:ascii="Times New Roman" w:hAnsi="Times New Roman" w:cs="Times New Roman"/>
          <w:sz w:val="24"/>
          <w:szCs w:val="24"/>
          <w:shd w:val="clear" w:color="auto" w:fill="FFFFFF"/>
        </w:rPr>
        <w:t xml:space="preserve">m traditional Stegomyia surveys </w:t>
      </w:r>
      <w:r w:rsidR="006D485A">
        <w:rPr>
          <w:rFonts w:ascii="Times New Roman" w:hAnsi="Times New Roman" w:cs="Times New Roman"/>
          <w:sz w:val="24"/>
          <w:szCs w:val="24"/>
          <w:shd w:val="clear" w:color="auto" w:fill="FFFFFF"/>
        </w:rPr>
        <w:fldChar w:fldCharType="begin" w:fldLock="1"/>
      </w:r>
      <w:r w:rsidR="006D485A">
        <w:rPr>
          <w:rFonts w:ascii="Times New Roman" w:hAnsi="Times New Roman" w:cs="Times New Roman"/>
          <w:sz w:val="24"/>
          <w:szCs w:val="24"/>
          <w:shd w:val="clear" w:color="auto" w:fill="FFFFFF"/>
        </w:rPr>
        <w:instrText>ADDIN CSL_CITATION {"citationItems":[{"id":"ITEM-1","itemData":{"DOI":"10.4103/0971-5916.176632","ISSN":"0971-5916","author":[{"dropping-particle":"","family":"Banerjee","given":"Soumyajit","non-dropping-particle":"","parse-names":false,"suffix":""},{"dropping-particle":"","family":"Mohan","given":"Sushree","non-dropping-particle":"","parse-names":false,"suffix":""},{"dropping-particle":"","family":"Saha","given":"Nabaneeta","non-dropping-particle":"","parse-names":false,"suffix":""},{"dropping-particle":"","family":"Mohanty","given":"Siba Prasad","non-dropping-particle":"","parse-names":false,"suffix":""},{"dropping-particle":"","family":"Saha","given":"Goutam K.","non-dropping-particle":"","parse-names":false,"suffix":""},{"dropping-particle":"","family":"Aditya","given":"Gautam","non-dropping-particle":"","parse-names":false,"suffix":""}],"container-title":"Indian Journal of Medical Research","id":"ITEM-1","issue":"Suppl 1","issued":{"date-parts":[["2015","12"]]},"page":"S87-S94","title":"Pupal productivity &amp;amp; nutrient reserves of Aedes mosquitoes breeding in sewage drains &amp;amp; other habitats of Kolkata, India","type":"article-journal","volume":"142"},"uris":["http://www.mendeley.com/documents/?uuid=83c9930a-2b81-4bad-8ea9-6896e8f14e41"]}],"mendeley":{"formattedCitation":"(Banerjee et al., 2015)","plainTextFormattedCitation":"(Banerjee et al., 2015)","previouslyFormattedCitation":"(Banerjee et al., 2015)"},"properties":{"noteIndex":0},"schema":"https://github.com/citation-style-language/schema/raw/master/csl-citation.json"}</w:instrText>
      </w:r>
      <w:r w:rsidR="006D485A">
        <w:rPr>
          <w:rFonts w:ascii="Times New Roman" w:hAnsi="Times New Roman" w:cs="Times New Roman"/>
          <w:sz w:val="24"/>
          <w:szCs w:val="24"/>
          <w:shd w:val="clear" w:color="auto" w:fill="FFFFFF"/>
        </w:rPr>
        <w:fldChar w:fldCharType="separate"/>
      </w:r>
      <w:r w:rsidR="006D485A" w:rsidRPr="006D485A">
        <w:rPr>
          <w:rFonts w:ascii="Times New Roman" w:hAnsi="Times New Roman" w:cs="Times New Roman"/>
          <w:noProof/>
          <w:sz w:val="24"/>
          <w:szCs w:val="24"/>
          <w:shd w:val="clear" w:color="auto" w:fill="FFFFFF"/>
        </w:rPr>
        <w:t>(Banerjee et al., 2015)</w:t>
      </w:r>
      <w:r w:rsidR="006D485A">
        <w:rPr>
          <w:rFonts w:ascii="Times New Roman" w:hAnsi="Times New Roman" w:cs="Times New Roman"/>
          <w:sz w:val="24"/>
          <w:szCs w:val="24"/>
          <w:shd w:val="clear" w:color="auto" w:fill="FFFFFF"/>
        </w:rPr>
        <w:fldChar w:fldCharType="end"/>
      </w:r>
    </w:p>
    <w:p w14:paraId="245EF132" w14:textId="3784A35E" w:rsidR="006E367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 xml:space="preserve">The similarity in PPI indicates that the human population in this area experiences nearly equal biting pressure from both species. However, the highly anthropophilic, nervous, and discordant behavior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significantly increases the risk of disease transmission compared to </w:t>
      </w:r>
      <w:r w:rsidRPr="002445BC">
        <w:rPr>
          <w:rFonts w:ascii="Times New Roman" w:hAnsi="Times New Roman" w:cs="Times New Roman"/>
          <w:i/>
          <w:iCs/>
          <w:sz w:val="24"/>
          <w:szCs w:val="24"/>
          <w:shd w:val="clear" w:color="auto" w:fill="FFFFFF"/>
        </w:rPr>
        <w:t xml:space="preserve">Ae. albopictus. </w:t>
      </w:r>
      <w:r w:rsidRPr="002445BC">
        <w:rPr>
          <w:rFonts w:ascii="Times New Roman" w:hAnsi="Times New Roman" w:cs="Times New Roman"/>
          <w:sz w:val="24"/>
          <w:szCs w:val="24"/>
          <w:shd w:val="clear" w:color="auto" w:fill="FFFFFF"/>
        </w:rPr>
        <w:t xml:space="preserve">Conversely, it highlights that,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could have an equal or notably important secondary role in the dynamics of disease transmission </w:t>
      </w:r>
      <w:r w:rsidRPr="002445BC">
        <w:rPr>
          <w:rFonts w:ascii="Times New Roman" w:hAnsi="Times New Roman" w:cs="Times New Roman"/>
          <w:sz w:val="24"/>
          <w:szCs w:val="24"/>
          <w:shd w:val="clear" w:color="auto" w:fill="FFFFFF"/>
        </w:rPr>
        <w:fldChar w:fldCharType="begin" w:fldLock="1"/>
      </w:r>
      <w:r w:rsidR="006C32E5">
        <w:rPr>
          <w:rFonts w:ascii="Times New Roman" w:hAnsi="Times New Roman" w:cs="Times New Roman"/>
          <w:sz w:val="24"/>
          <w:szCs w:val="24"/>
          <w:shd w:val="clear" w:color="auto" w:fill="FFFFFF"/>
        </w:rPr>
        <w:instrText>ADDIN CSL_CITATION {"citationItems":[{"id":"ITEM-1","itemData":{"ISSN":"2348-5906","abstract":"An entomological survey was carried out in different socioeconomic groups of selected localities in Delhi during June, 2013 to May, 2014 with a view to study the prevalence and distribution of Aedes aegypti mosquito for appropriate interventions. A door-to-door entomological survey was carried out to find out the Aedes breeding in all types of water filled containers present in and around houses and their premises and immature stages of Aedes mosquitoes were collected. In larval survey, different indices were used to record Aedes aegypti density level. In all the localities surveyed during transmission season, solid waste was observed to be most preferred breeding site whereas overhead tanks (OHTs) and curing tanks were found to be the most preferred breeding containers during non-transmission season. Plastic containers (29%) in low income group (LIG); solid waste (27%) and plastic containers (26%) in Medium Income Group (MIG); and solid waste (27%) and curing tanks (21%) in High Income Group (HIG) were the most preferred breeding containers for the breeding of Aedes aegypti. The house index was higher in the months of August and September in LIG, June-July in MIG and June in HIG households. The BI in MIG households was below critical level (i.e. 20) while it was observed to be higher in HIG &amp; LIG households during the month of September i.e 22.45 &amp; 25.22 respectively. The CI was observed to be higher in all the three types of colonies which were 8.35, 7.5 &amp; 13.49 in HIG, MIG &amp; LIG respectively, in the month of September. Containers found in Low income group (LIG) is contributing more to the Aedes aegypti breeding than MIG and HIG localities. The over head tanks and curing tanks are the preferred breeding sites in non transmission season whereas solid waste and plastic containers are amongst preferred breeding sites during transmission season. The study concluded that the targeted intervention including sustained vector surveillance could help in controlling the sudden upsurge of dengue in a densely populated city like Delhi.","author":[{"dropping-particle":"","family":"Paul","given":"Richard","non-dropping-particle":"","parse-names":false,"suffix":""},{"dropping-particle":"","family":"Valecha","given":"Neena","non-dropping-particle":"","parse-names":false,"suffix":""},{"dropping-particle":"","family":"Telle","given":"Olivier","non-dropping-particle":"","parse-names":false,"suffix":""}],"container-title":"International Journal of Mosquito Research","id":"ITEM-1","issue":"3","issued":{"date-parts":[["2015"]]},"page":"83-88","title":"Comparison of Ae. aegypti breeding in localities of different socio-economic groups of Delhi, India","type":"article-journal","volume":"2"},"uris":["http://www.mendeley.com/documents/?uuid=6df092eb-052d-41b0-b1a6-f1138a7535d6"]}],"mendeley":{"formattedCitation":"(Paul et al., 2015)","plainTextFormattedCitation":"(Paul et al., 2015)","previouslyFormattedCitation":"(Paul et al., 2015)"},"properties":{"noteIndex":0},"schema":"https://github.com/citation-style-language/schema/raw/master/csl-citation.json"}</w:instrText>
      </w:r>
      <w:r w:rsidRPr="002445BC">
        <w:rPr>
          <w:rFonts w:ascii="Times New Roman" w:hAnsi="Times New Roman" w:cs="Times New Roman"/>
          <w:sz w:val="24"/>
          <w:szCs w:val="24"/>
          <w:shd w:val="clear" w:color="auto" w:fill="FFFFFF"/>
        </w:rPr>
        <w:fldChar w:fldCharType="separate"/>
      </w:r>
      <w:r w:rsidR="006C32E5" w:rsidRPr="006C32E5">
        <w:rPr>
          <w:rFonts w:ascii="Times New Roman" w:hAnsi="Times New Roman" w:cs="Times New Roman"/>
          <w:noProof/>
          <w:sz w:val="24"/>
          <w:szCs w:val="24"/>
          <w:shd w:val="clear" w:color="auto" w:fill="FFFFFF"/>
        </w:rPr>
        <w:t>(Paul et al., 2015)</w:t>
      </w:r>
      <w:r w:rsidRPr="002445BC">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 xml:space="preserve">. This emphasizes the need for control programs to actively incorporate this species into their strategies. Otherwise the co-occurrence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and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may increase arbovirus transmission </w:t>
      </w:r>
      <w:r w:rsidRPr="002445BC">
        <w:rPr>
          <w:rFonts w:ascii="Times New Roman" w:hAnsi="Times New Roman" w:cs="Times New Roman"/>
          <w:sz w:val="24"/>
          <w:szCs w:val="24"/>
          <w:shd w:val="clear" w:color="auto" w:fill="FFFFFF"/>
        </w:rPr>
        <w:fldChar w:fldCharType="begin" w:fldLock="1"/>
      </w:r>
      <w:r w:rsidR="006C32E5">
        <w:rPr>
          <w:rFonts w:ascii="Times New Roman" w:hAnsi="Times New Roman" w:cs="Times New Roman"/>
          <w:sz w:val="24"/>
          <w:szCs w:val="24"/>
          <w:shd w:val="clear" w:color="auto" w:fill="FFFFFF"/>
        </w:rPr>
        <w:instrText>ADDIN CSL_CITATION {"citationItems":[{"id":"ITEM-1","itemData":{"DOI":"10.3390/INSECTS16121215","ISSN":"2075-4450","abstract":"Simple SummaryMosquitoes of the Aedes genus transmit several arboviral diseases, including dengue fever, chikungunya, and Zika, to humans. In order to...","author":[{"dropping-particle":"","family":"Padonou","given":"Germain Gil","non-dropping-particle":"","parse-names":false,"suffix":""},{"dropping-particle":"","family":"Hoyochi","given":"Isidore","non-dropping-particle":"","parse-names":false,"suffix":""},{"dropping-particle":"","family":"Sovi","given":"Arthur","non-dropping-particle":"","parse-names":false,"suffix":""},{"dropping-particle":"","family":"Konkon","given":"Alphonse Keller","non-dropping-particle":"","parse-names":false,"suffix":""},{"dropping-particle":"","family":"Zoungbédji","given":"David Mahouton","non-dropping-particle":"","parse-names":false,"suffix":""},{"dropping-particle":"","family":"Salako","given":"Albert Sourou","non-dropping-particle":"","parse-names":false,"suffix":""},{"dropping-particle":"","family":"Adoha","given":"Constantin Jésukèdè","non-dropping-particle":"","parse-names":false,"suffix":""},{"dropping-particle":"","family":"Fassinou","given":"Arsène","non-dropping-particle":"","parse-names":false,"suffix":""},{"dropping-particle":"","family":"Koukpo","given":"Come Z.","non-dropping-particle":"","parse-names":false,"suffix":""},{"dropping-particle":"","family":"Chitou","given":"Saïd","non-dropping-particle":"","parse-names":false,"suffix":""},{"dropping-particle":"","family":"Nwangwu","given":"Udoka","non-dropping-particle":"","parse-names":false,"suffix":""},{"dropping-particle":"","family":"Yadouleton","given":"Anges","non-dropping-particle":"","parse-names":false,"suffix":""},{"dropping-particle":"","family":"Baba-Moussa","given":"Lamine","non-dropping-particle":"","parse-names":false,"suffix":""},{"dropping-particle":"","family":"Akogbéto","given":"Martin Codjo","non-dropping-particle":"","parse-names":false,"suffix":""},{"dropping-particle":"","family":"Padonou","given":"Germain Gil","non-dropping-particle":"","parse-names":false,"suffix":""},{"dropping-particle":"","family":"Hoyochi","given":"Isidore","non-dropping-particle":"","parse-names":false,"suffix":""},{"dropping-particle":"","family":"Sovi","given":"Arthur","non-dropping-particle":"","parse-names":false,"suffix":""},{"dropping-particle":"","family":"Konkon","given":"Alphonse Keller","non-dropping-particle":"","parse-names":false,"suffix":""},{"dropping-particle":"","family":"Zoungbédji","given":"David Mahouton","non-dropping-particle":"","parse-names":false,"suffix":""},{"dropping-particle":"","family":"Salako","given":"Albert Sourou","non-dropping-particle":"","parse-names":false,"suffix":""},{"dropping-particle":"","family":"Adoha","given":"Constantin Jésukèdè","non-dropping-particle":"","parse-names":false,"suffix":""},{"dropping-particle":"","family":"Fassinou","given":"Arsène","non-dropping-particle":"","parse-names":false,"suffix":""},{"dropping-particle":"","family":"Koukpo","given":"Come Z.","non-dropping-particle":"","parse-names":false,"suffix":""},{"dropping-particle":"","family":"Chitou","given":"Saïd","non-dropping-particle":"","parse-names":false,"suffix":""},{"dropping-particle":"","family":"Nwangwu","given":"Udoka","non-dropping-particle":"","parse-names":false,"suffix":""},{"dropping-particle":"","family":"Yadouleton","given":"Anges","non-dropping-particle":"","parse-names":false,"suffix":""},{"dropping-particle":"","family":"Baba-Moussa","given":"Lamine","non-dropping-particle":"","parse-names":false,"suffix":""},{"dropping-particle":"","family":"Akogbéto","given":"Martin Codjo","non-dropping-particle":"","parse-names":false,"suffix":""}],"container-title":"Insects 2025, Vol. 16,","id":"ITEM-1","issue":"12","issued":{"date-parts":[["2025","11","28"]]},"page":"1215","publisher":"Multidisciplinary Digital Publishing Institute","title":"Diversity of Aedes Mosquito Breeding Sites and the Epidemic Risk of Arboviral Diseases in Benin","type":"article-journal","volume":"16"},"uris":["http://www.mendeley.com/documents/?uuid=cdffc132-782f-3971-a7f6-c28c81672da9"]}],"mendeley":{"formattedCitation":"(Padonou et al., 2025)","plainTextFormattedCitation":"(Padonou et al., 2025)","previouslyFormattedCitation":"(Padonou et al., 2025)"},"properties":{"noteIndex":0},"schema":"https://github.com/citation-style-language/schema/raw/master/csl-citation.json"}</w:instrText>
      </w:r>
      <w:r w:rsidRPr="002445BC">
        <w:rPr>
          <w:rFonts w:ascii="Times New Roman" w:hAnsi="Times New Roman" w:cs="Times New Roman"/>
          <w:sz w:val="24"/>
          <w:szCs w:val="24"/>
          <w:shd w:val="clear" w:color="auto" w:fill="FFFFFF"/>
        </w:rPr>
        <w:fldChar w:fldCharType="separate"/>
      </w:r>
      <w:r w:rsidR="006C32E5" w:rsidRPr="006C32E5">
        <w:rPr>
          <w:rFonts w:ascii="Times New Roman" w:hAnsi="Times New Roman" w:cs="Times New Roman"/>
          <w:noProof/>
          <w:sz w:val="24"/>
          <w:szCs w:val="24"/>
          <w:shd w:val="clear" w:color="auto" w:fill="FFFFFF"/>
        </w:rPr>
        <w:t>(Padonou et al., 2025)</w:t>
      </w:r>
      <w:r w:rsidRPr="002445BC">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w:t>
      </w:r>
    </w:p>
    <w:p w14:paraId="6957D81D" w14:textId="4ECFDEE3" w:rsidR="006E367C" w:rsidRPr="002445BC" w:rsidRDefault="00DF6DF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As previously well described</w:t>
      </w:r>
      <w:r w:rsidR="006E367C" w:rsidRPr="002445BC">
        <w:rPr>
          <w:rFonts w:ascii="Times New Roman" w:hAnsi="Times New Roman" w:cs="Times New Roman"/>
          <w:sz w:val="24"/>
          <w:szCs w:val="24"/>
          <w:shd w:val="clear" w:color="auto" w:fill="FFFFFF"/>
        </w:rPr>
        <w:t xml:space="preserve">, both </w:t>
      </w:r>
      <w:r w:rsidR="006E367C" w:rsidRPr="002445BC">
        <w:rPr>
          <w:rFonts w:ascii="Times New Roman" w:hAnsi="Times New Roman" w:cs="Times New Roman"/>
          <w:i/>
          <w:iCs/>
          <w:sz w:val="24"/>
          <w:szCs w:val="24"/>
          <w:shd w:val="clear" w:color="auto" w:fill="FFFFFF"/>
        </w:rPr>
        <w:t xml:space="preserve">Aedes </w:t>
      </w:r>
      <w:r w:rsidR="006E367C" w:rsidRPr="002445BC">
        <w:rPr>
          <w:rFonts w:ascii="Times New Roman" w:hAnsi="Times New Roman" w:cs="Times New Roman"/>
          <w:sz w:val="24"/>
          <w:szCs w:val="24"/>
          <w:shd w:val="clear" w:color="auto" w:fill="FFFFFF"/>
        </w:rPr>
        <w:t xml:space="preserve">species are container breeders and used various type of breeding habitats in different extend </w:t>
      </w:r>
      <w:r w:rsidR="00F05E78">
        <w:rPr>
          <w:rFonts w:ascii="Times New Roman" w:hAnsi="Times New Roman" w:cs="Times New Roman"/>
          <w:sz w:val="24"/>
          <w:szCs w:val="24"/>
          <w:shd w:val="clear" w:color="auto" w:fill="FFFFFF"/>
        </w:rPr>
        <w:fldChar w:fldCharType="begin" w:fldLock="1"/>
      </w:r>
      <w:r w:rsidR="00E23393">
        <w:rPr>
          <w:rFonts w:ascii="Times New Roman" w:hAnsi="Times New Roman" w:cs="Times New Roman"/>
          <w:sz w:val="24"/>
          <w:szCs w:val="24"/>
          <w:shd w:val="clear" w:color="auto" w:fill="FFFFFF"/>
        </w:rPr>
        <w:instrText>ADDIN CSL_CITATION {"citationItems":[{"id":"ITEM-1","itemData":{"DOI":"10.4103/0971-5916.176632","ISSN":"0971-5916","author":[{"dropping-particle":"","family":"Banerjee","given":"Soumyajit","non-dropping-particle":"","parse-names":false,"suffix":""},{"dropping-particle":"","family":"Mohan","given":"Sushree","non-dropping-particle":"","parse-names":false,"suffix":""},{"dropping-particle":"","family":"Saha","given":"Nabaneeta","non-dropping-particle":"","parse-names":false,"suffix":""},{"dropping-particle":"","family":"Mohanty","given":"Siba Prasad","non-dropping-particle":"","parse-names":false,"suffix":""},{"dropping-particle":"","family":"Saha","given":"Goutam K.","non-dropping-particle":"","parse-names":false,"suffix":""},{"dropping-particle":"","family":"Aditya","given":"Gautam","non-dropping-particle":"","parse-names":false,"suffix":""}],"container-title":"Indian Journal of Medical Research","id":"ITEM-1","issue":"Suppl 1","issued":{"date-parts":[["2015","12"]]},"page":"S87-S94","title":"Pupal productivity &amp;amp; nutrient reserves of Aedes mosquitoes breeding in sewage drains &amp;amp; other habitats of Kolkata, India","type":"article-journal","volume":"142"},"uris":["http://www.mendeley.com/documents/?uuid=83c9930a-2b81-4bad-8ea9-6896e8f14e41"]}],"mendeley":{"formattedCitation":"(Banerjee et al., 2015)","plainTextFormattedCitation":"(Banerjee et al., 2015)","previouslyFormattedCitation":"(Banerjee et al., 2015)"},"properties":{"noteIndex":0},"schema":"https://github.com/citation-style-language/schema/raw/master/csl-citation.json"}</w:instrText>
      </w:r>
      <w:r w:rsidR="00F05E78">
        <w:rPr>
          <w:rFonts w:ascii="Times New Roman" w:hAnsi="Times New Roman" w:cs="Times New Roman"/>
          <w:sz w:val="24"/>
          <w:szCs w:val="24"/>
          <w:shd w:val="clear" w:color="auto" w:fill="FFFFFF"/>
        </w:rPr>
        <w:fldChar w:fldCharType="separate"/>
      </w:r>
      <w:r w:rsidR="00F05E78" w:rsidRPr="00F05E78">
        <w:rPr>
          <w:rFonts w:ascii="Times New Roman" w:hAnsi="Times New Roman" w:cs="Times New Roman"/>
          <w:noProof/>
          <w:sz w:val="24"/>
          <w:szCs w:val="24"/>
          <w:shd w:val="clear" w:color="auto" w:fill="FFFFFF"/>
        </w:rPr>
        <w:t>(Banerjee et al., 2015)</w:t>
      </w:r>
      <w:r w:rsidR="00F05E78">
        <w:rPr>
          <w:rFonts w:ascii="Times New Roman" w:hAnsi="Times New Roman" w:cs="Times New Roman"/>
          <w:sz w:val="24"/>
          <w:szCs w:val="24"/>
          <w:shd w:val="clear" w:color="auto" w:fill="FFFFFF"/>
        </w:rPr>
        <w:fldChar w:fldCharType="end"/>
      </w:r>
      <w:r w:rsidR="006E367C" w:rsidRPr="002445BC">
        <w:rPr>
          <w:rFonts w:ascii="Times New Roman" w:hAnsi="Times New Roman" w:cs="Times New Roman"/>
          <w:sz w:val="24"/>
          <w:szCs w:val="24"/>
          <w:shd w:val="clear" w:color="auto" w:fill="FFFFFF"/>
        </w:rPr>
        <w:t xml:space="preserve">.  The exploitation of certain type of breeding habitats is </w:t>
      </w:r>
      <w:r w:rsidRPr="002445BC">
        <w:rPr>
          <w:rFonts w:ascii="Times New Roman" w:hAnsi="Times New Roman" w:cs="Times New Roman"/>
          <w:sz w:val="24"/>
          <w:szCs w:val="24"/>
          <w:shd w:val="clear" w:color="auto" w:fill="FFFFFF"/>
        </w:rPr>
        <w:t>determined</w:t>
      </w:r>
      <w:r w:rsidR="006E367C" w:rsidRPr="002445BC">
        <w:rPr>
          <w:rFonts w:ascii="Times New Roman" w:hAnsi="Times New Roman" w:cs="Times New Roman"/>
          <w:sz w:val="24"/>
          <w:szCs w:val="24"/>
          <w:shd w:val="clear" w:color="auto" w:fill="FFFFFF"/>
        </w:rPr>
        <w:t xml:space="preserve"> by different factors, leading to a major disparity between which habitats are commonly used (larval presence) and which are truly productive for generating adults (pupal presence).Such identification of the key container types should allow control efforts to be better focused and more cost-effective </w:t>
      </w:r>
      <w:r w:rsidR="006E367C" w:rsidRPr="002445BC">
        <w:rPr>
          <w:rFonts w:ascii="Times New Roman" w:hAnsi="Times New Roman" w:cs="Times New Roman"/>
          <w:sz w:val="24"/>
          <w:szCs w:val="24"/>
          <w:shd w:val="clear" w:color="auto" w:fill="FFFFFF"/>
        </w:rPr>
        <w:fldChar w:fldCharType="begin" w:fldLock="1"/>
      </w:r>
      <w:r w:rsidR="006C32E5">
        <w:rPr>
          <w:rFonts w:ascii="Times New Roman" w:hAnsi="Times New Roman" w:cs="Times New Roman"/>
          <w:sz w:val="24"/>
          <w:szCs w:val="24"/>
          <w:shd w:val="clear" w:color="auto" w:fill="FFFFFF"/>
        </w:rPr>
        <w:instrText>ADDIN CSL_CITATION {"citationItems":[{"id":"ITEM-1","itemData":{"DOI":"10.1179/136485906X105516","ISSN":"00034983","PMID":"16630391","abstract":"As dengue continues to emerge as a major public-health problem world-wide, efforts to control the dengue vector Aedes aegypti must become more effective and efficient. Results from larval and pupal surveys applied in Venezuela illustrate the uniqueness of the information gained from pupal surveys; information that is lost when traditional Stegomyia indices are calculated. As most Ae. aegypti pupae will emerge to become adults, controlling the containers that produce the most pupae could have the greatest impact on the adult population. Pupal-survey results in Venezuela showed that large (150- to 200-litre) water drums produce the greatest number of pupae throughout the year. In the rainy season, approximately 70% of all pupae are found in these drums or in tyres, buckets and tanks. Over 80% of pupae in the dry season are found in drums and tanks alone. By targeting only those domestic breeding containers that produce the greatest number of pupae, control efforts may be streamlined to have the greatest impact on reducing the local adult Ae. aegypti population. © 2006 The Liverpool School of Tropical Medicine.","author":[{"dropping-particle":"","family":"Lenhart","given":"A. E.","non-dropping-particle":"","parse-names":false,"suffix":""},{"dropping-particle":"","family":"Castillo","given":"C. E.","non-dropping-particle":"","parse-names":false,"suffix":""},{"dropping-particle":"","family":"Oviedo","given":"M.","non-dropping-particle":"","parse-names":false,"suffix":""},{"dropping-particle":"","family":"Villegas","given":"E.","non-dropping-particle":"","parse-names":false,"suffix":""}],"container-title":"Annals of Tropical Medicine and Parasitology","id":"ITEM-1","issue":"SUPPL. 1","issued":{"date-parts":[["2006"]]},"title":"Use of the pupal/demographic-survey technique to identify the epidemiologically important types of containers producing Aedes aegypti (L.) in a dengue-endemic area of Venezuela","type":"article-journal","volume":"100"},"uris":["http://www.mendeley.com/documents/?uuid=decc1907-5d9e-4adb-9e11-c12055d3ae6b"]}],"mendeley":{"formattedCitation":"(Lenhart et al., 2006)","plainTextFormattedCitation":"(Lenhart et al., 2006)","previouslyFormattedCitation":"(Lenhart et al., 2006)"},"properties":{"noteIndex":0},"schema":"https://github.com/citation-style-language/schema/raw/master/csl-citation.json"}</w:instrText>
      </w:r>
      <w:r w:rsidR="006E367C" w:rsidRPr="002445BC">
        <w:rPr>
          <w:rFonts w:ascii="Times New Roman" w:hAnsi="Times New Roman" w:cs="Times New Roman"/>
          <w:sz w:val="24"/>
          <w:szCs w:val="24"/>
          <w:shd w:val="clear" w:color="auto" w:fill="FFFFFF"/>
        </w:rPr>
        <w:fldChar w:fldCharType="separate"/>
      </w:r>
      <w:r w:rsidR="006C32E5" w:rsidRPr="006C32E5">
        <w:rPr>
          <w:rFonts w:ascii="Times New Roman" w:hAnsi="Times New Roman" w:cs="Times New Roman"/>
          <w:noProof/>
          <w:sz w:val="24"/>
          <w:szCs w:val="24"/>
          <w:shd w:val="clear" w:color="auto" w:fill="FFFFFF"/>
        </w:rPr>
        <w:t>(Lenhart et al., 2006)</w:t>
      </w:r>
      <w:r w:rsidR="006E367C" w:rsidRPr="002445BC">
        <w:rPr>
          <w:rFonts w:ascii="Times New Roman" w:hAnsi="Times New Roman" w:cs="Times New Roman"/>
          <w:sz w:val="24"/>
          <w:szCs w:val="24"/>
          <w:shd w:val="clear" w:color="auto" w:fill="FFFFFF"/>
        </w:rPr>
        <w:fldChar w:fldCharType="end"/>
      </w:r>
      <w:r w:rsidR="006E367C" w:rsidRPr="002445BC">
        <w:rPr>
          <w:rFonts w:ascii="Times New Roman" w:hAnsi="Times New Roman" w:cs="Times New Roman"/>
          <w:sz w:val="24"/>
          <w:szCs w:val="24"/>
          <w:shd w:val="clear" w:color="auto" w:fill="FFFFFF"/>
        </w:rPr>
        <w:t>.</w:t>
      </w:r>
    </w:p>
    <w:p w14:paraId="6A0ABF47" w14:textId="63A1C133" w:rsidR="006E367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 xml:space="preserve">Pupal productivity differed in the larval habitats depending on the several factors such as size, location, building materials, sun exposure, and water volume </w:t>
      </w:r>
      <w:r w:rsidRPr="002445BC">
        <w:rPr>
          <w:rFonts w:ascii="Times New Roman" w:hAnsi="Times New Roman" w:cs="Times New Roman"/>
          <w:sz w:val="24"/>
          <w:szCs w:val="24"/>
          <w:shd w:val="clear" w:color="auto" w:fill="FFFFFF"/>
        </w:rPr>
        <w:fldChar w:fldCharType="begin" w:fldLock="1"/>
      </w:r>
      <w:r w:rsidR="00205FFF">
        <w:rPr>
          <w:rFonts w:ascii="Times New Roman" w:hAnsi="Times New Roman" w:cs="Times New Roman"/>
          <w:sz w:val="24"/>
          <w:szCs w:val="24"/>
          <w:shd w:val="clear" w:color="auto" w:fill="FFFFFF"/>
        </w:rPr>
        <w:instrText>ADDIN CSL_CITATION {"citationItems":[{"id":"ITEM-1","itemData":{"DOI":"10.1007/s00436-022-07777-0","ISSN":"0932-0113","abstract":"Aedes aegypti is an important vector of several arboviruses including dengue and chikungunya viruses. Accurate identification of larval habitats of Ae. aegypti is considered an essential step in targeted control. This study determined Ae. aegypti productivity in selected larval habitats in Msambweni, Kwale County, Kenya. Three sequential larval habitat surveys were conducted. The first survey was habitat census (baseline) through which 83 representative larval habitats were identified and selected. The second and third surveys involved estimating daily productivity of the 83 selected larval habitats for 30 consecutive days during a wet and a dry season, respectively. Of 664 larval habitats examined at baseline, 144 larval habitats (21.7%) were found to be infested with Ae. aegypti larvae. At baseline, majority (71%) of the pupae were collected from two (2/6) larval habitat types, tires and pots. Multivariate analysis identified habitat type and the habitat being movable as the predictors for pupal abundance. During the 30-day daily pupal production surveys, only a few of the habitats harbored pupae persistently. Pupae were found in 28% and 12% of the larval habitats during the wet and dry seasons, respectively. In the wet season, drums, tires, and pots were identified as the key habitat types accounting for 85% of all pupae sampled. Three habitats (all drums) accounted for 80% of all the pupae collected in the dry season. Predictors for pupal productivity in the wet season were habitat type, place (whether the habitat is located at the back or front of the house), habitat purpose (use of the water in the habitat), and source of water. Although the multivariate model for habitat type did not converge, habitat type and habitat size were the only significant predictors during the dry season. Drums, pots, and tires were sources of more than 85% of Ae. aegypti pupae, reinforcing the “key container concept.” Targeting these three types of habitats makes epidemiological sense, especially during the dry season.","author":[{"dropping-particle":"","family":"Mwakutwaa","given":"Alawih S.","non-dropping-particle":"","parse-names":false,"suffix":""},{"dropping-particle":"","family":"Ngugi","given":"Harun N.","non-dropping-particle":"","parse-names":false,"suffix":""},{"dropping-particle":"","family":"Ndenga","given":"Bryson A.","non-dropping-particle":"","parse-names":false,"suffix":""},{"dropping-particle":"","family":"Krystosik","given":"Amy","non-dropping-particle":"","parse-names":false,"suffix":""},{"dropping-particle":"","family":"Ngari","given":"Moses","non-dropping-particle":"","parse-names":false,"suffix":""},{"dropping-particle":"","family":"Abubakar","given":"Laila U.","non-dropping-particle":"","parse-names":false,"suffix":""},{"dropping-particle":"","family":"Yonge","given":"Shadrack","non-dropping-particle":"","parse-names":false,"suffix":""},{"dropping-particle":"","family":"Kitron","given":"Uriel","non-dropping-particle":"","parse-names":false,"suffix":""},{"dropping-particle":"","family":"LaBeaud","given":"A. Desiree","non-dropping-particle":"","parse-names":false,"suffix":""},{"dropping-particle":"","family":"Mutuku","given":"Francis M.","non-dropping-particle":"","parse-names":false,"suffix":""}],"container-title":"Parasitology Research","id":"ITEM-1","issue":"3","issued":{"date-parts":[["2023","3","23"]]},"page":"801-814","title":"Pupal productivity of larval habitats of Aedes aegypti in Msambweni, Kwale County, Kenya","type":"article-journal","volume":"122"},"uris":["http://www.mendeley.com/documents/?uuid=e21e1b9b-1cd6-43ec-aa8e-bfcb32a1baa3"]}],"mendeley":{"formattedCitation":"(Mwakutwaa et al., 2023)","plainTextFormattedCitation":"(Mwakutwaa et al., 2023)","previouslyFormattedCitation":"(Mwakutwaa et al., 2023)"},"properties":{"noteIndex":0},"schema":"https://github.com/citation-style-language/schema/raw/master/csl-citation.json"}</w:instrText>
      </w:r>
      <w:r w:rsidRPr="002445BC">
        <w:rPr>
          <w:rFonts w:ascii="Times New Roman" w:hAnsi="Times New Roman" w:cs="Times New Roman"/>
          <w:sz w:val="24"/>
          <w:szCs w:val="24"/>
          <w:shd w:val="clear" w:color="auto" w:fill="FFFFFF"/>
        </w:rPr>
        <w:fldChar w:fldCharType="separate"/>
      </w:r>
      <w:r w:rsidR="00205FFF" w:rsidRPr="00205FFF">
        <w:rPr>
          <w:rFonts w:ascii="Times New Roman" w:hAnsi="Times New Roman" w:cs="Times New Roman"/>
          <w:noProof/>
          <w:sz w:val="24"/>
          <w:szCs w:val="24"/>
          <w:shd w:val="clear" w:color="auto" w:fill="FFFFFF"/>
        </w:rPr>
        <w:t>(Mwakutwaa et al., 2023)</w:t>
      </w:r>
      <w:r w:rsidRPr="002445BC">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 xml:space="preserve">. Due to significant variation in productivity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pupae across the surveyed breeding habitats indicates that not all positive habitats types contribute equally to pupal productions. Also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exhibits strong selectivity and actively prefers a few key artificial breeding habitats especially tyre, which are not only commonly infested but are also extremely productive, making them high-value targets for control. </w:t>
      </w:r>
    </w:p>
    <w:p w14:paraId="511102FD" w14:textId="068EF3A5" w:rsidR="00DF6DF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 xml:space="preserve">The significant preference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for tyre is consistent with the findings from the analysis of building materials, which revealed that the highest pupal productivity occurs in habitats made of rubber. This finding strongly supports the established concept of "key containers", where a small subset of artificial habitats produces the majority of pupae in a population. Tires are a well-recognized global "key container" for </w:t>
      </w:r>
      <w:r w:rsidRPr="002445BC">
        <w:rPr>
          <w:rFonts w:ascii="Times New Roman" w:hAnsi="Times New Roman" w:cs="Times New Roman"/>
          <w:i/>
          <w:iCs/>
          <w:sz w:val="24"/>
          <w:szCs w:val="24"/>
          <w:shd w:val="clear" w:color="auto" w:fill="FFFFFF"/>
        </w:rPr>
        <w:t xml:space="preserve">Ae. aegypti, </w:t>
      </w:r>
      <w:r w:rsidRPr="002445BC">
        <w:rPr>
          <w:rFonts w:ascii="Times New Roman" w:hAnsi="Times New Roman" w:cs="Times New Roman"/>
          <w:sz w:val="24"/>
          <w:szCs w:val="24"/>
          <w:shd w:val="clear" w:color="auto" w:fill="FFFFFF"/>
        </w:rPr>
        <w:t>reflecting its</w:t>
      </w:r>
      <w:r w:rsidRPr="002445BC">
        <w:rPr>
          <w:rFonts w:ascii="Times New Roman" w:hAnsi="Times New Roman" w:cs="Times New Roman"/>
          <w:i/>
          <w:iCs/>
          <w:sz w:val="24"/>
          <w:szCs w:val="24"/>
          <w:shd w:val="clear" w:color="auto" w:fill="FFFFFF"/>
        </w:rPr>
        <w:t xml:space="preserve"> </w:t>
      </w:r>
      <w:r w:rsidRPr="002445BC">
        <w:rPr>
          <w:rFonts w:ascii="Times New Roman" w:hAnsi="Times New Roman" w:cs="Times New Roman"/>
          <w:sz w:val="24"/>
          <w:szCs w:val="24"/>
          <w:shd w:val="clear" w:color="auto" w:fill="FFFFFF"/>
        </w:rPr>
        <w:t xml:space="preserve">synanthropic behavior, thriving in man-made breeding habitats that are often neglected, durable, capable of retaining stagnant water and prone to accumulate organic debris </w:t>
      </w:r>
      <w:r w:rsidRPr="002445BC">
        <w:rPr>
          <w:rFonts w:ascii="Times New Roman" w:hAnsi="Times New Roman" w:cs="Times New Roman"/>
          <w:sz w:val="24"/>
          <w:szCs w:val="24"/>
          <w:shd w:val="clear" w:color="auto" w:fill="FFFFFF"/>
        </w:rPr>
        <w:fldChar w:fldCharType="begin" w:fldLock="1"/>
      </w:r>
      <w:r w:rsidR="00205FFF">
        <w:rPr>
          <w:rFonts w:ascii="Times New Roman" w:hAnsi="Times New Roman" w:cs="Times New Roman"/>
          <w:sz w:val="24"/>
          <w:szCs w:val="24"/>
          <w:shd w:val="clear" w:color="auto" w:fill="FFFFFF"/>
        </w:rPr>
        <w:instrText>ADDIN CSL_CITATION {"citationItems":[{"id":"ITEM-1","itemData":{"DOI":"10.1155/2015/706276","ISSN":"16877098","PMID":"26435712","abstract":"Background and Objectives. Entomological survey was carried out from May-June to September-October 2014 to investigate the presence of dengue vectors in discarded tires and artificial water containers in houses and peridomestic areas. Methods. A cross-sectional immature stage survey was done indoors and outdoors in 301 houses. Mosquito larval sampling was conducted using pipette or dipper depending on container types. Larvae were identified morphologically and larval indices were also calculated. Results. A total of 750 containers were inspected, and of these 405 were positive for mosquito larvae. A total of 1,873 larvae were collected and morphologically identified as Aedes aegypti (n=1580: 84.4%) and Culex (n=293: 15.6%). The larval indices, house index, container index, and breteau index, varied from 33.3 to 86.2, from 23.2 to 73.9, and from 56.5 to 188.9, respectively. Conclusion. Aedes aegypti is breeding in a wide range of artificial containers. To control these mosquitoes, the integration of different methods should be taken into consideration.","author":[{"dropping-particle":"","family":"Getachew","given":"Dejene","non-dropping-particle":"","parse-names":false,"suffix":""},{"dropping-particle":"","family":"Tekie","given":"Habte","non-dropping-particle":"","parse-names":false,"suffix":""},{"dropping-particle":"","family":"Gebre-Michael","given":"Teshome","non-dropping-particle":"","parse-names":false,"suffix":""},{"dropping-particle":"","family":"Balkew","given":"Meshesha","non-dropping-particle":"","parse-names":false,"suffix":""},{"dropping-particle":"","family":"Mesfin","given":"Akalu","non-dropping-particle":"","parse-names":false,"suffix":""}],"container-title":"Interdisciplinary Perspectives on Infectious Diseases","id":"ITEM-1","issued":{"date-parts":[["2015"]]},"publisher":"Hindawi Publishing Corporation","title":"Breeding sites of aedes aegypti: Potential dengue vectors in dire Dawa, east Ethiopia","type":"article-journal","volume":"2015"},"uris":["http://www.mendeley.com/documents/?uuid=07bda291-7911-3503-a778-e18197a098fe"]},{"id":"ITEM-2","itemData":{"DOI":"10.1007/s00436-022-07777-0","ISSN":"0932-0113","abstract":"Aedes aegypti is an important vector of several arboviruses including dengue and chikungunya viruses. Accurate identification of larval habitats of Ae. aegypti is considered an essential step in targeted control. This study determined Ae. aegypti productivity in selected larval habitats in Msambweni, Kwale County, Kenya. Three sequential larval habitat surveys were conducted. The first survey was habitat census (baseline) through which 83 representative larval habitats were identified and selected. The second and third surveys involved estimating daily productivity of the 83 selected larval habitats for 30 consecutive days during a wet and a dry season, respectively. Of 664 larval habitats examined at baseline, 144 larval habitats (21.7%) were found to be infested with Ae. aegypti larvae. At baseline, majority (71%) of the pupae were collected from two (2/6) larval habitat types, tires and pots. Multivariate analysis identified habitat type and the habitat being movable as the predictors for pupal abundance. During the 30-day daily pupal production surveys, only a few of the habitats harbored pupae persistently. Pupae were found in 28% and 12% of the larval habitats during the wet and dry seasons, respectively. In the wet season, drums, tires, and pots were identified as the key habitat types accounting for 85% of all pupae sampled. Three habitats (all drums) accounted for 80% of all the pupae collected in the dry season. Predictors for pupal productivity in the wet season were habitat type, place (whether the habitat is located at the back or front of the house), habitat purpose (use of the water in the habitat), and source of water. Although the multivariate model for habitat type did not converge, habitat type and habitat size were the only significant predictors during the dry season. Drums, pots, and tires were sources of more than 85% of Ae. aegypti pupae, reinforcing the “key container concept.” Targeting these three types of habitats makes epidemiological sense, especially during the dry season.","author":[{"dropping-particle":"","family":"Mwakutwaa","given":"Alawih S.","non-dropping-particle":"","parse-names":false,"suffix":""},{"dropping-particle":"","family":"Ngugi","given":"Harun N.","non-dropping-particle":"","parse-names":false,"suffix":""},{"dropping-particle":"","family":"Ndenga","given":"Bryson A.","non-dropping-particle":"","parse-names":false,"suffix":""},{"dropping-particle":"","family":"Krystosik","given":"Amy","non-dropping-particle":"","parse-names":false,"suffix":""},{"dropping-particle":"","family":"Ngari","given":"Moses","non-dropping-particle":"","parse-names":false,"suffix":""},{"dropping-particle":"","family":"Abubakar","given":"Laila U.","non-dropping-particle":"","parse-names":false,"suffix":""},{"dropping-particle":"","family":"Yonge","given":"Shadrack","non-dropping-particle":"","parse-names":false,"suffix":""},{"dropping-particle":"","family":"Kitron","given":"Uriel","non-dropping-particle":"","parse-names":false,"suffix":""},{"dropping-particle":"","family":"LaBeaud","given":"A. Desiree","non-dropping-particle":"","parse-names":false,"suffix":""},{"dropping-particle":"","family":"Mutuku","given":"Francis M.","non-dropping-particle":"","parse-names":false,"suffix":""}],"container-title":"Parasitology Research","id":"ITEM-2","issue":"3","issued":{"date-parts":[["2023","3","23"]]},"page":"801-814","title":"Pupal productivity of larval habitats of Aedes aegypti in Msambweni, Kwale County, Kenya","type":"article-journal","volume":"122"},"uris":["http://www.mendeley.com/documents/?uuid=e21e1b9b-1cd6-43ec-aa8e-bfcb32a1baa3"]}],"mendeley":{"formattedCitation":"(Getachew et al., 2015; Mwakutwaa et al., 2023)","plainTextFormattedCitation":"(Getachew et al., 2015; Mwakutwaa et al., 2023)","previouslyFormattedCitation":"(Getachew et al., 2015; Mwakutwaa et al., 2023)"},"properties":{"noteIndex":0},"schema":"https://github.com/citation-style-language/schema/raw/master/csl-citation.json"}</w:instrText>
      </w:r>
      <w:r w:rsidRPr="002445BC">
        <w:rPr>
          <w:rFonts w:ascii="Times New Roman" w:hAnsi="Times New Roman" w:cs="Times New Roman"/>
          <w:sz w:val="24"/>
          <w:szCs w:val="24"/>
          <w:shd w:val="clear" w:color="auto" w:fill="FFFFFF"/>
        </w:rPr>
        <w:fldChar w:fldCharType="separate"/>
      </w:r>
      <w:r w:rsidR="00205FFF" w:rsidRPr="00205FFF">
        <w:rPr>
          <w:rFonts w:ascii="Times New Roman" w:hAnsi="Times New Roman" w:cs="Times New Roman"/>
          <w:noProof/>
          <w:sz w:val="24"/>
          <w:szCs w:val="24"/>
          <w:shd w:val="clear" w:color="auto" w:fill="FFFFFF"/>
        </w:rPr>
        <w:t>(Getachew et al., 2015; Mwakutwaa et al., 2023)</w:t>
      </w:r>
      <w:r w:rsidRPr="002445BC">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 xml:space="preserve">. The dark colour of tyre enhance their heat retention capacity which promotes rapid development of adults. Additionally, the shaded environment inside the tire protects immatures from desiccation and predators. Recycling used tyres for dengue prevention has gained popularity globally in recent years </w:t>
      </w:r>
      <w:r w:rsidRPr="002445BC">
        <w:rPr>
          <w:rFonts w:ascii="Times New Roman" w:hAnsi="Times New Roman" w:cs="Times New Roman"/>
          <w:sz w:val="24"/>
          <w:szCs w:val="24"/>
          <w:shd w:val="clear" w:color="auto" w:fill="FFFFFF"/>
        </w:rPr>
        <w:fldChar w:fldCharType="begin" w:fldLock="1"/>
      </w:r>
      <w:r w:rsidR="006C32E5">
        <w:rPr>
          <w:rFonts w:ascii="Times New Roman" w:hAnsi="Times New Roman" w:cs="Times New Roman"/>
          <w:sz w:val="24"/>
          <w:szCs w:val="24"/>
          <w:shd w:val="clear" w:color="auto" w:fill="FFFFFF"/>
        </w:rPr>
        <w:instrText>ADDIN CSL_CITATION {"citationItems":[{"id":"ITEM-1","itemData":{"ISBN":"ISBN 978 92 4 154787 1","author":[{"dropping-particle":"","family":"WHO","given":"","non-dropping-particle":"","parse-names":false,"suffix":""}],"id":"ITEM-1","issued":{"date-parts":[["2009"]]},"title":"DENGUE GUIDELINES FOR DIAGNOSIS, TREATMENT, PREVENTION AND CONTROL","type":"book"},"uris":["http://www.mendeley.com/documents/?uuid=931e3da9-ac13-326f-beea-592df5befbf8"]}],"mendeley":{"formattedCitation":"(WHO, 2009)","plainTextFormattedCitation":"(WHO, 2009)","previouslyFormattedCitation":"(WHO, 2009)"},"properties":{"noteIndex":0},"schema":"https://github.com/citation-style-language/schema/raw/master/csl-citation.json"}</w:instrText>
      </w:r>
      <w:r w:rsidRPr="002445BC">
        <w:rPr>
          <w:rFonts w:ascii="Times New Roman" w:hAnsi="Times New Roman" w:cs="Times New Roman"/>
          <w:sz w:val="24"/>
          <w:szCs w:val="24"/>
          <w:shd w:val="clear" w:color="auto" w:fill="FFFFFF"/>
        </w:rPr>
        <w:fldChar w:fldCharType="separate"/>
      </w:r>
      <w:r w:rsidR="006C32E5" w:rsidRPr="006C32E5">
        <w:rPr>
          <w:rFonts w:ascii="Times New Roman" w:hAnsi="Times New Roman" w:cs="Times New Roman"/>
          <w:noProof/>
          <w:sz w:val="24"/>
          <w:szCs w:val="24"/>
          <w:shd w:val="clear" w:color="auto" w:fill="FFFFFF"/>
        </w:rPr>
        <w:t>(WHO, 2009)</w:t>
      </w:r>
      <w:r w:rsidRPr="002445BC">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 If recycling is not feasible, storage in a dry environment and proper disposal of used tires should be encouraged</w:t>
      </w:r>
      <w:r w:rsidR="00DF6DFC" w:rsidRPr="002445BC">
        <w:rPr>
          <w:rFonts w:ascii="Times New Roman" w:hAnsi="Times New Roman" w:cs="Times New Roman"/>
          <w:sz w:val="24"/>
          <w:szCs w:val="24"/>
          <w:shd w:val="clear" w:color="auto" w:fill="FFFFFF"/>
        </w:rPr>
        <w:t>.</w:t>
      </w:r>
    </w:p>
    <w:p w14:paraId="245A99BF" w14:textId="719C2FF9" w:rsidR="006E367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lastRenderedPageBreak/>
        <w:t xml:space="preserve">In contrast to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the analysed results of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indicates difference in the breeding preference and pupal productivity. While BPR was highest in natural and ornamental containers, pupal productivity highest in temporarily removed items. Also the lack of significant variation in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pupae productivity across breeding habitats and building materials emphasizes its role as an opportunistic generalist and lays eggs in a wider variety of breeding habitats </w:t>
      </w:r>
      <w:r w:rsidR="000314CF" w:rsidRPr="002445BC">
        <w:rPr>
          <w:rFonts w:ascii="Times New Roman" w:hAnsi="Times New Roman" w:cs="Times New Roman"/>
          <w:sz w:val="24"/>
          <w:szCs w:val="24"/>
          <w:shd w:val="clear" w:color="auto" w:fill="FFFFFF"/>
        </w:rPr>
        <w:t xml:space="preserve">relative to their availability. </w:t>
      </w:r>
      <w:r w:rsidRPr="002445BC">
        <w:rPr>
          <w:rFonts w:ascii="Times New Roman" w:hAnsi="Times New Roman" w:cs="Times New Roman"/>
          <w:sz w:val="24"/>
          <w:szCs w:val="24"/>
          <w:shd w:val="clear" w:color="auto" w:fill="FFFFFF"/>
        </w:rPr>
        <w:t xml:space="preserve">This generalist strategy may reduce its vulnerability to control measures targeting specific container types. </w:t>
      </w:r>
    </w:p>
    <w:p w14:paraId="42C8F80C" w14:textId="6702DDC6" w:rsidR="006E367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This study finding provides more than 97% of positive larval habitats and more than 90% of pupae-positive breeding habitats for both species are located outdoors, indicating predominant exophilic breeding behavior of these vectors</w:t>
      </w:r>
      <w:r w:rsidR="00F05E78">
        <w:rPr>
          <w:rFonts w:ascii="Times New Roman" w:hAnsi="Times New Roman" w:cs="Times New Roman"/>
          <w:sz w:val="24"/>
          <w:szCs w:val="24"/>
          <w:shd w:val="clear" w:color="auto" w:fill="FFFFFF"/>
        </w:rPr>
        <w:t xml:space="preserve"> </w:t>
      </w:r>
      <w:r w:rsidR="00F05E78">
        <w:rPr>
          <w:rFonts w:ascii="Times New Roman" w:hAnsi="Times New Roman" w:cs="Times New Roman"/>
          <w:sz w:val="24"/>
          <w:szCs w:val="24"/>
          <w:shd w:val="clear" w:color="auto" w:fill="FFFFFF"/>
        </w:rPr>
        <w:fldChar w:fldCharType="begin" w:fldLock="1"/>
      </w:r>
      <w:r w:rsidR="00F05E78">
        <w:rPr>
          <w:rFonts w:ascii="Times New Roman" w:hAnsi="Times New Roman" w:cs="Times New Roman"/>
          <w:sz w:val="24"/>
          <w:szCs w:val="24"/>
          <w:shd w:val="clear" w:color="auto" w:fill="FFFFFF"/>
        </w:rPr>
        <w:instrText>ADDIN CSL_CITATION {"citationItems":[{"id":"ITEM-1","itemData":{"DOI":"10.4103/0971-5916.176632","ISSN":"0971-5916","author":[{"dropping-particle":"","family":"Banerjee","given":"Soumyajit","non-dropping-particle":"","parse-names":false,"suffix":""},{"dropping-particle":"","family":"Mohan","given":"Sushree","non-dropping-particle":"","parse-names":false,"suffix":""},{"dropping-particle":"","family":"Saha","given":"Nabaneeta","non-dropping-particle":"","parse-names":false,"suffix":""},{"dropping-particle":"","family":"Mohanty","given":"Siba Prasad","non-dropping-particle":"","parse-names":false,"suffix":""},{"dropping-particle":"","family":"Saha","given":"Goutam K.","non-dropping-particle":"","parse-names":false,"suffix":""},{"dropping-particle":"","family":"Aditya","given":"Gautam","non-dropping-particle":"","parse-names":false,"suffix":""}],"container-title":"Indian Journal of Medical Research","id":"ITEM-1","issue":"Suppl 1","issued":{"date-parts":[["2015","12"]]},"page":"S87-S94","title":"Pupal productivity &amp;amp; nutrient reserves of Aedes mosquitoes breeding in sewage drains &amp;amp; other habitats of Kolkata, India","type":"article-journal","volume":"142"},"uris":["http://www.mendeley.com/documents/?uuid=83c9930a-2b81-4bad-8ea9-6896e8f14e41"]},{"id":"ITEM-2","itemData":{"DOI":"10.2471/BLT.09.067892","ISSN":"00429686","PMID":"20428384","abstract":"Objective: To study dengue vector breeding patterns under a variety of conditions in public and private spaces; to explore the ecological, biological and social (eco-bio-social) factors involved in vector breeding and viral transmission, and to define the main implications for vector control. Methods: In each of six Asian cities or periurban areas, a team randomly selected urban clusters for conducting standardized household surveys, neighbourhood background surveys and entomological surveys. They collected information on vector breeding sites, people's knowledge, attitudes and practices surrounding dengue, and the characteristics of the study areas. All premises were inspected; larval indices were used to quantify vector breeding sites, and pupal counts were used to identify productive water container types and as a proxy measure for adult vector abundance. Findings: The most productive vector breeding sites were outdoor water containers, particularly if uncovered, beneath shrubbery and unused for at least one week. Peridomestic and intradomestic areas were much more important for pupal production than commercial and public spaces other than schools and religious facilities. A complex but non-significant association was found between water supply and pupal counts, and lack of waste disposal services was associated with higher vector abundance in only one site. Greater knowledge about dengue and its transmission was associated with lower mosquito breeding and production. Vector control measures (mainly larviciding in one site) substantially reduced larval and pupal counts and \"pushed\" mosquito breeding to alternative containers. Conclusion: Vector breeding and the production of adult Aedes aegypti are influenced by a complex interplay of factors. Thus, to achieve effective vector management, a public health response beyond routine larviciding or focal spraying is essential.","author":[{"dropping-particle":"","family":"Arunachalam","given":"Natarajan","non-dropping-particle":"","parse-names":false,"suffix":""},{"dropping-particle":"","family":"Tana","given":"Susilowati","non-dropping-particle":"","parse-names":false,"suffix":""},{"dropping-particle":"","family":"Espino","given":"Fe","non-dropping-particle":"","parse-names":false,"suffix":""},{"dropping-particle":"","family":"Kittayapong","given":"Pattamaporn","non-dropping-particle":"","parse-names":false,"suffix":""},{"dropping-particle":"","family":"Abeyewickreme","given":"Wimal","non-dropping-particle":"","parse-names":false,"suffix":""},{"dropping-particle":"","family":"Wai","given":"Khin Thet","non-dropping-particle":"","parse-names":false,"suffix":""},{"dropping-particle":"","family":"Tyagi","given":"Brij Kishore","non-dropping-particle":"","parse-names":false,"suffix":""},{"dropping-particle":"","family":"Kroeger","given":"Axel","non-dropping-particle":"","parse-names":false,"suffix":""},{"dropping-particle":"","family":"Sommerfeld","given":"Johannes","non-dropping-particle":"","parse-names":false,"suffix":""},{"dropping-particle":"","family":"Petzold","given":"Max","non-dropping-particle":"","parse-names":false,"suffix":""}],"container-title":"Bulletin of the World Health Organization","id":"ITEM-2","issue":"3","issued":{"date-parts":[["2010","3"]]},"page":"173","title":"Eco-bio-social determinants of dengue vector breeding: a multicountry study in urban and periurban Asia","type":"article-journal","volume":"88"},"uris":["http://www.mendeley.com/documents/?uuid=fab0bc16-23a0-3f36-b842-15bbd22719ad"]},{"id":"ITEM-3","itemData":{"DOI":"10.1007/s00436-022-07777-0","ISSN":"0932-0113","abstract":"Aedes aegypti is an important vector of several arboviruses including dengue and chikungunya viruses. Accurate identification of larval habitats of Ae. aegypti is considered an essential step in targeted control. This study determined Ae. aegypti productivity in selected larval habitats in Msambweni, Kwale County, Kenya. Three sequential larval habitat surveys were conducted. The first survey was habitat census (baseline) through which 83 representative larval habitats were identified and selected. The second and third surveys involved estimating daily productivity of the 83 selected larval habitats for 30 consecutive days during a wet and a dry season, respectively. Of 664 larval habitats examined at baseline, 144 larval habitats (21.7%) were found to be infested with Ae. aegypti larvae. At baseline, majority (71%) of the pupae were collected from two (2/6) larval habitat types, tires and pots. Multivariate analysis identified habitat type and the habitat being movable as the predictors for pupal abundance. During the 30-day daily pupal production surveys, only a few of the habitats harbored pupae persistently. Pupae were found in 28% and 12% of the larval habitats during the wet and dry seasons, respectively. In the wet season, drums, tires, and pots were identified as the key habitat types accounting for 85% of all pupae sampled. Three habitats (all drums) accounted for 80% of all the pupae collected in the dry season. Predictors for pupal productivity in the wet season were habitat type, place (whether the habitat is located at the back or front of the house), habitat purpose (use of the water in the habitat), and source of water. Although the multivariate model for habitat type did not converge, habitat type and habitat size were the only significant predictors during the dry season. Drums, pots, and tires were sources of more than 85% of Ae. aegypti pupae, reinforcing the “key container concept.” Targeting these three types of habitats makes epidemiological sense, especially during the dry season.","author":[{"dropping-particle":"","family":"Mwakutwaa","given":"Alawih S.","non-dropping-particle":"","parse-names":false,"suffix":""},{"dropping-particle":"","family":"Ngugi","given":"Harun N.","non-dropping-particle":"","parse-names":false,"suffix":""},{"dropping-particle":"","family":"Ndenga","given":"Bryson A.","non-dropping-particle":"","parse-names":false,"suffix":""},{"dropping-particle":"","family":"Krystosik","given":"Amy","non-dropping-particle":"","parse-names":false,"suffix":""},{"dropping-particle":"","family":"Ngari","given":"Moses","non-dropping-particle":"","parse-names":false,"suffix":""},{"dropping-particle":"","family":"Abubakar","given":"Laila U.","non-dropping-particle":"","parse-names":false,"suffix":""},{"dropping-particle":"","family":"Yonge","given":"Shadrack","non-dropping-particle":"","parse-names":false,"suffix":""},{"dropping-particle":"","family":"Kitron","given":"Uriel","non-dropping-particle":"","parse-names":false,"suffix":""},{"dropping-particle":"","family":"LaBeaud","given":"A. Desiree","non-dropping-particle":"","parse-names":false,"suffix":""},{"dropping-particle":"","family":"Mutuku","given":"Francis M.","non-dropping-particle":"","parse-names":false,"suffix":""}],"container-title":"Parasitology Research","id":"ITEM-3","issue":"3","issued":{"date-parts":[["2023","3","23"]]},"page":"801-814","title":"Pupal productivity of larval habitats of Aedes aegypti in Msambweni, Kwale County, Kenya","type":"article-journal","volume":"122"},"uris":["http://www.mendeley.com/documents/?uuid=e21e1b9b-1cd6-43ec-aa8e-bfcb32a1baa3"]}],"mendeley":{"formattedCitation":"(Arunachalam et al., 2010; Banerjee et al., 2015; Mwakutwaa et al., 2023)","plainTextFormattedCitation":"(Arunachalam et al., 2010; Banerjee et al., 2015; Mwakutwaa et al., 2023)","previouslyFormattedCitation":"(Arunachalam et al., 2010; Banerjee et al., 2015; Mwakutwaa et al., 2023)"},"properties":{"noteIndex":0},"schema":"https://github.com/citation-style-language/schema/raw/master/csl-citation.json"}</w:instrText>
      </w:r>
      <w:r w:rsidR="00F05E78">
        <w:rPr>
          <w:rFonts w:ascii="Times New Roman" w:hAnsi="Times New Roman" w:cs="Times New Roman"/>
          <w:sz w:val="24"/>
          <w:szCs w:val="24"/>
          <w:shd w:val="clear" w:color="auto" w:fill="FFFFFF"/>
        </w:rPr>
        <w:fldChar w:fldCharType="separate"/>
      </w:r>
      <w:r w:rsidR="00F05E78" w:rsidRPr="00F05E78">
        <w:rPr>
          <w:rFonts w:ascii="Times New Roman" w:hAnsi="Times New Roman" w:cs="Times New Roman"/>
          <w:noProof/>
          <w:sz w:val="24"/>
          <w:szCs w:val="24"/>
          <w:shd w:val="clear" w:color="auto" w:fill="FFFFFF"/>
        </w:rPr>
        <w:t>(Arunachalam et al., 2010; Banerjee et al., 2015; Mwakutwaa et al., 2023)</w:t>
      </w:r>
      <w:r w:rsidR="00F05E78">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 xml:space="preserve">. This challenge the well-known endophilic behaviour </w:t>
      </w:r>
      <w:r w:rsidRPr="002445BC">
        <w:rPr>
          <w:rFonts w:ascii="Times New Roman" w:hAnsi="Times New Roman" w:cs="Times New Roman"/>
          <w:i/>
          <w:iCs/>
          <w:sz w:val="24"/>
          <w:szCs w:val="24"/>
          <w:shd w:val="clear" w:color="auto" w:fill="FFFFFF"/>
        </w:rPr>
        <w:t>of Ae. aegypti</w:t>
      </w:r>
      <w:r w:rsidRPr="002445BC">
        <w:rPr>
          <w:rFonts w:ascii="Times New Roman" w:hAnsi="Times New Roman" w:cs="Times New Roman"/>
          <w:sz w:val="24"/>
          <w:szCs w:val="24"/>
          <w:shd w:val="clear" w:color="auto" w:fill="FFFFFF"/>
        </w:rPr>
        <w:t xml:space="preserve"> and emphasizes the exophilic behavior of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The lack of a statistically significant difference in pupal productivity among the locations of breeding habitats indicates a certain degree of flexibility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In contrast,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pupal productivity exhibited a significant aversion to indoor breeding habitats compared to both open and shady outdoor locations. According to findings, the control programme must be concentrated on outdoor focused source reduction. But, it is crucial to address specific indoor breeding habitats for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as their neglect may result in a significant increase in infestation rates.  </w:t>
      </w:r>
    </w:p>
    <w:p w14:paraId="32E0BF06" w14:textId="77E84380" w:rsidR="006E367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 xml:space="preserve">This study confirms that rainwater is the predominant and most productive water source for the immature stages of both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and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accounting for over 90% of pupal productivity for each species.  This observation aligns with Forsyth's conclusion that most positive, and the most productive o</w:t>
      </w:r>
      <w:r w:rsidR="00F05E78">
        <w:rPr>
          <w:rFonts w:ascii="Times New Roman" w:hAnsi="Times New Roman" w:cs="Times New Roman"/>
          <w:sz w:val="24"/>
          <w:szCs w:val="24"/>
          <w:shd w:val="clear" w:color="auto" w:fill="FFFFFF"/>
        </w:rPr>
        <w:t xml:space="preserve">nes, containers, held rainwater </w:t>
      </w:r>
      <w:r w:rsidR="00F05E78">
        <w:rPr>
          <w:rFonts w:ascii="Times New Roman" w:hAnsi="Times New Roman" w:cs="Times New Roman"/>
          <w:sz w:val="24"/>
          <w:szCs w:val="24"/>
          <w:shd w:val="clear" w:color="auto" w:fill="FFFFFF"/>
        </w:rPr>
        <w:fldChar w:fldCharType="begin" w:fldLock="1"/>
      </w:r>
      <w:r w:rsidR="00F05E78">
        <w:rPr>
          <w:rFonts w:ascii="Times New Roman" w:hAnsi="Times New Roman" w:cs="Times New Roman"/>
          <w:sz w:val="24"/>
          <w:szCs w:val="24"/>
          <w:shd w:val="clear" w:color="auto" w:fill="FFFFFF"/>
        </w:rPr>
        <w:instrText>ADDIN CSL_CITATION {"citationItems":[{"id":"ITEM-1","itemData":{"DOI":"10.4103/0971-5916.176632","ISSN":"0971-5916","author":[{"dropping-particle":"","family":"Banerjee","given":"Soumyajit","non-dropping-particle":"","parse-names":false,"suffix":""},{"dropping-particle":"","family":"Mohan","given":"Sushree","non-dropping-particle":"","parse-names":false,"suffix":""},{"dropping-particle":"","family":"Saha","given":"Nabaneeta","non-dropping-particle":"","parse-names":false,"suffix":""},{"dropping-particle":"","family":"Mohanty","given":"Siba Prasad","non-dropping-particle":"","parse-names":false,"suffix":""},{"dropping-particle":"","family":"Saha","given":"Goutam K.","non-dropping-particle":"","parse-names":false,"suffix":""},{"dropping-particle":"","family":"Aditya","given":"Gautam","non-dropping-particle":"","parse-names":false,"suffix":""}],"container-title":"Indian Journal of Medical Research","id":"ITEM-1","issue":"Suppl 1","issued":{"date-parts":[["2015","12"]]},"page":"S87-S94","title":"Pupal productivity &amp;amp; nutrient reserves of Aedes mosquitoes breeding in sewage drains &amp;amp; other habitats of Kolkata, India","type":"article-journal","volume":"142"},"uris":["http://www.mendeley.com/documents/?uuid=83c9930a-2b81-4bad-8ea9-6896e8f14e41"]}],"mendeley":{"formattedCitation":"(Banerjee et al., 2015)","plainTextFormattedCitation":"(Banerjee et al., 2015)","previouslyFormattedCitation":"(Banerjee et al., 2015)"},"properties":{"noteIndex":0},"schema":"https://github.com/citation-style-language/schema/raw/master/csl-citation.json"}</w:instrText>
      </w:r>
      <w:r w:rsidR="00F05E78">
        <w:rPr>
          <w:rFonts w:ascii="Times New Roman" w:hAnsi="Times New Roman" w:cs="Times New Roman"/>
          <w:sz w:val="24"/>
          <w:szCs w:val="24"/>
          <w:shd w:val="clear" w:color="auto" w:fill="FFFFFF"/>
        </w:rPr>
        <w:fldChar w:fldCharType="separate"/>
      </w:r>
      <w:r w:rsidR="00F05E78" w:rsidRPr="00F05E78">
        <w:rPr>
          <w:rFonts w:ascii="Times New Roman" w:hAnsi="Times New Roman" w:cs="Times New Roman"/>
          <w:noProof/>
          <w:sz w:val="24"/>
          <w:szCs w:val="24"/>
          <w:shd w:val="clear" w:color="auto" w:fill="FFFFFF"/>
        </w:rPr>
        <w:t>(Banerjee et al., 2015)</w:t>
      </w:r>
      <w:r w:rsidR="00F05E78">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 This overwhelming dominance of rainwater in positive breeding habitats highlights the critical role of precipitation in driving mosquito population dynamics. Furthermore, lack of significant variation in pupal productivity based on water source for either species indicates that once a container is filled with water, regardless of its origin, it becomes a potential breeding site. This underscores the importance of managing container habitats themselves, rather than the water source, through covering, disposal, or regular emptying.</w:t>
      </w:r>
    </w:p>
    <w:p w14:paraId="730D1AC6" w14:textId="15988F64" w:rsidR="006E367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The analysis of physicochemical water parameters reveals a clear and consistent pattern: the pupal production of both vectors</w:t>
      </w:r>
      <w:r w:rsidRPr="002445BC">
        <w:rPr>
          <w:rFonts w:ascii="Times New Roman" w:hAnsi="Times New Roman" w:cs="Times New Roman"/>
          <w:i/>
          <w:iCs/>
          <w:sz w:val="24"/>
          <w:szCs w:val="24"/>
          <w:shd w:val="clear" w:color="auto" w:fill="FFFFFF"/>
        </w:rPr>
        <w:t xml:space="preserve"> </w:t>
      </w:r>
      <w:r w:rsidRPr="002445BC">
        <w:rPr>
          <w:rFonts w:ascii="Times New Roman" w:hAnsi="Times New Roman" w:cs="Times New Roman"/>
          <w:sz w:val="24"/>
          <w:szCs w:val="24"/>
          <w:shd w:val="clear" w:color="auto" w:fill="FFFFFF"/>
        </w:rPr>
        <w:t xml:space="preserve">is not determined by specific values of temperature, pH, conductivity, TDS, or salinity within the breeding habitats in this study. Also, there were no significant variation in the measured water parameters between the two species. This indicates significant ecological overlap in their fundamental niche regarding water quality, suggesting that both species can effectively use the same breeding habitats within these ranges of physicochemical conditions </w:t>
      </w:r>
      <w:r w:rsidRPr="002445BC">
        <w:rPr>
          <w:rFonts w:ascii="Times New Roman" w:hAnsi="Times New Roman" w:cs="Times New Roman"/>
          <w:sz w:val="24"/>
          <w:szCs w:val="24"/>
          <w:shd w:val="clear" w:color="auto" w:fill="FFFFFF"/>
        </w:rPr>
        <w:fldChar w:fldCharType="begin" w:fldLock="1"/>
      </w:r>
      <w:r w:rsidR="006C32E5">
        <w:rPr>
          <w:rFonts w:ascii="Times New Roman" w:hAnsi="Times New Roman" w:cs="Times New Roman"/>
          <w:sz w:val="24"/>
          <w:szCs w:val="24"/>
          <w:shd w:val="clear" w:color="auto" w:fill="FFFFFF"/>
        </w:rPr>
        <w:instrText>ADDIN CSL_CITATION {"citationItems":[{"id":"ITEM-1","itemData":{"DOI":"10.2149/tmh.2011-S04","ISSN":"13488945","abstract":"Japanese Society of Tropical MedicinAbstract: The distribution of dengue vectores, Ae. aegypti and Ae. albopictus, is affected by climatic factors. In addition, since their life cycles are well adapted to the human environment, environmental changes resulting from human activity such as urbanization exert a great impact on vector distribution. The different responses of Ae. aegypti and Ae albopictus to various environments result in a difference in spatial distribution along north-south and urban-rural gradients, and between the indoors and outdoors. In the north-south gradient, climate associated with survival is an important factor in spatial distribution. In the urban-rural gradient, different distribution reflects a difference in adult niches and is modified by geographic and human factors. The direct response of the two species to the environment around houses is related to different spatial distribution indoors and outdoors. Dengue viruses circulate mainly between human and vector mosquitoes, and the vector presence is a limiting factor of transmission. Therefore, spatial distribution of dengue vectors is a significant concern in the epidemiology of the disease. Current technologies such as GIS, satellite imagery and statistical models allow researchers to predict the spatial distribution of vectors in the changing environment. Although it is difficult to confirm the actual effect of environmental and climate changes on vector abundance and vector-borne diseases, environmental changes caused by humans and human behavioral changes due to climate change can be expected to exert an impact on dengue vectors. Longitudinal monitoring of dengue vectors and viruses is therefore necessary. © 2011 by The Japanese Society of Tropical Medicine.","author":[{"dropping-particle":"","family":"Higa","given":"Yukiko","non-dropping-particle":"","parse-names":false,"suffix":""}],"container-title":"Tropical Medicine and Health","id":"ITEM-1","issue":"4 SUPPL.","issued":{"date-parts":[["2011"]]},"page":"17-27","title":"Dengue vectors and their spatial distribution","type":"article","volume":"39"},"uris":["http://www.mendeley.com/documents/?uuid=ce333a7d-e8a5-4151-be30-36f052daa6df"]}],"mendeley":{"formattedCitation":"(Higa, 2011)","plainTextFormattedCitation":"(Higa, 2011)","previouslyFormattedCitation":"(Higa, 2011)"},"properties":{"noteIndex":0},"schema":"https://github.com/citation-style-language/schema/raw/master/csl-citation.json"}</w:instrText>
      </w:r>
      <w:r w:rsidRPr="002445BC">
        <w:rPr>
          <w:rFonts w:ascii="Times New Roman" w:hAnsi="Times New Roman" w:cs="Times New Roman"/>
          <w:sz w:val="24"/>
          <w:szCs w:val="24"/>
          <w:shd w:val="clear" w:color="auto" w:fill="FFFFFF"/>
        </w:rPr>
        <w:fldChar w:fldCharType="separate"/>
      </w:r>
      <w:r w:rsidR="006C32E5" w:rsidRPr="006C32E5">
        <w:rPr>
          <w:rFonts w:ascii="Times New Roman" w:hAnsi="Times New Roman" w:cs="Times New Roman"/>
          <w:noProof/>
          <w:sz w:val="24"/>
          <w:szCs w:val="24"/>
          <w:shd w:val="clear" w:color="auto" w:fill="FFFFFF"/>
        </w:rPr>
        <w:t>(Higa, 2011)</w:t>
      </w:r>
      <w:r w:rsidRPr="002445BC">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w:t>
      </w:r>
    </w:p>
    <w:p w14:paraId="7ABD8F89" w14:textId="35C14D26" w:rsidR="00E45C2C" w:rsidRPr="002445BC" w:rsidRDefault="006E367C" w:rsidP="002445BC">
      <w:pPr>
        <w:spacing w:before="240" w:after="240" w:line="240" w:lineRule="auto"/>
        <w:jc w:val="both"/>
        <w:rPr>
          <w:rFonts w:ascii="Times New Roman" w:hAnsi="Times New Roman" w:cs="Times New Roman"/>
          <w:i/>
          <w:iCs/>
          <w:sz w:val="24"/>
          <w:szCs w:val="24"/>
          <w:shd w:val="clear" w:color="auto" w:fill="FFFFFF"/>
        </w:rPr>
      </w:pPr>
      <w:r w:rsidRPr="002445BC">
        <w:rPr>
          <w:rFonts w:ascii="Times New Roman" w:hAnsi="Times New Roman" w:cs="Times New Roman"/>
          <w:sz w:val="24"/>
          <w:szCs w:val="24"/>
          <w:shd w:val="clear" w:color="auto" w:fill="FFFFFF"/>
        </w:rPr>
        <w:t xml:space="preserve">The most critical differentiating factor identified was the physical characteristic of water volume. The significant positive correlation between water volume and pupal productivity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suggests that this species preferentially develops in larger, more stable water bodies </w:t>
      </w:r>
      <w:r w:rsidRPr="002445BC">
        <w:rPr>
          <w:rFonts w:ascii="Times New Roman" w:hAnsi="Times New Roman" w:cs="Times New Roman"/>
          <w:sz w:val="24"/>
          <w:szCs w:val="24"/>
          <w:shd w:val="clear" w:color="auto" w:fill="FFFFFF"/>
        </w:rPr>
        <w:fldChar w:fldCharType="begin" w:fldLock="1"/>
      </w:r>
      <w:r w:rsidR="00205FFF">
        <w:rPr>
          <w:rFonts w:ascii="Times New Roman" w:hAnsi="Times New Roman" w:cs="Times New Roman"/>
          <w:sz w:val="24"/>
          <w:szCs w:val="24"/>
          <w:shd w:val="clear" w:color="auto" w:fill="FFFFFF"/>
        </w:rPr>
        <w:instrText>ADDIN CSL_CITATION {"citationItems":[{"id":"ITEM-1","itemData":{"DOI":"10.1007/s00436-022-07777-0","ISSN":"0932-0113","abstract":"Aedes aegypti is an important vector of several arboviruses including dengue and chikungunya viruses. Accurate identification of larval habitats of Ae. aegypti is considered an essential step in targeted control. This study determined Ae. aegypti productivity in selected larval habitats in Msambweni, Kwale County, Kenya. Three sequential larval habitat surveys were conducted. The first survey was habitat census (baseline) through which 83 representative larval habitats were identified and selected. The second and third surveys involved estimating daily productivity of the 83 selected larval habitats for 30 consecutive days during a wet and a dry season, respectively. Of 664 larval habitats examined at baseline, 144 larval habitats (21.7%) were found to be infested with Ae. aegypti larvae. At baseline, majority (71%) of the pupae were collected from two (2/6) larval habitat types, tires and pots. Multivariate analysis identified habitat type and the habitat being movable as the predictors for pupal abundance. During the 30-day daily pupal production surveys, only a few of the habitats harbored pupae persistently. Pupae were found in 28% and 12% of the larval habitats during the wet and dry seasons, respectively. In the wet season, drums, tires, and pots were identified as the key habitat types accounting for 85% of all pupae sampled. Three habitats (all drums) accounted for 80% of all the pupae collected in the dry season. Predictors for pupal productivity in the wet season were habitat type, place (whether the habitat is located at the back or front of the house), habitat purpose (use of the water in the habitat), and source of water. Although the multivariate model for habitat type did not converge, habitat type and habitat size were the only significant predictors during the dry season. Drums, pots, and tires were sources of more than 85% of Ae. aegypti pupae, reinforcing the “key container concept.” Targeting these three types of habitats makes epidemiological sense, especially during the dry season.","author":[{"dropping-particle":"","family":"Mwakutwaa","given":"Alawih S.","non-dropping-particle":"","parse-names":false,"suffix":""},{"dropping-particle":"","family":"Ngugi","given":"Harun N.","non-dropping-particle":"","parse-names":false,"suffix":""},{"dropping-particle":"","family":"Ndenga","given":"Bryson A.","non-dropping-particle":"","parse-names":false,"suffix":""},{"dropping-particle":"","family":"Krystosik","given":"Amy","non-dropping-particle":"","parse-names":false,"suffix":""},{"dropping-particle":"","family":"Ngari","given":"Moses","non-dropping-particle":"","parse-names":false,"suffix":""},{"dropping-particle":"","family":"Abubakar","given":"Laila U.","non-dropping-particle":"","parse-names":false,"suffix":""},{"dropping-particle":"","family":"Yonge","given":"Shadrack","non-dropping-particle":"","parse-names":false,"suffix":""},{"dropping-particle":"","family":"Kitron","given":"Uriel","non-dropping-particle":"","parse-names":false,"suffix":""},{"dropping-particle":"","family":"LaBeaud","given":"A. Desiree","non-dropping-particle":"","parse-names":false,"suffix":""},{"dropping-particle":"","family":"Mutuku","given":"Francis M.","non-dropping-particle":"","parse-names":false,"suffix":""}],"container-title":"Parasitology Research","id":"ITEM-1","issue":"3","issued":{"date-parts":[["2023","3","23"]]},"page":"801-814","title":"Pupal productivity of larval habitats of Aedes aegypti in Msambweni, Kwale County, Kenya","type":"article-journal","volume":"122"},"uris":["http://www.mendeley.com/documents/?uuid=e21e1b9b-1cd6-43ec-aa8e-bfcb32a1baa3"]}],"mendeley":{"formattedCitation":"(Mwakutwaa et al., 2023)","plainTextFormattedCitation":"(Mwakutwaa et al., 2023)","previouslyFormattedCitation":"(Mwakutwaa et al., 2023)"},"properties":{"noteIndex":0},"schema":"https://github.com/citation-style-language/schema/raw/master/csl-citation.json"}</w:instrText>
      </w:r>
      <w:r w:rsidRPr="002445BC">
        <w:rPr>
          <w:rFonts w:ascii="Times New Roman" w:hAnsi="Times New Roman" w:cs="Times New Roman"/>
          <w:sz w:val="24"/>
          <w:szCs w:val="24"/>
          <w:shd w:val="clear" w:color="auto" w:fill="FFFFFF"/>
        </w:rPr>
        <w:fldChar w:fldCharType="separate"/>
      </w:r>
      <w:r w:rsidR="00205FFF" w:rsidRPr="00205FFF">
        <w:rPr>
          <w:rFonts w:ascii="Times New Roman" w:hAnsi="Times New Roman" w:cs="Times New Roman"/>
          <w:noProof/>
          <w:sz w:val="24"/>
          <w:szCs w:val="24"/>
          <w:shd w:val="clear" w:color="auto" w:fill="FFFFFF"/>
        </w:rPr>
        <w:t>(Mwakutwaa et al., 2023)</w:t>
      </w:r>
      <w:r w:rsidRPr="002445BC">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 xml:space="preserve">. These larger volumes may offer benefits such as reduced risk of desiccation, greater resource availability, and a more stable thermal and chemical environment, supporting higher larval survival and density. Conversely, the lack of correlation for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indicates its ecological flexibility as a "container generalist" and ability to exploit a wider variety of small, temporary habitats compared to </w:t>
      </w:r>
      <w:r w:rsidRPr="002445BC">
        <w:rPr>
          <w:rFonts w:ascii="Times New Roman" w:hAnsi="Times New Roman" w:cs="Times New Roman"/>
          <w:i/>
          <w:iCs/>
          <w:sz w:val="24"/>
          <w:szCs w:val="24"/>
          <w:shd w:val="clear" w:color="auto" w:fill="FFFFFF"/>
        </w:rPr>
        <w:t>Ae. aegypti.</w:t>
      </w:r>
    </w:p>
    <w:p w14:paraId="6BF90310" w14:textId="3437FD9C" w:rsidR="00E45C2C" w:rsidRPr="002445BC" w:rsidRDefault="007476E0" w:rsidP="007476E0">
      <w:pPr>
        <w:pStyle w:val="Heading2"/>
      </w:pPr>
      <w:r>
        <w:t>CONCLUSION</w:t>
      </w:r>
    </w:p>
    <w:p w14:paraId="06EF0DB0" w14:textId="77777777" w:rsidR="00F70788" w:rsidRPr="002445BC" w:rsidRDefault="00F70788"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The Pupal Demographic Indexes clearly indicate that the human population in this area faces nearly equal biting pressure from both mosquito species. However, our analysis of breeding habitats shows that a significant proportion of positive breeding sites fails to support the development of larvae into the pupal stage. Thus, it can be concluded that traditional larval indices are inadequate for accurately predicting the risk of dengue transmission.</w:t>
      </w:r>
    </w:p>
    <w:p w14:paraId="434EF51C" w14:textId="19D91302" w:rsidR="00F70788" w:rsidRDefault="00F70788"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The highest BPR and pupal productivity for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are found in tyre, highlighting strong selectivity on tyre as a key container type. Furthermore, the pupal productivity of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is significantly enhanced by the volume of water in breeding habitats, with larger volumes leading to greater productivity than smaller ones. </w:t>
      </w:r>
      <w:r w:rsidRPr="002445BC">
        <w:rPr>
          <w:rFonts w:ascii="Times New Roman" w:hAnsi="Times New Roman" w:cs="Times New Roman"/>
          <w:sz w:val="24"/>
          <w:szCs w:val="24"/>
        </w:rPr>
        <w:lastRenderedPageBreak/>
        <w:t>Therefore, effective management of</w:t>
      </w:r>
      <w:r w:rsidRPr="002445BC">
        <w:rPr>
          <w:rFonts w:ascii="Times New Roman" w:hAnsi="Times New Roman" w:cs="Times New Roman"/>
          <w:i/>
          <w:iCs/>
          <w:sz w:val="24"/>
          <w:szCs w:val="24"/>
        </w:rPr>
        <w:t xml:space="preserve"> Ae. aegypti</w:t>
      </w:r>
      <w:r w:rsidRPr="002445BC">
        <w:rPr>
          <w:rFonts w:ascii="Times New Roman" w:hAnsi="Times New Roman" w:cs="Times New Roman"/>
          <w:sz w:val="24"/>
          <w:szCs w:val="24"/>
        </w:rPr>
        <w:t xml:space="preserve"> necessitates a strategic focus on removing key containers and managing larger artificial breeding habitats. In contrast, the observed variation in BPR and pupal productivity indicates that Ae. albopictus operates as an opportunistic generalist. This adaptability reduces its vulnerability to control measures targeting specific container types. Hence, a comprehensive community effort to eliminate outdoor breeding sources is crucial for effectively combating Ae. albopictus. Ultimately, public health messaging must be strategically designed to directly address the productive breeding habits of both species to effectively reduce overall vector density and mitigating the risk of dengue transmission.</w:t>
      </w:r>
    </w:p>
    <w:p w14:paraId="4910563F" w14:textId="77777777" w:rsidR="00175798" w:rsidRPr="00175798" w:rsidRDefault="00175798" w:rsidP="00175798"/>
    <w:p w14:paraId="70B04CC6" w14:textId="3DDABD20" w:rsidR="00E45C2C" w:rsidRDefault="007476E0" w:rsidP="007476E0">
      <w:pPr>
        <w:pStyle w:val="Heading2"/>
      </w:pPr>
      <w:r>
        <w:t>REFERENCES</w:t>
      </w:r>
    </w:p>
    <w:p w14:paraId="53976026" w14:textId="41293714" w:rsidR="002C7BAA" w:rsidRPr="002C7BAA" w:rsidRDefault="00E23393"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E23393">
        <w:rPr>
          <w:rFonts w:ascii="Times New Roman" w:hAnsi="Times New Roman" w:cs="Times New Roman"/>
          <w:sz w:val="24"/>
          <w:szCs w:val="24"/>
        </w:rPr>
        <w:fldChar w:fldCharType="begin" w:fldLock="1"/>
      </w:r>
      <w:r w:rsidRPr="002C7BAA">
        <w:rPr>
          <w:rFonts w:ascii="Times New Roman" w:hAnsi="Times New Roman" w:cs="Times New Roman"/>
          <w:sz w:val="24"/>
          <w:szCs w:val="24"/>
        </w:rPr>
        <w:instrText xml:space="preserve">ADDIN Mendeley Bibliography CSL_BIBLIOGRAPHY </w:instrText>
      </w:r>
      <w:r w:rsidRPr="00E23393">
        <w:rPr>
          <w:rFonts w:ascii="Times New Roman" w:hAnsi="Times New Roman" w:cs="Times New Roman"/>
          <w:sz w:val="24"/>
          <w:szCs w:val="24"/>
        </w:rPr>
        <w:fldChar w:fldCharType="separate"/>
      </w:r>
      <w:r w:rsidR="002C7BAA" w:rsidRPr="002C7BAA">
        <w:rPr>
          <w:rFonts w:ascii="Times New Roman" w:hAnsi="Times New Roman" w:cs="Times New Roman"/>
          <w:noProof/>
          <w:sz w:val="24"/>
          <w:szCs w:val="24"/>
        </w:rPr>
        <w:t xml:space="preserve">Arunachalam, N., Tana, S., Espino, F., Kittayapong, P., Abeyewickreme, W., Wai, K. T., Tyagi, B. K., Kroeger, A., Sommerfeld, J., &amp; Petzold, M. (2010). Eco-bio-social determinants of dengue vector breeding: a multicountry study in urban and periurban Asia. </w:t>
      </w:r>
      <w:r w:rsidR="002C7BAA" w:rsidRPr="002C7BAA">
        <w:rPr>
          <w:rFonts w:ascii="Times New Roman" w:hAnsi="Times New Roman" w:cs="Times New Roman"/>
          <w:i/>
          <w:iCs/>
          <w:noProof/>
          <w:sz w:val="24"/>
          <w:szCs w:val="24"/>
        </w:rPr>
        <w:t>Bulletin of the World Health Organization</w:t>
      </w:r>
      <w:r w:rsidR="002C7BAA" w:rsidRPr="002C7BAA">
        <w:rPr>
          <w:rFonts w:ascii="Times New Roman" w:hAnsi="Times New Roman" w:cs="Times New Roman"/>
          <w:noProof/>
          <w:sz w:val="24"/>
          <w:szCs w:val="24"/>
        </w:rPr>
        <w:t xml:space="preserve">, </w:t>
      </w:r>
      <w:r w:rsidR="002C7BAA" w:rsidRPr="002C7BAA">
        <w:rPr>
          <w:rFonts w:ascii="Times New Roman" w:hAnsi="Times New Roman" w:cs="Times New Roman"/>
          <w:i/>
          <w:iCs/>
          <w:noProof/>
          <w:sz w:val="24"/>
          <w:szCs w:val="24"/>
        </w:rPr>
        <w:t>88</w:t>
      </w:r>
      <w:r w:rsidR="002C7BAA" w:rsidRPr="002C7BAA">
        <w:rPr>
          <w:rFonts w:ascii="Times New Roman" w:hAnsi="Times New Roman" w:cs="Times New Roman"/>
          <w:noProof/>
          <w:sz w:val="24"/>
          <w:szCs w:val="24"/>
        </w:rPr>
        <w:t>(3), 173. https://doi.org/10.2471/BLT.09.067892</w:t>
      </w:r>
    </w:p>
    <w:p w14:paraId="71506BA4"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Aryaprema, V. S., &amp; Xue, R. De. (2019). Breteau index as a promising early warning signal for dengue fever outbreaks in the Colombo District, Sri Lanka. </w:t>
      </w:r>
      <w:r w:rsidRPr="002C7BAA">
        <w:rPr>
          <w:rFonts w:ascii="Times New Roman" w:hAnsi="Times New Roman" w:cs="Times New Roman"/>
          <w:i/>
          <w:iCs/>
          <w:noProof/>
          <w:sz w:val="24"/>
          <w:szCs w:val="24"/>
        </w:rPr>
        <w:t>Acta Tropica</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199</w:t>
      </w:r>
      <w:r w:rsidRPr="002C7BAA">
        <w:rPr>
          <w:rFonts w:ascii="Times New Roman" w:hAnsi="Times New Roman" w:cs="Times New Roman"/>
          <w:noProof/>
          <w:sz w:val="24"/>
          <w:szCs w:val="24"/>
        </w:rPr>
        <w:t>(October), 105155. https://doi.org/10.1016/j.actatropica.2019.105155</w:t>
      </w:r>
    </w:p>
    <w:p w14:paraId="353E6A9D"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Azael Che-Mendoza, Pablo Manrique-Saide, Nidia Rizzo, Daniel Pilger, Audrey Lenhart, Axel Kroeger, B. A. (2011). Operational guide for assessing the productivity of Aedes aegypti breeding sites. </w:t>
      </w:r>
      <w:r w:rsidRPr="002C7BAA">
        <w:rPr>
          <w:rFonts w:ascii="Times New Roman" w:hAnsi="Times New Roman" w:cs="Times New Roman"/>
          <w:i/>
          <w:iCs/>
          <w:noProof/>
          <w:sz w:val="24"/>
          <w:szCs w:val="24"/>
        </w:rPr>
        <w:t>World Health Organization</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October</w:t>
      </w:r>
      <w:r w:rsidRPr="002C7BAA">
        <w:rPr>
          <w:rFonts w:ascii="Times New Roman" w:hAnsi="Times New Roman" w:cs="Times New Roman"/>
          <w:noProof/>
          <w:sz w:val="24"/>
          <w:szCs w:val="24"/>
        </w:rPr>
        <w:t>, 1–30. http://www.who.int/tdr/publications/documents/sop-pupal-surveys.pdf</w:t>
      </w:r>
    </w:p>
    <w:p w14:paraId="368CE293"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Banerjee, S., Mohan, S., Saha, N., Mohanty, S. P., Saha, G. K., &amp; Aditya, G. (2015). Pupal productivity &amp;amp; nutrient reserves of Aedes mosquitoes breeding in sewage drains &amp;amp; other habitats of Kolkata, India. </w:t>
      </w:r>
      <w:r w:rsidRPr="002C7BAA">
        <w:rPr>
          <w:rFonts w:ascii="Times New Roman" w:hAnsi="Times New Roman" w:cs="Times New Roman"/>
          <w:i/>
          <w:iCs/>
          <w:noProof/>
          <w:sz w:val="24"/>
          <w:szCs w:val="24"/>
        </w:rPr>
        <w:t>Indian Journal of Medical Research</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142</w:t>
      </w:r>
      <w:r w:rsidRPr="002C7BAA">
        <w:rPr>
          <w:rFonts w:ascii="Times New Roman" w:hAnsi="Times New Roman" w:cs="Times New Roman"/>
          <w:noProof/>
          <w:sz w:val="24"/>
          <w:szCs w:val="24"/>
        </w:rPr>
        <w:t>(Suppl 1), S87–S94. https://doi.org/10.4103/0971-5916.176632</w:t>
      </w:r>
    </w:p>
    <w:p w14:paraId="55DCFD90"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Chadee, D. D., Doon, R., &amp; Severson, D. W. (2007). Surveillance of dengue fever cases using a novel Aedes aegypti population sampling method in Trinidad, West Indies: the cardinal points approach. </w:t>
      </w:r>
      <w:r w:rsidRPr="002C7BAA">
        <w:rPr>
          <w:rFonts w:ascii="Times New Roman" w:hAnsi="Times New Roman" w:cs="Times New Roman"/>
          <w:i/>
          <w:iCs/>
          <w:noProof/>
          <w:sz w:val="24"/>
          <w:szCs w:val="24"/>
        </w:rPr>
        <w:t>Acta Tropica</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104</w:t>
      </w:r>
      <w:r w:rsidRPr="002C7BAA">
        <w:rPr>
          <w:rFonts w:ascii="Times New Roman" w:hAnsi="Times New Roman" w:cs="Times New Roman"/>
          <w:noProof/>
          <w:sz w:val="24"/>
          <w:szCs w:val="24"/>
        </w:rPr>
        <w:t>(1), 1–7. https://doi.org/10.1016/J.ACTATROPICA.2007.06.006</w:t>
      </w:r>
    </w:p>
    <w:p w14:paraId="19F86730"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de Brito Arduino, M. (2014).  Assessment of Aedes aegypti Pupal Productivity during the Dengue Vector Control Program in a Costal Urban Centre of São Paulo State, Brazil . </w:t>
      </w:r>
      <w:r w:rsidRPr="002C7BAA">
        <w:rPr>
          <w:rFonts w:ascii="Times New Roman" w:hAnsi="Times New Roman" w:cs="Times New Roman"/>
          <w:i/>
          <w:iCs/>
          <w:noProof/>
          <w:sz w:val="24"/>
          <w:szCs w:val="24"/>
        </w:rPr>
        <w:t>Journal of Insects</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2014</w:t>
      </w:r>
      <w:r w:rsidRPr="002C7BAA">
        <w:rPr>
          <w:rFonts w:ascii="Times New Roman" w:hAnsi="Times New Roman" w:cs="Times New Roman"/>
          <w:noProof/>
          <w:sz w:val="24"/>
          <w:szCs w:val="24"/>
        </w:rPr>
        <w:t>, 1–9. https://doi.org/10.1155/2014/301083</w:t>
      </w:r>
    </w:p>
    <w:p w14:paraId="699B6929"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Edillo, F. E., Roble, N. D., &amp; Otero, N. D. (2012). The key breeding sites by pupal survey for dengue mosquito vectors, Aedes aegypti (Linnaeus) and Aedes albopictus (Skuse), in Guba, Cebu City, Philippines. </w:t>
      </w:r>
      <w:r w:rsidRPr="002C7BAA">
        <w:rPr>
          <w:rFonts w:ascii="Times New Roman" w:hAnsi="Times New Roman" w:cs="Times New Roman"/>
          <w:i/>
          <w:iCs/>
          <w:noProof/>
          <w:sz w:val="24"/>
          <w:szCs w:val="24"/>
        </w:rPr>
        <w:t>Southeast Asian Journal of Tropical Medicine and Public Health</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43</w:t>
      </w:r>
      <w:r w:rsidRPr="002C7BAA">
        <w:rPr>
          <w:rFonts w:ascii="Times New Roman" w:hAnsi="Times New Roman" w:cs="Times New Roman"/>
          <w:noProof/>
          <w:sz w:val="24"/>
          <w:szCs w:val="24"/>
        </w:rPr>
        <w:t>(6), 1365–1374.</w:t>
      </w:r>
    </w:p>
    <w:p w14:paraId="0A1E4A1A"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Focks, D. A., Alexander, N., Romero-Vivas, C. M., Theresa Midega, J., Bisset, J., Barbazan, P., Sinh Nam, V., &amp; Arredondo-Jiménez, J. I. (2006). </w:t>
      </w:r>
      <w:r w:rsidRPr="002C7BAA">
        <w:rPr>
          <w:rFonts w:ascii="Times New Roman" w:hAnsi="Times New Roman" w:cs="Times New Roman"/>
          <w:i/>
          <w:iCs/>
          <w:noProof/>
          <w:sz w:val="24"/>
          <w:szCs w:val="24"/>
        </w:rPr>
        <w:t>Multicountry study of Aedes aegypti pupal productivity survey methodology: findings and recommendations</w:t>
      </w:r>
      <w:r w:rsidRPr="002C7BAA">
        <w:rPr>
          <w:rFonts w:ascii="Times New Roman" w:hAnsi="Times New Roman" w:cs="Times New Roman"/>
          <w:noProof/>
          <w:sz w:val="24"/>
          <w:szCs w:val="24"/>
        </w:rPr>
        <w:t>. www.inis.ie</w:t>
      </w:r>
    </w:p>
    <w:p w14:paraId="470D72C1"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Getachew, D., Tekie, H., Gebre-Michael, T., Balkew, M., &amp; Mesfin, A. (2015). Breeding sites of aedes aegypti: Potential dengue vectors in dire Dawa, east Ethiopia. </w:t>
      </w:r>
      <w:r w:rsidRPr="002C7BAA">
        <w:rPr>
          <w:rFonts w:ascii="Times New Roman" w:hAnsi="Times New Roman" w:cs="Times New Roman"/>
          <w:i/>
          <w:iCs/>
          <w:noProof/>
          <w:sz w:val="24"/>
          <w:szCs w:val="24"/>
        </w:rPr>
        <w:t>Interdisciplinary Perspectives on Infectious Diseases</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2015</w:t>
      </w:r>
      <w:r w:rsidRPr="002C7BAA">
        <w:rPr>
          <w:rFonts w:ascii="Times New Roman" w:hAnsi="Times New Roman" w:cs="Times New Roman"/>
          <w:noProof/>
          <w:sz w:val="24"/>
          <w:szCs w:val="24"/>
        </w:rPr>
        <w:t>. https://doi.org/10.1155/2015/706276</w:t>
      </w:r>
    </w:p>
    <w:p w14:paraId="69F82F80"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Higa, Y. (2011). Dengue vectors and their spatial distribution. In </w:t>
      </w:r>
      <w:r w:rsidRPr="002C7BAA">
        <w:rPr>
          <w:rFonts w:ascii="Times New Roman" w:hAnsi="Times New Roman" w:cs="Times New Roman"/>
          <w:i/>
          <w:iCs/>
          <w:noProof/>
          <w:sz w:val="24"/>
          <w:szCs w:val="24"/>
        </w:rPr>
        <w:t>Tropical Medicine and Health</w:t>
      </w:r>
      <w:r w:rsidRPr="002C7BAA">
        <w:rPr>
          <w:rFonts w:ascii="Times New Roman" w:hAnsi="Times New Roman" w:cs="Times New Roman"/>
          <w:noProof/>
          <w:sz w:val="24"/>
          <w:szCs w:val="24"/>
        </w:rPr>
        <w:t xml:space="preserve"> (Vol. 39, Issue 4 SUPPL., pp. 17–27). https://doi.org/10.2149/tmh.2011-S04</w:t>
      </w:r>
    </w:p>
    <w:p w14:paraId="71433616"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Jiménez-Alejo, A., Morales-Pérez, A., Nava-Aguilera, E., Flores-Moreno, M., Apreza-Aguilar, S., Carranza-Alcaraz, W., Cortés-Guzmán, A. J., Fernández-Salas, I., Ledogar, R. J., Cockcroft, A., &amp; Andersson, N. (2017). Pupal productivity in rainy and dry seasons: Findings from the impact survey of a randomised controlled trial of dengue prevention in Guerrero, Mexico. </w:t>
      </w:r>
      <w:r w:rsidRPr="002C7BAA">
        <w:rPr>
          <w:rFonts w:ascii="Times New Roman" w:hAnsi="Times New Roman" w:cs="Times New Roman"/>
          <w:i/>
          <w:iCs/>
          <w:noProof/>
          <w:sz w:val="24"/>
          <w:szCs w:val="24"/>
        </w:rPr>
        <w:t>BMC Public Health</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17</w:t>
      </w:r>
      <w:r w:rsidRPr="002C7BAA">
        <w:rPr>
          <w:rFonts w:ascii="Times New Roman" w:hAnsi="Times New Roman" w:cs="Times New Roman"/>
          <w:noProof/>
          <w:sz w:val="24"/>
          <w:szCs w:val="24"/>
        </w:rPr>
        <w:t>(1), 71–78. https://doi.org/10.1186/S12889-017-4294-8/TABLES/5</w:t>
      </w:r>
    </w:p>
    <w:p w14:paraId="3A7EDC1C"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Kumar, R. R., Kamal, S., Patnaik, S. K., &amp; Sharma, R. C. (2002). Breeding habitats and larval indices of Aedes aegypti (L) in residential areas of Rajahmundry town, Andhra Pradesh. </w:t>
      </w:r>
      <w:r w:rsidRPr="002C7BAA">
        <w:rPr>
          <w:rFonts w:ascii="Times New Roman" w:hAnsi="Times New Roman" w:cs="Times New Roman"/>
          <w:i/>
          <w:iCs/>
          <w:noProof/>
          <w:sz w:val="24"/>
          <w:szCs w:val="24"/>
        </w:rPr>
        <w:t>The Journal of Communicable Diseases</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34</w:t>
      </w:r>
      <w:r w:rsidRPr="002C7BAA">
        <w:rPr>
          <w:rFonts w:ascii="Times New Roman" w:hAnsi="Times New Roman" w:cs="Times New Roman"/>
          <w:noProof/>
          <w:sz w:val="24"/>
          <w:szCs w:val="24"/>
        </w:rPr>
        <w:t>(1), 50–58. http://www.ncbi.nlm.nih.gov/pubmed/12718342</w:t>
      </w:r>
    </w:p>
    <w:p w14:paraId="2FCEEA3A"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Lenhart, A. E., Castillo, C. E., Oviedo, M., &amp; Villegas, E. (2006). Use of the pupal/demographic-survey technique to identify the epidemiologically important types of containers producing Aedes </w:t>
      </w:r>
      <w:r w:rsidRPr="002C7BAA">
        <w:rPr>
          <w:rFonts w:ascii="Times New Roman" w:hAnsi="Times New Roman" w:cs="Times New Roman"/>
          <w:noProof/>
          <w:sz w:val="24"/>
          <w:szCs w:val="24"/>
        </w:rPr>
        <w:lastRenderedPageBreak/>
        <w:t xml:space="preserve">aegypti (L.) in a dengue-endemic area of Venezuela. </w:t>
      </w:r>
      <w:r w:rsidRPr="002C7BAA">
        <w:rPr>
          <w:rFonts w:ascii="Times New Roman" w:hAnsi="Times New Roman" w:cs="Times New Roman"/>
          <w:i/>
          <w:iCs/>
          <w:noProof/>
          <w:sz w:val="24"/>
          <w:szCs w:val="24"/>
        </w:rPr>
        <w:t>Annals of Tropical Medicine and Parasitology</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100</w:t>
      </w:r>
      <w:r w:rsidRPr="002C7BAA">
        <w:rPr>
          <w:rFonts w:ascii="Times New Roman" w:hAnsi="Times New Roman" w:cs="Times New Roman"/>
          <w:noProof/>
          <w:sz w:val="24"/>
          <w:szCs w:val="24"/>
        </w:rPr>
        <w:t>(SUPPL. 1). https://doi.org/10.1179/136485906X105516</w:t>
      </w:r>
    </w:p>
    <w:p w14:paraId="2FFC748F"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Liyanage, P., Tozan, Y., Tissera, H. A., Overgaard, H. J., &amp; Rocklöv, J. (2022). Assessing the associations between Aedes larval indices and dengue risk in Kalutara district, Sri Lanka: a hierarchical time series analysis from 2010 to 2019. </w:t>
      </w:r>
      <w:r w:rsidRPr="002C7BAA">
        <w:rPr>
          <w:rFonts w:ascii="Times New Roman" w:hAnsi="Times New Roman" w:cs="Times New Roman"/>
          <w:i/>
          <w:iCs/>
          <w:noProof/>
          <w:sz w:val="24"/>
          <w:szCs w:val="24"/>
        </w:rPr>
        <w:t>Parasites and Vectors</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15</w:t>
      </w:r>
      <w:r w:rsidRPr="002C7BAA">
        <w:rPr>
          <w:rFonts w:ascii="Times New Roman" w:hAnsi="Times New Roman" w:cs="Times New Roman"/>
          <w:noProof/>
          <w:sz w:val="24"/>
          <w:szCs w:val="24"/>
        </w:rPr>
        <w:t>(1), 1–15. https://doi.org/10.1186/s13071-022-05377-6</w:t>
      </w:r>
    </w:p>
    <w:p w14:paraId="0310625A"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Morales-Pé Rez Id, A., Nava-Aguilera, E., Herná Ndez-Alvarez, C., Alvarado-Castro, M., Arosteguí, J., Legorreta-Soberanis, J., Flores-Moreno, M., Morales-Nava, L., Harris, E., Ledogar, R. J., Andersson, N., &amp; Cockcroft, A. (n.d.). </w:t>
      </w:r>
      <w:r w:rsidRPr="002C7BAA">
        <w:rPr>
          <w:rFonts w:ascii="Times New Roman" w:hAnsi="Times New Roman" w:cs="Times New Roman"/>
          <w:i/>
          <w:iCs/>
          <w:noProof/>
          <w:sz w:val="24"/>
          <w:szCs w:val="24"/>
        </w:rPr>
        <w:t>Utility of entomological indices for predicting transmission of dengue virus: secondary analysis of data from the Camino Verde trial in Mexico and Nicaragua</w:t>
      </w:r>
      <w:r w:rsidRPr="002C7BAA">
        <w:rPr>
          <w:rFonts w:ascii="Times New Roman" w:hAnsi="Times New Roman" w:cs="Times New Roman"/>
          <w:noProof/>
          <w:sz w:val="24"/>
          <w:szCs w:val="24"/>
        </w:rPr>
        <w:t>. https://doi.org/10.1371/journal.pntd.0008768</w:t>
      </w:r>
    </w:p>
    <w:p w14:paraId="2699C65A"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Mwakutwaa, A. S., Ngugi, H. N., Ndenga, B. A., Krystosik, A., Ngari, M., Abubakar, L. U., Yonge, S., Kitron, U., LaBeaud, A. D., &amp; Mutuku, F. M. (2023). Pupal productivity of larval habitats of Aedes aegypti in Msambweni, Kwale County, Kenya. </w:t>
      </w:r>
      <w:r w:rsidRPr="002C7BAA">
        <w:rPr>
          <w:rFonts w:ascii="Times New Roman" w:hAnsi="Times New Roman" w:cs="Times New Roman"/>
          <w:i/>
          <w:iCs/>
          <w:noProof/>
          <w:sz w:val="24"/>
          <w:szCs w:val="24"/>
        </w:rPr>
        <w:t>Parasitology Research</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122</w:t>
      </w:r>
      <w:r w:rsidRPr="002C7BAA">
        <w:rPr>
          <w:rFonts w:ascii="Times New Roman" w:hAnsi="Times New Roman" w:cs="Times New Roman"/>
          <w:noProof/>
          <w:sz w:val="24"/>
          <w:szCs w:val="24"/>
        </w:rPr>
        <w:t>(3), 801–814. https://doi.org/10.1007/s00436-022-07777-0</w:t>
      </w:r>
    </w:p>
    <w:p w14:paraId="745B3240"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Nathan, M. B., Focks, D. A., &amp; Kroeger, A. (2006). Pupal/demographic surveys to inform dengue-vector control. </w:t>
      </w:r>
      <w:r w:rsidRPr="002C7BAA">
        <w:rPr>
          <w:rFonts w:ascii="Times New Roman" w:hAnsi="Times New Roman" w:cs="Times New Roman"/>
          <w:i/>
          <w:iCs/>
          <w:noProof/>
          <w:sz w:val="24"/>
          <w:szCs w:val="24"/>
        </w:rPr>
        <w:t>Annals of Tropical Medicine and Parasitology</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100</w:t>
      </w:r>
      <w:r w:rsidRPr="002C7BAA">
        <w:rPr>
          <w:rFonts w:ascii="Times New Roman" w:hAnsi="Times New Roman" w:cs="Times New Roman"/>
          <w:noProof/>
          <w:sz w:val="24"/>
          <w:szCs w:val="24"/>
        </w:rPr>
        <w:t>(SUPPL. 1). https://doi.org/10.1179/136485906X105462</w:t>
      </w:r>
    </w:p>
    <w:p w14:paraId="69A3C3FF"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Padonou, G. G., Hoyochi, I., Sovi, A., Konkon, A. K., Zoungbédji, D. M., Salako, A. S., Adoha, C. J., Fassinou, A., Koukpo, C. Z., Chitou, S., Nwangwu, U., Yadouleton, A., Baba-Moussa, L., Akogbéto, M. C., Padonou, G. G., Hoyochi, I., Sovi, A., Konkon, A. K., Zoungbédji, D. M., … Akogbéto, M. C. (2025). Diversity of Aedes Mosquito Breeding Sites and the Epidemic Risk of Arboviral Diseases in Benin. </w:t>
      </w:r>
      <w:r w:rsidRPr="002C7BAA">
        <w:rPr>
          <w:rFonts w:ascii="Times New Roman" w:hAnsi="Times New Roman" w:cs="Times New Roman"/>
          <w:i/>
          <w:iCs/>
          <w:noProof/>
          <w:sz w:val="24"/>
          <w:szCs w:val="24"/>
        </w:rPr>
        <w:t>Insects 2025, Vol. 16,</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16</w:t>
      </w:r>
      <w:r w:rsidRPr="002C7BAA">
        <w:rPr>
          <w:rFonts w:ascii="Times New Roman" w:hAnsi="Times New Roman" w:cs="Times New Roman"/>
          <w:noProof/>
          <w:sz w:val="24"/>
          <w:szCs w:val="24"/>
        </w:rPr>
        <w:t>(12), 1215. https://doi.org/10.3390/INSECTS16121215</w:t>
      </w:r>
    </w:p>
    <w:p w14:paraId="4AA30C7D"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Paul, R., Valecha, N., &amp; Telle, O. (2015). Comparison of Ae. aegypti breeding in localities of different socio-economic groups of Delhi, India. </w:t>
      </w:r>
      <w:r w:rsidRPr="002C7BAA">
        <w:rPr>
          <w:rFonts w:ascii="Times New Roman" w:hAnsi="Times New Roman" w:cs="Times New Roman"/>
          <w:i/>
          <w:iCs/>
          <w:noProof/>
          <w:sz w:val="24"/>
          <w:szCs w:val="24"/>
        </w:rPr>
        <w:t>International Journal of Mosquito Research</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2</w:t>
      </w:r>
      <w:r w:rsidRPr="002C7BAA">
        <w:rPr>
          <w:rFonts w:ascii="Times New Roman" w:hAnsi="Times New Roman" w:cs="Times New Roman"/>
          <w:noProof/>
          <w:sz w:val="24"/>
          <w:szCs w:val="24"/>
        </w:rPr>
        <w:t>(3), 83–88.</w:t>
      </w:r>
    </w:p>
    <w:p w14:paraId="6C23051A"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Schaffner, F., &amp; Mathis, A. (2014). Dengue and dengue vectors in the WHO European region: past, present, and scenarios for the future. </w:t>
      </w:r>
      <w:r w:rsidRPr="002C7BAA">
        <w:rPr>
          <w:rFonts w:ascii="Times New Roman" w:hAnsi="Times New Roman" w:cs="Times New Roman"/>
          <w:i/>
          <w:iCs/>
          <w:noProof/>
          <w:sz w:val="24"/>
          <w:szCs w:val="24"/>
        </w:rPr>
        <w:t>The Lancet Infectious Diseases</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14</w:t>
      </w:r>
      <w:r w:rsidRPr="002C7BAA">
        <w:rPr>
          <w:rFonts w:ascii="Times New Roman" w:hAnsi="Times New Roman" w:cs="Times New Roman"/>
          <w:noProof/>
          <w:sz w:val="24"/>
          <w:szCs w:val="24"/>
        </w:rPr>
        <w:t>(12), 1271–1280. https://doi.org/10.1016/S1473-3099(14)70834-5</w:t>
      </w:r>
    </w:p>
    <w:p w14:paraId="1687B3A7"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Sirisena, P. D. N. N., &amp; Noordeen, F. (2014). Evolution of dengue in Sri Lanka—changes in the virus, vector, and climate. </w:t>
      </w:r>
      <w:r w:rsidRPr="002C7BAA">
        <w:rPr>
          <w:rFonts w:ascii="Times New Roman" w:hAnsi="Times New Roman" w:cs="Times New Roman"/>
          <w:i/>
          <w:iCs/>
          <w:noProof/>
          <w:sz w:val="24"/>
          <w:szCs w:val="24"/>
        </w:rPr>
        <w:t>International Journal of Infectious Diseases</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19</w:t>
      </w:r>
      <w:r w:rsidRPr="002C7BAA">
        <w:rPr>
          <w:rFonts w:ascii="Times New Roman" w:hAnsi="Times New Roman" w:cs="Times New Roman"/>
          <w:noProof/>
          <w:sz w:val="24"/>
          <w:szCs w:val="24"/>
        </w:rPr>
        <w:t>(1), 6–12. https://doi.org/10.1016/J.IJID.2013.10.012</w:t>
      </w:r>
    </w:p>
    <w:p w14:paraId="6F03D539"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WHO. (2009). </w:t>
      </w:r>
      <w:r w:rsidRPr="002C7BAA">
        <w:rPr>
          <w:rFonts w:ascii="Times New Roman" w:hAnsi="Times New Roman" w:cs="Times New Roman"/>
          <w:i/>
          <w:iCs/>
          <w:noProof/>
          <w:sz w:val="24"/>
          <w:szCs w:val="24"/>
        </w:rPr>
        <w:t>DENGUE GUIDELINES FOR DIAGNOSIS, TREATMENT, PREVENTION AND CONTROL</w:t>
      </w:r>
      <w:r w:rsidRPr="002C7BAA">
        <w:rPr>
          <w:rFonts w:ascii="Times New Roman" w:hAnsi="Times New Roman" w:cs="Times New Roman"/>
          <w:noProof/>
          <w:sz w:val="24"/>
          <w:szCs w:val="24"/>
        </w:rPr>
        <w:t>. https://apps.who.int/iris/bitstream/handle/10665/44188/9789241547871_eng.pdf?sequence=1&amp;isAllowed=y</w:t>
      </w:r>
    </w:p>
    <w:p w14:paraId="0117D775"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Wilson-Bahun, T. A., Kamgang, B., Lenga, A., &amp; Wondji, C. S. (2020). Larval ecology and infestation indices of two major arbovirus vectors, Aedes aegypti and Aedes albopictus (Diptera: Culicidae), in Brazzaville, the capital city of the Republic of the Congo. </w:t>
      </w:r>
      <w:r w:rsidRPr="002C7BAA">
        <w:rPr>
          <w:rFonts w:ascii="Times New Roman" w:hAnsi="Times New Roman" w:cs="Times New Roman"/>
          <w:i/>
          <w:iCs/>
          <w:noProof/>
          <w:sz w:val="24"/>
          <w:szCs w:val="24"/>
        </w:rPr>
        <w:t>Parasites and Vectors</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13</w:t>
      </w:r>
      <w:r w:rsidRPr="002C7BAA">
        <w:rPr>
          <w:rFonts w:ascii="Times New Roman" w:hAnsi="Times New Roman" w:cs="Times New Roman"/>
          <w:noProof/>
          <w:sz w:val="24"/>
          <w:szCs w:val="24"/>
        </w:rPr>
        <w:t>(1). https://doi.org/10.1186/S13071-020-04374-X</w:t>
      </w:r>
    </w:p>
    <w:p w14:paraId="0AB15EC7"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rPr>
      </w:pPr>
      <w:r w:rsidRPr="002C7BAA">
        <w:rPr>
          <w:rFonts w:ascii="Times New Roman" w:hAnsi="Times New Roman" w:cs="Times New Roman"/>
          <w:noProof/>
          <w:sz w:val="24"/>
          <w:szCs w:val="24"/>
        </w:rPr>
        <w:t xml:space="preserve">Withanage, G. P., Hapuarachchi, H. C., Viswakula, S. D., Nilmini, Y. I., Gunawardena, S., &amp; Hapugodaid, M. (2020). </w:t>
      </w:r>
      <w:r w:rsidRPr="002C7BAA">
        <w:rPr>
          <w:rFonts w:ascii="Times New Roman" w:hAnsi="Times New Roman" w:cs="Times New Roman"/>
          <w:i/>
          <w:iCs/>
          <w:noProof/>
          <w:sz w:val="24"/>
          <w:szCs w:val="24"/>
        </w:rPr>
        <w:t>Entomological surveillance with viral tracking demonstrates a migrated viral strain caused dengue epidemic in July, 2017 in Sri Lanka</w:t>
      </w:r>
      <w:r w:rsidRPr="002C7BAA">
        <w:rPr>
          <w:rFonts w:ascii="Times New Roman" w:hAnsi="Times New Roman" w:cs="Times New Roman"/>
          <w:noProof/>
          <w:sz w:val="24"/>
          <w:szCs w:val="24"/>
        </w:rPr>
        <w:t>. https://doi.org/10.1371/journal.pone.0231408</w:t>
      </w:r>
    </w:p>
    <w:p w14:paraId="0B96410E" w14:textId="7BA5464A" w:rsidR="00F05E78" w:rsidRPr="00E23393" w:rsidRDefault="00E23393" w:rsidP="00E23393">
      <w:pPr>
        <w:spacing w:after="0" w:line="240" w:lineRule="auto"/>
        <w:jc w:val="both"/>
        <w:rPr>
          <w:rFonts w:ascii="Times New Roman" w:hAnsi="Times New Roman" w:cs="Times New Roman"/>
          <w:sz w:val="24"/>
          <w:szCs w:val="24"/>
        </w:rPr>
      </w:pPr>
      <w:r w:rsidRPr="00E23393">
        <w:rPr>
          <w:rFonts w:ascii="Times New Roman" w:hAnsi="Times New Roman" w:cs="Times New Roman"/>
          <w:sz w:val="24"/>
          <w:szCs w:val="24"/>
        </w:rPr>
        <w:fldChar w:fldCharType="end"/>
      </w:r>
    </w:p>
    <w:sectPr w:rsidR="00F05E78" w:rsidRPr="00E23393" w:rsidSect="00276D76">
      <w:footerReference w:type="default" r:id="rId13"/>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F690" w14:textId="77777777" w:rsidR="001B58DE" w:rsidRDefault="001B58DE" w:rsidP="009079AC">
      <w:pPr>
        <w:spacing w:after="0" w:line="240" w:lineRule="auto"/>
      </w:pPr>
      <w:r>
        <w:separator/>
      </w:r>
    </w:p>
  </w:endnote>
  <w:endnote w:type="continuationSeparator" w:id="0">
    <w:p w14:paraId="38343E15" w14:textId="77777777" w:rsidR="001B58DE" w:rsidRDefault="001B58DE" w:rsidP="0090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77260"/>
      <w:docPartObj>
        <w:docPartGallery w:val="Page Numbers (Bottom of Page)"/>
        <w:docPartUnique/>
      </w:docPartObj>
    </w:sdtPr>
    <w:sdtEndPr>
      <w:rPr>
        <w:noProof/>
      </w:rPr>
    </w:sdtEndPr>
    <w:sdtContent>
      <w:p w14:paraId="4620E838" w14:textId="56C28084" w:rsidR="0016220C" w:rsidRDefault="0016220C">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3844A8E4" w14:textId="77777777" w:rsidR="0016220C" w:rsidRDefault="00162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BC70" w14:textId="77777777" w:rsidR="001B58DE" w:rsidRDefault="001B58DE" w:rsidP="009079AC">
      <w:pPr>
        <w:spacing w:after="0" w:line="240" w:lineRule="auto"/>
      </w:pPr>
      <w:r>
        <w:separator/>
      </w:r>
    </w:p>
  </w:footnote>
  <w:footnote w:type="continuationSeparator" w:id="0">
    <w:p w14:paraId="79709328" w14:textId="77777777" w:rsidR="001B58DE" w:rsidRDefault="001B58DE" w:rsidP="00907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245"/>
    <w:multiLevelType w:val="hybridMultilevel"/>
    <w:tmpl w:val="13946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C1F6C"/>
    <w:multiLevelType w:val="multilevel"/>
    <w:tmpl w:val="616E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91DD8"/>
    <w:multiLevelType w:val="multilevel"/>
    <w:tmpl w:val="3218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E189B"/>
    <w:multiLevelType w:val="multilevel"/>
    <w:tmpl w:val="4A26E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974149"/>
    <w:multiLevelType w:val="multilevel"/>
    <w:tmpl w:val="AC5C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26A8B"/>
    <w:multiLevelType w:val="hybridMultilevel"/>
    <w:tmpl w:val="67E67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F94C28"/>
    <w:multiLevelType w:val="hybridMultilevel"/>
    <w:tmpl w:val="CF08E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276522">
    <w:abstractNumId w:val="4"/>
  </w:num>
  <w:num w:numId="2" w16cid:durableId="485324072">
    <w:abstractNumId w:val="2"/>
  </w:num>
  <w:num w:numId="3" w16cid:durableId="1118448204">
    <w:abstractNumId w:val="1"/>
  </w:num>
  <w:num w:numId="4" w16cid:durableId="2099935454">
    <w:abstractNumId w:val="3"/>
  </w:num>
  <w:num w:numId="5" w16cid:durableId="22092806">
    <w:abstractNumId w:val="0"/>
  </w:num>
  <w:num w:numId="6" w16cid:durableId="427624156">
    <w:abstractNumId w:val="6"/>
  </w:num>
  <w:num w:numId="7" w16cid:durableId="499547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660"/>
    <w:rsid w:val="00003445"/>
    <w:rsid w:val="00003D15"/>
    <w:rsid w:val="000040AA"/>
    <w:rsid w:val="00017DC5"/>
    <w:rsid w:val="00020153"/>
    <w:rsid w:val="00027982"/>
    <w:rsid w:val="000314CF"/>
    <w:rsid w:val="000335A6"/>
    <w:rsid w:val="00035635"/>
    <w:rsid w:val="00042032"/>
    <w:rsid w:val="000529C1"/>
    <w:rsid w:val="0005586F"/>
    <w:rsid w:val="0006148E"/>
    <w:rsid w:val="0006606C"/>
    <w:rsid w:val="00081814"/>
    <w:rsid w:val="00087529"/>
    <w:rsid w:val="00096BB4"/>
    <w:rsid w:val="000976F9"/>
    <w:rsid w:val="000B6BB2"/>
    <w:rsid w:val="000D2673"/>
    <w:rsid w:val="000E5882"/>
    <w:rsid w:val="000F7930"/>
    <w:rsid w:val="00101AED"/>
    <w:rsid w:val="001029B4"/>
    <w:rsid w:val="001077E9"/>
    <w:rsid w:val="00110A6D"/>
    <w:rsid w:val="00112D12"/>
    <w:rsid w:val="001219CE"/>
    <w:rsid w:val="0012388F"/>
    <w:rsid w:val="00144177"/>
    <w:rsid w:val="0015197A"/>
    <w:rsid w:val="00151C32"/>
    <w:rsid w:val="0015347D"/>
    <w:rsid w:val="00154BB7"/>
    <w:rsid w:val="00155473"/>
    <w:rsid w:val="0016220C"/>
    <w:rsid w:val="00175798"/>
    <w:rsid w:val="001840C6"/>
    <w:rsid w:val="0018529D"/>
    <w:rsid w:val="0019013E"/>
    <w:rsid w:val="001967D7"/>
    <w:rsid w:val="001A5437"/>
    <w:rsid w:val="001B35E1"/>
    <w:rsid w:val="001B58DE"/>
    <w:rsid w:val="001C07AD"/>
    <w:rsid w:val="001D421E"/>
    <w:rsid w:val="001D444A"/>
    <w:rsid w:val="001E065A"/>
    <w:rsid w:val="002018EA"/>
    <w:rsid w:val="00205FFF"/>
    <w:rsid w:val="0021486E"/>
    <w:rsid w:val="00215579"/>
    <w:rsid w:val="002228D6"/>
    <w:rsid w:val="002268F8"/>
    <w:rsid w:val="002270BA"/>
    <w:rsid w:val="00227C06"/>
    <w:rsid w:val="00230ABA"/>
    <w:rsid w:val="00232B1D"/>
    <w:rsid w:val="00234F53"/>
    <w:rsid w:val="002441C5"/>
    <w:rsid w:val="002445BC"/>
    <w:rsid w:val="0024506B"/>
    <w:rsid w:val="0024540D"/>
    <w:rsid w:val="00254F2C"/>
    <w:rsid w:val="002648EE"/>
    <w:rsid w:val="00265C2A"/>
    <w:rsid w:val="00270DF4"/>
    <w:rsid w:val="002738CA"/>
    <w:rsid w:val="00276D76"/>
    <w:rsid w:val="002835E9"/>
    <w:rsid w:val="00285407"/>
    <w:rsid w:val="002A0403"/>
    <w:rsid w:val="002A4F79"/>
    <w:rsid w:val="002A547D"/>
    <w:rsid w:val="002A66C7"/>
    <w:rsid w:val="002A6D0D"/>
    <w:rsid w:val="002B19BD"/>
    <w:rsid w:val="002C577A"/>
    <w:rsid w:val="002C6B3F"/>
    <w:rsid w:val="002C7BAA"/>
    <w:rsid w:val="002D256C"/>
    <w:rsid w:val="002D2EEF"/>
    <w:rsid w:val="002D319F"/>
    <w:rsid w:val="002D5719"/>
    <w:rsid w:val="002F3DB5"/>
    <w:rsid w:val="002F4019"/>
    <w:rsid w:val="002F707A"/>
    <w:rsid w:val="003079F9"/>
    <w:rsid w:val="00307C41"/>
    <w:rsid w:val="00312E1E"/>
    <w:rsid w:val="00316138"/>
    <w:rsid w:val="00317685"/>
    <w:rsid w:val="00333F8F"/>
    <w:rsid w:val="00334862"/>
    <w:rsid w:val="00334F66"/>
    <w:rsid w:val="00351F59"/>
    <w:rsid w:val="0035654F"/>
    <w:rsid w:val="00365A05"/>
    <w:rsid w:val="00366235"/>
    <w:rsid w:val="0036638A"/>
    <w:rsid w:val="0036681A"/>
    <w:rsid w:val="003746CF"/>
    <w:rsid w:val="00376340"/>
    <w:rsid w:val="003819FF"/>
    <w:rsid w:val="00381FD2"/>
    <w:rsid w:val="00382DA1"/>
    <w:rsid w:val="00382FA4"/>
    <w:rsid w:val="0038373D"/>
    <w:rsid w:val="00383DCF"/>
    <w:rsid w:val="00390534"/>
    <w:rsid w:val="00390649"/>
    <w:rsid w:val="00391609"/>
    <w:rsid w:val="003944E1"/>
    <w:rsid w:val="003A0B3F"/>
    <w:rsid w:val="003A4899"/>
    <w:rsid w:val="003A5489"/>
    <w:rsid w:val="003A5C5B"/>
    <w:rsid w:val="003B2383"/>
    <w:rsid w:val="003B6E09"/>
    <w:rsid w:val="003C58D0"/>
    <w:rsid w:val="003D2EFB"/>
    <w:rsid w:val="003D6B02"/>
    <w:rsid w:val="003E0741"/>
    <w:rsid w:val="003E3436"/>
    <w:rsid w:val="004005A9"/>
    <w:rsid w:val="00405AE6"/>
    <w:rsid w:val="00406CCD"/>
    <w:rsid w:val="00420166"/>
    <w:rsid w:val="00421413"/>
    <w:rsid w:val="00421ABF"/>
    <w:rsid w:val="00422279"/>
    <w:rsid w:val="00427761"/>
    <w:rsid w:val="00427BE6"/>
    <w:rsid w:val="00431664"/>
    <w:rsid w:val="00433128"/>
    <w:rsid w:val="00435C62"/>
    <w:rsid w:val="0043781D"/>
    <w:rsid w:val="004412A0"/>
    <w:rsid w:val="00451434"/>
    <w:rsid w:val="00451957"/>
    <w:rsid w:val="00454AF6"/>
    <w:rsid w:val="00455B6F"/>
    <w:rsid w:val="004605B3"/>
    <w:rsid w:val="00462B2B"/>
    <w:rsid w:val="00471A18"/>
    <w:rsid w:val="00476774"/>
    <w:rsid w:val="00487EB4"/>
    <w:rsid w:val="0049340C"/>
    <w:rsid w:val="00494A4E"/>
    <w:rsid w:val="00494C3E"/>
    <w:rsid w:val="00495FDF"/>
    <w:rsid w:val="004A20CA"/>
    <w:rsid w:val="004A4BD9"/>
    <w:rsid w:val="004B2874"/>
    <w:rsid w:val="004B6ACB"/>
    <w:rsid w:val="004B7C3E"/>
    <w:rsid w:val="004C36FC"/>
    <w:rsid w:val="004C3C07"/>
    <w:rsid w:val="004C6BE0"/>
    <w:rsid w:val="004D19C8"/>
    <w:rsid w:val="004D716F"/>
    <w:rsid w:val="004D73BD"/>
    <w:rsid w:val="004E361B"/>
    <w:rsid w:val="004E3902"/>
    <w:rsid w:val="004E7409"/>
    <w:rsid w:val="004F01B3"/>
    <w:rsid w:val="004F3E42"/>
    <w:rsid w:val="004F6990"/>
    <w:rsid w:val="004F6D45"/>
    <w:rsid w:val="005019EC"/>
    <w:rsid w:val="00501F9B"/>
    <w:rsid w:val="00503B67"/>
    <w:rsid w:val="00511C2F"/>
    <w:rsid w:val="005226EF"/>
    <w:rsid w:val="0052275D"/>
    <w:rsid w:val="00522791"/>
    <w:rsid w:val="00522D7A"/>
    <w:rsid w:val="00523A14"/>
    <w:rsid w:val="00523A50"/>
    <w:rsid w:val="00524F40"/>
    <w:rsid w:val="005265B1"/>
    <w:rsid w:val="00530F88"/>
    <w:rsid w:val="005331AF"/>
    <w:rsid w:val="00544021"/>
    <w:rsid w:val="00544CBD"/>
    <w:rsid w:val="00546DF9"/>
    <w:rsid w:val="00550BED"/>
    <w:rsid w:val="00557C76"/>
    <w:rsid w:val="00561E53"/>
    <w:rsid w:val="00562EC1"/>
    <w:rsid w:val="00567CA9"/>
    <w:rsid w:val="00576E48"/>
    <w:rsid w:val="00584F61"/>
    <w:rsid w:val="00593033"/>
    <w:rsid w:val="00597421"/>
    <w:rsid w:val="005A312A"/>
    <w:rsid w:val="005A38F4"/>
    <w:rsid w:val="005A6883"/>
    <w:rsid w:val="005B18C5"/>
    <w:rsid w:val="005B5906"/>
    <w:rsid w:val="005B7BD5"/>
    <w:rsid w:val="005C5FF5"/>
    <w:rsid w:val="005C67A3"/>
    <w:rsid w:val="005C78F3"/>
    <w:rsid w:val="005D185F"/>
    <w:rsid w:val="005D517A"/>
    <w:rsid w:val="005E26B8"/>
    <w:rsid w:val="005E2CC4"/>
    <w:rsid w:val="005E3A27"/>
    <w:rsid w:val="005F570D"/>
    <w:rsid w:val="0060586B"/>
    <w:rsid w:val="00617D94"/>
    <w:rsid w:val="00620325"/>
    <w:rsid w:val="006250D5"/>
    <w:rsid w:val="00626EAA"/>
    <w:rsid w:val="00630F94"/>
    <w:rsid w:val="00633E4C"/>
    <w:rsid w:val="00642B3B"/>
    <w:rsid w:val="00645375"/>
    <w:rsid w:val="00652D87"/>
    <w:rsid w:val="006536B0"/>
    <w:rsid w:val="006547D6"/>
    <w:rsid w:val="0065493A"/>
    <w:rsid w:val="006705D8"/>
    <w:rsid w:val="0067123F"/>
    <w:rsid w:val="00676B0F"/>
    <w:rsid w:val="0068144D"/>
    <w:rsid w:val="00697F57"/>
    <w:rsid w:val="006A3D25"/>
    <w:rsid w:val="006B170C"/>
    <w:rsid w:val="006B2604"/>
    <w:rsid w:val="006C32E5"/>
    <w:rsid w:val="006D2590"/>
    <w:rsid w:val="006D2C02"/>
    <w:rsid w:val="006D485A"/>
    <w:rsid w:val="006E1079"/>
    <w:rsid w:val="006E367C"/>
    <w:rsid w:val="006F361A"/>
    <w:rsid w:val="006F768F"/>
    <w:rsid w:val="007000E8"/>
    <w:rsid w:val="0070082C"/>
    <w:rsid w:val="00703B51"/>
    <w:rsid w:val="00722AA2"/>
    <w:rsid w:val="00724E1C"/>
    <w:rsid w:val="00727A23"/>
    <w:rsid w:val="007453AE"/>
    <w:rsid w:val="00745B76"/>
    <w:rsid w:val="007476E0"/>
    <w:rsid w:val="00747C8F"/>
    <w:rsid w:val="00760450"/>
    <w:rsid w:val="00760EE9"/>
    <w:rsid w:val="00764CBF"/>
    <w:rsid w:val="00772353"/>
    <w:rsid w:val="00772BE7"/>
    <w:rsid w:val="00773972"/>
    <w:rsid w:val="0077640A"/>
    <w:rsid w:val="00780136"/>
    <w:rsid w:val="0079075A"/>
    <w:rsid w:val="007913C1"/>
    <w:rsid w:val="00796D39"/>
    <w:rsid w:val="00797EA5"/>
    <w:rsid w:val="007A0E3D"/>
    <w:rsid w:val="007A2D5F"/>
    <w:rsid w:val="007A7C32"/>
    <w:rsid w:val="007B03FB"/>
    <w:rsid w:val="007B42B4"/>
    <w:rsid w:val="007B703E"/>
    <w:rsid w:val="007D1F0E"/>
    <w:rsid w:val="007D3FF7"/>
    <w:rsid w:val="007E0471"/>
    <w:rsid w:val="007E0B7D"/>
    <w:rsid w:val="008265D1"/>
    <w:rsid w:val="00854409"/>
    <w:rsid w:val="008565FB"/>
    <w:rsid w:val="00857476"/>
    <w:rsid w:val="00861A78"/>
    <w:rsid w:val="00861C5C"/>
    <w:rsid w:val="00864C0A"/>
    <w:rsid w:val="0087169E"/>
    <w:rsid w:val="00894545"/>
    <w:rsid w:val="008966F6"/>
    <w:rsid w:val="008A07D7"/>
    <w:rsid w:val="008A1DE5"/>
    <w:rsid w:val="008A41FB"/>
    <w:rsid w:val="008A7799"/>
    <w:rsid w:val="008B1B1A"/>
    <w:rsid w:val="008B345B"/>
    <w:rsid w:val="008B71D9"/>
    <w:rsid w:val="008B7814"/>
    <w:rsid w:val="008B7DBE"/>
    <w:rsid w:val="008C2F8D"/>
    <w:rsid w:val="008C5127"/>
    <w:rsid w:val="008C6BF3"/>
    <w:rsid w:val="008D1CBE"/>
    <w:rsid w:val="008D5285"/>
    <w:rsid w:val="008D7DFB"/>
    <w:rsid w:val="008E09BB"/>
    <w:rsid w:val="008E0EEA"/>
    <w:rsid w:val="008E1CC4"/>
    <w:rsid w:val="008E258B"/>
    <w:rsid w:val="008E58C5"/>
    <w:rsid w:val="008F1C18"/>
    <w:rsid w:val="009079AC"/>
    <w:rsid w:val="0091063E"/>
    <w:rsid w:val="009119B6"/>
    <w:rsid w:val="00916C65"/>
    <w:rsid w:val="0091722C"/>
    <w:rsid w:val="009233AE"/>
    <w:rsid w:val="00923624"/>
    <w:rsid w:val="00923AA2"/>
    <w:rsid w:val="0094615E"/>
    <w:rsid w:val="00946354"/>
    <w:rsid w:val="00957655"/>
    <w:rsid w:val="00962CFB"/>
    <w:rsid w:val="009648EA"/>
    <w:rsid w:val="00966796"/>
    <w:rsid w:val="0096700C"/>
    <w:rsid w:val="0097242B"/>
    <w:rsid w:val="00975FD6"/>
    <w:rsid w:val="0097664F"/>
    <w:rsid w:val="00980060"/>
    <w:rsid w:val="00980355"/>
    <w:rsid w:val="00990899"/>
    <w:rsid w:val="009960E7"/>
    <w:rsid w:val="009964C9"/>
    <w:rsid w:val="009A0C10"/>
    <w:rsid w:val="009A30FD"/>
    <w:rsid w:val="009C6852"/>
    <w:rsid w:val="009D03E3"/>
    <w:rsid w:val="009D43FE"/>
    <w:rsid w:val="009E1F7D"/>
    <w:rsid w:val="009F137B"/>
    <w:rsid w:val="009F1765"/>
    <w:rsid w:val="009F208C"/>
    <w:rsid w:val="00A01117"/>
    <w:rsid w:val="00A0267D"/>
    <w:rsid w:val="00A06736"/>
    <w:rsid w:val="00A105C1"/>
    <w:rsid w:val="00A112B5"/>
    <w:rsid w:val="00A11C76"/>
    <w:rsid w:val="00A133CC"/>
    <w:rsid w:val="00A17D7D"/>
    <w:rsid w:val="00A22F4A"/>
    <w:rsid w:val="00A260EA"/>
    <w:rsid w:val="00A32EAA"/>
    <w:rsid w:val="00A35EB0"/>
    <w:rsid w:val="00A41050"/>
    <w:rsid w:val="00A443A6"/>
    <w:rsid w:val="00A52E9D"/>
    <w:rsid w:val="00A65666"/>
    <w:rsid w:val="00A66AB3"/>
    <w:rsid w:val="00A71F6B"/>
    <w:rsid w:val="00A81270"/>
    <w:rsid w:val="00A82B22"/>
    <w:rsid w:val="00A841A1"/>
    <w:rsid w:val="00A8435D"/>
    <w:rsid w:val="00A87D64"/>
    <w:rsid w:val="00A90005"/>
    <w:rsid w:val="00A91DEB"/>
    <w:rsid w:val="00A941F9"/>
    <w:rsid w:val="00A9488C"/>
    <w:rsid w:val="00AA5E94"/>
    <w:rsid w:val="00AA70DF"/>
    <w:rsid w:val="00AB0AAF"/>
    <w:rsid w:val="00AB127B"/>
    <w:rsid w:val="00AB6519"/>
    <w:rsid w:val="00AC06CA"/>
    <w:rsid w:val="00AC33DF"/>
    <w:rsid w:val="00AC5B6E"/>
    <w:rsid w:val="00AE1892"/>
    <w:rsid w:val="00AF4C59"/>
    <w:rsid w:val="00AF6A2D"/>
    <w:rsid w:val="00B00800"/>
    <w:rsid w:val="00B04205"/>
    <w:rsid w:val="00B04D0B"/>
    <w:rsid w:val="00B06077"/>
    <w:rsid w:val="00B121C3"/>
    <w:rsid w:val="00B1581F"/>
    <w:rsid w:val="00B2194D"/>
    <w:rsid w:val="00B2463D"/>
    <w:rsid w:val="00B27E4D"/>
    <w:rsid w:val="00B36C4D"/>
    <w:rsid w:val="00B377FF"/>
    <w:rsid w:val="00B405B6"/>
    <w:rsid w:val="00B412C1"/>
    <w:rsid w:val="00B45429"/>
    <w:rsid w:val="00B47645"/>
    <w:rsid w:val="00B5120D"/>
    <w:rsid w:val="00B54D6B"/>
    <w:rsid w:val="00B60C29"/>
    <w:rsid w:val="00B72B0F"/>
    <w:rsid w:val="00B77152"/>
    <w:rsid w:val="00B80829"/>
    <w:rsid w:val="00B83C3C"/>
    <w:rsid w:val="00B841A3"/>
    <w:rsid w:val="00B91418"/>
    <w:rsid w:val="00B93DEA"/>
    <w:rsid w:val="00B956DA"/>
    <w:rsid w:val="00B9704B"/>
    <w:rsid w:val="00BA74D0"/>
    <w:rsid w:val="00BA7511"/>
    <w:rsid w:val="00BB4253"/>
    <w:rsid w:val="00BB439C"/>
    <w:rsid w:val="00BC1866"/>
    <w:rsid w:val="00BC43D5"/>
    <w:rsid w:val="00BD6A62"/>
    <w:rsid w:val="00BD70E7"/>
    <w:rsid w:val="00BE2654"/>
    <w:rsid w:val="00BE4410"/>
    <w:rsid w:val="00BE66C9"/>
    <w:rsid w:val="00BF4203"/>
    <w:rsid w:val="00BF602E"/>
    <w:rsid w:val="00C03AFC"/>
    <w:rsid w:val="00C05AAE"/>
    <w:rsid w:val="00C136A7"/>
    <w:rsid w:val="00C15F4D"/>
    <w:rsid w:val="00C173AA"/>
    <w:rsid w:val="00C17F53"/>
    <w:rsid w:val="00C230FE"/>
    <w:rsid w:val="00C3061E"/>
    <w:rsid w:val="00C358D4"/>
    <w:rsid w:val="00C35D23"/>
    <w:rsid w:val="00C41427"/>
    <w:rsid w:val="00C52346"/>
    <w:rsid w:val="00C5463E"/>
    <w:rsid w:val="00C57A8C"/>
    <w:rsid w:val="00C605CC"/>
    <w:rsid w:val="00C61D12"/>
    <w:rsid w:val="00C65546"/>
    <w:rsid w:val="00C66436"/>
    <w:rsid w:val="00C66B24"/>
    <w:rsid w:val="00C72424"/>
    <w:rsid w:val="00C74C6F"/>
    <w:rsid w:val="00C75DDE"/>
    <w:rsid w:val="00C77660"/>
    <w:rsid w:val="00C803D1"/>
    <w:rsid w:val="00CA3E18"/>
    <w:rsid w:val="00CA4E51"/>
    <w:rsid w:val="00CA7B46"/>
    <w:rsid w:val="00CB1C22"/>
    <w:rsid w:val="00CB3B0D"/>
    <w:rsid w:val="00CB6269"/>
    <w:rsid w:val="00CB62BD"/>
    <w:rsid w:val="00CC291E"/>
    <w:rsid w:val="00CC2C38"/>
    <w:rsid w:val="00CC558A"/>
    <w:rsid w:val="00CD5509"/>
    <w:rsid w:val="00CD5BCD"/>
    <w:rsid w:val="00CD649A"/>
    <w:rsid w:val="00CE177D"/>
    <w:rsid w:val="00CE379F"/>
    <w:rsid w:val="00CF1950"/>
    <w:rsid w:val="00CF63E4"/>
    <w:rsid w:val="00D01817"/>
    <w:rsid w:val="00D030B8"/>
    <w:rsid w:val="00D07418"/>
    <w:rsid w:val="00D23B35"/>
    <w:rsid w:val="00D322F3"/>
    <w:rsid w:val="00D34B61"/>
    <w:rsid w:val="00D37FCF"/>
    <w:rsid w:val="00D551C2"/>
    <w:rsid w:val="00D60E3C"/>
    <w:rsid w:val="00D62646"/>
    <w:rsid w:val="00D72F54"/>
    <w:rsid w:val="00D77092"/>
    <w:rsid w:val="00D851E8"/>
    <w:rsid w:val="00D94952"/>
    <w:rsid w:val="00D94D55"/>
    <w:rsid w:val="00DA0D53"/>
    <w:rsid w:val="00DA2946"/>
    <w:rsid w:val="00DA4A1D"/>
    <w:rsid w:val="00DB03DF"/>
    <w:rsid w:val="00DB11F4"/>
    <w:rsid w:val="00DE0ABD"/>
    <w:rsid w:val="00DE23FA"/>
    <w:rsid w:val="00DE3382"/>
    <w:rsid w:val="00DE56A0"/>
    <w:rsid w:val="00DE6560"/>
    <w:rsid w:val="00DF010E"/>
    <w:rsid w:val="00DF1911"/>
    <w:rsid w:val="00DF28A8"/>
    <w:rsid w:val="00DF6CE4"/>
    <w:rsid w:val="00DF6DFC"/>
    <w:rsid w:val="00E03A78"/>
    <w:rsid w:val="00E05650"/>
    <w:rsid w:val="00E13C4E"/>
    <w:rsid w:val="00E1403E"/>
    <w:rsid w:val="00E17ABC"/>
    <w:rsid w:val="00E22751"/>
    <w:rsid w:val="00E23393"/>
    <w:rsid w:val="00E234BE"/>
    <w:rsid w:val="00E238E4"/>
    <w:rsid w:val="00E3023B"/>
    <w:rsid w:val="00E337B1"/>
    <w:rsid w:val="00E34074"/>
    <w:rsid w:val="00E34095"/>
    <w:rsid w:val="00E35607"/>
    <w:rsid w:val="00E35612"/>
    <w:rsid w:val="00E363DB"/>
    <w:rsid w:val="00E43B5F"/>
    <w:rsid w:val="00E452D9"/>
    <w:rsid w:val="00E45C2C"/>
    <w:rsid w:val="00E4686D"/>
    <w:rsid w:val="00E46B46"/>
    <w:rsid w:val="00E51F6B"/>
    <w:rsid w:val="00E6218A"/>
    <w:rsid w:val="00E72993"/>
    <w:rsid w:val="00E75DBA"/>
    <w:rsid w:val="00E7791A"/>
    <w:rsid w:val="00E814B9"/>
    <w:rsid w:val="00E83961"/>
    <w:rsid w:val="00E90DF6"/>
    <w:rsid w:val="00EA0B94"/>
    <w:rsid w:val="00EA6874"/>
    <w:rsid w:val="00EA78CA"/>
    <w:rsid w:val="00EB5779"/>
    <w:rsid w:val="00EC388B"/>
    <w:rsid w:val="00EC3CF3"/>
    <w:rsid w:val="00EC7752"/>
    <w:rsid w:val="00EE20F6"/>
    <w:rsid w:val="00EF1D4A"/>
    <w:rsid w:val="00EF2D47"/>
    <w:rsid w:val="00F05E78"/>
    <w:rsid w:val="00F06E05"/>
    <w:rsid w:val="00F14639"/>
    <w:rsid w:val="00F23D9B"/>
    <w:rsid w:val="00F24290"/>
    <w:rsid w:val="00F26904"/>
    <w:rsid w:val="00F35F1B"/>
    <w:rsid w:val="00F41A2C"/>
    <w:rsid w:val="00F4649D"/>
    <w:rsid w:val="00F6395F"/>
    <w:rsid w:val="00F646F6"/>
    <w:rsid w:val="00F70788"/>
    <w:rsid w:val="00F72286"/>
    <w:rsid w:val="00F72D4C"/>
    <w:rsid w:val="00F75DDB"/>
    <w:rsid w:val="00F80CF4"/>
    <w:rsid w:val="00F80E87"/>
    <w:rsid w:val="00F907DE"/>
    <w:rsid w:val="00F92248"/>
    <w:rsid w:val="00FA3274"/>
    <w:rsid w:val="00FA5F83"/>
    <w:rsid w:val="00FB4929"/>
    <w:rsid w:val="00FB49A1"/>
    <w:rsid w:val="00FB5AF5"/>
    <w:rsid w:val="00FD1A55"/>
    <w:rsid w:val="00FD7967"/>
    <w:rsid w:val="00FE0E23"/>
    <w:rsid w:val="00FE1F8A"/>
    <w:rsid w:val="00FE2B22"/>
    <w:rsid w:val="00FE2F5C"/>
    <w:rsid w:val="00FE4DDE"/>
    <w:rsid w:val="00FF2B8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049B9"/>
  <w15:chartTrackingRefBased/>
  <w15:docId w15:val="{B95D8074-E177-4FCE-BFD6-82F33B07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660"/>
    <w:pPr>
      <w:spacing w:line="256" w:lineRule="auto"/>
    </w:pPr>
  </w:style>
  <w:style w:type="paragraph" w:styleId="Heading1">
    <w:name w:val="heading 1"/>
    <w:basedOn w:val="Normal"/>
    <w:next w:val="Normal"/>
    <w:link w:val="Heading1Char"/>
    <w:uiPriority w:val="9"/>
    <w:qFormat/>
    <w:rsid w:val="004B2874"/>
    <w:pPr>
      <w:keepNext/>
      <w:keepLines/>
      <w:spacing w:before="240" w:after="0"/>
      <w:jc w:val="both"/>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A07D7"/>
    <w:pPr>
      <w:keepNext/>
      <w:keepLines/>
      <w:spacing w:before="40" w:after="0"/>
      <w:jc w:val="both"/>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unhideWhenUsed/>
    <w:qFormat/>
    <w:rsid w:val="004B2874"/>
    <w:pPr>
      <w:keepNext/>
      <w:keepLines/>
      <w:spacing w:before="40" w:after="0"/>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semiHidden/>
    <w:unhideWhenUsed/>
    <w:qFormat/>
    <w:rsid w:val="009F176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60EA"/>
    <w:rPr>
      <w:b/>
      <w:bCs/>
    </w:rPr>
  </w:style>
  <w:style w:type="character" w:styleId="Hyperlink">
    <w:name w:val="Hyperlink"/>
    <w:basedOn w:val="DefaultParagraphFont"/>
    <w:uiPriority w:val="99"/>
    <w:unhideWhenUsed/>
    <w:rsid w:val="00597421"/>
    <w:rPr>
      <w:color w:val="0563C1" w:themeColor="hyperlink"/>
      <w:u w:val="single"/>
    </w:rPr>
  </w:style>
  <w:style w:type="character" w:styleId="PlaceholderText">
    <w:name w:val="Placeholder Text"/>
    <w:basedOn w:val="DefaultParagraphFont"/>
    <w:uiPriority w:val="99"/>
    <w:semiHidden/>
    <w:rsid w:val="007A7C32"/>
    <w:rPr>
      <w:color w:val="808080"/>
    </w:rPr>
  </w:style>
  <w:style w:type="character" w:customStyle="1" w:styleId="Heading1Char">
    <w:name w:val="Heading 1 Char"/>
    <w:basedOn w:val="DefaultParagraphFont"/>
    <w:link w:val="Heading1"/>
    <w:uiPriority w:val="9"/>
    <w:rsid w:val="004B2874"/>
    <w:rPr>
      <w:rFonts w:ascii="Times New Roman" w:eastAsiaTheme="majorEastAsia" w:hAnsi="Times New Roman" w:cstheme="majorBidi"/>
      <w:b/>
      <w:sz w:val="28"/>
      <w:szCs w:val="32"/>
    </w:rPr>
  </w:style>
  <w:style w:type="paragraph" w:styleId="Subtitle">
    <w:name w:val="Subtitle"/>
    <w:basedOn w:val="Normal"/>
    <w:next w:val="Normal"/>
    <w:link w:val="SubtitleChar"/>
    <w:uiPriority w:val="11"/>
    <w:qFormat/>
    <w:rsid w:val="004B28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287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A07D7"/>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4B2874"/>
    <w:rPr>
      <w:rFonts w:ascii="Times New Roman" w:eastAsiaTheme="majorEastAsia" w:hAnsi="Times New Roman" w:cstheme="majorBidi"/>
      <w:sz w:val="24"/>
      <w:szCs w:val="24"/>
    </w:rPr>
  </w:style>
  <w:style w:type="character" w:styleId="Emphasis">
    <w:name w:val="Emphasis"/>
    <w:basedOn w:val="DefaultParagraphFont"/>
    <w:uiPriority w:val="20"/>
    <w:qFormat/>
    <w:rsid w:val="00495FDF"/>
    <w:rPr>
      <w:i/>
      <w:iCs/>
    </w:rPr>
  </w:style>
  <w:style w:type="paragraph" w:customStyle="1" w:styleId="ds-markdown-paragraph">
    <w:name w:val="ds-markdown-paragraph"/>
    <w:basedOn w:val="Normal"/>
    <w:rsid w:val="00C35D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9F1765"/>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FE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B22"/>
    <w:rPr>
      <w:rFonts w:ascii="Segoe UI" w:hAnsi="Segoe UI" w:cs="Segoe UI"/>
      <w:sz w:val="18"/>
      <w:szCs w:val="18"/>
    </w:rPr>
  </w:style>
  <w:style w:type="character" w:customStyle="1" w:styleId="f18u3js6">
    <w:name w:val="f18u3js6"/>
    <w:basedOn w:val="DefaultParagraphFont"/>
    <w:rsid w:val="004F01B3"/>
  </w:style>
  <w:style w:type="paragraph" w:styleId="Caption">
    <w:name w:val="caption"/>
    <w:basedOn w:val="Normal"/>
    <w:next w:val="Normal"/>
    <w:uiPriority w:val="35"/>
    <w:unhideWhenUsed/>
    <w:qFormat/>
    <w:rsid w:val="0014417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07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9AC"/>
  </w:style>
  <w:style w:type="paragraph" w:styleId="Footer">
    <w:name w:val="footer"/>
    <w:basedOn w:val="Normal"/>
    <w:link w:val="FooterChar"/>
    <w:uiPriority w:val="99"/>
    <w:unhideWhenUsed/>
    <w:rsid w:val="00907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9AC"/>
  </w:style>
  <w:style w:type="character" w:customStyle="1" w:styleId="html-italic">
    <w:name w:val="html-italic"/>
    <w:basedOn w:val="DefaultParagraphFont"/>
    <w:rsid w:val="004B6ACB"/>
  </w:style>
  <w:style w:type="paragraph" w:styleId="NormalWeb">
    <w:name w:val="Normal (Web)"/>
    <w:basedOn w:val="Normal"/>
    <w:uiPriority w:val="99"/>
    <w:semiHidden/>
    <w:unhideWhenUsed/>
    <w:rsid w:val="004B6AC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234BE"/>
    <w:rPr>
      <w:sz w:val="16"/>
      <w:szCs w:val="16"/>
    </w:rPr>
  </w:style>
  <w:style w:type="paragraph" w:styleId="CommentText">
    <w:name w:val="annotation text"/>
    <w:basedOn w:val="Normal"/>
    <w:link w:val="CommentTextChar"/>
    <w:uiPriority w:val="99"/>
    <w:semiHidden/>
    <w:unhideWhenUsed/>
    <w:rsid w:val="00E234BE"/>
    <w:pPr>
      <w:spacing w:line="240" w:lineRule="auto"/>
    </w:pPr>
    <w:rPr>
      <w:sz w:val="20"/>
      <w:szCs w:val="20"/>
    </w:rPr>
  </w:style>
  <w:style w:type="character" w:customStyle="1" w:styleId="CommentTextChar">
    <w:name w:val="Comment Text Char"/>
    <w:basedOn w:val="DefaultParagraphFont"/>
    <w:link w:val="CommentText"/>
    <w:uiPriority w:val="99"/>
    <w:semiHidden/>
    <w:rsid w:val="00E234BE"/>
    <w:rPr>
      <w:sz w:val="20"/>
      <w:szCs w:val="20"/>
    </w:rPr>
  </w:style>
  <w:style w:type="paragraph" w:styleId="CommentSubject">
    <w:name w:val="annotation subject"/>
    <w:basedOn w:val="CommentText"/>
    <w:next w:val="CommentText"/>
    <w:link w:val="CommentSubjectChar"/>
    <w:uiPriority w:val="99"/>
    <w:semiHidden/>
    <w:unhideWhenUsed/>
    <w:rsid w:val="00E234BE"/>
    <w:rPr>
      <w:b/>
      <w:bCs/>
    </w:rPr>
  </w:style>
  <w:style w:type="character" w:customStyle="1" w:styleId="CommentSubjectChar">
    <w:name w:val="Comment Subject Char"/>
    <w:basedOn w:val="CommentTextChar"/>
    <w:link w:val="CommentSubject"/>
    <w:uiPriority w:val="99"/>
    <w:semiHidden/>
    <w:rsid w:val="00E234BE"/>
    <w:rPr>
      <w:b/>
      <w:bCs/>
      <w:sz w:val="20"/>
      <w:szCs w:val="20"/>
    </w:rPr>
  </w:style>
  <w:style w:type="paragraph" w:styleId="ListParagraph">
    <w:name w:val="List Paragraph"/>
    <w:basedOn w:val="Normal"/>
    <w:uiPriority w:val="34"/>
    <w:qFormat/>
    <w:rsid w:val="00F05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1592">
      <w:bodyDiv w:val="1"/>
      <w:marLeft w:val="0"/>
      <w:marRight w:val="0"/>
      <w:marTop w:val="0"/>
      <w:marBottom w:val="0"/>
      <w:divBdr>
        <w:top w:val="none" w:sz="0" w:space="0" w:color="auto"/>
        <w:left w:val="none" w:sz="0" w:space="0" w:color="auto"/>
        <w:bottom w:val="none" w:sz="0" w:space="0" w:color="auto"/>
        <w:right w:val="none" w:sz="0" w:space="0" w:color="auto"/>
      </w:divBdr>
    </w:div>
    <w:div w:id="49693603">
      <w:bodyDiv w:val="1"/>
      <w:marLeft w:val="0"/>
      <w:marRight w:val="0"/>
      <w:marTop w:val="0"/>
      <w:marBottom w:val="0"/>
      <w:divBdr>
        <w:top w:val="none" w:sz="0" w:space="0" w:color="auto"/>
        <w:left w:val="none" w:sz="0" w:space="0" w:color="auto"/>
        <w:bottom w:val="none" w:sz="0" w:space="0" w:color="auto"/>
        <w:right w:val="none" w:sz="0" w:space="0" w:color="auto"/>
      </w:divBdr>
    </w:div>
    <w:div w:id="158543744">
      <w:bodyDiv w:val="1"/>
      <w:marLeft w:val="0"/>
      <w:marRight w:val="0"/>
      <w:marTop w:val="0"/>
      <w:marBottom w:val="0"/>
      <w:divBdr>
        <w:top w:val="none" w:sz="0" w:space="0" w:color="auto"/>
        <w:left w:val="none" w:sz="0" w:space="0" w:color="auto"/>
        <w:bottom w:val="none" w:sz="0" w:space="0" w:color="auto"/>
        <w:right w:val="none" w:sz="0" w:space="0" w:color="auto"/>
      </w:divBdr>
    </w:div>
    <w:div w:id="166136123">
      <w:bodyDiv w:val="1"/>
      <w:marLeft w:val="0"/>
      <w:marRight w:val="0"/>
      <w:marTop w:val="0"/>
      <w:marBottom w:val="0"/>
      <w:divBdr>
        <w:top w:val="none" w:sz="0" w:space="0" w:color="auto"/>
        <w:left w:val="none" w:sz="0" w:space="0" w:color="auto"/>
        <w:bottom w:val="none" w:sz="0" w:space="0" w:color="auto"/>
        <w:right w:val="none" w:sz="0" w:space="0" w:color="auto"/>
      </w:divBdr>
    </w:div>
    <w:div w:id="218982970">
      <w:bodyDiv w:val="1"/>
      <w:marLeft w:val="0"/>
      <w:marRight w:val="0"/>
      <w:marTop w:val="0"/>
      <w:marBottom w:val="0"/>
      <w:divBdr>
        <w:top w:val="none" w:sz="0" w:space="0" w:color="auto"/>
        <w:left w:val="none" w:sz="0" w:space="0" w:color="auto"/>
        <w:bottom w:val="none" w:sz="0" w:space="0" w:color="auto"/>
        <w:right w:val="none" w:sz="0" w:space="0" w:color="auto"/>
      </w:divBdr>
    </w:div>
    <w:div w:id="298998650">
      <w:bodyDiv w:val="1"/>
      <w:marLeft w:val="0"/>
      <w:marRight w:val="0"/>
      <w:marTop w:val="0"/>
      <w:marBottom w:val="0"/>
      <w:divBdr>
        <w:top w:val="none" w:sz="0" w:space="0" w:color="auto"/>
        <w:left w:val="none" w:sz="0" w:space="0" w:color="auto"/>
        <w:bottom w:val="none" w:sz="0" w:space="0" w:color="auto"/>
        <w:right w:val="none" w:sz="0" w:space="0" w:color="auto"/>
      </w:divBdr>
      <w:divsChild>
        <w:div w:id="543567768">
          <w:marLeft w:val="0"/>
          <w:marRight w:val="0"/>
          <w:marTop w:val="0"/>
          <w:marBottom w:val="0"/>
          <w:divBdr>
            <w:top w:val="none" w:sz="0" w:space="0" w:color="auto"/>
            <w:left w:val="none" w:sz="0" w:space="0" w:color="auto"/>
            <w:bottom w:val="none" w:sz="0" w:space="0" w:color="auto"/>
            <w:right w:val="none" w:sz="0" w:space="0" w:color="auto"/>
          </w:divBdr>
          <w:divsChild>
            <w:div w:id="241110505">
              <w:marLeft w:val="0"/>
              <w:marRight w:val="0"/>
              <w:marTop w:val="0"/>
              <w:marBottom w:val="0"/>
              <w:divBdr>
                <w:top w:val="none" w:sz="0" w:space="0" w:color="auto"/>
                <w:left w:val="none" w:sz="0" w:space="0" w:color="auto"/>
                <w:bottom w:val="none" w:sz="0" w:space="0" w:color="auto"/>
                <w:right w:val="none" w:sz="0" w:space="0" w:color="auto"/>
              </w:divBdr>
              <w:divsChild>
                <w:div w:id="15364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8893">
      <w:bodyDiv w:val="1"/>
      <w:marLeft w:val="0"/>
      <w:marRight w:val="0"/>
      <w:marTop w:val="0"/>
      <w:marBottom w:val="0"/>
      <w:divBdr>
        <w:top w:val="none" w:sz="0" w:space="0" w:color="auto"/>
        <w:left w:val="none" w:sz="0" w:space="0" w:color="auto"/>
        <w:bottom w:val="none" w:sz="0" w:space="0" w:color="auto"/>
        <w:right w:val="none" w:sz="0" w:space="0" w:color="auto"/>
      </w:divBdr>
    </w:div>
    <w:div w:id="354159730">
      <w:bodyDiv w:val="1"/>
      <w:marLeft w:val="0"/>
      <w:marRight w:val="0"/>
      <w:marTop w:val="0"/>
      <w:marBottom w:val="0"/>
      <w:divBdr>
        <w:top w:val="none" w:sz="0" w:space="0" w:color="auto"/>
        <w:left w:val="none" w:sz="0" w:space="0" w:color="auto"/>
        <w:bottom w:val="none" w:sz="0" w:space="0" w:color="auto"/>
        <w:right w:val="none" w:sz="0" w:space="0" w:color="auto"/>
      </w:divBdr>
    </w:div>
    <w:div w:id="474759775">
      <w:bodyDiv w:val="1"/>
      <w:marLeft w:val="0"/>
      <w:marRight w:val="0"/>
      <w:marTop w:val="0"/>
      <w:marBottom w:val="0"/>
      <w:divBdr>
        <w:top w:val="none" w:sz="0" w:space="0" w:color="auto"/>
        <w:left w:val="none" w:sz="0" w:space="0" w:color="auto"/>
        <w:bottom w:val="none" w:sz="0" w:space="0" w:color="auto"/>
        <w:right w:val="none" w:sz="0" w:space="0" w:color="auto"/>
      </w:divBdr>
    </w:div>
    <w:div w:id="504438885">
      <w:bodyDiv w:val="1"/>
      <w:marLeft w:val="0"/>
      <w:marRight w:val="0"/>
      <w:marTop w:val="0"/>
      <w:marBottom w:val="0"/>
      <w:divBdr>
        <w:top w:val="none" w:sz="0" w:space="0" w:color="auto"/>
        <w:left w:val="none" w:sz="0" w:space="0" w:color="auto"/>
        <w:bottom w:val="none" w:sz="0" w:space="0" w:color="auto"/>
        <w:right w:val="none" w:sz="0" w:space="0" w:color="auto"/>
      </w:divBdr>
    </w:div>
    <w:div w:id="562571689">
      <w:bodyDiv w:val="1"/>
      <w:marLeft w:val="0"/>
      <w:marRight w:val="0"/>
      <w:marTop w:val="0"/>
      <w:marBottom w:val="0"/>
      <w:divBdr>
        <w:top w:val="none" w:sz="0" w:space="0" w:color="auto"/>
        <w:left w:val="none" w:sz="0" w:space="0" w:color="auto"/>
        <w:bottom w:val="none" w:sz="0" w:space="0" w:color="auto"/>
        <w:right w:val="none" w:sz="0" w:space="0" w:color="auto"/>
      </w:divBdr>
    </w:div>
    <w:div w:id="652215865">
      <w:bodyDiv w:val="1"/>
      <w:marLeft w:val="0"/>
      <w:marRight w:val="0"/>
      <w:marTop w:val="0"/>
      <w:marBottom w:val="0"/>
      <w:divBdr>
        <w:top w:val="none" w:sz="0" w:space="0" w:color="auto"/>
        <w:left w:val="none" w:sz="0" w:space="0" w:color="auto"/>
        <w:bottom w:val="none" w:sz="0" w:space="0" w:color="auto"/>
        <w:right w:val="none" w:sz="0" w:space="0" w:color="auto"/>
      </w:divBdr>
    </w:div>
    <w:div w:id="662969267">
      <w:bodyDiv w:val="1"/>
      <w:marLeft w:val="0"/>
      <w:marRight w:val="0"/>
      <w:marTop w:val="0"/>
      <w:marBottom w:val="0"/>
      <w:divBdr>
        <w:top w:val="none" w:sz="0" w:space="0" w:color="auto"/>
        <w:left w:val="none" w:sz="0" w:space="0" w:color="auto"/>
        <w:bottom w:val="none" w:sz="0" w:space="0" w:color="auto"/>
        <w:right w:val="none" w:sz="0" w:space="0" w:color="auto"/>
      </w:divBdr>
    </w:div>
    <w:div w:id="740257300">
      <w:bodyDiv w:val="1"/>
      <w:marLeft w:val="0"/>
      <w:marRight w:val="0"/>
      <w:marTop w:val="0"/>
      <w:marBottom w:val="0"/>
      <w:divBdr>
        <w:top w:val="none" w:sz="0" w:space="0" w:color="auto"/>
        <w:left w:val="none" w:sz="0" w:space="0" w:color="auto"/>
        <w:bottom w:val="none" w:sz="0" w:space="0" w:color="auto"/>
        <w:right w:val="none" w:sz="0" w:space="0" w:color="auto"/>
      </w:divBdr>
    </w:div>
    <w:div w:id="773670823">
      <w:bodyDiv w:val="1"/>
      <w:marLeft w:val="0"/>
      <w:marRight w:val="0"/>
      <w:marTop w:val="0"/>
      <w:marBottom w:val="0"/>
      <w:divBdr>
        <w:top w:val="none" w:sz="0" w:space="0" w:color="auto"/>
        <w:left w:val="none" w:sz="0" w:space="0" w:color="auto"/>
        <w:bottom w:val="none" w:sz="0" w:space="0" w:color="auto"/>
        <w:right w:val="none" w:sz="0" w:space="0" w:color="auto"/>
      </w:divBdr>
    </w:div>
    <w:div w:id="777068955">
      <w:bodyDiv w:val="1"/>
      <w:marLeft w:val="0"/>
      <w:marRight w:val="0"/>
      <w:marTop w:val="0"/>
      <w:marBottom w:val="0"/>
      <w:divBdr>
        <w:top w:val="none" w:sz="0" w:space="0" w:color="auto"/>
        <w:left w:val="none" w:sz="0" w:space="0" w:color="auto"/>
        <w:bottom w:val="none" w:sz="0" w:space="0" w:color="auto"/>
        <w:right w:val="none" w:sz="0" w:space="0" w:color="auto"/>
      </w:divBdr>
    </w:div>
    <w:div w:id="863205261">
      <w:bodyDiv w:val="1"/>
      <w:marLeft w:val="0"/>
      <w:marRight w:val="0"/>
      <w:marTop w:val="0"/>
      <w:marBottom w:val="0"/>
      <w:divBdr>
        <w:top w:val="none" w:sz="0" w:space="0" w:color="auto"/>
        <w:left w:val="none" w:sz="0" w:space="0" w:color="auto"/>
        <w:bottom w:val="none" w:sz="0" w:space="0" w:color="auto"/>
        <w:right w:val="none" w:sz="0" w:space="0" w:color="auto"/>
      </w:divBdr>
    </w:div>
    <w:div w:id="877083925">
      <w:bodyDiv w:val="1"/>
      <w:marLeft w:val="0"/>
      <w:marRight w:val="0"/>
      <w:marTop w:val="0"/>
      <w:marBottom w:val="0"/>
      <w:divBdr>
        <w:top w:val="none" w:sz="0" w:space="0" w:color="auto"/>
        <w:left w:val="none" w:sz="0" w:space="0" w:color="auto"/>
        <w:bottom w:val="none" w:sz="0" w:space="0" w:color="auto"/>
        <w:right w:val="none" w:sz="0" w:space="0" w:color="auto"/>
      </w:divBdr>
    </w:div>
    <w:div w:id="947279342">
      <w:bodyDiv w:val="1"/>
      <w:marLeft w:val="0"/>
      <w:marRight w:val="0"/>
      <w:marTop w:val="0"/>
      <w:marBottom w:val="0"/>
      <w:divBdr>
        <w:top w:val="none" w:sz="0" w:space="0" w:color="auto"/>
        <w:left w:val="none" w:sz="0" w:space="0" w:color="auto"/>
        <w:bottom w:val="none" w:sz="0" w:space="0" w:color="auto"/>
        <w:right w:val="none" w:sz="0" w:space="0" w:color="auto"/>
      </w:divBdr>
    </w:div>
    <w:div w:id="1003897194">
      <w:bodyDiv w:val="1"/>
      <w:marLeft w:val="0"/>
      <w:marRight w:val="0"/>
      <w:marTop w:val="0"/>
      <w:marBottom w:val="0"/>
      <w:divBdr>
        <w:top w:val="none" w:sz="0" w:space="0" w:color="auto"/>
        <w:left w:val="none" w:sz="0" w:space="0" w:color="auto"/>
        <w:bottom w:val="none" w:sz="0" w:space="0" w:color="auto"/>
        <w:right w:val="none" w:sz="0" w:space="0" w:color="auto"/>
      </w:divBdr>
    </w:div>
    <w:div w:id="1006902388">
      <w:bodyDiv w:val="1"/>
      <w:marLeft w:val="0"/>
      <w:marRight w:val="0"/>
      <w:marTop w:val="0"/>
      <w:marBottom w:val="0"/>
      <w:divBdr>
        <w:top w:val="none" w:sz="0" w:space="0" w:color="auto"/>
        <w:left w:val="none" w:sz="0" w:space="0" w:color="auto"/>
        <w:bottom w:val="none" w:sz="0" w:space="0" w:color="auto"/>
        <w:right w:val="none" w:sz="0" w:space="0" w:color="auto"/>
      </w:divBdr>
    </w:div>
    <w:div w:id="1105424875">
      <w:bodyDiv w:val="1"/>
      <w:marLeft w:val="0"/>
      <w:marRight w:val="0"/>
      <w:marTop w:val="0"/>
      <w:marBottom w:val="0"/>
      <w:divBdr>
        <w:top w:val="none" w:sz="0" w:space="0" w:color="auto"/>
        <w:left w:val="none" w:sz="0" w:space="0" w:color="auto"/>
        <w:bottom w:val="none" w:sz="0" w:space="0" w:color="auto"/>
        <w:right w:val="none" w:sz="0" w:space="0" w:color="auto"/>
      </w:divBdr>
      <w:divsChild>
        <w:div w:id="502088927">
          <w:marLeft w:val="0"/>
          <w:marRight w:val="0"/>
          <w:marTop w:val="0"/>
          <w:marBottom w:val="0"/>
          <w:divBdr>
            <w:top w:val="none" w:sz="0" w:space="0" w:color="auto"/>
            <w:left w:val="none" w:sz="0" w:space="0" w:color="auto"/>
            <w:bottom w:val="none" w:sz="0" w:space="0" w:color="auto"/>
            <w:right w:val="none" w:sz="0" w:space="0" w:color="auto"/>
          </w:divBdr>
          <w:divsChild>
            <w:div w:id="95101361">
              <w:marLeft w:val="0"/>
              <w:marRight w:val="0"/>
              <w:marTop w:val="0"/>
              <w:marBottom w:val="0"/>
              <w:divBdr>
                <w:top w:val="none" w:sz="0" w:space="0" w:color="auto"/>
                <w:left w:val="none" w:sz="0" w:space="0" w:color="auto"/>
                <w:bottom w:val="none" w:sz="0" w:space="0" w:color="auto"/>
                <w:right w:val="none" w:sz="0" w:space="0" w:color="auto"/>
              </w:divBdr>
              <w:divsChild>
                <w:div w:id="1820724772">
                  <w:marLeft w:val="0"/>
                  <w:marRight w:val="0"/>
                  <w:marTop w:val="0"/>
                  <w:marBottom w:val="0"/>
                  <w:divBdr>
                    <w:top w:val="none" w:sz="0" w:space="0" w:color="auto"/>
                    <w:left w:val="none" w:sz="0" w:space="0" w:color="auto"/>
                    <w:bottom w:val="none" w:sz="0" w:space="0" w:color="auto"/>
                    <w:right w:val="none" w:sz="0" w:space="0" w:color="auto"/>
                  </w:divBdr>
                  <w:divsChild>
                    <w:div w:id="941647488">
                      <w:marLeft w:val="0"/>
                      <w:marRight w:val="0"/>
                      <w:marTop w:val="0"/>
                      <w:marBottom w:val="0"/>
                      <w:divBdr>
                        <w:top w:val="none" w:sz="0" w:space="0" w:color="auto"/>
                        <w:left w:val="none" w:sz="0" w:space="0" w:color="auto"/>
                        <w:bottom w:val="none" w:sz="0" w:space="0" w:color="auto"/>
                        <w:right w:val="none" w:sz="0" w:space="0" w:color="auto"/>
                      </w:divBdr>
                      <w:divsChild>
                        <w:div w:id="1628126547">
                          <w:marLeft w:val="0"/>
                          <w:marRight w:val="0"/>
                          <w:marTop w:val="0"/>
                          <w:marBottom w:val="0"/>
                          <w:divBdr>
                            <w:top w:val="none" w:sz="0" w:space="0" w:color="auto"/>
                            <w:left w:val="none" w:sz="0" w:space="0" w:color="auto"/>
                            <w:bottom w:val="none" w:sz="0" w:space="0" w:color="auto"/>
                            <w:right w:val="none" w:sz="0" w:space="0" w:color="auto"/>
                          </w:divBdr>
                          <w:divsChild>
                            <w:div w:id="1439564963">
                              <w:marLeft w:val="0"/>
                              <w:marRight w:val="0"/>
                              <w:marTop w:val="0"/>
                              <w:marBottom w:val="0"/>
                              <w:divBdr>
                                <w:top w:val="none" w:sz="0" w:space="0" w:color="auto"/>
                                <w:left w:val="none" w:sz="0" w:space="0" w:color="auto"/>
                                <w:bottom w:val="none" w:sz="0" w:space="0" w:color="auto"/>
                                <w:right w:val="none" w:sz="0" w:space="0" w:color="auto"/>
                              </w:divBdr>
                              <w:divsChild>
                                <w:div w:id="367535282">
                                  <w:marLeft w:val="0"/>
                                  <w:marRight w:val="0"/>
                                  <w:marTop w:val="0"/>
                                  <w:marBottom w:val="0"/>
                                  <w:divBdr>
                                    <w:top w:val="none" w:sz="0" w:space="0" w:color="auto"/>
                                    <w:left w:val="none" w:sz="0" w:space="0" w:color="auto"/>
                                    <w:bottom w:val="none" w:sz="0" w:space="0" w:color="auto"/>
                                    <w:right w:val="none" w:sz="0" w:space="0" w:color="auto"/>
                                  </w:divBdr>
                                  <w:divsChild>
                                    <w:div w:id="866942301">
                                      <w:marLeft w:val="0"/>
                                      <w:marRight w:val="0"/>
                                      <w:marTop w:val="0"/>
                                      <w:marBottom w:val="0"/>
                                      <w:divBdr>
                                        <w:top w:val="none" w:sz="0" w:space="0" w:color="auto"/>
                                        <w:left w:val="none" w:sz="0" w:space="0" w:color="auto"/>
                                        <w:bottom w:val="none" w:sz="0" w:space="0" w:color="auto"/>
                                        <w:right w:val="none" w:sz="0" w:space="0" w:color="auto"/>
                                      </w:divBdr>
                                      <w:divsChild>
                                        <w:div w:id="189172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141080">
      <w:bodyDiv w:val="1"/>
      <w:marLeft w:val="0"/>
      <w:marRight w:val="0"/>
      <w:marTop w:val="0"/>
      <w:marBottom w:val="0"/>
      <w:divBdr>
        <w:top w:val="none" w:sz="0" w:space="0" w:color="auto"/>
        <w:left w:val="none" w:sz="0" w:space="0" w:color="auto"/>
        <w:bottom w:val="none" w:sz="0" w:space="0" w:color="auto"/>
        <w:right w:val="none" w:sz="0" w:space="0" w:color="auto"/>
      </w:divBdr>
    </w:div>
    <w:div w:id="1152021643">
      <w:bodyDiv w:val="1"/>
      <w:marLeft w:val="0"/>
      <w:marRight w:val="0"/>
      <w:marTop w:val="0"/>
      <w:marBottom w:val="0"/>
      <w:divBdr>
        <w:top w:val="none" w:sz="0" w:space="0" w:color="auto"/>
        <w:left w:val="none" w:sz="0" w:space="0" w:color="auto"/>
        <w:bottom w:val="none" w:sz="0" w:space="0" w:color="auto"/>
        <w:right w:val="none" w:sz="0" w:space="0" w:color="auto"/>
      </w:divBdr>
    </w:div>
    <w:div w:id="1266889703">
      <w:bodyDiv w:val="1"/>
      <w:marLeft w:val="0"/>
      <w:marRight w:val="0"/>
      <w:marTop w:val="0"/>
      <w:marBottom w:val="0"/>
      <w:divBdr>
        <w:top w:val="none" w:sz="0" w:space="0" w:color="auto"/>
        <w:left w:val="none" w:sz="0" w:space="0" w:color="auto"/>
        <w:bottom w:val="none" w:sz="0" w:space="0" w:color="auto"/>
        <w:right w:val="none" w:sz="0" w:space="0" w:color="auto"/>
      </w:divBdr>
    </w:div>
    <w:div w:id="1276325209">
      <w:bodyDiv w:val="1"/>
      <w:marLeft w:val="0"/>
      <w:marRight w:val="0"/>
      <w:marTop w:val="0"/>
      <w:marBottom w:val="0"/>
      <w:divBdr>
        <w:top w:val="none" w:sz="0" w:space="0" w:color="auto"/>
        <w:left w:val="none" w:sz="0" w:space="0" w:color="auto"/>
        <w:bottom w:val="none" w:sz="0" w:space="0" w:color="auto"/>
        <w:right w:val="none" w:sz="0" w:space="0" w:color="auto"/>
      </w:divBdr>
    </w:div>
    <w:div w:id="1306467941">
      <w:bodyDiv w:val="1"/>
      <w:marLeft w:val="0"/>
      <w:marRight w:val="0"/>
      <w:marTop w:val="0"/>
      <w:marBottom w:val="0"/>
      <w:divBdr>
        <w:top w:val="none" w:sz="0" w:space="0" w:color="auto"/>
        <w:left w:val="none" w:sz="0" w:space="0" w:color="auto"/>
        <w:bottom w:val="none" w:sz="0" w:space="0" w:color="auto"/>
        <w:right w:val="none" w:sz="0" w:space="0" w:color="auto"/>
      </w:divBdr>
    </w:div>
    <w:div w:id="1394083885">
      <w:bodyDiv w:val="1"/>
      <w:marLeft w:val="0"/>
      <w:marRight w:val="0"/>
      <w:marTop w:val="0"/>
      <w:marBottom w:val="0"/>
      <w:divBdr>
        <w:top w:val="none" w:sz="0" w:space="0" w:color="auto"/>
        <w:left w:val="none" w:sz="0" w:space="0" w:color="auto"/>
        <w:bottom w:val="none" w:sz="0" w:space="0" w:color="auto"/>
        <w:right w:val="none" w:sz="0" w:space="0" w:color="auto"/>
      </w:divBdr>
    </w:div>
    <w:div w:id="1447584026">
      <w:bodyDiv w:val="1"/>
      <w:marLeft w:val="0"/>
      <w:marRight w:val="0"/>
      <w:marTop w:val="0"/>
      <w:marBottom w:val="0"/>
      <w:divBdr>
        <w:top w:val="none" w:sz="0" w:space="0" w:color="auto"/>
        <w:left w:val="none" w:sz="0" w:space="0" w:color="auto"/>
        <w:bottom w:val="none" w:sz="0" w:space="0" w:color="auto"/>
        <w:right w:val="none" w:sz="0" w:space="0" w:color="auto"/>
      </w:divBdr>
    </w:div>
    <w:div w:id="1454520880">
      <w:bodyDiv w:val="1"/>
      <w:marLeft w:val="0"/>
      <w:marRight w:val="0"/>
      <w:marTop w:val="0"/>
      <w:marBottom w:val="0"/>
      <w:divBdr>
        <w:top w:val="none" w:sz="0" w:space="0" w:color="auto"/>
        <w:left w:val="none" w:sz="0" w:space="0" w:color="auto"/>
        <w:bottom w:val="none" w:sz="0" w:space="0" w:color="auto"/>
        <w:right w:val="none" w:sz="0" w:space="0" w:color="auto"/>
      </w:divBdr>
    </w:div>
    <w:div w:id="1465153850">
      <w:bodyDiv w:val="1"/>
      <w:marLeft w:val="0"/>
      <w:marRight w:val="0"/>
      <w:marTop w:val="0"/>
      <w:marBottom w:val="0"/>
      <w:divBdr>
        <w:top w:val="none" w:sz="0" w:space="0" w:color="auto"/>
        <w:left w:val="none" w:sz="0" w:space="0" w:color="auto"/>
        <w:bottom w:val="none" w:sz="0" w:space="0" w:color="auto"/>
        <w:right w:val="none" w:sz="0" w:space="0" w:color="auto"/>
      </w:divBdr>
    </w:div>
    <w:div w:id="1466197705">
      <w:bodyDiv w:val="1"/>
      <w:marLeft w:val="0"/>
      <w:marRight w:val="0"/>
      <w:marTop w:val="0"/>
      <w:marBottom w:val="0"/>
      <w:divBdr>
        <w:top w:val="none" w:sz="0" w:space="0" w:color="auto"/>
        <w:left w:val="none" w:sz="0" w:space="0" w:color="auto"/>
        <w:bottom w:val="none" w:sz="0" w:space="0" w:color="auto"/>
        <w:right w:val="none" w:sz="0" w:space="0" w:color="auto"/>
      </w:divBdr>
    </w:div>
    <w:div w:id="1474449226">
      <w:bodyDiv w:val="1"/>
      <w:marLeft w:val="0"/>
      <w:marRight w:val="0"/>
      <w:marTop w:val="0"/>
      <w:marBottom w:val="0"/>
      <w:divBdr>
        <w:top w:val="none" w:sz="0" w:space="0" w:color="auto"/>
        <w:left w:val="none" w:sz="0" w:space="0" w:color="auto"/>
        <w:bottom w:val="none" w:sz="0" w:space="0" w:color="auto"/>
        <w:right w:val="none" w:sz="0" w:space="0" w:color="auto"/>
      </w:divBdr>
    </w:div>
    <w:div w:id="1484617793">
      <w:bodyDiv w:val="1"/>
      <w:marLeft w:val="0"/>
      <w:marRight w:val="0"/>
      <w:marTop w:val="0"/>
      <w:marBottom w:val="0"/>
      <w:divBdr>
        <w:top w:val="none" w:sz="0" w:space="0" w:color="auto"/>
        <w:left w:val="none" w:sz="0" w:space="0" w:color="auto"/>
        <w:bottom w:val="none" w:sz="0" w:space="0" w:color="auto"/>
        <w:right w:val="none" w:sz="0" w:space="0" w:color="auto"/>
      </w:divBdr>
      <w:divsChild>
        <w:div w:id="1235774946">
          <w:marLeft w:val="0"/>
          <w:marRight w:val="0"/>
          <w:marTop w:val="0"/>
          <w:marBottom w:val="0"/>
          <w:divBdr>
            <w:top w:val="none" w:sz="0" w:space="0" w:color="auto"/>
            <w:left w:val="none" w:sz="0" w:space="0" w:color="auto"/>
            <w:bottom w:val="none" w:sz="0" w:space="0" w:color="auto"/>
            <w:right w:val="none" w:sz="0" w:space="0" w:color="auto"/>
          </w:divBdr>
        </w:div>
        <w:div w:id="967666380">
          <w:marLeft w:val="0"/>
          <w:marRight w:val="0"/>
          <w:marTop w:val="0"/>
          <w:marBottom w:val="0"/>
          <w:divBdr>
            <w:top w:val="none" w:sz="0" w:space="0" w:color="auto"/>
            <w:left w:val="none" w:sz="0" w:space="0" w:color="auto"/>
            <w:bottom w:val="none" w:sz="0" w:space="0" w:color="auto"/>
            <w:right w:val="none" w:sz="0" w:space="0" w:color="auto"/>
          </w:divBdr>
          <w:divsChild>
            <w:div w:id="528765999">
              <w:marLeft w:val="0"/>
              <w:marRight w:val="0"/>
              <w:marTop w:val="0"/>
              <w:marBottom w:val="0"/>
              <w:divBdr>
                <w:top w:val="none" w:sz="0" w:space="0" w:color="auto"/>
                <w:left w:val="none" w:sz="0" w:space="0" w:color="auto"/>
                <w:bottom w:val="none" w:sz="0" w:space="0" w:color="auto"/>
                <w:right w:val="none" w:sz="0" w:space="0" w:color="auto"/>
              </w:divBdr>
            </w:div>
          </w:divsChild>
        </w:div>
        <w:div w:id="781846828">
          <w:marLeft w:val="0"/>
          <w:marRight w:val="0"/>
          <w:marTop w:val="0"/>
          <w:marBottom w:val="0"/>
          <w:divBdr>
            <w:top w:val="none" w:sz="0" w:space="0" w:color="auto"/>
            <w:left w:val="none" w:sz="0" w:space="0" w:color="auto"/>
            <w:bottom w:val="none" w:sz="0" w:space="0" w:color="auto"/>
            <w:right w:val="none" w:sz="0" w:space="0" w:color="auto"/>
          </w:divBdr>
        </w:div>
      </w:divsChild>
    </w:div>
    <w:div w:id="1487353270">
      <w:bodyDiv w:val="1"/>
      <w:marLeft w:val="0"/>
      <w:marRight w:val="0"/>
      <w:marTop w:val="0"/>
      <w:marBottom w:val="0"/>
      <w:divBdr>
        <w:top w:val="none" w:sz="0" w:space="0" w:color="auto"/>
        <w:left w:val="none" w:sz="0" w:space="0" w:color="auto"/>
        <w:bottom w:val="none" w:sz="0" w:space="0" w:color="auto"/>
        <w:right w:val="none" w:sz="0" w:space="0" w:color="auto"/>
      </w:divBdr>
    </w:div>
    <w:div w:id="1519806858">
      <w:bodyDiv w:val="1"/>
      <w:marLeft w:val="0"/>
      <w:marRight w:val="0"/>
      <w:marTop w:val="0"/>
      <w:marBottom w:val="0"/>
      <w:divBdr>
        <w:top w:val="none" w:sz="0" w:space="0" w:color="auto"/>
        <w:left w:val="none" w:sz="0" w:space="0" w:color="auto"/>
        <w:bottom w:val="none" w:sz="0" w:space="0" w:color="auto"/>
        <w:right w:val="none" w:sz="0" w:space="0" w:color="auto"/>
      </w:divBdr>
    </w:div>
    <w:div w:id="1613509989">
      <w:bodyDiv w:val="1"/>
      <w:marLeft w:val="0"/>
      <w:marRight w:val="0"/>
      <w:marTop w:val="0"/>
      <w:marBottom w:val="0"/>
      <w:divBdr>
        <w:top w:val="none" w:sz="0" w:space="0" w:color="auto"/>
        <w:left w:val="none" w:sz="0" w:space="0" w:color="auto"/>
        <w:bottom w:val="none" w:sz="0" w:space="0" w:color="auto"/>
        <w:right w:val="none" w:sz="0" w:space="0" w:color="auto"/>
      </w:divBdr>
    </w:div>
    <w:div w:id="1741975463">
      <w:bodyDiv w:val="1"/>
      <w:marLeft w:val="0"/>
      <w:marRight w:val="0"/>
      <w:marTop w:val="0"/>
      <w:marBottom w:val="0"/>
      <w:divBdr>
        <w:top w:val="none" w:sz="0" w:space="0" w:color="auto"/>
        <w:left w:val="none" w:sz="0" w:space="0" w:color="auto"/>
        <w:bottom w:val="none" w:sz="0" w:space="0" w:color="auto"/>
        <w:right w:val="none" w:sz="0" w:space="0" w:color="auto"/>
      </w:divBdr>
    </w:div>
    <w:div w:id="1940063968">
      <w:bodyDiv w:val="1"/>
      <w:marLeft w:val="0"/>
      <w:marRight w:val="0"/>
      <w:marTop w:val="0"/>
      <w:marBottom w:val="0"/>
      <w:divBdr>
        <w:top w:val="none" w:sz="0" w:space="0" w:color="auto"/>
        <w:left w:val="none" w:sz="0" w:space="0" w:color="auto"/>
        <w:bottom w:val="none" w:sz="0" w:space="0" w:color="auto"/>
        <w:right w:val="none" w:sz="0" w:space="0" w:color="auto"/>
      </w:divBdr>
    </w:div>
    <w:div w:id="1948811008">
      <w:bodyDiv w:val="1"/>
      <w:marLeft w:val="0"/>
      <w:marRight w:val="0"/>
      <w:marTop w:val="0"/>
      <w:marBottom w:val="0"/>
      <w:divBdr>
        <w:top w:val="none" w:sz="0" w:space="0" w:color="auto"/>
        <w:left w:val="none" w:sz="0" w:space="0" w:color="auto"/>
        <w:bottom w:val="none" w:sz="0" w:space="0" w:color="auto"/>
        <w:right w:val="none" w:sz="0" w:space="0" w:color="auto"/>
      </w:divBdr>
    </w:div>
    <w:div w:id="1960800722">
      <w:bodyDiv w:val="1"/>
      <w:marLeft w:val="0"/>
      <w:marRight w:val="0"/>
      <w:marTop w:val="0"/>
      <w:marBottom w:val="0"/>
      <w:divBdr>
        <w:top w:val="none" w:sz="0" w:space="0" w:color="auto"/>
        <w:left w:val="none" w:sz="0" w:space="0" w:color="auto"/>
        <w:bottom w:val="none" w:sz="0" w:space="0" w:color="auto"/>
        <w:right w:val="none" w:sz="0" w:space="0" w:color="auto"/>
      </w:divBdr>
    </w:div>
    <w:div w:id="1972981057">
      <w:bodyDiv w:val="1"/>
      <w:marLeft w:val="0"/>
      <w:marRight w:val="0"/>
      <w:marTop w:val="0"/>
      <w:marBottom w:val="0"/>
      <w:divBdr>
        <w:top w:val="none" w:sz="0" w:space="0" w:color="auto"/>
        <w:left w:val="none" w:sz="0" w:space="0" w:color="auto"/>
        <w:bottom w:val="none" w:sz="0" w:space="0" w:color="auto"/>
        <w:right w:val="none" w:sz="0" w:space="0" w:color="auto"/>
      </w:divBdr>
    </w:div>
    <w:div w:id="2023310663">
      <w:bodyDiv w:val="1"/>
      <w:marLeft w:val="0"/>
      <w:marRight w:val="0"/>
      <w:marTop w:val="0"/>
      <w:marBottom w:val="0"/>
      <w:divBdr>
        <w:top w:val="none" w:sz="0" w:space="0" w:color="auto"/>
        <w:left w:val="none" w:sz="0" w:space="0" w:color="auto"/>
        <w:bottom w:val="none" w:sz="0" w:space="0" w:color="auto"/>
        <w:right w:val="none" w:sz="0" w:space="0" w:color="auto"/>
      </w:divBdr>
    </w:div>
    <w:div w:id="2121754511">
      <w:bodyDiv w:val="1"/>
      <w:marLeft w:val="0"/>
      <w:marRight w:val="0"/>
      <w:marTop w:val="0"/>
      <w:marBottom w:val="0"/>
      <w:divBdr>
        <w:top w:val="none" w:sz="0" w:space="0" w:color="auto"/>
        <w:left w:val="none" w:sz="0" w:space="0" w:color="auto"/>
        <w:bottom w:val="none" w:sz="0" w:space="0" w:color="auto"/>
        <w:right w:val="none" w:sz="0" w:space="0" w:color="auto"/>
      </w:divBdr>
    </w:div>
    <w:div w:id="213695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AA3B-DE6C-41CB-8DB7-5AEB55B0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4102</TotalTime>
  <Pages>11</Pages>
  <Words>21404</Words>
  <Characters>122006</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143124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Jeewani</dc:creator>
  <cp:keywords/>
  <dc:description/>
  <cp:lastModifiedBy>Riya Tayal</cp:lastModifiedBy>
  <cp:revision>29</cp:revision>
  <cp:lastPrinted>2025-11-01T09:44:00Z</cp:lastPrinted>
  <dcterms:created xsi:type="dcterms:W3CDTF">2026-02-13T07:24:00Z</dcterms:created>
  <dcterms:modified xsi:type="dcterms:W3CDTF">2026-02-19T11:50:00Z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e0b90a65-4016-3905-be8c-13e8965b95bb</vt:lpwstr>
  </property>
  <property fmtid="{D5CDD505-2E9C-101B-9397-08002B2CF9AE}" pid="24" name="Mendeley Citation Style_1">
    <vt:lpwstr>http://www.zotero.org/styles/apa</vt:lpwstr>
  </property>
</Properties>
</file>