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9044" w14:textId="77777777" w:rsidR="00425514" w:rsidRDefault="00425514">
      <w:pPr>
        <w:spacing w:line="360" w:lineRule="auto"/>
        <w:rPr>
          <w:rFonts w:ascii="Times New Roman" w:hAnsi="Times New Roman" w:cs="Times New Roman"/>
          <w:sz w:val="24"/>
          <w:szCs w:val="24"/>
        </w:rPr>
      </w:pPr>
    </w:p>
    <w:p w14:paraId="0E69530D" w14:textId="77777777" w:rsidR="00425514" w:rsidRDefault="00000000">
      <w:pPr>
        <w:spacing w:line="360" w:lineRule="auto"/>
        <w:rPr>
          <w:rFonts w:ascii="Times New Roman" w:hAnsi="Times New Roman" w:cs="Times New Roman"/>
          <w:b/>
          <w:bCs/>
          <w:sz w:val="28"/>
          <w:szCs w:val="28"/>
        </w:rPr>
      </w:pPr>
      <w:r>
        <w:rPr>
          <w:rFonts w:ascii="Times New Roman" w:hAnsi="Times New Roman" w:cs="Times New Roman"/>
          <w:b/>
          <w:bCs/>
          <w:sz w:val="28"/>
          <w:szCs w:val="28"/>
        </w:rPr>
        <w:t>Obtaining and Investigation of Compositions with Improved Performance Properties Based on SKI-3 Rubber</w:t>
      </w:r>
    </w:p>
    <w:p w14:paraId="0F3122F0" w14:textId="77777777" w:rsidR="00425514"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 xml:space="preserve">Obtaining and investigation of compositions with improved performance properties based on SKI-3 rubber is devoted to obtaining rubber based on SKI-3 grade rubber with improved physical-mechanical properties. For carrying out this work, for modification of SKI-3 rubber, butadiene-nitrile rubber of BNK-18 grade and polymethyl methacrylate (PMMA) were used. At the same time model rubber mixtures based on the optimal formulation were prepared. Based on the study of properties of model rubber mixtures of non-crystallizing special-purpose rubber BNK-18 and crystallizing general-purpose rubber SKI-3 it was established that in the composition of formulations of industrial elastomer compositions it is most expedient to use mechanically activated material in a planetary mill for 3 min To study the rheological properties of binary systems SKI-3 + BNK-18 compositions were prepared on rolls at a temperature of 140°C during 15 minutes and the obtained single-phase compositions under different loads and temperatures (from 130 to 173°C) had the melt flow indices of this composition determined. Thus as a result the technology of processing rubber mixtures based on SKI-3 + BNK-18 was determined; namely; processing temperature 175°C and pressure 12 MPa. On the basis of SKI-3 + BNK-18 rubber mixtures were prepared and vulcanization parameters were determined; vulcanization time 23 min and temperature 160°C. Study of physical-mechanical properties of vulcanizates showed that the tensile strength of the obtained rubber is 23 MPa, these indicators are 1.6 times greater than the standard. Keywords: SKI-3 and butadiene-nitrile rubber of BNK-18 grade, modification, vulcanization, melt indices of the composition, tensile strength. </w:t>
      </w:r>
      <w:r>
        <w:rPr>
          <w:rFonts w:ascii="Times New Roman" w:hAnsi="Times New Roman" w:cs="Times New Roman"/>
          <w:b/>
          <w:bCs/>
          <w:sz w:val="24"/>
          <w:szCs w:val="24"/>
        </w:rPr>
        <w:t>Introduction</w:t>
      </w:r>
    </w:p>
    <w:p w14:paraId="6B161093"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For modification composite of isoprene rubber (SKI-3) many authors on the basis of silicon dioxide was developed and obtained using multifunctional silane, 2-aminoethyl-2-(3</w:t>
      </w:r>
    </w:p>
    <w:p w14:paraId="4886CADE"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triethoxysilylpropyl)aminoethyldisulfide (ATD) as coupling agent[1-7]. Such modification significantly improved dispersion of silicon dioxide in the corresponding composites, which was confirmed by SEM observation. And hardness, tensile strength, stress at certain elongation, tear strength and increase of temperature, as well as value of dynamic loss coefficient in the range from 0°C to 80°C of vulcanized silica/IR composites, significantly improved, especially at low dosage of ATD (2–4 phr)[8-14]. This modification of IR composite based on silicon dioxide using ATD as coupling agent provides simple and effective way of obtaining rubber composites based on silicon dioxide with </w:t>
      </w:r>
      <w:r>
        <w:rPr>
          <w:rFonts w:ascii="Times New Roman" w:hAnsi="Times New Roman" w:cs="Times New Roman"/>
          <w:sz w:val="24"/>
          <w:szCs w:val="24"/>
        </w:rPr>
        <w:lastRenderedPageBreak/>
        <w:t xml:space="preserve">improved mechanical properties and low hysteresis. Elastomer materials for sealing devices operated in conditions of the Far North, including in the Republic of Sakha (Yakutia), must possess resistance to working media, frost resistance and wear resistance at acceptable physical-mechanical properties. Some of the listed properties are mutually exclusive and not always achievable in materials based on individual rubbers. Thus one of the promising methods of sealing elastomer materials is the use of rubber mixtures[15-19]. In this work model mixtures based on butadiene-nitrile (BNKS-18), butadiene (SKD) and isoprene (SKI-3) rubbers were investigated[20-25]. As component of mixture responsible for resistance to working media butadiene-nitrile rubber was chosen, and as components responsible for frost resistance – diene rubbers (SKD and SKI-3). Addition of SKI-3 also suppresses crystallization of butadiene rubber SKD. Increase of BNKS-18 content increases physical-mechanical properties, wear resistance and resistance to non-polar oils. Also decrease of low-temperature properties and resistance to polar oils was observed[26-29]. </w:t>
      </w:r>
    </w:p>
    <w:p w14:paraId="76217D0A" w14:textId="77777777" w:rsidR="00425514"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Method</w:t>
      </w:r>
    </w:p>
    <w:p w14:paraId="7DC6D307"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In this work on the basis of SKI-3 and BNKS-18AMN formulation of model rubber mixtures was developed.(Table1).</w:t>
      </w:r>
    </w:p>
    <w:p w14:paraId="4F9AB10C" w14:textId="7D2AD354" w:rsidR="00425514" w:rsidRDefault="009E2CF9">
      <w:pPr>
        <w:spacing w:line="360" w:lineRule="auto"/>
        <w:rPr>
          <w:rFonts w:ascii="Times New Roman" w:hAnsi="Times New Roman" w:cs="Times New Roman"/>
          <w:sz w:val="24"/>
          <w:szCs w:val="24"/>
        </w:rPr>
      </w:pPr>
      <w:r>
        <w:rPr>
          <w:rFonts w:ascii="Times New Roman" w:hAnsi="Times New Roman"/>
          <w:sz w:val="24"/>
          <w:szCs w:val="24"/>
        </w:rPr>
        <w:t>Table 1.Formulation of model rubber compounds based on SKI-3 and BNKS-18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2"/>
        <w:gridCol w:w="2614"/>
        <w:gridCol w:w="1696"/>
      </w:tblGrid>
      <w:tr w:rsidR="00425514" w14:paraId="3006AD4B" w14:textId="77777777">
        <w:trPr>
          <w:tblHeader/>
          <w:tblCellSpacing w:w="15" w:type="dxa"/>
        </w:trPr>
        <w:tc>
          <w:tcPr>
            <w:tcW w:w="0" w:type="auto"/>
            <w:vAlign w:val="center"/>
          </w:tcPr>
          <w:p w14:paraId="7C86FCC9"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Ingredient</w:t>
            </w:r>
          </w:p>
        </w:tc>
        <w:tc>
          <w:tcPr>
            <w:tcW w:w="0" w:type="auto"/>
            <w:vAlign w:val="center"/>
          </w:tcPr>
          <w:p w14:paraId="619CACA5"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Based on BNKS-18AMN</w:t>
            </w:r>
          </w:p>
        </w:tc>
        <w:tc>
          <w:tcPr>
            <w:tcW w:w="0" w:type="auto"/>
            <w:vAlign w:val="center"/>
          </w:tcPr>
          <w:p w14:paraId="52981912"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Based on SKI-3</w:t>
            </w:r>
          </w:p>
        </w:tc>
      </w:tr>
      <w:tr w:rsidR="00425514" w14:paraId="1331D990" w14:textId="77777777">
        <w:trPr>
          <w:tblCellSpacing w:w="15" w:type="dxa"/>
        </w:trPr>
        <w:tc>
          <w:tcPr>
            <w:tcW w:w="0" w:type="auto"/>
            <w:vAlign w:val="center"/>
          </w:tcPr>
          <w:p w14:paraId="0B32E35A"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SKI-3</w:t>
            </w:r>
          </w:p>
        </w:tc>
        <w:tc>
          <w:tcPr>
            <w:tcW w:w="0" w:type="auto"/>
            <w:vAlign w:val="center"/>
          </w:tcPr>
          <w:p w14:paraId="3A48A3A6"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14:paraId="0FBAFABD"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100.0</w:t>
            </w:r>
          </w:p>
        </w:tc>
      </w:tr>
      <w:tr w:rsidR="00425514" w14:paraId="35CBD449" w14:textId="77777777">
        <w:trPr>
          <w:tblCellSpacing w:w="15" w:type="dxa"/>
        </w:trPr>
        <w:tc>
          <w:tcPr>
            <w:tcW w:w="0" w:type="auto"/>
            <w:vAlign w:val="center"/>
          </w:tcPr>
          <w:p w14:paraId="7A7425ED"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BNKS-18AMN</w:t>
            </w:r>
          </w:p>
        </w:tc>
        <w:tc>
          <w:tcPr>
            <w:tcW w:w="0" w:type="auto"/>
            <w:vAlign w:val="center"/>
          </w:tcPr>
          <w:p w14:paraId="54DFF347"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100.0</w:t>
            </w:r>
          </w:p>
        </w:tc>
        <w:tc>
          <w:tcPr>
            <w:tcW w:w="0" w:type="auto"/>
            <w:vAlign w:val="center"/>
          </w:tcPr>
          <w:p w14:paraId="2E84C023"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425514" w14:paraId="3ED14898" w14:textId="77777777">
        <w:trPr>
          <w:tblCellSpacing w:w="15" w:type="dxa"/>
        </w:trPr>
        <w:tc>
          <w:tcPr>
            <w:tcW w:w="0" w:type="auto"/>
            <w:vAlign w:val="center"/>
          </w:tcPr>
          <w:p w14:paraId="679BB8A1"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Ground sulfur</w:t>
            </w:r>
          </w:p>
        </w:tc>
        <w:tc>
          <w:tcPr>
            <w:tcW w:w="0" w:type="auto"/>
            <w:vAlign w:val="center"/>
          </w:tcPr>
          <w:p w14:paraId="5C06D699"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p>
        </w:tc>
        <w:tc>
          <w:tcPr>
            <w:tcW w:w="0" w:type="auto"/>
            <w:vAlign w:val="center"/>
          </w:tcPr>
          <w:p w14:paraId="0D638AD2"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r>
      <w:tr w:rsidR="00425514" w14:paraId="50A49B41" w14:textId="77777777">
        <w:trPr>
          <w:tblCellSpacing w:w="15" w:type="dxa"/>
        </w:trPr>
        <w:tc>
          <w:tcPr>
            <w:tcW w:w="0" w:type="auto"/>
            <w:vAlign w:val="center"/>
          </w:tcPr>
          <w:p w14:paraId="7DDAD2CC"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Altax (accelerator)</w:t>
            </w:r>
          </w:p>
        </w:tc>
        <w:tc>
          <w:tcPr>
            <w:tcW w:w="0" w:type="auto"/>
            <w:vAlign w:val="center"/>
          </w:tcPr>
          <w:p w14:paraId="4ED5C54F"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14:paraId="79FF426F"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0.6</w:t>
            </w:r>
          </w:p>
        </w:tc>
      </w:tr>
      <w:tr w:rsidR="00425514" w14:paraId="43FCBD0C" w14:textId="77777777">
        <w:trPr>
          <w:tblCellSpacing w:w="15" w:type="dxa"/>
        </w:trPr>
        <w:tc>
          <w:tcPr>
            <w:tcW w:w="0" w:type="auto"/>
            <w:vAlign w:val="center"/>
          </w:tcPr>
          <w:p w14:paraId="55E4DB10"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Zinc oxide</w:t>
            </w:r>
          </w:p>
        </w:tc>
        <w:tc>
          <w:tcPr>
            <w:tcW w:w="0" w:type="auto"/>
            <w:vAlign w:val="center"/>
          </w:tcPr>
          <w:p w14:paraId="47B4D578"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w:t>
            </w:r>
          </w:p>
        </w:tc>
        <w:tc>
          <w:tcPr>
            <w:tcW w:w="0" w:type="auto"/>
            <w:vAlign w:val="center"/>
          </w:tcPr>
          <w:p w14:paraId="7F6E4291"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w:t>
            </w:r>
          </w:p>
        </w:tc>
      </w:tr>
      <w:tr w:rsidR="00425514" w14:paraId="4586349C" w14:textId="77777777">
        <w:trPr>
          <w:tblCellSpacing w:w="15" w:type="dxa"/>
        </w:trPr>
        <w:tc>
          <w:tcPr>
            <w:tcW w:w="0" w:type="auto"/>
            <w:vAlign w:val="center"/>
          </w:tcPr>
          <w:p w14:paraId="51ED3F50"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Guanidine F</w:t>
            </w:r>
          </w:p>
        </w:tc>
        <w:tc>
          <w:tcPr>
            <w:tcW w:w="0" w:type="auto"/>
            <w:vAlign w:val="center"/>
          </w:tcPr>
          <w:p w14:paraId="15A2C49F"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0" w:type="auto"/>
            <w:vAlign w:val="center"/>
          </w:tcPr>
          <w:p w14:paraId="205DB219"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3.0</w:t>
            </w:r>
          </w:p>
        </w:tc>
      </w:tr>
      <w:tr w:rsidR="00425514" w14:paraId="695D35E4" w14:textId="77777777">
        <w:trPr>
          <w:tblCellSpacing w:w="15" w:type="dxa"/>
        </w:trPr>
        <w:tc>
          <w:tcPr>
            <w:tcW w:w="0" w:type="auto"/>
            <w:vAlign w:val="center"/>
          </w:tcPr>
          <w:p w14:paraId="489D221B"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Sulfenamide C</w:t>
            </w:r>
          </w:p>
        </w:tc>
        <w:tc>
          <w:tcPr>
            <w:tcW w:w="0" w:type="auto"/>
            <w:vAlign w:val="center"/>
          </w:tcPr>
          <w:p w14:paraId="4F32530E"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0" w:type="auto"/>
            <w:vAlign w:val="center"/>
          </w:tcPr>
          <w:p w14:paraId="58A9137B"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425514" w14:paraId="1AAE8777" w14:textId="77777777">
        <w:trPr>
          <w:tblCellSpacing w:w="15" w:type="dxa"/>
        </w:trPr>
        <w:tc>
          <w:tcPr>
            <w:tcW w:w="0" w:type="auto"/>
            <w:vAlign w:val="center"/>
          </w:tcPr>
          <w:p w14:paraId="37E94E5C"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Industrial oil (SMZh)</w:t>
            </w:r>
          </w:p>
        </w:tc>
        <w:tc>
          <w:tcPr>
            <w:tcW w:w="0" w:type="auto"/>
            <w:vAlign w:val="center"/>
          </w:tcPr>
          <w:p w14:paraId="0C6FF3CB"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40.0</w:t>
            </w:r>
          </w:p>
        </w:tc>
        <w:tc>
          <w:tcPr>
            <w:tcW w:w="0" w:type="auto"/>
            <w:vAlign w:val="center"/>
          </w:tcPr>
          <w:p w14:paraId="3DE87A74" w14:textId="77777777" w:rsidR="00425514" w:rsidRDefault="00000000">
            <w:pPr>
              <w:spacing w:after="0" w:line="36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40.0</w:t>
            </w:r>
          </w:p>
        </w:tc>
      </w:tr>
    </w:tbl>
    <w:p w14:paraId="348F931C" w14:textId="77777777" w:rsidR="00425514" w:rsidRDefault="00425514">
      <w:pPr>
        <w:spacing w:line="360" w:lineRule="auto"/>
        <w:rPr>
          <w:rFonts w:ascii="Times New Roman" w:hAnsi="Times New Roman" w:cs="Times New Roman"/>
          <w:sz w:val="24"/>
          <w:szCs w:val="24"/>
          <w:lang w:val="ru-RU"/>
        </w:rPr>
      </w:pPr>
    </w:p>
    <w:p w14:paraId="24448F9C" w14:textId="1F03D1D0" w:rsidR="00F81331" w:rsidRPr="00D470AA" w:rsidRDefault="00000000" w:rsidP="00D470AA">
      <w:pPr>
        <w:spacing w:line="360" w:lineRule="auto"/>
      </w:pPr>
      <w:r>
        <w:rPr>
          <w:rFonts w:ascii="Times New Roman" w:hAnsi="Times New Roman" w:cs="Times New Roman"/>
          <w:sz w:val="24"/>
          <w:szCs w:val="24"/>
        </w:rPr>
        <w:lastRenderedPageBreak/>
        <w:t>Preparation of model rubber mixtures was carried out according to standard for SKI-3 and for BNKS-18AMN. Samples for comparison were model elastomer compositions filled with industrial filler – low-grade carbon black of N772 grade according to ASTM D1765-03.</w:t>
      </w:r>
      <w:r w:rsidR="00F81331">
        <w:rPr>
          <w:rFonts w:ascii="Times New Roman" w:hAnsi="Times New Roman" w:cs="Times New Roman"/>
          <w:sz w:val="24"/>
          <w:szCs w:val="24"/>
        </w:rPr>
        <w:t xml:space="preserve"> </w:t>
      </w:r>
      <w:r w:rsidR="00D470AA" w:rsidRPr="00D470AA">
        <w:t xml:space="preserve"> </w:t>
      </w:r>
    </w:p>
    <w:p w14:paraId="75461D79" w14:textId="77777777" w:rsidR="00F81331" w:rsidRPr="002F233A" w:rsidRDefault="00F81331" w:rsidP="00F81331">
      <w:pPr>
        <w:rPr>
          <w:b/>
        </w:rPr>
      </w:pPr>
      <w:r w:rsidRPr="002F233A">
        <w:rPr>
          <w:b/>
        </w:rPr>
        <w:t>SKI-3 Modification with PB and PMMA</w:t>
      </w:r>
    </w:p>
    <w:p w14:paraId="1DE5A7F1" w14:textId="5EA18008" w:rsidR="00F81331" w:rsidRDefault="00F81331" w:rsidP="00F81331">
      <w:r>
        <w:t>The SKI-3 modification with PB and PMMA wires was tested at various temperatures (°C): 1 – 85; 2 – 90; 3 – 95; 4 – 100; 5 – 105. The images obtained are shown in Figures 1 and 2.</w:t>
      </w:r>
    </w:p>
    <w:p w14:paraId="0E687B21" w14:textId="74B994C2" w:rsidR="00F81331" w:rsidRDefault="00F81331" w:rsidP="00F81331">
      <w:r w:rsidRPr="007D2245">
        <w:rPr>
          <w:rFonts w:ascii="Times New Roman" w:hAnsi="Times New Roman" w:cs="Times New Roman"/>
          <w:noProof/>
          <w:sz w:val="24"/>
          <w:szCs w:val="24"/>
          <w:lang w:val="ru-RU" w:eastAsia="ru-RU"/>
        </w:rPr>
        <w:drawing>
          <wp:anchor distT="0" distB="0" distL="114300" distR="114300" simplePos="0" relativeHeight="251643904" behindDoc="0" locked="0" layoutInCell="1" allowOverlap="1" wp14:anchorId="7A0C2004" wp14:editId="204712B5">
            <wp:simplePos x="0" y="0"/>
            <wp:positionH relativeFrom="column">
              <wp:posOffset>62865</wp:posOffset>
            </wp:positionH>
            <wp:positionV relativeFrom="paragraph">
              <wp:posOffset>434975</wp:posOffset>
            </wp:positionV>
            <wp:extent cx="4562475" cy="2689860"/>
            <wp:effectExtent l="0" t="0" r="9525" b="15240"/>
            <wp:wrapTopAndBottom/>
            <wp:docPr id="1501913661" name="Диаграмма 150191366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59486BC4" w14:textId="26F5D0D4" w:rsidR="00F81331" w:rsidRDefault="00F81331" w:rsidP="00F81331">
      <w:r>
        <w:t>Figure 1.SKI-3 modification versus modification reaction time at various temperatures.</w:t>
      </w:r>
    </w:p>
    <w:p w14:paraId="4A5B22AF" w14:textId="77777777" w:rsidR="00F81331" w:rsidRDefault="00F81331" w:rsidP="00F81331">
      <w:r>
        <w:t>As can be seen, the best results are achieved with a reaction time of 30 minutes and a temperature of 105°C.</w:t>
      </w:r>
    </w:p>
    <w:p w14:paraId="254E5D4E" w14:textId="77777777" w:rsidR="00F81331" w:rsidRDefault="00F81331" w:rsidP="00F81331">
      <w:r>
        <w:t>SKI-3 conversion versus modification reaction time at various PB contents, % (wt): 1 – 1.0; 2 – 1.5; 3 – 2.0; 4 – 2.5.</w:t>
      </w:r>
    </w:p>
    <w:p w14:paraId="4A5E48FC" w14:textId="3C4292D0" w:rsidR="00F81331" w:rsidRDefault="00F81331" w:rsidP="00F81331">
      <w:r w:rsidRPr="00886F59">
        <w:rPr>
          <w:rFonts w:ascii="Times New Roman" w:hAnsi="Times New Roman" w:cs="Times New Roman"/>
          <w:noProof/>
          <w:sz w:val="28"/>
          <w:szCs w:val="28"/>
          <w:lang w:val="ru-RU" w:eastAsia="ru-RU"/>
        </w:rPr>
        <w:lastRenderedPageBreak/>
        <w:drawing>
          <wp:anchor distT="0" distB="0" distL="114300" distR="114300" simplePos="0" relativeHeight="251645952" behindDoc="0" locked="0" layoutInCell="1" allowOverlap="1" wp14:anchorId="1C30C580" wp14:editId="16158363">
            <wp:simplePos x="0" y="0"/>
            <wp:positionH relativeFrom="column">
              <wp:posOffset>1143000</wp:posOffset>
            </wp:positionH>
            <wp:positionV relativeFrom="paragraph">
              <wp:posOffset>339725</wp:posOffset>
            </wp:positionV>
            <wp:extent cx="2889250" cy="3166745"/>
            <wp:effectExtent l="0" t="0" r="6350" b="0"/>
            <wp:wrapTopAndBottom/>
            <wp:docPr id="9" name="Рисунок 9" descr="C:\Users\HP\AppData\Local\Packages\AdobeSystemsIncorporated.AdobePhotoshopExpress_ynb6jyjzte8ga\LocalState\Share\Images\AdobePhotoshopExpress_7cf8c5e9a26a4edca46977bb25054796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HP\AppData\Local\Packages\AdobeSystemsIncorporated.AdobePhotoshopExpress_ynb6jyjzte8ga\LocalState\Share\Images\AdobePhotoshopExpress_7cf8c5e9a26a4edca46977bb25054796_CopyEdit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0" cy="316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2C89C" w14:textId="0ED1FFC4" w:rsidR="00F81331" w:rsidRDefault="00F81331" w:rsidP="00F81331">
      <w:r>
        <w:t>Figure 2.SKI-3 modified with PB.</w:t>
      </w:r>
    </w:p>
    <w:p w14:paraId="3776D314" w14:textId="77777777" w:rsidR="00F81331" w:rsidRDefault="00F81331" w:rsidP="00F81331">
      <w:r>
        <w:t>To confirm the modification, IR spectra of SKI-3 modified with PB (2.5 wt%) were obtained. The data are presented in Figure 3.</w:t>
      </w:r>
    </w:p>
    <w:p w14:paraId="648C67E7" w14:textId="5ECE3A8B" w:rsidR="00F81331" w:rsidRDefault="00F81331" w:rsidP="00F81331">
      <w:r w:rsidRPr="005E4F24">
        <w:rPr>
          <w:noProof/>
          <w:lang w:val="ru-RU" w:eastAsia="ru-RU"/>
        </w:rPr>
        <w:drawing>
          <wp:anchor distT="0" distB="0" distL="114300" distR="114300" simplePos="0" relativeHeight="251648000" behindDoc="0" locked="0" layoutInCell="1" allowOverlap="1" wp14:anchorId="525E362B" wp14:editId="0350FB39">
            <wp:simplePos x="0" y="0"/>
            <wp:positionH relativeFrom="column">
              <wp:posOffset>116840</wp:posOffset>
            </wp:positionH>
            <wp:positionV relativeFrom="paragraph">
              <wp:posOffset>343535</wp:posOffset>
            </wp:positionV>
            <wp:extent cx="4813300" cy="2853690"/>
            <wp:effectExtent l="0" t="0" r="6350" b="381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13300" cy="2853690"/>
                    </a:xfrm>
                    <a:prstGeom prst="rect">
                      <a:avLst/>
                    </a:prstGeom>
                  </pic:spPr>
                </pic:pic>
              </a:graphicData>
            </a:graphic>
            <wp14:sizeRelH relativeFrom="margin">
              <wp14:pctWidth>0</wp14:pctWidth>
            </wp14:sizeRelH>
            <wp14:sizeRelV relativeFrom="margin">
              <wp14:pctHeight>0</wp14:pctHeight>
            </wp14:sizeRelV>
          </wp:anchor>
        </w:drawing>
      </w:r>
    </w:p>
    <w:p w14:paraId="797AE740" w14:textId="26948220" w:rsidR="00F81331" w:rsidRDefault="00F81331" w:rsidP="00F81331">
      <w:r>
        <w:t>Gigure 3.IR spectra of SKI-3 modified with PB (2.5% by weight).</w:t>
      </w:r>
    </w:p>
    <w:p w14:paraId="7B067663" w14:textId="77777777" w:rsidR="00F81331" w:rsidRDefault="00F81331" w:rsidP="00F81331">
      <w:r>
        <w:t>The dependence of the SKI-3 modification rate constant on temperature and PB concentration was subsequently determined (Figures 3, 4, and 5).</w:t>
      </w:r>
    </w:p>
    <w:p w14:paraId="41F8A2C9" w14:textId="5F95CB4D" w:rsidR="00F81331" w:rsidRDefault="00F81331" w:rsidP="00F81331">
      <w:r w:rsidRPr="007D2245">
        <w:rPr>
          <w:noProof/>
          <w:lang w:val="ru-RU" w:eastAsia="ru-RU"/>
        </w:rPr>
        <w:lastRenderedPageBreak/>
        <w:drawing>
          <wp:anchor distT="0" distB="0" distL="114300" distR="114300" simplePos="0" relativeHeight="251651072" behindDoc="0" locked="0" layoutInCell="1" allowOverlap="1" wp14:anchorId="54C266E3" wp14:editId="40F2009D">
            <wp:simplePos x="0" y="0"/>
            <wp:positionH relativeFrom="column">
              <wp:posOffset>131445</wp:posOffset>
            </wp:positionH>
            <wp:positionV relativeFrom="paragraph">
              <wp:posOffset>367030</wp:posOffset>
            </wp:positionV>
            <wp:extent cx="4694555" cy="3041650"/>
            <wp:effectExtent l="0" t="0" r="10795" b="6350"/>
            <wp:wrapTopAndBottom/>
            <wp:docPr id="833725646" name="Диаграмма 8337256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A89C55E" w14:textId="0D52566F" w:rsidR="00F81331" w:rsidRDefault="00F81331" w:rsidP="00F81331">
      <w:r>
        <w:t>Figure4.</w:t>
      </w:r>
      <w:r w:rsidRPr="00A565D9">
        <w:t>Dependence of the rate constant of modification of SKI-3 on temperature</w:t>
      </w:r>
      <w:r>
        <w:t xml:space="preserve"> and on the concentration of PB.</w:t>
      </w:r>
    </w:p>
    <w:p w14:paraId="1265AAE0" w14:textId="18995D27" w:rsidR="00F81331" w:rsidRDefault="00F81331" w:rsidP="00D470AA">
      <w:pPr>
        <w:spacing w:after="0"/>
      </w:pPr>
      <w:r w:rsidRPr="007D2245">
        <w:rPr>
          <w:noProof/>
          <w:lang w:val="ru-RU" w:eastAsia="ru-RU"/>
        </w:rPr>
        <w:drawing>
          <wp:anchor distT="0" distB="0" distL="114300" distR="114300" simplePos="0" relativeHeight="251653120" behindDoc="0" locked="0" layoutInCell="1" allowOverlap="1" wp14:anchorId="1F0E51F7" wp14:editId="036B3CC9">
            <wp:simplePos x="0" y="0"/>
            <wp:positionH relativeFrom="column">
              <wp:posOffset>241300</wp:posOffset>
            </wp:positionH>
            <wp:positionV relativeFrom="paragraph">
              <wp:posOffset>348615</wp:posOffset>
            </wp:positionV>
            <wp:extent cx="4238625" cy="3286125"/>
            <wp:effectExtent l="0" t="0" r="9525" b="9525"/>
            <wp:wrapTopAndBottom/>
            <wp:docPr id="31691945" name="Диаграмма 316919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1591370" w14:textId="3DB79FDB" w:rsidR="00F81331" w:rsidRDefault="00F81331" w:rsidP="00F81331">
      <w:r>
        <w:t>Figure5.</w:t>
      </w:r>
      <w:r w:rsidRPr="00A565D9">
        <w:t>Dependence of the modification rate of SKI-3 on temperature at a PB initiat</w:t>
      </w:r>
      <w:r>
        <w:t>or concentration of 1.5% (mass).</w:t>
      </w:r>
    </w:p>
    <w:p w14:paraId="314B9524" w14:textId="6B1524F0" w:rsidR="00F81331" w:rsidRDefault="00F81331" w:rsidP="00D470AA">
      <w:pPr>
        <w:spacing w:after="0"/>
      </w:pPr>
      <w:r w:rsidRPr="007D2245">
        <w:rPr>
          <w:noProof/>
          <w:lang w:val="ru-RU" w:eastAsia="ru-RU"/>
        </w:rPr>
        <w:lastRenderedPageBreak/>
        <w:drawing>
          <wp:anchor distT="0" distB="0" distL="114300" distR="114300" simplePos="0" relativeHeight="251657216" behindDoc="0" locked="0" layoutInCell="1" allowOverlap="1" wp14:anchorId="4407AC82" wp14:editId="7571C79F">
            <wp:simplePos x="0" y="0"/>
            <wp:positionH relativeFrom="column">
              <wp:posOffset>361950</wp:posOffset>
            </wp:positionH>
            <wp:positionV relativeFrom="paragraph">
              <wp:posOffset>353695</wp:posOffset>
            </wp:positionV>
            <wp:extent cx="4162425" cy="2714625"/>
            <wp:effectExtent l="0" t="0" r="9525" b="9525"/>
            <wp:wrapTopAndBottom/>
            <wp:docPr id="743052132" name="Диаграмма 743052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BA55DAB" w14:textId="46B47D3F" w:rsidR="00F81331" w:rsidRDefault="00F81331" w:rsidP="00F81331">
      <w:r w:rsidRPr="00A565D9">
        <w:t xml:space="preserve"> </w:t>
      </w:r>
      <w:r>
        <w:t>Figure 6.</w:t>
      </w:r>
      <w:r w:rsidRPr="00A565D9">
        <w:t>Dependence of E₀ (1), Eₘ (3) and qₘ (2) of SKI-3 mod</w:t>
      </w:r>
      <w:r>
        <w:t>ified with PB on the PB content.</w:t>
      </w:r>
    </w:p>
    <w:p w14:paraId="52074FEC" w14:textId="77777777" w:rsidR="00F81331" w:rsidRDefault="00F81331" w:rsidP="00F81331">
      <w:r w:rsidRPr="00A565D9">
        <w:t>A study of the derivatograms of SKI-3 modified with PB (2 and 2.5; 3 and 5.0% by weight) showed that after modification the composition increases its mechanical strength, wh</w:t>
      </w:r>
      <w:r>
        <w:t>ich is clearly seen in Figure 6.</w:t>
      </w:r>
    </w:p>
    <w:p w14:paraId="7D91F2AA" w14:textId="62277431" w:rsidR="00F81331" w:rsidRDefault="00F81331" w:rsidP="00D470AA">
      <w:pPr>
        <w:spacing w:after="0"/>
      </w:pPr>
      <w:r w:rsidRPr="00D61955">
        <w:rPr>
          <w:rFonts w:ascii="Calibri" w:hAnsi="Calibri" w:cs="Calibri"/>
          <w:noProof/>
          <w:lang w:val="ru-RU" w:eastAsia="ru-RU"/>
        </w:rPr>
        <w:drawing>
          <wp:anchor distT="0" distB="0" distL="114300" distR="114300" simplePos="0" relativeHeight="251655168" behindDoc="0" locked="0" layoutInCell="1" allowOverlap="1" wp14:anchorId="29041B25" wp14:editId="1D922200">
            <wp:simplePos x="0" y="0"/>
            <wp:positionH relativeFrom="column">
              <wp:posOffset>1274445</wp:posOffset>
            </wp:positionH>
            <wp:positionV relativeFrom="paragraph">
              <wp:posOffset>496570</wp:posOffset>
            </wp:positionV>
            <wp:extent cx="2577465" cy="314706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77465" cy="3147060"/>
                    </a:xfrm>
                    <a:prstGeom prst="rect">
                      <a:avLst/>
                    </a:prstGeom>
                  </pic:spPr>
                </pic:pic>
              </a:graphicData>
            </a:graphic>
          </wp:anchor>
        </w:drawing>
      </w:r>
    </w:p>
    <w:p w14:paraId="63174D1B" w14:textId="373DF9F3" w:rsidR="00F81331" w:rsidRDefault="00F81331" w:rsidP="00F81331">
      <w:r>
        <w:t>Figure7.Derivative patterns of SKI-3 modified with PB.</w:t>
      </w:r>
    </w:p>
    <w:p w14:paraId="0FF5EDA3" w14:textId="77777777" w:rsidR="00F81331" w:rsidRDefault="00F81331" w:rsidP="00D470AA">
      <w:pPr>
        <w:spacing w:after="0"/>
      </w:pPr>
      <w:r>
        <w:t>A study of the IR spectra of the original SKI-3 and modified PB (2.5% by weight) showed that the modification provides the best performance at a content of 2–5 parts by weight.</w:t>
      </w:r>
    </w:p>
    <w:p w14:paraId="68AA3E1C" w14:textId="50C8C945" w:rsidR="00F81331" w:rsidRDefault="00F81331" w:rsidP="00D470AA">
      <w:pPr>
        <w:spacing w:after="0"/>
      </w:pPr>
      <w:r w:rsidRPr="005E4F24">
        <w:rPr>
          <w:noProof/>
          <w:lang w:val="ru-RU" w:eastAsia="ru-RU"/>
        </w:rPr>
        <w:lastRenderedPageBreak/>
        <w:drawing>
          <wp:anchor distT="0" distB="0" distL="114300" distR="114300" simplePos="0" relativeHeight="251656192" behindDoc="0" locked="0" layoutInCell="1" allowOverlap="1" wp14:anchorId="0A2F1F63" wp14:editId="4CD3D415">
            <wp:simplePos x="0" y="0"/>
            <wp:positionH relativeFrom="column">
              <wp:posOffset>657225</wp:posOffset>
            </wp:positionH>
            <wp:positionV relativeFrom="paragraph">
              <wp:posOffset>361315</wp:posOffset>
            </wp:positionV>
            <wp:extent cx="3679825" cy="2181225"/>
            <wp:effectExtent l="0" t="0" r="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79825" cy="2181225"/>
                    </a:xfrm>
                    <a:prstGeom prst="rect">
                      <a:avLst/>
                    </a:prstGeom>
                  </pic:spPr>
                </pic:pic>
              </a:graphicData>
            </a:graphic>
            <wp14:sizeRelH relativeFrom="margin">
              <wp14:pctWidth>0</wp14:pctWidth>
            </wp14:sizeRelH>
            <wp14:sizeRelV relativeFrom="margin">
              <wp14:pctHeight>0</wp14:pctHeight>
            </wp14:sizeRelV>
          </wp:anchor>
        </w:drawing>
      </w:r>
    </w:p>
    <w:p w14:paraId="661DA557" w14:textId="279CB9C2" w:rsidR="00F81331" w:rsidRDefault="00F81331" w:rsidP="00F81331">
      <w:pPr>
        <w:rPr>
          <w:lang w:val="ru-RU"/>
        </w:rPr>
      </w:pPr>
      <w:r>
        <w:t>Figure8.</w:t>
      </w:r>
      <w:r w:rsidRPr="00A565D9">
        <w:t>IR spectra of the original SKI-3 and modified PB (2–5% by</w:t>
      </w:r>
      <w:r>
        <w:t xml:space="preserve"> weight) extracted with benzene.</w:t>
      </w:r>
    </w:p>
    <w:p w14:paraId="629B5F16" w14:textId="41FBEC62" w:rsidR="00425514" w:rsidRPr="00D470AA" w:rsidRDefault="00D470AA" w:rsidP="00D470AA">
      <w:pPr>
        <w:spacing w:after="0"/>
        <w:rPr>
          <w:rFonts w:ascii="Times New Roman" w:hAnsi="Times New Roman" w:cs="Times New Roman"/>
          <w:sz w:val="24"/>
          <w:szCs w:val="24"/>
        </w:rPr>
      </w:pPr>
      <w:r w:rsidRPr="00D470AA">
        <w:t xml:space="preserve">fter the production of rubber compounds based on the formulation we selected, the vulcanization process was carried out at a temperature of 158C for 26 minutes and the main parameters of the obtained vulcanizates were determined (Table 2). </w:t>
      </w:r>
    </w:p>
    <w:p w14:paraId="7D9BC647" w14:textId="2B92BF66" w:rsidR="00425514" w:rsidRDefault="00000000">
      <w:pPr>
        <w:spacing w:after="16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Table </w:t>
      </w:r>
      <w:r w:rsidR="00D470AA">
        <w:rPr>
          <w:rFonts w:ascii="Times New Roman" w:eastAsia="Calibri" w:hAnsi="Times New Roman" w:cs="Times New Roman"/>
          <w:bCs/>
          <w:sz w:val="24"/>
          <w:szCs w:val="24"/>
        </w:rPr>
        <w:t>2.</w:t>
      </w:r>
      <w:r w:rsidR="00D470AA" w:rsidRPr="00D470AA">
        <w:rPr>
          <w:rFonts w:ascii="Times New Roman" w:eastAsia="Calibri" w:hAnsi="Times New Roman" w:cs="Times New Roman"/>
          <w:bCs/>
          <w:sz w:val="20"/>
          <w:szCs w:val="20"/>
          <w:lang w:val="az-Latn-AZ"/>
        </w:rPr>
        <w:t xml:space="preserve"> RESULTS</w:t>
      </w:r>
      <w:r w:rsidRPr="00D470AA">
        <w:rPr>
          <w:rFonts w:ascii="Times New Roman" w:eastAsia="Calibri" w:hAnsi="Times New Roman" w:cs="Times New Roman"/>
          <w:bCs/>
          <w:sz w:val="20"/>
          <w:szCs w:val="20"/>
          <w:lang w:val="az-Latn-AZ"/>
        </w:rPr>
        <w:t xml:space="preserve"> OF EXPERIMENTAL RESEARCH</w:t>
      </w:r>
      <w:r>
        <w:rPr>
          <w:rFonts w:ascii="Times New Roman" w:eastAsia="Calibri" w:hAnsi="Times New Roman" w:cs="Times New Roman"/>
          <w:bCs/>
          <w:sz w:val="24"/>
          <w:szCs w:val="24"/>
          <w:lang w:val="az-Latn-AZ"/>
        </w:rPr>
        <w:t xml:space="preserve"> </w:t>
      </w:r>
    </w:p>
    <w:tbl>
      <w:tblPr>
        <w:tblW w:w="10094" w:type="dxa"/>
        <w:tblInd w:w="-318" w:type="dxa"/>
        <w:tblLook w:val="04A0" w:firstRow="1" w:lastRow="0" w:firstColumn="1" w:lastColumn="0" w:noHBand="0" w:noVBand="1"/>
      </w:tblPr>
      <w:tblGrid>
        <w:gridCol w:w="456"/>
        <w:gridCol w:w="2512"/>
        <w:gridCol w:w="1164"/>
        <w:gridCol w:w="1164"/>
        <w:gridCol w:w="1229"/>
        <w:gridCol w:w="1183"/>
        <w:gridCol w:w="1165"/>
        <w:gridCol w:w="1221"/>
      </w:tblGrid>
      <w:tr w:rsidR="00425514" w14:paraId="6AB14B1D" w14:textId="77777777" w:rsidTr="00F81331">
        <w:trPr>
          <w:trHeight w:val="300"/>
        </w:trPr>
        <w:tc>
          <w:tcPr>
            <w:tcW w:w="284" w:type="dxa"/>
            <w:vMerge w:val="restart"/>
            <w:tcBorders>
              <w:top w:val="single" w:sz="4" w:space="0" w:color="000000"/>
              <w:left w:val="single" w:sz="4" w:space="0" w:color="000000"/>
              <w:bottom w:val="single" w:sz="4" w:space="0" w:color="000000"/>
              <w:right w:val="single" w:sz="4" w:space="0" w:color="000000"/>
            </w:tcBorders>
            <w:vAlign w:val="center"/>
          </w:tcPr>
          <w:p w14:paraId="5C12893A" w14:textId="77777777" w:rsidR="00425514" w:rsidRDefault="00000000">
            <w:pPr>
              <w:spacing w:after="0" w:line="36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w:t>
            </w:r>
          </w:p>
        </w:tc>
        <w:tc>
          <w:tcPr>
            <w:tcW w:w="2555" w:type="dxa"/>
            <w:vMerge w:val="restart"/>
            <w:tcBorders>
              <w:top w:val="single" w:sz="4" w:space="0" w:color="000000"/>
              <w:left w:val="single" w:sz="4" w:space="0" w:color="000000"/>
              <w:bottom w:val="single" w:sz="4" w:space="0" w:color="000000"/>
              <w:right w:val="single" w:sz="4" w:space="0" w:color="000000"/>
            </w:tcBorders>
            <w:vAlign w:val="center"/>
          </w:tcPr>
          <w:p w14:paraId="4E276497" w14:textId="77777777" w:rsidR="00425514" w:rsidRDefault="00000000">
            <w:pPr>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ru-RU" w:eastAsia="ru-RU"/>
              </w:rPr>
              <w:t>Parameter name</w:t>
            </w:r>
          </w:p>
        </w:tc>
        <w:tc>
          <w:tcPr>
            <w:tcW w:w="3622" w:type="dxa"/>
            <w:gridSpan w:val="3"/>
            <w:tcBorders>
              <w:top w:val="single" w:sz="4" w:space="0" w:color="000000"/>
              <w:left w:val="nil"/>
              <w:bottom w:val="single" w:sz="4" w:space="0" w:color="000000"/>
              <w:right w:val="single" w:sz="4" w:space="0" w:color="000000"/>
            </w:tcBorders>
          </w:tcPr>
          <w:p w14:paraId="584ACB9F" w14:textId="77777777" w:rsidR="00425514" w:rsidRDefault="00000000">
            <w:pPr>
              <w:spacing w:after="160" w:line="36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Known value</w:t>
            </w:r>
          </w:p>
        </w:tc>
        <w:tc>
          <w:tcPr>
            <w:tcW w:w="3633" w:type="dxa"/>
            <w:gridSpan w:val="3"/>
            <w:tcBorders>
              <w:top w:val="single" w:sz="4" w:space="0" w:color="000000"/>
              <w:left w:val="nil"/>
              <w:bottom w:val="single" w:sz="4" w:space="0" w:color="000000"/>
              <w:right w:val="single" w:sz="4" w:space="0" w:color="000000"/>
            </w:tcBorders>
            <w:vAlign w:val="center"/>
          </w:tcPr>
          <w:p w14:paraId="487279A3" w14:textId="77777777" w:rsidR="00425514" w:rsidRDefault="00000000">
            <w:pPr>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ru-RU" w:eastAsia="ru-RU"/>
              </w:rPr>
              <w:t>Proposed values</w:t>
            </w:r>
          </w:p>
        </w:tc>
      </w:tr>
      <w:tr w:rsidR="00425514" w14:paraId="66FE8312" w14:textId="77777777" w:rsidTr="00F81331">
        <w:trPr>
          <w:trHeight w:val="300"/>
        </w:trPr>
        <w:tc>
          <w:tcPr>
            <w:tcW w:w="284" w:type="dxa"/>
            <w:vMerge/>
            <w:tcBorders>
              <w:top w:val="single" w:sz="4" w:space="0" w:color="000000"/>
              <w:left w:val="single" w:sz="4" w:space="0" w:color="000000"/>
              <w:bottom w:val="single" w:sz="4" w:space="0" w:color="000000"/>
              <w:right w:val="single" w:sz="4" w:space="0" w:color="000000"/>
            </w:tcBorders>
            <w:vAlign w:val="center"/>
          </w:tcPr>
          <w:p w14:paraId="2E9B7CC4" w14:textId="77777777" w:rsidR="00425514" w:rsidRDefault="00425514">
            <w:pPr>
              <w:spacing w:after="0" w:line="360" w:lineRule="auto"/>
              <w:jc w:val="center"/>
              <w:rPr>
                <w:rFonts w:ascii="Times New Roman" w:eastAsia="Times New Roman" w:hAnsi="Times New Roman" w:cs="Times New Roman"/>
                <w:b/>
                <w:bCs/>
                <w:sz w:val="24"/>
                <w:szCs w:val="24"/>
                <w:lang w:val="ru-RU" w:eastAsia="ru-RU"/>
              </w:rPr>
            </w:pPr>
          </w:p>
        </w:tc>
        <w:tc>
          <w:tcPr>
            <w:tcW w:w="2555" w:type="dxa"/>
            <w:vMerge/>
            <w:tcBorders>
              <w:top w:val="single" w:sz="4" w:space="0" w:color="000000"/>
              <w:left w:val="single" w:sz="4" w:space="0" w:color="000000"/>
              <w:bottom w:val="single" w:sz="4" w:space="0" w:color="000000"/>
              <w:right w:val="single" w:sz="4" w:space="0" w:color="000000"/>
            </w:tcBorders>
            <w:vAlign w:val="center"/>
          </w:tcPr>
          <w:p w14:paraId="1E0E2DE4" w14:textId="77777777" w:rsidR="00425514" w:rsidRDefault="00425514">
            <w:pPr>
              <w:spacing w:after="0" w:line="360" w:lineRule="auto"/>
              <w:jc w:val="center"/>
              <w:rPr>
                <w:rFonts w:ascii="Times New Roman" w:eastAsia="Times New Roman" w:hAnsi="Times New Roman" w:cs="Times New Roman"/>
                <w:b/>
                <w:bCs/>
                <w:sz w:val="24"/>
                <w:szCs w:val="24"/>
                <w:lang w:val="ru-RU" w:eastAsia="ru-RU"/>
              </w:rPr>
            </w:pPr>
          </w:p>
        </w:tc>
        <w:tc>
          <w:tcPr>
            <w:tcW w:w="1185" w:type="dxa"/>
            <w:tcBorders>
              <w:top w:val="nil"/>
              <w:left w:val="nil"/>
              <w:bottom w:val="single" w:sz="4" w:space="0" w:color="000000"/>
              <w:right w:val="single" w:sz="4" w:space="0" w:color="000000"/>
            </w:tcBorders>
            <w:vAlign w:val="center"/>
          </w:tcPr>
          <w:p w14:paraId="210350A2"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1</w:t>
            </w:r>
          </w:p>
        </w:tc>
        <w:tc>
          <w:tcPr>
            <w:tcW w:w="1185" w:type="dxa"/>
            <w:tcBorders>
              <w:top w:val="nil"/>
              <w:left w:val="nil"/>
              <w:bottom w:val="single" w:sz="4" w:space="0" w:color="000000"/>
              <w:right w:val="single" w:sz="4" w:space="0" w:color="000000"/>
            </w:tcBorders>
            <w:vAlign w:val="center"/>
          </w:tcPr>
          <w:p w14:paraId="1739114C"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2</w:t>
            </w:r>
          </w:p>
        </w:tc>
        <w:tc>
          <w:tcPr>
            <w:tcW w:w="1252" w:type="dxa"/>
            <w:tcBorders>
              <w:top w:val="nil"/>
              <w:left w:val="nil"/>
              <w:bottom w:val="single" w:sz="4" w:space="0" w:color="000000"/>
              <w:right w:val="single" w:sz="4" w:space="0" w:color="000000"/>
            </w:tcBorders>
            <w:vAlign w:val="center"/>
          </w:tcPr>
          <w:p w14:paraId="03595E2A"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3</w:t>
            </w:r>
          </w:p>
        </w:tc>
        <w:tc>
          <w:tcPr>
            <w:tcW w:w="1204" w:type="dxa"/>
            <w:tcBorders>
              <w:top w:val="nil"/>
              <w:left w:val="nil"/>
              <w:bottom w:val="single" w:sz="4" w:space="0" w:color="000000"/>
              <w:right w:val="single" w:sz="4" w:space="0" w:color="000000"/>
            </w:tcBorders>
            <w:vAlign w:val="center"/>
          </w:tcPr>
          <w:p w14:paraId="167E24A9"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4</w:t>
            </w:r>
          </w:p>
        </w:tc>
        <w:tc>
          <w:tcPr>
            <w:tcW w:w="1185" w:type="dxa"/>
            <w:tcBorders>
              <w:top w:val="nil"/>
              <w:left w:val="nil"/>
              <w:bottom w:val="single" w:sz="4" w:space="0" w:color="000000"/>
              <w:right w:val="single" w:sz="4" w:space="0" w:color="000000"/>
            </w:tcBorders>
            <w:vAlign w:val="center"/>
          </w:tcPr>
          <w:p w14:paraId="0051321A"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5</w:t>
            </w:r>
          </w:p>
        </w:tc>
        <w:tc>
          <w:tcPr>
            <w:tcW w:w="1244" w:type="dxa"/>
            <w:tcBorders>
              <w:top w:val="nil"/>
              <w:left w:val="nil"/>
              <w:bottom w:val="single" w:sz="4" w:space="0" w:color="000000"/>
              <w:right w:val="single" w:sz="4" w:space="0" w:color="000000"/>
            </w:tcBorders>
            <w:vAlign w:val="center"/>
          </w:tcPr>
          <w:p w14:paraId="45FBC698" w14:textId="77777777" w:rsidR="00425514" w:rsidRDefault="00000000">
            <w:pPr>
              <w:spacing w:after="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6</w:t>
            </w:r>
          </w:p>
        </w:tc>
      </w:tr>
      <w:tr w:rsidR="00425514" w14:paraId="24BA4F45" w14:textId="77777777" w:rsidTr="00F81331">
        <w:trPr>
          <w:trHeight w:val="600"/>
        </w:trPr>
        <w:tc>
          <w:tcPr>
            <w:tcW w:w="284" w:type="dxa"/>
            <w:tcBorders>
              <w:top w:val="nil"/>
              <w:left w:val="single" w:sz="4" w:space="0" w:color="000000"/>
              <w:bottom w:val="single" w:sz="4" w:space="0" w:color="000000"/>
              <w:right w:val="single" w:sz="4" w:space="0" w:color="000000"/>
            </w:tcBorders>
            <w:vAlign w:val="center"/>
          </w:tcPr>
          <w:p w14:paraId="4CF7273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2555" w:type="dxa"/>
            <w:tcBorders>
              <w:top w:val="nil"/>
              <w:left w:val="nil"/>
              <w:bottom w:val="single" w:sz="4" w:space="0" w:color="000000"/>
              <w:right w:val="single" w:sz="4" w:space="0" w:color="000000"/>
            </w:tcBorders>
          </w:tcPr>
          <w:p w14:paraId="40A7AB51"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Conditional tensile strength, MPa</w:t>
            </w:r>
          </w:p>
        </w:tc>
        <w:tc>
          <w:tcPr>
            <w:tcW w:w="1185" w:type="dxa"/>
            <w:tcBorders>
              <w:top w:val="nil"/>
              <w:left w:val="nil"/>
              <w:bottom w:val="single" w:sz="4" w:space="0" w:color="000000"/>
              <w:right w:val="single" w:sz="4" w:space="0" w:color="000000"/>
            </w:tcBorders>
            <w:vAlign w:val="center"/>
          </w:tcPr>
          <w:p w14:paraId="7B640974"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17</w:t>
            </w:r>
            <w:r>
              <w:rPr>
                <w:rFonts w:ascii="Times New Roman" w:eastAsia="Times New Roman" w:hAnsi="Times New Roman" w:cs="Times New Roman"/>
                <w:color w:val="000000"/>
                <w:sz w:val="24"/>
                <w:szCs w:val="24"/>
                <w:lang w:eastAsia="ru-RU"/>
              </w:rPr>
              <w:t>,4</w:t>
            </w:r>
          </w:p>
        </w:tc>
        <w:tc>
          <w:tcPr>
            <w:tcW w:w="1185" w:type="dxa"/>
            <w:tcBorders>
              <w:top w:val="nil"/>
              <w:left w:val="nil"/>
              <w:bottom w:val="single" w:sz="4" w:space="0" w:color="000000"/>
              <w:right w:val="single" w:sz="4" w:space="0" w:color="000000"/>
            </w:tcBorders>
            <w:vAlign w:val="center"/>
          </w:tcPr>
          <w:p w14:paraId="47CBAED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16,3</w:t>
            </w:r>
          </w:p>
        </w:tc>
        <w:tc>
          <w:tcPr>
            <w:tcW w:w="1252" w:type="dxa"/>
            <w:tcBorders>
              <w:top w:val="nil"/>
              <w:left w:val="nil"/>
              <w:bottom w:val="single" w:sz="4" w:space="0" w:color="000000"/>
              <w:right w:val="single" w:sz="4" w:space="0" w:color="000000"/>
            </w:tcBorders>
            <w:vAlign w:val="center"/>
          </w:tcPr>
          <w:p w14:paraId="6BFF1FC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16,7</w:t>
            </w:r>
          </w:p>
        </w:tc>
        <w:tc>
          <w:tcPr>
            <w:tcW w:w="1204" w:type="dxa"/>
            <w:tcBorders>
              <w:top w:val="nil"/>
              <w:left w:val="nil"/>
              <w:bottom w:val="single" w:sz="4" w:space="0" w:color="000000"/>
              <w:right w:val="single" w:sz="4" w:space="0" w:color="000000"/>
            </w:tcBorders>
            <w:vAlign w:val="center"/>
          </w:tcPr>
          <w:p w14:paraId="357325E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18,3</w:t>
            </w:r>
          </w:p>
        </w:tc>
        <w:tc>
          <w:tcPr>
            <w:tcW w:w="1185" w:type="dxa"/>
            <w:tcBorders>
              <w:top w:val="nil"/>
              <w:left w:val="nil"/>
              <w:bottom w:val="single" w:sz="4" w:space="0" w:color="000000"/>
              <w:right w:val="single" w:sz="4" w:space="0" w:color="000000"/>
            </w:tcBorders>
            <w:vAlign w:val="center"/>
          </w:tcPr>
          <w:p w14:paraId="1D81FEA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w:t>
            </w:r>
          </w:p>
        </w:tc>
        <w:tc>
          <w:tcPr>
            <w:tcW w:w="1244" w:type="dxa"/>
            <w:tcBorders>
              <w:top w:val="nil"/>
              <w:left w:val="nil"/>
              <w:bottom w:val="single" w:sz="4" w:space="0" w:color="000000"/>
              <w:right w:val="single" w:sz="4" w:space="0" w:color="000000"/>
            </w:tcBorders>
            <w:vAlign w:val="center"/>
          </w:tcPr>
          <w:p w14:paraId="1F12866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19,8</w:t>
            </w:r>
          </w:p>
        </w:tc>
      </w:tr>
      <w:tr w:rsidR="00425514" w14:paraId="170A7A78"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1A7FD29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2555" w:type="dxa"/>
            <w:tcBorders>
              <w:top w:val="nil"/>
              <w:left w:val="nil"/>
              <w:bottom w:val="single" w:sz="4" w:space="0" w:color="000000"/>
              <w:right w:val="single" w:sz="4" w:space="0" w:color="000000"/>
            </w:tcBorders>
          </w:tcPr>
          <w:p w14:paraId="34BF0AD4"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Relative elongation, %</w:t>
            </w:r>
          </w:p>
        </w:tc>
        <w:tc>
          <w:tcPr>
            <w:tcW w:w="1185" w:type="dxa"/>
            <w:tcBorders>
              <w:top w:val="nil"/>
              <w:left w:val="nil"/>
              <w:bottom w:val="single" w:sz="4" w:space="0" w:color="000000"/>
              <w:right w:val="single" w:sz="4" w:space="0" w:color="000000"/>
            </w:tcBorders>
            <w:vAlign w:val="center"/>
          </w:tcPr>
          <w:p w14:paraId="200F394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300</w:t>
            </w:r>
          </w:p>
        </w:tc>
        <w:tc>
          <w:tcPr>
            <w:tcW w:w="1185" w:type="dxa"/>
            <w:tcBorders>
              <w:top w:val="nil"/>
              <w:left w:val="nil"/>
              <w:bottom w:val="single" w:sz="4" w:space="0" w:color="000000"/>
              <w:right w:val="single" w:sz="4" w:space="0" w:color="000000"/>
            </w:tcBorders>
            <w:vAlign w:val="center"/>
          </w:tcPr>
          <w:p w14:paraId="0315904C"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320</w:t>
            </w:r>
          </w:p>
        </w:tc>
        <w:tc>
          <w:tcPr>
            <w:tcW w:w="1252" w:type="dxa"/>
            <w:tcBorders>
              <w:top w:val="nil"/>
              <w:left w:val="nil"/>
              <w:bottom w:val="single" w:sz="4" w:space="0" w:color="000000"/>
              <w:right w:val="single" w:sz="4" w:space="0" w:color="000000"/>
            </w:tcBorders>
            <w:vAlign w:val="center"/>
          </w:tcPr>
          <w:p w14:paraId="6D4D60D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310</w:t>
            </w:r>
          </w:p>
        </w:tc>
        <w:tc>
          <w:tcPr>
            <w:tcW w:w="1204" w:type="dxa"/>
            <w:tcBorders>
              <w:top w:val="nil"/>
              <w:left w:val="nil"/>
              <w:bottom w:val="single" w:sz="4" w:space="0" w:color="000000"/>
              <w:right w:val="single" w:sz="4" w:space="0" w:color="000000"/>
            </w:tcBorders>
            <w:vAlign w:val="center"/>
          </w:tcPr>
          <w:p w14:paraId="4C89F36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370</w:t>
            </w:r>
          </w:p>
        </w:tc>
        <w:tc>
          <w:tcPr>
            <w:tcW w:w="1185" w:type="dxa"/>
            <w:tcBorders>
              <w:top w:val="nil"/>
              <w:left w:val="nil"/>
              <w:bottom w:val="single" w:sz="4" w:space="0" w:color="000000"/>
              <w:right w:val="single" w:sz="4" w:space="0" w:color="000000"/>
            </w:tcBorders>
            <w:vAlign w:val="center"/>
          </w:tcPr>
          <w:p w14:paraId="634B7D39"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395</w:t>
            </w:r>
          </w:p>
        </w:tc>
        <w:tc>
          <w:tcPr>
            <w:tcW w:w="1244" w:type="dxa"/>
            <w:tcBorders>
              <w:top w:val="nil"/>
              <w:left w:val="nil"/>
              <w:bottom w:val="single" w:sz="4" w:space="0" w:color="000000"/>
              <w:right w:val="single" w:sz="4" w:space="0" w:color="000000"/>
            </w:tcBorders>
            <w:vAlign w:val="center"/>
          </w:tcPr>
          <w:p w14:paraId="620FE67F"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405</w:t>
            </w:r>
          </w:p>
        </w:tc>
      </w:tr>
      <w:tr w:rsidR="00425514" w14:paraId="3225444E"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0809096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p>
        </w:tc>
        <w:tc>
          <w:tcPr>
            <w:tcW w:w="2555" w:type="dxa"/>
            <w:tcBorders>
              <w:top w:val="nil"/>
              <w:left w:val="nil"/>
              <w:bottom w:val="single" w:sz="4" w:space="0" w:color="000000"/>
              <w:right w:val="single" w:sz="4" w:space="0" w:color="000000"/>
            </w:tcBorders>
          </w:tcPr>
          <w:p w14:paraId="5DB9F2DB"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Relative </w:t>
            </w:r>
            <w:r>
              <w:rPr>
                <w:rFonts w:ascii="Times New Roman" w:eastAsia="Calibri" w:hAnsi="Times New Roman" w:cs="Times New Roman"/>
                <w:sz w:val="24"/>
                <w:szCs w:val="24"/>
              </w:rPr>
              <w:t>r</w:t>
            </w:r>
            <w:r>
              <w:rPr>
                <w:rFonts w:ascii="Times New Roman" w:eastAsia="Calibri" w:hAnsi="Times New Roman" w:cs="Times New Roman"/>
                <w:sz w:val="24"/>
                <w:szCs w:val="24"/>
                <w:lang w:val="ru-RU"/>
              </w:rPr>
              <w:t>esidual deformation, %</w:t>
            </w:r>
          </w:p>
        </w:tc>
        <w:tc>
          <w:tcPr>
            <w:tcW w:w="1185" w:type="dxa"/>
            <w:tcBorders>
              <w:top w:val="nil"/>
              <w:left w:val="nil"/>
              <w:bottom w:val="single" w:sz="4" w:space="0" w:color="000000"/>
              <w:right w:val="single" w:sz="4" w:space="0" w:color="000000"/>
            </w:tcBorders>
            <w:vAlign w:val="center"/>
          </w:tcPr>
          <w:p w14:paraId="41A697DF"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185" w:type="dxa"/>
            <w:tcBorders>
              <w:top w:val="nil"/>
              <w:left w:val="nil"/>
              <w:bottom w:val="single" w:sz="4" w:space="0" w:color="000000"/>
              <w:right w:val="single" w:sz="4" w:space="0" w:color="000000"/>
            </w:tcBorders>
            <w:vAlign w:val="center"/>
          </w:tcPr>
          <w:p w14:paraId="2F1D177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w:t>
            </w:r>
          </w:p>
        </w:tc>
        <w:tc>
          <w:tcPr>
            <w:tcW w:w="1252" w:type="dxa"/>
            <w:tcBorders>
              <w:top w:val="nil"/>
              <w:left w:val="nil"/>
              <w:bottom w:val="single" w:sz="4" w:space="0" w:color="000000"/>
              <w:right w:val="single" w:sz="4" w:space="0" w:color="000000"/>
            </w:tcBorders>
            <w:vAlign w:val="center"/>
          </w:tcPr>
          <w:p w14:paraId="0A19CE5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p>
        </w:tc>
        <w:tc>
          <w:tcPr>
            <w:tcW w:w="1204" w:type="dxa"/>
            <w:tcBorders>
              <w:top w:val="nil"/>
              <w:left w:val="nil"/>
              <w:bottom w:val="single" w:sz="4" w:space="0" w:color="000000"/>
              <w:right w:val="single" w:sz="4" w:space="0" w:color="000000"/>
            </w:tcBorders>
            <w:vAlign w:val="center"/>
          </w:tcPr>
          <w:p w14:paraId="1B0E2D4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185" w:type="dxa"/>
            <w:tcBorders>
              <w:top w:val="nil"/>
              <w:left w:val="nil"/>
              <w:bottom w:val="single" w:sz="4" w:space="0" w:color="000000"/>
              <w:right w:val="single" w:sz="4" w:space="0" w:color="000000"/>
            </w:tcBorders>
            <w:vAlign w:val="center"/>
          </w:tcPr>
          <w:p w14:paraId="09EC1427"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13,6</w:t>
            </w:r>
          </w:p>
        </w:tc>
        <w:tc>
          <w:tcPr>
            <w:tcW w:w="1244" w:type="dxa"/>
            <w:tcBorders>
              <w:top w:val="nil"/>
              <w:left w:val="nil"/>
              <w:bottom w:val="single" w:sz="4" w:space="0" w:color="000000"/>
              <w:right w:val="single" w:sz="4" w:space="0" w:color="000000"/>
            </w:tcBorders>
            <w:vAlign w:val="center"/>
          </w:tcPr>
          <w:p w14:paraId="40CDCC5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13,9</w:t>
            </w:r>
          </w:p>
        </w:tc>
      </w:tr>
      <w:tr w:rsidR="00425514" w14:paraId="371A4AC3"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5ABA333C"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2555" w:type="dxa"/>
            <w:tcBorders>
              <w:top w:val="nil"/>
              <w:left w:val="nil"/>
              <w:bottom w:val="single" w:sz="4" w:space="0" w:color="000000"/>
              <w:right w:val="single" w:sz="4" w:space="0" w:color="000000"/>
            </w:tcBorders>
          </w:tcPr>
          <w:p w14:paraId="344C68E7"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Tear resistance, kN/m</w:t>
            </w:r>
          </w:p>
        </w:tc>
        <w:tc>
          <w:tcPr>
            <w:tcW w:w="1185" w:type="dxa"/>
            <w:tcBorders>
              <w:top w:val="nil"/>
              <w:left w:val="nil"/>
              <w:bottom w:val="single" w:sz="4" w:space="0" w:color="000000"/>
              <w:right w:val="single" w:sz="4" w:space="0" w:color="000000"/>
            </w:tcBorders>
            <w:vAlign w:val="center"/>
          </w:tcPr>
          <w:p w14:paraId="7261332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62</w:t>
            </w:r>
          </w:p>
        </w:tc>
        <w:tc>
          <w:tcPr>
            <w:tcW w:w="1185" w:type="dxa"/>
            <w:tcBorders>
              <w:top w:val="nil"/>
              <w:left w:val="nil"/>
              <w:bottom w:val="single" w:sz="4" w:space="0" w:color="000000"/>
              <w:right w:val="single" w:sz="4" w:space="0" w:color="000000"/>
            </w:tcBorders>
            <w:vAlign w:val="center"/>
          </w:tcPr>
          <w:p w14:paraId="15F4DCE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67</w:t>
            </w:r>
          </w:p>
        </w:tc>
        <w:tc>
          <w:tcPr>
            <w:tcW w:w="1252" w:type="dxa"/>
            <w:tcBorders>
              <w:top w:val="nil"/>
              <w:left w:val="nil"/>
              <w:bottom w:val="single" w:sz="4" w:space="0" w:color="000000"/>
              <w:right w:val="single" w:sz="4" w:space="0" w:color="000000"/>
            </w:tcBorders>
            <w:vAlign w:val="center"/>
          </w:tcPr>
          <w:p w14:paraId="6DCA58B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w:t>
            </w:r>
          </w:p>
        </w:tc>
        <w:tc>
          <w:tcPr>
            <w:tcW w:w="1204" w:type="dxa"/>
            <w:tcBorders>
              <w:top w:val="nil"/>
              <w:left w:val="nil"/>
              <w:bottom w:val="single" w:sz="4" w:space="0" w:color="000000"/>
              <w:right w:val="single" w:sz="4" w:space="0" w:color="000000"/>
            </w:tcBorders>
            <w:vAlign w:val="center"/>
          </w:tcPr>
          <w:p w14:paraId="06BA281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68,7</w:t>
            </w:r>
          </w:p>
        </w:tc>
        <w:tc>
          <w:tcPr>
            <w:tcW w:w="1185" w:type="dxa"/>
            <w:tcBorders>
              <w:top w:val="nil"/>
              <w:left w:val="nil"/>
              <w:bottom w:val="single" w:sz="4" w:space="0" w:color="000000"/>
              <w:right w:val="single" w:sz="4" w:space="0" w:color="000000"/>
            </w:tcBorders>
            <w:vAlign w:val="center"/>
          </w:tcPr>
          <w:p w14:paraId="2E9FE80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69,4</w:t>
            </w:r>
          </w:p>
        </w:tc>
        <w:tc>
          <w:tcPr>
            <w:tcW w:w="1244" w:type="dxa"/>
            <w:tcBorders>
              <w:top w:val="nil"/>
              <w:left w:val="nil"/>
              <w:bottom w:val="single" w:sz="4" w:space="0" w:color="000000"/>
              <w:right w:val="single" w:sz="4" w:space="0" w:color="000000"/>
            </w:tcBorders>
            <w:vAlign w:val="center"/>
          </w:tcPr>
          <w:p w14:paraId="4794EB7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69,1</w:t>
            </w:r>
          </w:p>
        </w:tc>
      </w:tr>
      <w:tr w:rsidR="00425514" w14:paraId="2DECDC8C"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06B2F17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2555" w:type="dxa"/>
            <w:tcBorders>
              <w:top w:val="nil"/>
              <w:left w:val="nil"/>
              <w:bottom w:val="single" w:sz="4" w:space="0" w:color="000000"/>
              <w:right w:val="single" w:sz="4" w:space="0" w:color="000000"/>
            </w:tcBorders>
          </w:tcPr>
          <w:p w14:paraId="19E5EE72"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Abrasion, cm³/(L·h)</w:t>
            </w:r>
          </w:p>
        </w:tc>
        <w:tc>
          <w:tcPr>
            <w:tcW w:w="1185" w:type="dxa"/>
            <w:tcBorders>
              <w:top w:val="nil"/>
              <w:left w:val="nil"/>
              <w:bottom w:val="single" w:sz="4" w:space="0" w:color="000000"/>
              <w:right w:val="single" w:sz="4" w:space="0" w:color="000000"/>
            </w:tcBorders>
            <w:vAlign w:val="center"/>
          </w:tcPr>
          <w:p w14:paraId="24F9563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66</w:t>
            </w:r>
          </w:p>
        </w:tc>
        <w:tc>
          <w:tcPr>
            <w:tcW w:w="1185" w:type="dxa"/>
            <w:tcBorders>
              <w:top w:val="nil"/>
              <w:left w:val="nil"/>
              <w:bottom w:val="single" w:sz="4" w:space="0" w:color="000000"/>
              <w:right w:val="single" w:sz="4" w:space="0" w:color="000000"/>
            </w:tcBorders>
            <w:vAlign w:val="center"/>
          </w:tcPr>
          <w:p w14:paraId="0C6C7A48"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252" w:type="dxa"/>
            <w:tcBorders>
              <w:top w:val="nil"/>
              <w:left w:val="nil"/>
              <w:bottom w:val="single" w:sz="4" w:space="0" w:color="000000"/>
              <w:right w:val="single" w:sz="4" w:space="0" w:color="000000"/>
            </w:tcBorders>
            <w:vAlign w:val="center"/>
          </w:tcPr>
          <w:p w14:paraId="389BE5E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62</w:t>
            </w:r>
          </w:p>
        </w:tc>
        <w:tc>
          <w:tcPr>
            <w:tcW w:w="1204" w:type="dxa"/>
            <w:tcBorders>
              <w:top w:val="nil"/>
              <w:left w:val="nil"/>
              <w:bottom w:val="single" w:sz="4" w:space="0" w:color="000000"/>
              <w:right w:val="single" w:sz="4" w:space="0" w:color="000000"/>
            </w:tcBorders>
            <w:vAlign w:val="center"/>
          </w:tcPr>
          <w:p w14:paraId="4FCF051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59</w:t>
            </w:r>
          </w:p>
        </w:tc>
        <w:tc>
          <w:tcPr>
            <w:tcW w:w="1185" w:type="dxa"/>
            <w:tcBorders>
              <w:top w:val="nil"/>
              <w:left w:val="nil"/>
              <w:bottom w:val="single" w:sz="4" w:space="0" w:color="000000"/>
              <w:right w:val="single" w:sz="4" w:space="0" w:color="000000"/>
            </w:tcBorders>
            <w:vAlign w:val="center"/>
          </w:tcPr>
          <w:p w14:paraId="5404069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55</w:t>
            </w:r>
          </w:p>
        </w:tc>
        <w:tc>
          <w:tcPr>
            <w:tcW w:w="1244" w:type="dxa"/>
            <w:tcBorders>
              <w:top w:val="nil"/>
              <w:left w:val="nil"/>
              <w:bottom w:val="single" w:sz="4" w:space="0" w:color="000000"/>
              <w:right w:val="single" w:sz="4" w:space="0" w:color="000000"/>
            </w:tcBorders>
            <w:vAlign w:val="center"/>
          </w:tcPr>
          <w:p w14:paraId="397DE5F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r>
      <w:tr w:rsidR="00425514" w14:paraId="657C07EA"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72D5C53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p>
        </w:tc>
        <w:tc>
          <w:tcPr>
            <w:tcW w:w="2555" w:type="dxa"/>
            <w:tcBorders>
              <w:top w:val="nil"/>
              <w:left w:val="nil"/>
              <w:bottom w:val="single" w:sz="4" w:space="0" w:color="000000"/>
              <w:right w:val="single" w:sz="4" w:space="0" w:color="000000"/>
            </w:tcBorders>
          </w:tcPr>
          <w:p w14:paraId="0DFADCF1"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Adhesion to metal, MPa: Steel 3</w:t>
            </w:r>
          </w:p>
        </w:tc>
        <w:tc>
          <w:tcPr>
            <w:tcW w:w="1185" w:type="dxa"/>
            <w:tcBorders>
              <w:top w:val="nil"/>
              <w:left w:val="nil"/>
              <w:bottom w:val="single" w:sz="4" w:space="0" w:color="000000"/>
              <w:right w:val="single" w:sz="4" w:space="0" w:color="000000"/>
            </w:tcBorders>
            <w:vAlign w:val="center"/>
          </w:tcPr>
          <w:p w14:paraId="6BFAD20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5,6</w:t>
            </w:r>
          </w:p>
        </w:tc>
        <w:tc>
          <w:tcPr>
            <w:tcW w:w="1185" w:type="dxa"/>
            <w:tcBorders>
              <w:top w:val="nil"/>
              <w:left w:val="nil"/>
              <w:bottom w:val="single" w:sz="4" w:space="0" w:color="000000"/>
              <w:right w:val="single" w:sz="4" w:space="0" w:color="000000"/>
            </w:tcBorders>
            <w:vAlign w:val="center"/>
          </w:tcPr>
          <w:p w14:paraId="1057630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5,2</w:t>
            </w:r>
          </w:p>
        </w:tc>
        <w:tc>
          <w:tcPr>
            <w:tcW w:w="1252" w:type="dxa"/>
            <w:tcBorders>
              <w:top w:val="nil"/>
              <w:left w:val="nil"/>
              <w:bottom w:val="single" w:sz="4" w:space="0" w:color="000000"/>
              <w:right w:val="single" w:sz="4" w:space="0" w:color="000000"/>
            </w:tcBorders>
            <w:vAlign w:val="center"/>
          </w:tcPr>
          <w:p w14:paraId="037DF3E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5,1</w:t>
            </w:r>
          </w:p>
        </w:tc>
        <w:tc>
          <w:tcPr>
            <w:tcW w:w="1204" w:type="dxa"/>
            <w:tcBorders>
              <w:top w:val="nil"/>
              <w:left w:val="nil"/>
              <w:bottom w:val="single" w:sz="4" w:space="0" w:color="000000"/>
              <w:right w:val="single" w:sz="4" w:space="0" w:color="000000"/>
            </w:tcBorders>
            <w:vAlign w:val="center"/>
          </w:tcPr>
          <w:p w14:paraId="1202DD42"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8</w:t>
            </w:r>
            <w:r>
              <w:rPr>
                <w:rFonts w:ascii="Times New Roman" w:eastAsia="Times New Roman" w:hAnsi="Times New Roman" w:cs="Times New Roman"/>
                <w:color w:val="000000"/>
                <w:sz w:val="24"/>
                <w:szCs w:val="24"/>
                <w:lang w:eastAsia="ru-RU"/>
              </w:rPr>
              <w:t>.5</w:t>
            </w:r>
          </w:p>
        </w:tc>
        <w:tc>
          <w:tcPr>
            <w:tcW w:w="1185" w:type="dxa"/>
            <w:tcBorders>
              <w:top w:val="nil"/>
              <w:left w:val="nil"/>
              <w:bottom w:val="single" w:sz="4" w:space="0" w:color="000000"/>
              <w:right w:val="single" w:sz="4" w:space="0" w:color="000000"/>
            </w:tcBorders>
            <w:vAlign w:val="center"/>
          </w:tcPr>
          <w:p w14:paraId="12EED58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p>
        </w:tc>
        <w:tc>
          <w:tcPr>
            <w:tcW w:w="1244" w:type="dxa"/>
            <w:tcBorders>
              <w:top w:val="nil"/>
              <w:left w:val="nil"/>
              <w:bottom w:val="single" w:sz="4" w:space="0" w:color="000000"/>
              <w:right w:val="single" w:sz="4" w:space="0" w:color="000000"/>
            </w:tcBorders>
            <w:vAlign w:val="center"/>
          </w:tcPr>
          <w:p w14:paraId="6F81E6B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9,3</w:t>
            </w:r>
          </w:p>
        </w:tc>
      </w:tr>
      <w:tr w:rsidR="00425514" w14:paraId="7696F5CB"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6248805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p>
        </w:tc>
        <w:tc>
          <w:tcPr>
            <w:tcW w:w="2555" w:type="dxa"/>
            <w:tcBorders>
              <w:top w:val="nil"/>
              <w:left w:val="nil"/>
              <w:bottom w:val="single" w:sz="4" w:space="0" w:color="000000"/>
              <w:right w:val="single" w:sz="4" w:space="0" w:color="000000"/>
            </w:tcBorders>
          </w:tcPr>
          <w:p w14:paraId="12704567"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Adhesion to metal, MPa: Brass</w:t>
            </w:r>
          </w:p>
        </w:tc>
        <w:tc>
          <w:tcPr>
            <w:tcW w:w="1185" w:type="dxa"/>
            <w:tcBorders>
              <w:top w:val="nil"/>
              <w:left w:val="nil"/>
              <w:bottom w:val="single" w:sz="4" w:space="0" w:color="000000"/>
              <w:right w:val="single" w:sz="4" w:space="0" w:color="000000"/>
            </w:tcBorders>
            <w:vAlign w:val="center"/>
          </w:tcPr>
          <w:p w14:paraId="782331F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3,1</w:t>
            </w:r>
          </w:p>
        </w:tc>
        <w:tc>
          <w:tcPr>
            <w:tcW w:w="1185" w:type="dxa"/>
            <w:tcBorders>
              <w:top w:val="nil"/>
              <w:left w:val="nil"/>
              <w:bottom w:val="single" w:sz="4" w:space="0" w:color="000000"/>
              <w:right w:val="single" w:sz="4" w:space="0" w:color="000000"/>
            </w:tcBorders>
            <w:vAlign w:val="center"/>
          </w:tcPr>
          <w:p w14:paraId="793FED3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52" w:type="dxa"/>
            <w:tcBorders>
              <w:top w:val="nil"/>
              <w:left w:val="nil"/>
              <w:bottom w:val="single" w:sz="4" w:space="0" w:color="000000"/>
              <w:right w:val="single" w:sz="4" w:space="0" w:color="000000"/>
            </w:tcBorders>
            <w:vAlign w:val="center"/>
          </w:tcPr>
          <w:p w14:paraId="247C9B85"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3,4</w:t>
            </w:r>
          </w:p>
        </w:tc>
        <w:tc>
          <w:tcPr>
            <w:tcW w:w="1204" w:type="dxa"/>
            <w:tcBorders>
              <w:top w:val="nil"/>
              <w:left w:val="nil"/>
              <w:bottom w:val="single" w:sz="4" w:space="0" w:color="000000"/>
              <w:right w:val="single" w:sz="4" w:space="0" w:color="000000"/>
            </w:tcBorders>
            <w:vAlign w:val="center"/>
          </w:tcPr>
          <w:p w14:paraId="5B6701E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5,2</w:t>
            </w:r>
          </w:p>
        </w:tc>
        <w:tc>
          <w:tcPr>
            <w:tcW w:w="1185" w:type="dxa"/>
            <w:tcBorders>
              <w:top w:val="nil"/>
              <w:left w:val="nil"/>
              <w:bottom w:val="single" w:sz="4" w:space="0" w:color="000000"/>
              <w:right w:val="single" w:sz="4" w:space="0" w:color="000000"/>
            </w:tcBorders>
            <w:vAlign w:val="center"/>
          </w:tcPr>
          <w:p w14:paraId="19BFCFEF"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6,7</w:t>
            </w:r>
          </w:p>
        </w:tc>
        <w:tc>
          <w:tcPr>
            <w:tcW w:w="1244" w:type="dxa"/>
            <w:tcBorders>
              <w:top w:val="nil"/>
              <w:left w:val="nil"/>
              <w:bottom w:val="single" w:sz="4" w:space="0" w:color="000000"/>
              <w:right w:val="single" w:sz="4" w:space="0" w:color="000000"/>
            </w:tcBorders>
            <w:vAlign w:val="center"/>
          </w:tcPr>
          <w:p w14:paraId="6E98CA54"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r>
      <w:tr w:rsidR="00425514" w14:paraId="3FFE8CE7"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1860619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c>
          <w:tcPr>
            <w:tcW w:w="2555" w:type="dxa"/>
            <w:tcBorders>
              <w:top w:val="nil"/>
              <w:left w:val="nil"/>
              <w:bottom w:val="single" w:sz="4" w:space="0" w:color="000000"/>
              <w:right w:val="single" w:sz="4" w:space="0" w:color="000000"/>
            </w:tcBorders>
          </w:tcPr>
          <w:p w14:paraId="448B8BAF"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Brittleness temperature, </w:t>
            </w:r>
            <w:r>
              <w:rPr>
                <w:rFonts w:ascii="Times New Roman" w:eastAsia="Calibri" w:hAnsi="Times New Roman" w:cs="Times New Roman"/>
                <w:sz w:val="24"/>
                <w:szCs w:val="24"/>
                <w:lang w:val="ru-RU"/>
              </w:rPr>
              <w:lastRenderedPageBreak/>
              <w:t>K</w:t>
            </w:r>
          </w:p>
        </w:tc>
        <w:tc>
          <w:tcPr>
            <w:tcW w:w="1185" w:type="dxa"/>
            <w:tcBorders>
              <w:top w:val="nil"/>
              <w:left w:val="nil"/>
              <w:bottom w:val="single" w:sz="4" w:space="0" w:color="000000"/>
              <w:right w:val="single" w:sz="4" w:space="0" w:color="000000"/>
            </w:tcBorders>
            <w:vAlign w:val="center"/>
          </w:tcPr>
          <w:p w14:paraId="387A7F28"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266</w:t>
            </w:r>
          </w:p>
        </w:tc>
        <w:tc>
          <w:tcPr>
            <w:tcW w:w="1185" w:type="dxa"/>
            <w:tcBorders>
              <w:top w:val="nil"/>
              <w:left w:val="nil"/>
              <w:bottom w:val="single" w:sz="4" w:space="0" w:color="000000"/>
              <w:right w:val="single" w:sz="4" w:space="0" w:color="000000"/>
            </w:tcBorders>
            <w:vAlign w:val="center"/>
          </w:tcPr>
          <w:p w14:paraId="4E6CFF6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232</w:t>
            </w:r>
          </w:p>
        </w:tc>
        <w:tc>
          <w:tcPr>
            <w:tcW w:w="1252" w:type="dxa"/>
            <w:tcBorders>
              <w:top w:val="nil"/>
              <w:left w:val="nil"/>
              <w:bottom w:val="single" w:sz="4" w:space="0" w:color="000000"/>
              <w:right w:val="single" w:sz="4" w:space="0" w:color="000000"/>
            </w:tcBorders>
            <w:vAlign w:val="center"/>
          </w:tcPr>
          <w:p w14:paraId="468F7633"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w:t>
            </w:r>
          </w:p>
        </w:tc>
        <w:tc>
          <w:tcPr>
            <w:tcW w:w="1204" w:type="dxa"/>
            <w:tcBorders>
              <w:top w:val="nil"/>
              <w:left w:val="nil"/>
              <w:bottom w:val="single" w:sz="4" w:space="0" w:color="000000"/>
              <w:right w:val="single" w:sz="4" w:space="0" w:color="000000"/>
            </w:tcBorders>
            <w:vAlign w:val="center"/>
          </w:tcPr>
          <w:p w14:paraId="08B6639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244</w:t>
            </w:r>
          </w:p>
        </w:tc>
        <w:tc>
          <w:tcPr>
            <w:tcW w:w="1185" w:type="dxa"/>
            <w:tcBorders>
              <w:top w:val="nil"/>
              <w:left w:val="nil"/>
              <w:bottom w:val="single" w:sz="4" w:space="0" w:color="000000"/>
              <w:right w:val="single" w:sz="4" w:space="0" w:color="000000"/>
            </w:tcBorders>
            <w:vAlign w:val="center"/>
          </w:tcPr>
          <w:p w14:paraId="58164767"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243</w:t>
            </w:r>
          </w:p>
        </w:tc>
        <w:tc>
          <w:tcPr>
            <w:tcW w:w="1244" w:type="dxa"/>
            <w:tcBorders>
              <w:top w:val="nil"/>
              <w:left w:val="nil"/>
              <w:bottom w:val="single" w:sz="4" w:space="0" w:color="000000"/>
              <w:right w:val="single" w:sz="4" w:space="0" w:color="000000"/>
            </w:tcBorders>
            <w:vAlign w:val="center"/>
          </w:tcPr>
          <w:p w14:paraId="69BE2E2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246</w:t>
            </w:r>
          </w:p>
        </w:tc>
      </w:tr>
      <w:tr w:rsidR="00425514" w14:paraId="596A8C08"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23704CD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p>
        </w:tc>
        <w:tc>
          <w:tcPr>
            <w:tcW w:w="2555" w:type="dxa"/>
            <w:tcBorders>
              <w:top w:val="nil"/>
              <w:left w:val="nil"/>
              <w:bottom w:val="single" w:sz="4" w:space="0" w:color="000000"/>
              <w:right w:val="single" w:sz="4" w:space="0" w:color="000000"/>
            </w:tcBorders>
          </w:tcPr>
          <w:p w14:paraId="2641970C"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Stiffness </w:t>
            </w:r>
            <w:r>
              <w:rPr>
                <w:rFonts w:ascii="Times New Roman" w:eastAsia="Calibri" w:hAnsi="Times New Roman" w:cs="Times New Roman"/>
                <w:sz w:val="24"/>
                <w:szCs w:val="24"/>
                <w:lang w:val="ru-RU"/>
              </w:rPr>
              <w:t>TM</w:t>
            </w:r>
            <w:r>
              <w:rPr>
                <w:rFonts w:ascii="Times New Roman" w:eastAsia="Calibri" w:hAnsi="Times New Roman" w:cs="Times New Roman"/>
                <w:sz w:val="24"/>
                <w:szCs w:val="24"/>
              </w:rPr>
              <w:t>-</w:t>
            </w:r>
            <w:r>
              <w:rPr>
                <w:rFonts w:ascii="Times New Roman" w:eastAsia="Calibri" w:hAnsi="Times New Roman" w:cs="Times New Roman"/>
                <w:sz w:val="24"/>
                <w:szCs w:val="24"/>
                <w:lang w:val="ru-RU"/>
              </w:rPr>
              <w:t>2, conventional unit</w:t>
            </w:r>
          </w:p>
        </w:tc>
        <w:tc>
          <w:tcPr>
            <w:tcW w:w="1185" w:type="dxa"/>
            <w:tcBorders>
              <w:top w:val="nil"/>
              <w:left w:val="nil"/>
              <w:bottom w:val="single" w:sz="4" w:space="0" w:color="000000"/>
              <w:right w:val="single" w:sz="4" w:space="0" w:color="000000"/>
            </w:tcBorders>
            <w:vAlign w:val="center"/>
          </w:tcPr>
          <w:p w14:paraId="3D4C7C4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85</w:t>
            </w:r>
          </w:p>
        </w:tc>
        <w:tc>
          <w:tcPr>
            <w:tcW w:w="1185" w:type="dxa"/>
            <w:tcBorders>
              <w:top w:val="nil"/>
              <w:left w:val="nil"/>
              <w:bottom w:val="single" w:sz="4" w:space="0" w:color="000000"/>
              <w:right w:val="single" w:sz="4" w:space="0" w:color="000000"/>
            </w:tcBorders>
            <w:vAlign w:val="center"/>
          </w:tcPr>
          <w:p w14:paraId="3A479BBC"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83</w:t>
            </w:r>
          </w:p>
        </w:tc>
        <w:tc>
          <w:tcPr>
            <w:tcW w:w="1252" w:type="dxa"/>
            <w:tcBorders>
              <w:top w:val="nil"/>
              <w:left w:val="nil"/>
              <w:bottom w:val="single" w:sz="4" w:space="0" w:color="000000"/>
              <w:right w:val="single" w:sz="4" w:space="0" w:color="000000"/>
            </w:tcBorders>
            <w:vAlign w:val="center"/>
          </w:tcPr>
          <w:p w14:paraId="682E5822"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79</w:t>
            </w:r>
          </w:p>
        </w:tc>
        <w:tc>
          <w:tcPr>
            <w:tcW w:w="1204" w:type="dxa"/>
            <w:tcBorders>
              <w:top w:val="nil"/>
              <w:left w:val="nil"/>
              <w:bottom w:val="single" w:sz="4" w:space="0" w:color="000000"/>
              <w:right w:val="single" w:sz="4" w:space="0" w:color="000000"/>
            </w:tcBorders>
            <w:vAlign w:val="center"/>
          </w:tcPr>
          <w:p w14:paraId="54F7EC3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81</w:t>
            </w:r>
          </w:p>
        </w:tc>
        <w:tc>
          <w:tcPr>
            <w:tcW w:w="1185" w:type="dxa"/>
            <w:tcBorders>
              <w:top w:val="nil"/>
              <w:left w:val="nil"/>
              <w:bottom w:val="single" w:sz="4" w:space="0" w:color="000000"/>
              <w:right w:val="single" w:sz="4" w:space="0" w:color="000000"/>
            </w:tcBorders>
            <w:vAlign w:val="center"/>
          </w:tcPr>
          <w:p w14:paraId="462DC7F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81</w:t>
            </w:r>
          </w:p>
        </w:tc>
        <w:tc>
          <w:tcPr>
            <w:tcW w:w="1244" w:type="dxa"/>
            <w:tcBorders>
              <w:top w:val="nil"/>
              <w:left w:val="nil"/>
              <w:bottom w:val="single" w:sz="4" w:space="0" w:color="000000"/>
              <w:right w:val="single" w:sz="4" w:space="0" w:color="000000"/>
            </w:tcBorders>
            <w:vAlign w:val="center"/>
          </w:tcPr>
          <w:p w14:paraId="655DC56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82</w:t>
            </w:r>
          </w:p>
        </w:tc>
      </w:tr>
      <w:tr w:rsidR="00425514" w14:paraId="3F20A077" w14:textId="77777777" w:rsidTr="00F81331">
        <w:trPr>
          <w:trHeight w:val="600"/>
        </w:trPr>
        <w:tc>
          <w:tcPr>
            <w:tcW w:w="284" w:type="dxa"/>
            <w:tcBorders>
              <w:top w:val="nil"/>
              <w:left w:val="single" w:sz="4" w:space="0" w:color="000000"/>
              <w:bottom w:val="single" w:sz="4" w:space="0" w:color="000000"/>
              <w:right w:val="single" w:sz="4" w:space="0" w:color="000000"/>
            </w:tcBorders>
            <w:vAlign w:val="center"/>
          </w:tcPr>
          <w:p w14:paraId="678AEEA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p>
        </w:tc>
        <w:tc>
          <w:tcPr>
            <w:tcW w:w="2555" w:type="dxa"/>
            <w:tcBorders>
              <w:top w:val="nil"/>
              <w:left w:val="nil"/>
              <w:bottom w:val="single" w:sz="4" w:space="0" w:color="000000"/>
              <w:right w:val="single" w:sz="4" w:space="0" w:color="000000"/>
            </w:tcBorders>
          </w:tcPr>
          <w:p w14:paraId="57F2CED7"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Swelling at 296 K for 24 h, isooctane–toluene (70:30), %</w:t>
            </w:r>
          </w:p>
        </w:tc>
        <w:tc>
          <w:tcPr>
            <w:tcW w:w="1185" w:type="dxa"/>
            <w:tcBorders>
              <w:top w:val="nil"/>
              <w:left w:val="nil"/>
              <w:bottom w:val="single" w:sz="4" w:space="0" w:color="000000"/>
              <w:right w:val="single" w:sz="4" w:space="0" w:color="000000"/>
            </w:tcBorders>
            <w:vAlign w:val="center"/>
          </w:tcPr>
          <w:p w14:paraId="18F5FB34"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12</w:t>
            </w:r>
            <w:r>
              <w:rPr>
                <w:rFonts w:ascii="Times New Roman" w:eastAsia="Times New Roman" w:hAnsi="Times New Roman" w:cs="Times New Roman"/>
                <w:color w:val="000000"/>
                <w:sz w:val="24"/>
                <w:szCs w:val="24"/>
                <w:lang w:eastAsia="ru-RU"/>
              </w:rPr>
              <w:t>,6</w:t>
            </w:r>
          </w:p>
        </w:tc>
        <w:tc>
          <w:tcPr>
            <w:tcW w:w="1185" w:type="dxa"/>
            <w:tcBorders>
              <w:top w:val="nil"/>
              <w:left w:val="nil"/>
              <w:bottom w:val="single" w:sz="4" w:space="0" w:color="000000"/>
              <w:right w:val="single" w:sz="4" w:space="0" w:color="000000"/>
            </w:tcBorders>
            <w:vAlign w:val="center"/>
          </w:tcPr>
          <w:p w14:paraId="2FB2BF5A"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14</w:t>
            </w:r>
            <w:r>
              <w:rPr>
                <w:rFonts w:ascii="Times New Roman" w:eastAsia="Times New Roman" w:hAnsi="Times New Roman" w:cs="Times New Roman"/>
                <w:color w:val="000000"/>
                <w:sz w:val="24"/>
                <w:szCs w:val="24"/>
                <w:lang w:eastAsia="ru-RU"/>
              </w:rPr>
              <w:t>,7</w:t>
            </w:r>
          </w:p>
        </w:tc>
        <w:tc>
          <w:tcPr>
            <w:tcW w:w="1252" w:type="dxa"/>
            <w:tcBorders>
              <w:top w:val="nil"/>
              <w:left w:val="nil"/>
              <w:bottom w:val="single" w:sz="4" w:space="0" w:color="000000"/>
              <w:right w:val="single" w:sz="4" w:space="0" w:color="000000"/>
            </w:tcBorders>
            <w:vAlign w:val="center"/>
          </w:tcPr>
          <w:p w14:paraId="7763A1C7"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14,2</w:t>
            </w:r>
          </w:p>
        </w:tc>
        <w:tc>
          <w:tcPr>
            <w:tcW w:w="1204" w:type="dxa"/>
            <w:tcBorders>
              <w:top w:val="nil"/>
              <w:left w:val="nil"/>
              <w:bottom w:val="single" w:sz="4" w:space="0" w:color="000000"/>
              <w:right w:val="single" w:sz="4" w:space="0" w:color="000000"/>
            </w:tcBorders>
            <w:vAlign w:val="center"/>
          </w:tcPr>
          <w:p w14:paraId="4442577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10,6</w:t>
            </w:r>
          </w:p>
        </w:tc>
        <w:tc>
          <w:tcPr>
            <w:tcW w:w="1185" w:type="dxa"/>
            <w:tcBorders>
              <w:top w:val="nil"/>
              <w:left w:val="nil"/>
              <w:bottom w:val="single" w:sz="4" w:space="0" w:color="000000"/>
              <w:right w:val="single" w:sz="4" w:space="0" w:color="000000"/>
            </w:tcBorders>
            <w:vAlign w:val="center"/>
          </w:tcPr>
          <w:p w14:paraId="40213F2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1244" w:type="dxa"/>
            <w:tcBorders>
              <w:top w:val="nil"/>
              <w:left w:val="nil"/>
              <w:bottom w:val="single" w:sz="4" w:space="0" w:color="000000"/>
              <w:right w:val="single" w:sz="4" w:space="0" w:color="000000"/>
            </w:tcBorders>
            <w:vAlign w:val="center"/>
          </w:tcPr>
          <w:p w14:paraId="568172DE"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r>
      <w:tr w:rsidR="00425514" w14:paraId="3B8AA136" w14:textId="77777777" w:rsidTr="00F81331">
        <w:trPr>
          <w:trHeight w:val="600"/>
        </w:trPr>
        <w:tc>
          <w:tcPr>
            <w:tcW w:w="284" w:type="dxa"/>
            <w:tcBorders>
              <w:top w:val="nil"/>
              <w:left w:val="single" w:sz="4" w:space="0" w:color="000000"/>
              <w:bottom w:val="single" w:sz="4" w:space="0" w:color="000000"/>
              <w:right w:val="single" w:sz="4" w:space="0" w:color="000000"/>
            </w:tcBorders>
            <w:vAlign w:val="center"/>
          </w:tcPr>
          <w:p w14:paraId="61B8CBB2"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555" w:type="dxa"/>
            <w:tcBorders>
              <w:top w:val="nil"/>
              <w:left w:val="nil"/>
              <w:bottom w:val="single" w:sz="4" w:space="0" w:color="000000"/>
              <w:right w:val="single" w:sz="4" w:space="0" w:color="000000"/>
            </w:tcBorders>
          </w:tcPr>
          <w:p w14:paraId="096B5D09"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Swelling at 296 K for 24 h, gasoline–benzene (3:1), %</w:t>
            </w:r>
          </w:p>
        </w:tc>
        <w:tc>
          <w:tcPr>
            <w:tcW w:w="1185" w:type="dxa"/>
            <w:tcBorders>
              <w:top w:val="nil"/>
              <w:left w:val="nil"/>
              <w:bottom w:val="single" w:sz="4" w:space="0" w:color="000000"/>
              <w:right w:val="single" w:sz="4" w:space="0" w:color="000000"/>
            </w:tcBorders>
            <w:vAlign w:val="center"/>
          </w:tcPr>
          <w:p w14:paraId="76DCCEEC"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85" w:type="dxa"/>
            <w:tcBorders>
              <w:top w:val="nil"/>
              <w:left w:val="nil"/>
              <w:bottom w:val="single" w:sz="4" w:space="0" w:color="000000"/>
              <w:right w:val="single" w:sz="4" w:space="0" w:color="000000"/>
            </w:tcBorders>
            <w:vAlign w:val="center"/>
          </w:tcPr>
          <w:p w14:paraId="0FFB3DD5"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52" w:type="dxa"/>
            <w:tcBorders>
              <w:top w:val="nil"/>
              <w:left w:val="nil"/>
              <w:bottom w:val="single" w:sz="4" w:space="0" w:color="000000"/>
              <w:right w:val="single" w:sz="4" w:space="0" w:color="000000"/>
            </w:tcBorders>
            <w:vAlign w:val="center"/>
          </w:tcPr>
          <w:p w14:paraId="347FBED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w:t>
            </w:r>
          </w:p>
        </w:tc>
        <w:tc>
          <w:tcPr>
            <w:tcW w:w="1204" w:type="dxa"/>
            <w:tcBorders>
              <w:top w:val="nil"/>
              <w:left w:val="nil"/>
              <w:bottom w:val="single" w:sz="4" w:space="0" w:color="000000"/>
              <w:right w:val="single" w:sz="4" w:space="0" w:color="000000"/>
            </w:tcBorders>
            <w:vAlign w:val="center"/>
          </w:tcPr>
          <w:p w14:paraId="23C9FDC0"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14,3</w:t>
            </w:r>
          </w:p>
        </w:tc>
        <w:tc>
          <w:tcPr>
            <w:tcW w:w="1185" w:type="dxa"/>
            <w:tcBorders>
              <w:top w:val="nil"/>
              <w:left w:val="nil"/>
              <w:bottom w:val="single" w:sz="4" w:space="0" w:color="000000"/>
              <w:right w:val="single" w:sz="4" w:space="0" w:color="000000"/>
            </w:tcBorders>
            <w:vAlign w:val="center"/>
          </w:tcPr>
          <w:p w14:paraId="171883F2"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c>
          <w:tcPr>
            <w:tcW w:w="1244" w:type="dxa"/>
            <w:tcBorders>
              <w:top w:val="nil"/>
              <w:left w:val="nil"/>
              <w:bottom w:val="single" w:sz="4" w:space="0" w:color="000000"/>
              <w:right w:val="single" w:sz="4" w:space="0" w:color="000000"/>
            </w:tcBorders>
            <w:vAlign w:val="center"/>
          </w:tcPr>
          <w:p w14:paraId="228AA28C"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14,3</w:t>
            </w:r>
          </w:p>
        </w:tc>
      </w:tr>
      <w:tr w:rsidR="00425514" w14:paraId="44F52481"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505771FA"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555" w:type="dxa"/>
            <w:tcBorders>
              <w:top w:val="nil"/>
              <w:left w:val="nil"/>
              <w:bottom w:val="single" w:sz="4" w:space="0" w:color="000000"/>
              <w:right w:val="single" w:sz="4" w:space="0" w:color="000000"/>
            </w:tcBorders>
          </w:tcPr>
          <w:p w14:paraId="45BC6A19"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Aging coefficient after 48 h at 379 K: fₚ</w:t>
            </w:r>
          </w:p>
        </w:tc>
        <w:tc>
          <w:tcPr>
            <w:tcW w:w="1185" w:type="dxa"/>
            <w:tcBorders>
              <w:top w:val="nil"/>
              <w:left w:val="nil"/>
              <w:bottom w:val="single" w:sz="4" w:space="0" w:color="000000"/>
              <w:right w:val="single" w:sz="4" w:space="0" w:color="000000"/>
            </w:tcBorders>
            <w:vAlign w:val="center"/>
          </w:tcPr>
          <w:p w14:paraId="683F189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0,83</w:t>
            </w:r>
          </w:p>
        </w:tc>
        <w:tc>
          <w:tcPr>
            <w:tcW w:w="1185" w:type="dxa"/>
            <w:tcBorders>
              <w:top w:val="nil"/>
              <w:left w:val="nil"/>
              <w:bottom w:val="single" w:sz="4" w:space="0" w:color="auto"/>
              <w:right w:val="single" w:sz="4" w:space="0" w:color="000000"/>
            </w:tcBorders>
            <w:vAlign w:val="center"/>
          </w:tcPr>
          <w:p w14:paraId="579F856A"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0,89</w:t>
            </w:r>
          </w:p>
        </w:tc>
        <w:tc>
          <w:tcPr>
            <w:tcW w:w="1252" w:type="dxa"/>
            <w:tcBorders>
              <w:top w:val="nil"/>
              <w:left w:val="nil"/>
              <w:bottom w:val="single" w:sz="4" w:space="0" w:color="000000"/>
              <w:right w:val="single" w:sz="4" w:space="0" w:color="000000"/>
            </w:tcBorders>
            <w:vAlign w:val="center"/>
          </w:tcPr>
          <w:p w14:paraId="1DCE199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1,15</w:t>
            </w:r>
          </w:p>
        </w:tc>
        <w:tc>
          <w:tcPr>
            <w:tcW w:w="1204" w:type="dxa"/>
            <w:tcBorders>
              <w:top w:val="nil"/>
              <w:left w:val="nil"/>
              <w:bottom w:val="single" w:sz="4" w:space="0" w:color="000000"/>
              <w:right w:val="single" w:sz="4" w:space="0" w:color="000000"/>
            </w:tcBorders>
            <w:vAlign w:val="center"/>
          </w:tcPr>
          <w:p w14:paraId="06B76BE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0,88</w:t>
            </w:r>
          </w:p>
        </w:tc>
        <w:tc>
          <w:tcPr>
            <w:tcW w:w="1185" w:type="dxa"/>
            <w:tcBorders>
              <w:top w:val="nil"/>
              <w:left w:val="nil"/>
              <w:bottom w:val="single" w:sz="4" w:space="0" w:color="000000"/>
              <w:right w:val="single" w:sz="4" w:space="0" w:color="000000"/>
            </w:tcBorders>
            <w:vAlign w:val="center"/>
          </w:tcPr>
          <w:p w14:paraId="45B428E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0,89</w:t>
            </w:r>
          </w:p>
        </w:tc>
        <w:tc>
          <w:tcPr>
            <w:tcW w:w="1244" w:type="dxa"/>
            <w:tcBorders>
              <w:top w:val="nil"/>
              <w:left w:val="nil"/>
              <w:bottom w:val="single" w:sz="4" w:space="0" w:color="000000"/>
              <w:right w:val="single" w:sz="4" w:space="0" w:color="000000"/>
            </w:tcBorders>
            <w:vAlign w:val="center"/>
          </w:tcPr>
          <w:p w14:paraId="2B93176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0,98</w:t>
            </w:r>
          </w:p>
        </w:tc>
      </w:tr>
      <w:tr w:rsidR="00425514" w14:paraId="56543287"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0B864627"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2555" w:type="dxa"/>
            <w:tcBorders>
              <w:top w:val="nil"/>
              <w:left w:val="nil"/>
              <w:bottom w:val="single" w:sz="4" w:space="0" w:color="000000"/>
              <w:right w:val="single" w:sz="4" w:space="0" w:color="000000"/>
            </w:tcBorders>
          </w:tcPr>
          <w:p w14:paraId="393DFF1D"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Aging coefficient after 48 h at 379 K: </w:t>
            </w:r>
            <w:r>
              <w:rPr>
                <w:rFonts w:ascii="Times New Roman" w:eastAsia="Calibri" w:hAnsi="Times New Roman" w:cs="Times New Roman"/>
                <w:sz w:val="24"/>
                <w:szCs w:val="24"/>
                <w:lang w:val="ru-RU"/>
              </w:rPr>
              <w:t>ε</w:t>
            </w:r>
            <w:r>
              <w:rPr>
                <w:rFonts w:ascii="Times New Roman" w:eastAsia="Calibri" w:hAnsi="Times New Roman" w:cs="Times New Roman"/>
                <w:sz w:val="24"/>
                <w:szCs w:val="24"/>
              </w:rPr>
              <w:t>ₚ</w:t>
            </w:r>
          </w:p>
        </w:tc>
        <w:tc>
          <w:tcPr>
            <w:tcW w:w="1185" w:type="dxa"/>
            <w:tcBorders>
              <w:top w:val="nil"/>
              <w:left w:val="nil"/>
              <w:bottom w:val="single" w:sz="4" w:space="0" w:color="000000"/>
              <w:right w:val="single" w:sz="4" w:space="0" w:color="auto"/>
            </w:tcBorders>
            <w:vAlign w:val="center"/>
          </w:tcPr>
          <w:p w14:paraId="1A70D72D"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0,77</w:t>
            </w:r>
          </w:p>
        </w:tc>
        <w:tc>
          <w:tcPr>
            <w:tcW w:w="1185" w:type="dxa"/>
            <w:tcBorders>
              <w:top w:val="single" w:sz="4" w:space="0" w:color="auto"/>
              <w:left w:val="single" w:sz="4" w:space="0" w:color="auto"/>
              <w:bottom w:val="single" w:sz="4" w:space="0" w:color="auto"/>
              <w:right w:val="single" w:sz="4" w:space="0" w:color="auto"/>
            </w:tcBorders>
            <w:vAlign w:val="center"/>
          </w:tcPr>
          <w:p w14:paraId="75FB9271"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0,65</w:t>
            </w:r>
          </w:p>
        </w:tc>
        <w:tc>
          <w:tcPr>
            <w:tcW w:w="1252" w:type="dxa"/>
            <w:tcBorders>
              <w:top w:val="nil"/>
              <w:left w:val="single" w:sz="4" w:space="0" w:color="auto"/>
              <w:bottom w:val="single" w:sz="4" w:space="0" w:color="000000"/>
              <w:right w:val="single" w:sz="4" w:space="0" w:color="000000"/>
            </w:tcBorders>
            <w:vAlign w:val="center"/>
          </w:tcPr>
          <w:p w14:paraId="4F2DE2A0"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0,92</w:t>
            </w:r>
          </w:p>
        </w:tc>
        <w:tc>
          <w:tcPr>
            <w:tcW w:w="1204" w:type="dxa"/>
            <w:tcBorders>
              <w:top w:val="nil"/>
              <w:left w:val="nil"/>
              <w:bottom w:val="single" w:sz="4" w:space="0" w:color="000000"/>
              <w:right w:val="single" w:sz="4" w:space="0" w:color="000000"/>
            </w:tcBorders>
            <w:vAlign w:val="center"/>
          </w:tcPr>
          <w:p w14:paraId="2E5BEB6B"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w:t>
            </w:r>
          </w:p>
        </w:tc>
        <w:tc>
          <w:tcPr>
            <w:tcW w:w="1185" w:type="dxa"/>
            <w:tcBorders>
              <w:top w:val="nil"/>
              <w:left w:val="nil"/>
              <w:bottom w:val="single" w:sz="4" w:space="0" w:color="000000"/>
              <w:right w:val="single" w:sz="4" w:space="0" w:color="000000"/>
            </w:tcBorders>
            <w:vAlign w:val="center"/>
          </w:tcPr>
          <w:p w14:paraId="176332C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0,79</w:t>
            </w:r>
          </w:p>
        </w:tc>
        <w:tc>
          <w:tcPr>
            <w:tcW w:w="1244" w:type="dxa"/>
            <w:tcBorders>
              <w:top w:val="nil"/>
              <w:left w:val="nil"/>
              <w:bottom w:val="single" w:sz="4" w:space="0" w:color="000000"/>
              <w:right w:val="single" w:sz="4" w:space="0" w:color="000000"/>
            </w:tcBorders>
            <w:vAlign w:val="center"/>
          </w:tcPr>
          <w:p w14:paraId="53A0AE86"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0,89</w:t>
            </w:r>
          </w:p>
        </w:tc>
      </w:tr>
      <w:tr w:rsidR="00425514" w14:paraId="492C0594" w14:textId="77777777" w:rsidTr="00F81331">
        <w:trPr>
          <w:trHeight w:val="300"/>
        </w:trPr>
        <w:tc>
          <w:tcPr>
            <w:tcW w:w="284" w:type="dxa"/>
            <w:tcBorders>
              <w:top w:val="nil"/>
              <w:left w:val="single" w:sz="4" w:space="0" w:color="000000"/>
              <w:bottom w:val="single" w:sz="4" w:space="0" w:color="000000"/>
              <w:right w:val="single" w:sz="4" w:space="0" w:color="000000"/>
            </w:tcBorders>
            <w:vAlign w:val="center"/>
          </w:tcPr>
          <w:p w14:paraId="77235BCD"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2555" w:type="dxa"/>
            <w:tcBorders>
              <w:top w:val="nil"/>
              <w:left w:val="nil"/>
              <w:bottom w:val="single" w:sz="4" w:space="0" w:color="000000"/>
              <w:right w:val="single" w:sz="4" w:space="0" w:color="000000"/>
            </w:tcBorders>
          </w:tcPr>
          <w:p w14:paraId="2285C3DB"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Jumping </w:t>
            </w:r>
            <w:r>
              <w:rPr>
                <w:rFonts w:ascii="Times New Roman" w:eastAsia="Calibri" w:hAnsi="Times New Roman" w:cs="Times New Roman"/>
                <w:sz w:val="24"/>
                <w:szCs w:val="24"/>
                <w:lang w:val="az-Latn-AZ"/>
              </w:rPr>
              <w:t>el</w:t>
            </w:r>
            <w:r>
              <w:rPr>
                <w:rFonts w:ascii="Times New Roman" w:eastAsia="Calibri" w:hAnsi="Times New Roman" w:cs="Times New Roman"/>
                <w:sz w:val="24"/>
                <w:szCs w:val="24"/>
                <w:lang w:val="ru-RU"/>
              </w:rPr>
              <w:t>asticity, %</w:t>
            </w:r>
          </w:p>
        </w:tc>
        <w:tc>
          <w:tcPr>
            <w:tcW w:w="1185" w:type="dxa"/>
            <w:tcBorders>
              <w:top w:val="nil"/>
              <w:left w:val="nil"/>
              <w:bottom w:val="single" w:sz="4" w:space="0" w:color="auto"/>
              <w:right w:val="single" w:sz="4" w:space="0" w:color="000000"/>
            </w:tcBorders>
            <w:vAlign w:val="center"/>
          </w:tcPr>
          <w:p w14:paraId="00B7701F"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p>
        </w:tc>
        <w:tc>
          <w:tcPr>
            <w:tcW w:w="1185" w:type="dxa"/>
            <w:tcBorders>
              <w:top w:val="single" w:sz="4" w:space="0" w:color="auto"/>
              <w:left w:val="nil"/>
              <w:bottom w:val="single" w:sz="4" w:space="0" w:color="000000"/>
              <w:right w:val="single" w:sz="4" w:space="0" w:color="000000"/>
            </w:tcBorders>
            <w:vAlign w:val="center"/>
          </w:tcPr>
          <w:p w14:paraId="1854F449"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252" w:type="dxa"/>
            <w:tcBorders>
              <w:top w:val="nil"/>
              <w:left w:val="nil"/>
              <w:bottom w:val="single" w:sz="4" w:space="0" w:color="000000"/>
              <w:right w:val="single" w:sz="4" w:space="0" w:color="000000"/>
            </w:tcBorders>
            <w:vAlign w:val="center"/>
          </w:tcPr>
          <w:p w14:paraId="0E2C4FA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17</w:t>
            </w:r>
          </w:p>
        </w:tc>
        <w:tc>
          <w:tcPr>
            <w:tcW w:w="1204" w:type="dxa"/>
            <w:tcBorders>
              <w:top w:val="nil"/>
              <w:left w:val="nil"/>
              <w:bottom w:val="single" w:sz="4" w:space="0" w:color="000000"/>
              <w:right w:val="single" w:sz="4" w:space="0" w:color="000000"/>
            </w:tcBorders>
            <w:vAlign w:val="center"/>
          </w:tcPr>
          <w:p w14:paraId="54F8119E"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13,9</w:t>
            </w:r>
          </w:p>
        </w:tc>
        <w:tc>
          <w:tcPr>
            <w:tcW w:w="1185" w:type="dxa"/>
            <w:tcBorders>
              <w:top w:val="nil"/>
              <w:left w:val="nil"/>
              <w:bottom w:val="single" w:sz="4" w:space="0" w:color="000000"/>
              <w:right w:val="single" w:sz="4" w:space="0" w:color="000000"/>
            </w:tcBorders>
            <w:vAlign w:val="center"/>
          </w:tcPr>
          <w:p w14:paraId="4BC8C416" w14:textId="77777777" w:rsidR="00425514" w:rsidRDefault="00000000">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244" w:type="dxa"/>
            <w:tcBorders>
              <w:top w:val="nil"/>
              <w:left w:val="nil"/>
              <w:bottom w:val="single" w:sz="4" w:space="0" w:color="000000"/>
              <w:right w:val="single" w:sz="4" w:space="0" w:color="000000"/>
            </w:tcBorders>
            <w:vAlign w:val="center"/>
          </w:tcPr>
          <w:p w14:paraId="70174E84"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13,9</w:t>
            </w:r>
          </w:p>
        </w:tc>
      </w:tr>
      <w:tr w:rsidR="00425514" w14:paraId="6F948BD9" w14:textId="77777777" w:rsidTr="00F81331">
        <w:trPr>
          <w:trHeight w:val="900"/>
        </w:trPr>
        <w:tc>
          <w:tcPr>
            <w:tcW w:w="284" w:type="dxa"/>
            <w:tcBorders>
              <w:top w:val="nil"/>
              <w:left w:val="single" w:sz="4" w:space="0" w:color="000000"/>
              <w:bottom w:val="single" w:sz="4" w:space="0" w:color="auto"/>
              <w:right w:val="single" w:sz="4" w:space="0" w:color="000000"/>
            </w:tcBorders>
            <w:vAlign w:val="center"/>
          </w:tcPr>
          <w:p w14:paraId="38DEE0B3" w14:textId="77777777" w:rsidR="00425514" w:rsidRDefault="00000000">
            <w:pPr>
              <w:spacing w:after="0" w:line="36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15</w:t>
            </w:r>
          </w:p>
        </w:tc>
        <w:tc>
          <w:tcPr>
            <w:tcW w:w="2555" w:type="dxa"/>
            <w:tcBorders>
              <w:top w:val="nil"/>
              <w:left w:val="nil"/>
              <w:bottom w:val="single" w:sz="4" w:space="0" w:color="auto"/>
              <w:right w:val="single" w:sz="4" w:space="0" w:color="auto"/>
            </w:tcBorders>
          </w:tcPr>
          <w:p w14:paraId="595EF603"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Ozone resistance for 27 h at 298 K (deformation 20%, ozone concentration 0.015%)</w:t>
            </w:r>
          </w:p>
        </w:tc>
        <w:tc>
          <w:tcPr>
            <w:tcW w:w="1185" w:type="dxa"/>
            <w:tcBorders>
              <w:top w:val="single" w:sz="4" w:space="0" w:color="auto"/>
              <w:left w:val="single" w:sz="4" w:space="0" w:color="auto"/>
              <w:bottom w:val="single" w:sz="4" w:space="0" w:color="auto"/>
              <w:right w:val="single" w:sz="4" w:space="0" w:color="auto"/>
            </w:tcBorders>
          </w:tcPr>
          <w:p w14:paraId="2B10B9C4"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Fails</w:t>
            </w:r>
          </w:p>
        </w:tc>
        <w:tc>
          <w:tcPr>
            <w:tcW w:w="1185" w:type="dxa"/>
            <w:tcBorders>
              <w:top w:val="nil"/>
              <w:left w:val="single" w:sz="4" w:space="0" w:color="auto"/>
              <w:bottom w:val="single" w:sz="4" w:space="0" w:color="auto"/>
              <w:right w:val="single" w:sz="4" w:space="0" w:color="000000"/>
            </w:tcBorders>
          </w:tcPr>
          <w:p w14:paraId="3BB36487"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Fails</w:t>
            </w:r>
          </w:p>
        </w:tc>
        <w:tc>
          <w:tcPr>
            <w:tcW w:w="1252" w:type="dxa"/>
            <w:tcBorders>
              <w:top w:val="nil"/>
              <w:left w:val="nil"/>
              <w:bottom w:val="single" w:sz="4" w:space="0" w:color="auto"/>
              <w:right w:val="single" w:sz="4" w:space="0" w:color="000000"/>
            </w:tcBorders>
          </w:tcPr>
          <w:p w14:paraId="6C245E17"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Does not fail</w:t>
            </w:r>
          </w:p>
        </w:tc>
        <w:tc>
          <w:tcPr>
            <w:tcW w:w="1204" w:type="dxa"/>
            <w:tcBorders>
              <w:top w:val="nil"/>
              <w:left w:val="nil"/>
              <w:bottom w:val="single" w:sz="4" w:space="0" w:color="auto"/>
              <w:right w:val="single" w:sz="4" w:space="0" w:color="000000"/>
            </w:tcBorders>
          </w:tcPr>
          <w:p w14:paraId="4A3A8A65"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Does not fail</w:t>
            </w:r>
          </w:p>
        </w:tc>
        <w:tc>
          <w:tcPr>
            <w:tcW w:w="1185" w:type="dxa"/>
            <w:tcBorders>
              <w:top w:val="nil"/>
              <w:left w:val="nil"/>
              <w:bottom w:val="single" w:sz="4" w:space="0" w:color="auto"/>
              <w:right w:val="single" w:sz="4" w:space="0" w:color="000000"/>
            </w:tcBorders>
          </w:tcPr>
          <w:p w14:paraId="42DC3037" w14:textId="77777777" w:rsidR="00425514" w:rsidRDefault="00000000">
            <w:pPr>
              <w:spacing w:after="160"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Does not fail</w:t>
            </w:r>
          </w:p>
        </w:tc>
        <w:tc>
          <w:tcPr>
            <w:tcW w:w="1244" w:type="dxa"/>
            <w:tcBorders>
              <w:top w:val="nil"/>
              <w:left w:val="nil"/>
              <w:bottom w:val="single" w:sz="4" w:space="0" w:color="auto"/>
              <w:right w:val="single" w:sz="4" w:space="0" w:color="000000"/>
            </w:tcBorders>
          </w:tcPr>
          <w:p w14:paraId="14327A8F" w14:textId="77777777" w:rsidR="00425514" w:rsidRDefault="00000000">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Does not fail</w:t>
            </w:r>
          </w:p>
        </w:tc>
      </w:tr>
    </w:tbl>
    <w:p w14:paraId="7045C6D4" w14:textId="62DC0827" w:rsidR="00425514" w:rsidRPr="00D470AA" w:rsidRDefault="00D470AA" w:rsidP="00F813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E9A7FB" w14:textId="77777777" w:rsidR="00425514"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14:paraId="01DE107E"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1. The effect of grape leaf content on the properties of SKN-3 rubber was studied, showing that at an optimal concentration of 5–10 parts by weight, the modified rubber exhibits higher tensile strength and lower residual elongation.</w:t>
      </w:r>
    </w:p>
    <w:p w14:paraId="3F2B701D"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2. The Mooney viscosity of the rubber compounds increased at grape leaf concentrations of 5 and 6 parts by weight, but decreased at a concentration of 10 parts by weight. Thermogravimetric analysis (TGA) was used to assess thermal stability. SKI-3 modified with grape leaves demonstrated increased thermal stability compared to the control sample.</w:t>
      </w:r>
    </w:p>
    <w:p w14:paraId="0078E72D" w14:textId="77777777" w:rsidR="0042551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 The addition of the modifier significantly increased the adhesive strength of adhesive composites based on SKN-3 isoprene rubber.</w:t>
      </w:r>
    </w:p>
    <w:p w14:paraId="39495D46" w14:textId="77777777" w:rsidR="00425514" w:rsidRDefault="00000000">
      <w:pPr>
        <w:keepNext/>
        <w:keepLines/>
        <w:suppressAutoHyphens/>
        <w:autoSpaceDN w:val="0"/>
        <w:spacing w:after="0" w:line="360" w:lineRule="auto"/>
        <w:ind w:left="118" w:hanging="118"/>
        <w:rPr>
          <w:rFonts w:ascii="Times New Roman" w:eastAsia="Calibri" w:hAnsi="Times New Roman" w:cs="Times New Roman"/>
          <w:sz w:val="24"/>
          <w:szCs w:val="24"/>
        </w:rPr>
      </w:pPr>
      <w:r>
        <w:rPr>
          <w:rFonts w:ascii="Times New Roman" w:eastAsia="Times New Roman" w:hAnsi="Times New Roman" w:cs="Times New Roman"/>
          <w:b/>
          <w:bCs/>
          <w:sz w:val="24"/>
          <w:szCs w:val="24"/>
          <w:lang w:val="az"/>
        </w:rPr>
        <w:t xml:space="preserve">            </w:t>
      </w:r>
      <w:r>
        <w:rPr>
          <w:rFonts w:ascii="Times New Roman" w:eastAsia="Times New Roman" w:hAnsi="Times New Roman" w:cs="Times New Roman"/>
          <w:b/>
          <w:bCs/>
          <w:sz w:val="24"/>
          <w:szCs w:val="24"/>
          <w:lang w:val="en-GB"/>
        </w:rPr>
        <w:t>Reference</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color w:val="2E74B5"/>
          <w:sz w:val="24"/>
          <w:szCs w:val="24"/>
          <w:lang w:val="en-GB"/>
        </w:rPr>
        <w:t xml:space="preserve"> </w:t>
      </w:r>
    </w:p>
    <w:p w14:paraId="4E8C1B8D" w14:textId="77777777" w:rsidR="00425514" w:rsidRDefault="00000000">
      <w:pPr>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333333"/>
          <w:sz w:val="24"/>
          <w:szCs w:val="24"/>
          <w:shd w:val="clear" w:color="auto" w:fill="FFFFFF"/>
          <w:lang w:val="en-GB"/>
        </w:rPr>
        <w:t xml:space="preserve">  </w:t>
      </w:r>
      <w:r>
        <w:rPr>
          <w:rFonts w:ascii="Times New Roman" w:eastAsia="Calibri" w:hAnsi="Times New Roman" w:cs="Times New Roman"/>
          <w:sz w:val="24"/>
          <w:szCs w:val="24"/>
        </w:rPr>
        <w:t>1.Alizade Tarlan</w:t>
      </w:r>
      <w:r>
        <w:rPr>
          <w:rFonts w:ascii="Times New Roman" w:eastAsia="Times New Roman" w:hAnsi="Times New Roman" w:cs="Times New Roman"/>
          <w:color w:val="2E74B5"/>
          <w:sz w:val="24"/>
          <w:szCs w:val="24"/>
          <w:shd w:val="clear" w:color="auto" w:fill="FFFFFF"/>
        </w:rPr>
        <w:t xml:space="preserve"> </w:t>
      </w:r>
      <w:r>
        <w:rPr>
          <w:rFonts w:ascii="Times New Roman" w:eastAsia="Calibri" w:hAnsi="Times New Roman" w:cs="Times New Roman"/>
          <w:i/>
          <w:iCs/>
          <w:sz w:val="24"/>
          <w:szCs w:val="24"/>
          <w:shd w:val="clear" w:color="auto" w:fill="FFFFFF"/>
        </w:rPr>
        <w:t>PHYSICO-MECHANICAL PROPERTIES OF PETROLEUM ROAD BITUMEN MODIFIED ON THE BASIS OF STYRENE-BUTADIENE BUTYL RUBBE</w:t>
      </w:r>
      <w:r>
        <w:rPr>
          <w:rFonts w:ascii="Times New Roman" w:eastAsia="Times New Roman" w:hAnsi="Times New Roman" w:cs="Times New Roman"/>
          <w:i/>
          <w:iCs/>
          <w:sz w:val="24"/>
          <w:szCs w:val="24"/>
          <w:shd w:val="clear" w:color="auto" w:fill="FFFFFF"/>
        </w:rPr>
        <w:t>,</w:t>
      </w:r>
      <w:r>
        <w:rPr>
          <w:rFonts w:ascii="Times New Roman" w:eastAsia="Calibri" w:hAnsi="Times New Roman" w:cs="Times New Roman"/>
          <w:sz w:val="24"/>
          <w:szCs w:val="24"/>
        </w:rPr>
        <w:t xml:space="preserve"> 2024, Innovative scientific research Proceedings of the IX International Scientific and Practical </w:t>
      </w:r>
    </w:p>
    <w:p w14:paraId="7009BC59"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Conference 14-15 March  </w:t>
      </w:r>
      <w:r>
        <w:rPr>
          <w:rFonts w:ascii="Times New Roman" w:eastAsia="Times New Roman" w:hAnsi="Times New Roman" w:cs="Times New Roman"/>
          <w:b/>
          <w:bCs/>
          <w:sz w:val="24"/>
          <w:szCs w:val="24"/>
          <w:shd w:val="clear" w:color="auto" w:fill="FFFFFF"/>
        </w:rPr>
        <w:t>, Pp34-40</w:t>
      </w:r>
      <w:r>
        <w:rPr>
          <w:rFonts w:ascii="Times New Roman" w:eastAsia="MS Mincho" w:hAnsi="Times New Roman" w:cs="Times New Roman"/>
          <w:b/>
          <w:bCs/>
          <w:sz w:val="24"/>
          <w:szCs w:val="24"/>
          <w:shd w:val="clear" w:color="auto" w:fill="FFFFFF"/>
          <w:lang w:eastAsia="ru-RU"/>
        </w:rPr>
        <w:t xml:space="preserve"> DOI: </w:t>
      </w:r>
      <w:hyperlink r:id="rId15" w:history="1">
        <w:r w:rsidR="00425514">
          <w:rPr>
            <w:rFonts w:ascii="Times New Roman" w:eastAsia="MS Mincho" w:hAnsi="Times New Roman" w:cs="Times New Roman"/>
            <w:color w:val="0000FF"/>
            <w:sz w:val="24"/>
            <w:szCs w:val="24"/>
            <w:u w:val="single"/>
            <w:shd w:val="clear" w:color="auto" w:fill="FFFFFF"/>
            <w:lang w:eastAsia="ru-RU"/>
          </w:rPr>
          <w:t>https://doi.org/10.5281/zenodo.10882832</w:t>
        </w:r>
      </w:hyperlink>
      <w:r>
        <w:rPr>
          <w:rFonts w:ascii="Times New Roman" w:eastAsia="MS Mincho" w:hAnsi="Times New Roman" w:cs="Times New Roman"/>
          <w:sz w:val="24"/>
          <w:szCs w:val="24"/>
          <w:u w:val="single"/>
          <w:shd w:val="clear" w:color="auto" w:fill="FFFFFF"/>
          <w:lang w:eastAsia="ru-RU"/>
        </w:rPr>
        <w:t xml:space="preserve"> </w:t>
      </w:r>
      <w:r>
        <w:rPr>
          <w:rFonts w:ascii="Times New Roman" w:eastAsia="Calibri" w:hAnsi="Times New Roman" w:cs="Times New Roman"/>
          <w:bCs/>
          <w:sz w:val="24"/>
          <w:szCs w:val="24"/>
        </w:rPr>
        <w:t xml:space="preserve"> </w:t>
      </w:r>
    </w:p>
    <w:p w14:paraId="408B9127"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2C2D2E"/>
          <w:sz w:val="24"/>
          <w:szCs w:val="24"/>
          <w:lang w:val="en-GB"/>
        </w:rPr>
        <w:t xml:space="preserve">2.G. Barrera Torres, Carlos M. Gutierrez Aguilar, Elizabeth R al. et . </w:t>
      </w:r>
      <w:hyperlink r:id="rId16" w:history="1">
        <w:r w:rsidR="00425514">
          <w:rPr>
            <w:rFonts w:ascii="Times New Roman" w:eastAsia="Times New Roman" w:hAnsi="Times New Roman" w:cs="Times New Roman"/>
            <w:bCs/>
            <w:color w:val="000000"/>
            <w:sz w:val="24"/>
            <w:szCs w:val="24"/>
            <w:u w:val="single"/>
            <w:lang w:val="en-GB"/>
          </w:rPr>
          <w:t>Application of Post-Industrial Leather Waste for the Development of Sustainable Rubber Composites</w:t>
        </w:r>
      </w:hyperlink>
    </w:p>
    <w:p w14:paraId="454C5185" w14:textId="77777777" w:rsidR="00425514" w:rsidRDefault="00000000">
      <w:pPr>
        <w:shd w:val="clear" w:color="auto" w:fill="FFFFFF"/>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190; </w:t>
      </w:r>
      <w:hyperlink r:id="rId17" w:history="1">
        <w:r w:rsidR="00425514">
          <w:rPr>
            <w:rFonts w:ascii="Times New Roman" w:eastAsia="Times New Roman" w:hAnsi="Times New Roman" w:cs="Times New Roman"/>
            <w:color w:val="3156A2"/>
            <w:sz w:val="24"/>
            <w:szCs w:val="24"/>
            <w:u w:val="single"/>
            <w:lang w:val="en-GB"/>
          </w:rPr>
          <w:t>DOI: 10.3390/polym17020190</w:t>
        </w:r>
      </w:hyperlink>
      <w:r>
        <w:rPr>
          <w:rFonts w:ascii="Times New Roman" w:eastAsia="Calibri" w:hAnsi="Times New Roman" w:cs="Times New Roman"/>
          <w:sz w:val="24"/>
          <w:szCs w:val="24"/>
          <w:lang w:val="en-GB"/>
        </w:rPr>
        <w:t xml:space="preserve">  </w:t>
      </w:r>
    </w:p>
    <w:p w14:paraId="1BE038AE"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 Gambaro D.SH., Ibrahim Nabila F. Geographical areal types of Astaxanthin and Astragals species spread in Nakhichevan Autonomous Republic // Kafka’s Universities Fen Balmier Entities 2011, pp.58-64.NO DOI</w:t>
      </w:r>
    </w:p>
    <w:p w14:paraId="03EB2B21"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4. Gambaro D.SH. Floristic analysis of the species of Astaxanthand Astragals spreading the area of the Nakhichevan Autonomous Republic // European Academic Rehears, 2013, İmpact Factor 0,485: p. 2586-2593  </w:t>
      </w:r>
    </w:p>
    <w:p w14:paraId="6FE24223" w14:textId="77777777" w:rsidR="00425514" w:rsidRDefault="00000000">
      <w:pPr>
        <w:shd w:val="clear" w:color="auto" w:fill="FFFFFF"/>
        <w:suppressAutoHyphens/>
        <w:autoSpaceDN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eastAsia="Times New Roman" w:hAnsi="Times New Roman" w:cs="Times New Roman"/>
          <w:sz w:val="24"/>
          <w:szCs w:val="24"/>
          <w:lang w:val="en-GB"/>
        </w:rPr>
        <w:t>DOI: </w:t>
      </w:r>
      <w:hyperlink r:id="rId18" w:history="1">
        <w:r w:rsidR="00425514">
          <w:rPr>
            <w:rFonts w:ascii="Times New Roman" w:eastAsia="Calibri" w:hAnsi="Times New Roman" w:cs="Times New Roman"/>
            <w:color w:val="0000FF"/>
            <w:sz w:val="24"/>
            <w:szCs w:val="24"/>
            <w:u w:val="single"/>
            <w:lang w:val="en-GB"/>
          </w:rPr>
          <w:t>10.32388/ZCAXYW.2</w:t>
        </w:r>
      </w:hyperlink>
    </w:p>
    <w:p w14:paraId="56103EE9" w14:textId="77777777" w:rsidR="00425514" w:rsidRDefault="00000000">
      <w:pPr>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6.  kerem Seyfi Modification of the used up polymeric materials and investigation thof e properties of the materials obtained. Journal of Medical Pharmaceutical and Allied Sciences, 2022, 11(2), pages 4697–4702 </w:t>
      </w:r>
      <w:r>
        <w:rPr>
          <w:rFonts w:ascii="Times New Roman" w:eastAsia="Times New Roman" w:hAnsi="Times New Roman" w:cs="Times New Roman"/>
          <w:sz w:val="24"/>
          <w:szCs w:val="24"/>
          <w:lang w:val="en-GB" w:eastAsia="ru-RU"/>
        </w:rPr>
        <w:t>DOI: </w:t>
      </w:r>
      <w:hyperlink r:id="rId19" w:history="1">
        <w:r w:rsidR="00425514">
          <w:rPr>
            <w:rFonts w:ascii="Times New Roman" w:eastAsia="Times New Roman" w:hAnsi="Times New Roman" w:cs="Times New Roman"/>
            <w:color w:val="0000FF"/>
            <w:sz w:val="24"/>
            <w:szCs w:val="24"/>
            <w:u w:val="single"/>
            <w:lang w:val="en-GB" w:eastAsia="ru-RU"/>
          </w:rPr>
          <w:t>10.35940/ijitee.G5721.079920</w:t>
        </w:r>
      </w:hyperlink>
      <w:r>
        <w:rPr>
          <w:rFonts w:ascii="Times New Roman" w:eastAsia="Times New Roman" w:hAnsi="Times New Roman" w:cs="Times New Roman"/>
          <w:sz w:val="24"/>
          <w:szCs w:val="24"/>
          <w:lang w:val="en-GB" w:eastAsia="ru-RU"/>
        </w:rPr>
        <w:t xml:space="preserve">    </w:t>
      </w:r>
      <w:r>
        <w:rPr>
          <w:rFonts w:ascii="Times New Roman" w:eastAsia="Calibri" w:hAnsi="Times New Roman" w:cs="Times New Roman"/>
          <w:sz w:val="24"/>
          <w:szCs w:val="24"/>
          <w:u w:val="single"/>
          <w:lang w:val="en-GB"/>
        </w:rPr>
        <w:t>5..</w:t>
      </w:r>
      <w:bookmarkStart w:id="0" w:name="_Hlk167693167"/>
      <w:r>
        <w:rPr>
          <w:rFonts w:ascii="Times New Roman" w:eastAsia="Calibri" w:hAnsi="Times New Roman" w:cs="Times New Roman"/>
          <w:sz w:val="24"/>
          <w:szCs w:val="24"/>
          <w:lang w:val="en-GB"/>
        </w:rPr>
        <w:t>Kerem Shixaliyev</w:t>
      </w:r>
      <w:bookmarkEnd w:id="0"/>
      <w:r>
        <w:rPr>
          <w:rFonts w:ascii="Times New Roman" w:eastAsia="Calibri" w:hAnsi="Times New Roman" w:cs="Times New Roman"/>
          <w:sz w:val="24"/>
          <w:szCs w:val="24"/>
          <w:lang w:val="en-GB"/>
        </w:rPr>
        <w:t>.</w:t>
      </w:r>
      <w:r>
        <w:rPr>
          <w:rFonts w:ascii="Times New Roman" w:eastAsia="Times New Roman" w:hAnsi="Times New Roman" w:cs="Times New Roman"/>
          <w:sz w:val="24"/>
          <w:szCs w:val="24"/>
          <w:lang w:val="en-GB"/>
        </w:rPr>
        <w:t xml:space="preserve"> Investigation of the subsequent use of lands along the Araz River contaminated wit</w:t>
      </w:r>
      <w:r>
        <w:rPr>
          <w:rFonts w:ascii="Times New Roman" w:eastAsia="Calibri" w:hAnsi="Times New Roman" w:cs="Times New Roman"/>
          <w:sz w:val="24"/>
          <w:szCs w:val="24"/>
          <w:lang w:val="en-GB"/>
        </w:rPr>
        <w:t xml:space="preserve"> </w:t>
      </w:r>
      <w:r>
        <w:rPr>
          <w:rFonts w:ascii="Times New Roman" w:eastAsia="Times New Roman" w:hAnsi="Times New Roman" w:cs="Times New Roman"/>
          <w:sz w:val="24"/>
          <w:szCs w:val="24"/>
          <w:lang w:val="en-GB"/>
        </w:rPr>
        <w:t xml:space="preserve">h heavy metals,2023,  </w:t>
      </w:r>
      <w:r>
        <w:rPr>
          <w:rFonts w:ascii="Times New Roman" w:eastAsia="Calibri" w:hAnsi="Times New Roman" w:cs="Times New Roman"/>
          <w:sz w:val="24"/>
          <w:szCs w:val="24"/>
          <w:lang w:val="en-GB"/>
        </w:rPr>
        <w:t xml:space="preserve"> JOURNAL</w:t>
      </w:r>
      <w:r>
        <w:rPr>
          <w:rFonts w:ascii="Times New Roman" w:eastAsia="Calibri" w:hAnsi="Times New Roman" w:cs="Times New Roman"/>
          <w:spacing w:val="27"/>
          <w:sz w:val="24"/>
          <w:szCs w:val="24"/>
          <w:lang w:val="en-GB"/>
        </w:rPr>
        <w:t xml:space="preserve"> </w:t>
      </w:r>
      <w:r>
        <w:rPr>
          <w:rFonts w:ascii="Times New Roman" w:eastAsia="Calibri" w:hAnsi="Times New Roman" w:cs="Times New Roman"/>
          <w:sz w:val="24"/>
          <w:szCs w:val="24"/>
          <w:lang w:val="en-GB"/>
        </w:rPr>
        <w:t>OF</w:t>
      </w:r>
      <w:r>
        <w:rPr>
          <w:rFonts w:ascii="Times New Roman" w:eastAsia="Calibri" w:hAnsi="Times New Roman" w:cs="Times New Roman"/>
          <w:spacing w:val="28"/>
          <w:sz w:val="24"/>
          <w:szCs w:val="24"/>
          <w:lang w:val="en-GB"/>
        </w:rPr>
        <w:t xml:space="preserve"> </w:t>
      </w:r>
      <w:r>
        <w:rPr>
          <w:rFonts w:ascii="Times New Roman" w:eastAsia="Calibri" w:hAnsi="Times New Roman" w:cs="Times New Roman"/>
          <w:sz w:val="24"/>
          <w:szCs w:val="24"/>
          <w:lang w:val="en-GB"/>
        </w:rPr>
        <w:t>AERONAUTICAL</w:t>
      </w:r>
      <w:r>
        <w:rPr>
          <w:rFonts w:ascii="Times New Roman" w:eastAsia="Calibri" w:hAnsi="Times New Roman" w:cs="Times New Roman"/>
          <w:spacing w:val="30"/>
          <w:sz w:val="24"/>
          <w:szCs w:val="24"/>
          <w:lang w:val="en-GB"/>
        </w:rPr>
        <w:t xml:space="preserve"> </w:t>
      </w:r>
      <w:r>
        <w:rPr>
          <w:rFonts w:ascii="Times New Roman" w:eastAsia="Calibri" w:hAnsi="Times New Roman" w:cs="Times New Roman"/>
          <w:sz w:val="24"/>
          <w:szCs w:val="24"/>
          <w:lang w:val="en-GB"/>
        </w:rPr>
        <w:t>MATERIALS</w:t>
      </w:r>
      <w:r>
        <w:rPr>
          <w:rFonts w:ascii="Times New Roman" w:eastAsia="Calibri" w:hAnsi="Times New Roman" w:cs="Times New Roman"/>
          <w:w w:val="105"/>
          <w:sz w:val="24"/>
          <w:szCs w:val="24"/>
          <w:lang w:val="en-GB"/>
        </w:rPr>
        <w:t>ISS N:</w:t>
      </w:r>
      <w:r>
        <w:rPr>
          <w:rFonts w:ascii="Times New Roman" w:eastAsia="Calibri" w:hAnsi="Times New Roman" w:cs="Times New Roman"/>
          <w:spacing w:val="-7"/>
          <w:w w:val="105"/>
          <w:sz w:val="24"/>
          <w:szCs w:val="24"/>
          <w:lang w:val="en-GB"/>
        </w:rPr>
        <w:t xml:space="preserve"> </w:t>
      </w:r>
      <w:r>
        <w:rPr>
          <w:rFonts w:ascii="Times New Roman" w:eastAsia="Calibri" w:hAnsi="Times New Roman" w:cs="Times New Roman"/>
          <w:w w:val="105"/>
          <w:sz w:val="24"/>
          <w:szCs w:val="24"/>
          <w:lang w:val="en-GB"/>
        </w:rPr>
        <w:t xml:space="preserve">  Vol.</w:t>
      </w:r>
      <w:r>
        <w:rPr>
          <w:rFonts w:ascii="Times New Roman" w:eastAsia="Calibri" w:hAnsi="Times New Roman" w:cs="Times New Roman"/>
          <w:spacing w:val="-5"/>
          <w:w w:val="105"/>
          <w:sz w:val="24"/>
          <w:szCs w:val="24"/>
          <w:lang w:val="en-GB"/>
        </w:rPr>
        <w:t xml:space="preserve"> </w:t>
      </w:r>
      <w:r>
        <w:rPr>
          <w:rFonts w:ascii="Times New Roman" w:eastAsia="Calibri" w:hAnsi="Times New Roman" w:cs="Times New Roman"/>
          <w:w w:val="105"/>
          <w:sz w:val="24"/>
          <w:szCs w:val="24"/>
          <w:lang w:val="en-GB"/>
        </w:rPr>
        <w:t>43,</w:t>
      </w:r>
      <w:r>
        <w:rPr>
          <w:rFonts w:ascii="Times New Roman" w:eastAsia="Calibri" w:hAnsi="Times New Roman" w:cs="Times New Roman"/>
          <w:spacing w:val="-5"/>
          <w:w w:val="105"/>
          <w:sz w:val="24"/>
          <w:szCs w:val="24"/>
          <w:lang w:val="en-GB"/>
        </w:rPr>
        <w:t xml:space="preserve"> </w:t>
      </w:r>
      <w:r>
        <w:rPr>
          <w:rFonts w:ascii="Times New Roman" w:eastAsia="Calibri" w:hAnsi="Times New Roman" w:cs="Times New Roman"/>
          <w:w w:val="105"/>
          <w:sz w:val="24"/>
          <w:szCs w:val="24"/>
          <w:lang w:val="en-GB"/>
        </w:rPr>
        <w:t>Issue-01,</w:t>
      </w:r>
      <w:r>
        <w:rPr>
          <w:rFonts w:ascii="Times New Roman" w:eastAsia="Calibri" w:hAnsi="Times New Roman" w:cs="Times New Roman"/>
          <w:spacing w:val="-6"/>
          <w:w w:val="105"/>
          <w:sz w:val="24"/>
          <w:szCs w:val="24"/>
          <w:lang w:val="en-GB"/>
        </w:rPr>
        <w:t xml:space="preserve"> </w:t>
      </w:r>
      <w:r>
        <w:rPr>
          <w:rFonts w:ascii="Times New Roman" w:eastAsia="Calibri" w:hAnsi="Times New Roman" w:cs="Times New Roman"/>
          <w:w w:val="105"/>
          <w:sz w:val="24"/>
          <w:szCs w:val="24"/>
          <w:lang w:val="en-GB"/>
        </w:rPr>
        <w:t xml:space="preserve"> pp.</w:t>
      </w:r>
      <w:r>
        <w:rPr>
          <w:rFonts w:ascii="Times New Roman" w:eastAsia="Calibri" w:hAnsi="Times New Roman" w:cs="Times New Roman"/>
          <w:spacing w:val="-6"/>
          <w:w w:val="105"/>
          <w:sz w:val="24"/>
          <w:szCs w:val="24"/>
          <w:lang w:val="en-GB"/>
        </w:rPr>
        <w:t xml:space="preserve"> </w:t>
      </w:r>
      <w:r>
        <w:rPr>
          <w:rFonts w:ascii="Times New Roman" w:eastAsia="Calibri" w:hAnsi="Times New Roman" w:cs="Times New Roman"/>
          <w:w w:val="105"/>
          <w:sz w:val="24"/>
          <w:szCs w:val="24"/>
          <w:lang w:val="en-GB"/>
        </w:rPr>
        <w:t>102-111</w:t>
      </w:r>
      <w:r>
        <w:rPr>
          <w:rFonts w:ascii="Times New Roman" w:eastAsia="Calibri" w:hAnsi="Times New Roman" w:cs="Times New Roman"/>
          <w:b/>
          <w:w w:val="105"/>
          <w:sz w:val="24"/>
          <w:szCs w:val="24"/>
          <w:u w:val="single"/>
          <w:lang w:val="en-GB"/>
        </w:rPr>
        <w:t>,</w:t>
      </w:r>
      <w:hyperlink r:id="rId20" w:history="1">
        <w:r w:rsidR="00425514">
          <w:rPr>
            <w:rFonts w:ascii="Times New Roman" w:eastAsia="Calibri" w:hAnsi="Times New Roman" w:cs="Times New Roman"/>
            <w:color w:val="0000FF"/>
            <w:sz w:val="24"/>
            <w:szCs w:val="24"/>
            <w:u w:val="single"/>
            <w:lang w:val="en-GB"/>
          </w:rPr>
          <w:t>https://www.hkclxb.cn/article/view/2023/102.html</w:t>
        </w:r>
      </w:hyperlink>
      <w:r>
        <w:rPr>
          <w:rFonts w:ascii="Times New Roman" w:eastAsia="Calibri" w:hAnsi="Times New Roman" w:cs="Times New Roman"/>
          <w:sz w:val="24"/>
          <w:szCs w:val="24"/>
          <w:lang w:val="en-GB"/>
        </w:rPr>
        <w:t xml:space="preserve"> </w:t>
      </w:r>
    </w:p>
    <w:p w14:paraId="484A56C6" w14:textId="77777777" w:rsidR="00425514" w:rsidRDefault="00000000">
      <w:pPr>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7..</w:t>
      </w:r>
      <w:r>
        <w:rPr>
          <w:rFonts w:ascii="Times New Roman" w:eastAsia="Times New Roman" w:hAnsi="Times New Roman" w:cs="Times New Roman"/>
          <w:sz w:val="24"/>
          <w:szCs w:val="24"/>
          <w:u w:val="single"/>
          <w:lang w:val="en-GB"/>
        </w:rPr>
        <w:t xml:space="preserve"> Kerem Shixaliyev</w:t>
      </w:r>
      <w:r>
        <w:rPr>
          <w:rFonts w:ascii="Times New Roman" w:eastAsia="Times New Roman" w:hAnsi="Times New Roman" w:cs="Times New Roman"/>
          <w:sz w:val="24"/>
          <w:szCs w:val="24"/>
          <w:lang w:val="en-GB"/>
        </w:rPr>
        <w:t xml:space="preserve"> Research</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New</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Ways</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of</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Processing</w:t>
      </w:r>
      <w:r>
        <w:rPr>
          <w:rFonts w:ascii="Times New Roman" w:eastAsia="Times New Roman" w:hAnsi="Times New Roman" w:cs="Times New Roman"/>
          <w:spacing w:val="44"/>
          <w:sz w:val="24"/>
          <w:szCs w:val="24"/>
          <w:lang w:val="en-GB"/>
        </w:rPr>
        <w:t xml:space="preserve"> </w:t>
      </w:r>
      <w:r>
        <w:rPr>
          <w:rFonts w:ascii="Times New Roman" w:eastAsia="Times New Roman" w:hAnsi="Times New Roman" w:cs="Times New Roman"/>
          <w:sz w:val="24"/>
          <w:szCs w:val="24"/>
          <w:lang w:val="en-GB"/>
        </w:rPr>
        <w:t>Polymer</w:t>
      </w:r>
      <w:r>
        <w:rPr>
          <w:rFonts w:ascii="Times New Roman" w:eastAsia="Times New Roman" w:hAnsi="Times New Roman" w:cs="Times New Roman"/>
          <w:spacing w:val="43"/>
          <w:sz w:val="24"/>
          <w:szCs w:val="24"/>
          <w:lang w:val="en-GB"/>
        </w:rPr>
        <w:t xml:space="preserve"> </w:t>
      </w:r>
      <w:r>
        <w:rPr>
          <w:rFonts w:ascii="Times New Roman" w:eastAsia="Times New Roman" w:hAnsi="Times New Roman" w:cs="Times New Roman"/>
          <w:sz w:val="24"/>
          <w:szCs w:val="24"/>
          <w:lang w:val="en-GB"/>
        </w:rPr>
        <w:t>Waste</w:t>
      </w:r>
      <w:r>
        <w:rPr>
          <w:rFonts w:ascii="Times New Roman" w:eastAsia="Times New Roman" w:hAnsi="Times New Roman" w:cs="Times New Roman"/>
          <w:spacing w:val="45"/>
          <w:sz w:val="24"/>
          <w:szCs w:val="24"/>
          <w:lang w:val="en-GB"/>
        </w:rPr>
        <w:t xml:space="preserve"> </w:t>
      </w:r>
      <w:r>
        <w:rPr>
          <w:rFonts w:ascii="Times New Roman" w:eastAsia="Times New Roman" w:hAnsi="Times New Roman" w:cs="Times New Roman"/>
          <w:sz w:val="24"/>
          <w:szCs w:val="24"/>
          <w:lang w:val="en-GB"/>
        </w:rPr>
        <w:t>that</w:t>
      </w:r>
      <w:r>
        <w:rPr>
          <w:rFonts w:ascii="Times New Roman" w:eastAsia="Times New Roman" w:hAnsi="Times New Roman" w:cs="Times New Roman"/>
          <w:spacing w:val="41"/>
          <w:sz w:val="24"/>
          <w:szCs w:val="24"/>
          <w:lang w:val="en-GB"/>
        </w:rPr>
        <w:t xml:space="preserve"> </w:t>
      </w:r>
      <w:r>
        <w:rPr>
          <w:rFonts w:ascii="Times New Roman" w:eastAsia="Times New Roman" w:hAnsi="Times New Roman" w:cs="Times New Roman"/>
          <w:sz w:val="24"/>
          <w:szCs w:val="24"/>
          <w:lang w:val="en-GB"/>
        </w:rPr>
        <w:t>was</w:t>
      </w:r>
      <w:r>
        <w:rPr>
          <w:rFonts w:ascii="Times New Roman" w:eastAsia="Times New Roman" w:hAnsi="Times New Roman" w:cs="Times New Roman"/>
          <w:spacing w:val="-47"/>
          <w:sz w:val="24"/>
          <w:szCs w:val="24"/>
          <w:lang w:val="en-GB"/>
        </w:rPr>
        <w:t xml:space="preserve"> </w:t>
      </w:r>
      <w:r>
        <w:rPr>
          <w:rFonts w:ascii="Times New Roman" w:eastAsia="Times New Roman" w:hAnsi="Times New Roman" w:cs="Times New Roman"/>
          <w:sz w:val="24"/>
          <w:szCs w:val="24"/>
          <w:lang w:val="en-GB"/>
        </w:rPr>
        <w:t>Formed</w:t>
      </w:r>
      <w:r>
        <w:rPr>
          <w:rFonts w:ascii="Times New Roman" w:eastAsia="Times New Roman" w:hAnsi="Times New Roman" w:cs="Times New Roman"/>
          <w:spacing w:val="-1"/>
          <w:sz w:val="24"/>
          <w:szCs w:val="24"/>
          <w:lang w:val="en-GB"/>
        </w:rPr>
        <w:t xml:space="preserve"> </w:t>
      </w:r>
      <w:r>
        <w:rPr>
          <w:rFonts w:ascii="Times New Roman" w:eastAsia="Times New Roman" w:hAnsi="Times New Roman" w:cs="Times New Roman"/>
          <w:sz w:val="24"/>
          <w:szCs w:val="24"/>
          <w:lang w:val="en-GB"/>
        </w:rPr>
        <w:t>as a Result of</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z w:val="24"/>
          <w:szCs w:val="24"/>
          <w:lang w:val="en-GB"/>
        </w:rPr>
        <w:t>Operation321-335 Novel Perspectives of Geography, Environment and Earth Sciences Vol. 1</w:t>
      </w:r>
      <w:r>
        <w:rPr>
          <w:rFonts w:ascii="Times New Roman" w:eastAsia="Times New Roman" w:hAnsi="Times New Roman" w:cs="Times New Roman"/>
          <w:i/>
          <w:iCs/>
          <w:sz w:val="24"/>
          <w:szCs w:val="24"/>
          <w:lang w:val="en-GB"/>
        </w:rPr>
        <w:t xml:space="preserve"> Vol. 1</w:t>
      </w:r>
      <w:r>
        <w:rPr>
          <w:rFonts w:ascii="Times New Roman" w:eastAsia="Times New Roman" w:hAnsi="Times New Roman" w:cs="Times New Roman"/>
          <w:sz w:val="24"/>
          <w:szCs w:val="24"/>
          <w:lang w:val="en-GB"/>
        </w:rPr>
        <w:t>, 22 December 2022 , Page 25-35</w:t>
      </w:r>
      <w:hyperlink r:id="rId21" w:history="1">
        <w:r w:rsidR="00425514">
          <w:rPr>
            <w:rFonts w:ascii="Times New Roman" w:eastAsia="Times New Roman" w:hAnsi="Times New Roman" w:cs="Times New Roman"/>
            <w:color w:val="0000FF"/>
            <w:sz w:val="24"/>
            <w:szCs w:val="24"/>
            <w:u w:val="single"/>
            <w:lang w:val="en-GB"/>
          </w:rPr>
          <w:t>https://doi.org/10.9734/bpi/npgees/v1/17431D</w:t>
        </w:r>
      </w:hyperlink>
    </w:p>
    <w:p w14:paraId="66EFB382"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8.</w:t>
      </w:r>
      <w:r>
        <w:rPr>
          <w:rFonts w:ascii="Times New Roman" w:eastAsia="Times New Roman" w:hAnsi="Times New Roman" w:cs="Times New Roman"/>
          <w:bCs/>
          <w:sz w:val="24"/>
          <w:szCs w:val="24"/>
          <w:lang w:val="en-GB"/>
        </w:rPr>
        <w:t xml:space="preserve"> </w:t>
      </w:r>
      <w:r>
        <w:rPr>
          <w:rFonts w:ascii="Times New Roman" w:eastAsia="Calibri" w:hAnsi="Times New Roman" w:cs="Times New Roman"/>
          <w:sz w:val="24"/>
          <w:szCs w:val="24"/>
          <w:u w:val="single"/>
          <w:lang w:val="en-GB"/>
        </w:rPr>
        <w:t>Kerem Shixaliyev</w:t>
      </w:r>
      <w:r>
        <w:rPr>
          <w:rFonts w:ascii="Times New Roman" w:eastAsia="Times New Roman" w:hAnsi="Times New Roman" w:cs="Times New Roman"/>
          <w:bCs/>
          <w:sz w:val="24"/>
          <w:szCs w:val="24"/>
          <w:lang w:val="en-GB"/>
        </w:rPr>
        <w:t xml:space="preserve">  </w:t>
      </w:r>
      <w:hyperlink r:id="rId22" w:history="1">
        <w:r w:rsidR="00425514">
          <w:rPr>
            <w:rFonts w:ascii="Times New Roman" w:eastAsia="Calibri" w:hAnsi="Times New Roman" w:cs="Times New Roman"/>
            <w:caps/>
            <w:color w:val="0000FF"/>
            <w:sz w:val="24"/>
            <w:szCs w:val="24"/>
            <w:u w:val="single"/>
            <w:lang w:val="en-GB"/>
          </w:rPr>
          <w:t>PROPERTIES OF THE COMPOSITION BASED ON MODIFIED POLYETHYLENES</w:t>
        </w:r>
      </w:hyperlink>
      <w:r>
        <w:rPr>
          <w:rFonts w:ascii="Times New Roman" w:eastAsia="Calibri" w:hAnsi="Times New Roman" w:cs="Times New Roman"/>
          <w:sz w:val="24"/>
          <w:szCs w:val="24"/>
          <w:lang w:val="en-GB"/>
        </w:rPr>
        <w:t xml:space="preserve"> ,  2023, Eur. Chem. Bull.</w:t>
      </w:r>
      <w:r>
        <w:rPr>
          <w:rFonts w:ascii="Times New Roman" w:eastAsia="Calibri" w:hAnsi="Times New Roman" w:cs="Times New Roman"/>
          <w:b/>
          <w:bCs/>
          <w:sz w:val="24"/>
          <w:szCs w:val="24"/>
          <w:lang w:val="en-GB"/>
        </w:rPr>
        <w:t xml:space="preserve"> </w:t>
      </w:r>
      <w:r>
        <w:rPr>
          <w:rFonts w:ascii="Times New Roman" w:eastAsia="Calibri" w:hAnsi="Times New Roman" w:cs="Times New Roman"/>
          <w:bCs/>
          <w:sz w:val="24"/>
          <w:szCs w:val="24"/>
          <w:lang w:val="en-GB"/>
        </w:rPr>
        <w:t>,</w:t>
      </w:r>
      <w:r>
        <w:rPr>
          <w:rFonts w:ascii="Times New Roman" w:eastAsia="Calibri" w:hAnsi="Times New Roman" w:cs="Times New Roman"/>
          <w:bCs/>
          <w:sz w:val="24"/>
          <w:szCs w:val="24"/>
          <w:shd w:val="clear" w:color="auto" w:fill="FFFFFF"/>
          <w:lang w:val="en-GB"/>
        </w:rPr>
        <w:t xml:space="preserve"> 2023; Volume -12 , Special Issue-5 : Page: 242-258 . </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shd w:val="clear" w:color="auto" w:fill="FFFFFF"/>
          <w:lang w:val="en-GB"/>
        </w:rPr>
        <w:t>doi </w:t>
      </w:r>
      <w:hyperlink r:id="rId23" w:history="1">
        <w:r w:rsidR="00425514">
          <w:rPr>
            <w:rFonts w:ascii="Times New Roman" w:eastAsia="Calibri" w:hAnsi="Times New Roman" w:cs="Times New Roman"/>
            <w:color w:val="0000FF"/>
            <w:sz w:val="24"/>
            <w:szCs w:val="24"/>
            <w:u w:val="single"/>
            <w:shd w:val="clear" w:color="auto" w:fill="FFFFFF"/>
            <w:lang w:val="en-GB"/>
          </w:rPr>
          <w:t>10.31838/ECB/2023.12.si5.023</w:t>
        </w:r>
      </w:hyperlink>
      <w:r>
        <w:rPr>
          <w:rFonts w:ascii="Times New Roman" w:eastAsia="Calibri" w:hAnsi="Times New Roman" w:cs="Times New Roman"/>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eastAsia="Calibri" w:hAnsi="Times New Roman" w:cs="Times New Roman"/>
          <w:bCs/>
          <w:sz w:val="24"/>
          <w:szCs w:val="24"/>
          <w:shd w:val="clear" w:color="auto" w:fill="FFFFFF"/>
          <w:lang w:val="en-GB"/>
        </w:rPr>
        <w:t xml:space="preserve"> </w:t>
      </w:r>
    </w:p>
    <w:p w14:paraId="14C66A4E"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lastRenderedPageBreak/>
        <w:t>9.</w:t>
      </w:r>
      <w:r>
        <w:rPr>
          <w:rFonts w:ascii="Times New Roman" w:eastAsia="Calibri" w:hAnsi="Times New Roman" w:cs="Times New Roman"/>
          <w:sz w:val="24"/>
          <w:szCs w:val="24"/>
          <w:u w:val="single"/>
          <w:lang w:val="en-GB"/>
        </w:rPr>
        <w:t xml:space="preserve"> Kerem Shixaliyev</w:t>
      </w:r>
      <w:r>
        <w:rPr>
          <w:rFonts w:ascii="Times New Roman" w:eastAsia="Calibri" w:hAnsi="Times New Roman" w:cs="Times New Roman"/>
          <w:sz w:val="24"/>
          <w:szCs w:val="24"/>
          <w:lang w:val="en-GB"/>
        </w:rPr>
        <w:t xml:space="preserve"> Study of the Properties of the Composition Obtained Based on Mixtures of Polyvinyl Chloride and Ethylene-Propylene Copolymers</w:t>
      </w:r>
      <w:r>
        <w:rPr>
          <w:rFonts w:ascii="Times New Roman" w:eastAsia="Times New Roman" w:hAnsi="Times New Roman" w:cs="Times New Roman"/>
          <w:sz w:val="24"/>
          <w:szCs w:val="24"/>
          <w:lang w:val="en-GB"/>
        </w:rPr>
        <w:t xml:space="preserve"> International ,2023,Journal of Current Science Research and Review ISSN: 2581-8341</w:t>
      </w:r>
      <w:r>
        <w:rPr>
          <w:rFonts w:ascii="Times New Roman" w:eastAsia="Times New Roman" w:hAnsi="Times New Roman" w:cs="Times New Roman"/>
          <w:b/>
          <w:bCs/>
          <w:sz w:val="24"/>
          <w:szCs w:val="24"/>
          <w:lang w:val="en-GB"/>
        </w:rPr>
        <w:t xml:space="preserve"> Vol 6 No 1 (2023): Volume 06 Issue 01 </w:t>
      </w:r>
      <w:r>
        <w:rPr>
          <w:rFonts w:ascii="Times New Roman" w:eastAsia="Times New Roman" w:hAnsi="Times New Roman" w:cs="Times New Roman"/>
          <w:bCs/>
          <w:sz w:val="24"/>
          <w:szCs w:val="24"/>
          <w:lang w:val="en-GB"/>
        </w:rPr>
        <w:t>January ,pp314-318</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shd w:val="clear" w:color="auto" w:fill="FFFFFF"/>
          <w:lang w:val="en-GB"/>
        </w:rPr>
        <w:t>doi </w:t>
      </w:r>
      <w:hyperlink r:id="rId24" w:history="1">
        <w:r w:rsidR="00425514">
          <w:rPr>
            <w:rFonts w:ascii="Times New Roman" w:eastAsia="Calibri" w:hAnsi="Times New Roman" w:cs="Times New Roman"/>
            <w:color w:val="0000FF"/>
            <w:sz w:val="24"/>
            <w:szCs w:val="24"/>
            <w:u w:val="single"/>
            <w:shd w:val="clear" w:color="auto" w:fill="FFFFFF"/>
            <w:lang w:val="en-GB"/>
          </w:rPr>
          <w:t>10.31838/ECB/2023.12.si5.023</w:t>
        </w:r>
      </w:hyperlink>
      <w:r>
        <w:rPr>
          <w:rFonts w:ascii="Times New Roman" w:eastAsia="Calibri" w:hAnsi="Times New Roman" w:cs="Times New Roman"/>
          <w:b/>
          <w:bCs/>
          <w:sz w:val="24"/>
          <w:szCs w:val="24"/>
          <w:lang w:val="en-GB"/>
        </w:rPr>
        <w:t xml:space="preserve"> </w:t>
      </w:r>
      <w:r>
        <w:rPr>
          <w:rFonts w:ascii="Times New Roman" w:eastAsia="Times New Roman" w:hAnsi="Times New Roman" w:cs="Times New Roman"/>
          <w:sz w:val="24"/>
          <w:szCs w:val="24"/>
          <w:lang w:val="en-GB"/>
        </w:rPr>
        <w:t xml:space="preserve"> </w:t>
      </w:r>
      <w:r>
        <w:rPr>
          <w:rFonts w:ascii="Times New Roman" w:eastAsia="Calibri" w:hAnsi="Times New Roman" w:cs="Times New Roman"/>
          <w:sz w:val="24"/>
          <w:szCs w:val="24"/>
          <w:lang w:val="en-GB"/>
        </w:rPr>
        <w:t xml:space="preserve"> </w:t>
      </w:r>
    </w:p>
    <w:p w14:paraId="1AE8F147"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pacing w:val="-1"/>
          <w:sz w:val="24"/>
          <w:szCs w:val="24"/>
          <w:lang w:val="en-GB"/>
        </w:rPr>
        <w:t>10.</w:t>
      </w:r>
      <w:r>
        <w:rPr>
          <w:rFonts w:ascii="Times New Roman" w:eastAsia="Calibri" w:hAnsi="Times New Roman" w:cs="Times New Roman"/>
          <w:sz w:val="24"/>
          <w:szCs w:val="24"/>
          <w:u w:val="single"/>
          <w:lang w:val="en-GB"/>
        </w:rPr>
        <w:t>Kerem  Shixaliyev.</w:t>
      </w:r>
      <w:r>
        <w:rPr>
          <w:rFonts w:ascii="Times New Roman" w:eastAsia="Calibri" w:hAnsi="Times New Roman" w:cs="Times New Roman"/>
          <w:spacing w:val="-1"/>
          <w:sz w:val="24"/>
          <w:szCs w:val="24"/>
          <w:lang w:val="en-GB"/>
        </w:rPr>
        <w:t>Investigating Recycling Methods of End-of-Life Car Tires,2023,</w:t>
      </w:r>
      <w:r>
        <w:rPr>
          <w:rFonts w:ascii="Times New Roman" w:eastAsia="Calibri" w:hAnsi="Times New Roman" w:cs="Times New Roman"/>
          <w:b/>
          <w:bCs/>
          <w:sz w:val="24"/>
          <w:szCs w:val="24"/>
          <w:u w:val="single"/>
          <w:shd w:val="clear" w:color="auto" w:fill="FFFFFF"/>
          <w:lang w:val="en-GB"/>
        </w:rPr>
        <w:t xml:space="preserve"> </w:t>
      </w:r>
      <w:r>
        <w:rPr>
          <w:rFonts w:ascii="Times New Roman" w:eastAsia="Calibri" w:hAnsi="Times New Roman" w:cs="Times New Roman"/>
          <w:bCs/>
          <w:sz w:val="24"/>
          <w:szCs w:val="24"/>
          <w:u w:val="single"/>
          <w:shd w:val="clear" w:color="auto" w:fill="FFFFFF"/>
          <w:lang w:val="en-GB"/>
        </w:rPr>
        <w:t>Journal of Advanced Zoology,</w:t>
      </w:r>
      <w:r>
        <w:rPr>
          <w:rFonts w:ascii="Times New Roman" w:eastAsia="Calibri" w:hAnsi="Times New Roman" w:cs="Times New Roman"/>
          <w:sz w:val="24"/>
          <w:szCs w:val="24"/>
          <w:lang w:val="en-GB"/>
        </w:rPr>
        <w:t xml:space="preserve"> Volume 44 Issue S-3 Year 2023 Page 1149:1157</w:t>
      </w:r>
      <w:r>
        <w:rPr>
          <w:rFonts w:ascii="Times New Roman" w:eastAsia="Times New Roman" w:hAnsi="Times New Roman" w:cs="Times New Roman"/>
          <w:sz w:val="24"/>
          <w:szCs w:val="24"/>
          <w:lang w:val="en-GB"/>
        </w:rPr>
        <w:t xml:space="preserve"> ,DOI: </w:t>
      </w:r>
      <w:hyperlink r:id="rId25" w:history="1">
        <w:r w:rsidR="00425514">
          <w:rPr>
            <w:rFonts w:ascii="Times New Roman" w:eastAsia="Calibri" w:hAnsi="Times New Roman" w:cs="Times New Roman"/>
            <w:color w:val="0000FF"/>
            <w:sz w:val="24"/>
            <w:szCs w:val="24"/>
            <w:u w:val="single"/>
            <w:lang w:val="en-GB"/>
          </w:rPr>
          <w:t>https://doi.org/10.17762/jaz.v44iS-3.1205</w:t>
        </w:r>
      </w:hyperlink>
    </w:p>
    <w:p w14:paraId="757CFA72"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11.</w:t>
      </w:r>
      <w:r>
        <w:rPr>
          <w:rFonts w:ascii="Times New Roman" w:eastAsia="Calibri" w:hAnsi="Times New Roman" w:cs="Times New Roman"/>
          <w:sz w:val="24"/>
          <w:szCs w:val="24"/>
          <w:u w:val="single"/>
          <w:lang w:val="en-GB"/>
        </w:rPr>
        <w:t xml:space="preserve"> Kerem Shixaliyev</w:t>
      </w:r>
      <w:r>
        <w:rPr>
          <w:rFonts w:ascii="Times New Roman" w:eastAsia="Calibri" w:hAnsi="Times New Roman" w:cs="Times New Roman"/>
          <w:spacing w:val="-1"/>
          <w:sz w:val="24"/>
          <w:szCs w:val="24"/>
          <w:lang w:val="en-GB"/>
        </w:rPr>
        <w:t xml:space="preserve"> Investigation of the Рroрerties of a Composition Obtained based on Mixtures of Polyvinylchloride and Synthetic Rubber Ethylene Рroрylene Terрoliymer2023,</w:t>
      </w:r>
      <w:hyperlink r:id="rId26" w:history="1">
        <w:r w:rsidR="00425514">
          <w:rPr>
            <w:rFonts w:ascii="Times New Roman" w:eastAsia="Calibri" w:hAnsi="Times New Roman" w:cs="Times New Roman"/>
            <w:color w:val="0000FF"/>
            <w:sz w:val="24"/>
            <w:szCs w:val="24"/>
            <w:u w:val="single"/>
            <w:lang w:val="en-GB"/>
          </w:rPr>
          <w:t>Editorial Board of Journal of Coastal Life Medicine</w:t>
        </w:r>
      </w:hyperlink>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editor special issue</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eurchembul</w:t>
      </w:r>
      <w:r>
        <w:rPr>
          <w:rFonts w:ascii="Times New Roman" w:eastAsia="Times New Roman" w:hAnsi="Times New Roman" w:cs="Times New Roman"/>
          <w:b/>
          <w:sz w:val="24"/>
          <w:szCs w:val="24"/>
          <w:lang w:val="en-GB"/>
        </w:rPr>
        <w:t>l .</w:t>
      </w:r>
      <w:r>
        <w:rPr>
          <w:rFonts w:ascii="Times New Roman" w:eastAsia="Calibri" w:hAnsi="Times New Roman" w:cs="Times New Roman"/>
          <w:sz w:val="24"/>
          <w:szCs w:val="24"/>
          <w:lang w:val="en-GB"/>
        </w:rPr>
        <w:t xml:space="preserve"> </w:t>
      </w:r>
      <w:hyperlink r:id="rId27" w:history="1">
        <w:r w:rsidR="00425514">
          <w:rPr>
            <w:rFonts w:ascii="Times New Roman" w:eastAsia="Calibri" w:hAnsi="Times New Roman" w:cs="Times New Roman"/>
            <w:color w:val="0000FF"/>
            <w:sz w:val="24"/>
            <w:szCs w:val="24"/>
            <w:u w:val="single"/>
            <w:lang w:val="en-GB"/>
          </w:rPr>
          <w:t>Vol. 11: Number 1, 2023</w:t>
        </w:r>
      </w:hyperlink>
      <w:r>
        <w:rPr>
          <w:rFonts w:ascii="Times New Roman" w:eastAsia="Times New Roman" w:hAnsi="Times New Roman" w:cs="Times New Roman"/>
          <w:sz w:val="24"/>
          <w:szCs w:val="24"/>
          <w:lang w:val="en-GB"/>
        </w:rPr>
        <w:t xml:space="preserve">  </w:t>
      </w:r>
      <w:r>
        <w:rPr>
          <w:rFonts w:ascii="Times New Roman" w:eastAsia="Calibri" w:hAnsi="Times New Roman" w:cs="Times New Roman"/>
          <w:spacing w:val="-1"/>
          <w:sz w:val="24"/>
          <w:szCs w:val="24"/>
          <w:lang w:val="en-GB"/>
        </w:rPr>
        <w:t>JCLMM 1/11   pp.|2653–2658,</w:t>
      </w:r>
      <w:r>
        <w:rPr>
          <w:rFonts w:ascii="Times New Roman" w:eastAsia="Calibri" w:hAnsi="Times New Roman" w:cs="Times New Roman"/>
          <w:sz w:val="24"/>
          <w:szCs w:val="24"/>
          <w:lang w:val="en-GB"/>
        </w:rPr>
        <w:t xml:space="preserve"> </w:t>
      </w:r>
      <w:hyperlink r:id="rId28" w:history="1">
        <w:r w:rsidR="00425514">
          <w:rPr>
            <w:rFonts w:ascii="Times New Roman" w:eastAsia="Calibri" w:hAnsi="Times New Roman" w:cs="Times New Roman"/>
            <w:color w:val="0000FF"/>
            <w:sz w:val="24"/>
            <w:szCs w:val="24"/>
            <w:u w:val="single"/>
            <w:shd w:val="clear" w:color="auto" w:fill="FFFFFF"/>
            <w:lang w:val="en-GB"/>
          </w:rPr>
          <w:t>https://www.jclmm.com/index.php/journal/article/view/741</w:t>
        </w:r>
      </w:hyperlink>
    </w:p>
    <w:p w14:paraId="56A0D675" w14:textId="77777777" w:rsidR="00425514" w:rsidRDefault="00000000">
      <w:pPr>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  . 117-126Technology, </w:t>
      </w:r>
      <w:bookmarkStart w:id="1" w:name="_Hlk187943366"/>
      <w:r>
        <w:rPr>
          <w:rFonts w:ascii="Times New Roman" w:eastAsia="Times New Roman" w:hAnsi="Times New Roman" w:cs="Times New Roman"/>
          <w:sz w:val="24"/>
          <w:szCs w:val="24"/>
          <w:lang w:val="en-GB" w:eastAsia="ru-RU"/>
        </w:rPr>
        <w:t>DOI: </w:t>
      </w:r>
      <w:hyperlink r:id="rId29" w:history="1">
        <w:r w:rsidR="00425514">
          <w:rPr>
            <w:rFonts w:ascii="Times New Roman" w:eastAsia="Times New Roman" w:hAnsi="Times New Roman" w:cs="Times New Roman"/>
            <w:color w:val="0000FF"/>
            <w:sz w:val="24"/>
            <w:szCs w:val="24"/>
            <w:u w:val="single"/>
            <w:lang w:val="en-GB" w:eastAsia="ru-RU"/>
          </w:rPr>
          <w:t>10.35940/ijitee.G5721.079920</w:t>
        </w:r>
      </w:hyperlink>
      <w:r>
        <w:rPr>
          <w:rFonts w:ascii="Times New Roman" w:eastAsia="Times New Roman" w:hAnsi="Times New Roman" w:cs="Times New Roman"/>
          <w:sz w:val="24"/>
          <w:szCs w:val="24"/>
          <w:lang w:val="en-GB" w:eastAsia="ru-RU"/>
        </w:rPr>
        <w:t xml:space="preserve"> </w:t>
      </w:r>
      <w:bookmarkEnd w:id="1"/>
      <w:r>
        <w:rPr>
          <w:rFonts w:ascii="Times New Roman" w:eastAsia="Calibri" w:hAnsi="Times New Roman" w:cs="Times New Roman"/>
          <w:sz w:val="24"/>
          <w:szCs w:val="24"/>
          <w:lang w:val="en-GB"/>
        </w:rPr>
        <w:t xml:space="preserve">  </w:t>
      </w:r>
    </w:p>
    <w:p w14:paraId="735027D5"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n-GB" w:eastAsia="ru-RU"/>
        </w:rPr>
        <w:t xml:space="preserve">12 </w:t>
      </w:r>
      <w:r>
        <w:rPr>
          <w:rFonts w:ascii="Times New Roman" w:eastAsia="Times New Roman" w:hAnsi="Times New Roman" w:cs="Times New Roman"/>
          <w:color w:val="2C2D2E"/>
          <w:sz w:val="24"/>
          <w:szCs w:val="24"/>
          <w:lang w:val="en-GB"/>
        </w:rPr>
        <w:t>.Md Najib Alam, Siraj Azam, Jongwan Yun and Sang-Shin Park</w:t>
      </w:r>
      <w:r>
        <w:rPr>
          <w:rFonts w:ascii="Times New Roman" w:eastAsia="Times New Roman" w:hAnsi="Times New Roman" w:cs="Times New Roman"/>
          <w:sz w:val="24"/>
          <w:szCs w:val="24"/>
          <w:lang w:val="en-GB" w:eastAsia="ru-RU"/>
        </w:rPr>
        <w:t>.</w:t>
      </w:r>
      <w:r>
        <w:rPr>
          <w:rFonts w:ascii="Times New Roman" w:eastAsia="Times New Roman" w:hAnsi="Times New Roman" w:cs="Times New Roman"/>
          <w:b/>
          <w:bCs/>
          <w:i/>
          <w:iCs/>
          <w:color w:val="2C2D2E"/>
          <w:sz w:val="24"/>
          <w:szCs w:val="24"/>
          <w:lang w:val="en-GB"/>
        </w:rPr>
        <w:t>:</w:t>
      </w:r>
      <w:r>
        <w:rPr>
          <w:rFonts w:ascii="Times New Roman" w:eastAsia="Times New Roman" w:hAnsi="Times New Roman" w:cs="Times New Roman"/>
          <w:b/>
          <w:bCs/>
          <w:color w:val="2C2D2E"/>
          <w:sz w:val="24"/>
          <w:szCs w:val="24"/>
          <w:lang w:val="en-GB"/>
        </w:rPr>
        <w:t> </w:t>
      </w:r>
      <w:hyperlink r:id="rId30" w:history="1">
        <w:r w:rsidR="00425514">
          <w:rPr>
            <w:rFonts w:ascii="Times New Roman" w:eastAsia="Times New Roman" w:hAnsi="Times New Roman" w:cs="Times New Roman"/>
            <w:bCs/>
            <w:color w:val="000000"/>
            <w:sz w:val="24"/>
            <w:szCs w:val="24"/>
            <w:u w:val="single"/>
            <w:lang w:val="en-GB"/>
          </w:rPr>
          <w:t>Critical Role of Rubber Functionalities on the Mechanical and Electrical Responses of Carbon Nanotube-Based Electroactive Rubber Composites</w:t>
        </w:r>
      </w:hyperlink>
    </w:p>
    <w:p w14:paraId="651514B5" w14:textId="77777777" w:rsidR="00425514" w:rsidRDefault="00000000">
      <w:pPr>
        <w:shd w:val="clear" w:color="auto" w:fill="FFFFFF"/>
        <w:suppressAutoHyphens/>
        <w:autoSpaceDN w:val="0"/>
        <w:spacing w:line="360" w:lineRule="auto"/>
        <w:jc w:val="both"/>
        <w:rPr>
          <w:rFonts w:ascii="Times New Roman" w:eastAsia="Calibri"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127; </w:t>
      </w:r>
      <w:hyperlink r:id="rId31" w:history="1">
        <w:r w:rsidR="00425514">
          <w:rPr>
            <w:rFonts w:ascii="Times New Roman" w:eastAsia="Times New Roman" w:hAnsi="Times New Roman" w:cs="Times New Roman"/>
            <w:color w:val="3156A2"/>
            <w:sz w:val="24"/>
            <w:szCs w:val="24"/>
            <w:u w:val="single"/>
            <w:lang w:val="en-GB"/>
          </w:rPr>
          <w:t>DOI: 10.3390/polym17020127</w:t>
        </w:r>
      </w:hyperlink>
      <w:r>
        <w:rPr>
          <w:rFonts w:ascii="Times New Roman" w:eastAsia="Calibri" w:hAnsi="Times New Roman" w:cs="Times New Roman"/>
          <w:sz w:val="24"/>
          <w:szCs w:val="24"/>
          <w:lang w:val="en-GB"/>
        </w:rPr>
        <w:t xml:space="preserve"> </w:t>
      </w:r>
    </w:p>
    <w:p w14:paraId="74C8472E"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b/>
          <w:bCs/>
          <w:i/>
          <w:iCs/>
          <w:color w:val="2C2D2E"/>
          <w:sz w:val="24"/>
          <w:szCs w:val="24"/>
          <w:lang w:val="en-GB"/>
        </w:rPr>
        <w:t>13.</w:t>
      </w:r>
      <w:r>
        <w:rPr>
          <w:rFonts w:ascii="Times New Roman" w:eastAsia="Times New Roman" w:hAnsi="Times New Roman" w:cs="Times New Roman"/>
          <w:b/>
          <w:bCs/>
          <w:color w:val="2C2D2E"/>
          <w:sz w:val="24"/>
          <w:szCs w:val="24"/>
          <w:lang w:val="en-GB"/>
        </w:rPr>
        <w:t> </w:t>
      </w:r>
      <w:hyperlink r:id="rId32" w:history="1">
        <w:r w:rsidR="00425514">
          <w:rPr>
            <w:rFonts w:ascii="Times New Roman" w:eastAsia="Times New Roman" w:hAnsi="Times New Roman" w:cs="Times New Roman"/>
            <w:color w:val="2C2D2E"/>
            <w:sz w:val="24"/>
            <w:szCs w:val="24"/>
            <w:u w:val="single"/>
            <w:lang w:val="en-GB"/>
          </w:rPr>
          <w:t>Lama Jabreen, Moorthy Maruthapandi, Arulappan Durairaj,</w:t>
        </w:r>
      </w:hyperlink>
      <w:r>
        <w:rPr>
          <w:rFonts w:ascii="Times New Roman" w:eastAsia="Calibri" w:hAnsi="Times New Roman" w:cs="Times New Roman"/>
          <w:sz w:val="24"/>
          <w:szCs w:val="24"/>
          <w:lang w:val="en-GB"/>
        </w:rPr>
        <w:t xml:space="preserve"> </w:t>
      </w:r>
      <w:hyperlink r:id="rId33" w:history="1">
        <w:r w:rsidR="00425514">
          <w:rPr>
            <w:rFonts w:ascii="Times New Roman" w:eastAsia="Times New Roman" w:hAnsi="Times New Roman" w:cs="Times New Roman"/>
            <w:bCs/>
            <w:color w:val="000000"/>
            <w:sz w:val="24"/>
            <w:szCs w:val="24"/>
            <w:u w:val="single"/>
            <w:lang w:val="en-GB"/>
          </w:rPr>
          <w:t>Ultrasonic Deposition of Cellulose Nanocrystals on Substrates for Enhanced Eradication Activity on Multidrug-Resistant Pathogens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154; </w:t>
      </w:r>
      <w:hyperlink r:id="rId34" w:history="1">
        <w:r w:rsidR="00425514">
          <w:rPr>
            <w:rFonts w:ascii="Times New Roman" w:eastAsia="Times New Roman" w:hAnsi="Times New Roman" w:cs="Times New Roman"/>
            <w:color w:val="3156A2"/>
            <w:sz w:val="24"/>
            <w:szCs w:val="24"/>
            <w:u w:val="single"/>
            <w:lang w:val="en-GB"/>
          </w:rPr>
          <w:t>DOI: 10.3390/polym17020154</w:t>
        </w:r>
      </w:hyperlink>
    </w:p>
    <w:p w14:paraId="425FB156"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Times New Roman" w:hAnsi="Times New Roman" w:cs="Times New Roman"/>
          <w:color w:val="2C2D2E"/>
          <w:sz w:val="24"/>
          <w:szCs w:val="24"/>
          <w:lang w:val="en-GB"/>
        </w:rPr>
        <w:t xml:space="preserve">.Marina V. Parchaykina, Elena V. Liyaskina, Alena O. Bogatyreva </w:t>
      </w:r>
      <w:hyperlink r:id="rId35" w:history="1">
        <w:r w:rsidR="00425514">
          <w:rPr>
            <w:rFonts w:ascii="Times New Roman" w:eastAsia="Times New Roman" w:hAnsi="Times New Roman" w:cs="Times New Roman"/>
            <w:bCs/>
            <w:color w:val="000000"/>
            <w:sz w:val="24"/>
            <w:szCs w:val="24"/>
            <w:u w:val="single"/>
            <w:lang w:val="en-GB"/>
          </w:rPr>
          <w:t>Cost-Effective Production of Bacterial Cellulose and Tubular Materials by Cultivating </w:t>
        </w:r>
        <w:r w:rsidR="00425514">
          <w:rPr>
            <w:rFonts w:ascii="Times New Roman" w:eastAsia="Times New Roman" w:hAnsi="Times New Roman" w:cs="Times New Roman"/>
            <w:bCs/>
            <w:i/>
            <w:iCs/>
            <w:color w:val="000000"/>
            <w:sz w:val="24"/>
            <w:szCs w:val="24"/>
            <w:u w:val="single"/>
            <w:lang w:val="en-GB"/>
          </w:rPr>
          <w:t>Komagataeibacter sucrofermentans</w:t>
        </w:r>
        <w:r w:rsidR="00425514">
          <w:rPr>
            <w:rFonts w:ascii="Times New Roman" w:eastAsia="Times New Roman" w:hAnsi="Times New Roman" w:cs="Times New Roman"/>
            <w:bCs/>
            <w:color w:val="000000"/>
            <w:sz w:val="24"/>
            <w:szCs w:val="24"/>
            <w:u w:val="single"/>
            <w:lang w:val="en-GB"/>
          </w:rPr>
          <w:t> B-11267 on a Molasses Medium</w:t>
        </w:r>
      </w:hyperlink>
    </w:p>
    <w:p w14:paraId="6C23135F"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179; </w:t>
      </w:r>
      <w:hyperlink r:id="rId36" w:history="1">
        <w:r w:rsidR="00425514">
          <w:rPr>
            <w:rFonts w:ascii="Times New Roman" w:eastAsia="Times New Roman" w:hAnsi="Times New Roman" w:cs="Times New Roman"/>
            <w:color w:val="3156A2"/>
            <w:sz w:val="24"/>
            <w:szCs w:val="24"/>
            <w:u w:val="single"/>
            <w:lang w:val="en-GB"/>
          </w:rPr>
          <w:t>DOI: 10.3390/polym17020179</w:t>
        </w:r>
      </w:hyperlink>
      <w:r>
        <w:rPr>
          <w:rFonts w:ascii="Times New Roman" w:eastAsia="Calibri" w:hAnsi="Times New Roman" w:cs="Times New Roman"/>
          <w:sz w:val="24"/>
          <w:szCs w:val="24"/>
        </w:rPr>
        <w:t xml:space="preserve"> </w:t>
      </w:r>
    </w:p>
    <w:p w14:paraId="18AB0944"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55585D"/>
          <w:sz w:val="24"/>
          <w:szCs w:val="24"/>
          <w:lang w:val="en-GB" w:eastAsia="ru-RU"/>
        </w:rPr>
        <w:t xml:space="preserve">16..Rahimli Karamat, Mammadova Rasmiyya.Preparation and investigation of an adhesive composition with the added nanoparticles </w:t>
      </w:r>
      <w:hyperlink r:id="rId37" w:anchor="page=43" w:history="1">
        <w:r w:rsidR="00425514">
          <w:rPr>
            <w:rFonts w:ascii="Times New Roman" w:eastAsia="Times New Roman" w:hAnsi="Times New Roman" w:cs="Times New Roman"/>
            <w:color w:val="0000FF"/>
            <w:sz w:val="24"/>
            <w:szCs w:val="24"/>
            <w:u w:val="single"/>
            <w:lang w:val="en-GB" w:eastAsia="ru-RU"/>
          </w:rPr>
          <w:t>https://isg-konf.com/wpcontent/uploads/2024/05/INNOVATIVE-SOLUTIONS-IN-PUBLIC-COMMUNICATIONS-AND-INTERNATIONAL-RELATIONS.pdf#page=43</w:t>
        </w:r>
      </w:hyperlink>
      <w:r>
        <w:rPr>
          <w:rFonts w:ascii="Times New Roman" w:eastAsia="Calibri" w:hAnsi="Times New Roman" w:cs="Times New Roman"/>
          <w:sz w:val="24"/>
          <w:szCs w:val="24"/>
        </w:rPr>
        <w:t xml:space="preserve">  </w:t>
      </w:r>
    </w:p>
    <w:p w14:paraId="748F42F4" w14:textId="77777777" w:rsidR="00425514" w:rsidRDefault="00000000">
      <w:pPr>
        <w:suppressAutoHyphens/>
        <w:autoSpaceDN w:val="0"/>
        <w:spacing w:after="0" w:line="360" w:lineRule="auto"/>
        <w:jc w:val="both"/>
        <w:rPr>
          <w:rFonts w:ascii="Times New Roman" w:eastAsia="Calibri" w:hAnsi="Times New Roman" w:cs="Times New Roman"/>
          <w:sz w:val="24"/>
          <w:szCs w:val="24"/>
          <w:lang w:val="de-DE"/>
        </w:rPr>
      </w:pPr>
      <w:r>
        <w:rPr>
          <w:rFonts w:ascii="Times New Roman" w:eastAsia="Times New Roman" w:hAnsi="Times New Roman" w:cs="Times New Roman"/>
          <w:color w:val="55585D"/>
          <w:sz w:val="24"/>
          <w:szCs w:val="24"/>
          <w:lang w:val="en-GB" w:eastAsia="ru-RU"/>
        </w:rPr>
        <w:t>17.Rasmiyya, Mammadova, Afsuna, Asgarli.</w:t>
      </w:r>
      <w:r>
        <w:rPr>
          <w:rFonts w:ascii="Times New Roman" w:eastAsia="Times New Roman" w:hAnsi="Times New Roman" w:cs="Times New Roman"/>
          <w:color w:val="6E7277"/>
          <w:kern w:val="3"/>
          <w:sz w:val="24"/>
          <w:szCs w:val="24"/>
          <w:lang w:val="en-GB" w:eastAsia="ru-RU"/>
        </w:rPr>
        <w:t>CHEMICAL MODIFICATION OF MALEIC ANHYDRIDE-STYRENE COPOLYMER AND INVESTIGATION WITH SPECTROSCOPIC TECHNIQUES.</w:t>
      </w:r>
      <w:r>
        <w:rPr>
          <w:rFonts w:ascii="Times New Roman" w:eastAsia="Calibri" w:hAnsi="Times New Roman" w:cs="Times New Roman"/>
          <w:b/>
          <w:bCs/>
          <w:color w:val="55585D"/>
          <w:sz w:val="24"/>
          <w:szCs w:val="24"/>
          <w:lang w:val="en-GB"/>
        </w:rPr>
        <w:t xml:space="preserve"> </w:t>
      </w:r>
      <w:r>
        <w:rPr>
          <w:rFonts w:ascii="Times New Roman" w:eastAsia="Times New Roman" w:hAnsi="Times New Roman" w:cs="Times New Roman"/>
          <w:color w:val="55585D"/>
          <w:sz w:val="24"/>
          <w:szCs w:val="24"/>
          <w:lang w:val="de-DE" w:eastAsia="ru-RU"/>
        </w:rPr>
        <w:t xml:space="preserve">German International Journal of Modern Science / Deutsche Internationale Zeitschrift fur Zeitgenössische Wissenschaft, 2024, n. 80, p. 16, doi. 10.5281/zenodo.11211848 </w:t>
      </w:r>
      <w:r>
        <w:rPr>
          <w:rFonts w:ascii="Times New Roman" w:eastAsia="Times New Roman" w:hAnsi="Times New Roman" w:cs="Times New Roman"/>
          <w:color w:val="2C2D2E"/>
          <w:sz w:val="24"/>
          <w:szCs w:val="24"/>
          <w:lang w:val="de-DE"/>
        </w:rPr>
        <w:t xml:space="preserve"> </w:t>
      </w:r>
    </w:p>
    <w:p w14:paraId="37086EE5"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b/>
          <w:bCs/>
          <w:i/>
          <w:iCs/>
          <w:color w:val="2C2D2E"/>
          <w:sz w:val="24"/>
          <w:szCs w:val="24"/>
          <w:lang w:val="en-GB"/>
        </w:rPr>
        <w:lastRenderedPageBreak/>
        <w:t>18.</w:t>
      </w:r>
      <w:hyperlink r:id="rId38" w:history="1">
        <w:r w:rsidR="00425514">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39" w:history="1">
        <w:r w:rsidR="00425514">
          <w:rPr>
            <w:rFonts w:ascii="Times New Roman" w:eastAsia="Times New Roman" w:hAnsi="Times New Roman" w:cs="Times New Roman"/>
            <w:bCs/>
            <w:color w:val="000000"/>
            <w:sz w:val="24"/>
            <w:szCs w:val="24"/>
            <w:u w:val="single"/>
            <w:lang w:val="en-GB"/>
          </w:rPr>
          <w:t>Mechanical Properties and Decomposition Behavior of Compression Moldable Poly(Malic Acid)/</w:t>
        </w:r>
        <w:r w:rsidR="00425514">
          <w:rPr>
            <w:rFonts w:ascii="Times New Roman" w:eastAsia="Times New Roman" w:hAnsi="Times New Roman" w:cs="Times New Roman"/>
            <w:bCs/>
            <w:i/>
            <w:iCs/>
            <w:color w:val="000000"/>
            <w:sz w:val="24"/>
            <w:szCs w:val="24"/>
            <w:u w:val="single"/>
            <w:lang w:val="en-GB"/>
          </w:rPr>
          <w:t>α</w:t>
        </w:r>
        <w:r w:rsidR="00425514">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bCs/>
          <w:color w:val="000000"/>
          <w:sz w:val="24"/>
          <w:szCs w:val="24"/>
          <w:u w:val="single"/>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40" w:history="1">
        <w:r w:rsidR="00425514">
          <w:rPr>
            <w:rFonts w:ascii="Times New Roman" w:eastAsia="Times New Roman" w:hAnsi="Times New Roman" w:cs="Times New Roman"/>
            <w:color w:val="3156A2"/>
            <w:sz w:val="24"/>
            <w:szCs w:val="24"/>
            <w:u w:val="single"/>
            <w:lang w:val="en-GB"/>
          </w:rPr>
          <w:t>DOI: 10.3390/polym17020147</w:t>
        </w:r>
      </w:hyperlink>
    </w:p>
    <w:p w14:paraId="59932287" w14:textId="77777777" w:rsidR="00425514" w:rsidRDefault="00000000">
      <w:pPr>
        <w:shd w:val="clear" w:color="auto" w:fill="FFFFFF"/>
        <w:suppressAutoHyphens/>
        <w:autoSpaceDN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b/>
          <w:bCs/>
          <w:i/>
          <w:iCs/>
          <w:color w:val="2C2D2E"/>
          <w:sz w:val="24"/>
          <w:szCs w:val="24"/>
          <w:lang w:val="en-GB"/>
        </w:rPr>
        <w:t>19.</w:t>
      </w:r>
      <w:hyperlink r:id="rId41" w:history="1">
        <w:r w:rsidR="00425514">
          <w:rPr>
            <w:rFonts w:ascii="Times New Roman" w:eastAsia="Times New Roman" w:hAnsi="Times New Roman" w:cs="Times New Roman"/>
            <w:b/>
            <w:bCs/>
            <w:color w:val="000000"/>
            <w:sz w:val="24"/>
            <w:szCs w:val="24"/>
            <w:u w:val="single"/>
            <w:lang w:val="en-GB"/>
          </w:rPr>
          <w:t xml:space="preserve"> </w:t>
        </w:r>
      </w:hyperlink>
      <w:r>
        <w:rPr>
          <w:rFonts w:ascii="Times New Roman" w:eastAsia="Times New Roman" w:hAnsi="Times New Roman" w:cs="Times New Roman"/>
          <w:color w:val="2C2D2E"/>
          <w:sz w:val="24"/>
          <w:szCs w:val="24"/>
          <w:lang w:val="en-GB"/>
        </w:rPr>
        <w:t xml:space="preserve">Shuta Hara, Akiko Kojima, Atsushi Furukawa,  al.et </w:t>
      </w:r>
      <w:hyperlink r:id="rId42" w:history="1">
        <w:r w:rsidR="00425514">
          <w:rPr>
            <w:rFonts w:ascii="Times New Roman" w:eastAsia="Times New Roman" w:hAnsi="Times New Roman" w:cs="Times New Roman"/>
            <w:bCs/>
            <w:color w:val="000000"/>
            <w:sz w:val="24"/>
            <w:szCs w:val="24"/>
            <w:u w:val="single"/>
            <w:lang w:val="en-GB"/>
          </w:rPr>
          <w:t>Mechanical Properties and Decomposition Behavior of Compression Moldable Poly(Malic Acid)/</w:t>
        </w:r>
        <w:r w:rsidR="00425514">
          <w:rPr>
            <w:rFonts w:ascii="Times New Roman" w:eastAsia="Times New Roman" w:hAnsi="Times New Roman" w:cs="Times New Roman"/>
            <w:bCs/>
            <w:i/>
            <w:iCs/>
            <w:color w:val="000000"/>
            <w:sz w:val="24"/>
            <w:szCs w:val="24"/>
            <w:u w:val="single"/>
            <w:lang w:val="en-GB"/>
          </w:rPr>
          <w:t>α</w:t>
        </w:r>
        <w:r w:rsidR="00425514">
          <w:rPr>
            <w:rFonts w:ascii="Times New Roman" w:eastAsia="Times New Roman" w:hAnsi="Times New Roman" w:cs="Times New Roman"/>
            <w:bCs/>
            <w:color w:val="000000"/>
            <w:sz w:val="24"/>
            <w:szCs w:val="24"/>
            <w:u w:val="single"/>
            <w:lang w:val="en-GB"/>
          </w:rPr>
          <w:t>-Tricalcium Phosphate Hybrid Materials</w:t>
        </w:r>
      </w:hyperlink>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147; </w:t>
      </w:r>
      <w:hyperlink r:id="rId43" w:history="1">
        <w:r w:rsidR="00425514">
          <w:rPr>
            <w:rFonts w:ascii="Times New Roman" w:eastAsia="Times New Roman" w:hAnsi="Times New Roman" w:cs="Times New Roman"/>
            <w:color w:val="3156A2"/>
            <w:sz w:val="24"/>
            <w:szCs w:val="24"/>
            <w:u w:val="single"/>
            <w:lang w:val="en-GB"/>
          </w:rPr>
          <w:t>DOI: 10.3390/polym17020147</w:t>
        </w:r>
      </w:hyperlink>
      <w:r>
        <w:rPr>
          <w:rFonts w:ascii="Times New Roman" w:eastAsia="Calibri" w:hAnsi="Times New Roman" w:cs="Times New Roman"/>
          <w:sz w:val="24"/>
          <w:szCs w:val="24"/>
          <w:lang w:val="en-GB"/>
        </w:rPr>
        <w:t xml:space="preserve"> </w:t>
      </w:r>
      <w:r>
        <w:rPr>
          <w:rFonts w:ascii="Times New Roman" w:eastAsia="Times New Roman" w:hAnsi="Times New Roman" w:cs="Times New Roman"/>
          <w:color w:val="55585D"/>
          <w:sz w:val="24"/>
          <w:szCs w:val="24"/>
          <w:lang w:val="en-GB" w:eastAsia="ru-RU"/>
        </w:rPr>
        <w:t xml:space="preserve"> </w:t>
      </w:r>
    </w:p>
    <w:p w14:paraId="7CA07EFD" w14:textId="77777777" w:rsidR="00425514" w:rsidRDefault="00000000">
      <w:pPr>
        <w:shd w:val="clear" w:color="auto" w:fill="FFFFFF"/>
        <w:suppressAutoHyphens/>
        <w:autoSpaceDN w:val="0"/>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20.</w:t>
      </w:r>
      <w:r>
        <w:rPr>
          <w:rFonts w:ascii="Times New Roman" w:eastAsia="Times New Roman" w:hAnsi="Times New Roman" w:cs="Times New Roman"/>
          <w:color w:val="2C2D2E"/>
          <w:sz w:val="24"/>
          <w:szCs w:val="24"/>
          <w:lang w:val="en-GB"/>
        </w:rPr>
        <w:t xml:space="preserve">Youssef Cherradi, Camelia Cerbu, Ioan Calin Rosa   al.et </w:t>
      </w:r>
      <w:hyperlink r:id="rId44" w:history="1">
        <w:r w:rsidR="00425514">
          <w:rPr>
            <w:rFonts w:ascii="Times New Roman" w:eastAsia="Times New Roman" w:hAnsi="Times New Roman" w:cs="Times New Roman"/>
            <w:bCs/>
            <w:color w:val="000000"/>
            <w:sz w:val="24"/>
            <w:szCs w:val="24"/>
            <w:u w:val="single"/>
            <w:lang w:val="en-GB"/>
          </w:rPr>
          <w:t>Acoustic, Mechanical, and Thermal Characterization of Polyvinyl Acetate (PVA)-Based Wood Composites Reinforced with Beech and Oak Wood Fibers</w:t>
        </w:r>
      </w:hyperlink>
      <w:r>
        <w:rPr>
          <w:rFonts w:ascii="Times New Roman" w:eastAsia="Times New Roman" w:hAnsi="Times New Roman" w:cs="Times New Roman"/>
          <w:color w:val="2C2D2E"/>
          <w:sz w:val="24"/>
          <w:szCs w:val="24"/>
          <w:lang w:val="en-GB"/>
        </w:rPr>
        <w:t xml:space="preserve">   </w:t>
      </w:r>
      <w:r>
        <w:rPr>
          <w:rFonts w:ascii="Times New Roman" w:eastAsia="Times New Roman" w:hAnsi="Times New Roman" w:cs="Times New Roman"/>
          <w:i/>
          <w:iCs/>
          <w:color w:val="2C2D2E"/>
          <w:sz w:val="24"/>
          <w:szCs w:val="24"/>
          <w:lang w:val="en-GB"/>
        </w:rPr>
        <w:t>Polymers</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b/>
          <w:bCs/>
          <w:color w:val="2C2D2E"/>
          <w:sz w:val="24"/>
          <w:szCs w:val="24"/>
          <w:lang w:val="en-GB"/>
        </w:rPr>
        <w:t>2025</w:t>
      </w:r>
      <w:r>
        <w:rPr>
          <w:rFonts w:ascii="Times New Roman" w:eastAsia="Times New Roman" w:hAnsi="Times New Roman" w:cs="Times New Roman"/>
          <w:color w:val="2C2D2E"/>
          <w:sz w:val="24"/>
          <w:szCs w:val="24"/>
          <w:lang w:val="en-GB"/>
        </w:rPr>
        <w:t>, </w:t>
      </w:r>
      <w:r>
        <w:rPr>
          <w:rFonts w:ascii="Times New Roman" w:eastAsia="Times New Roman" w:hAnsi="Times New Roman" w:cs="Times New Roman"/>
          <w:i/>
          <w:iCs/>
          <w:color w:val="2C2D2E"/>
          <w:sz w:val="24"/>
          <w:szCs w:val="24"/>
          <w:lang w:val="en-GB"/>
        </w:rPr>
        <w:t>17</w:t>
      </w:r>
      <w:r>
        <w:rPr>
          <w:rFonts w:ascii="Times New Roman" w:eastAsia="Times New Roman" w:hAnsi="Times New Roman" w:cs="Times New Roman"/>
          <w:color w:val="2C2D2E"/>
          <w:sz w:val="24"/>
          <w:szCs w:val="24"/>
          <w:lang w:val="en-GB"/>
        </w:rPr>
        <w:t>(2), 142; </w:t>
      </w:r>
      <w:hyperlink r:id="rId45" w:history="1">
        <w:r w:rsidR="00425514">
          <w:rPr>
            <w:rFonts w:ascii="Times New Roman" w:eastAsia="Times New Roman" w:hAnsi="Times New Roman" w:cs="Times New Roman"/>
            <w:color w:val="3156A2"/>
            <w:sz w:val="24"/>
            <w:szCs w:val="24"/>
            <w:u w:val="single"/>
            <w:lang w:val="en-GB"/>
          </w:rPr>
          <w:t>DOI: 10.3390/polym17020142</w:t>
        </w:r>
      </w:hyperlink>
      <w:r>
        <w:rPr>
          <w:rFonts w:ascii="Times New Roman" w:eastAsia="Times New Roman" w:hAnsi="Times New Roman" w:cs="Times New Roman"/>
          <w:color w:val="2C2D2E"/>
          <w:sz w:val="24"/>
          <w:szCs w:val="24"/>
          <w:lang w:val="en-GB"/>
        </w:rPr>
        <w:t xml:space="preserve">   </w:t>
      </w:r>
    </w:p>
    <w:p w14:paraId="3434A9F8"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color w:val="2C2D2E"/>
          <w:sz w:val="24"/>
          <w:szCs w:val="24"/>
          <w:lang w:val="en-GB"/>
        </w:rPr>
        <w:t xml:space="preserve">21. </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sz w:val="24"/>
          <w:szCs w:val="24"/>
          <w:lang w:val="en-GB"/>
        </w:rPr>
        <w:t>Kerem Shixaliyev. Theory and practice of obtaining composite materials based on polymer blends. Proceedings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Fourth International Conference of European Academy of 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BONN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GERMANY</w:t>
      </w:r>
      <w:r>
        <w:rPr>
          <w:rFonts w:ascii="Times New Roman" w:eastAsia="Times New Roman" w:hAnsi="Times New Roman" w:cs="Times New Roman"/>
          <w:sz w:val="24"/>
          <w:szCs w:val="24"/>
        </w:rPr>
        <w:t>. 2019,-</w:t>
      </w:r>
      <w:r>
        <w:rPr>
          <w:rFonts w:ascii="Times New Roman" w:eastAsia="Times New Roman" w:hAnsi="Times New Roman" w:cs="Times New Roman"/>
          <w:sz w:val="24"/>
          <w:szCs w:val="24"/>
          <w:lang w:val="en-GB"/>
        </w:rPr>
        <w:t xml:space="preserve">p. </w:t>
      </w:r>
      <w:r>
        <w:rPr>
          <w:rFonts w:ascii="Times New Roman" w:eastAsia="Times New Roman" w:hAnsi="Times New Roman" w:cs="Times New Roman"/>
          <w:sz w:val="24"/>
          <w:szCs w:val="24"/>
        </w:rPr>
        <w:t>32-33.</w:t>
      </w:r>
    </w:p>
    <w:p w14:paraId="636964E3"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lang w:val="en-GB"/>
        </w:rPr>
        <w:t>Shixaliyev K.S THEORY AND PRACTICE OF OBTAINING COMPOSITE MATERIALS BASED ON POLYMER BLENDS NVEO/Natural Volatile &amp;Essential Oils. Nat. Volatiles &amp; Essent. Oils, 2021; 8(4): pp. 6173-618513p..</w:t>
      </w:r>
    </w:p>
    <w:p w14:paraId="5D50317A"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23.Shixaliyev K.S Methods of Modification of Used Polyolephines. Indian Journal of Advanced Chemistry(IJAC) Volume-1, ISSOktoberober,2021/hh/14-18</w:t>
      </w:r>
    </w:p>
    <w:p w14:paraId="68870D6E"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24.</w:t>
      </w:r>
      <w:r>
        <w:rPr>
          <w:rFonts w:ascii="Times New Roman" w:eastAsia="Times New Roman" w:hAnsi="Times New Roman" w:cs="Times New Roman"/>
          <w:sz w:val="24"/>
          <w:szCs w:val="24"/>
          <w:lang w:val="en-GB"/>
        </w:rPr>
        <w:t>Shikhaliev K.S., Balaev V.G., Khanzariev S.A. Centralizer for casing strings. Oil and gas., Baku: Izv. Universities of the USSR. 1987, No. 11, p. 30-50</w:t>
      </w:r>
    </w:p>
    <w:p w14:paraId="201B1552"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lang w:val="en-GB"/>
        </w:rPr>
        <w:t>Shikhaliyev K.S., to compositions and products based on polyvinyl chloride fundam</w:t>
      </w:r>
      <w:r>
        <w:rPr>
          <w:rFonts w:ascii="Times New Roman" w:eastAsia="Times New Roman" w:hAnsi="Times New Roman" w:cs="Times New Roman"/>
          <w:sz w:val="24"/>
          <w:szCs w:val="24"/>
        </w:rPr>
        <w:t>ental</w:t>
      </w:r>
      <w:r>
        <w:rPr>
          <w:rFonts w:ascii="Times New Roman" w:eastAsia="Times New Roman" w:hAnsi="Times New Roman" w:cs="Times New Roman"/>
          <w:sz w:val="24"/>
          <w:szCs w:val="24"/>
          <w:lang w:val="en-GB"/>
        </w:rPr>
        <w:t xml:space="preserve"> science. The Aztec, 2004, no. 2 pp. 37-40.</w:t>
      </w:r>
      <w:r>
        <w:rPr>
          <w:rFonts w:ascii="Times New Roman" w:eastAsia="Times New Roman" w:hAnsi="Times New Roman" w:cs="Times New Roman"/>
          <w:sz w:val="24"/>
          <w:szCs w:val="24"/>
        </w:rPr>
        <w:t xml:space="preserve"> </w:t>
      </w:r>
    </w:p>
    <w:p w14:paraId="4A0DB4E5"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en-GB"/>
        </w:rPr>
        <w:t xml:space="preserve">Shikhaliyev K.S. The scientific basis of research on obtaining polyethylenes and copolymers modified with fillers, stabilizers, and radiation exposure (collective monograph. Interactive Plus Iz-vo - "Interactive Science" Cheboksary (collective monograph) </w:t>
      </w:r>
      <w:hyperlink r:id="rId46" w:history="1">
        <w:r w:rsidR="00425514">
          <w:rPr>
            <w:rFonts w:ascii="Times New Roman" w:eastAsia="Times New Roman" w:hAnsi="Times New Roman" w:cs="Times New Roman"/>
            <w:color w:val="0000FF"/>
            <w:sz w:val="24"/>
            <w:szCs w:val="24"/>
            <w:u w:val="single"/>
            <w:lang w:val="en-GB"/>
          </w:rPr>
          <w:t>2018.-296с.info@interactive-plus.ru</w:t>
        </w:r>
      </w:hyperlink>
    </w:p>
    <w:p w14:paraId="0AE18152" w14:textId="77777777" w:rsidR="00425514" w:rsidRDefault="00000000">
      <w:pPr>
        <w:suppressAutoHyphens/>
        <w:autoSpaceDN w:val="0"/>
        <w:spacing w:line="360" w:lineRule="auto"/>
        <w:rPr>
          <w:rFonts w:ascii="Times New Roman" w:eastAsia="Calibri" w:hAnsi="Times New Roman" w:cs="Times New Roman"/>
          <w:color w:val="0000FF"/>
          <w:sz w:val="24"/>
          <w:szCs w:val="24"/>
          <w:u w:val="single"/>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lang w:val="en-GB"/>
        </w:rPr>
        <w:t xml:space="preserve">Sh.ikhaliyev K.S. Manufacturing technology of the probe of nuclear magnetic logging NMR. International scientific journal United –Journal Tallinn-2018- N11 – pp. 36-38. E-mail: </w:t>
      </w:r>
      <w:hyperlink r:id="rId47" w:history="1">
        <w:r w:rsidR="00425514">
          <w:rPr>
            <w:rFonts w:ascii="Times New Roman" w:eastAsia="Times New Roman" w:hAnsi="Times New Roman" w:cs="Times New Roman"/>
            <w:color w:val="0000FF"/>
            <w:sz w:val="24"/>
            <w:szCs w:val="24"/>
            <w:u w:val="single"/>
            <w:lang w:val="en-GB"/>
          </w:rPr>
          <w:t>issue@united-journal.info</w:t>
        </w:r>
      </w:hyperlink>
    </w:p>
    <w:p w14:paraId="082AEF40" w14:textId="77777777" w:rsidR="00425514" w:rsidRDefault="0000000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lang w:val="en-GB"/>
        </w:rPr>
        <w:t>7.</w:t>
      </w:r>
      <w:r>
        <w:rPr>
          <w:rFonts w:ascii="Times New Roman" w:hAnsi="Times New Roman" w:cs="Times New Roman"/>
          <w:sz w:val="24"/>
          <w:szCs w:val="24"/>
        </w:rPr>
        <w:t xml:space="preserve">H.Mövlayev , A.F.Məmmədova  N.I.Rasulzade INVESTIGATE THE FEASIBILITY AND EFFECTIVENESS OF MODIFYING STYRENE-BUTADIENE RUBBER WITH </w:t>
      </w:r>
      <w:r>
        <w:rPr>
          <w:rFonts w:ascii="Times New Roman" w:hAnsi="Times New Roman" w:cs="Times New Roman"/>
          <w:sz w:val="24"/>
          <w:szCs w:val="24"/>
        </w:rPr>
        <w:lastRenderedPageBreak/>
        <w:t>STYRENEBUTADIENE-STYRENE. MacroFrontiers 2025"3rd International Conference on Macromolecular CompoundsDedicated to the 105th Anniversary of Azerbaijan State Oil and.Industry UniversityApril 24-25, 2025 – Baku, Azerbaijan p.531-535</w:t>
      </w:r>
    </w:p>
    <w:p w14:paraId="72291029" w14:textId="77777777" w:rsidR="00425514" w:rsidRDefault="00000000">
      <w:pPr>
        <w:spacing w:line="360" w:lineRule="auto"/>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lang w:val="en-GB"/>
        </w:rPr>
        <w:t xml:space="preserve"> </w:t>
      </w:r>
      <w:r>
        <w:rPr>
          <w:rFonts w:ascii="Times New Roman" w:hAnsi="Times New Roman" w:cs="Times New Roman"/>
          <w:sz w:val="24"/>
          <w:szCs w:val="24"/>
          <w:shd w:val="clear" w:color="auto" w:fill="FFFFFF"/>
        </w:rPr>
        <w:t>Ibrahim H. Movlayev</w:t>
      </w:r>
      <w:r>
        <w:rPr>
          <w:rFonts w:ascii="Times New Roman" w:hAnsi="Times New Roman" w:cs="Times New Roman"/>
          <w:sz w:val="24"/>
          <w:szCs w:val="24"/>
          <w:shd w:val="clear" w:color="auto" w:fill="FFFFFF"/>
          <w:lang w:val="az-Latn-AZ"/>
        </w:rPr>
        <w:t>.</w:t>
      </w:r>
      <w:r>
        <w:rPr>
          <w:rFonts w:ascii="Times New Roman" w:hAnsi="Times New Roman" w:cs="Times New Roman"/>
          <w:sz w:val="24"/>
          <w:szCs w:val="24"/>
          <w:shd w:val="clear" w:color="auto" w:fill="FFFFFF"/>
        </w:rPr>
        <w:t xml:space="preserve"> COMPOSITIONS BASED ON EPOXIDIAN OLIGOMER MODIFIED WITH LOW MOLECULAR BUTADIENE-NITRILE RUBBER</w:t>
      </w:r>
      <w:r>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t xml:space="preserve"> PPOR</w:t>
      </w:r>
      <w:r>
        <w:rPr>
          <w:rFonts w:ascii="Times New Roman" w:hAnsi="Times New Roman" w:cs="Times New Roman"/>
          <w:sz w:val="24"/>
          <w:szCs w:val="24"/>
          <w:shd w:val="clear" w:color="auto" w:fill="FFFFFF"/>
        </w:rPr>
        <w:t>,Vol. 26, No. 3, 2025, pp.688-696</w:t>
      </w:r>
    </w:p>
    <w:p w14:paraId="2C5DF1A7" w14:textId="77777777" w:rsidR="00425514" w:rsidRDefault="00000000">
      <w:pPr>
        <w:spacing w:line="360" w:lineRule="auto"/>
        <w:rPr>
          <w:rFonts w:ascii="Times New Roman" w:hAnsi="Times New Roman" w:cs="Times New Roman"/>
          <w:b/>
          <w:sz w:val="24"/>
          <w:szCs w:val="24"/>
        </w:rPr>
      </w:pPr>
      <w:r>
        <w:rPr>
          <w:rFonts w:ascii="Times New Roman" w:hAnsi="Times New Roman" w:cs="Times New Roman"/>
          <w:color w:val="4F81BD" w:themeColor="accent1"/>
          <w:sz w:val="24"/>
          <w:szCs w:val="24"/>
          <w14:shadow w14:blurRad="38100" w14:dist="25400" w14:dir="5400000" w14:sx="100000" w14:sy="100000" w14:kx="0" w14:ky="0" w14:algn="ctr">
            <w14:srgbClr w14:val="6E747A">
              <w14:alpha w14:val="57000"/>
            </w14:srgbClr>
          </w14:shadow>
        </w:rPr>
        <w:t>https://doi.org/10.62972/1726-4685.2025.3.688</w:t>
      </w:r>
    </w:p>
    <w:p w14:paraId="2B0C57C8" w14:textId="77777777" w:rsidR="00425514" w:rsidRDefault="00000000">
      <w:pPr>
        <w:suppressAutoHyphens/>
        <w:autoSpaceDN w:val="0"/>
        <w:spacing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en-GB"/>
        </w:rPr>
        <w:t>29.Shikhaliev K. Studying the crosslinking mechanism and structure of cross-linked polyethylene. Eurasian Union learned (ESU). U. Moscow Monthly scientific journal. 2018.-No4 (49) .3 part. S. 73-77.</w:t>
      </w:r>
      <w:r>
        <w:rPr>
          <w:rFonts w:ascii="Times New Roman" w:eastAsia="Times New Roman" w:hAnsi="Times New Roman" w:cs="Times New Roman"/>
          <w:sz w:val="24"/>
          <w:szCs w:val="24"/>
        </w:rPr>
        <w:t xml:space="preserve"> </w:t>
      </w:r>
    </w:p>
    <w:p w14:paraId="13904B68" w14:textId="77777777" w:rsidR="00425514" w:rsidRDefault="00425514">
      <w:pPr>
        <w:shd w:val="clear" w:color="auto" w:fill="FFFFFF"/>
        <w:suppressAutoHyphens/>
        <w:autoSpaceDN w:val="0"/>
        <w:spacing w:after="0" w:line="360" w:lineRule="auto"/>
        <w:rPr>
          <w:rFonts w:ascii="Times New Roman" w:eastAsia="Calibri" w:hAnsi="Times New Roman" w:cs="Times New Roman"/>
          <w:sz w:val="24"/>
          <w:szCs w:val="24"/>
        </w:rPr>
      </w:pPr>
    </w:p>
    <w:p w14:paraId="21A98DA7" w14:textId="77777777" w:rsidR="00425514" w:rsidRDefault="00000000">
      <w:pPr>
        <w:suppressAutoHyphens/>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0AC1457" w14:textId="77777777" w:rsidR="00425514" w:rsidRDefault="00425514">
      <w:pPr>
        <w:suppressAutoHyphens/>
        <w:autoSpaceDN w:val="0"/>
        <w:spacing w:after="0" w:line="360" w:lineRule="auto"/>
        <w:rPr>
          <w:rFonts w:ascii="Times New Roman" w:eastAsia="Calibri" w:hAnsi="Times New Roman" w:cs="Times New Roman"/>
          <w:sz w:val="24"/>
          <w:szCs w:val="24"/>
          <w:lang w:val="en-GB"/>
        </w:rPr>
      </w:pPr>
    </w:p>
    <w:p w14:paraId="64950AD2" w14:textId="77777777" w:rsidR="00425514" w:rsidRDefault="00425514">
      <w:pPr>
        <w:suppressAutoHyphens/>
        <w:autoSpaceDN w:val="0"/>
        <w:spacing w:after="0" w:line="360" w:lineRule="auto"/>
        <w:rPr>
          <w:rFonts w:ascii="Times New Roman" w:eastAsia="Calibri" w:hAnsi="Times New Roman" w:cs="Times New Roman"/>
          <w:sz w:val="24"/>
          <w:szCs w:val="24"/>
          <w:lang w:val="en-GB"/>
        </w:rPr>
      </w:pPr>
    </w:p>
    <w:p w14:paraId="44CD037D" w14:textId="77777777" w:rsidR="00425514" w:rsidRDefault="00425514">
      <w:pPr>
        <w:spacing w:after="0" w:line="360" w:lineRule="auto"/>
        <w:rPr>
          <w:rFonts w:ascii="Times New Roman" w:hAnsi="Times New Roman" w:cs="Times New Roman"/>
          <w:sz w:val="24"/>
          <w:szCs w:val="24"/>
          <w:lang w:val="az"/>
        </w:rPr>
      </w:pPr>
    </w:p>
    <w:p w14:paraId="080BB89E" w14:textId="77777777" w:rsidR="00425514" w:rsidRDefault="00425514">
      <w:pPr>
        <w:spacing w:line="360" w:lineRule="auto"/>
        <w:rPr>
          <w:rFonts w:ascii="Times New Roman" w:hAnsi="Times New Roman" w:cs="Times New Roman"/>
          <w:sz w:val="24"/>
          <w:szCs w:val="24"/>
        </w:rPr>
      </w:pPr>
    </w:p>
    <w:p w14:paraId="44B62F95" w14:textId="77777777" w:rsidR="00425514" w:rsidRDefault="00425514">
      <w:pPr>
        <w:spacing w:after="0" w:line="360" w:lineRule="auto"/>
        <w:rPr>
          <w:rFonts w:ascii="Times New Roman" w:hAnsi="Times New Roman" w:cs="Times New Roman"/>
          <w:sz w:val="24"/>
          <w:szCs w:val="24"/>
        </w:rPr>
      </w:pPr>
    </w:p>
    <w:p w14:paraId="1C4C4B16" w14:textId="39161588" w:rsidR="00425514" w:rsidRDefault="009E2CF9">
      <w:pPr>
        <w:spacing w:line="360" w:lineRule="auto"/>
        <w:rPr>
          <w:rFonts w:ascii="Times New Roman" w:hAnsi="Times New Roman" w:cs="Times New Roman"/>
          <w:sz w:val="24"/>
          <w:szCs w:val="24"/>
        </w:rPr>
      </w:pPr>
      <w:r>
        <w:rPr>
          <w:rFonts w:ascii="Times New Roman" w:eastAsia="Times New Roman" w:hAnsi="Times New Roman" w:cs="Times New Roman"/>
          <w:bCs/>
          <w:i/>
          <w:sz w:val="24"/>
          <w:szCs w:val="24"/>
          <w:lang w:val="en-GB"/>
        </w:rPr>
        <w:t xml:space="preserve"> </w:t>
      </w:r>
      <w:r w:rsidRPr="00A91B80">
        <w:rPr>
          <w:rFonts w:ascii="Times New Roman" w:hAnsi="Times New Roman" w:cs="Times New Roman"/>
          <w:sz w:val="24"/>
          <w:szCs w:val="24"/>
          <w:lang w:val="en-GB"/>
        </w:rPr>
        <w:t xml:space="preserve"> </w:t>
      </w:r>
      <w:r w:rsidRPr="00A91B80">
        <w:rPr>
          <w:rFonts w:ascii="Times New Roman" w:hAnsi="Times New Roman" w:cs="Times New Roman"/>
          <w:sz w:val="24"/>
          <w:szCs w:val="24"/>
        </w:rPr>
        <w:t xml:space="preserve"> </w:t>
      </w:r>
    </w:p>
    <w:sectPr w:rsidR="00425514" w:rsidSect="00D470AA">
      <w:pgSz w:w="12240" w:h="15840"/>
      <w:pgMar w:top="1134" w:right="1134"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69FD" w14:textId="77777777" w:rsidR="00BF32E3" w:rsidRDefault="00BF32E3">
      <w:pPr>
        <w:spacing w:line="240" w:lineRule="auto"/>
      </w:pPr>
      <w:r>
        <w:separator/>
      </w:r>
    </w:p>
  </w:endnote>
  <w:endnote w:type="continuationSeparator" w:id="0">
    <w:p w14:paraId="20ED25D5" w14:textId="77777777" w:rsidR="00BF32E3" w:rsidRDefault="00BF3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A7A2" w14:textId="77777777" w:rsidR="00BF32E3" w:rsidRDefault="00BF32E3">
      <w:pPr>
        <w:spacing w:after="0"/>
      </w:pPr>
      <w:r>
        <w:separator/>
      </w:r>
    </w:p>
  </w:footnote>
  <w:footnote w:type="continuationSeparator" w:id="0">
    <w:p w14:paraId="73A6E541" w14:textId="77777777" w:rsidR="00BF32E3" w:rsidRDefault="00BF32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94003656">
    <w:abstractNumId w:val="0"/>
  </w:num>
  <w:num w:numId="2" w16cid:durableId="44255645">
    <w:abstractNumId w:val="5"/>
  </w:num>
  <w:num w:numId="3" w16cid:durableId="1121876289">
    <w:abstractNumId w:val="3"/>
  </w:num>
  <w:num w:numId="4" w16cid:durableId="1826360749">
    <w:abstractNumId w:val="2"/>
  </w:num>
  <w:num w:numId="5" w16cid:durableId="724639465">
    <w:abstractNumId w:val="4"/>
  </w:num>
  <w:num w:numId="6" w16cid:durableId="159601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E89"/>
    <w:rsid w:val="00034616"/>
    <w:rsid w:val="0006063C"/>
    <w:rsid w:val="000C45F6"/>
    <w:rsid w:val="0015074B"/>
    <w:rsid w:val="00156BFD"/>
    <w:rsid w:val="0029639D"/>
    <w:rsid w:val="002F233A"/>
    <w:rsid w:val="00326F90"/>
    <w:rsid w:val="00351DCC"/>
    <w:rsid w:val="00425514"/>
    <w:rsid w:val="004A5549"/>
    <w:rsid w:val="00522C2F"/>
    <w:rsid w:val="009E2CF9"/>
    <w:rsid w:val="00A565D9"/>
    <w:rsid w:val="00AA1D8D"/>
    <w:rsid w:val="00AB51D4"/>
    <w:rsid w:val="00B47730"/>
    <w:rsid w:val="00BD6069"/>
    <w:rsid w:val="00BF32E3"/>
    <w:rsid w:val="00C454AB"/>
    <w:rsid w:val="00CB0664"/>
    <w:rsid w:val="00D470AA"/>
    <w:rsid w:val="00F60290"/>
    <w:rsid w:val="00F81331"/>
    <w:rsid w:val="00FC693F"/>
    <w:rsid w:val="0258281B"/>
    <w:rsid w:val="1EA11FAE"/>
    <w:rsid w:val="2D9B3963"/>
    <w:rsid w:val="32F9120F"/>
    <w:rsid w:val="4AB04529"/>
    <w:rsid w:val="53792400"/>
    <w:rsid w:val="63205730"/>
    <w:rsid w:val="648107EF"/>
    <w:rsid w:val="78EE0575"/>
    <w:rsid w:val="78F47162"/>
    <w:rsid w:val="7C2F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B65D2A8"/>
  <w14:defaultImageDpi w14:val="300"/>
  <w15:docId w15:val="{557185AB-11D1-4B0C-8F3F-82B52297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lsdException w:name="List 2" w:unhideWhenUsed="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qFormat="1"/>
    <w:lsdException w:name="Medium Grid 3" w:uiPriority="69" w:qFormat="1"/>
    <w:lsdException w:name="Dark List" w:uiPriority="70"/>
    <w:lsdException w:name="Colorful Shading" w:uiPriority="71"/>
    <w:lsdException w:name="Colorful List" w:uiPriority="72" w:qFormat="1"/>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paragraph" w:styleId="ListContinue">
    <w:name w:val="List Continue"/>
    <w:basedOn w:val="Normal"/>
    <w:uiPriority w:val="99"/>
    <w:unhideWhenUsed/>
    <w:qFormat/>
    <w:pPr>
      <w:spacing w:after="120"/>
      <w:ind w:left="360"/>
      <w:contextualSpacing/>
    </w:pPr>
  </w:style>
  <w:style w:type="paragraph" w:styleId="BodyText2">
    <w:name w:val="Body Text 2"/>
    <w:basedOn w:val="Normal"/>
    <w:link w:val="BodyText2Char"/>
    <w:uiPriority w:val="99"/>
    <w:unhideWhenUsed/>
    <w:qFormat/>
    <w:pPr>
      <w:spacing w:after="120" w:line="480" w:lineRule="auto"/>
    </w:p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ListNumber3">
    <w:name w:val="List Number 3"/>
    <w:basedOn w:val="Normal"/>
    <w:uiPriority w:val="99"/>
    <w:unhideWhenUsed/>
    <w:qFormat/>
    <w:pPr>
      <w:numPr>
        <w:numId w:val="1"/>
      </w:numPr>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odyText">
    <w:name w:val="Body Text"/>
    <w:basedOn w:val="Normal"/>
    <w:link w:val="BodyTextChar"/>
    <w:uiPriority w:val="99"/>
    <w:unhideWhenUsed/>
    <w:pPr>
      <w:spacing w:after="120"/>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ListBullet">
    <w:name w:val="List Bullet"/>
    <w:basedOn w:val="Normal"/>
    <w:uiPriority w:val="99"/>
    <w:unhideWhenUsed/>
    <w:qFormat/>
    <w:pPr>
      <w:numPr>
        <w:numId w:val="2"/>
      </w:numPr>
      <w:contextualSpacing/>
    </w:pPr>
  </w:style>
  <w:style w:type="paragraph" w:styleId="ListBullet2">
    <w:name w:val="List Bullet 2"/>
    <w:basedOn w:val="Normal"/>
    <w:uiPriority w:val="99"/>
    <w:unhideWhenUsed/>
    <w:qFormat/>
    <w:pPr>
      <w:numPr>
        <w:numId w:val="3"/>
      </w:numPr>
      <w:contextualSpacing/>
    </w:pPr>
  </w:style>
  <w:style w:type="paragraph" w:styleId="ListBullet3">
    <w:name w:val="List Bullet 3"/>
    <w:basedOn w:val="Normal"/>
    <w:uiPriority w:val="99"/>
    <w:unhideWhenUsed/>
    <w:qFormat/>
    <w:pPr>
      <w:numPr>
        <w:numId w:val="4"/>
      </w:numPr>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qFormat/>
    <w:pPr>
      <w:numPr>
        <w:numId w:val="6"/>
      </w:numPr>
      <w:contextualSpacing/>
    </w:pPr>
  </w:style>
  <w:style w:type="paragraph" w:styleId="List">
    <w:name w:val="List"/>
    <w:basedOn w:val="Normal"/>
    <w:uiPriority w:val="99"/>
    <w:unhideWhenUsed/>
    <w:qFormat/>
    <w:pPr>
      <w:ind w:left="360" w:hanging="360"/>
      <w:contextualSpacing/>
    </w:pPr>
  </w:style>
  <w:style w:type="paragraph" w:styleId="BodyText3">
    <w:name w:val="Body Text 3"/>
    <w:basedOn w:val="Normal"/>
    <w:link w:val="BodyText3Char"/>
    <w:uiPriority w:val="99"/>
    <w:unhideWhenUsed/>
    <w:qFormat/>
    <w:pPr>
      <w:spacing w:after="120"/>
    </w:pPr>
    <w:rPr>
      <w:sz w:val="16"/>
      <w:szCs w:val="16"/>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qFormat/>
    <w:pPr>
      <w:ind w:left="1080" w:hanging="36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1">
    <w:name w:val="Слабое выделение1"/>
    <w:basedOn w:val="DefaultParagraphFont"/>
    <w:uiPriority w:val="19"/>
    <w:qFormat/>
    <w:rPr>
      <w:i/>
      <w:iCs/>
      <w:color w:val="7F7F7F" w:themeColor="text1" w:themeTint="80"/>
    </w:rPr>
  </w:style>
  <w:style w:type="character" w:customStyle="1" w:styleId="10">
    <w:name w:val="Сильное выделение1"/>
    <w:basedOn w:val="DefaultParagraphFont"/>
    <w:uiPriority w:val="21"/>
    <w:qFormat/>
    <w:rPr>
      <w:b/>
      <w:bCs/>
      <w:i/>
      <w:iCs/>
      <w:color w:val="4F81BD" w:themeColor="accent1"/>
    </w:rPr>
  </w:style>
  <w:style w:type="character" w:customStyle="1" w:styleId="11">
    <w:name w:val="Слабая ссылка1"/>
    <w:basedOn w:val="DefaultParagraphFont"/>
    <w:uiPriority w:val="31"/>
    <w:qFormat/>
    <w:rPr>
      <w:smallCaps/>
      <w:color w:val="C0504D" w:themeColor="accent2"/>
      <w:u w:val="single"/>
    </w:rPr>
  </w:style>
  <w:style w:type="character" w:customStyle="1" w:styleId="12">
    <w:name w:val="Сильная ссылка1"/>
    <w:basedOn w:val="DefaultParagraphFont"/>
    <w:uiPriority w:val="32"/>
    <w:qFormat/>
    <w:rPr>
      <w:b/>
      <w:bCs/>
      <w:smallCaps/>
      <w:color w:val="C0504D" w:themeColor="accent2"/>
      <w:spacing w:val="5"/>
      <w:u w:val="single"/>
    </w:rPr>
  </w:style>
  <w:style w:type="character" w:customStyle="1" w:styleId="13">
    <w:name w:val="Название книги1"/>
    <w:basedOn w:val="DefaultParagraphFont"/>
    <w:uiPriority w:val="33"/>
    <w:qFormat/>
    <w:rPr>
      <w:b/>
      <w:bCs/>
      <w:smallCaps/>
      <w:spacing w:val="5"/>
    </w:rPr>
  </w:style>
  <w:style w:type="paragraph" w:customStyle="1" w:styleId="14">
    <w:name w:val="Заголовок оглавления1"/>
    <w:basedOn w:val="Heading1"/>
    <w:next w:val="Normal"/>
    <w:uiPriority w:val="39"/>
    <w:semiHidden/>
    <w:unhideWhenUsed/>
    <w:qFormat/>
    <w:pPr>
      <w:outlineLvl w:val="9"/>
    </w:p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dx.doi.org/10.32388/ZCAXYW.2" TargetMode="External"/><Relationship Id="rId26" Type="http://schemas.openxmlformats.org/officeDocument/2006/relationships/hyperlink" Target="https://www.jclmm.com/index.php/journal/about" TargetMode="External"/><Relationship Id="rId39"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21" Type="http://schemas.openxmlformats.org/officeDocument/2006/relationships/hyperlink" Target="https://doi.org/10.9734/bpi/npgees/v1/17431D" TargetMode="External"/><Relationship Id="rId34" Type="http://schemas.openxmlformats.org/officeDocument/2006/relationships/hyperlink" Target="https://www.mdpi.com/2073-4360/17/2/154?utm_source=releaseissue&amp;utm_medium=email&amp;utm_campaign=releaseissue_polymers&amp;utm_term=doilink98&amp;recipient=kerem_shixaliyev@mail.ru&amp;subject=Polymers%2C%20Volume%2017%2C%20Issue%202%20(January-2%202025)%20Table%20of%20Contents&amp;campaign=ReleaseIssue" TargetMode="External"/><Relationship Id="rId42"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47" Type="http://schemas.openxmlformats.org/officeDocument/2006/relationships/hyperlink" Target="mailto:issue@united-journal.inf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dpi.com/2073-4360/17/2/190?utm_source=releaseissue&amp;utm_medium=email&amp;utm_campaign=releaseissue_polymers&amp;utm_term=titlelink102&amp;recipient=kerem_shixaliyev@mail.ru&amp;subject=Polymers%2C%20Volume%2017%2C%20Issue%202%20(January-2%202025)%20Table%20of%20Contents&amp;campaign=ReleaseIssue" TargetMode="External"/><Relationship Id="rId29" Type="http://schemas.openxmlformats.org/officeDocument/2006/relationships/hyperlink" Target="http://dx.doi.org/10.35940/ijitee.G5721.079920" TargetMode="External"/><Relationship Id="rId11" Type="http://schemas.openxmlformats.org/officeDocument/2006/relationships/chart" Target="charts/chart2.xml"/><Relationship Id="rId24" Type="http://schemas.openxmlformats.org/officeDocument/2006/relationships/hyperlink" Target="https://www.eurchembull.com/uploads/paper/91b0da693c100aeb89f01cf1c7db5808.pdf" TargetMode="External"/><Relationship Id="rId32"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7" Type="http://schemas.openxmlformats.org/officeDocument/2006/relationships/hyperlink" Target="https://isg-konf.com/wpcontent/uploads/2024/05/INNOVATIVE-SOLUTIONS-IN-PUBLIC-COMMUNICATIONS-AND-INTERNATIONAL-RELATIONS.pdf" TargetMode="External"/><Relationship Id="rId40"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45" Type="http://schemas.openxmlformats.org/officeDocument/2006/relationships/hyperlink" Target="https://www.mdpi.com/2073-4360/17/2/142?utm_source=releaseissue&amp;utm_medium=email&amp;utm_campaign=releaseissue_polymers&amp;utm_term=doilink95&amp;recipient=kerem_shixaliyev@mail.ru&amp;subject=Polymers%2C%20Volume%2017%2C%20Issue%202%20(January-2%202025)%20Table%20of%20Contents&amp;campaign=ReleaseIssue" TargetMode="External"/><Relationship Id="rId5" Type="http://schemas.openxmlformats.org/officeDocument/2006/relationships/webSettings" Target="webSettings.xml"/><Relationship Id="rId15" Type="http://schemas.openxmlformats.org/officeDocument/2006/relationships/hyperlink" Target="https://doi.org/10.5281/zenodo.10882832" TargetMode="External"/><Relationship Id="rId23" Type="http://schemas.openxmlformats.org/officeDocument/2006/relationships/hyperlink" Target="https://www.eurchembull.com/uploads/paper/91b0da693c100aeb89f01cf1c7db5808.pdf" TargetMode="External"/><Relationship Id="rId28" Type="http://schemas.openxmlformats.org/officeDocument/2006/relationships/hyperlink" Target="https://www.jclmm.com/index.php/journal/article/view/741" TargetMode="External"/><Relationship Id="rId36" Type="http://schemas.openxmlformats.org/officeDocument/2006/relationships/hyperlink" Target="https://www.mdpi.com/2073-4360/17/2/179?utm_source=releaseissue&amp;utm_medium=email&amp;utm_campaign=releaseissue_polymers&amp;utm_term=doilink99&amp;recipient=kerem_shixaliyev@mail.ru&amp;subject=Polymers%2C%20Volume%2017%2C%20Issue%202%20(January-2%202025)%20Table%20of%20Contents&amp;campaign=ReleaseIssue"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dx.doi.org/10.35940/ijitee.G5721.079920" TargetMode="External"/><Relationship Id="rId31"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44" Type="http://schemas.openxmlformats.org/officeDocument/2006/relationships/hyperlink" Target="https://www.mdpi.com/2073-4360/17/2/142?utm_source=releaseissue&amp;utm_medium=email&amp;utm_campaign=releaseissue_polymers&amp;utm_term=titlelink95&amp;recipient=kerem_shixaliyev@mail.ru&amp;subject=Polymers%2C%20Volume%2017%2C%20Issue%202%20(January-2%202025)%20Table%20of%20Contents&amp;campaign=ReleaseIssu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eurchembull.com/issue-content/properties-of-the-composition-based-on-modified-polyethylenes-2790" TargetMode="External"/><Relationship Id="rId27" Type="http://schemas.openxmlformats.org/officeDocument/2006/relationships/hyperlink" Target="https://www.jclmm.com/index.php/journal/issue/view/21" TargetMode="External"/><Relationship Id="rId30"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35" Type="http://schemas.openxmlformats.org/officeDocument/2006/relationships/hyperlink" Target="https://www.mdpi.com/2073-4360/17/2/179?utm_source=releaseissue&amp;utm_medium=email&amp;utm_campaign=releaseissue_polymers&amp;utm_term=titlelink99&amp;recipient=kerem_shixaliyev@mail.ru&amp;subject=Polymers%2C%20Volume%2017%2C%20Issue%202%20(January-2%202025)%20Table%20of%20Contents&amp;campaign=ReleaseIssue" TargetMode="External"/><Relationship Id="rId43"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www.mdpi.com/2073-4360/17/2/190?utm_source=releaseissue&amp;utm_medium=email&amp;utm_campaign=releaseissue_polymers&amp;utm_term=doilink102&amp;recipient=kerem_shixaliyev@mail.ru&amp;subject=Polymers%2C%20Volume%2017%2C%20Issue%202%20(January-2%202025)%20Table%20of%20Contents&amp;campaign=ReleaseIssue" TargetMode="External"/><Relationship Id="rId25" Type="http://schemas.openxmlformats.org/officeDocument/2006/relationships/hyperlink" Target="https://doi.org/10.17762/jaz.v44iS-3.1205" TargetMode="External"/><Relationship Id="rId33"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8"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46" Type="http://schemas.openxmlformats.org/officeDocument/2006/relationships/hyperlink" Target="mailto:2018.-296&#1089;.info@interactive-plus.ru" TargetMode="External"/><Relationship Id="rId20" Type="http://schemas.openxmlformats.org/officeDocument/2006/relationships/hyperlink" Target="https://www.hkclxb.cn/article/view/2023/102.html" TargetMode="External"/><Relationship Id="rId41"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en" sz="1600"/>
              <a:t>Dependence of SKI-3 </a:t>
            </a:r>
            <a:r>
              <a:rPr lang="en"/>
              <a:t>modification</a:t>
            </a:r>
            <a:r>
              <a:rPr lang="en" sz="1600" baseline="0"/>
              <a:t> </a:t>
            </a:r>
            <a:r>
              <a:rPr lang="en" sz="1600"/>
              <a:t>from time to time (different PB content)</a:t>
            </a:r>
          </a:p>
        </c:rich>
      </c:tx>
      <c:overlay val="0"/>
    </c:title>
    <c:autoTitleDeleted val="0"/>
    <c:plotArea>
      <c:layout/>
      <c:lineChart>
        <c:grouping val="standard"/>
        <c:varyColors val="0"/>
        <c:ser>
          <c:idx val="0"/>
          <c:order val="0"/>
          <c:tx>
            <c:strRef>
              <c:f>Конверсия_2!$B$1</c:f>
              <c:strCache>
                <c:ptCount val="1"/>
                <c:pt idx="0">
                  <c:v>1 (1,0%)</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Конверсия_2!$B$2:$B$8</c:f>
              <c:numCache>
                <c:formatCode>General</c:formatCode>
                <c:ptCount val="7"/>
                <c:pt idx="0">
                  <c:v>0</c:v>
                </c:pt>
                <c:pt idx="1">
                  <c:v>8</c:v>
                </c:pt>
                <c:pt idx="2">
                  <c:v>13</c:v>
                </c:pt>
                <c:pt idx="3">
                  <c:v>16</c:v>
                </c:pt>
                <c:pt idx="4">
                  <c:v>19</c:v>
                </c:pt>
                <c:pt idx="5">
                  <c:v>21</c:v>
                </c:pt>
                <c:pt idx="6">
                  <c:v>23</c:v>
                </c:pt>
              </c:numCache>
            </c:numRef>
          </c:val>
          <c:smooth val="0"/>
          <c:extLst>
            <c:ext xmlns:c16="http://schemas.microsoft.com/office/drawing/2014/chart" uri="{C3380CC4-5D6E-409C-BE32-E72D297353CC}">
              <c16:uniqueId val="{00000000-AA7B-46E6-A3C3-2ECD4DF56C0D}"/>
            </c:ext>
          </c:extLst>
        </c:ser>
        <c:ser>
          <c:idx val="1"/>
          <c:order val="1"/>
          <c:tx>
            <c:strRef>
              <c:f>Конверсия_2!$C$1</c:f>
              <c:strCache>
                <c:ptCount val="1"/>
                <c:pt idx="0">
                  <c:v>2 (1,5%)</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Конверсия_2!$C$2:$C$8</c:f>
              <c:numCache>
                <c:formatCode>General</c:formatCode>
                <c:ptCount val="7"/>
                <c:pt idx="0">
                  <c:v>0</c:v>
                </c:pt>
                <c:pt idx="1">
                  <c:v>12</c:v>
                </c:pt>
                <c:pt idx="2">
                  <c:v>20</c:v>
                </c:pt>
                <c:pt idx="3">
                  <c:v>27</c:v>
                </c:pt>
                <c:pt idx="4">
                  <c:v>33</c:v>
                </c:pt>
                <c:pt idx="5">
                  <c:v>37</c:v>
                </c:pt>
                <c:pt idx="6">
                  <c:v>42</c:v>
                </c:pt>
              </c:numCache>
            </c:numRef>
          </c:val>
          <c:smooth val="0"/>
          <c:extLst>
            <c:ext xmlns:c16="http://schemas.microsoft.com/office/drawing/2014/chart" uri="{C3380CC4-5D6E-409C-BE32-E72D297353CC}">
              <c16:uniqueId val="{00000001-AA7B-46E6-A3C3-2ECD4DF56C0D}"/>
            </c:ext>
          </c:extLst>
        </c:ser>
        <c:ser>
          <c:idx val="2"/>
          <c:order val="2"/>
          <c:tx>
            <c:strRef>
              <c:f>Конверсия_2!$D$1</c:f>
              <c:strCache>
                <c:ptCount val="1"/>
                <c:pt idx="0">
                  <c:v>3 (2,0%)</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Конверсия_2!$D$2:$D$8</c:f>
              <c:numCache>
                <c:formatCode>General</c:formatCode>
                <c:ptCount val="7"/>
                <c:pt idx="0">
                  <c:v>0</c:v>
                </c:pt>
                <c:pt idx="1">
                  <c:v>17</c:v>
                </c:pt>
                <c:pt idx="2">
                  <c:v>30</c:v>
                </c:pt>
                <c:pt idx="3">
                  <c:v>40</c:v>
                </c:pt>
                <c:pt idx="4">
                  <c:v>48</c:v>
                </c:pt>
                <c:pt idx="5">
                  <c:v>55</c:v>
                </c:pt>
                <c:pt idx="6">
                  <c:v>63</c:v>
                </c:pt>
              </c:numCache>
            </c:numRef>
          </c:val>
          <c:smooth val="0"/>
          <c:extLst>
            <c:ext xmlns:c16="http://schemas.microsoft.com/office/drawing/2014/chart" uri="{C3380CC4-5D6E-409C-BE32-E72D297353CC}">
              <c16:uniqueId val="{00000002-AA7B-46E6-A3C3-2ECD4DF56C0D}"/>
            </c:ext>
          </c:extLst>
        </c:ser>
        <c:ser>
          <c:idx val="3"/>
          <c:order val="3"/>
          <c:tx>
            <c:strRef>
              <c:f>Конверсия_2!$E$1</c:f>
              <c:strCache>
                <c:ptCount val="1"/>
                <c:pt idx="0">
                  <c:v>4 (2,5%)</c:v>
                </c:pt>
              </c:strCache>
            </c:strRef>
          </c:tx>
          <c:spPr>
            <a:ln>
              <a:prstDash val="solid"/>
            </a:ln>
          </c:spPr>
          <c:marker>
            <c:symbol val="none"/>
          </c:marker>
          <c:cat>
            <c:numRef>
              <c:f>Конверсия_2!$A$2:$A$8</c:f>
              <c:numCache>
                <c:formatCode>General</c:formatCode>
                <c:ptCount val="7"/>
                <c:pt idx="0">
                  <c:v>0</c:v>
                </c:pt>
                <c:pt idx="1">
                  <c:v>5</c:v>
                </c:pt>
                <c:pt idx="2">
                  <c:v>10</c:v>
                </c:pt>
                <c:pt idx="3">
                  <c:v>15</c:v>
                </c:pt>
                <c:pt idx="4">
                  <c:v>20</c:v>
                </c:pt>
                <c:pt idx="5">
                  <c:v>25</c:v>
                </c:pt>
                <c:pt idx="6">
                  <c:v>30</c:v>
                </c:pt>
              </c:numCache>
            </c:numRef>
          </c:cat>
          <c:val>
            <c:numRef>
              <c:f>Конверсия_2!$E$2:$E$8</c:f>
              <c:numCache>
                <c:formatCode>General</c:formatCode>
                <c:ptCount val="7"/>
                <c:pt idx="0">
                  <c:v>0</c:v>
                </c:pt>
                <c:pt idx="1">
                  <c:v>22</c:v>
                </c:pt>
                <c:pt idx="2">
                  <c:v>38</c:v>
                </c:pt>
                <c:pt idx="3">
                  <c:v>52</c:v>
                </c:pt>
                <c:pt idx="4">
                  <c:v>63</c:v>
                </c:pt>
                <c:pt idx="5">
                  <c:v>72</c:v>
                </c:pt>
                <c:pt idx="6">
                  <c:v>80</c:v>
                </c:pt>
              </c:numCache>
            </c:numRef>
          </c:val>
          <c:smooth val="0"/>
          <c:extLst>
            <c:ext xmlns:c16="http://schemas.microsoft.com/office/drawing/2014/chart" uri="{C3380CC4-5D6E-409C-BE32-E72D297353CC}">
              <c16:uniqueId val="{00000003-AA7B-46E6-A3C3-2ECD4DF56C0D}"/>
            </c:ext>
          </c:extLst>
        </c:ser>
        <c:dLbls>
          <c:showLegendKey val="0"/>
          <c:showVal val="0"/>
          <c:showCatName val="0"/>
          <c:showSerName val="0"/>
          <c:showPercent val="0"/>
          <c:showBubbleSize val="0"/>
        </c:dLbls>
        <c:smooth val="0"/>
        <c:axId val="10"/>
        <c:axId val="100"/>
      </c:lineChart>
      <c:catAx>
        <c:axId val="10"/>
        <c:scaling>
          <c:orientation val="minMax"/>
        </c:scaling>
        <c:delete val="0"/>
        <c:axPos val="b"/>
        <c:title>
          <c:tx>
            <c:rich>
              <a:bodyPr/>
              <a:lstStyle/>
              <a:p>
                <a:pPr>
                  <a:defRPr/>
                </a:pPr>
                <a:r>
                  <a:rPr lang="en"/>
                  <a:t>Time, min</a:t>
                </a:r>
              </a:p>
            </c:rich>
          </c:tx>
          <c:overlay val="0"/>
        </c:title>
        <c:numFmt formatCode="General" sourceLinked="1"/>
        <c:majorTickMark val="none"/>
        <c:minorTickMark val="none"/>
        <c:tickLblPos val="nextTo"/>
        <c:crossAx val="100"/>
        <c:crosses val="autoZero"/>
        <c:auto val="0"/>
        <c:lblAlgn val="ctr"/>
        <c:lblOffset val="100"/>
        <c:noMultiLvlLbl val="0"/>
      </c:catAx>
      <c:valAx>
        <c:axId val="100"/>
        <c:scaling>
          <c:orientation val="minMax"/>
        </c:scaling>
        <c:delete val="0"/>
        <c:axPos val="l"/>
        <c:majorGridlines/>
        <c:title>
          <c:tx>
            <c:rich>
              <a:bodyPr/>
              <a:lstStyle/>
              <a:p>
                <a:pPr>
                  <a:defRPr/>
                </a:pPr>
                <a:r>
                  <a:rPr lang="en-US" sz="1000" b="1" i="0" u="none" strike="noStrike" baseline="0">
                    <a:effectLst/>
                  </a:rPr>
                  <a:t>Modification</a:t>
                </a:r>
                <a:r>
                  <a:rPr lang="en"/>
                  <a:t>, %</a:t>
                </a:r>
              </a:p>
            </c:rich>
          </c:tx>
          <c:overlay val="0"/>
        </c:title>
        <c:numFmt formatCode="General" sourceLinked="1"/>
        <c:majorTickMark val="none"/>
        <c:minorTickMark val="none"/>
        <c:tickLblPos val="nextTo"/>
        <c:crossAx val="10"/>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ru-RU"/>
          </a:p>
        </c:rich>
      </c:tx>
      <c:overlay val="0"/>
    </c:title>
    <c:autoTitleDeleted val="0"/>
    <c:plotArea>
      <c:layout>
        <c:manualLayout>
          <c:layoutTarget val="inner"/>
          <c:xMode val="edge"/>
          <c:yMode val="edge"/>
          <c:x val="0.18273429774766525"/>
          <c:y val="0.16598642625293139"/>
          <c:w val="0.67657523042177881"/>
          <c:h val="0.65154141235304164"/>
        </c:manualLayout>
      </c:layout>
      <c:scatterChart>
        <c:scatterStyle val="smoothMarker"/>
        <c:varyColors val="0"/>
        <c:ser>
          <c:idx val="0"/>
          <c:order val="0"/>
          <c:marker>
            <c:symbol val="circle"/>
            <c:size val="5"/>
          </c:marker>
          <c:xVal>
            <c:numRef>
              <c:f>[excel_graphs_with_textboxes.xlsx]Graph1!$A$2:$A$6</c:f>
              <c:numCache>
                <c:formatCode>General</c:formatCode>
                <c:ptCount val="5"/>
                <c:pt idx="0">
                  <c:v>360</c:v>
                </c:pt>
                <c:pt idx="1">
                  <c:v>365</c:v>
                </c:pt>
                <c:pt idx="2">
                  <c:v>370</c:v>
                </c:pt>
                <c:pt idx="3">
                  <c:v>375</c:v>
                </c:pt>
                <c:pt idx="4">
                  <c:v>380</c:v>
                </c:pt>
              </c:numCache>
            </c:numRef>
          </c:xVal>
          <c:yVal>
            <c:numRef>
              <c:f>[excel_graphs_with_textboxes.xlsx]Graph1!$B$2:$B$6</c:f>
              <c:numCache>
                <c:formatCode>General</c:formatCode>
                <c:ptCount val="5"/>
                <c:pt idx="0">
                  <c:v>0.5</c:v>
                </c:pt>
                <c:pt idx="1">
                  <c:v>1.2</c:v>
                </c:pt>
                <c:pt idx="2">
                  <c:v>2.5</c:v>
                </c:pt>
                <c:pt idx="3">
                  <c:v>4</c:v>
                </c:pt>
                <c:pt idx="4">
                  <c:v>6.5</c:v>
                </c:pt>
              </c:numCache>
            </c:numRef>
          </c:yVal>
          <c:smooth val="1"/>
          <c:extLst>
            <c:ext xmlns:c16="http://schemas.microsoft.com/office/drawing/2014/chart" uri="{C3380CC4-5D6E-409C-BE32-E72D297353CC}">
              <c16:uniqueId val="{00000000-0D59-4973-881B-D34AE3AD238E}"/>
            </c:ext>
          </c:extLst>
        </c:ser>
        <c:ser>
          <c:idx val="1"/>
          <c:order val="1"/>
          <c:marker>
            <c:symbol val="circle"/>
            <c:size val="5"/>
          </c:marker>
          <c:xVal>
            <c:numRef>
              <c:f>[excel_graphs_with_textboxes.xlsx]Graph1!$A$2:$A$6</c:f>
              <c:numCache>
                <c:formatCode>General</c:formatCode>
                <c:ptCount val="5"/>
                <c:pt idx="0">
                  <c:v>360</c:v>
                </c:pt>
                <c:pt idx="1">
                  <c:v>365</c:v>
                </c:pt>
                <c:pt idx="2">
                  <c:v>370</c:v>
                </c:pt>
                <c:pt idx="3">
                  <c:v>375</c:v>
                </c:pt>
                <c:pt idx="4">
                  <c:v>380</c:v>
                </c:pt>
              </c:numCache>
            </c:numRef>
          </c:xVal>
          <c:yVal>
            <c:numRef>
              <c:f>[excel_graphs_with_textboxes.xlsx]Graph1!$C$2:$C$6</c:f>
              <c:numCache>
                <c:formatCode>General</c:formatCode>
                <c:ptCount val="5"/>
                <c:pt idx="0">
                  <c:v>0.7</c:v>
                </c:pt>
                <c:pt idx="1">
                  <c:v>1.5</c:v>
                </c:pt>
                <c:pt idx="2">
                  <c:v>3</c:v>
                </c:pt>
                <c:pt idx="3">
                  <c:v>4.8</c:v>
                </c:pt>
                <c:pt idx="4">
                  <c:v>7.2</c:v>
                </c:pt>
              </c:numCache>
            </c:numRef>
          </c:yVal>
          <c:smooth val="1"/>
          <c:extLst>
            <c:ext xmlns:c16="http://schemas.microsoft.com/office/drawing/2014/chart" uri="{C3380CC4-5D6E-409C-BE32-E72D297353CC}">
              <c16:uniqueId val="{00000001-0D59-4973-881B-D34AE3AD238E}"/>
            </c:ext>
          </c:extLst>
        </c:ser>
        <c:dLbls>
          <c:showLegendKey val="0"/>
          <c:showVal val="0"/>
          <c:showCatName val="0"/>
          <c:showSerName val="0"/>
          <c:showPercent val="0"/>
          <c:showBubbleSize val="0"/>
        </c:dLbls>
        <c:axId val="50010001"/>
        <c:axId val="50010002"/>
      </c:scatterChart>
      <c:valAx>
        <c:axId val="50010001"/>
        <c:scaling>
          <c:orientation val="minMax"/>
        </c:scaling>
        <c:delete val="0"/>
        <c:axPos val="b"/>
        <c:title>
          <c:tx>
            <c:rich>
              <a:bodyPr/>
              <a:lstStyle/>
              <a:p>
                <a:pPr>
                  <a:defRPr/>
                </a:pPr>
                <a:r>
                  <a:rPr lang="en"/>
                  <a:t>T, K</a:t>
                </a:r>
              </a:p>
            </c:rich>
          </c:tx>
          <c:overlay val="0"/>
        </c:title>
        <c:numFmt formatCode="General" sourceLinked="1"/>
        <c:majorTickMark val="out"/>
        <c:minorTickMark val="none"/>
        <c:tickLblPos val="nextTo"/>
        <c:crossAx val="50010002"/>
        <c:crosses val="autoZero"/>
        <c:crossBetween val="midCat"/>
      </c:valAx>
      <c:valAx>
        <c:axId val="50010002"/>
        <c:scaling>
          <c:orientation val="minMax"/>
        </c:scaling>
        <c:delete val="0"/>
        <c:axPos val="l"/>
        <c:majorGridlines/>
        <c:title>
          <c:tx>
            <c:rich>
              <a:bodyPr rot="-5400000" vert="horz"/>
              <a:lstStyle/>
              <a:p>
                <a:pPr>
                  <a:defRPr/>
                </a:pPr>
                <a:r>
                  <a:rPr lang="en"/>
                  <a:t> </a:t>
                </a:r>
              </a:p>
            </c:rich>
          </c:tx>
          <c:overlay val="0"/>
        </c:title>
        <c:numFmt formatCode="General" sourceLinked="1"/>
        <c:majorTickMark val="out"/>
        <c:minorTickMark val="none"/>
        <c:tickLblPos val="nextTo"/>
        <c:crossAx val="50010001"/>
        <c:crosses val="autoZero"/>
        <c:crossBetween val="midCat"/>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ru-RU"/>
          </a:p>
        </c:rich>
      </c:tx>
      <c:overlay val="0"/>
    </c:title>
    <c:autoTitleDeleted val="0"/>
    <c:plotArea>
      <c:layout>
        <c:manualLayout>
          <c:layoutTarget val="inner"/>
          <c:xMode val="edge"/>
          <c:yMode val="edge"/>
          <c:x val="0.15865687822600219"/>
          <c:y val="0.16261858572026322"/>
          <c:w val="0.7072631652885476"/>
          <c:h val="0.65861158659515384"/>
        </c:manualLayout>
      </c:layout>
      <c:scatterChart>
        <c:scatterStyle val="smoothMarker"/>
        <c:varyColors val="0"/>
        <c:ser>
          <c:idx val="0"/>
          <c:order val="0"/>
          <c:marker>
            <c:symbol val="circle"/>
            <c:size val="5"/>
          </c:marker>
          <c:xVal>
            <c:numRef>
              <c:f>[excel_graphs_with_textboxes.xlsx]Graph2!$A$2:$A$6</c:f>
              <c:numCache>
                <c:formatCode>General</c:formatCode>
                <c:ptCount val="5"/>
                <c:pt idx="0">
                  <c:v>360</c:v>
                </c:pt>
                <c:pt idx="1">
                  <c:v>365</c:v>
                </c:pt>
                <c:pt idx="2">
                  <c:v>370</c:v>
                </c:pt>
                <c:pt idx="3">
                  <c:v>375</c:v>
                </c:pt>
                <c:pt idx="4">
                  <c:v>380</c:v>
                </c:pt>
              </c:numCache>
            </c:numRef>
          </c:xVal>
          <c:yVal>
            <c:numRef>
              <c:f>[excel_graphs_with_textboxes.xlsx]Graph2!$B$2:$B$6</c:f>
              <c:numCache>
                <c:formatCode>General</c:formatCode>
                <c:ptCount val="5"/>
                <c:pt idx="0">
                  <c:v>1</c:v>
                </c:pt>
                <c:pt idx="1">
                  <c:v>2.5</c:v>
                </c:pt>
                <c:pt idx="2">
                  <c:v>4</c:v>
                </c:pt>
                <c:pt idx="3">
                  <c:v>6</c:v>
                </c:pt>
                <c:pt idx="4">
                  <c:v>9</c:v>
                </c:pt>
              </c:numCache>
            </c:numRef>
          </c:yVal>
          <c:smooth val="1"/>
          <c:extLst>
            <c:ext xmlns:c16="http://schemas.microsoft.com/office/drawing/2014/chart" uri="{C3380CC4-5D6E-409C-BE32-E72D297353CC}">
              <c16:uniqueId val="{00000000-C33B-4DC7-B85C-9289CCAC00FE}"/>
            </c:ext>
          </c:extLst>
        </c:ser>
        <c:ser>
          <c:idx val="1"/>
          <c:order val="1"/>
          <c:marker>
            <c:symbol val="circle"/>
            <c:size val="5"/>
          </c:marker>
          <c:xVal>
            <c:numRef>
              <c:f>[excel_graphs_with_textboxes.xlsx]Graph2!$A$2:$A$6</c:f>
              <c:numCache>
                <c:formatCode>General</c:formatCode>
                <c:ptCount val="5"/>
                <c:pt idx="0">
                  <c:v>360</c:v>
                </c:pt>
                <c:pt idx="1">
                  <c:v>365</c:v>
                </c:pt>
                <c:pt idx="2">
                  <c:v>370</c:v>
                </c:pt>
                <c:pt idx="3">
                  <c:v>375</c:v>
                </c:pt>
                <c:pt idx="4">
                  <c:v>380</c:v>
                </c:pt>
              </c:numCache>
            </c:numRef>
          </c:xVal>
          <c:yVal>
            <c:numRef>
              <c:f>[excel_graphs_with_textboxes.xlsx]Graph2!$C$2:$C$6</c:f>
              <c:numCache>
                <c:formatCode>General</c:formatCode>
                <c:ptCount val="5"/>
                <c:pt idx="0">
                  <c:v>9</c:v>
                </c:pt>
                <c:pt idx="1">
                  <c:v>6</c:v>
                </c:pt>
                <c:pt idx="2">
                  <c:v>4</c:v>
                </c:pt>
                <c:pt idx="3">
                  <c:v>2.5</c:v>
                </c:pt>
                <c:pt idx="4">
                  <c:v>1.5</c:v>
                </c:pt>
              </c:numCache>
            </c:numRef>
          </c:yVal>
          <c:smooth val="1"/>
          <c:extLst>
            <c:ext xmlns:c16="http://schemas.microsoft.com/office/drawing/2014/chart" uri="{C3380CC4-5D6E-409C-BE32-E72D297353CC}">
              <c16:uniqueId val="{00000001-C33B-4DC7-B85C-9289CCAC00FE}"/>
            </c:ext>
          </c:extLst>
        </c:ser>
        <c:dLbls>
          <c:showLegendKey val="0"/>
          <c:showVal val="0"/>
          <c:showCatName val="0"/>
          <c:showSerName val="0"/>
          <c:showPercent val="0"/>
          <c:showBubbleSize val="0"/>
        </c:dLbls>
        <c:axId val="50020001"/>
        <c:axId val="50020002"/>
      </c:scatterChart>
      <c:valAx>
        <c:axId val="50020001"/>
        <c:scaling>
          <c:orientation val="minMax"/>
        </c:scaling>
        <c:delete val="0"/>
        <c:axPos val="b"/>
        <c:title>
          <c:tx>
            <c:rich>
              <a:bodyPr/>
              <a:lstStyle/>
              <a:p>
                <a:pPr>
                  <a:defRPr/>
                </a:pPr>
                <a:r>
                  <a:rPr lang="en"/>
                  <a:t>T, K</a:t>
                </a:r>
              </a:p>
            </c:rich>
          </c:tx>
          <c:overlay val="0"/>
        </c:title>
        <c:numFmt formatCode="General" sourceLinked="1"/>
        <c:majorTickMark val="out"/>
        <c:minorTickMark val="none"/>
        <c:tickLblPos val="nextTo"/>
        <c:crossAx val="50020002"/>
        <c:crosses val="autoZero"/>
        <c:crossBetween val="midCat"/>
      </c:valAx>
      <c:valAx>
        <c:axId val="50020002"/>
        <c:scaling>
          <c:orientation val="minMax"/>
        </c:scaling>
        <c:delete val="0"/>
        <c:axPos val="l"/>
        <c:majorGridlines/>
        <c:title>
          <c:tx>
            <c:rich>
              <a:bodyPr rot="-5400000" vert="horz"/>
              <a:lstStyle/>
              <a:p>
                <a:pPr>
                  <a:defRPr/>
                </a:pPr>
                <a:r>
                  <a:rPr lang="en"/>
                  <a:t> </a:t>
                </a:r>
              </a:p>
            </c:rich>
          </c:tx>
          <c:overlay val="0"/>
        </c:title>
        <c:numFmt formatCode="General" sourceLinked="1"/>
        <c:majorTickMark val="out"/>
        <c:minorTickMark val="none"/>
        <c:tickLblPos val="nextTo"/>
        <c:crossAx val="50020001"/>
        <c:crosses val="autoZero"/>
        <c:crossBetween val="midCat"/>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656192003459521"/>
          <c:y val="0.11783962962962963"/>
          <c:w val="0.69302437881763634"/>
          <c:h val="0.65990440668600647"/>
        </c:manualLayout>
      </c:layout>
      <c:scatterChart>
        <c:scatterStyle val="lineMarker"/>
        <c:varyColors val="0"/>
        <c:ser>
          <c:idx val="0"/>
          <c:order val="0"/>
          <c:tx>
            <c:v>E0</c:v>
          </c:tx>
          <c:spPr>
            <a:ln>
              <a:prstDash val="solid"/>
            </a:ln>
          </c:spPr>
          <c:marker>
            <c:symbol val="none"/>
          </c:marker>
          <c:xVal>
            <c:numRef>
              <c:f>[graphs.xlsx]Fig_2_25!$A$2:$A$7</c:f>
              <c:numCache>
                <c:formatCode>General</c:formatCode>
                <c:ptCount val="6"/>
                <c:pt idx="0">
                  <c:v>0</c:v>
                </c:pt>
                <c:pt idx="1">
                  <c:v>20</c:v>
                </c:pt>
                <c:pt idx="2">
                  <c:v>40</c:v>
                </c:pt>
                <c:pt idx="3">
                  <c:v>60</c:v>
                </c:pt>
                <c:pt idx="4">
                  <c:v>80</c:v>
                </c:pt>
                <c:pt idx="5">
                  <c:v>100</c:v>
                </c:pt>
              </c:numCache>
            </c:numRef>
          </c:xVal>
          <c:yVal>
            <c:numRef>
              <c:f>[graphs.xlsx]Fig_2_25!$B$2:$B$7</c:f>
              <c:numCache>
                <c:formatCode>General</c:formatCode>
                <c:ptCount val="6"/>
                <c:pt idx="0">
                  <c:v>10</c:v>
                </c:pt>
                <c:pt idx="1">
                  <c:v>100</c:v>
                </c:pt>
                <c:pt idx="2">
                  <c:v>150</c:v>
                </c:pt>
                <c:pt idx="3">
                  <c:v>400</c:v>
                </c:pt>
              </c:numCache>
            </c:numRef>
          </c:yVal>
          <c:smooth val="0"/>
          <c:extLst>
            <c:ext xmlns:c16="http://schemas.microsoft.com/office/drawing/2014/chart" uri="{C3380CC4-5D6E-409C-BE32-E72D297353CC}">
              <c16:uniqueId val="{00000000-B01F-4FBC-AAF0-1DEFE35E4F19}"/>
            </c:ext>
          </c:extLst>
        </c:ser>
        <c:ser>
          <c:idx val="1"/>
          <c:order val="1"/>
          <c:tx>
            <c:v>Em</c:v>
          </c:tx>
          <c:spPr>
            <a:ln>
              <a:prstDash val="solid"/>
            </a:ln>
          </c:spPr>
          <c:marker>
            <c:symbol val="none"/>
          </c:marker>
          <c:xVal>
            <c:numRef>
              <c:f>[graphs.xlsx]Fig_2_25!$A$2:$A$7</c:f>
              <c:numCache>
                <c:formatCode>General</c:formatCode>
                <c:ptCount val="6"/>
                <c:pt idx="0">
                  <c:v>0</c:v>
                </c:pt>
                <c:pt idx="1">
                  <c:v>20</c:v>
                </c:pt>
                <c:pt idx="2">
                  <c:v>40</c:v>
                </c:pt>
                <c:pt idx="3">
                  <c:v>60</c:v>
                </c:pt>
                <c:pt idx="4">
                  <c:v>80</c:v>
                </c:pt>
                <c:pt idx="5">
                  <c:v>100</c:v>
                </c:pt>
              </c:numCache>
            </c:numRef>
          </c:xVal>
          <c:yVal>
            <c:numRef>
              <c:f>[graphs.xlsx]Fig_2_25!$C$2:$C$7</c:f>
              <c:numCache>
                <c:formatCode>General</c:formatCode>
                <c:ptCount val="6"/>
                <c:pt idx="0">
                  <c:v>5</c:v>
                </c:pt>
                <c:pt idx="1">
                  <c:v>10</c:v>
                </c:pt>
                <c:pt idx="2">
                  <c:v>20</c:v>
                </c:pt>
                <c:pt idx="3">
                  <c:v>50</c:v>
                </c:pt>
                <c:pt idx="4">
                  <c:v>150</c:v>
                </c:pt>
                <c:pt idx="5">
                  <c:v>300</c:v>
                </c:pt>
              </c:numCache>
            </c:numRef>
          </c:yVal>
          <c:smooth val="0"/>
          <c:extLst>
            <c:ext xmlns:c16="http://schemas.microsoft.com/office/drawing/2014/chart" uri="{C3380CC4-5D6E-409C-BE32-E72D297353CC}">
              <c16:uniqueId val="{00000001-B01F-4FBC-AAF0-1DEFE35E4F19}"/>
            </c:ext>
          </c:extLst>
        </c:ser>
        <c:ser>
          <c:idx val="2"/>
          <c:order val="2"/>
          <c:tx>
            <c:v>Qm</c:v>
          </c:tx>
          <c:spPr>
            <a:ln>
              <a:prstDash val="solid"/>
            </a:ln>
          </c:spPr>
          <c:marker>
            <c:symbol val="none"/>
          </c:marker>
          <c:xVal>
            <c:numRef>
              <c:f>[graphs.xlsx]Fig_2_25!$A$2:$A$7</c:f>
              <c:numCache>
                <c:formatCode>General</c:formatCode>
                <c:ptCount val="6"/>
                <c:pt idx="0">
                  <c:v>0</c:v>
                </c:pt>
                <c:pt idx="1">
                  <c:v>20</c:v>
                </c:pt>
                <c:pt idx="2">
                  <c:v>40</c:v>
                </c:pt>
                <c:pt idx="3">
                  <c:v>60</c:v>
                </c:pt>
                <c:pt idx="4">
                  <c:v>80</c:v>
                </c:pt>
                <c:pt idx="5">
                  <c:v>100</c:v>
                </c:pt>
              </c:numCache>
            </c:numRef>
          </c:xVal>
          <c:yVal>
            <c:numRef>
              <c:f>[graphs.xlsx]Fig_2_25!$D$2:$D$7</c:f>
              <c:numCache>
                <c:formatCode>General</c:formatCode>
                <c:ptCount val="6"/>
                <c:pt idx="0">
                  <c:v>0</c:v>
                </c:pt>
                <c:pt idx="1">
                  <c:v>0</c:v>
                </c:pt>
                <c:pt idx="2">
                  <c:v>5</c:v>
                </c:pt>
                <c:pt idx="3">
                  <c:v>7</c:v>
                </c:pt>
                <c:pt idx="4">
                  <c:v>10</c:v>
                </c:pt>
              </c:numCache>
            </c:numRef>
          </c:yVal>
          <c:smooth val="0"/>
          <c:extLst>
            <c:ext xmlns:c16="http://schemas.microsoft.com/office/drawing/2014/chart" uri="{C3380CC4-5D6E-409C-BE32-E72D297353CC}">
              <c16:uniqueId val="{00000002-B01F-4FBC-AAF0-1DEFE35E4F19}"/>
            </c:ext>
          </c:extLst>
        </c:ser>
        <c:dLbls>
          <c:showLegendKey val="0"/>
          <c:showVal val="0"/>
          <c:showCatName val="0"/>
          <c:showSerName val="0"/>
          <c:showPercent val="0"/>
          <c:showBubbleSize val="0"/>
        </c:dLbls>
        <c:axId val="10"/>
        <c:axId val="20"/>
      </c:scatterChart>
      <c:valAx>
        <c:axId val="10"/>
        <c:scaling>
          <c:orientation val="minMax"/>
          <c:max val="100"/>
        </c:scaling>
        <c:delete val="0"/>
        <c:axPos val="b"/>
        <c:majorGridlines/>
        <c:title>
          <c:tx>
            <c:rich>
              <a:bodyPr/>
              <a:lstStyle/>
              <a:p>
                <a:pPr>
                  <a:defRPr/>
                </a:pPr>
                <a:r>
                  <a:rPr lang="en"/>
                  <a:t>LDPE content X, % ( mass)</a:t>
                </a:r>
              </a:p>
            </c:rich>
          </c:tx>
          <c:overlay val="0"/>
        </c:title>
        <c:numFmt formatCode="General" sourceLinked="1"/>
        <c:majorTickMark val="none"/>
        <c:minorTickMark val="none"/>
        <c:tickLblPos val="nextTo"/>
        <c:crossAx val="20"/>
        <c:crosses val="autoZero"/>
        <c:crossBetween val="midCat"/>
      </c:valAx>
      <c:valAx>
        <c:axId val="20"/>
        <c:scaling>
          <c:orientation val="minMax"/>
        </c:scaling>
        <c:delete val="0"/>
        <c:axPos val="l"/>
        <c:majorGridlines/>
        <c:title>
          <c:tx>
            <c:rich>
              <a:bodyPr/>
              <a:lstStyle/>
              <a:p>
                <a:pPr>
                  <a:defRPr sz="1200"/>
                </a:pPr>
                <a:r>
                  <a:rPr lang="en" sz="1200" b="1" i="0" u="none" strike="noStrike" baseline="0">
                    <a:effectLst/>
                  </a:rPr>
                  <a:t>E </a:t>
                </a:r>
                <a:r>
                  <a:rPr lang="en" sz="1200" b="1" i="0" u="none" strike="noStrike" baseline="-25000">
                    <a:effectLst/>
                  </a:rPr>
                  <a:t>0 </a:t>
                </a:r>
                <a:r>
                  <a:rPr lang="en" sz="1200"/>
                  <a:t>, </a:t>
                </a:r>
                <a:r>
                  <a:rPr lang="en" sz="1200" b="1" i="0" u="none" strike="noStrike" baseline="0">
                    <a:effectLst/>
                  </a:rPr>
                  <a:t>E </a:t>
                </a:r>
                <a:r>
                  <a:rPr lang="en" sz="1200" b="1" i="0" u="none" strike="noStrike" baseline="-25000">
                    <a:effectLst/>
                  </a:rPr>
                  <a:t>m </a:t>
                </a:r>
                <a:r>
                  <a:rPr lang="en" sz="1200"/>
                  <a:t>,</a:t>
                </a:r>
                <a:r>
                  <a:rPr lang="en" sz="1200" baseline="0"/>
                  <a:t> </a:t>
                </a:r>
                <a:r>
                  <a:rPr lang="en" sz="1200"/>
                  <a:t>MPa</a:t>
                </a:r>
              </a:p>
            </c:rich>
          </c:tx>
          <c:layout>
            <c:manualLayout>
              <c:xMode val="edge"/>
              <c:yMode val="edge"/>
              <c:x val="1.6462962962962964E-2"/>
              <c:y val="0.3038103703703704"/>
            </c:manualLayout>
          </c:layout>
          <c:overlay val="0"/>
        </c:title>
        <c:numFmt formatCode="General" sourceLinked="1"/>
        <c:majorTickMark val="none"/>
        <c:minorTickMark val="none"/>
        <c:tickLblPos val="nextTo"/>
        <c:crossAx val="10"/>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0.70208</cdr:x>
      <cdr:y>0.16667</cdr:y>
    </cdr:from>
    <cdr:to>
      <cdr:x>0.90208</cdr:x>
      <cdr:y>0.5</cdr:y>
    </cdr:to>
    <cdr:sp macro="" textlink="">
      <cdr:nvSpPr>
        <cdr:cNvPr id="2" name="TextBox 1"/>
        <cdr:cNvSpPr txBox="1"/>
      </cdr:nvSpPr>
      <cdr:spPr>
        <a:xfrm xmlns:a="http://schemas.openxmlformats.org/drawingml/2006/main">
          <a:off x="3209925" y="457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0.34167</cdr:x>
      <cdr:y>0.08681</cdr:y>
    </cdr:from>
    <cdr:to>
      <cdr:x>0.81042</cdr:x>
      <cdr:y>0.14931</cdr:y>
    </cdr:to>
    <cdr:sp macro="" textlink="">
      <cdr:nvSpPr>
        <cdr:cNvPr id="3" name="TextBox 2"/>
        <cdr:cNvSpPr txBox="1"/>
      </cdr:nvSpPr>
      <cdr:spPr>
        <a:xfrm xmlns:a="http://schemas.openxmlformats.org/drawingml/2006/main">
          <a:off x="1562100" y="238125"/>
          <a:ext cx="2143125"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0.3125</cdr:x>
      <cdr:y>0.04514</cdr:y>
    </cdr:from>
    <cdr:to>
      <cdr:x>0.71458</cdr:x>
      <cdr:y>0.13542</cdr:y>
    </cdr:to>
    <cdr:sp macro="" textlink="">
      <cdr:nvSpPr>
        <cdr:cNvPr id="4" name="TextBox 3"/>
        <cdr:cNvSpPr txBox="1"/>
      </cdr:nvSpPr>
      <cdr:spPr>
        <a:xfrm xmlns:a="http://schemas.openxmlformats.org/drawingml/2006/main">
          <a:off x="1428750" y="123825"/>
          <a:ext cx="18383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 sz="1100">
              <a:effectLst/>
              <a:latin typeface="+mn-lt"/>
              <a:ea typeface="+mn-ea"/>
              <a:cs typeface="+mn-cs"/>
            </a:rPr>
            <a:t>concentration , % (mass)</a:t>
          </a:r>
          <a:endParaRPr lang="ru-RU">
            <a:effectLst/>
          </a:endParaRPr>
        </a:p>
      </cdr:txBody>
    </cdr:sp>
  </cdr:relSizeAnchor>
  <cdr:relSizeAnchor xmlns:cdr="http://schemas.openxmlformats.org/drawingml/2006/chartDrawing">
    <cdr:from>
      <cdr:x>0.9507</cdr:x>
      <cdr:y>0.21006</cdr:y>
    </cdr:from>
    <cdr:to>
      <cdr:x>1</cdr:x>
      <cdr:y>0.81657</cdr:y>
    </cdr:to>
    <cdr:sp macro="" textlink="">
      <cdr:nvSpPr>
        <cdr:cNvPr id="5" name="TextBox 4"/>
        <cdr:cNvSpPr txBox="1"/>
      </cdr:nvSpPr>
      <cdr:spPr>
        <a:xfrm xmlns:a="http://schemas.openxmlformats.org/drawingml/2006/main">
          <a:off x="3990975" y="676275"/>
          <a:ext cx="200025" cy="1952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0.89827</cdr:x>
      <cdr:y>0.10171</cdr:y>
    </cdr:from>
    <cdr:to>
      <cdr:x>0.97883</cdr:x>
      <cdr:y>0.88574</cdr:y>
    </cdr:to>
    <cdr:sp macro="" textlink="">
      <cdr:nvSpPr>
        <cdr:cNvPr id="6" name="TextBox 5"/>
        <cdr:cNvSpPr txBox="1"/>
      </cdr:nvSpPr>
      <cdr:spPr>
        <a:xfrm xmlns:a="http://schemas.openxmlformats.org/drawingml/2006/main" rot="16200000">
          <a:off x="2361673" y="1701999"/>
          <a:ext cx="2964751" cy="3299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100"/>
            <a:t>rate </a:t>
          </a:r>
          <a:r>
            <a:rPr lang="en" sz="1100" baseline="0"/>
            <a:t>of copolymerization of AA, h*10 </a:t>
          </a:r>
          <a:r>
            <a:rPr lang="en" sz="1100" b="0" baseline="30000"/>
            <a:t>2</a:t>
          </a:r>
          <a:endParaRPr lang="ru-RU" sz="1100"/>
        </a:p>
      </cdr:txBody>
    </cdr:sp>
  </cdr:relSizeAnchor>
  <cdr:relSizeAnchor xmlns:cdr="http://schemas.openxmlformats.org/drawingml/2006/chartDrawing">
    <cdr:from>
      <cdr:x>2.44156E-7</cdr:x>
      <cdr:y>0.08492</cdr:y>
    </cdr:from>
    <cdr:to>
      <cdr:x>0.12062</cdr:x>
      <cdr:y>0.86599</cdr:y>
    </cdr:to>
    <cdr:sp macro="" textlink="">
      <cdr:nvSpPr>
        <cdr:cNvPr id="7" name="TextBox 6"/>
        <cdr:cNvSpPr txBox="1"/>
      </cdr:nvSpPr>
      <cdr:spPr>
        <a:xfrm xmlns:a="http://schemas.openxmlformats.org/drawingml/2006/main" rot="16200000">
          <a:off x="-1229761" y="1550872"/>
          <a:ext cx="2953558" cy="4940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 sz="1100">
              <a:effectLst/>
              <a:latin typeface="+mn-lt"/>
              <a:ea typeface="+mn-ea"/>
              <a:cs typeface="+mn-cs"/>
            </a:rPr>
            <a:t>rate constant</a:t>
          </a:r>
          <a:r>
            <a:rPr lang="en" sz="1100" baseline="0">
              <a:effectLst/>
              <a:latin typeface="+mn-lt"/>
              <a:ea typeface="+mn-ea"/>
              <a:cs typeface="+mn-cs"/>
            </a:rPr>
            <a:t> </a:t>
          </a:r>
          <a:r>
            <a:rPr lang="en" sz="1100">
              <a:effectLst/>
              <a:latin typeface="+mn-lt"/>
              <a:ea typeface="+mn-ea"/>
              <a:cs typeface="+mn-cs"/>
            </a:rPr>
            <a:t>copolymerization of AA into</a:t>
          </a:r>
          <a:r>
            <a:rPr lang="en" sz="1100" baseline="0">
              <a:effectLst/>
              <a:latin typeface="+mn-lt"/>
              <a:ea typeface="+mn-ea"/>
              <a:cs typeface="+mn-cs"/>
            </a:rPr>
            <a:t> </a:t>
          </a:r>
          <a:r>
            <a:rPr lang="en" sz="1100">
              <a:effectLst/>
              <a:latin typeface="+mn-lt"/>
              <a:ea typeface="+mn-ea"/>
              <a:cs typeface="+mn-cs"/>
            </a:rPr>
            <a:t>in the presence of SKI-3 </a:t>
          </a:r>
          <a:r>
            <a:rPr lang="en" sz="1100" baseline="0">
              <a:effectLst/>
              <a:latin typeface="+mn-lt"/>
              <a:ea typeface="+mn-ea"/>
              <a:cs typeface="+mn-cs"/>
            </a:rPr>
            <a:t>, </a:t>
          </a:r>
          <a:r>
            <a:rPr lang="en" sz="1100">
              <a:effectLst/>
              <a:latin typeface="+mn-lt"/>
              <a:ea typeface="+mn-ea"/>
              <a:cs typeface="+mn-cs"/>
            </a:rPr>
            <a:t>k·10 </a:t>
          </a:r>
          <a:r>
            <a:rPr lang="en" sz="1100" baseline="30000">
              <a:effectLst/>
              <a:latin typeface="+mn-lt"/>
              <a:ea typeface="+mn-ea"/>
              <a:cs typeface="+mn-cs"/>
            </a:rPr>
            <a:t>4</a:t>
          </a:r>
          <a:endParaRPr lang="ru-RU">
            <a:effectLs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0.29799</cdr:x>
      <cdr:y>0.0383</cdr:y>
    </cdr:from>
    <cdr:to>
      <cdr:x>0.76429</cdr:x>
      <cdr:y>0.12526</cdr:y>
    </cdr:to>
    <cdr:sp macro="" textlink="">
      <cdr:nvSpPr>
        <cdr:cNvPr id="2" name="TextBox 1"/>
        <cdr:cNvSpPr txBox="1"/>
      </cdr:nvSpPr>
      <cdr:spPr>
        <a:xfrm xmlns:a="http://schemas.openxmlformats.org/drawingml/2006/main">
          <a:off x="1192091" y="125866"/>
          <a:ext cx="186543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 sz="1100">
              <a:effectLst/>
              <a:latin typeface="+mn-lt"/>
              <a:ea typeface="+mn-ea"/>
              <a:cs typeface="+mn-cs"/>
            </a:rPr>
            <a:t>concentration , % (mass)</a:t>
          </a:r>
          <a:endParaRPr lang="ru-RU">
            <a:effectLst/>
          </a:endParaRPr>
        </a:p>
      </cdr:txBody>
    </cdr:sp>
  </cdr:relSizeAnchor>
  <cdr:relSizeAnchor xmlns:cdr="http://schemas.openxmlformats.org/drawingml/2006/chartDrawing">
    <cdr:from>
      <cdr:x>0.02</cdr:x>
      <cdr:y>0.0793</cdr:y>
    </cdr:from>
    <cdr:to>
      <cdr:x>0.10923</cdr:x>
      <cdr:y>0.9147</cdr:y>
    </cdr:to>
    <cdr:sp macro="" textlink="">
      <cdr:nvSpPr>
        <cdr:cNvPr id="3" name="TextBox 2"/>
        <cdr:cNvSpPr txBox="1"/>
      </cdr:nvSpPr>
      <cdr:spPr>
        <a:xfrm xmlns:a="http://schemas.openxmlformats.org/drawingml/2006/main" rot="16200000">
          <a:off x="-1126435" y="1463213"/>
          <a:ext cx="2745241" cy="3399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100">
              <a:effectLst/>
              <a:latin typeface="+mn-lt"/>
              <a:ea typeface="+mn-ea"/>
              <a:cs typeface="+mn-cs"/>
            </a:rPr>
            <a:t>rate </a:t>
          </a:r>
          <a:r>
            <a:rPr lang="en" sz="1100" baseline="0">
              <a:effectLst/>
              <a:latin typeface="+mn-lt"/>
              <a:ea typeface="+mn-ea"/>
              <a:cs typeface="+mn-cs"/>
            </a:rPr>
            <a:t>of copolymerization of AA, h*10 </a:t>
          </a:r>
          <a:r>
            <a:rPr lang="en" sz="1100" b="0" baseline="30000">
              <a:effectLst/>
              <a:latin typeface="+mn-lt"/>
              <a:ea typeface="+mn-ea"/>
              <a:cs typeface="+mn-cs"/>
            </a:rPr>
            <a:t>2</a:t>
          </a:r>
          <a:endParaRPr lang="ru-RU">
            <a:effectLst/>
          </a:endParaRPr>
        </a:p>
      </cdr:txBody>
    </cdr:sp>
  </cdr:relSizeAnchor>
  <cdr:relSizeAnchor xmlns:cdr="http://schemas.openxmlformats.org/drawingml/2006/chartDrawing">
    <cdr:from>
      <cdr:x>0.90337</cdr:x>
      <cdr:y>0.13043</cdr:y>
    </cdr:from>
    <cdr:to>
      <cdr:x>0.98333</cdr:x>
      <cdr:y>0.84928</cdr:y>
    </cdr:to>
    <cdr:sp macro="" textlink="">
      <cdr:nvSpPr>
        <cdr:cNvPr id="4" name="TextBox 3"/>
        <cdr:cNvSpPr txBox="1"/>
      </cdr:nvSpPr>
      <cdr:spPr>
        <a:xfrm xmlns:a="http://schemas.openxmlformats.org/drawingml/2006/main" rot="16200000">
          <a:off x="2592786" y="1449781"/>
          <a:ext cx="2362203" cy="319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100">
              <a:effectLst/>
              <a:latin typeface="+mn-lt"/>
              <a:ea typeface="+mn-ea"/>
              <a:cs typeface="+mn-cs"/>
            </a:rPr>
            <a:t>half-life of AA, h</a:t>
          </a:r>
          <a:endParaRPr lang="ru-RU">
            <a:effectLst/>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0.97367</cdr:x>
      <cdr:y>0.28575</cdr:y>
    </cdr:from>
    <cdr:to>
      <cdr:x>0.98954</cdr:x>
      <cdr:y>0.74789</cdr:y>
    </cdr:to>
    <cdr:sp macro="" textlink="">
      <cdr:nvSpPr>
        <cdr:cNvPr id="2" name="TextBox 1"/>
        <cdr:cNvSpPr txBox="1"/>
      </cdr:nvSpPr>
      <cdr:spPr>
        <a:xfrm xmlns:a="http://schemas.openxmlformats.org/drawingml/2006/main">
          <a:off x="5257800" y="771525"/>
          <a:ext cx="85725" cy="1247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0.89245</cdr:x>
      <cdr:y>0.27018</cdr:y>
    </cdr:from>
    <cdr:to>
      <cdr:x>0.97712</cdr:x>
      <cdr:y>0.56458</cdr:y>
    </cdr:to>
    <cdr:sp macro="" textlink="">
      <cdr:nvSpPr>
        <cdr:cNvPr id="3" name="TextBox 2"/>
        <cdr:cNvSpPr txBox="1"/>
      </cdr:nvSpPr>
      <cdr:spPr>
        <a:xfrm xmlns:a="http://schemas.openxmlformats.org/drawingml/2006/main" rot="16200000">
          <a:off x="3491373" y="956808"/>
          <a:ext cx="799190" cy="3524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600"/>
            <a:t>τ </a:t>
          </a:r>
          <a:r>
            <a:rPr lang="en" sz="1600" baseline="-25000">
              <a:effectLst/>
            </a:rPr>
            <a:t>t, s</a:t>
          </a:r>
          <a:endParaRPr lang="ru-RU" sz="16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D0A3-A0D7-4099-B2E5-2074486F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3292</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theaisha1707@gmail.com</cp:lastModifiedBy>
  <cp:revision>9</cp:revision>
  <dcterms:created xsi:type="dcterms:W3CDTF">2013-12-23T23:15:00Z</dcterms:created>
  <dcterms:modified xsi:type="dcterms:W3CDTF">2026-02-20T08:25:00Z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DE507814FF4F47C5A9362DF051BA98F5_12</vt:lpwstr>
  </property>
</Properties>
</file>