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0BC70" w14:textId="77777777" w:rsidR="006E6DDB" w:rsidRDefault="00CC7A39" w:rsidP="006E6DDB">
      <w:pPr>
        <w:spacing w:before="100" w:beforeAutospacing="1" w:after="100" w:afterAutospacing="1" w:line="240" w:lineRule="auto"/>
        <w:jc w:val="center"/>
        <w:outlineLvl w:val="0"/>
        <w:rPr>
          <w:rFonts w:ascii="Times New Roman" w:eastAsia="Times New Roman" w:hAnsi="Times New Roman" w:cs="Times New Roman"/>
          <w:b/>
          <w:bCs/>
          <w:kern w:val="36"/>
          <w:sz w:val="44"/>
          <w:szCs w:val="44"/>
          <w:lang w:val="en-IN"/>
        </w:rPr>
      </w:pPr>
      <w:r>
        <w:rPr>
          <w:rFonts w:ascii="Times New Roman" w:eastAsia="Times New Roman" w:hAnsi="Times New Roman" w:cs="Times New Roman"/>
          <w:b/>
          <w:bCs/>
          <w:sz w:val="24"/>
          <w:szCs w:val="24"/>
        </w:rPr>
        <w:t xml:space="preserve"> </w:t>
      </w:r>
      <w:bookmarkStart w:id="0" w:name="_Hlk219188866"/>
      <w:r w:rsidR="006E6DDB">
        <w:rPr>
          <w:rFonts w:ascii="Times New Roman" w:eastAsia="Times New Roman" w:hAnsi="Times New Roman" w:cs="Times New Roman"/>
          <w:b/>
          <w:bCs/>
          <w:kern w:val="36"/>
          <w:sz w:val="44"/>
          <w:szCs w:val="44"/>
          <w:lang w:val="en-IN"/>
        </w:rPr>
        <w:t>A Comparative Performance Analysis of Quantum-dot Cellular Automata (QCA) Digital Code Converters</w:t>
      </w:r>
    </w:p>
    <w:bookmarkEnd w:id="0"/>
    <w:p w14:paraId="191EB8AD" w14:textId="77777777" w:rsidR="006E6DDB" w:rsidRPr="000E02B8" w:rsidRDefault="006E6DDB" w:rsidP="006E6DDB">
      <w:pPr>
        <w:spacing w:after="200"/>
        <w:jc w:val="both"/>
        <w:rPr>
          <w:rFonts w:ascii="Times New Roman" w:eastAsia="Times New Roman" w:hAnsi="Times New Roman" w:cs="Times New Roman"/>
        </w:rPr>
      </w:pPr>
      <w:r w:rsidRPr="000E02B8">
        <w:rPr>
          <w:rFonts w:ascii="Times New Roman" w:eastAsia="Times New Roman" w:hAnsi="Times New Roman" w:cs="Times New Roman"/>
          <w:b/>
          <w:bCs/>
        </w:rPr>
        <w:t>Abstract—</w:t>
      </w:r>
      <w:r w:rsidRPr="000E02B8">
        <w:rPr>
          <w:rFonts w:ascii="Times New Roman" w:eastAsia="Times New Roman" w:hAnsi="Times New Roman" w:cs="Times New Roman"/>
        </w:rPr>
        <w:t xml:space="preserve"> As conventional CMOS technology approaches its fundamental physical scaling limits, researchers are exploring alternative computing paradigms to sustain the progress predicted by Moore's Law. Quantum-dot Cellular Automata (QCA) has emerged as a promising, transistor less alternative, offering significant advantages such as ultra-low power dissipation, higher device density, and faster switching speeds. This paper presents a critical evaluation and comparative analysis of various digital code converters implemented using QCA technology. The study synthesizes existing research on fundamental converter types, including Binary-to-Gray, Gray-to-Binary, and BCD-based converters. By systematically comparing different architectural designs based on key performance metrics namely cell count, occupied area, and latency this analysis reveals a clear hierarchy of efficiency. The key finding is that circuit efficiency improves through two approaches: component-level optimizations, such as improved XOR gate designs, and paradigm-level advancements, such as the adoption of scalable tile-based methods instead of traditional gate-based layouts.</w:t>
      </w:r>
    </w:p>
    <w:p w14:paraId="1A0808B4" w14:textId="07D13A31" w:rsidR="003C77F7" w:rsidRPr="000E02B8" w:rsidRDefault="000E02B8" w:rsidP="006E6DDB">
      <w:pPr>
        <w:spacing w:before="100" w:beforeAutospacing="1" w:after="100" w:afterAutospacing="1" w:line="240" w:lineRule="auto"/>
        <w:outlineLvl w:val="2"/>
        <w:rPr>
          <w:rFonts w:ascii="Times New Roman" w:eastAsia="Times New Roman" w:hAnsi="Times New Roman" w:cs="Times New Roman"/>
          <w:b/>
          <w:bCs/>
          <w:lang w:val="en-IN"/>
        </w:rPr>
        <w:sectPr w:rsidR="003C77F7" w:rsidRPr="000E02B8" w:rsidSect="008805F2">
          <w:type w:val="continuous"/>
          <w:pgSz w:w="14570" w:h="20636" w:code="12"/>
          <w:pgMar w:top="1440" w:right="1440" w:bottom="1440" w:left="1440" w:header="720" w:footer="720" w:gutter="0"/>
          <w:pgNumType w:start="1"/>
          <w:cols w:space="720"/>
          <w:docGrid w:linePitch="299"/>
        </w:sectPr>
      </w:pPr>
      <w:r w:rsidRPr="000E02B8">
        <w:rPr>
          <w:rFonts w:ascii="Times New Roman" w:eastAsia="Times New Roman" w:hAnsi="Times New Roman" w:cs="Times New Roman"/>
          <w:b/>
          <w:bCs/>
          <w:lang w:val="en-IN"/>
        </w:rPr>
        <w:t>Keywords:</w:t>
      </w:r>
      <w:r w:rsidR="006E6DDB" w:rsidRPr="000E02B8">
        <w:rPr>
          <w:rFonts w:ascii="Times New Roman" w:eastAsia="Times New Roman" w:hAnsi="Times New Roman" w:cs="Times New Roman"/>
          <w:b/>
          <w:bCs/>
          <w:lang w:val="en-IN"/>
        </w:rPr>
        <w:t xml:space="preserve"> </w:t>
      </w:r>
      <w:r w:rsidR="006E6DDB" w:rsidRPr="000E02B8">
        <w:rPr>
          <w:rFonts w:ascii="Times New Roman" w:eastAsia="Times New Roman" w:hAnsi="Times New Roman" w:cs="Times New Roman"/>
          <w:lang w:val="en-IN"/>
        </w:rPr>
        <w:t>Quantum-dot Cellular Automata (QCA), Digital Code Converters, Binary-to-Gray, Gray-to-Binary, BCD Converters, XOR Gate Optimization, Tile-based Layout</w:t>
      </w:r>
    </w:p>
    <w:p w14:paraId="7670DCE1" w14:textId="77777777" w:rsidR="007D2710" w:rsidRPr="000E02B8" w:rsidRDefault="007D2710">
      <w:pPr>
        <w:spacing w:after="200"/>
        <w:jc w:val="both"/>
        <w:rPr>
          <w:rFonts w:ascii="Times New Roman" w:eastAsia="Times New Roman" w:hAnsi="Times New Roman" w:cs="Times New Roman"/>
          <w:b/>
          <w:bCs/>
        </w:rPr>
        <w:sectPr w:rsidR="007D2710" w:rsidRPr="000E02B8" w:rsidSect="008805F2">
          <w:type w:val="continuous"/>
          <w:pgSz w:w="14570" w:h="20636" w:code="12"/>
          <w:pgMar w:top="1440" w:right="1440" w:bottom="1440" w:left="1440" w:header="720" w:footer="720" w:gutter="0"/>
          <w:pgNumType w:start="1"/>
          <w:cols w:space="720"/>
          <w:docGrid w:linePitch="299"/>
        </w:sectPr>
      </w:pPr>
    </w:p>
    <w:p w14:paraId="4CF0CF43" w14:textId="09E0BDFC"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1" w:name="_kz9hkgltc19l" w:colFirst="0" w:colLast="0"/>
      <w:bookmarkEnd w:id="1"/>
      <w:r w:rsidRPr="008805F2">
        <w:rPr>
          <w:rFonts w:ascii="Times New Roman" w:eastAsia="Times New Roman" w:hAnsi="Times New Roman" w:cs="Times New Roman"/>
          <w:b/>
          <w:bCs/>
          <w:color w:val="000000"/>
          <w:sz w:val="22"/>
          <w:szCs w:val="22"/>
        </w:rPr>
        <w:t>1. Introduction</w:t>
      </w:r>
    </w:p>
    <w:p w14:paraId="4D4C11EF"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 w:name="_drv06eovww32" w:colFirst="0" w:colLast="0"/>
      <w:bookmarkEnd w:id="2"/>
      <w:r w:rsidRPr="008805F2">
        <w:rPr>
          <w:rFonts w:ascii="Times New Roman" w:eastAsia="Times New Roman" w:hAnsi="Times New Roman" w:cs="Times New Roman"/>
          <w:b/>
          <w:bCs/>
          <w:color w:val="000000"/>
          <w:sz w:val="22"/>
          <w:szCs w:val="22"/>
        </w:rPr>
        <w:t>1.1. The Post-CMOS Era and the Rise of Nanotechnology</w:t>
      </w:r>
    </w:p>
    <w:p w14:paraId="7A58DA6F"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For decades, the relentless downscaling of Complementary Metal-Oxide-Semiconductor (CMOS) technology has been the primary engine of the digital revolution, a trend famously encapsulated by Moore's Law. However, this progress is now encountering fundamental physical barriers. As feature sizes shrink to the nanometer scale, challenges such as prohibitive power consumption, quantum tunneling effects, and high leakage currents threaten to halt further advancement. This has spurred a global search for a "post-CMOS" technology capable of carrying computation into a new era.</w:t>
      </w:r>
    </w:p>
    <w:p w14:paraId="3DC0C1A5" w14:textId="0010DD3E"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Quantum-dot Cellular Automata (QCA) represents a revolutionary, transistor</w:t>
      </w:r>
      <w:r w:rsidR="003C77F7" w:rsidRPr="008805F2">
        <w:rPr>
          <w:rFonts w:ascii="Times New Roman" w:eastAsia="Times New Roman" w:hAnsi="Times New Roman" w:cs="Times New Roman"/>
        </w:rPr>
        <w:t xml:space="preserve"> </w:t>
      </w:r>
      <w:r w:rsidRPr="008805F2">
        <w:rPr>
          <w:rFonts w:ascii="Times New Roman" w:eastAsia="Times New Roman" w:hAnsi="Times New Roman" w:cs="Times New Roman"/>
        </w:rPr>
        <w:t>less computing paradigm proposed as a powerfu</w:t>
      </w:r>
      <w:r w:rsidR="00EC62B5" w:rsidRPr="008805F2">
        <w:rPr>
          <w:rFonts w:ascii="Times New Roman" w:eastAsia="Times New Roman" w:hAnsi="Times New Roman" w:cs="Times New Roman"/>
        </w:rPr>
        <w:t xml:space="preserve">l </w:t>
      </w:r>
      <w:r w:rsidRPr="008805F2">
        <w:rPr>
          <w:rFonts w:ascii="Times New Roman" w:eastAsia="Times New Roman" w:hAnsi="Times New Roman" w:cs="Times New Roman"/>
        </w:rPr>
        <w:t>alternative to overcome these limitations. Unlike conventional circuits that encode information using voltage levels, QCA utilizes the spatial arrangement of electrons within quantum dot cells to represent binary states. This fundamental difference enables a host of advantages over CMOS, including:</w:t>
      </w:r>
    </w:p>
    <w:p w14:paraId="26D1B162" w14:textId="2309E8B5" w:rsidR="005D652C" w:rsidRPr="008805F2" w:rsidRDefault="009B695C">
      <w:pPr>
        <w:numPr>
          <w:ilvl w:val="0"/>
          <w:numId w:val="2"/>
        </w:numPr>
        <w:spacing w:before="240"/>
        <w:rPr>
          <w:rFonts w:ascii="Times New Roman" w:eastAsia="Times New Roman" w:hAnsi="Times New Roman" w:cs="Times New Roman"/>
        </w:rPr>
      </w:pPr>
      <w:r w:rsidRPr="008805F2">
        <w:rPr>
          <w:rFonts w:ascii="Times New Roman" w:eastAsia="Times New Roman" w:hAnsi="Times New Roman" w:cs="Times New Roman"/>
          <w:b/>
          <w:bCs/>
        </w:rPr>
        <w:t>Higher Packaging Density</w:t>
      </w:r>
    </w:p>
    <w:p w14:paraId="558EB94B" w14:textId="319AD174" w:rsidR="005D652C" w:rsidRPr="008805F2" w:rsidRDefault="009B695C">
      <w:pPr>
        <w:numPr>
          <w:ilvl w:val="0"/>
          <w:numId w:val="2"/>
        </w:numPr>
        <w:rPr>
          <w:rFonts w:ascii="Times New Roman" w:eastAsia="Times New Roman" w:hAnsi="Times New Roman" w:cs="Times New Roman"/>
        </w:rPr>
      </w:pPr>
      <w:r w:rsidRPr="008805F2">
        <w:rPr>
          <w:rFonts w:ascii="Times New Roman" w:eastAsia="Times New Roman" w:hAnsi="Times New Roman" w:cs="Times New Roman"/>
          <w:b/>
          <w:bCs/>
        </w:rPr>
        <w:t>Lower Power Dissipation</w:t>
      </w:r>
    </w:p>
    <w:p w14:paraId="5F675107" w14:textId="28F4907B" w:rsidR="005D652C" w:rsidRPr="008805F2" w:rsidRDefault="009B695C">
      <w:pPr>
        <w:numPr>
          <w:ilvl w:val="0"/>
          <w:numId w:val="2"/>
        </w:numPr>
        <w:rPr>
          <w:rFonts w:ascii="Times New Roman" w:eastAsia="Times New Roman" w:hAnsi="Times New Roman" w:cs="Times New Roman"/>
        </w:rPr>
      </w:pPr>
      <w:r w:rsidRPr="008805F2">
        <w:rPr>
          <w:rFonts w:ascii="Times New Roman" w:eastAsia="Times New Roman" w:hAnsi="Times New Roman" w:cs="Times New Roman"/>
          <w:b/>
          <w:bCs/>
        </w:rPr>
        <w:t>Higher Switching Speeds</w:t>
      </w:r>
    </w:p>
    <w:p w14:paraId="6DB03ECE" w14:textId="77777777" w:rsidR="008805F2" w:rsidRPr="008805F2" w:rsidRDefault="009B695C" w:rsidP="008805F2">
      <w:pPr>
        <w:numPr>
          <w:ilvl w:val="0"/>
          <w:numId w:val="2"/>
        </w:numPr>
        <w:spacing w:before="80" w:after="40"/>
        <w:jc w:val="both"/>
        <w:rPr>
          <w:rFonts w:ascii="Times New Roman" w:eastAsia="Times New Roman" w:hAnsi="Times New Roman" w:cs="Times New Roman"/>
          <w:b/>
          <w:bCs/>
          <w:color w:val="000000"/>
        </w:rPr>
      </w:pPr>
      <w:r w:rsidRPr="008805F2">
        <w:rPr>
          <w:rFonts w:ascii="Times New Roman" w:eastAsia="Times New Roman" w:hAnsi="Times New Roman" w:cs="Times New Roman"/>
          <w:b/>
          <w:bCs/>
        </w:rPr>
        <w:t>Nanometer Scalability</w:t>
      </w:r>
      <w:bookmarkStart w:id="3" w:name="_cd89juou3gu7" w:colFirst="0" w:colLast="0"/>
      <w:bookmarkEnd w:id="3"/>
    </w:p>
    <w:p w14:paraId="21ACD4EF" w14:textId="47E3152D" w:rsidR="005D652C" w:rsidRPr="008805F2" w:rsidRDefault="009B695C" w:rsidP="008805F2">
      <w:pPr>
        <w:spacing w:before="80" w:after="40"/>
        <w:jc w:val="both"/>
        <w:rPr>
          <w:rFonts w:ascii="Times New Roman" w:eastAsia="Times New Roman" w:hAnsi="Times New Roman" w:cs="Times New Roman"/>
          <w:b/>
          <w:bCs/>
          <w:color w:val="000000"/>
        </w:rPr>
      </w:pPr>
      <w:r w:rsidRPr="008805F2">
        <w:rPr>
          <w:rFonts w:ascii="Times New Roman" w:eastAsia="Times New Roman" w:hAnsi="Times New Roman" w:cs="Times New Roman"/>
          <w:b/>
          <w:bCs/>
          <w:color w:val="000000"/>
        </w:rPr>
        <w:t>1.2. Objective and Scope</w:t>
      </w:r>
    </w:p>
    <w:p w14:paraId="7E719569"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central objective of this research paper is to synthesize and critically analyze the existing body of research on QCA-based digital code converter circuits. Code converters are fundamental components in digital systems, enabling communication between subsystems that use different binary encoding schemes. A thorough understanding of their performance in a QCA framework is crucial for evaluating the technology's practical potential.</w:t>
      </w:r>
    </w:p>
    <w:p w14:paraId="667DCD03"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This analysis focuses on a comparative assessment of various design implementations for essential circuits, including:</w:t>
      </w:r>
    </w:p>
    <w:p w14:paraId="032ECD47" w14:textId="77777777" w:rsidR="005D652C" w:rsidRPr="008805F2" w:rsidRDefault="009B695C">
      <w:pPr>
        <w:numPr>
          <w:ilvl w:val="0"/>
          <w:numId w:val="4"/>
        </w:numPr>
        <w:spacing w:before="240"/>
        <w:rPr>
          <w:rFonts w:ascii="Times New Roman" w:eastAsia="Times New Roman" w:hAnsi="Times New Roman" w:cs="Times New Roman"/>
        </w:rPr>
      </w:pPr>
      <w:r w:rsidRPr="008805F2">
        <w:rPr>
          <w:rFonts w:ascii="Times New Roman" w:eastAsia="Times New Roman" w:hAnsi="Times New Roman" w:cs="Times New Roman"/>
        </w:rPr>
        <w:t>Binary-to-Gray Code Converters</w:t>
      </w:r>
    </w:p>
    <w:p w14:paraId="3585C076" w14:textId="77777777" w:rsidR="005D652C" w:rsidRPr="008805F2" w:rsidRDefault="009B695C">
      <w:pPr>
        <w:numPr>
          <w:ilvl w:val="0"/>
          <w:numId w:val="4"/>
        </w:numPr>
        <w:rPr>
          <w:rFonts w:ascii="Times New Roman" w:eastAsia="Times New Roman" w:hAnsi="Times New Roman" w:cs="Times New Roman"/>
        </w:rPr>
      </w:pPr>
      <w:r w:rsidRPr="008805F2">
        <w:rPr>
          <w:rFonts w:ascii="Times New Roman" w:eastAsia="Times New Roman" w:hAnsi="Times New Roman" w:cs="Times New Roman"/>
        </w:rPr>
        <w:t>Gray-to-Binary Code Converters</w:t>
      </w:r>
    </w:p>
    <w:p w14:paraId="67353407" w14:textId="77777777" w:rsidR="005D652C" w:rsidRPr="008805F2" w:rsidRDefault="009B695C">
      <w:pPr>
        <w:numPr>
          <w:ilvl w:val="0"/>
          <w:numId w:val="4"/>
        </w:numPr>
        <w:rPr>
          <w:rFonts w:ascii="Times New Roman" w:eastAsia="Times New Roman" w:hAnsi="Times New Roman" w:cs="Times New Roman"/>
        </w:rPr>
      </w:pPr>
      <w:r w:rsidRPr="008805F2">
        <w:rPr>
          <w:rFonts w:ascii="Times New Roman" w:eastAsia="Times New Roman" w:hAnsi="Times New Roman" w:cs="Times New Roman"/>
        </w:rPr>
        <w:t>Binary-Coded Decimal (BCD) to Excess-3 Converters</w:t>
      </w:r>
    </w:p>
    <w:p w14:paraId="7F19D41F" w14:textId="77777777" w:rsidR="005D652C" w:rsidRPr="008805F2" w:rsidRDefault="009B695C">
      <w:pPr>
        <w:numPr>
          <w:ilvl w:val="0"/>
          <w:numId w:val="4"/>
        </w:numPr>
        <w:spacing w:after="240"/>
        <w:rPr>
          <w:rFonts w:ascii="Times New Roman" w:eastAsia="Times New Roman" w:hAnsi="Times New Roman" w:cs="Times New Roman"/>
        </w:rPr>
      </w:pPr>
      <w:r w:rsidRPr="008805F2">
        <w:rPr>
          <w:rFonts w:ascii="Times New Roman" w:eastAsia="Times New Roman" w:hAnsi="Times New Roman" w:cs="Times New Roman"/>
        </w:rPr>
        <w:t>BCD-to-Gray Code Converters</w:t>
      </w:r>
    </w:p>
    <w:p w14:paraId="1CEB9277"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The comparison is grounded in key quantitative performance metrics that define circuit efficiency in the QCA paradigm: </w:t>
      </w:r>
      <w:r w:rsidRPr="008805F2">
        <w:rPr>
          <w:rFonts w:ascii="Times New Roman" w:eastAsia="Times New Roman" w:hAnsi="Times New Roman" w:cs="Times New Roman"/>
          <w:b/>
          <w:bCs/>
        </w:rPr>
        <w:t>cell count</w:t>
      </w:r>
      <w:r w:rsidRPr="008805F2">
        <w:rPr>
          <w:rFonts w:ascii="Times New Roman" w:eastAsia="Times New Roman" w:hAnsi="Times New Roman" w:cs="Times New Roman"/>
        </w:rPr>
        <w:t xml:space="preserve">, </w:t>
      </w:r>
      <w:r w:rsidRPr="008805F2">
        <w:rPr>
          <w:rFonts w:ascii="Times New Roman" w:eastAsia="Times New Roman" w:hAnsi="Times New Roman" w:cs="Times New Roman"/>
          <w:b/>
          <w:bCs/>
        </w:rPr>
        <w:t>occupied area</w:t>
      </w:r>
      <w:r w:rsidRPr="008805F2">
        <w:rPr>
          <w:rFonts w:ascii="Times New Roman" w:eastAsia="Times New Roman" w:hAnsi="Times New Roman" w:cs="Times New Roman"/>
        </w:rPr>
        <w:t xml:space="preserve">, and </w:t>
      </w:r>
      <w:r w:rsidRPr="008805F2">
        <w:rPr>
          <w:rFonts w:ascii="Times New Roman" w:eastAsia="Times New Roman" w:hAnsi="Times New Roman" w:cs="Times New Roman"/>
          <w:b/>
          <w:bCs/>
        </w:rPr>
        <w:t>latency</w:t>
      </w:r>
      <w:r w:rsidRPr="008805F2">
        <w:rPr>
          <w:rFonts w:ascii="Times New Roman" w:eastAsia="Times New Roman" w:hAnsi="Times New Roman" w:cs="Times New Roman"/>
        </w:rPr>
        <w:t xml:space="preserve"> (measured in clock cycles).</w:t>
      </w:r>
    </w:p>
    <w:p w14:paraId="145E939C"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4" w:name="_8wa76s1uxam2" w:colFirst="0" w:colLast="0"/>
      <w:bookmarkEnd w:id="4"/>
      <w:r w:rsidRPr="008805F2">
        <w:rPr>
          <w:rFonts w:ascii="Times New Roman" w:eastAsia="Times New Roman" w:hAnsi="Times New Roman" w:cs="Times New Roman"/>
          <w:b/>
          <w:bCs/>
          <w:color w:val="000000"/>
          <w:sz w:val="22"/>
          <w:szCs w:val="22"/>
        </w:rPr>
        <w:t>1.3. Paper Structure</w:t>
      </w:r>
    </w:p>
    <w:p w14:paraId="0B5179E1"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This paper is structured to guide the reader from fundamental concepts to a comprehensive comparative analysis. Section 2 provides an overview of the fundamentals of QCA, including the basic cell structure, logic implementation, and clocking. Section 3 analyzes the design of the XOR gate, a critical building block for many converters. Section 4 presents a focused comparison of Binary-to-Gray code converters, followed by a broader evaluation of other converter architectures in Section 5. Section 6 discusses the overarching trends and the impact of different design methodologies on circuit performance. Finally, Section 7 concludes the paper with a summary of findings and identifies promising directions for future research. This structured approach begins with an essential review of QCA's foundational principles.</w:t>
      </w:r>
    </w:p>
    <w:p w14:paraId="4FBD54AD"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5" w:name="_f1st7yvfnhql" w:colFirst="0" w:colLast="0"/>
      <w:bookmarkEnd w:id="5"/>
      <w:r w:rsidRPr="008805F2">
        <w:rPr>
          <w:rFonts w:ascii="Times New Roman" w:eastAsia="Times New Roman" w:hAnsi="Times New Roman" w:cs="Times New Roman"/>
          <w:b/>
          <w:bCs/>
          <w:color w:val="000000"/>
          <w:sz w:val="22"/>
          <w:szCs w:val="22"/>
        </w:rPr>
        <w:t>2. Fundamentals of Quantum-dot Cellular Automata (QCA)</w:t>
      </w:r>
    </w:p>
    <w:p w14:paraId="2D664392"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To fully appreciate the design and performance trade-offs of the circuits analyzed in this paper, it is essential to first understand the fundamental principles of QCA. This technology operates on mechanisms entirely different from conventional electronics. This section covers the basic QCA cell, the implementation of core logic functions, and the clocking mechanism that orchestrates the directional flow of information.</w:t>
      </w:r>
    </w:p>
    <w:p w14:paraId="473AFFE5"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6" w:name="_bjli4yf9570y" w:colFirst="0" w:colLast="0"/>
      <w:bookmarkEnd w:id="6"/>
      <w:r w:rsidRPr="008805F2">
        <w:rPr>
          <w:rFonts w:ascii="Times New Roman" w:eastAsia="Times New Roman" w:hAnsi="Times New Roman" w:cs="Times New Roman"/>
          <w:b/>
          <w:bCs/>
          <w:color w:val="000000"/>
          <w:sz w:val="22"/>
          <w:szCs w:val="22"/>
        </w:rPr>
        <w:t>2.1. The QCA Cell and Binary Encoding</w:t>
      </w:r>
    </w:p>
    <w:p w14:paraId="3D77D573"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The fundamental unit of a QCA circuit is the </w:t>
      </w:r>
      <w:r w:rsidRPr="008805F2">
        <w:rPr>
          <w:rFonts w:ascii="Times New Roman" w:eastAsia="Times New Roman" w:hAnsi="Times New Roman" w:cs="Times New Roman"/>
          <w:b/>
          <w:bCs/>
        </w:rPr>
        <w:t>QCA cell</w:t>
      </w:r>
      <w:r w:rsidRPr="008805F2">
        <w:rPr>
          <w:rFonts w:ascii="Times New Roman" w:eastAsia="Times New Roman" w:hAnsi="Times New Roman" w:cs="Times New Roman"/>
        </w:rPr>
        <w:t xml:space="preserve">. A standard cell consists of four quantum dots arranged in a square array, containing two mobile electrons. These electrons are capable of tunneling between the dots within the cell but cannot leave it. Due to electrostatic Coulombic repulsion, the two </w:t>
      </w:r>
      <w:r w:rsidRPr="008805F2">
        <w:rPr>
          <w:rFonts w:ascii="Times New Roman" w:eastAsia="Times New Roman" w:hAnsi="Times New Roman" w:cs="Times New Roman"/>
        </w:rPr>
        <w:lastRenderedPageBreak/>
        <w:t>electrons will always seek to maximize their separation, forcing them into one of two stable, energetically equivalent states where they occupy antipodal corners of the square.</w:t>
      </w:r>
    </w:p>
    <w:p w14:paraId="39446DC7"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These two distinct configurations encode binary information:</w:t>
      </w:r>
    </w:p>
    <w:p w14:paraId="11342C55" w14:textId="77777777" w:rsidR="005D652C" w:rsidRPr="008805F2" w:rsidRDefault="009B695C">
      <w:pPr>
        <w:numPr>
          <w:ilvl w:val="0"/>
          <w:numId w:val="3"/>
        </w:numPr>
        <w:spacing w:before="240"/>
        <w:rPr>
          <w:rFonts w:ascii="Times New Roman" w:eastAsia="Times New Roman" w:hAnsi="Times New Roman" w:cs="Times New Roman"/>
        </w:rPr>
      </w:pPr>
      <w:r w:rsidRPr="008805F2">
        <w:rPr>
          <w:rFonts w:ascii="Times New Roman" w:eastAsia="Times New Roman" w:hAnsi="Times New Roman" w:cs="Times New Roman"/>
          <w:b/>
          <w:bCs/>
        </w:rPr>
        <w:t>Polarization P = +1:</w:t>
      </w:r>
      <w:r w:rsidRPr="008805F2">
        <w:rPr>
          <w:rFonts w:ascii="Times New Roman" w:eastAsia="Times New Roman" w:hAnsi="Times New Roman" w:cs="Times New Roman"/>
        </w:rPr>
        <w:t xml:space="preserve"> Corresponds to binary logic '1'.</w:t>
      </w:r>
    </w:p>
    <w:p w14:paraId="199585D5" w14:textId="77777777" w:rsidR="005D652C" w:rsidRPr="008805F2" w:rsidRDefault="009B695C">
      <w:pPr>
        <w:numPr>
          <w:ilvl w:val="0"/>
          <w:numId w:val="3"/>
        </w:numPr>
        <w:spacing w:after="240"/>
        <w:rPr>
          <w:rFonts w:ascii="Times New Roman" w:eastAsia="Times New Roman" w:hAnsi="Times New Roman" w:cs="Times New Roman"/>
        </w:rPr>
      </w:pPr>
      <w:r w:rsidRPr="008805F2">
        <w:rPr>
          <w:rFonts w:ascii="Times New Roman" w:eastAsia="Times New Roman" w:hAnsi="Times New Roman" w:cs="Times New Roman"/>
          <w:b/>
          <w:bCs/>
        </w:rPr>
        <w:t>Polarization P = -1:</w:t>
      </w:r>
      <w:r w:rsidRPr="008805F2">
        <w:rPr>
          <w:rFonts w:ascii="Times New Roman" w:eastAsia="Times New Roman" w:hAnsi="Times New Roman" w:cs="Times New Roman"/>
        </w:rPr>
        <w:t xml:space="preserve"> Corresponds to binary logic '0'.</w:t>
      </w:r>
    </w:p>
    <w:p w14:paraId="183C04C3"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Crucially, in QCA, information is represented by the </w:t>
      </w:r>
      <w:r w:rsidRPr="008805F2">
        <w:rPr>
          <w:rFonts w:ascii="Times New Roman" w:eastAsia="Times New Roman" w:hAnsi="Times New Roman" w:cs="Times New Roman"/>
          <w:i/>
          <w:iCs/>
        </w:rPr>
        <w:t>position</w:t>
      </w:r>
      <w:r w:rsidRPr="008805F2">
        <w:rPr>
          <w:rFonts w:ascii="Times New Roman" w:eastAsia="Times New Roman" w:hAnsi="Times New Roman" w:cs="Times New Roman"/>
        </w:rPr>
        <w:t xml:space="preserve"> of electrons, not by the voltage or current levels that define logic states in CMOS. This is the core principle that enables its ultra-low-power operation.</w:t>
      </w:r>
    </w:p>
    <w:p w14:paraId="518F7226"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7" w:name="_3oeoy7v8swv7" w:colFirst="0" w:colLast="0"/>
      <w:bookmarkEnd w:id="7"/>
      <w:r w:rsidRPr="008805F2">
        <w:rPr>
          <w:rFonts w:ascii="Times New Roman" w:eastAsia="Times New Roman" w:hAnsi="Times New Roman" w:cs="Times New Roman"/>
          <w:b/>
          <w:bCs/>
          <w:color w:val="000000"/>
          <w:sz w:val="22"/>
          <w:szCs w:val="22"/>
        </w:rPr>
        <w:t>2.2. Fundamental Logic Primitives</w:t>
      </w:r>
    </w:p>
    <w:p w14:paraId="071AF652"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All complex combinational logic in QCA can be constructed from two fundamental logic primitives: the </w:t>
      </w:r>
      <w:r w:rsidRPr="008805F2">
        <w:rPr>
          <w:rFonts w:ascii="Times New Roman" w:eastAsia="Times New Roman" w:hAnsi="Times New Roman" w:cs="Times New Roman"/>
          <w:b/>
          <w:bCs/>
        </w:rPr>
        <w:t>Majority Gate (MG)</w:t>
      </w:r>
      <w:r w:rsidRPr="008805F2">
        <w:rPr>
          <w:rFonts w:ascii="Times New Roman" w:eastAsia="Times New Roman" w:hAnsi="Times New Roman" w:cs="Times New Roman"/>
        </w:rPr>
        <w:t xml:space="preserve"> and the </w:t>
      </w:r>
      <w:r w:rsidRPr="008805F2">
        <w:rPr>
          <w:rFonts w:ascii="Times New Roman" w:eastAsia="Times New Roman" w:hAnsi="Times New Roman" w:cs="Times New Roman"/>
          <w:b/>
          <w:bCs/>
        </w:rPr>
        <w:t>Inverter</w:t>
      </w:r>
      <w:r w:rsidRPr="008805F2">
        <w:rPr>
          <w:rFonts w:ascii="Times New Roman" w:eastAsia="Times New Roman" w:hAnsi="Times New Roman" w:cs="Times New Roman"/>
        </w:rPr>
        <w:t>.</w:t>
      </w:r>
    </w:p>
    <w:p w14:paraId="30686B73"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three-input Majority Gate is the primary logic element. Its output is determined by the polarization of the majority of its three inputs. The corresponding Boolean function is:</w:t>
      </w:r>
    </w:p>
    <w:p w14:paraId="30EEF571"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M(A, B, C) = AB + BC + AC</w:t>
      </w:r>
    </w:p>
    <w:p w14:paraId="5A4AC1A5"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This versatile gate can be programmed to perform simpler, more familiar logic functions. By fixing one of the inputs (the "programming" input) to a constant logic level, the Majority Gate can be configured as:</w:t>
      </w:r>
    </w:p>
    <w:p w14:paraId="00F3CFBB" w14:textId="3F91778B" w:rsidR="005D652C" w:rsidRPr="008805F2" w:rsidRDefault="009B695C">
      <w:pPr>
        <w:numPr>
          <w:ilvl w:val="0"/>
          <w:numId w:val="6"/>
        </w:numPr>
        <w:spacing w:before="240"/>
        <w:rPr>
          <w:rFonts w:ascii="Times New Roman" w:eastAsia="Times New Roman" w:hAnsi="Times New Roman" w:cs="Times New Roman"/>
        </w:rPr>
      </w:pPr>
      <w:r w:rsidRPr="008805F2">
        <w:rPr>
          <w:rFonts w:ascii="Times New Roman" w:eastAsia="Times New Roman" w:hAnsi="Times New Roman" w:cs="Times New Roman"/>
        </w:rPr>
        <w:t xml:space="preserve">A two-input </w:t>
      </w:r>
      <w:r w:rsidRPr="008805F2">
        <w:rPr>
          <w:rFonts w:ascii="Times New Roman" w:eastAsia="Times New Roman" w:hAnsi="Times New Roman" w:cs="Times New Roman"/>
          <w:b/>
          <w:bCs/>
        </w:rPr>
        <w:t>AND gate</w:t>
      </w:r>
      <w:r w:rsidRPr="008805F2">
        <w:rPr>
          <w:rFonts w:ascii="Times New Roman" w:eastAsia="Times New Roman" w:hAnsi="Times New Roman" w:cs="Times New Roman"/>
        </w:rPr>
        <w:t xml:space="preserve"> by setting one input to logic '0' (</w:t>
      </w:r>
      <w:r w:rsidR="000E02B8" w:rsidRPr="008805F2">
        <w:rPr>
          <w:rFonts w:ascii="Times New Roman" w:eastAsia="Times New Roman" w:hAnsi="Times New Roman" w:cs="Times New Roman"/>
        </w:rPr>
        <w:t>M (</w:t>
      </w:r>
      <w:r w:rsidRPr="008805F2">
        <w:rPr>
          <w:rFonts w:ascii="Times New Roman" w:eastAsia="Times New Roman" w:hAnsi="Times New Roman" w:cs="Times New Roman"/>
        </w:rPr>
        <w:t>A, B, 0) = AB).</w:t>
      </w:r>
    </w:p>
    <w:p w14:paraId="2474E4EB" w14:textId="63688745" w:rsidR="005D652C" w:rsidRPr="008805F2" w:rsidRDefault="009B695C">
      <w:pPr>
        <w:numPr>
          <w:ilvl w:val="0"/>
          <w:numId w:val="6"/>
        </w:numPr>
        <w:spacing w:after="240"/>
        <w:rPr>
          <w:rFonts w:ascii="Times New Roman" w:eastAsia="Times New Roman" w:hAnsi="Times New Roman" w:cs="Times New Roman"/>
        </w:rPr>
      </w:pPr>
      <w:r w:rsidRPr="008805F2">
        <w:rPr>
          <w:rFonts w:ascii="Times New Roman" w:eastAsia="Times New Roman" w:hAnsi="Times New Roman" w:cs="Times New Roman"/>
        </w:rPr>
        <w:t xml:space="preserve">A two-input </w:t>
      </w:r>
      <w:r w:rsidRPr="008805F2">
        <w:rPr>
          <w:rFonts w:ascii="Times New Roman" w:eastAsia="Times New Roman" w:hAnsi="Times New Roman" w:cs="Times New Roman"/>
          <w:b/>
          <w:bCs/>
        </w:rPr>
        <w:t>OR gate</w:t>
      </w:r>
      <w:r w:rsidRPr="008805F2">
        <w:rPr>
          <w:rFonts w:ascii="Times New Roman" w:eastAsia="Times New Roman" w:hAnsi="Times New Roman" w:cs="Times New Roman"/>
        </w:rPr>
        <w:t xml:space="preserve"> by setting one input to logic '1' (</w:t>
      </w:r>
      <w:r w:rsidR="000E02B8" w:rsidRPr="008805F2">
        <w:rPr>
          <w:rFonts w:ascii="Times New Roman" w:eastAsia="Times New Roman" w:hAnsi="Times New Roman" w:cs="Times New Roman"/>
        </w:rPr>
        <w:t>M (</w:t>
      </w:r>
      <w:r w:rsidRPr="008805F2">
        <w:rPr>
          <w:rFonts w:ascii="Times New Roman" w:eastAsia="Times New Roman" w:hAnsi="Times New Roman" w:cs="Times New Roman"/>
        </w:rPr>
        <w:t>A, B, 1) = A + B).</w:t>
      </w:r>
    </w:p>
    <w:p w14:paraId="337ED6C0"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Inverter, which performs the Boolean NOT operation, complements the Majority Gate. Together, they form a logically complete set, enabling the construction of any arbitrary Boolean function.</w:t>
      </w:r>
    </w:p>
    <w:p w14:paraId="24015EC1"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8" w:name="_2bv2ucvs3lx7" w:colFirst="0" w:colLast="0"/>
      <w:bookmarkEnd w:id="8"/>
      <w:r w:rsidRPr="008805F2">
        <w:rPr>
          <w:rFonts w:ascii="Times New Roman" w:eastAsia="Times New Roman" w:hAnsi="Times New Roman" w:cs="Times New Roman"/>
          <w:b/>
          <w:bCs/>
          <w:color w:val="000000"/>
          <w:sz w:val="22"/>
          <w:szCs w:val="22"/>
        </w:rPr>
        <w:t>2.3. Clocking, Interconnection, and Data Flow</w:t>
      </w:r>
    </w:p>
    <w:p w14:paraId="639CC985"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Unlike conventional circuits where a global clock triggers simultaneous state changes, QCA relies on a </w:t>
      </w:r>
      <w:r w:rsidRPr="008805F2">
        <w:rPr>
          <w:rFonts w:ascii="Times New Roman" w:eastAsia="Times New Roman" w:hAnsi="Times New Roman" w:cs="Times New Roman"/>
          <w:b/>
          <w:bCs/>
        </w:rPr>
        <w:t>Zone Clocking Scheme</w:t>
      </w:r>
      <w:r w:rsidRPr="008805F2">
        <w:rPr>
          <w:rFonts w:ascii="Times New Roman" w:eastAsia="Times New Roman" w:hAnsi="Times New Roman" w:cs="Times New Roman"/>
        </w:rPr>
        <w:t xml:space="preserve"> to control the direction of information flow and enable pipelined computation. The circuit layout is partitioned into distinct clocking zones, and each zone is driven by a periodic, four-phase clock signal. The four phases are:</w:t>
      </w:r>
    </w:p>
    <w:p w14:paraId="10EBECBE" w14:textId="059C024C" w:rsidR="005D652C" w:rsidRPr="008805F2" w:rsidRDefault="009B695C">
      <w:pPr>
        <w:numPr>
          <w:ilvl w:val="0"/>
          <w:numId w:val="1"/>
        </w:numPr>
        <w:spacing w:before="240"/>
        <w:rPr>
          <w:rFonts w:ascii="Times New Roman" w:eastAsia="Times New Roman" w:hAnsi="Times New Roman" w:cs="Times New Roman"/>
        </w:rPr>
      </w:pPr>
      <w:r w:rsidRPr="008805F2">
        <w:rPr>
          <w:rFonts w:ascii="Times New Roman" w:eastAsia="Times New Roman" w:hAnsi="Times New Roman" w:cs="Times New Roman"/>
          <w:b/>
          <w:bCs/>
        </w:rPr>
        <w:t>Switch</w:t>
      </w:r>
    </w:p>
    <w:p w14:paraId="45E5E2BB" w14:textId="388FD6FD" w:rsidR="005D652C" w:rsidRPr="008805F2" w:rsidRDefault="009B695C">
      <w:pPr>
        <w:numPr>
          <w:ilvl w:val="0"/>
          <w:numId w:val="1"/>
        </w:numPr>
        <w:rPr>
          <w:rFonts w:ascii="Times New Roman" w:eastAsia="Times New Roman" w:hAnsi="Times New Roman" w:cs="Times New Roman"/>
        </w:rPr>
      </w:pPr>
      <w:r w:rsidRPr="008805F2">
        <w:rPr>
          <w:rFonts w:ascii="Times New Roman" w:eastAsia="Times New Roman" w:hAnsi="Times New Roman" w:cs="Times New Roman"/>
          <w:b/>
          <w:bCs/>
        </w:rPr>
        <w:t>Hold</w:t>
      </w:r>
    </w:p>
    <w:p w14:paraId="1F37F222" w14:textId="49B2F1D6" w:rsidR="005D652C" w:rsidRPr="008805F2" w:rsidRDefault="009B695C">
      <w:pPr>
        <w:numPr>
          <w:ilvl w:val="0"/>
          <w:numId w:val="1"/>
        </w:numPr>
        <w:rPr>
          <w:rFonts w:ascii="Times New Roman" w:eastAsia="Times New Roman" w:hAnsi="Times New Roman" w:cs="Times New Roman"/>
        </w:rPr>
      </w:pPr>
      <w:r w:rsidRPr="008805F2">
        <w:rPr>
          <w:rFonts w:ascii="Times New Roman" w:eastAsia="Times New Roman" w:hAnsi="Times New Roman" w:cs="Times New Roman"/>
          <w:b/>
          <w:bCs/>
        </w:rPr>
        <w:t>Release</w:t>
      </w:r>
    </w:p>
    <w:p w14:paraId="4050BFCB" w14:textId="70F47270" w:rsidR="005D652C" w:rsidRPr="008805F2" w:rsidRDefault="009B695C">
      <w:pPr>
        <w:numPr>
          <w:ilvl w:val="0"/>
          <w:numId w:val="1"/>
        </w:numPr>
        <w:spacing w:after="240"/>
        <w:rPr>
          <w:rFonts w:ascii="Times New Roman" w:eastAsia="Times New Roman" w:hAnsi="Times New Roman" w:cs="Times New Roman"/>
        </w:rPr>
      </w:pPr>
      <w:r w:rsidRPr="008805F2">
        <w:rPr>
          <w:rFonts w:ascii="Times New Roman" w:eastAsia="Times New Roman" w:hAnsi="Times New Roman" w:cs="Times New Roman"/>
          <w:b/>
          <w:bCs/>
        </w:rPr>
        <w:t>Relax</w:t>
      </w:r>
      <w:r w:rsidRPr="008805F2">
        <w:rPr>
          <w:rFonts w:ascii="Times New Roman" w:eastAsia="Times New Roman" w:hAnsi="Times New Roman" w:cs="Times New Roman"/>
        </w:rPr>
        <w:t>.</w:t>
      </w:r>
    </w:p>
    <w:p w14:paraId="74DAA67C"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This four-phase system ensures that data propagates in a controlled, pipelined manner, with each clock zone acting like a D-latch. Furthermore, QCA cells perform the dual function of logic structures and interconnections (wires). Data is transmitted along a line of cells through local Coulombic interactions. Wire crossovers, a critical aspect of complex circuit design, can be implemented using either coplanar or multilayer layouts. These fundamental concepts are combined to build essential logic blocks, such as the XOR gate, which serves as a cornerstone for many digital circuits.</w:t>
      </w:r>
    </w:p>
    <w:p w14:paraId="0331D7CA"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9" w:name="_d61l0z2ztgag" w:colFirst="0" w:colLast="0"/>
      <w:bookmarkEnd w:id="9"/>
      <w:r w:rsidRPr="008805F2">
        <w:rPr>
          <w:rFonts w:ascii="Times New Roman" w:eastAsia="Times New Roman" w:hAnsi="Times New Roman" w:cs="Times New Roman"/>
          <w:b/>
          <w:bCs/>
          <w:color w:val="000000"/>
          <w:sz w:val="22"/>
          <w:szCs w:val="22"/>
        </w:rPr>
        <w:t>3. Analysis of QCA-based XOR Gate Designs</w:t>
      </w:r>
    </w:p>
    <w:p w14:paraId="2A3013DC"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Exclusive-OR (XOR) gate is a critical building block for a wide range of digital circuits, including adders, parity generators, and, most relevantly for this paper, code converters. The efficiency of the XOR gate design—in terms of its physical size, component count, and processing speed—has a direct and significant impact on the overall performance of any larger circuit that employs it. Therefore, an analysis of XOR gate implementations provides a foundational understanding of the performance variations seen in more complex QCA architectures.</w:t>
      </w:r>
    </w:p>
    <w:p w14:paraId="1176B099" w14:textId="77777777" w:rsidR="005D652C" w:rsidRPr="008805F2" w:rsidRDefault="005D652C">
      <w:pPr>
        <w:spacing w:after="200"/>
        <w:jc w:val="both"/>
        <w:rPr>
          <w:rFonts w:ascii="Times New Roman" w:eastAsia="Times New Roman" w:hAnsi="Times New Roman" w:cs="Times New Roman"/>
        </w:rPr>
      </w:pPr>
    </w:p>
    <w:p w14:paraId="1161A79D"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0" w:name="_kjp7vj35c9qh" w:colFirst="0" w:colLast="0"/>
      <w:bookmarkEnd w:id="10"/>
      <w:r w:rsidRPr="008805F2">
        <w:rPr>
          <w:rFonts w:ascii="Times New Roman" w:eastAsia="Times New Roman" w:hAnsi="Times New Roman" w:cs="Times New Roman"/>
          <w:b/>
          <w:bCs/>
          <w:color w:val="000000"/>
          <w:sz w:val="22"/>
          <w:szCs w:val="22"/>
        </w:rPr>
        <w:t>3.1. Architectural Comparison</w:t>
      </w:r>
    </w:p>
    <w:p w14:paraId="6A67F731"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Early QCA designs for the XOR gate were often direct translations of CMOS logic. For example, the design presented by Guleria (2017) is composed of OR, AND, and inverter gates, which are themselves implemented using multiple QCA majority gates. While functional, this approach often leads to suboptimal designs with high cell counts and latency.</w:t>
      </w:r>
    </w:p>
    <w:p w14:paraId="318305BE" w14:textId="77777777" w:rsidR="005D652C"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More recent research, such as the work by Khakpour et al. (2020), has focused on creating more compact and efficient XOR gates by optimizing the logic at the QCA cell level. Their design uses a more direct implementation that minimizes the number of majority gates and interconnecting wires, resulting in a significantly improved architecture. The performance differences are summarized in the table below.</w:t>
      </w:r>
    </w:p>
    <w:p w14:paraId="339DF70C" w14:textId="77777777" w:rsidR="000E02B8" w:rsidRPr="008805F2" w:rsidRDefault="000E02B8">
      <w:pPr>
        <w:spacing w:after="200"/>
        <w:jc w:val="both"/>
        <w:rPr>
          <w:rFonts w:ascii="Times New Roman" w:eastAsia="Times New Roman" w:hAnsi="Times New Roman" w:cs="Times New Roman"/>
        </w:rPr>
      </w:pPr>
    </w:p>
    <w:tbl>
      <w:tblPr>
        <w:tblStyle w:val="a"/>
        <w:tblW w:w="5427" w:type="dxa"/>
        <w:tblInd w:w="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554"/>
        <w:gridCol w:w="1413"/>
        <w:gridCol w:w="2460"/>
      </w:tblGrid>
      <w:tr w:rsidR="005D652C" w:rsidRPr="008805F2" w14:paraId="2C675147" w14:textId="77777777" w:rsidTr="008805F2">
        <w:trPr>
          <w:trHeight w:val="662"/>
        </w:trPr>
        <w:tc>
          <w:tcPr>
            <w:tcW w:w="155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A8015EE"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Metric</w:t>
            </w:r>
          </w:p>
        </w:tc>
        <w:tc>
          <w:tcPr>
            <w:tcW w:w="141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ED5FF02"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Guleria (2017)</w:t>
            </w:r>
          </w:p>
        </w:tc>
        <w:tc>
          <w:tcPr>
            <w:tcW w:w="2460"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2A4EEBB"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Khakpour et al. (2020)</w:t>
            </w:r>
          </w:p>
        </w:tc>
      </w:tr>
      <w:tr w:rsidR="005D652C" w:rsidRPr="008805F2" w14:paraId="12418536" w14:textId="77777777" w:rsidTr="008805F2">
        <w:trPr>
          <w:trHeight w:val="449"/>
        </w:trPr>
        <w:tc>
          <w:tcPr>
            <w:tcW w:w="155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2A5E65D"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Cell Count</w:t>
            </w:r>
          </w:p>
        </w:tc>
        <w:tc>
          <w:tcPr>
            <w:tcW w:w="141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18341E6" w14:textId="75AF1843" w:rsidR="005D652C" w:rsidRPr="008805F2" w:rsidRDefault="00087883" w:rsidP="00166E11">
            <w:pPr>
              <w:jc w:val="center"/>
              <w:rPr>
                <w:rFonts w:ascii="Times New Roman" w:eastAsia="Times New Roman" w:hAnsi="Times New Roman" w:cs="Times New Roman"/>
              </w:rPr>
            </w:pPr>
            <w:r w:rsidRPr="008805F2">
              <w:rPr>
                <w:rFonts w:ascii="Times New Roman" w:eastAsia="Times New Roman" w:hAnsi="Times New Roman" w:cs="Times New Roman"/>
              </w:rPr>
              <w:t>51</w:t>
            </w:r>
          </w:p>
        </w:tc>
        <w:tc>
          <w:tcPr>
            <w:tcW w:w="2460"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383CC4E" w14:textId="5942B8CD" w:rsidR="005D652C" w:rsidRPr="008805F2" w:rsidRDefault="00D662D9" w:rsidP="00166E11">
            <w:pPr>
              <w:jc w:val="center"/>
              <w:rPr>
                <w:rFonts w:ascii="Times New Roman" w:eastAsia="Times New Roman" w:hAnsi="Times New Roman" w:cs="Times New Roman"/>
              </w:rPr>
            </w:pPr>
            <w:r w:rsidRPr="008805F2">
              <w:rPr>
                <w:rFonts w:ascii="Times New Roman" w:eastAsia="Times New Roman" w:hAnsi="Times New Roman" w:cs="Times New Roman"/>
              </w:rPr>
              <w:t>20 (First proposed)</w:t>
            </w:r>
          </w:p>
        </w:tc>
      </w:tr>
      <w:tr w:rsidR="005D652C" w:rsidRPr="008805F2" w14:paraId="5BBD5115" w14:textId="77777777" w:rsidTr="008805F2">
        <w:trPr>
          <w:trHeight w:val="460"/>
        </w:trPr>
        <w:tc>
          <w:tcPr>
            <w:tcW w:w="155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6A0226C"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Occupied Area (µm²)</w:t>
            </w:r>
          </w:p>
        </w:tc>
        <w:tc>
          <w:tcPr>
            <w:tcW w:w="141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8557B76" w14:textId="6FB8710D" w:rsidR="005D652C" w:rsidRPr="008805F2" w:rsidRDefault="00087883" w:rsidP="00166E11">
            <w:pPr>
              <w:jc w:val="center"/>
              <w:rPr>
                <w:rFonts w:ascii="Times New Roman" w:eastAsia="Times New Roman" w:hAnsi="Times New Roman" w:cs="Times New Roman"/>
              </w:rPr>
            </w:pPr>
            <w:r w:rsidRPr="008805F2">
              <w:rPr>
                <w:rFonts w:ascii="Times New Roman" w:eastAsia="Times New Roman" w:hAnsi="Times New Roman" w:cs="Times New Roman"/>
              </w:rPr>
              <w:t>0.08</w:t>
            </w:r>
          </w:p>
        </w:tc>
        <w:tc>
          <w:tcPr>
            <w:tcW w:w="2460"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26E4798" w14:textId="11D60519" w:rsidR="005D652C" w:rsidRPr="008805F2" w:rsidRDefault="00D662D9" w:rsidP="00166E11">
            <w:pPr>
              <w:jc w:val="center"/>
              <w:rPr>
                <w:rFonts w:ascii="Times New Roman" w:eastAsia="Times New Roman" w:hAnsi="Times New Roman" w:cs="Times New Roman"/>
              </w:rPr>
            </w:pPr>
            <w:r>
              <w:rPr>
                <w:rFonts w:ascii="Times New Roman" w:eastAsia="Times New Roman" w:hAnsi="Times New Roman" w:cs="Times New Roman"/>
              </w:rPr>
              <w:t>N</w:t>
            </w:r>
            <w:r w:rsidRPr="008805F2">
              <w:rPr>
                <w:rFonts w:ascii="Times New Roman" w:eastAsia="Times New Roman" w:hAnsi="Times New Roman" w:cs="Times New Roman"/>
              </w:rPr>
              <w:t>ot Specified</w:t>
            </w:r>
          </w:p>
        </w:tc>
      </w:tr>
      <w:tr w:rsidR="005D652C" w:rsidRPr="008805F2" w14:paraId="1A15AF8B" w14:textId="77777777" w:rsidTr="008805F2">
        <w:trPr>
          <w:trHeight w:val="449"/>
        </w:trPr>
        <w:tc>
          <w:tcPr>
            <w:tcW w:w="155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8DC7BAF"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Latency (Cycles)</w:t>
            </w:r>
          </w:p>
        </w:tc>
        <w:tc>
          <w:tcPr>
            <w:tcW w:w="141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D81A605" w14:textId="5A8E4FD8" w:rsidR="005D652C" w:rsidRPr="008805F2" w:rsidRDefault="00087883" w:rsidP="00166E11">
            <w:pPr>
              <w:jc w:val="center"/>
              <w:rPr>
                <w:rFonts w:ascii="Times New Roman" w:eastAsia="Times New Roman" w:hAnsi="Times New Roman" w:cs="Times New Roman"/>
              </w:rPr>
            </w:pPr>
            <w:r w:rsidRPr="008805F2">
              <w:rPr>
                <w:rFonts w:ascii="Times New Roman" w:eastAsia="Times New Roman" w:hAnsi="Times New Roman" w:cs="Times New Roman"/>
              </w:rPr>
              <w:t>1.0</w:t>
            </w:r>
          </w:p>
        </w:tc>
        <w:tc>
          <w:tcPr>
            <w:tcW w:w="2460"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1CABF32" w14:textId="209A016A" w:rsidR="005D652C" w:rsidRPr="008805F2" w:rsidRDefault="00D662D9" w:rsidP="00166E11">
            <w:pPr>
              <w:jc w:val="center"/>
              <w:rPr>
                <w:rFonts w:ascii="Times New Roman" w:eastAsia="Times New Roman" w:hAnsi="Times New Roman" w:cs="Times New Roman"/>
              </w:rPr>
            </w:pPr>
            <w:r>
              <w:rPr>
                <w:rFonts w:ascii="Times New Roman" w:eastAsia="Times New Roman" w:hAnsi="Times New Roman" w:cs="Times New Roman"/>
              </w:rPr>
              <w:t>0</w:t>
            </w:r>
            <w:r w:rsidRPr="008805F2">
              <w:rPr>
                <w:rFonts w:ascii="Times New Roman" w:eastAsia="Times New Roman" w:hAnsi="Times New Roman" w:cs="Times New Roman"/>
              </w:rPr>
              <w:t>.75</w:t>
            </w:r>
          </w:p>
        </w:tc>
      </w:tr>
    </w:tbl>
    <w:p w14:paraId="7E9DD462" w14:textId="12221C1E"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1" w:name="_c311y2p4pqad" w:colFirst="0" w:colLast="0"/>
      <w:bookmarkStart w:id="12" w:name="_lmhf3qiautji" w:colFirst="0" w:colLast="0"/>
      <w:bookmarkEnd w:id="11"/>
      <w:bookmarkEnd w:id="12"/>
      <w:r w:rsidRPr="008805F2">
        <w:rPr>
          <w:rFonts w:ascii="Times New Roman" w:eastAsia="Times New Roman" w:hAnsi="Times New Roman" w:cs="Times New Roman"/>
          <w:b/>
          <w:bCs/>
          <w:color w:val="000000"/>
          <w:sz w:val="22"/>
          <w:szCs w:val="22"/>
        </w:rPr>
        <w:t>3.2. Performance Implications</w:t>
      </w:r>
    </w:p>
    <w:p w14:paraId="07E9BB9A" w14:textId="171F9846"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The data clearly demonstrates the impact of architectural optimization. The design from Khakpour et al. represents a substantial improvement over the earlier implementation, achieving a </w:t>
      </w:r>
      <w:r w:rsidRPr="008805F2">
        <w:rPr>
          <w:rFonts w:ascii="Times New Roman" w:eastAsia="Times New Roman" w:hAnsi="Times New Roman" w:cs="Times New Roman"/>
          <w:b/>
          <w:bCs/>
        </w:rPr>
        <w:t>reduction in cell count of over 60%</w:t>
      </w:r>
      <w:r w:rsidRPr="008805F2">
        <w:rPr>
          <w:rFonts w:ascii="Times New Roman" w:eastAsia="Times New Roman" w:hAnsi="Times New Roman" w:cs="Times New Roman"/>
        </w:rPr>
        <w:t xml:space="preserve"> and a </w:t>
      </w:r>
      <w:r w:rsidRPr="008805F2">
        <w:rPr>
          <w:rFonts w:ascii="Times New Roman" w:eastAsia="Times New Roman" w:hAnsi="Times New Roman" w:cs="Times New Roman"/>
          <w:b/>
          <w:bCs/>
        </w:rPr>
        <w:t>25% decrease in latency</w:t>
      </w:r>
      <w:r w:rsidRPr="008805F2">
        <w:rPr>
          <w:rFonts w:ascii="Times New Roman" w:eastAsia="Times New Roman" w:hAnsi="Times New Roman" w:cs="Times New Roman"/>
        </w:rPr>
        <w:t>. This highlights a critical trend in QCA research: moving beyond simple CMOS-to-QCA translations toward designs that are natively optimized for the QCA paradigm. These highly efficient building blocks are then used to construct more complex systems, such as the Binary-to-</w:t>
      </w:r>
      <w:r w:rsidR="000E02B8"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code converters discussed in the next section.</w:t>
      </w:r>
    </w:p>
    <w:p w14:paraId="2CCEAA22"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13" w:name="_iptykx2dyrv0" w:colFirst="0" w:colLast="0"/>
      <w:bookmarkEnd w:id="13"/>
      <w:r w:rsidRPr="008805F2">
        <w:rPr>
          <w:rFonts w:ascii="Times New Roman" w:eastAsia="Times New Roman" w:hAnsi="Times New Roman" w:cs="Times New Roman"/>
          <w:b/>
          <w:bCs/>
          <w:color w:val="000000"/>
          <w:sz w:val="22"/>
          <w:szCs w:val="22"/>
        </w:rPr>
        <w:t>4. Comparative Analysis of Binary-to-Gray Code Converters</w:t>
      </w:r>
    </w:p>
    <w:p w14:paraId="0F61B41E" w14:textId="3DE9C75C"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Binary-to-</w:t>
      </w:r>
      <w:r w:rsidR="000E02B8"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code converters are essential components in digital systems, particularly in applications like rotary encoders and state machines, where they help prevent transient errors by ensuring that only </w:t>
      </w:r>
      <w:r w:rsidR="000E02B8" w:rsidRPr="008805F2">
        <w:rPr>
          <w:rFonts w:ascii="Times New Roman" w:eastAsia="Times New Roman" w:hAnsi="Times New Roman" w:cs="Times New Roman"/>
        </w:rPr>
        <w:t>one-bit</w:t>
      </w:r>
      <w:r w:rsidRPr="008805F2">
        <w:rPr>
          <w:rFonts w:ascii="Times New Roman" w:eastAsia="Times New Roman" w:hAnsi="Times New Roman" w:cs="Times New Roman"/>
        </w:rPr>
        <w:t xml:space="preserve"> changes between consecutive values. As a common benchmark circuit, the QCA implementation of this converter provides an excellent case </w:t>
      </w:r>
      <w:r w:rsidRPr="008805F2">
        <w:rPr>
          <w:rFonts w:ascii="Times New Roman" w:eastAsia="Times New Roman" w:hAnsi="Times New Roman" w:cs="Times New Roman"/>
        </w:rPr>
        <w:lastRenderedPageBreak/>
        <w:t>study for assessing the impact of design efficiency at both the gate and system levels.</w:t>
      </w:r>
    </w:p>
    <w:p w14:paraId="3247AD9A"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4" w:name="_wl5msy2irj3p" w:colFirst="0" w:colLast="0"/>
      <w:bookmarkEnd w:id="14"/>
      <w:r w:rsidRPr="008805F2">
        <w:rPr>
          <w:rFonts w:ascii="Times New Roman" w:eastAsia="Times New Roman" w:hAnsi="Times New Roman" w:cs="Times New Roman"/>
          <w:b/>
          <w:bCs/>
          <w:color w:val="000000"/>
          <w:sz w:val="22"/>
          <w:szCs w:val="22"/>
        </w:rPr>
        <w:t>4.1. Design Architectures and Performance Metrics</w:t>
      </w:r>
    </w:p>
    <w:p w14:paraId="02DBCA76"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Different research efforts have produced QCA-based Binary-to-Gray converters with vastly different performance characteristics, largely dependent on the underlying logic gates used.</w:t>
      </w:r>
    </w:p>
    <w:p w14:paraId="44F2B85B"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4-bit converter design proposed by Guleria (2017) is constructed from three of their previously detailed XOR gate designs, resulting in a total circuit composition of 9 majority gates and 3 inverters, and it utilizes multilayer crossovers for signal routing. In contrast, the design from Khakpour et al. (2020) is built using their more compact and faster XOR gate. This architectural choice at the component level translates directly into system-level performance gains, as detailed in the comparison table below.</w:t>
      </w:r>
    </w:p>
    <w:tbl>
      <w:tblPr>
        <w:tblStyle w:val="a0"/>
        <w:tblW w:w="5494" w:type="dxa"/>
        <w:tblInd w:w="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792"/>
        <w:gridCol w:w="1393"/>
        <w:gridCol w:w="2309"/>
      </w:tblGrid>
      <w:tr w:rsidR="005D652C" w:rsidRPr="008805F2" w14:paraId="28706403" w14:textId="77777777" w:rsidTr="00166E11">
        <w:trPr>
          <w:trHeight w:val="447"/>
        </w:trPr>
        <w:tc>
          <w:tcPr>
            <w:tcW w:w="179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E974A56" w14:textId="4F350138" w:rsidR="005D652C" w:rsidRPr="008805F2" w:rsidRDefault="00BB5CC9" w:rsidP="00166E11">
            <w:pPr>
              <w:jc w:val="center"/>
              <w:rPr>
                <w:rFonts w:ascii="Times New Roman" w:eastAsia="Times New Roman" w:hAnsi="Times New Roman" w:cs="Times New Roman"/>
                <w:b/>
                <w:bCs/>
              </w:rPr>
            </w:pPr>
            <w:r>
              <w:rPr>
                <w:rFonts w:ascii="Times New Roman" w:eastAsia="Times New Roman" w:hAnsi="Times New Roman" w:cs="Times New Roman"/>
                <w:b/>
                <w:bCs/>
              </w:rPr>
              <w:t>M</w:t>
            </w:r>
            <w:r w:rsidR="009B695C" w:rsidRPr="008805F2">
              <w:rPr>
                <w:rFonts w:ascii="Times New Roman" w:eastAsia="Times New Roman" w:hAnsi="Times New Roman" w:cs="Times New Roman"/>
                <w:b/>
                <w:bCs/>
              </w:rPr>
              <w:t>etric</w:t>
            </w:r>
          </w:p>
        </w:tc>
        <w:tc>
          <w:tcPr>
            <w:tcW w:w="139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D0B9676" w14:textId="19DA10F7" w:rsidR="005D652C" w:rsidRPr="008805F2" w:rsidRDefault="0038688E" w:rsidP="00166E11">
            <w:pPr>
              <w:jc w:val="center"/>
              <w:rPr>
                <w:rFonts w:ascii="Times New Roman" w:eastAsia="Times New Roman" w:hAnsi="Times New Roman" w:cs="Times New Roman"/>
                <w:b/>
                <w:bCs/>
              </w:rPr>
            </w:pPr>
            <w:r>
              <w:rPr>
                <w:rFonts w:ascii="Times New Roman" w:eastAsia="Times New Roman" w:hAnsi="Times New Roman" w:cs="Times New Roman"/>
                <w:b/>
                <w:bCs/>
              </w:rPr>
              <w:t>Guleria (</w:t>
            </w:r>
            <w:r w:rsidR="009E31BA">
              <w:rPr>
                <w:rFonts w:ascii="Times New Roman" w:eastAsia="Times New Roman" w:hAnsi="Times New Roman" w:cs="Times New Roman"/>
                <w:b/>
                <w:bCs/>
              </w:rPr>
              <w:t>2017)</w:t>
            </w:r>
          </w:p>
        </w:tc>
        <w:tc>
          <w:tcPr>
            <w:tcW w:w="2309"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098292C"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Khakpour et al. (2020)</w:t>
            </w:r>
          </w:p>
        </w:tc>
      </w:tr>
      <w:tr w:rsidR="005D652C" w:rsidRPr="008805F2" w14:paraId="717106C5" w14:textId="77777777" w:rsidTr="00166E11">
        <w:trPr>
          <w:trHeight w:val="302"/>
        </w:trPr>
        <w:tc>
          <w:tcPr>
            <w:tcW w:w="179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AB9978F"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Cell Count</w:t>
            </w:r>
          </w:p>
        </w:tc>
        <w:tc>
          <w:tcPr>
            <w:tcW w:w="139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F84C4D" w14:textId="3F7CA6A6"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225</w:t>
            </w:r>
          </w:p>
        </w:tc>
        <w:tc>
          <w:tcPr>
            <w:tcW w:w="2309"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C93E97C" w14:textId="2C11F7F6"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99</w:t>
            </w:r>
          </w:p>
        </w:tc>
      </w:tr>
      <w:tr w:rsidR="005D652C" w:rsidRPr="008805F2" w14:paraId="58D91056" w14:textId="77777777" w:rsidTr="00166E11">
        <w:trPr>
          <w:trHeight w:val="309"/>
        </w:trPr>
        <w:tc>
          <w:tcPr>
            <w:tcW w:w="179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81DB3C5" w14:textId="371E4B44"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Occupied</w:t>
            </w:r>
            <w:r w:rsidR="00BB5CC9">
              <w:rPr>
                <w:rFonts w:ascii="Times New Roman" w:eastAsia="Times New Roman" w:hAnsi="Times New Roman" w:cs="Times New Roman"/>
                <w:b/>
                <w:bCs/>
              </w:rPr>
              <w:t xml:space="preserve"> A</w:t>
            </w:r>
            <w:r w:rsidRPr="008805F2">
              <w:rPr>
                <w:rFonts w:ascii="Times New Roman" w:eastAsia="Times New Roman" w:hAnsi="Times New Roman" w:cs="Times New Roman"/>
                <w:b/>
                <w:bCs/>
              </w:rPr>
              <w:t>rea(µm²)</w:t>
            </w:r>
          </w:p>
        </w:tc>
        <w:tc>
          <w:tcPr>
            <w:tcW w:w="139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6865E50" w14:textId="4862610C"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0.43</w:t>
            </w:r>
          </w:p>
        </w:tc>
        <w:tc>
          <w:tcPr>
            <w:tcW w:w="2309"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BDD036C" w14:textId="0131EA8C"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Not Specified</w:t>
            </w:r>
          </w:p>
        </w:tc>
      </w:tr>
      <w:tr w:rsidR="005D652C" w:rsidRPr="008805F2" w14:paraId="696E77B8" w14:textId="77777777" w:rsidTr="00166E11">
        <w:trPr>
          <w:trHeight w:val="302"/>
        </w:trPr>
        <w:tc>
          <w:tcPr>
            <w:tcW w:w="179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A54A5BC" w14:textId="77777777" w:rsidR="005D652C" w:rsidRPr="008805F2" w:rsidRDefault="009B695C"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Latency (Cycles)</w:t>
            </w:r>
          </w:p>
        </w:tc>
        <w:tc>
          <w:tcPr>
            <w:tcW w:w="139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66E5C1" w14:textId="72FFA086"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1.0</w:t>
            </w:r>
          </w:p>
        </w:tc>
        <w:tc>
          <w:tcPr>
            <w:tcW w:w="2309"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288E964" w14:textId="53BE2034" w:rsidR="005D652C" w:rsidRPr="008805F2" w:rsidRDefault="009B695C" w:rsidP="00166E11">
            <w:pPr>
              <w:jc w:val="center"/>
              <w:rPr>
                <w:rFonts w:ascii="Times New Roman" w:eastAsia="Times New Roman" w:hAnsi="Times New Roman" w:cs="Times New Roman"/>
              </w:rPr>
            </w:pPr>
            <w:r w:rsidRPr="008805F2">
              <w:rPr>
                <w:rFonts w:ascii="Times New Roman" w:eastAsia="Times New Roman" w:hAnsi="Times New Roman" w:cs="Times New Roman"/>
              </w:rPr>
              <w:t>0.75</w:t>
            </w:r>
          </w:p>
        </w:tc>
      </w:tr>
    </w:tbl>
    <w:p w14:paraId="4DF3B83E"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5" w:name="_hjgqixodxqa9" w:colFirst="0" w:colLast="0"/>
      <w:bookmarkEnd w:id="15"/>
      <w:r w:rsidRPr="008805F2">
        <w:rPr>
          <w:rFonts w:ascii="Times New Roman" w:eastAsia="Times New Roman" w:hAnsi="Times New Roman" w:cs="Times New Roman"/>
          <w:b/>
          <w:bCs/>
          <w:color w:val="000000"/>
          <w:sz w:val="22"/>
          <w:szCs w:val="22"/>
        </w:rPr>
        <w:t xml:space="preserve"> </w:t>
      </w:r>
    </w:p>
    <w:p w14:paraId="19EFF9AB"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6" w:name="_89wcv98uy6nu" w:colFirst="0" w:colLast="0"/>
      <w:bookmarkEnd w:id="16"/>
      <w:r w:rsidRPr="008805F2">
        <w:rPr>
          <w:rFonts w:ascii="Times New Roman" w:eastAsia="Times New Roman" w:hAnsi="Times New Roman" w:cs="Times New Roman"/>
          <w:b/>
          <w:bCs/>
          <w:color w:val="000000"/>
          <w:sz w:val="22"/>
          <w:szCs w:val="22"/>
        </w:rPr>
        <w:t>4.2. Evaluation of Efficiency</w:t>
      </w:r>
    </w:p>
    <w:p w14:paraId="2649D21D"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The comparative data reveals substantial performance improvements in the more recent design by Khakpour et al. Their architecture achieves a </w:t>
      </w:r>
      <w:r w:rsidRPr="008805F2">
        <w:rPr>
          <w:rFonts w:ascii="Times New Roman" w:eastAsia="Times New Roman" w:hAnsi="Times New Roman" w:cs="Times New Roman"/>
          <w:b/>
          <w:bCs/>
        </w:rPr>
        <w:t>cell count reduction of approximately 56%</w:t>
      </w:r>
      <w:r w:rsidRPr="008805F2">
        <w:rPr>
          <w:rFonts w:ascii="Times New Roman" w:eastAsia="Times New Roman" w:hAnsi="Times New Roman" w:cs="Times New Roman"/>
        </w:rPr>
        <w:t xml:space="preserve"> and a </w:t>
      </w:r>
      <w:r w:rsidRPr="008805F2">
        <w:rPr>
          <w:rFonts w:ascii="Times New Roman" w:eastAsia="Times New Roman" w:hAnsi="Times New Roman" w:cs="Times New Roman"/>
          <w:b/>
          <w:bCs/>
        </w:rPr>
        <w:t>latency reduction of 25%</w:t>
      </w:r>
      <w:r w:rsidRPr="008805F2">
        <w:rPr>
          <w:rFonts w:ascii="Times New Roman" w:eastAsia="Times New Roman" w:hAnsi="Times New Roman" w:cs="Times New Roman"/>
        </w:rPr>
        <w:t>. These impressive gains are not the result of a complete architectural rethinking of the converter itself, but are directly attributable to the optimization of the XOR gate used as its fundamental building block. This underscores the principle that component-level efficiency is a primary driver of overall system performance in QCA. This analysis can now be expanded from this specific converter type to a broader examination of other code converter architectures.</w:t>
      </w:r>
    </w:p>
    <w:p w14:paraId="790E76D4"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17" w:name="_ijwt3ildqmr7" w:colFirst="0" w:colLast="0"/>
      <w:bookmarkEnd w:id="17"/>
      <w:r w:rsidRPr="008805F2">
        <w:rPr>
          <w:rFonts w:ascii="Times New Roman" w:eastAsia="Times New Roman" w:hAnsi="Times New Roman" w:cs="Times New Roman"/>
          <w:b/>
          <w:bCs/>
          <w:color w:val="000000"/>
          <w:sz w:val="22"/>
          <w:szCs w:val="22"/>
        </w:rPr>
        <w:t>5. Evaluation of Other QCA Code Converter Architectures</w:t>
      </w:r>
    </w:p>
    <w:p w14:paraId="3AF18A1E" w14:textId="0E01B0FE"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principles of QCA design optimization, particularly the importance of efficient building blocks and layout strategies, extend far beyond the Binary-to-</w:t>
      </w:r>
      <w:r w:rsidR="000E02B8"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converter. To provide a </w:t>
      </w:r>
      <w:r w:rsidRPr="008805F2">
        <w:rPr>
          <w:rFonts w:ascii="Times New Roman" w:eastAsia="Times New Roman" w:hAnsi="Times New Roman" w:cs="Times New Roman"/>
        </w:rPr>
        <w:t>more comprehensive view of the technology's capabilities and design trade-offs, this section surveys a wider range of code converter circuits, comparing their performance metrics and highlighting the impact of different design methodologies.</w:t>
      </w:r>
    </w:p>
    <w:p w14:paraId="5F4C7857"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8" w:name="_6jb0fzkq1lma" w:colFirst="0" w:colLast="0"/>
      <w:bookmarkEnd w:id="18"/>
      <w:r w:rsidRPr="008805F2">
        <w:rPr>
          <w:rFonts w:ascii="Times New Roman" w:eastAsia="Times New Roman" w:hAnsi="Times New Roman" w:cs="Times New Roman"/>
          <w:b/>
          <w:bCs/>
          <w:color w:val="000000"/>
          <w:sz w:val="22"/>
          <w:szCs w:val="22"/>
        </w:rPr>
        <w:t>5.1. Survey of Converter Designs</w:t>
      </w:r>
    </w:p>
    <w:p w14:paraId="13B17A79"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Researchers have implemented numerous code converters in QCA, including Gray-to-Binary, BCD-to-Gray, and BCD-to-Excess-3. Early designs often followed a traditional gate-based approach, translating standard logic diagrams into QCA layouts. However, more recent work has explored alternative design paradigms and addressed practical operational constraints.</w:t>
      </w:r>
    </w:p>
    <w:p w14:paraId="1AB437C5"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Concurrently, the introduction of analyses for practical operational parameters, such as temperature stability and energy dissipation, signals the maturation of the QCA field. For instance, recent multicode converters have been rigorously tested for energy efficiency, reporting low dissipation levels such as 171 meV. The growing focus on such real-world viability factors, in parallel with architectural advancements like the tile-based and block-based methods, illustrates a critical evolution from theoretical simulation toward practical, robust, and scalable circuit design.</w:t>
      </w:r>
    </w:p>
    <w:p w14:paraId="0ECC42CE" w14:textId="128E731F"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One notable architectural innovation is the </w:t>
      </w:r>
      <w:r w:rsidRPr="008805F2">
        <w:rPr>
          <w:rFonts w:ascii="Times New Roman" w:eastAsia="Times New Roman" w:hAnsi="Times New Roman" w:cs="Times New Roman"/>
          <w:b/>
          <w:bCs/>
        </w:rPr>
        <w:t>"tile-based"</w:t>
      </w:r>
      <w:r w:rsidRPr="008805F2">
        <w:rPr>
          <w:rFonts w:ascii="Times New Roman" w:eastAsia="Times New Roman" w:hAnsi="Times New Roman" w:cs="Times New Roman"/>
        </w:rPr>
        <w:t xml:space="preserve"> method, which organizes circuits into localized, repeatable tiles. This approach can offer superior scalability and eliminate the need for separate inverter gates, thereby reducing latency by creating logic functions within the tile structure itself. Building upon this concept of integrated logic, recent advancements have introduced multi-functional block designs, such as the decimal-to-multicode converter. This specific architecture utilizes a novel 4-input block that can be programmed to perform AND, OR, NAND, or NOR operations depending on the polarization of a "select" cell. By using these high-density blocks, researchers can now generate multiple code outputs—such as BCD, Excess-3, and </w:t>
      </w:r>
      <w:r w:rsidR="000E02B8"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codes—simultaneously within a single, optimized circuit.</w:t>
      </w:r>
    </w:p>
    <w:p w14:paraId="4D2BA231"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19" w:name="_qv10lsenl0j" w:colFirst="0" w:colLast="0"/>
      <w:bookmarkEnd w:id="19"/>
      <w:r w:rsidRPr="008805F2">
        <w:rPr>
          <w:rFonts w:ascii="Times New Roman" w:eastAsia="Times New Roman" w:hAnsi="Times New Roman" w:cs="Times New Roman"/>
          <w:b/>
          <w:bCs/>
          <w:color w:val="000000"/>
          <w:sz w:val="22"/>
          <w:szCs w:val="22"/>
        </w:rPr>
        <w:t>5.2. Comprehensive Performance Comparison</w:t>
      </w:r>
    </w:p>
    <w:p w14:paraId="1DFA04F9"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following table compiles performance metrics from various research papers, offering a holistic comparison of different converter types and design methodologies. This unified view allows for the identification of broader trends and trade-offs in QCA circuit design.</w:t>
      </w:r>
    </w:p>
    <w:p w14:paraId="62D69780" w14:textId="77777777" w:rsidR="008C46E8" w:rsidRPr="008805F2" w:rsidRDefault="008C46E8">
      <w:pPr>
        <w:spacing w:after="200"/>
        <w:jc w:val="both"/>
        <w:rPr>
          <w:rFonts w:ascii="Times New Roman" w:eastAsia="Times New Roman" w:hAnsi="Times New Roman" w:cs="Times New Roman"/>
        </w:rPr>
        <w:sectPr w:rsidR="008C46E8" w:rsidRPr="008805F2" w:rsidSect="008805F2">
          <w:type w:val="continuous"/>
          <w:pgSz w:w="14570" w:h="20636" w:code="12"/>
          <w:pgMar w:top="1440" w:right="1440" w:bottom="1440" w:left="1440" w:header="720" w:footer="720" w:gutter="0"/>
          <w:pgNumType w:start="1"/>
          <w:cols w:num="2" w:space="720"/>
          <w:docGrid w:linePitch="299"/>
        </w:sectPr>
      </w:pPr>
    </w:p>
    <w:tbl>
      <w:tblPr>
        <w:tblStyle w:val="a1"/>
        <w:tblpPr w:leftFromText="180" w:rightFromText="180" w:vertAnchor="text" w:horzAnchor="margin" w:tblpXSpec="center" w:tblpY="386"/>
        <w:tblW w:w="12412" w:type="dxa"/>
        <w:tblInd w:w="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362"/>
        <w:gridCol w:w="2502"/>
        <w:gridCol w:w="1176"/>
        <w:gridCol w:w="823"/>
        <w:gridCol w:w="1014"/>
        <w:gridCol w:w="1605"/>
        <w:gridCol w:w="1257"/>
        <w:gridCol w:w="2673"/>
      </w:tblGrid>
      <w:tr w:rsidR="00732B73" w:rsidRPr="008805F2" w14:paraId="6C510E1F"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B0FA56F" w14:textId="462A22FC"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Circuit</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24A8105" w14:textId="598CE541"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Type</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F4473A9" w14:textId="77777777"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Cell Count</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015E1E0" w14:textId="77777777"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Area (µm²)</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2873327" w14:textId="0D43C1F0" w:rsidR="00732B73"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Latency</w:t>
            </w:r>
          </w:p>
          <w:p w14:paraId="47C244C5" w14:textId="7B73C70F" w:rsidR="00732B73" w:rsidRPr="008805F2" w:rsidRDefault="00732B73" w:rsidP="00166E11">
            <w:pPr>
              <w:jc w:val="center"/>
              <w:rPr>
                <w:rFonts w:ascii="Times New Roman" w:eastAsia="Times New Roman" w:hAnsi="Times New Roman" w:cs="Times New Roman"/>
                <w:b/>
                <w:bCs/>
              </w:rPr>
            </w:pPr>
            <w:r>
              <w:rPr>
                <w:rFonts w:ascii="Times New Roman" w:eastAsia="Times New Roman" w:hAnsi="Times New Roman" w:cs="Times New Roman"/>
                <w:b/>
                <w:bCs/>
              </w:rPr>
              <w:t>(cycles)</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2D51F19" w14:textId="23A89777"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Scalability</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516BA47" w14:textId="222E300B" w:rsidR="00732B73"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Inverter</w:t>
            </w:r>
          </w:p>
          <w:p w14:paraId="13F5187B" w14:textId="60F5CF51"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Gate</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B8D344" w14:textId="3449555A"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Circuit</w:t>
            </w:r>
          </w:p>
          <w:p w14:paraId="198DB478" w14:textId="7C5C22C7" w:rsidR="00732B73" w:rsidRPr="008805F2" w:rsidRDefault="00732B73" w:rsidP="00166E11">
            <w:pPr>
              <w:jc w:val="center"/>
              <w:rPr>
                <w:rFonts w:ascii="Times New Roman" w:eastAsia="Times New Roman" w:hAnsi="Times New Roman" w:cs="Times New Roman"/>
                <w:b/>
                <w:bCs/>
              </w:rPr>
            </w:pPr>
            <w:r w:rsidRPr="008805F2">
              <w:rPr>
                <w:rFonts w:ascii="Times New Roman" w:eastAsia="Times New Roman" w:hAnsi="Times New Roman" w:cs="Times New Roman"/>
                <w:b/>
                <w:bCs/>
              </w:rPr>
              <w:t>Layer type</w:t>
            </w:r>
          </w:p>
        </w:tc>
      </w:tr>
      <w:tr w:rsidR="00732B73" w:rsidRPr="008805F2" w14:paraId="6C9657E5"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C97B3BE"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 xml:space="preserve">Binary to </w:t>
            </w:r>
            <w:r>
              <w:rPr>
                <w:rFonts w:ascii="Times New Roman" w:eastAsia="Times New Roman" w:hAnsi="Times New Roman" w:cs="Times New Roman"/>
              </w:rPr>
              <w:t>Gray (4-bit)</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2D78339"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Guleria (2017)</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0D1FDA6"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2FC77EA"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225</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A90FEBB"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7895684"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0.43</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AC8CA83"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40DE525"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41CA951"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A9838FA"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CCEC3A3"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4333FE82"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19</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B7A734"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Multi-layer Crossover</w:t>
            </w:r>
          </w:p>
        </w:tc>
      </w:tr>
      <w:tr w:rsidR="00732B73" w:rsidRPr="008805F2" w14:paraId="360F65FB"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EB6DC82"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Binary to Gray (4-bit)</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8364BDB"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Khakpour et al. (2020)</w:t>
            </w:r>
          </w:p>
          <w:p w14:paraId="4608E83A" w14:textId="77777777" w:rsidR="00732B73" w:rsidRPr="008805F2" w:rsidRDefault="00732B73" w:rsidP="00732B73">
            <w:pPr>
              <w:jc w:val="center"/>
              <w:rPr>
                <w:rFonts w:ascii="Times New Roman" w:eastAsia="Times New Roman" w:hAnsi="Times New Roman" w:cs="Times New Roman"/>
              </w:rPr>
            </w:pP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EC1C07A" w14:textId="77777777" w:rsidR="00732B73" w:rsidRDefault="00732B73" w:rsidP="00732B73">
            <w:pPr>
              <w:ind w:left="-20"/>
              <w:jc w:val="both"/>
              <w:rPr>
                <w:rFonts w:ascii="Times New Roman" w:eastAsia="Times New Roman" w:hAnsi="Times New Roman" w:cs="Times New Roman"/>
              </w:rPr>
            </w:pPr>
          </w:p>
          <w:p w14:paraId="4A01E621"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99</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5E669B6"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3725045"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N/A</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37E4926"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5EC907BA"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13A4B00"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45C3670"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0A12EB2"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32892B7F"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4</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3566FE4"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Optimized XOR Gate</w:t>
            </w:r>
          </w:p>
        </w:tc>
      </w:tr>
      <w:tr w:rsidR="00732B73" w:rsidRPr="008805F2" w14:paraId="18EAA917"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7C81418"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Binary to Gray (4-bit)</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1B7A241"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Khakpour et al. (2020)</w:t>
            </w:r>
          </w:p>
          <w:p w14:paraId="1CD860AC" w14:textId="77777777" w:rsidR="00732B73" w:rsidRPr="008805F2" w:rsidRDefault="00732B73" w:rsidP="00732B73">
            <w:pPr>
              <w:jc w:val="center"/>
              <w:rPr>
                <w:rFonts w:ascii="Times New Roman" w:eastAsia="Times New Roman" w:hAnsi="Times New Roman" w:cs="Times New Roman"/>
              </w:rPr>
            </w:pP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4015DC8"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3779D7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76</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EDFE573"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E7227BF"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N/A</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C6BA25A"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084039FB"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2.25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2FCF926"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DEEEBAA"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1D3AFD3"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10D0E0B"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3</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CE06E0D"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Optimized XOR Gate</w:t>
            </w:r>
          </w:p>
        </w:tc>
      </w:tr>
      <w:tr w:rsidR="00732B73" w:rsidRPr="008805F2" w14:paraId="508C05BD" w14:textId="77777777" w:rsidTr="000E02B8">
        <w:trPr>
          <w:trHeight w:val="511"/>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D658BF4" w14:textId="579E2344" w:rsidR="00732B73" w:rsidRPr="008805F2" w:rsidRDefault="0038688E" w:rsidP="00732B73">
            <w:pPr>
              <w:jc w:val="center"/>
              <w:rPr>
                <w:rFonts w:ascii="Times New Roman" w:eastAsia="Times New Roman" w:hAnsi="Times New Roman" w:cs="Times New Roman"/>
              </w:rPr>
            </w:pPr>
            <w:r w:rsidRPr="008805F2">
              <w:rPr>
                <w:rFonts w:ascii="Times New Roman" w:eastAsia="Times New Roman" w:hAnsi="Times New Roman" w:cs="Times New Roman"/>
              </w:rPr>
              <w:t>BCD to</w:t>
            </w:r>
            <w:r w:rsidR="00732B73" w:rsidRPr="008805F2">
              <w:rPr>
                <w:rFonts w:ascii="Times New Roman" w:eastAsia="Times New Roman" w:hAnsi="Times New Roman" w:cs="Times New Roman"/>
              </w:rPr>
              <w:t xml:space="preserve"> Gray</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BB6FD1D"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Khakpour et al. (2020)</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619038B" w14:textId="77777777" w:rsidR="00732B73" w:rsidRDefault="00732B73" w:rsidP="00732B73">
            <w:pPr>
              <w:ind w:left="-20"/>
              <w:jc w:val="both"/>
              <w:rPr>
                <w:rFonts w:ascii="Times New Roman" w:eastAsia="Times New Roman" w:hAnsi="Times New Roman" w:cs="Times New Roman"/>
              </w:rPr>
            </w:pPr>
          </w:p>
          <w:p w14:paraId="38A9ECAC"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78</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9E96204"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96223FF"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N/A</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50BC0BC"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2EEDB0A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F9E0380"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BF93EBD"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3E8883D"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4ABF731C"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4</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DAFE90B"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Optimized XOR Gate</w:t>
            </w:r>
          </w:p>
        </w:tc>
      </w:tr>
      <w:tr w:rsidR="00732B73" w:rsidRPr="008805F2" w14:paraId="3212C338"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6C50D16"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BCD to Gray</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093CE45" w14:textId="52EE49EA"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Fouladinia et al. (2024)</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15D1FA1" w14:textId="77777777" w:rsidR="00732B73" w:rsidRDefault="00732B73" w:rsidP="00732B73">
            <w:pPr>
              <w:ind w:left="-20"/>
              <w:jc w:val="both"/>
              <w:rPr>
                <w:rFonts w:ascii="Times New Roman" w:eastAsia="Times New Roman" w:hAnsi="Times New Roman" w:cs="Times New Roman"/>
              </w:rPr>
            </w:pPr>
          </w:p>
          <w:p w14:paraId="1C93595A"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127</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BD7A0E5"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7A444ACD"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0.18</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8F6A3F8"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18FD2090"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1D6E205"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BA9AC03"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738D2E4"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9FF72F0"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3</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7E90933"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Tile-Based</w:t>
            </w:r>
          </w:p>
        </w:tc>
      </w:tr>
      <w:tr w:rsidR="00732B73" w:rsidRPr="008805F2" w14:paraId="29A1EF9A"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4D7FF15"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lastRenderedPageBreak/>
              <w:t>BCD</w:t>
            </w:r>
            <w:r>
              <w:rPr>
                <w:rFonts w:ascii="Times New Roman" w:eastAsia="Times New Roman" w:hAnsi="Times New Roman" w:cs="Times New Roman"/>
              </w:rPr>
              <w:t xml:space="preserve"> to XS3</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D6183E6"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Fouladinia et al. (2024)</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10DDC07" w14:textId="77777777" w:rsidR="00732B73" w:rsidRDefault="00732B73" w:rsidP="00732B73">
            <w:pPr>
              <w:ind w:left="-20"/>
              <w:jc w:val="both"/>
              <w:rPr>
                <w:rFonts w:ascii="Times New Roman" w:eastAsia="Times New Roman" w:hAnsi="Times New Roman" w:cs="Times New Roman"/>
              </w:rPr>
            </w:pPr>
          </w:p>
          <w:p w14:paraId="6BBEF1B3"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190</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74B5538"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4010FC1E"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0.25</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6A4DC45"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5DA326F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719F09F"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930F462"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61C074E"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7C50FB8C"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7</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9CF1D40"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Tile-Based</w:t>
            </w:r>
          </w:p>
        </w:tc>
      </w:tr>
      <w:tr w:rsidR="00732B73" w:rsidRPr="008805F2" w14:paraId="7D79EF1B"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471A822"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 xml:space="preserve">BCD to </w:t>
            </w:r>
            <w:r>
              <w:rPr>
                <w:rFonts w:ascii="Times New Roman" w:eastAsia="Times New Roman" w:hAnsi="Times New Roman" w:cs="Times New Roman"/>
              </w:rPr>
              <w:t>XS3</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74BFB3D" w14:textId="77777777" w:rsidR="00732B73" w:rsidRDefault="00732B73" w:rsidP="00732B73">
            <w:pPr>
              <w:spacing w:line="240" w:lineRule="auto"/>
              <w:jc w:val="center"/>
              <w:rPr>
                <w:rFonts w:ascii="Times New Roman" w:eastAsia="Times New Roman" w:hAnsi="Times New Roman" w:cs="Times New Roman"/>
              </w:rPr>
            </w:pPr>
            <w:r>
              <w:rPr>
                <w:rFonts w:ascii="Times New Roman" w:eastAsia="Times New Roman" w:hAnsi="Times New Roman" w:cs="Times New Roman"/>
              </w:rPr>
              <w:t>Referenced by</w:t>
            </w:r>
          </w:p>
          <w:p w14:paraId="18F239AA" w14:textId="77777777" w:rsidR="00732B73" w:rsidRPr="008805F2" w:rsidRDefault="00732B73" w:rsidP="00732B73">
            <w:pPr>
              <w:spacing w:line="240" w:lineRule="auto"/>
              <w:jc w:val="center"/>
              <w:rPr>
                <w:rFonts w:ascii="Times New Roman" w:eastAsia="Times New Roman" w:hAnsi="Times New Roman" w:cs="Times New Roman"/>
              </w:rPr>
            </w:pPr>
            <w:r w:rsidRPr="008805F2">
              <w:rPr>
                <w:rFonts w:ascii="Times New Roman" w:eastAsia="Times New Roman" w:hAnsi="Times New Roman" w:cs="Times New Roman"/>
              </w:rPr>
              <w:t>Fouladinia et al.</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F9AF4D1"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16AEC966"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191</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A710EDE"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6E54390E"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0.29</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01DC932"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01BC476E"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3.00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F0CE648"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CEB2F27"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57CB13B"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BA7D18B"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6</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01E8250"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Single-Layer</w:t>
            </w:r>
          </w:p>
        </w:tc>
      </w:tr>
      <w:tr w:rsidR="00732B73" w:rsidRPr="008805F2" w14:paraId="371E0CD8"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9D6D9EA"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BCD to</w:t>
            </w:r>
            <w:r>
              <w:rPr>
                <w:rFonts w:ascii="Times New Roman" w:eastAsia="Times New Roman" w:hAnsi="Times New Roman" w:cs="Times New Roman"/>
              </w:rPr>
              <w:t xml:space="preserve"> XS3</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272D0A1" w14:textId="77777777" w:rsidR="00732B73" w:rsidRDefault="00732B73" w:rsidP="00732B73">
            <w:pPr>
              <w:jc w:val="center"/>
              <w:rPr>
                <w:rFonts w:ascii="Times New Roman" w:eastAsia="Times New Roman" w:hAnsi="Times New Roman" w:cs="Times New Roman"/>
              </w:rPr>
            </w:pPr>
            <w:r>
              <w:rPr>
                <w:rFonts w:ascii="Times New Roman" w:eastAsia="Times New Roman" w:hAnsi="Times New Roman" w:cs="Times New Roman"/>
              </w:rPr>
              <w:t>Referenced by</w:t>
            </w:r>
          </w:p>
          <w:p w14:paraId="19BA9C8A" w14:textId="77777777" w:rsidR="00732B73" w:rsidRPr="008805F2" w:rsidRDefault="00732B73" w:rsidP="00732B73">
            <w:pPr>
              <w:jc w:val="center"/>
              <w:rPr>
                <w:rFonts w:ascii="Times New Roman" w:eastAsia="Times New Roman" w:hAnsi="Times New Roman" w:cs="Times New Roman"/>
              </w:rPr>
            </w:pPr>
            <w:r>
              <w:rPr>
                <w:rFonts w:ascii="Times New Roman" w:eastAsia="Times New Roman" w:hAnsi="Times New Roman" w:cs="Times New Roman"/>
              </w:rPr>
              <w:t>Fouladinia et al.</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7140AC3"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46EDB04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254</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78FB084"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4E7377F1"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0.31</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ECD3709"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61C52FFB"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1.00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4CE969C"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474C41F"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E94D737"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F113FC8"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5</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3C8BD97"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Multi-layer</w:t>
            </w:r>
          </w:p>
        </w:tc>
      </w:tr>
      <w:tr w:rsidR="00732B73" w:rsidRPr="008805F2" w14:paraId="298ABABF"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6DF7CC8"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Thermometer to Gray</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6C2D4FB"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Das et al. (2021)</w:t>
            </w:r>
          </w:p>
          <w:p w14:paraId="4B71703C" w14:textId="77777777" w:rsidR="00732B73" w:rsidRPr="008805F2" w:rsidRDefault="00732B73" w:rsidP="00732B73">
            <w:pPr>
              <w:jc w:val="center"/>
              <w:rPr>
                <w:rFonts w:ascii="Times New Roman" w:eastAsia="Times New Roman" w:hAnsi="Times New Roman" w:cs="Times New Roman"/>
              </w:rPr>
            </w:pP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59EB7979"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9A00254"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134</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A863585" w14:textId="77777777" w:rsidR="00732B73" w:rsidRDefault="00732B73" w:rsidP="00732B73">
            <w:pPr>
              <w:ind w:left="-20"/>
              <w:jc w:val="both"/>
              <w:rPr>
                <w:rFonts w:ascii="Times New Roman" w:eastAsia="Times New Roman" w:hAnsi="Times New Roman" w:cs="Times New Roman"/>
              </w:rPr>
            </w:pPr>
            <w:r w:rsidRPr="008805F2">
              <w:rPr>
                <w:rFonts w:ascii="Times New Roman" w:eastAsia="Times New Roman" w:hAnsi="Times New Roman" w:cs="Times New Roman"/>
              </w:rPr>
              <w:t xml:space="preserve"> </w:t>
            </w:r>
            <w:r>
              <w:rPr>
                <w:rFonts w:ascii="Times New Roman" w:eastAsia="Times New Roman" w:hAnsi="Times New Roman" w:cs="Times New Roman"/>
              </w:rPr>
              <w:t xml:space="preserve"> </w:t>
            </w:r>
          </w:p>
          <w:p w14:paraId="19C00377"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0.20</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6519F07"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44ED597"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F64DA0C"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B0DD02E"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Yes</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BF85C0A"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1EFB1B1"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380A6C5"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Single-layer</w:t>
            </w:r>
          </w:p>
        </w:tc>
      </w:tr>
      <w:tr w:rsidR="00732B73" w:rsidRPr="008805F2" w14:paraId="23459FD2"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A2AE982"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Binary</w:t>
            </w:r>
            <w:r>
              <w:rPr>
                <w:rFonts w:ascii="Times New Roman" w:eastAsia="Times New Roman" w:hAnsi="Times New Roman" w:cs="Times New Roman"/>
              </w:rPr>
              <w:t xml:space="preserve"> </w:t>
            </w:r>
            <w:r w:rsidRPr="008805F2">
              <w:rPr>
                <w:rFonts w:ascii="Times New Roman" w:eastAsia="Times New Roman" w:hAnsi="Times New Roman" w:cs="Times New Roman"/>
              </w:rPr>
              <w:t>to</w:t>
            </w:r>
            <w:r>
              <w:rPr>
                <w:rFonts w:ascii="Times New Roman" w:eastAsia="Times New Roman" w:hAnsi="Times New Roman" w:cs="Times New Roman"/>
              </w:rPr>
              <w:t xml:space="preserve"> XS3</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6B4CFBF0"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Bhowmik et al. (2022)</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36A0C9E"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1672C891"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176</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C851ADF"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2964BFB2"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0.20</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91ACB9C"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3401DF23"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1.00</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6DA15C9"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37829237"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No</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7302BC9"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7E0C95C2"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7</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3DA2837"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Single-layer</w:t>
            </w:r>
          </w:p>
        </w:tc>
      </w:tr>
      <w:tr w:rsidR="00732B73" w:rsidRPr="008805F2" w14:paraId="3B70224C" w14:textId="77777777" w:rsidTr="000E02B8">
        <w:trPr>
          <w:trHeight w:val="413"/>
        </w:trPr>
        <w:tc>
          <w:tcPr>
            <w:tcW w:w="136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1110CF6" w14:textId="77777777" w:rsidR="00732B73" w:rsidRPr="008805F2" w:rsidRDefault="00732B73" w:rsidP="00732B73">
            <w:pPr>
              <w:jc w:val="center"/>
              <w:rPr>
                <w:rFonts w:ascii="Times New Roman" w:eastAsia="Times New Roman" w:hAnsi="Times New Roman" w:cs="Times New Roman"/>
              </w:rPr>
            </w:pPr>
            <w:r w:rsidRPr="008805F2">
              <w:rPr>
                <w:rFonts w:ascii="Times New Roman" w:eastAsia="Times New Roman" w:hAnsi="Times New Roman" w:cs="Times New Roman"/>
              </w:rPr>
              <w:t>Decimal to-3 Codes</w:t>
            </w:r>
          </w:p>
        </w:tc>
        <w:tc>
          <w:tcPr>
            <w:tcW w:w="2502"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462B12C2" w14:textId="76B03234" w:rsidR="00732B73" w:rsidRPr="008805F2" w:rsidRDefault="0038688E" w:rsidP="00732B73">
            <w:pPr>
              <w:jc w:val="center"/>
              <w:rPr>
                <w:rFonts w:ascii="Times New Roman" w:eastAsia="Times New Roman" w:hAnsi="Times New Roman" w:cs="Times New Roman"/>
              </w:rPr>
            </w:pPr>
            <w:r w:rsidRPr="008805F2">
              <w:rPr>
                <w:rFonts w:ascii="Times New Roman" w:eastAsia="Times New Roman" w:hAnsi="Times New Roman" w:cs="Times New Roman"/>
              </w:rPr>
              <w:t>F. Fouladinia</w:t>
            </w:r>
            <w:r w:rsidR="00732B73" w:rsidRPr="008805F2">
              <w:rPr>
                <w:rFonts w:ascii="Times New Roman" w:eastAsia="Times New Roman" w:hAnsi="Times New Roman" w:cs="Times New Roman"/>
              </w:rPr>
              <w:t xml:space="preserve">, </w:t>
            </w:r>
            <w:r w:rsidRPr="008805F2">
              <w:rPr>
                <w:rFonts w:ascii="Times New Roman" w:eastAsia="Times New Roman" w:hAnsi="Times New Roman" w:cs="Times New Roman"/>
              </w:rPr>
              <w:t>Gholami (</w:t>
            </w:r>
            <w:r w:rsidR="00732B73" w:rsidRPr="008805F2">
              <w:rPr>
                <w:rFonts w:ascii="Times New Roman" w:eastAsia="Times New Roman" w:hAnsi="Times New Roman" w:cs="Times New Roman"/>
              </w:rPr>
              <w:t>2023)</w:t>
            </w:r>
          </w:p>
        </w:tc>
        <w:tc>
          <w:tcPr>
            <w:tcW w:w="1176"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7D7B6AB3" w14:textId="77777777" w:rsidR="00732B73" w:rsidRDefault="00732B73" w:rsidP="00732B73">
            <w:pPr>
              <w:ind w:left="-20"/>
              <w:jc w:val="both"/>
              <w:rPr>
                <w:rFonts w:ascii="Times New Roman" w:eastAsia="Times New Roman" w:hAnsi="Times New Roman" w:cs="Times New Roman"/>
              </w:rPr>
            </w:pPr>
          </w:p>
          <w:p w14:paraId="02B94726"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280</w:t>
            </w:r>
          </w:p>
        </w:tc>
        <w:tc>
          <w:tcPr>
            <w:tcW w:w="82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18EB227F"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0F9723A1"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0.29</w:t>
            </w:r>
          </w:p>
        </w:tc>
        <w:tc>
          <w:tcPr>
            <w:tcW w:w="1014"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343E9887" w14:textId="77777777" w:rsidR="00732B73"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p>
          <w:p w14:paraId="606E3FFE" w14:textId="77777777" w:rsidR="00732B73" w:rsidRPr="008805F2" w:rsidRDefault="00732B73" w:rsidP="00732B73">
            <w:pPr>
              <w:ind w:left="-20"/>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1.75</w:t>
            </w:r>
          </w:p>
        </w:tc>
        <w:tc>
          <w:tcPr>
            <w:tcW w:w="1605"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0099E206"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A809F20"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Yes</w:t>
            </w:r>
          </w:p>
        </w:tc>
        <w:tc>
          <w:tcPr>
            <w:tcW w:w="1257"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3656924" w14:textId="77777777" w:rsidR="00732B73"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47F593E" w14:textId="77777777" w:rsidR="00732B73" w:rsidRPr="008805F2" w:rsidRDefault="00732B73" w:rsidP="00732B73">
            <w:pPr>
              <w:jc w:val="both"/>
              <w:rPr>
                <w:rFonts w:ascii="Times New Roman" w:eastAsia="Times New Roman" w:hAnsi="Times New Roman" w:cs="Times New Roman"/>
              </w:rPr>
            </w:pPr>
            <w:r>
              <w:rPr>
                <w:rFonts w:ascii="Times New Roman" w:eastAsia="Times New Roman" w:hAnsi="Times New Roman" w:cs="Times New Roman"/>
              </w:rPr>
              <w:t xml:space="preserve">           </w:t>
            </w:r>
            <w:r w:rsidRPr="008805F2">
              <w:rPr>
                <w:rFonts w:ascii="Times New Roman" w:eastAsia="Times New Roman" w:hAnsi="Times New Roman" w:cs="Times New Roman"/>
              </w:rPr>
              <w:t>3</w:t>
            </w:r>
          </w:p>
        </w:tc>
        <w:tc>
          <w:tcPr>
            <w:tcW w:w="2673" w:type="dxa"/>
            <w:tcBorders>
              <w:top w:val="single" w:sz="5" w:space="0" w:color="808080"/>
              <w:left w:val="single" w:sz="5" w:space="0" w:color="808080"/>
              <w:bottom w:val="single" w:sz="5" w:space="0" w:color="808080"/>
              <w:right w:val="single" w:sz="5" w:space="0" w:color="808080"/>
            </w:tcBorders>
            <w:tcMar>
              <w:top w:w="20" w:type="dxa"/>
              <w:left w:w="20" w:type="dxa"/>
              <w:bottom w:w="20" w:type="dxa"/>
              <w:right w:w="20" w:type="dxa"/>
            </w:tcMar>
          </w:tcPr>
          <w:p w14:paraId="248F6279" w14:textId="77777777" w:rsidR="00732B73" w:rsidRPr="008805F2" w:rsidRDefault="00732B73" w:rsidP="00732B73">
            <w:pPr>
              <w:ind w:left="-20"/>
              <w:jc w:val="center"/>
              <w:rPr>
                <w:rFonts w:ascii="Times New Roman" w:eastAsia="Times New Roman" w:hAnsi="Times New Roman" w:cs="Times New Roman"/>
              </w:rPr>
            </w:pPr>
            <w:r w:rsidRPr="008805F2">
              <w:rPr>
                <w:rFonts w:ascii="Times New Roman" w:eastAsia="Times New Roman" w:hAnsi="Times New Roman" w:cs="Times New Roman"/>
              </w:rPr>
              <w:t>Novel-4-input block, Multilayer,</w:t>
            </w:r>
          </w:p>
          <w:p w14:paraId="2BC18DF8" w14:textId="77777777" w:rsidR="00732B73" w:rsidRPr="008805F2" w:rsidRDefault="00732B73" w:rsidP="00732B73">
            <w:pPr>
              <w:ind w:left="-20"/>
              <w:jc w:val="center"/>
              <w:rPr>
                <w:rFonts w:ascii="Times New Roman" w:eastAsia="Times New Roman" w:hAnsi="Times New Roman" w:cs="Times New Roman"/>
              </w:rPr>
            </w:pPr>
          </w:p>
        </w:tc>
      </w:tr>
    </w:tbl>
    <w:p w14:paraId="1B9D8FC3" w14:textId="1B84FDB1" w:rsidR="005D652C" w:rsidRPr="008C46E8" w:rsidRDefault="008C46E8">
      <w:pPr>
        <w:spacing w:after="200"/>
        <w:jc w:val="both"/>
        <w:rPr>
          <w:rFonts w:ascii="Times New Roman" w:eastAsia="Times New Roman" w:hAnsi="Times New Roman" w:cs="Times New Roman"/>
          <w:b/>
          <w:bCs/>
        </w:rPr>
      </w:pPr>
      <w:r w:rsidRPr="008C46E8">
        <w:rPr>
          <w:rFonts w:ascii="Times New Roman" w:eastAsia="Times New Roman" w:hAnsi="Times New Roman" w:cs="Times New Roman"/>
          <w:b/>
          <w:bCs/>
        </w:rPr>
        <w:t xml:space="preserve">Table </w:t>
      </w:r>
      <w:r w:rsidR="0038688E" w:rsidRPr="008C46E8">
        <w:rPr>
          <w:rFonts w:ascii="Times New Roman" w:eastAsia="Times New Roman" w:hAnsi="Times New Roman" w:cs="Times New Roman"/>
          <w:b/>
          <w:bCs/>
        </w:rPr>
        <w:t>1:</w:t>
      </w:r>
      <w:r w:rsidRPr="008C46E8">
        <w:rPr>
          <w:rFonts w:ascii="Times New Roman" w:eastAsia="Times New Roman" w:hAnsi="Times New Roman" w:cs="Times New Roman"/>
          <w:b/>
          <w:bCs/>
        </w:rPr>
        <w:t xml:space="preserve"> Primary Performances metrics</w:t>
      </w:r>
    </w:p>
    <w:p w14:paraId="34BFF309" w14:textId="77777777" w:rsidR="00EE3A7E" w:rsidRDefault="00EE3A7E">
      <w:pPr>
        <w:spacing w:after="200"/>
        <w:jc w:val="both"/>
        <w:rPr>
          <w:rFonts w:ascii="Times New Roman" w:eastAsia="Times New Roman" w:hAnsi="Times New Roman" w:cs="Times New Roman"/>
        </w:rPr>
      </w:pPr>
    </w:p>
    <w:p w14:paraId="2AE01F8A" w14:textId="0DEFCF9A" w:rsidR="008C46E8" w:rsidRPr="008805F2" w:rsidRDefault="008C46E8">
      <w:pPr>
        <w:spacing w:after="200"/>
        <w:jc w:val="both"/>
        <w:rPr>
          <w:rFonts w:ascii="Times New Roman" w:eastAsia="Times New Roman" w:hAnsi="Times New Roman" w:cs="Times New Roman"/>
        </w:rPr>
        <w:sectPr w:rsidR="008C46E8" w:rsidRPr="008805F2" w:rsidSect="008805F2">
          <w:type w:val="continuous"/>
          <w:pgSz w:w="14570" w:h="20636" w:code="12"/>
          <w:pgMar w:top="1440" w:right="1440" w:bottom="1440" w:left="1440" w:header="720" w:footer="720" w:gutter="0"/>
          <w:pgNumType w:start="1"/>
          <w:cols w:space="720"/>
          <w:docGrid w:linePitch="299"/>
        </w:sectPr>
      </w:pPr>
    </w:p>
    <w:tbl>
      <w:tblPr>
        <w:tblStyle w:val="TableGrid"/>
        <w:tblpPr w:leftFromText="180" w:rightFromText="180" w:vertAnchor="page" w:horzAnchor="margin" w:tblpXSpec="center" w:tblpY="10606"/>
        <w:tblW w:w="12490" w:type="dxa"/>
        <w:tblLook w:val="04A0" w:firstRow="1" w:lastRow="0" w:firstColumn="1" w:lastColumn="0" w:noHBand="0" w:noVBand="1"/>
      </w:tblPr>
      <w:tblGrid>
        <w:gridCol w:w="1916"/>
        <w:gridCol w:w="2432"/>
        <w:gridCol w:w="1989"/>
        <w:gridCol w:w="1812"/>
        <w:gridCol w:w="2226"/>
        <w:gridCol w:w="2115"/>
      </w:tblGrid>
      <w:tr w:rsidR="000E02B8" w:rsidRPr="00343DFB" w14:paraId="4BC00572" w14:textId="77777777" w:rsidTr="000E02B8">
        <w:trPr>
          <w:trHeight w:val="800"/>
        </w:trPr>
        <w:tc>
          <w:tcPr>
            <w:tcW w:w="1916" w:type="dxa"/>
          </w:tcPr>
          <w:p w14:paraId="5A1C9EDB"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Circuit layer</w:t>
            </w:r>
          </w:p>
          <w:p w14:paraId="17072B07"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Type</w:t>
            </w:r>
          </w:p>
        </w:tc>
        <w:tc>
          <w:tcPr>
            <w:tcW w:w="2432" w:type="dxa"/>
          </w:tcPr>
          <w:p w14:paraId="090A5B80"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Design</w:t>
            </w:r>
          </w:p>
          <w:p w14:paraId="6D64FA90"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Methodology</w:t>
            </w:r>
          </w:p>
        </w:tc>
        <w:tc>
          <w:tcPr>
            <w:tcW w:w="1989" w:type="dxa"/>
          </w:tcPr>
          <w:p w14:paraId="55ED67F0"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Fault</w:t>
            </w:r>
          </w:p>
          <w:p w14:paraId="0FB94552"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Tolerance</w:t>
            </w:r>
          </w:p>
        </w:tc>
        <w:tc>
          <w:tcPr>
            <w:tcW w:w="1812" w:type="dxa"/>
          </w:tcPr>
          <w:p w14:paraId="51A51A2D"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Inverter</w:t>
            </w:r>
          </w:p>
          <w:p w14:paraId="45EA23D0"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Gates</w:t>
            </w:r>
          </w:p>
        </w:tc>
        <w:tc>
          <w:tcPr>
            <w:tcW w:w="2226" w:type="dxa"/>
          </w:tcPr>
          <w:p w14:paraId="426CB8E1"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Temperature</w:t>
            </w:r>
          </w:p>
          <w:p w14:paraId="5FFD732B"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Stability</w:t>
            </w:r>
          </w:p>
        </w:tc>
        <w:tc>
          <w:tcPr>
            <w:tcW w:w="2115" w:type="dxa"/>
          </w:tcPr>
          <w:p w14:paraId="193813E3"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Crossover</w:t>
            </w:r>
          </w:p>
          <w:p w14:paraId="175FA816" w14:textId="77777777" w:rsidR="000E02B8" w:rsidRPr="00343DFB" w:rsidRDefault="000E02B8" w:rsidP="000E02B8">
            <w:pPr>
              <w:jc w:val="center"/>
              <w:rPr>
                <w:rFonts w:ascii="Times New Roman" w:hAnsi="Times New Roman" w:cs="Times New Roman"/>
                <w:b/>
                <w:bCs/>
                <w:sz w:val="22"/>
                <w:szCs w:val="22"/>
              </w:rPr>
            </w:pPr>
            <w:r w:rsidRPr="00343DFB">
              <w:rPr>
                <w:rFonts w:ascii="Times New Roman" w:hAnsi="Times New Roman" w:cs="Times New Roman"/>
                <w:b/>
                <w:bCs/>
                <w:sz w:val="22"/>
                <w:szCs w:val="22"/>
              </w:rPr>
              <w:t>Technique</w:t>
            </w:r>
          </w:p>
        </w:tc>
      </w:tr>
      <w:tr w:rsidR="000E02B8" w:rsidRPr="00343DFB" w14:paraId="5C5A7545" w14:textId="77777777" w:rsidTr="000E02B8">
        <w:trPr>
          <w:trHeight w:val="598"/>
        </w:trPr>
        <w:tc>
          <w:tcPr>
            <w:tcW w:w="1916" w:type="dxa"/>
          </w:tcPr>
          <w:p w14:paraId="209DBBC2"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c>
          <w:tcPr>
            <w:tcW w:w="2432" w:type="dxa"/>
          </w:tcPr>
          <w:p w14:paraId="5E38D70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459EAB7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7324F8B3"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19</w:t>
            </w:r>
          </w:p>
        </w:tc>
        <w:tc>
          <w:tcPr>
            <w:tcW w:w="2226" w:type="dxa"/>
          </w:tcPr>
          <w:p w14:paraId="6C65F09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1DCCFED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r>
      <w:tr w:rsidR="000E02B8" w:rsidRPr="00343DFB" w14:paraId="43944D6F" w14:textId="77777777" w:rsidTr="000E02B8">
        <w:trPr>
          <w:trHeight w:val="760"/>
        </w:trPr>
        <w:tc>
          <w:tcPr>
            <w:tcW w:w="1916" w:type="dxa"/>
          </w:tcPr>
          <w:p w14:paraId="1551C41E"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7CDD638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Optimized XOR based</w:t>
            </w:r>
          </w:p>
        </w:tc>
        <w:tc>
          <w:tcPr>
            <w:tcW w:w="1989" w:type="dxa"/>
          </w:tcPr>
          <w:p w14:paraId="5440077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376B166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4</w:t>
            </w:r>
          </w:p>
        </w:tc>
        <w:tc>
          <w:tcPr>
            <w:tcW w:w="2226" w:type="dxa"/>
          </w:tcPr>
          <w:p w14:paraId="224753C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25658B0E"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54F3B34C" w14:textId="77777777" w:rsidTr="000E02B8">
        <w:trPr>
          <w:trHeight w:val="647"/>
        </w:trPr>
        <w:tc>
          <w:tcPr>
            <w:tcW w:w="1916" w:type="dxa"/>
          </w:tcPr>
          <w:p w14:paraId="2B6B81C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565D8834"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Optimized XOR based</w:t>
            </w:r>
          </w:p>
        </w:tc>
        <w:tc>
          <w:tcPr>
            <w:tcW w:w="1989" w:type="dxa"/>
          </w:tcPr>
          <w:p w14:paraId="5D3F0A7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5681F77C"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3</w:t>
            </w:r>
          </w:p>
        </w:tc>
        <w:tc>
          <w:tcPr>
            <w:tcW w:w="2226" w:type="dxa"/>
          </w:tcPr>
          <w:p w14:paraId="530031FA"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498A2D2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1F161DA0" w14:textId="77777777" w:rsidTr="000E02B8">
        <w:trPr>
          <w:trHeight w:val="543"/>
        </w:trPr>
        <w:tc>
          <w:tcPr>
            <w:tcW w:w="1916" w:type="dxa"/>
          </w:tcPr>
          <w:p w14:paraId="24323AE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360BB1E0"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79B3AA0D"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7C8FA017"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4</w:t>
            </w:r>
          </w:p>
        </w:tc>
        <w:tc>
          <w:tcPr>
            <w:tcW w:w="2226" w:type="dxa"/>
          </w:tcPr>
          <w:p w14:paraId="2CFD9DCC"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189B764D"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5E7F81C2" w14:textId="77777777" w:rsidTr="000E02B8">
        <w:trPr>
          <w:trHeight w:val="423"/>
        </w:trPr>
        <w:tc>
          <w:tcPr>
            <w:tcW w:w="1916" w:type="dxa"/>
          </w:tcPr>
          <w:p w14:paraId="2E7B38B3"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483AFFF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Tile based</w:t>
            </w:r>
          </w:p>
        </w:tc>
        <w:tc>
          <w:tcPr>
            <w:tcW w:w="1989" w:type="dxa"/>
          </w:tcPr>
          <w:p w14:paraId="1A7BB2B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1684624A"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3</w:t>
            </w:r>
          </w:p>
        </w:tc>
        <w:tc>
          <w:tcPr>
            <w:tcW w:w="2226" w:type="dxa"/>
          </w:tcPr>
          <w:p w14:paraId="6FBB66C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0361EAF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None</w:t>
            </w:r>
          </w:p>
        </w:tc>
      </w:tr>
      <w:tr w:rsidR="000E02B8" w:rsidRPr="00343DFB" w14:paraId="22C1DEA9" w14:textId="77777777" w:rsidTr="000E02B8">
        <w:trPr>
          <w:trHeight w:val="415"/>
        </w:trPr>
        <w:tc>
          <w:tcPr>
            <w:tcW w:w="1916" w:type="dxa"/>
          </w:tcPr>
          <w:p w14:paraId="5CA1D7A0"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47DA0165"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Tile based</w:t>
            </w:r>
          </w:p>
        </w:tc>
        <w:tc>
          <w:tcPr>
            <w:tcW w:w="1989" w:type="dxa"/>
          </w:tcPr>
          <w:p w14:paraId="11746B97"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3A5048E9"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7</w:t>
            </w:r>
          </w:p>
        </w:tc>
        <w:tc>
          <w:tcPr>
            <w:tcW w:w="2226" w:type="dxa"/>
          </w:tcPr>
          <w:p w14:paraId="3509F04E"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5954BC1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None</w:t>
            </w:r>
          </w:p>
        </w:tc>
      </w:tr>
      <w:tr w:rsidR="000E02B8" w:rsidRPr="00343DFB" w14:paraId="340257B8" w14:textId="77777777" w:rsidTr="000E02B8">
        <w:trPr>
          <w:trHeight w:val="389"/>
        </w:trPr>
        <w:tc>
          <w:tcPr>
            <w:tcW w:w="1916" w:type="dxa"/>
          </w:tcPr>
          <w:p w14:paraId="0287B45E"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2B1F2BC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65DE480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1B7E3F3D"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6</w:t>
            </w:r>
          </w:p>
        </w:tc>
        <w:tc>
          <w:tcPr>
            <w:tcW w:w="2226" w:type="dxa"/>
          </w:tcPr>
          <w:p w14:paraId="554CC2F4"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7CDFE287"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3D413750" w14:textId="77777777" w:rsidTr="000E02B8">
        <w:trPr>
          <w:trHeight w:val="440"/>
        </w:trPr>
        <w:tc>
          <w:tcPr>
            <w:tcW w:w="1916" w:type="dxa"/>
          </w:tcPr>
          <w:p w14:paraId="58EBFF4A"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c>
          <w:tcPr>
            <w:tcW w:w="2432" w:type="dxa"/>
          </w:tcPr>
          <w:p w14:paraId="70ADA4BA"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50957485"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10A40363"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5</w:t>
            </w:r>
          </w:p>
        </w:tc>
        <w:tc>
          <w:tcPr>
            <w:tcW w:w="2226" w:type="dxa"/>
          </w:tcPr>
          <w:p w14:paraId="7F22A41C"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Not analysed</w:t>
            </w:r>
          </w:p>
        </w:tc>
        <w:tc>
          <w:tcPr>
            <w:tcW w:w="2115" w:type="dxa"/>
          </w:tcPr>
          <w:p w14:paraId="6EFEBA62"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r>
      <w:tr w:rsidR="000E02B8" w:rsidRPr="00343DFB" w14:paraId="5A67A480" w14:textId="77777777" w:rsidTr="000E02B8">
        <w:trPr>
          <w:trHeight w:val="561"/>
        </w:trPr>
        <w:tc>
          <w:tcPr>
            <w:tcW w:w="1916" w:type="dxa"/>
          </w:tcPr>
          <w:p w14:paraId="09F3DFB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6BD944C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0931022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382B727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1</w:t>
            </w:r>
          </w:p>
        </w:tc>
        <w:tc>
          <w:tcPr>
            <w:tcW w:w="2226" w:type="dxa"/>
          </w:tcPr>
          <w:p w14:paraId="75D4490D"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6C036C89"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7CCA246E" w14:textId="77777777" w:rsidTr="000E02B8">
        <w:trPr>
          <w:trHeight w:val="555"/>
        </w:trPr>
        <w:tc>
          <w:tcPr>
            <w:tcW w:w="1916" w:type="dxa"/>
          </w:tcPr>
          <w:p w14:paraId="551EAF85"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Single layer</w:t>
            </w:r>
          </w:p>
        </w:tc>
        <w:tc>
          <w:tcPr>
            <w:tcW w:w="2432" w:type="dxa"/>
          </w:tcPr>
          <w:p w14:paraId="1540662C"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Gate based</w:t>
            </w:r>
          </w:p>
        </w:tc>
        <w:tc>
          <w:tcPr>
            <w:tcW w:w="1989" w:type="dxa"/>
          </w:tcPr>
          <w:p w14:paraId="629C6C3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Yes</w:t>
            </w:r>
          </w:p>
        </w:tc>
        <w:tc>
          <w:tcPr>
            <w:tcW w:w="1812" w:type="dxa"/>
          </w:tcPr>
          <w:p w14:paraId="25EF753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7</w:t>
            </w:r>
          </w:p>
        </w:tc>
        <w:tc>
          <w:tcPr>
            <w:tcW w:w="2226" w:type="dxa"/>
          </w:tcPr>
          <w:p w14:paraId="6E70512F"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65E77D9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Coplanar</w:t>
            </w:r>
          </w:p>
        </w:tc>
      </w:tr>
      <w:tr w:rsidR="000E02B8" w:rsidRPr="00343DFB" w14:paraId="2B1BA39F" w14:textId="77777777" w:rsidTr="000E02B8">
        <w:trPr>
          <w:trHeight w:val="779"/>
        </w:trPr>
        <w:tc>
          <w:tcPr>
            <w:tcW w:w="1916" w:type="dxa"/>
          </w:tcPr>
          <w:p w14:paraId="71E48598"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c>
          <w:tcPr>
            <w:tcW w:w="2432" w:type="dxa"/>
          </w:tcPr>
          <w:p w14:paraId="66E61F50"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Block based (4-input)</w:t>
            </w:r>
          </w:p>
        </w:tc>
        <w:tc>
          <w:tcPr>
            <w:tcW w:w="1989" w:type="dxa"/>
          </w:tcPr>
          <w:p w14:paraId="254C2D16"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No</w:t>
            </w:r>
          </w:p>
        </w:tc>
        <w:tc>
          <w:tcPr>
            <w:tcW w:w="1812" w:type="dxa"/>
          </w:tcPr>
          <w:p w14:paraId="766A637B"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3</w:t>
            </w:r>
          </w:p>
        </w:tc>
        <w:tc>
          <w:tcPr>
            <w:tcW w:w="2226" w:type="dxa"/>
          </w:tcPr>
          <w:p w14:paraId="6A775241"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Analysed</w:t>
            </w:r>
          </w:p>
        </w:tc>
        <w:tc>
          <w:tcPr>
            <w:tcW w:w="2115" w:type="dxa"/>
          </w:tcPr>
          <w:p w14:paraId="7E9B6917" w14:textId="77777777" w:rsidR="000E02B8" w:rsidRPr="00343DFB" w:rsidRDefault="000E02B8" w:rsidP="000E02B8">
            <w:pPr>
              <w:jc w:val="center"/>
              <w:rPr>
                <w:rFonts w:ascii="Times New Roman" w:hAnsi="Times New Roman" w:cs="Times New Roman"/>
                <w:sz w:val="22"/>
                <w:szCs w:val="22"/>
              </w:rPr>
            </w:pPr>
            <w:r w:rsidRPr="00343DFB">
              <w:rPr>
                <w:rFonts w:ascii="Times New Roman" w:hAnsi="Times New Roman" w:cs="Times New Roman"/>
                <w:sz w:val="22"/>
                <w:szCs w:val="22"/>
              </w:rPr>
              <w:t>Multi-layer</w:t>
            </w:r>
          </w:p>
        </w:tc>
      </w:tr>
    </w:tbl>
    <w:p w14:paraId="6D5380B3" w14:textId="19358029" w:rsidR="00166E11" w:rsidRDefault="008C46E8">
      <w:pPr>
        <w:spacing w:after="200"/>
        <w:jc w:val="both"/>
        <w:rPr>
          <w:rFonts w:ascii="Times New Roman" w:eastAsia="Times New Roman" w:hAnsi="Times New Roman" w:cs="Times New Roman"/>
          <w:b/>
          <w:bCs/>
        </w:rPr>
      </w:pPr>
      <w:r w:rsidRPr="008C46E8">
        <w:rPr>
          <w:rFonts w:ascii="Times New Roman" w:eastAsia="Times New Roman" w:hAnsi="Times New Roman" w:cs="Times New Roman"/>
          <w:b/>
          <w:bCs/>
        </w:rPr>
        <w:t xml:space="preserve">Table </w:t>
      </w:r>
      <w:r w:rsidR="0038688E" w:rsidRPr="008C46E8">
        <w:rPr>
          <w:rFonts w:ascii="Times New Roman" w:eastAsia="Times New Roman" w:hAnsi="Times New Roman" w:cs="Times New Roman"/>
          <w:b/>
          <w:bCs/>
        </w:rPr>
        <w:t>2:</w:t>
      </w:r>
      <w:r w:rsidRPr="008C46E8">
        <w:rPr>
          <w:rFonts w:ascii="Times New Roman" w:eastAsia="Times New Roman" w:hAnsi="Times New Roman" w:cs="Times New Roman"/>
          <w:b/>
          <w:bCs/>
        </w:rPr>
        <w:t xml:space="preserve"> Design and Layout Characteristics </w:t>
      </w:r>
    </w:p>
    <w:p w14:paraId="3EDF09E4" w14:textId="77777777" w:rsidR="006E6DDB" w:rsidRDefault="006E6DDB" w:rsidP="006E6DDB">
      <w:pPr>
        <w:spacing w:after="200"/>
        <w:jc w:val="both"/>
        <w:rPr>
          <w:rFonts w:ascii="Times New Roman" w:eastAsia="Times New Roman" w:hAnsi="Times New Roman" w:cs="Times New Roman"/>
        </w:rPr>
        <w:sectPr w:rsidR="006E6DDB" w:rsidSect="00962262">
          <w:type w:val="continuous"/>
          <w:pgSz w:w="14570" w:h="20636" w:code="12"/>
          <w:pgMar w:top="1440" w:right="1440" w:bottom="1440" w:left="1440" w:header="720" w:footer="720" w:gutter="0"/>
          <w:pgNumType w:start="1"/>
          <w:cols w:num="2" w:space="720"/>
          <w:docGrid w:linePitch="299"/>
        </w:sectPr>
      </w:pPr>
    </w:p>
    <w:p w14:paraId="6783692E" w14:textId="77777777" w:rsidR="006E6DDB" w:rsidRDefault="006E6DDB" w:rsidP="006E6DDB">
      <w:pPr>
        <w:spacing w:after="200"/>
        <w:jc w:val="both"/>
        <w:rPr>
          <w:rFonts w:ascii="Times New Roman" w:eastAsia="Times New Roman" w:hAnsi="Times New Roman" w:cs="Times New Roman"/>
        </w:rPr>
      </w:pPr>
    </w:p>
    <w:p w14:paraId="4B094267" w14:textId="73DFB082" w:rsidR="006E6DDB" w:rsidRPr="000E02B8" w:rsidRDefault="009B695C" w:rsidP="006E6DDB">
      <w:pPr>
        <w:spacing w:after="200"/>
        <w:jc w:val="both"/>
        <w:rPr>
          <w:rFonts w:ascii="Times New Roman" w:eastAsia="Times New Roman" w:hAnsi="Times New Roman" w:cs="Times New Roman"/>
          <w:b/>
          <w:bCs/>
        </w:rPr>
      </w:pPr>
      <w:r w:rsidRPr="000E02B8">
        <w:rPr>
          <w:rFonts w:ascii="Times New Roman" w:eastAsia="Times New Roman" w:hAnsi="Times New Roman" w:cs="Times New Roman"/>
        </w:rPr>
        <w:t>This comprehensive data provides the basis for a deeper discussion of performance drivers and design choices in QCA circuits.</w:t>
      </w:r>
      <w:bookmarkStart w:id="20" w:name="_fip46bkeka5y" w:colFirst="0" w:colLast="0"/>
      <w:bookmarkEnd w:id="20"/>
    </w:p>
    <w:p w14:paraId="0D8B4E51" w14:textId="77777777" w:rsidR="006E6DDB" w:rsidRDefault="006E6DDB" w:rsidP="006E6DDB">
      <w:pPr>
        <w:spacing w:after="200"/>
        <w:jc w:val="both"/>
        <w:rPr>
          <w:rFonts w:ascii="Times New Roman" w:eastAsia="Times New Roman" w:hAnsi="Times New Roman" w:cs="Times New Roman"/>
          <w:b/>
          <w:bCs/>
        </w:rPr>
        <w:sectPr w:rsidR="006E6DDB" w:rsidSect="006E6DDB">
          <w:type w:val="continuous"/>
          <w:pgSz w:w="14570" w:h="20636" w:code="12"/>
          <w:pgMar w:top="1440" w:right="1440" w:bottom="1440" w:left="1440" w:header="720" w:footer="720" w:gutter="0"/>
          <w:pgNumType w:start="1"/>
          <w:cols w:space="720"/>
          <w:docGrid w:linePitch="299"/>
        </w:sectPr>
      </w:pPr>
    </w:p>
    <w:p w14:paraId="2B142513" w14:textId="77777777" w:rsidR="006E6DDB" w:rsidRPr="006E6DDB" w:rsidRDefault="006E6DDB" w:rsidP="006E6DDB">
      <w:pPr>
        <w:spacing w:after="200"/>
        <w:jc w:val="both"/>
        <w:rPr>
          <w:rFonts w:ascii="Times New Roman" w:eastAsia="Times New Roman" w:hAnsi="Times New Roman" w:cs="Times New Roman"/>
          <w:b/>
          <w:bCs/>
        </w:rPr>
      </w:pPr>
    </w:p>
    <w:p w14:paraId="672AFD15" w14:textId="77777777" w:rsidR="006E6DDB" w:rsidRDefault="006E6DDB">
      <w:pPr>
        <w:spacing w:after="200"/>
        <w:jc w:val="both"/>
        <w:rPr>
          <w:rFonts w:ascii="Times New Roman" w:eastAsia="Times New Roman" w:hAnsi="Times New Roman" w:cs="Times New Roman"/>
        </w:rPr>
      </w:pPr>
    </w:p>
    <w:p w14:paraId="03289365" w14:textId="5D7FBEA3" w:rsidR="006E6DDB" w:rsidRPr="006E6DDB" w:rsidRDefault="006E6DDB">
      <w:pPr>
        <w:spacing w:after="200"/>
        <w:jc w:val="both"/>
        <w:rPr>
          <w:rFonts w:ascii="Times New Roman" w:eastAsia="Times New Roman" w:hAnsi="Times New Roman" w:cs="Times New Roman"/>
          <w:b/>
          <w:bCs/>
        </w:rPr>
      </w:pPr>
      <w:r w:rsidRPr="006E6DDB">
        <w:rPr>
          <w:rFonts w:ascii="Times New Roman" w:eastAsia="Times New Roman" w:hAnsi="Times New Roman" w:cs="Times New Roman"/>
          <w:b/>
          <w:bCs/>
        </w:rPr>
        <w:t xml:space="preserve">6.Discussion </w:t>
      </w:r>
    </w:p>
    <w:p w14:paraId="026CD23A" w14:textId="3766F09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comparative data synthesized in the preceding sections provides a clear vantage point from which to interpret the state of QCA code converter design. This section analyzes the overarching trends revealed by the data, evaluates the impact of distinct design methodologies, and discusses the broader implications for the future development of practical and efficient QCA circuits.</w:t>
      </w:r>
    </w:p>
    <w:p w14:paraId="23C9B059"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1" w:name="_7kawatkw3jy2" w:colFirst="0" w:colLast="0"/>
      <w:bookmarkEnd w:id="21"/>
      <w:r w:rsidRPr="008805F2">
        <w:rPr>
          <w:rFonts w:ascii="Times New Roman" w:eastAsia="Times New Roman" w:hAnsi="Times New Roman" w:cs="Times New Roman"/>
          <w:b/>
          <w:bCs/>
          <w:color w:val="000000"/>
          <w:sz w:val="22"/>
          <w:szCs w:val="22"/>
        </w:rPr>
        <w:t>6.1. Analysis of Performance Trends</w:t>
      </w:r>
    </w:p>
    <w:p w14:paraId="0B7EFF6F"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A detailed analysis of the compiled data reveals two primary drivers of performance in QCA circuits: </w:t>
      </w:r>
      <w:r w:rsidRPr="008805F2">
        <w:rPr>
          <w:rFonts w:ascii="Times New Roman" w:eastAsia="Times New Roman" w:hAnsi="Times New Roman" w:cs="Times New Roman"/>
          <w:b/>
          <w:bCs/>
        </w:rPr>
        <w:t>lower-level component optimization</w:t>
      </w:r>
      <w:r w:rsidRPr="008805F2">
        <w:rPr>
          <w:rFonts w:ascii="Times New Roman" w:eastAsia="Times New Roman" w:hAnsi="Times New Roman" w:cs="Times New Roman"/>
        </w:rPr>
        <w:t xml:space="preserve"> and </w:t>
      </w:r>
      <w:r w:rsidRPr="008805F2">
        <w:rPr>
          <w:rFonts w:ascii="Times New Roman" w:eastAsia="Times New Roman" w:hAnsi="Times New Roman" w:cs="Times New Roman"/>
          <w:b/>
          <w:bCs/>
        </w:rPr>
        <w:t>higher-level design methodology</w:t>
      </w:r>
      <w:r w:rsidRPr="008805F2">
        <w:rPr>
          <w:rFonts w:ascii="Times New Roman" w:eastAsia="Times New Roman" w:hAnsi="Times New Roman" w:cs="Times New Roman"/>
        </w:rPr>
        <w:t>. The dramatic improvement in the Binary-to-Gray converter when moving from Guleria's (2017) design to that of Khakpour et al. (2020) is a direct consequence of optimizing the underlying XOR gate. This directly demonstrates that component-level efficiency gains propagate upward to create significantly more efficient systems.</w:t>
      </w:r>
    </w:p>
    <w:p w14:paraId="2219F92D"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The data also highlights critical performance trade-offs dictated by circuit topology and algorithmic depth. For instance, the optimized Gray-to-Binary converter from Khakpour et al. has a remarkably low cell count (76 cells) but a significantly higher latency (2.25 clock cycles) compared to </w:t>
      </w:r>
      <w:r w:rsidRPr="008805F2">
        <w:rPr>
          <w:rFonts w:ascii="Times New Roman" w:eastAsia="Times New Roman" w:hAnsi="Times New Roman" w:cs="Times New Roman"/>
        </w:rPr>
        <w:lastRenderedPageBreak/>
        <w:t>its Binary-to-Gray counterpart (99 cells, 0.75 cycles). This disparity arises from the inherent logical structure of the conversion algorithms. Binary-to-Gray conversion is a highly parallel task, where each output bit can be computed independently and simultaneously. In contrast, Gray-to-Binary conversion is fundamentally sequential; the calculation of each output bit depends on the result of the previous bit's calculation, creating a cascade of operations that dictates the circuit's overall latency. This illustrates that while component optimization is vital, the intrinsic structure of the computational task imposes hard limits on performance.</w:t>
      </w:r>
    </w:p>
    <w:p w14:paraId="5979017F" w14:textId="2A11B082"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2" w:name="_lvfppuf21zvz" w:colFirst="0" w:colLast="0"/>
      <w:bookmarkEnd w:id="22"/>
      <w:r w:rsidRPr="008805F2">
        <w:rPr>
          <w:rFonts w:ascii="Times New Roman" w:eastAsia="Times New Roman" w:hAnsi="Times New Roman" w:cs="Times New Roman"/>
          <w:b/>
          <w:bCs/>
          <w:color w:val="000000"/>
          <w:sz w:val="22"/>
          <w:szCs w:val="22"/>
        </w:rPr>
        <w:t>6.2. Impact of Design Methodology</w:t>
      </w:r>
    </w:p>
    <w:p w14:paraId="123B504A"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The comparison between traditional gate-based designs and the more recent tile-based and block-based approaches reveals the profound impact of design philosophy3. The performance data reveals a critical design trade-off: while the gate-based BCD-to-Gray converter from Khakpour et al. (2020) achieves a lower cell count (78 cells)4, the tile-based design from Fouladinia et al. (2024) demonstrates superior latency (0.75 vs. 1.0 cycles) and a significantly smaller area (0.18 $µm^2$ vs. N/A), despite requiring more cells (127).</w:t>
      </w:r>
    </w:p>
    <w:p w14:paraId="0883D09F"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This evolution is further exemplified by the Decimal to Multicode Converter6666. By utilizing a novel 4-input gate, this design creates a multi-functional block capable of generating 4-input AND, OR, NAND, and NOR outputs. This methodology-driven approach allows a single circuit to accept 10 decimal inputs and produce 12 simultaneous outputs (Excess-3, BCD, and Gray codes) while maintaining a competitive footprint of 0.29 $µm^2. This highlights a shift from optimizing for component count alone towards holistic optimization for functionality, latency, and physical footprint.</w:t>
      </w:r>
    </w:p>
    <w:p w14:paraId="43E71DE8"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Integrated functional blocks achieve lower latency by creating complex logic within a single structure, effectively reducing the need for separate, delay-inducing gates. For instance, the multicode converter requires only one inverter gate, compared to the 3 to 19 inverters used in more traditional architectures. This shift represents a maturing of QCA design principles from assembling discrete gates to designing integrated systems.</w:t>
      </w:r>
    </w:p>
    <w:p w14:paraId="418FA9C8" w14:textId="77777777" w:rsidR="007D2710" w:rsidRPr="008805F2" w:rsidRDefault="009B695C" w:rsidP="007D2710">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Furthermore, the introduction of analyses for practical viability factors, such as </w:t>
      </w:r>
      <w:r w:rsidRPr="008805F2">
        <w:rPr>
          <w:rFonts w:ascii="Times New Roman" w:eastAsia="Times New Roman" w:hAnsi="Times New Roman" w:cs="Times New Roman"/>
          <w:b/>
          <w:bCs/>
        </w:rPr>
        <w:t>temperature stability</w:t>
      </w:r>
      <w:r w:rsidRPr="008805F2">
        <w:rPr>
          <w:rFonts w:ascii="Times New Roman" w:eastAsia="Times New Roman" w:hAnsi="Times New Roman" w:cs="Times New Roman"/>
        </w:rPr>
        <w:t xml:space="preserve"> and </w:t>
      </w:r>
      <w:r w:rsidRPr="008805F2">
        <w:rPr>
          <w:rFonts w:ascii="Times New Roman" w:eastAsia="Times New Roman" w:hAnsi="Times New Roman" w:cs="Times New Roman"/>
          <w:b/>
          <w:bCs/>
        </w:rPr>
        <w:t>power dissipation</w:t>
      </w:r>
      <w:r w:rsidRPr="008805F2">
        <w:rPr>
          <w:rFonts w:ascii="Times New Roman" w:eastAsia="Times New Roman" w:hAnsi="Times New Roman" w:cs="Times New Roman"/>
        </w:rPr>
        <w:t xml:space="preserve"> (estimated at 171 meV for the multicode converter), signals an important evolution in the field. While early research focused predominantly on logical correctness and minimizing abstract metrics like cell count, these newer considerations—including scalability—are essential for moving QCA design from a purely theoretical exercise toward real-world application. A circuit that is compact and fast but fails to operate reliably or scale efficiently is of limited use. Therefore, a holistic design approach that balances logical efficiency with physical robustness and multi-functional scalability is paramount for the future of QCA.</w:t>
      </w:r>
      <w:bookmarkStart w:id="23" w:name="_byayqwls9hr6" w:colFirst="0" w:colLast="0"/>
      <w:bookmarkEnd w:id="23"/>
    </w:p>
    <w:p w14:paraId="5CA739D6" w14:textId="22F2395F" w:rsidR="005D652C" w:rsidRPr="008805F2" w:rsidRDefault="009B695C" w:rsidP="007D2710">
      <w:pPr>
        <w:spacing w:after="200"/>
        <w:jc w:val="both"/>
        <w:rPr>
          <w:rFonts w:ascii="Times New Roman" w:eastAsia="Times New Roman" w:hAnsi="Times New Roman" w:cs="Times New Roman"/>
        </w:rPr>
      </w:pPr>
      <w:r w:rsidRPr="008805F2">
        <w:rPr>
          <w:rFonts w:ascii="Times New Roman" w:eastAsia="Times New Roman" w:hAnsi="Times New Roman" w:cs="Times New Roman"/>
          <w:b/>
          <w:bCs/>
          <w:color w:val="000000"/>
        </w:rPr>
        <w:t>7. Conclusion and Future Scope</w:t>
      </w:r>
    </w:p>
    <w:p w14:paraId="1662B258" w14:textId="77777777"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4" w:name="_8dnbconzu4y1" w:colFirst="0" w:colLast="0"/>
      <w:bookmarkEnd w:id="24"/>
      <w:r w:rsidRPr="008805F2">
        <w:rPr>
          <w:rFonts w:ascii="Times New Roman" w:eastAsia="Times New Roman" w:hAnsi="Times New Roman" w:cs="Times New Roman"/>
          <w:b/>
          <w:bCs/>
          <w:color w:val="000000"/>
          <w:sz w:val="22"/>
          <w:szCs w:val="22"/>
        </w:rPr>
        <w:t>7.1. Summary of Findings</w:t>
      </w:r>
    </w:p>
    <w:p w14:paraId="63608726"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 xml:space="preserve">This paper has provided a structured comparative analysis of digital code converter circuits implemented in Quantum-dot Cellular Automata (QCA) technology. By synthesizing data </w:t>
      </w:r>
      <w:r w:rsidRPr="008805F2">
        <w:rPr>
          <w:rFonts w:ascii="Times New Roman" w:eastAsia="Times New Roman" w:hAnsi="Times New Roman" w:cs="Times New Roman"/>
        </w:rPr>
        <w:t>from multiple studies, this work demonstrates a clear performance hierarchy among different design approaches and highlights the key factors driving circuit efficiency. The analysis confirms that QCA offers a viable platform for implementing complex digital logic with potential benefits in density and power consumption over conventional CMOS.</w:t>
      </w:r>
    </w:p>
    <w:p w14:paraId="092DAAF4" w14:textId="313FD654"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A critical conclusion of this review is that significant improvements in circuit performance are directly linked to the optimization of fundamental building blocks (such as the XOR gate) and the adoption of advanced, scalable design paradigms like the tile-based method and multi-functional block architectures. Specifically, the introduction of novel 4-input blocks has enabled the transition from single-purpose converters to multi</w:t>
      </w:r>
      <w:r w:rsidR="003D5E46">
        <w:rPr>
          <w:rFonts w:ascii="Times New Roman" w:eastAsia="Times New Roman" w:hAnsi="Times New Roman" w:cs="Times New Roman"/>
        </w:rPr>
        <w:t xml:space="preserve"> </w:t>
      </w:r>
      <w:r w:rsidRPr="008805F2">
        <w:rPr>
          <w:rFonts w:ascii="Times New Roman" w:eastAsia="Times New Roman" w:hAnsi="Times New Roman" w:cs="Times New Roman"/>
        </w:rPr>
        <w:t xml:space="preserve">code systems capable of simultaneously producing BCD, Excess-3, and </w:t>
      </w:r>
      <w:r w:rsidR="0038688E" w:rsidRPr="008805F2">
        <w:rPr>
          <w:rFonts w:ascii="Times New Roman" w:eastAsia="Times New Roman" w:hAnsi="Times New Roman" w:cs="Times New Roman"/>
        </w:rPr>
        <w:t>gray</w:t>
      </w:r>
      <w:r w:rsidRPr="008805F2">
        <w:rPr>
          <w:rFonts w:ascii="Times New Roman" w:eastAsia="Times New Roman" w:hAnsi="Times New Roman" w:cs="Times New Roman"/>
        </w:rPr>
        <w:t xml:space="preserve"> codes from a single decimal input. These findings underscore a clear path forward for QCA research, emphasizing a shift from direct translation of CMOS architectures to the development of methodologies natively suited to QCA’s unique operational principles.</w:t>
      </w:r>
    </w:p>
    <w:p w14:paraId="38040691" w14:textId="027C2986" w:rsidR="005D652C" w:rsidRPr="008805F2" w:rsidRDefault="009B695C">
      <w:pPr>
        <w:pStyle w:val="Heading4"/>
        <w:keepNext w:val="0"/>
        <w:keepLines w:val="0"/>
        <w:spacing w:before="80" w:after="40"/>
        <w:jc w:val="both"/>
        <w:rPr>
          <w:rFonts w:ascii="Times New Roman" w:eastAsia="Times New Roman" w:hAnsi="Times New Roman" w:cs="Times New Roman"/>
          <w:b/>
          <w:bCs/>
          <w:color w:val="000000"/>
          <w:sz w:val="22"/>
          <w:szCs w:val="22"/>
        </w:rPr>
      </w:pPr>
      <w:bookmarkStart w:id="25" w:name="_rm53tk19mllz" w:colFirst="0" w:colLast="0"/>
      <w:bookmarkEnd w:id="25"/>
      <w:r w:rsidRPr="008805F2">
        <w:rPr>
          <w:rFonts w:ascii="Times New Roman" w:eastAsia="Times New Roman" w:hAnsi="Times New Roman" w:cs="Times New Roman"/>
          <w:b/>
          <w:bCs/>
          <w:color w:val="000000"/>
          <w:sz w:val="22"/>
          <w:szCs w:val="22"/>
        </w:rPr>
        <w:t>7.2. Future Research Directions</w:t>
      </w:r>
    </w:p>
    <w:p w14:paraId="0D7CBDCC"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Based on the analysis and the future scope identified in the source literature, several promising avenues for future research emerge. Advancing the field will require concerted efforts in the following areas:</w:t>
      </w:r>
    </w:p>
    <w:p w14:paraId="0589FBC7" w14:textId="77777777" w:rsidR="005D652C" w:rsidRPr="008805F2" w:rsidRDefault="009B695C">
      <w:pPr>
        <w:numPr>
          <w:ilvl w:val="0"/>
          <w:numId w:val="5"/>
        </w:numPr>
        <w:spacing w:before="240"/>
        <w:rPr>
          <w:rFonts w:ascii="Times New Roman" w:eastAsia="Times New Roman" w:hAnsi="Times New Roman" w:cs="Times New Roman"/>
        </w:rPr>
      </w:pPr>
      <w:r w:rsidRPr="008805F2">
        <w:rPr>
          <w:rFonts w:ascii="Times New Roman" w:eastAsia="Times New Roman" w:hAnsi="Times New Roman" w:cs="Times New Roman"/>
          <w:b/>
          <w:bCs/>
        </w:rPr>
        <w:t>Scalability:</w:t>
      </w:r>
      <w:r w:rsidRPr="008805F2">
        <w:rPr>
          <w:rFonts w:ascii="Times New Roman" w:eastAsia="Times New Roman" w:hAnsi="Times New Roman" w:cs="Times New Roman"/>
        </w:rPr>
        <w:t xml:space="preserve"> Implementation and verification of higher-bit converters (e.g., 8-bit, 16-bit, and beyond) to assess the practical scalability of current design methodologies and identify potential bottlenecks in larger systems.</w:t>
      </w:r>
    </w:p>
    <w:p w14:paraId="198CAB68" w14:textId="77777777" w:rsidR="005D652C" w:rsidRPr="008805F2" w:rsidRDefault="009B695C">
      <w:pPr>
        <w:numPr>
          <w:ilvl w:val="0"/>
          <w:numId w:val="5"/>
        </w:numPr>
        <w:rPr>
          <w:rFonts w:ascii="Times New Roman" w:eastAsia="Times New Roman" w:hAnsi="Times New Roman" w:cs="Times New Roman"/>
        </w:rPr>
      </w:pPr>
      <w:r w:rsidRPr="008805F2">
        <w:rPr>
          <w:rFonts w:ascii="Times New Roman" w:eastAsia="Times New Roman" w:hAnsi="Times New Roman" w:cs="Times New Roman"/>
          <w:b/>
          <w:bCs/>
        </w:rPr>
        <w:t>Complexity:</w:t>
      </w:r>
      <w:r w:rsidRPr="008805F2">
        <w:rPr>
          <w:rFonts w:ascii="Times New Roman" w:eastAsia="Times New Roman" w:hAnsi="Times New Roman" w:cs="Times New Roman"/>
        </w:rPr>
        <w:t xml:space="preserve"> Design of more complex sequential and arithmetic circuits, such as memories, multipliers, and full Arithmetic Logic Units (ALUs), to demonstrate QCA's capability for general-purpose computing.</w:t>
      </w:r>
    </w:p>
    <w:p w14:paraId="44986B67" w14:textId="77777777" w:rsidR="005D652C" w:rsidRPr="008805F2" w:rsidRDefault="009B695C">
      <w:pPr>
        <w:numPr>
          <w:ilvl w:val="0"/>
          <w:numId w:val="5"/>
        </w:numPr>
        <w:rPr>
          <w:rFonts w:ascii="Times New Roman" w:eastAsia="Times New Roman" w:hAnsi="Times New Roman" w:cs="Times New Roman"/>
        </w:rPr>
      </w:pPr>
      <w:r w:rsidRPr="008805F2">
        <w:rPr>
          <w:rFonts w:ascii="Times New Roman" w:eastAsia="Times New Roman" w:hAnsi="Times New Roman" w:cs="Times New Roman"/>
          <w:b/>
          <w:bCs/>
        </w:rPr>
        <w:t>Optimization:</w:t>
      </w:r>
      <w:r w:rsidRPr="008805F2">
        <w:rPr>
          <w:rFonts w:ascii="Times New Roman" w:eastAsia="Times New Roman" w:hAnsi="Times New Roman" w:cs="Times New Roman"/>
        </w:rPr>
        <w:t xml:space="preserve"> Further research into automated optimization of interconnects, routing, and minimizing wire crossovers, which remain significant challenges in designing dense, multilayer QCA circuits.</w:t>
      </w:r>
    </w:p>
    <w:p w14:paraId="265D3838" w14:textId="77777777" w:rsidR="005D652C" w:rsidRPr="008805F2" w:rsidRDefault="009B695C">
      <w:pPr>
        <w:numPr>
          <w:ilvl w:val="0"/>
          <w:numId w:val="5"/>
        </w:numPr>
        <w:spacing w:after="240"/>
        <w:rPr>
          <w:rFonts w:ascii="Times New Roman" w:eastAsia="Times New Roman" w:hAnsi="Times New Roman" w:cs="Times New Roman"/>
        </w:rPr>
      </w:pPr>
      <w:r w:rsidRPr="008805F2">
        <w:rPr>
          <w:rFonts w:ascii="Times New Roman" w:eastAsia="Times New Roman" w:hAnsi="Times New Roman" w:cs="Times New Roman"/>
          <w:b/>
          <w:bCs/>
        </w:rPr>
        <w:t>Practicality:</w:t>
      </w:r>
      <w:r w:rsidRPr="008805F2">
        <w:rPr>
          <w:rFonts w:ascii="Times New Roman" w:eastAsia="Times New Roman" w:hAnsi="Times New Roman" w:cs="Times New Roman"/>
        </w:rPr>
        <w:t xml:space="preserve"> Expanded analysis of critical operational parameters, such as power dissipation (verified at 171 meV for multicode converters) and fault tolerance, to bridge the gap between simulation and physical implementation.</w:t>
      </w:r>
    </w:p>
    <w:p w14:paraId="6142821A" w14:textId="77777777" w:rsidR="005D652C" w:rsidRPr="008805F2" w:rsidRDefault="009B695C">
      <w:pPr>
        <w:spacing w:after="200"/>
        <w:jc w:val="both"/>
        <w:rPr>
          <w:rFonts w:ascii="Times New Roman" w:eastAsia="Times New Roman" w:hAnsi="Times New Roman" w:cs="Times New Roman"/>
        </w:rPr>
      </w:pPr>
      <w:r w:rsidRPr="008805F2">
        <w:rPr>
          <w:rFonts w:ascii="Times New Roman" w:eastAsia="Times New Roman" w:hAnsi="Times New Roman" w:cs="Times New Roman"/>
        </w:rPr>
        <w:t>Pursuing these research directions will be essential for maturing QCA from a promising nanotechnology into a practical and powerful computing platform.</w:t>
      </w:r>
    </w:p>
    <w:p w14:paraId="4F85FD68" w14:textId="77777777" w:rsidR="005D652C" w:rsidRPr="008805F2" w:rsidRDefault="009B695C">
      <w:pPr>
        <w:pStyle w:val="Heading3"/>
        <w:keepNext w:val="0"/>
        <w:keepLines w:val="0"/>
        <w:spacing w:before="160"/>
        <w:jc w:val="both"/>
        <w:rPr>
          <w:rFonts w:ascii="Times New Roman" w:eastAsia="Times New Roman" w:hAnsi="Times New Roman" w:cs="Times New Roman"/>
          <w:b/>
          <w:bCs/>
          <w:color w:val="000000"/>
          <w:sz w:val="22"/>
          <w:szCs w:val="22"/>
        </w:rPr>
      </w:pPr>
      <w:bookmarkStart w:id="26" w:name="_zbsvcg4juclx" w:colFirst="0" w:colLast="0"/>
      <w:bookmarkEnd w:id="26"/>
      <w:r w:rsidRPr="008805F2">
        <w:rPr>
          <w:rFonts w:ascii="Times New Roman" w:eastAsia="Times New Roman" w:hAnsi="Times New Roman" w:cs="Times New Roman"/>
          <w:b/>
          <w:bCs/>
          <w:color w:val="000000"/>
          <w:sz w:val="22"/>
          <w:szCs w:val="22"/>
        </w:rPr>
        <w:t>8. References</w:t>
      </w:r>
    </w:p>
    <w:p w14:paraId="36C14069" w14:textId="77777777" w:rsidR="00962262" w:rsidRPr="008F05A2" w:rsidRDefault="00962262" w:rsidP="00CC5085">
      <w:pPr>
        <w:widowControl w:val="0"/>
        <w:numPr>
          <w:ilvl w:val="0"/>
          <w:numId w:val="7"/>
        </w:numPr>
        <w:tabs>
          <w:tab w:val="left" w:pos="339"/>
        </w:tabs>
        <w:autoSpaceDE w:val="0"/>
        <w:autoSpaceDN w:val="0"/>
        <w:spacing w:before="119" w:line="240" w:lineRule="auto"/>
        <w:ind w:left="22" w:right="18"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C. S. Lent, P. D. Tougaw, W. Porod, and G. H. Bernstein, "Quantum</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cellular</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automata,"</w:t>
      </w:r>
      <w:r w:rsidRPr="008F05A2">
        <w:rPr>
          <w:rFonts w:ascii="Times New Roman" w:eastAsia="Times New Roman" w:hAnsi="Times New Roman" w:cs="Times New Roman"/>
          <w:spacing w:val="-9"/>
          <w:lang w:val="en-US" w:eastAsia="en-US"/>
        </w:rPr>
        <w:t xml:space="preserve"> </w:t>
      </w:r>
      <w:r w:rsidRPr="008F05A2">
        <w:rPr>
          <w:rFonts w:ascii="Times New Roman" w:eastAsia="Times New Roman" w:hAnsi="Times New Roman" w:cs="Times New Roman"/>
          <w:lang w:val="en-US" w:eastAsia="en-US"/>
        </w:rPr>
        <w:t>Nanotechnology,</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vol.</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4,</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no.</w:t>
      </w:r>
      <w:r w:rsidRPr="008F05A2">
        <w:rPr>
          <w:rFonts w:ascii="Times New Roman" w:eastAsia="Times New Roman" w:hAnsi="Times New Roman" w:cs="Times New Roman"/>
          <w:spacing w:val="-12"/>
          <w:lang w:val="en-US" w:eastAsia="en-US"/>
        </w:rPr>
        <w:t xml:space="preserve"> </w:t>
      </w:r>
      <w:r w:rsidRPr="008F05A2">
        <w:rPr>
          <w:rFonts w:ascii="Times New Roman" w:eastAsia="Times New Roman" w:hAnsi="Times New Roman" w:cs="Times New Roman"/>
          <w:lang w:val="en-US" w:eastAsia="en-US"/>
        </w:rPr>
        <w:t>1,</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p. 49, 1993.</w:t>
      </w:r>
    </w:p>
    <w:p w14:paraId="2ED0E040" w14:textId="77777777" w:rsidR="00962262" w:rsidRPr="008F05A2" w:rsidRDefault="00962262" w:rsidP="00CC5085">
      <w:pPr>
        <w:widowControl w:val="0"/>
        <w:numPr>
          <w:ilvl w:val="0"/>
          <w:numId w:val="7"/>
        </w:numPr>
        <w:tabs>
          <w:tab w:val="left" w:pos="325"/>
        </w:tabs>
        <w:autoSpaceDE w:val="0"/>
        <w:autoSpaceDN w:val="0"/>
        <w:spacing w:before="200" w:line="240" w:lineRule="auto"/>
        <w:ind w:left="22" w:right="18"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N.</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Guleria,</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"Binary</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to</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Gray</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code</w:t>
      </w:r>
      <w:r w:rsidRPr="008F05A2">
        <w:rPr>
          <w:rFonts w:ascii="Times New Roman" w:eastAsia="Times New Roman" w:hAnsi="Times New Roman" w:cs="Times New Roman"/>
          <w:spacing w:val="-12"/>
          <w:lang w:val="en-US" w:eastAsia="en-US"/>
        </w:rPr>
        <w:t xml:space="preserve"> </w:t>
      </w:r>
      <w:r w:rsidRPr="008F05A2">
        <w:rPr>
          <w:rFonts w:ascii="Times New Roman" w:eastAsia="Times New Roman" w:hAnsi="Times New Roman" w:cs="Times New Roman"/>
          <w:lang w:val="en-US" w:eastAsia="en-US"/>
        </w:rPr>
        <w:t>converter</w:t>
      </w:r>
      <w:r w:rsidRPr="008F05A2">
        <w:rPr>
          <w:rFonts w:ascii="Times New Roman" w:eastAsia="Times New Roman" w:hAnsi="Times New Roman" w:cs="Times New Roman"/>
          <w:spacing w:val="-12"/>
          <w:lang w:val="en-US" w:eastAsia="en-US"/>
        </w:rPr>
        <w:t xml:space="preserve"> </w:t>
      </w:r>
      <w:r w:rsidRPr="008F05A2">
        <w:rPr>
          <w:rFonts w:ascii="Times New Roman" w:eastAsia="Times New Roman" w:hAnsi="Times New Roman" w:cs="Times New Roman"/>
          <w:lang w:val="en-US" w:eastAsia="en-US"/>
        </w:rPr>
        <w:t>implementation using QCA," in 2017 International Conference on I-SMAC (IoT</w:t>
      </w:r>
      <w:r w:rsidRPr="008F05A2">
        <w:rPr>
          <w:rFonts w:ascii="Times New Roman" w:eastAsia="Times New Roman" w:hAnsi="Times New Roman" w:cs="Times New Roman"/>
          <w:spacing w:val="-1"/>
          <w:lang w:val="en-US" w:eastAsia="en-US"/>
        </w:rPr>
        <w:t xml:space="preserve"> </w:t>
      </w:r>
      <w:r w:rsidRPr="008F05A2">
        <w:rPr>
          <w:rFonts w:ascii="Times New Roman" w:eastAsia="Times New Roman" w:hAnsi="Times New Roman" w:cs="Times New Roman"/>
          <w:lang w:val="en-US" w:eastAsia="en-US"/>
        </w:rPr>
        <w:t>in Social, Mobile, Analytics and Cloud) (I-SMAC), 2017,</w:t>
      </w:r>
    </w:p>
    <w:p w14:paraId="1E37C481" w14:textId="77777777" w:rsidR="00962262" w:rsidRPr="008F05A2" w:rsidRDefault="00962262" w:rsidP="00CC5085">
      <w:pPr>
        <w:widowControl w:val="0"/>
        <w:autoSpaceDE w:val="0"/>
        <w:autoSpaceDN w:val="0"/>
        <w:spacing w:line="251" w:lineRule="exact"/>
        <w:ind w:left="22"/>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pp.</w:t>
      </w:r>
      <w:r w:rsidRPr="008F05A2">
        <w:rPr>
          <w:rFonts w:ascii="Times New Roman" w:eastAsia="Times New Roman" w:hAnsi="Times New Roman" w:cs="Times New Roman"/>
          <w:spacing w:val="-2"/>
          <w:lang w:val="en-US" w:eastAsia="en-US"/>
        </w:rPr>
        <w:t xml:space="preserve"> </w:t>
      </w:r>
      <w:r w:rsidRPr="008F05A2">
        <w:rPr>
          <w:rFonts w:ascii="Times New Roman" w:eastAsia="Times New Roman" w:hAnsi="Times New Roman" w:cs="Times New Roman"/>
          <w:lang w:val="en-US" w:eastAsia="en-US"/>
        </w:rPr>
        <w:t>694-</w:t>
      </w:r>
      <w:r w:rsidRPr="008F05A2">
        <w:rPr>
          <w:rFonts w:ascii="Times New Roman" w:eastAsia="Times New Roman" w:hAnsi="Times New Roman" w:cs="Times New Roman"/>
          <w:spacing w:val="-4"/>
          <w:lang w:val="en-US" w:eastAsia="en-US"/>
        </w:rPr>
        <w:t>699.</w:t>
      </w:r>
    </w:p>
    <w:p w14:paraId="5C7A46C1" w14:textId="77777777" w:rsidR="00962262" w:rsidRPr="008F05A2" w:rsidRDefault="00962262" w:rsidP="00CC5085">
      <w:pPr>
        <w:widowControl w:val="0"/>
        <w:numPr>
          <w:ilvl w:val="0"/>
          <w:numId w:val="7"/>
        </w:numPr>
        <w:tabs>
          <w:tab w:val="left" w:pos="373"/>
        </w:tabs>
        <w:autoSpaceDE w:val="0"/>
        <w:autoSpaceDN w:val="0"/>
        <w:spacing w:before="239" w:line="240" w:lineRule="auto"/>
        <w:ind w:left="22" w:right="23"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M. Khakpour, M. Gholami, and S. Naghizadeh, "Parity generator</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and</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digital</w:t>
      </w:r>
      <w:r w:rsidRPr="008F05A2">
        <w:rPr>
          <w:rFonts w:ascii="Times New Roman" w:eastAsia="Times New Roman" w:hAnsi="Times New Roman" w:cs="Times New Roman"/>
          <w:spacing w:val="-10"/>
          <w:lang w:val="en-US" w:eastAsia="en-US"/>
        </w:rPr>
        <w:t xml:space="preserve"> </w:t>
      </w:r>
      <w:r w:rsidRPr="008F05A2">
        <w:rPr>
          <w:rFonts w:ascii="Times New Roman" w:eastAsia="Times New Roman" w:hAnsi="Times New Roman" w:cs="Times New Roman"/>
          <w:lang w:val="en-US" w:eastAsia="en-US"/>
        </w:rPr>
        <w:t>code</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converter</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in</w:t>
      </w:r>
      <w:r w:rsidRPr="008F05A2">
        <w:rPr>
          <w:rFonts w:ascii="Times New Roman" w:eastAsia="Times New Roman" w:hAnsi="Times New Roman" w:cs="Times New Roman"/>
          <w:spacing w:val="-9"/>
          <w:lang w:val="en-US" w:eastAsia="en-US"/>
        </w:rPr>
        <w:t xml:space="preserve"> </w:t>
      </w:r>
      <w:r w:rsidRPr="008F05A2">
        <w:rPr>
          <w:rFonts w:ascii="Times New Roman" w:eastAsia="Times New Roman" w:hAnsi="Times New Roman" w:cs="Times New Roman"/>
          <w:lang w:val="en-US" w:eastAsia="en-US"/>
        </w:rPr>
        <w:t>QCA</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 xml:space="preserve">nanotechnology," </w:t>
      </w:r>
      <w:r w:rsidRPr="008F05A2">
        <w:rPr>
          <w:rFonts w:ascii="Times New Roman" w:eastAsia="Times New Roman" w:hAnsi="Times New Roman" w:cs="Times New Roman"/>
          <w:lang w:val="en-US" w:eastAsia="en-US"/>
        </w:rPr>
        <w:lastRenderedPageBreak/>
        <w:t>International Nano Letters, vol. 10, pp. 49–59, 2020.</w:t>
      </w:r>
    </w:p>
    <w:p w14:paraId="59F9354D" w14:textId="77777777" w:rsidR="00962262" w:rsidRPr="008F05A2" w:rsidRDefault="00962262" w:rsidP="00CC5085">
      <w:pPr>
        <w:widowControl w:val="0"/>
        <w:numPr>
          <w:ilvl w:val="0"/>
          <w:numId w:val="7"/>
        </w:numPr>
        <w:tabs>
          <w:tab w:val="left" w:pos="358"/>
        </w:tabs>
        <w:autoSpaceDE w:val="0"/>
        <w:autoSpaceDN w:val="0"/>
        <w:spacing w:before="200" w:line="240" w:lineRule="auto"/>
        <w:ind w:left="22" w:right="18"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F. Fouladinia, M. Gholami, and P. Karimi, "Three novel digital</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code</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converters</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in</w:t>
      </w:r>
      <w:r w:rsidRPr="008F05A2">
        <w:rPr>
          <w:rFonts w:ascii="Times New Roman" w:eastAsia="Times New Roman" w:hAnsi="Times New Roman" w:cs="Times New Roman"/>
          <w:spacing w:val="-13"/>
          <w:lang w:val="en-US" w:eastAsia="en-US"/>
        </w:rPr>
        <w:t xml:space="preserve"> </w:t>
      </w:r>
      <w:r w:rsidRPr="008F05A2">
        <w:rPr>
          <w:rFonts w:ascii="Times New Roman" w:eastAsia="Times New Roman" w:hAnsi="Times New Roman" w:cs="Times New Roman"/>
          <w:lang w:val="en-US" w:eastAsia="en-US"/>
        </w:rPr>
        <w:t>QCA</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nanotechnology,"</w:t>
      </w:r>
      <w:r w:rsidRPr="008F05A2">
        <w:rPr>
          <w:rFonts w:ascii="Times New Roman" w:eastAsia="Times New Roman" w:hAnsi="Times New Roman" w:cs="Times New Roman"/>
          <w:spacing w:val="-11"/>
          <w:lang w:val="en-US" w:eastAsia="en-US"/>
        </w:rPr>
        <w:t xml:space="preserve"> </w:t>
      </w:r>
      <w:r w:rsidRPr="008F05A2">
        <w:rPr>
          <w:rFonts w:ascii="Times New Roman" w:eastAsia="Times New Roman" w:hAnsi="Times New Roman" w:cs="Times New Roman"/>
          <w:lang w:val="en-US" w:eastAsia="en-US"/>
        </w:rPr>
        <w:t>Heliyon,</w:t>
      </w:r>
      <w:r w:rsidRPr="008F05A2">
        <w:rPr>
          <w:rFonts w:ascii="Times New Roman" w:eastAsia="Times New Roman" w:hAnsi="Times New Roman" w:cs="Times New Roman"/>
          <w:spacing w:val="-14"/>
          <w:lang w:val="en-US" w:eastAsia="en-US"/>
        </w:rPr>
        <w:t xml:space="preserve"> </w:t>
      </w:r>
      <w:r w:rsidRPr="008F05A2">
        <w:rPr>
          <w:rFonts w:ascii="Times New Roman" w:eastAsia="Times New Roman" w:hAnsi="Times New Roman" w:cs="Times New Roman"/>
          <w:lang w:val="en-US" w:eastAsia="en-US"/>
        </w:rPr>
        <w:t>vol. 10, e40446, 2024.</w:t>
      </w:r>
    </w:p>
    <w:p w14:paraId="487EA6FC" w14:textId="56EDBA19" w:rsidR="00962262" w:rsidRPr="008F05A2" w:rsidRDefault="00962262" w:rsidP="00CC5085">
      <w:pPr>
        <w:widowControl w:val="0"/>
        <w:numPr>
          <w:ilvl w:val="0"/>
          <w:numId w:val="7"/>
        </w:numPr>
        <w:tabs>
          <w:tab w:val="left" w:pos="351"/>
        </w:tabs>
        <w:autoSpaceDE w:val="0"/>
        <w:autoSpaceDN w:val="0"/>
        <w:spacing w:before="200" w:line="240" w:lineRule="auto"/>
        <w:ind w:left="22" w:right="17"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 xml:space="preserve">N. Nagaraju, A. Rani, S. </w:t>
      </w:r>
      <w:r w:rsidR="0038688E" w:rsidRPr="008F05A2">
        <w:rPr>
          <w:rFonts w:ascii="Times New Roman" w:eastAsia="Times New Roman" w:hAnsi="Times New Roman" w:cs="Times New Roman"/>
          <w:lang w:val="en-US" w:eastAsia="en-US"/>
        </w:rPr>
        <w:t>Teena Sri</w:t>
      </w:r>
      <w:r w:rsidRPr="008F05A2">
        <w:rPr>
          <w:rFonts w:ascii="Times New Roman" w:eastAsia="Times New Roman" w:hAnsi="Times New Roman" w:cs="Times New Roman"/>
          <w:lang w:val="en-US" w:eastAsia="en-US"/>
        </w:rPr>
        <w:t>, B. B. Subrahmanyam, and P. S. V. V. Srisha, "QCA based cost-efficient code converters with temperature stability," RB Journal of Lib &amp; Information Science, vol. 13, no. 3, 2023.</w:t>
      </w:r>
    </w:p>
    <w:p w14:paraId="3DD8ED7C" w14:textId="77777777" w:rsidR="00962262" w:rsidRPr="008F05A2" w:rsidRDefault="00962262" w:rsidP="00CC5085">
      <w:pPr>
        <w:widowControl w:val="0"/>
        <w:numPr>
          <w:ilvl w:val="0"/>
          <w:numId w:val="7"/>
        </w:numPr>
        <w:tabs>
          <w:tab w:val="left" w:pos="344"/>
        </w:tabs>
        <w:autoSpaceDE w:val="0"/>
        <w:autoSpaceDN w:val="0"/>
        <w:spacing w:before="200" w:line="240" w:lineRule="auto"/>
        <w:ind w:left="22" w:right="18"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A. Kaity and S. Singh, "Optimized area efficient quantum dot cellular automata based</w:t>
      </w:r>
      <w:r w:rsidRPr="008F05A2">
        <w:rPr>
          <w:rFonts w:ascii="Times New Roman" w:eastAsia="Times New Roman" w:hAnsi="Times New Roman" w:cs="Times New Roman"/>
          <w:spacing w:val="-1"/>
          <w:lang w:val="en-US" w:eastAsia="en-US"/>
        </w:rPr>
        <w:t xml:space="preserve"> </w:t>
      </w:r>
      <w:r w:rsidRPr="008F05A2">
        <w:rPr>
          <w:rFonts w:ascii="Times New Roman" w:eastAsia="Times New Roman" w:hAnsi="Times New Roman" w:cs="Times New Roman"/>
          <w:lang w:val="en-US" w:eastAsia="en-US"/>
        </w:rPr>
        <w:t>reversible code</w:t>
      </w:r>
      <w:r w:rsidRPr="008F05A2">
        <w:rPr>
          <w:rFonts w:ascii="Times New Roman" w:eastAsia="Times New Roman" w:hAnsi="Times New Roman" w:cs="Times New Roman"/>
          <w:spacing w:val="-1"/>
          <w:lang w:val="en-US" w:eastAsia="en-US"/>
        </w:rPr>
        <w:t xml:space="preserve"> </w:t>
      </w:r>
      <w:r w:rsidRPr="008F05A2">
        <w:rPr>
          <w:rFonts w:ascii="Times New Roman" w:eastAsia="Times New Roman" w:hAnsi="Times New Roman" w:cs="Times New Roman"/>
          <w:lang w:val="en-US" w:eastAsia="en-US"/>
        </w:rPr>
        <w:t>converter circuits: design and energy performance estimation," Journal of Supercomputing, vol. 77, pp. 11160–11186, 2021.</w:t>
      </w:r>
    </w:p>
    <w:p w14:paraId="160E04D9" w14:textId="5364B1DC" w:rsidR="00CC5085" w:rsidRPr="008F05A2" w:rsidRDefault="00CC5085" w:rsidP="00CC5085">
      <w:pPr>
        <w:widowControl w:val="0"/>
        <w:numPr>
          <w:ilvl w:val="0"/>
          <w:numId w:val="7"/>
        </w:numPr>
        <w:tabs>
          <w:tab w:val="left" w:pos="324"/>
          <w:tab w:val="left" w:pos="2113"/>
          <w:tab w:val="left" w:pos="3727"/>
        </w:tabs>
        <w:autoSpaceDE w:val="0"/>
        <w:autoSpaceDN w:val="0"/>
        <w:spacing w:before="65" w:line="240" w:lineRule="auto"/>
        <w:ind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 xml:space="preserve">H. Rashidi and A. Rezai, “High-performance full adder </w:t>
      </w:r>
      <w:r w:rsidRPr="008F05A2">
        <w:rPr>
          <w:rFonts w:ascii="Times New Roman" w:eastAsia="Times New Roman" w:hAnsi="Times New Roman" w:cs="Times New Roman"/>
          <w:spacing w:val="-2"/>
          <w:lang w:val="en-US" w:eastAsia="en-US"/>
        </w:rPr>
        <w:t>architecture</w:t>
      </w:r>
      <w:r w:rsidRPr="008F05A2">
        <w:rPr>
          <w:rFonts w:ascii="Times New Roman" w:eastAsia="Times New Roman" w:hAnsi="Times New Roman" w:cs="Times New Roman"/>
          <w:lang w:val="en-US" w:eastAsia="en-US"/>
        </w:rPr>
        <w:t xml:space="preserve"> </w:t>
      </w:r>
      <w:r w:rsidRPr="008F05A2">
        <w:rPr>
          <w:rFonts w:ascii="Times New Roman" w:eastAsia="Times New Roman" w:hAnsi="Times New Roman" w:cs="Times New Roman"/>
          <w:spacing w:val="-2"/>
          <w:lang w:val="en-US" w:eastAsia="en-US"/>
        </w:rPr>
        <w:t>circuit quantum-dot cellular automata</w:t>
      </w:r>
      <w:r w:rsidR="0038688E" w:rsidRPr="008F05A2">
        <w:rPr>
          <w:rFonts w:ascii="Times New Roman" w:eastAsia="Times New Roman" w:hAnsi="Times New Roman" w:cs="Times New Roman"/>
          <w:spacing w:val="-2"/>
          <w:lang w:val="en-US" w:eastAsia="en-US"/>
        </w:rPr>
        <w:t>,” J.Eng., vol.1, no.1, pp.</w:t>
      </w:r>
      <w:r w:rsidRPr="008F05A2">
        <w:rPr>
          <w:rFonts w:ascii="Times New Roman" w:eastAsia="Times New Roman" w:hAnsi="Times New Roman" w:cs="Times New Roman"/>
          <w:spacing w:val="-2"/>
          <w:lang w:val="en-US" w:eastAsia="en-US"/>
        </w:rPr>
        <w:t>1–</w:t>
      </w:r>
      <w:r w:rsidR="0038688E" w:rsidRPr="008F05A2">
        <w:rPr>
          <w:rFonts w:ascii="Times New Roman" w:eastAsia="Times New Roman" w:hAnsi="Times New Roman" w:cs="Times New Roman"/>
          <w:spacing w:val="-2"/>
          <w:lang w:val="en-US" w:eastAsia="en-US"/>
        </w:rPr>
        <w:t>9, Jun.</w:t>
      </w:r>
      <w:r w:rsidRPr="008F05A2">
        <w:rPr>
          <w:rFonts w:ascii="Times New Roman" w:eastAsia="Times New Roman" w:hAnsi="Times New Roman" w:cs="Times New Roman"/>
          <w:spacing w:val="-2"/>
          <w:lang w:val="en-US" w:eastAsia="en-US"/>
        </w:rPr>
        <w:t>2021.</w:t>
      </w:r>
    </w:p>
    <w:p w14:paraId="3C483A09" w14:textId="77777777" w:rsidR="00CC5085" w:rsidRPr="008F05A2" w:rsidRDefault="00CC5085" w:rsidP="00CC5085">
      <w:pPr>
        <w:widowControl w:val="0"/>
        <w:autoSpaceDE w:val="0"/>
        <w:autoSpaceDN w:val="0"/>
        <w:jc w:val="both"/>
        <w:rPr>
          <w:rFonts w:ascii="Times New Roman" w:eastAsia="Times New Roman" w:hAnsi="Times New Roman" w:cs="Times New Roman"/>
          <w:lang w:val="en-US" w:eastAsia="en-US"/>
        </w:rPr>
      </w:pPr>
    </w:p>
    <w:p w14:paraId="5B03F3BE" w14:textId="44D92734" w:rsidR="00CC5085" w:rsidRPr="008F05A2" w:rsidRDefault="00CC5085" w:rsidP="00CC5085">
      <w:pPr>
        <w:widowControl w:val="0"/>
        <w:autoSpaceDE w:val="0"/>
        <w:autoSpaceDN w:val="0"/>
        <w:jc w:val="both"/>
        <w:rPr>
          <w:rFonts w:ascii="Times New Roman" w:eastAsia="Times New Roman" w:hAnsi="Times New Roman" w:cs="Times New Roman"/>
          <w:lang w:val="en-US" w:eastAsia="en-US"/>
        </w:rPr>
      </w:pPr>
      <w:r w:rsidRPr="008F05A2">
        <w:rPr>
          <w:rFonts w:ascii="Times New Roman" w:eastAsia="Times New Roman" w:hAnsi="Times New Roman" w:cs="Times New Roman"/>
          <w:spacing w:val="-2"/>
          <w:lang w:val="en-US" w:eastAsia="en-US"/>
        </w:rPr>
        <w:t>[</w:t>
      </w:r>
      <w:r w:rsidR="0038688E" w:rsidRPr="008F05A2">
        <w:rPr>
          <w:rFonts w:ascii="Times New Roman" w:eastAsia="Times New Roman" w:hAnsi="Times New Roman" w:cs="Times New Roman"/>
          <w:spacing w:val="-2"/>
          <w:lang w:val="en-US" w:eastAsia="en-US"/>
        </w:rPr>
        <w:t>8] M. Balalia. Rezai</w:t>
      </w:r>
      <w:r w:rsidRPr="008F05A2">
        <w:rPr>
          <w:rFonts w:ascii="Times New Roman" w:eastAsia="Times New Roman" w:hAnsi="Times New Roman" w:cs="Times New Roman"/>
          <w:spacing w:val="-2"/>
          <w:lang w:val="en-US" w:eastAsia="en-US"/>
        </w:rPr>
        <w:t>,</w:t>
      </w:r>
      <w:r w:rsidR="008F05A2">
        <w:rPr>
          <w:rFonts w:ascii="Times New Roman" w:eastAsia="Times New Roman" w:hAnsi="Times New Roman" w:cs="Times New Roman"/>
          <w:spacing w:val="-2"/>
          <w:lang w:val="en-US" w:eastAsia="en-US"/>
        </w:rPr>
        <w:t xml:space="preserve"> </w:t>
      </w:r>
      <w:r w:rsidR="0038688E" w:rsidRPr="008F05A2">
        <w:rPr>
          <w:rFonts w:ascii="Times New Roman" w:eastAsia="Times New Roman" w:hAnsi="Times New Roman" w:cs="Times New Roman"/>
          <w:spacing w:val="-2"/>
          <w:lang w:val="en-US" w:eastAsia="en-US"/>
        </w:rPr>
        <w:t>H. Balali, F</w:t>
      </w:r>
      <w:r w:rsidRPr="008F05A2">
        <w:rPr>
          <w:rFonts w:ascii="Times New Roman" w:eastAsia="Times New Roman" w:hAnsi="Times New Roman" w:cs="Times New Roman"/>
          <w:spacing w:val="-2"/>
          <w:lang w:val="en-US" w:eastAsia="en-US"/>
        </w:rPr>
        <w:t>.Rabiei,</w:t>
      </w:r>
      <w:r w:rsidR="008F05A2">
        <w:rPr>
          <w:rFonts w:ascii="Times New Roman" w:eastAsia="Times New Roman" w:hAnsi="Times New Roman" w:cs="Times New Roman"/>
          <w:spacing w:val="-2"/>
          <w:lang w:val="en-US" w:eastAsia="en-US"/>
        </w:rPr>
        <w:t xml:space="preserve"> </w:t>
      </w:r>
      <w:r w:rsidRPr="008F05A2">
        <w:rPr>
          <w:rFonts w:ascii="Times New Roman" w:eastAsia="Times New Roman" w:hAnsi="Times New Roman" w:cs="Times New Roman"/>
          <w:spacing w:val="-2"/>
          <w:lang w:val="en-US" w:eastAsia="en-US"/>
        </w:rPr>
        <w:t>and</w:t>
      </w:r>
      <w:r w:rsidR="008F05A2">
        <w:rPr>
          <w:rFonts w:ascii="Times New Roman" w:eastAsia="Times New Roman" w:hAnsi="Times New Roman" w:cs="Times New Roman"/>
          <w:spacing w:val="-2"/>
          <w:lang w:val="en-US" w:eastAsia="en-US"/>
        </w:rPr>
        <w:t xml:space="preserve"> </w:t>
      </w:r>
      <w:r w:rsidRPr="008F05A2">
        <w:rPr>
          <w:rFonts w:ascii="Times New Roman" w:eastAsia="Times New Roman" w:hAnsi="Times New Roman" w:cs="Times New Roman"/>
          <w:spacing w:val="-2"/>
          <w:lang w:val="en-US" w:eastAsia="en-US"/>
        </w:rPr>
        <w:t>S.Emadi</w:t>
      </w:r>
      <w:r w:rsidR="0038688E" w:rsidRPr="008F05A2">
        <w:rPr>
          <w:rFonts w:ascii="Times New Roman" w:eastAsia="Times New Roman" w:hAnsi="Times New Roman" w:cs="Times New Roman"/>
          <w:spacing w:val="-2"/>
          <w:lang w:val="en-US" w:eastAsia="en-US"/>
        </w:rPr>
        <w:t>, “</w:t>
      </w:r>
      <w:r w:rsidRPr="008F05A2">
        <w:rPr>
          <w:rFonts w:ascii="Times New Roman" w:eastAsia="Times New Roman" w:hAnsi="Times New Roman" w:cs="Times New Roman"/>
          <w:spacing w:val="-2"/>
          <w:lang w:val="en-US" w:eastAsia="en-US"/>
        </w:rPr>
        <w:t xml:space="preserve">Towards </w:t>
      </w:r>
      <w:r w:rsidRPr="008F05A2">
        <w:rPr>
          <w:rFonts w:ascii="Times New Roman" w:eastAsia="Times New Roman" w:hAnsi="Times New Roman" w:cs="Times New Roman"/>
          <w:lang w:val="en-US" w:eastAsia="en-US"/>
        </w:rPr>
        <w:t xml:space="preserve">coplanar quantum-dot cellular automata adders based on efficient three-input XOR gate,” Results </w:t>
      </w:r>
      <w:r w:rsidR="0038688E" w:rsidRPr="008F05A2">
        <w:rPr>
          <w:rFonts w:ascii="Times New Roman" w:eastAsia="Times New Roman" w:hAnsi="Times New Roman" w:cs="Times New Roman"/>
          <w:lang w:val="en-US" w:eastAsia="en-US"/>
        </w:rPr>
        <w:t>Phys., vol.7, pp.</w:t>
      </w:r>
      <w:r w:rsidRPr="008F05A2">
        <w:rPr>
          <w:rFonts w:ascii="Times New Roman" w:eastAsia="Times New Roman" w:hAnsi="Times New Roman" w:cs="Times New Roman"/>
          <w:lang w:val="en-US" w:eastAsia="en-US"/>
        </w:rPr>
        <w:t xml:space="preserve">1- </w:t>
      </w:r>
      <w:r w:rsidR="0038688E" w:rsidRPr="008F05A2">
        <w:rPr>
          <w:rFonts w:ascii="Times New Roman" w:eastAsia="Times New Roman" w:hAnsi="Times New Roman" w:cs="Times New Roman"/>
          <w:spacing w:val="-2"/>
          <w:lang w:val="en-US" w:eastAsia="en-US"/>
        </w:rPr>
        <w:t>9, 2020..</w:t>
      </w:r>
    </w:p>
    <w:p w14:paraId="41AAB0CA" w14:textId="40157932" w:rsidR="00CC5085" w:rsidRPr="008F05A2" w:rsidRDefault="00CC5085" w:rsidP="00CC5085">
      <w:pPr>
        <w:widowControl w:val="0"/>
        <w:numPr>
          <w:ilvl w:val="0"/>
          <w:numId w:val="8"/>
        </w:numPr>
        <w:tabs>
          <w:tab w:val="left" w:pos="474"/>
        </w:tabs>
        <w:autoSpaceDE w:val="0"/>
        <w:autoSpaceDN w:val="0"/>
        <w:spacing w:before="200" w:line="240" w:lineRule="auto"/>
        <w:ind w:right="3"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 xml:space="preserve">M. G. Waje and P. K. </w:t>
      </w:r>
      <w:r w:rsidR="0038688E" w:rsidRPr="008F05A2">
        <w:rPr>
          <w:rFonts w:ascii="Times New Roman" w:eastAsia="Times New Roman" w:hAnsi="Times New Roman" w:cs="Times New Roman"/>
          <w:lang w:val="en-US" w:eastAsia="en-US"/>
        </w:rPr>
        <w:t>Dak hole</w:t>
      </w:r>
      <w:r w:rsidRPr="008F05A2">
        <w:rPr>
          <w:rFonts w:ascii="Times New Roman" w:eastAsia="Times New Roman" w:hAnsi="Times New Roman" w:cs="Times New Roman"/>
          <w:lang w:val="en-US" w:eastAsia="en-US"/>
        </w:rPr>
        <w:t>, “Design and implementation of 4-bit arithmetic logic unit using Quantum Dot Cellular Automata,”2022, pp.1022–1029.</w:t>
      </w:r>
    </w:p>
    <w:p w14:paraId="4C4D1D62" w14:textId="6AEB176D" w:rsidR="00CC5085" w:rsidRPr="008F05A2" w:rsidRDefault="00CC5085" w:rsidP="00CC5085">
      <w:pPr>
        <w:widowControl w:val="0"/>
        <w:numPr>
          <w:ilvl w:val="0"/>
          <w:numId w:val="8"/>
        </w:numPr>
        <w:tabs>
          <w:tab w:val="left" w:pos="445"/>
        </w:tabs>
        <w:autoSpaceDE w:val="0"/>
        <w:autoSpaceDN w:val="0"/>
        <w:spacing w:before="200" w:line="240" w:lineRule="auto"/>
        <w:ind w:right="1"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Khan,</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A.,</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Safoev,</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N.</w:t>
      </w:r>
      <w:r w:rsidRPr="008F05A2">
        <w:rPr>
          <w:rFonts w:ascii="Times New Roman" w:eastAsia="Times New Roman" w:hAnsi="Times New Roman" w:cs="Times New Roman"/>
          <w:spacing w:val="-6"/>
          <w:lang w:val="en-US" w:eastAsia="en-US"/>
        </w:rPr>
        <w:t xml:space="preserve"> </w:t>
      </w:r>
      <w:r w:rsidRPr="008F05A2">
        <w:rPr>
          <w:rFonts w:ascii="Times New Roman" w:eastAsia="Times New Roman" w:hAnsi="Times New Roman" w:cs="Times New Roman"/>
          <w:lang w:val="en-US" w:eastAsia="en-US"/>
        </w:rPr>
        <w:t>&amp;</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Arya,</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R.</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Modeling</w:t>
      </w:r>
      <w:r w:rsidRPr="008F05A2">
        <w:rPr>
          <w:rFonts w:ascii="Times New Roman" w:eastAsia="Times New Roman" w:hAnsi="Times New Roman" w:cs="Times New Roman"/>
          <w:spacing w:val="-6"/>
          <w:lang w:val="en-US" w:eastAsia="en-US"/>
        </w:rPr>
        <w:t xml:space="preserve"> </w:t>
      </w:r>
      <w:r w:rsidRPr="008F05A2">
        <w:rPr>
          <w:rFonts w:ascii="Times New Roman" w:eastAsia="Times New Roman" w:hAnsi="Times New Roman" w:cs="Times New Roman"/>
          <w:lang w:val="en-US" w:eastAsia="en-US"/>
        </w:rPr>
        <w:t>of</w:t>
      </w:r>
      <w:r w:rsidRPr="008F05A2">
        <w:rPr>
          <w:rFonts w:ascii="Times New Roman" w:eastAsia="Times New Roman" w:hAnsi="Times New Roman" w:cs="Times New Roman"/>
          <w:spacing w:val="-5"/>
          <w:lang w:val="en-US" w:eastAsia="en-US"/>
        </w:rPr>
        <w:t xml:space="preserve"> </w:t>
      </w:r>
      <w:r w:rsidRPr="008F05A2">
        <w:rPr>
          <w:rFonts w:ascii="Times New Roman" w:eastAsia="Times New Roman" w:hAnsi="Times New Roman" w:cs="Times New Roman"/>
          <w:lang w:val="en-US" w:eastAsia="en-US"/>
        </w:rPr>
        <w:t>excess-3</w:t>
      </w:r>
      <w:r w:rsidRPr="008F05A2">
        <w:rPr>
          <w:rFonts w:ascii="Times New Roman" w:eastAsia="Times New Roman" w:hAnsi="Times New Roman" w:cs="Times New Roman"/>
          <w:spacing w:val="-6"/>
          <w:lang w:val="en-US" w:eastAsia="en-US"/>
        </w:rPr>
        <w:t xml:space="preserve"> </w:t>
      </w:r>
      <w:r w:rsidRPr="008F05A2">
        <w:rPr>
          <w:rFonts w:ascii="Times New Roman" w:eastAsia="Times New Roman" w:hAnsi="Times New Roman" w:cs="Times New Roman"/>
          <w:lang w:val="en-US" w:eastAsia="en-US"/>
        </w:rPr>
        <w:t xml:space="preserve">to BCD code converter for nano system using quantum-dot cellular automata technology. Int. J. Numer. Model. Electron. </w:t>
      </w:r>
      <w:r w:rsidR="0038688E" w:rsidRPr="008F05A2">
        <w:rPr>
          <w:rFonts w:ascii="Times New Roman" w:eastAsia="Times New Roman" w:hAnsi="Times New Roman" w:cs="Times New Roman"/>
          <w:lang w:val="en-US" w:eastAsia="en-US"/>
        </w:rPr>
        <w:t>Newt</w:t>
      </w:r>
      <w:r w:rsidRPr="008F05A2">
        <w:rPr>
          <w:rFonts w:ascii="Times New Roman" w:eastAsia="Times New Roman" w:hAnsi="Times New Roman" w:cs="Times New Roman"/>
          <w:lang w:val="en-US" w:eastAsia="en-US"/>
        </w:rPr>
        <w:t>. Devices Fields 36(2), e3055 (2023).</w:t>
      </w:r>
    </w:p>
    <w:p w14:paraId="456D16F0" w14:textId="712D175B" w:rsidR="00CC5085" w:rsidRPr="008F05A2" w:rsidRDefault="00CC5085" w:rsidP="00CC5085">
      <w:pPr>
        <w:widowControl w:val="0"/>
        <w:numPr>
          <w:ilvl w:val="0"/>
          <w:numId w:val="8"/>
        </w:numPr>
        <w:tabs>
          <w:tab w:val="left" w:pos="455"/>
        </w:tabs>
        <w:autoSpaceDE w:val="0"/>
        <w:autoSpaceDN w:val="0"/>
        <w:spacing w:before="202" w:line="240" w:lineRule="auto"/>
        <w:ind w:right="3" w:firstLine="0"/>
        <w:jc w:val="both"/>
        <w:rPr>
          <w:rFonts w:ascii="Times New Roman" w:eastAsia="Times New Roman" w:hAnsi="Times New Roman" w:cs="Times New Roman"/>
          <w:lang w:val="en-US" w:eastAsia="en-US"/>
        </w:rPr>
      </w:pPr>
      <w:r w:rsidRPr="008F05A2">
        <w:rPr>
          <w:rFonts w:ascii="Times New Roman" w:eastAsia="Times New Roman" w:hAnsi="Times New Roman" w:cs="Times New Roman"/>
          <w:lang w:val="en-US" w:eastAsia="en-US"/>
        </w:rPr>
        <w:t xml:space="preserve">Gholami, M., Movahedi, M. &amp; </w:t>
      </w:r>
      <w:r w:rsidR="0038688E" w:rsidRPr="008F05A2">
        <w:rPr>
          <w:rFonts w:ascii="Times New Roman" w:eastAsia="Times New Roman" w:hAnsi="Times New Roman" w:cs="Times New Roman"/>
          <w:lang w:val="en-US" w:eastAsia="en-US"/>
        </w:rPr>
        <w:t>Aminzadeh</w:t>
      </w:r>
      <w:r w:rsidRPr="008F05A2">
        <w:rPr>
          <w:rFonts w:ascii="Times New Roman" w:eastAsia="Times New Roman" w:hAnsi="Times New Roman" w:cs="Times New Roman"/>
          <w:lang w:val="en-US" w:eastAsia="en-US"/>
        </w:rPr>
        <w:t>, Z. Latch and fip-fop</w:t>
      </w:r>
      <w:r w:rsidRPr="008F05A2">
        <w:rPr>
          <w:rFonts w:ascii="Times New Roman" w:eastAsia="Times New Roman" w:hAnsi="Times New Roman" w:cs="Times New Roman"/>
          <w:spacing w:val="-7"/>
          <w:lang w:val="en-US" w:eastAsia="en-US"/>
        </w:rPr>
        <w:t xml:space="preserve"> </w:t>
      </w:r>
      <w:r w:rsidRPr="008F05A2">
        <w:rPr>
          <w:rFonts w:ascii="Times New Roman" w:eastAsia="Times New Roman" w:hAnsi="Times New Roman" w:cs="Times New Roman"/>
          <w:lang w:val="en-US" w:eastAsia="en-US"/>
        </w:rPr>
        <w:t>design</w:t>
      </w:r>
      <w:r w:rsidRPr="008F05A2">
        <w:rPr>
          <w:rFonts w:ascii="Times New Roman" w:eastAsia="Times New Roman" w:hAnsi="Times New Roman" w:cs="Times New Roman"/>
          <w:spacing w:val="-7"/>
          <w:lang w:val="en-US" w:eastAsia="en-US"/>
        </w:rPr>
        <w:t xml:space="preserve"> </w:t>
      </w:r>
      <w:r w:rsidRPr="008F05A2">
        <w:rPr>
          <w:rFonts w:ascii="Times New Roman" w:eastAsia="Times New Roman" w:hAnsi="Times New Roman" w:cs="Times New Roman"/>
          <w:lang w:val="en-US" w:eastAsia="en-US"/>
        </w:rPr>
        <w:t>in</w:t>
      </w:r>
      <w:r w:rsidRPr="008F05A2">
        <w:rPr>
          <w:rFonts w:ascii="Times New Roman" w:eastAsia="Times New Roman" w:hAnsi="Times New Roman" w:cs="Times New Roman"/>
          <w:spacing w:val="-4"/>
          <w:lang w:val="en-US" w:eastAsia="en-US"/>
        </w:rPr>
        <w:t xml:space="preserve"> </w:t>
      </w:r>
      <w:r w:rsidRPr="008F05A2">
        <w:rPr>
          <w:rFonts w:ascii="Times New Roman" w:eastAsia="Times New Roman" w:hAnsi="Times New Roman" w:cs="Times New Roman"/>
          <w:lang w:val="en-US" w:eastAsia="en-US"/>
        </w:rPr>
        <w:t>QCA</w:t>
      </w:r>
      <w:r w:rsidRPr="008F05A2">
        <w:rPr>
          <w:rFonts w:ascii="Times New Roman" w:eastAsia="Times New Roman" w:hAnsi="Times New Roman" w:cs="Times New Roman"/>
          <w:spacing w:val="-8"/>
          <w:lang w:val="en-US" w:eastAsia="en-US"/>
        </w:rPr>
        <w:t xml:space="preserve"> </w:t>
      </w:r>
      <w:r w:rsidRPr="008F05A2">
        <w:rPr>
          <w:rFonts w:ascii="Times New Roman" w:eastAsia="Times New Roman" w:hAnsi="Times New Roman" w:cs="Times New Roman"/>
          <w:lang w:val="en-US" w:eastAsia="en-US"/>
        </w:rPr>
        <w:t>technology</w:t>
      </w:r>
      <w:r w:rsidRPr="008F05A2">
        <w:rPr>
          <w:rFonts w:ascii="Times New Roman" w:eastAsia="Times New Roman" w:hAnsi="Times New Roman" w:cs="Times New Roman"/>
          <w:spacing w:val="-7"/>
          <w:lang w:val="en-US" w:eastAsia="en-US"/>
        </w:rPr>
        <w:t xml:space="preserve"> </w:t>
      </w:r>
      <w:r w:rsidRPr="008F05A2">
        <w:rPr>
          <w:rFonts w:ascii="Times New Roman" w:eastAsia="Times New Roman" w:hAnsi="Times New Roman" w:cs="Times New Roman"/>
          <w:lang w:val="en-US" w:eastAsia="en-US"/>
        </w:rPr>
        <w:t>with</w:t>
      </w:r>
      <w:r w:rsidRPr="008F05A2">
        <w:rPr>
          <w:rFonts w:ascii="Times New Roman" w:eastAsia="Times New Roman" w:hAnsi="Times New Roman" w:cs="Times New Roman"/>
          <w:spacing w:val="-7"/>
          <w:lang w:val="en-US" w:eastAsia="en-US"/>
        </w:rPr>
        <w:t xml:space="preserve"> </w:t>
      </w:r>
      <w:r w:rsidRPr="008F05A2">
        <w:rPr>
          <w:rFonts w:ascii="Times New Roman" w:eastAsia="Times New Roman" w:hAnsi="Times New Roman" w:cs="Times New Roman"/>
          <w:lang w:val="en-US" w:eastAsia="en-US"/>
        </w:rPr>
        <w:t>a</w:t>
      </w:r>
      <w:r w:rsidRPr="008F05A2">
        <w:rPr>
          <w:rFonts w:ascii="Times New Roman" w:eastAsia="Times New Roman" w:hAnsi="Times New Roman" w:cs="Times New Roman"/>
          <w:spacing w:val="-6"/>
          <w:lang w:val="en-US" w:eastAsia="en-US"/>
        </w:rPr>
        <w:t xml:space="preserve"> </w:t>
      </w:r>
      <w:r w:rsidRPr="008F05A2">
        <w:rPr>
          <w:rFonts w:ascii="Times New Roman" w:eastAsia="Times New Roman" w:hAnsi="Times New Roman" w:cs="Times New Roman"/>
          <w:lang w:val="en-US" w:eastAsia="en-US"/>
        </w:rPr>
        <w:t>minimum</w:t>
      </w:r>
      <w:r w:rsidRPr="008F05A2">
        <w:rPr>
          <w:rFonts w:ascii="Times New Roman" w:eastAsia="Times New Roman" w:hAnsi="Times New Roman" w:cs="Times New Roman"/>
          <w:spacing w:val="-3"/>
          <w:lang w:val="en-US" w:eastAsia="en-US"/>
        </w:rPr>
        <w:t xml:space="preserve"> </w:t>
      </w:r>
      <w:r w:rsidRPr="008F05A2">
        <w:rPr>
          <w:rFonts w:ascii="Times New Roman" w:eastAsia="Times New Roman" w:hAnsi="Times New Roman" w:cs="Times New Roman"/>
          <w:lang w:val="en-US" w:eastAsia="en-US"/>
        </w:rPr>
        <w:t>number</w:t>
      </w:r>
      <w:r w:rsidRPr="008F05A2">
        <w:rPr>
          <w:rFonts w:ascii="Times New Roman" w:eastAsia="Times New Roman" w:hAnsi="Times New Roman" w:cs="Times New Roman"/>
          <w:spacing w:val="-4"/>
          <w:lang w:val="en-US" w:eastAsia="en-US"/>
        </w:rPr>
        <w:t xml:space="preserve"> </w:t>
      </w:r>
      <w:r w:rsidRPr="008F05A2">
        <w:rPr>
          <w:rFonts w:ascii="Times New Roman" w:eastAsia="Times New Roman" w:hAnsi="Times New Roman" w:cs="Times New Roman"/>
          <w:lang w:val="en-US" w:eastAsia="en-US"/>
        </w:rPr>
        <w:t xml:space="preserve">of cells. </w:t>
      </w:r>
      <w:r w:rsidR="0038688E" w:rsidRPr="008F05A2">
        <w:rPr>
          <w:rFonts w:ascii="Times New Roman" w:eastAsia="Times New Roman" w:hAnsi="Times New Roman" w:cs="Times New Roman"/>
          <w:lang w:val="en-US" w:eastAsia="en-US"/>
        </w:rPr>
        <w:t>Computer</w:t>
      </w:r>
      <w:r w:rsidRPr="008F05A2">
        <w:rPr>
          <w:rFonts w:ascii="Times New Roman" w:eastAsia="Times New Roman" w:hAnsi="Times New Roman" w:cs="Times New Roman"/>
          <w:lang w:val="en-US" w:eastAsia="en-US"/>
        </w:rPr>
        <w:t>. Electr. Eng. 102, 108186 (2022).</w:t>
      </w:r>
    </w:p>
    <w:p w14:paraId="35C35AE7" w14:textId="77777777" w:rsidR="00CC5085" w:rsidRPr="008F05A2" w:rsidRDefault="00CC5085" w:rsidP="00CC5085">
      <w:pPr>
        <w:widowControl w:val="0"/>
        <w:tabs>
          <w:tab w:val="left" w:pos="455"/>
        </w:tabs>
        <w:autoSpaceDE w:val="0"/>
        <w:autoSpaceDN w:val="0"/>
        <w:spacing w:before="202" w:line="240" w:lineRule="auto"/>
        <w:ind w:left="23" w:right="3"/>
        <w:jc w:val="both"/>
        <w:rPr>
          <w:rFonts w:ascii="Times New Roman" w:eastAsia="Times New Roman" w:hAnsi="Times New Roman" w:cs="Times New Roman"/>
          <w:lang w:val="en-US" w:eastAsia="en-US"/>
        </w:rPr>
      </w:pPr>
    </w:p>
    <w:p w14:paraId="11D097FD" w14:textId="5540D1DE" w:rsidR="00CC5085" w:rsidRPr="008F05A2" w:rsidRDefault="00CC5085" w:rsidP="00CC5085">
      <w:pPr>
        <w:pStyle w:val="ListParagraph"/>
        <w:numPr>
          <w:ilvl w:val="0"/>
          <w:numId w:val="8"/>
        </w:numPr>
        <w:tabs>
          <w:tab w:val="left" w:pos="456"/>
        </w:tabs>
        <w:spacing w:before="66" w:line="276" w:lineRule="auto"/>
        <w:ind w:left="22" w:right="20" w:firstLine="0"/>
        <w:jc w:val="both"/>
      </w:pPr>
      <w:r w:rsidRPr="008F05A2">
        <w:t>Raj, M., Ahmed, S. &amp; Lakshminarayanan, G. Subtractor circuits</w:t>
      </w:r>
      <w:r w:rsidRPr="008F05A2">
        <w:rPr>
          <w:spacing w:val="-14"/>
        </w:rPr>
        <w:t xml:space="preserve"> </w:t>
      </w:r>
      <w:r w:rsidRPr="008F05A2">
        <w:t>using</w:t>
      </w:r>
      <w:r w:rsidRPr="008F05A2">
        <w:rPr>
          <w:spacing w:val="-14"/>
        </w:rPr>
        <w:t xml:space="preserve"> </w:t>
      </w:r>
      <w:r w:rsidR="0038688E" w:rsidRPr="008F05A2">
        <w:t>different</w:t>
      </w:r>
      <w:r w:rsidRPr="008F05A2">
        <w:rPr>
          <w:spacing w:val="-14"/>
        </w:rPr>
        <w:t xml:space="preserve"> </w:t>
      </w:r>
      <w:r w:rsidRPr="008F05A2">
        <w:t>wire</w:t>
      </w:r>
      <w:r w:rsidRPr="008F05A2">
        <w:rPr>
          <w:spacing w:val="-13"/>
        </w:rPr>
        <w:t xml:space="preserve"> </w:t>
      </w:r>
      <w:r w:rsidRPr="008F05A2">
        <w:t>crossing</w:t>
      </w:r>
      <w:r w:rsidRPr="008F05A2">
        <w:rPr>
          <w:spacing w:val="-14"/>
        </w:rPr>
        <w:t xml:space="preserve"> </w:t>
      </w:r>
      <w:r w:rsidRPr="008F05A2">
        <w:t>techniques</w:t>
      </w:r>
      <w:r w:rsidRPr="008F05A2">
        <w:rPr>
          <w:spacing w:val="-13"/>
        </w:rPr>
        <w:t xml:space="preserve"> </w:t>
      </w:r>
      <w:r w:rsidRPr="008F05A2">
        <w:t>in</w:t>
      </w:r>
      <w:r w:rsidRPr="008F05A2">
        <w:rPr>
          <w:spacing w:val="-13"/>
        </w:rPr>
        <w:t xml:space="preserve"> </w:t>
      </w:r>
      <w:r w:rsidRPr="008F05A2">
        <w:t xml:space="preserve">quantum-dot cellular automata. J. </w:t>
      </w:r>
      <w:r w:rsidR="0038688E" w:rsidRPr="008F05A2">
        <w:t>Nano photon</w:t>
      </w:r>
      <w:r w:rsidRPr="008F05A2">
        <w:t>. 14(2), 026007 (2020).</w:t>
      </w:r>
    </w:p>
    <w:p w14:paraId="0A638A5F" w14:textId="77777777" w:rsidR="00CC5085" w:rsidRPr="008F05A2" w:rsidRDefault="00CC5085" w:rsidP="00CC5085">
      <w:pPr>
        <w:pStyle w:val="ListParagraph"/>
        <w:numPr>
          <w:ilvl w:val="0"/>
          <w:numId w:val="8"/>
        </w:numPr>
        <w:tabs>
          <w:tab w:val="left" w:pos="468"/>
        </w:tabs>
        <w:spacing w:line="276" w:lineRule="auto"/>
        <w:ind w:left="22" w:right="20" w:firstLine="0"/>
        <w:jc w:val="both"/>
      </w:pPr>
      <w:r w:rsidRPr="008F05A2">
        <w:t>F. Fouladinia, M. Gholami, Decimal to excess-3, BCD, and</w:t>
      </w:r>
      <w:r w:rsidRPr="008F05A2">
        <w:rPr>
          <w:spacing w:val="-1"/>
        </w:rPr>
        <w:t xml:space="preserve"> </w:t>
      </w:r>
      <w:r w:rsidRPr="008F05A2">
        <w:t>gray</w:t>
      </w:r>
      <w:r w:rsidRPr="008F05A2">
        <w:rPr>
          <w:spacing w:val="-3"/>
        </w:rPr>
        <w:t xml:space="preserve"> </w:t>
      </w:r>
      <w:r w:rsidRPr="008F05A2">
        <w:t>code</w:t>
      </w:r>
      <w:r w:rsidRPr="008F05A2">
        <w:rPr>
          <w:spacing w:val="-3"/>
        </w:rPr>
        <w:t xml:space="preserve"> </w:t>
      </w:r>
      <w:r w:rsidRPr="008F05A2">
        <w:t>converters</w:t>
      </w:r>
      <w:r w:rsidRPr="008F05A2">
        <w:rPr>
          <w:spacing w:val="-1"/>
        </w:rPr>
        <w:t xml:space="preserve"> </w:t>
      </w:r>
      <w:r w:rsidRPr="008F05A2">
        <w:t>with</w:t>
      </w:r>
      <w:r w:rsidRPr="008F05A2">
        <w:rPr>
          <w:spacing w:val="-4"/>
        </w:rPr>
        <w:t xml:space="preserve"> </w:t>
      </w:r>
      <w:r w:rsidRPr="008F05A2">
        <w:t>a</w:t>
      </w:r>
      <w:r w:rsidRPr="008F05A2">
        <w:rPr>
          <w:spacing w:val="-1"/>
        </w:rPr>
        <w:t xml:space="preserve"> </w:t>
      </w:r>
      <w:r w:rsidRPr="008F05A2">
        <w:t>novel 4-inputs</w:t>
      </w:r>
      <w:r w:rsidRPr="008F05A2">
        <w:rPr>
          <w:spacing w:val="-1"/>
        </w:rPr>
        <w:t xml:space="preserve"> </w:t>
      </w:r>
      <w:r w:rsidRPr="008F05A2">
        <w:t>block</w:t>
      </w:r>
      <w:r w:rsidRPr="008F05A2">
        <w:rPr>
          <w:spacing w:val="-3"/>
        </w:rPr>
        <w:t xml:space="preserve"> </w:t>
      </w:r>
      <w:r w:rsidRPr="008F05A2">
        <w:t>in</w:t>
      </w:r>
      <w:r w:rsidRPr="008F05A2">
        <w:rPr>
          <w:spacing w:val="-1"/>
        </w:rPr>
        <w:t xml:space="preserve"> </w:t>
      </w:r>
      <w:r w:rsidRPr="008F05A2">
        <w:t>QCA, Opt. Quant. Electron. 55 (10) (2023 Oct) 862.</w:t>
      </w:r>
    </w:p>
    <w:p w14:paraId="27C0209A" w14:textId="109D3487" w:rsidR="00CC5085" w:rsidRPr="008F05A2" w:rsidRDefault="00CC5085" w:rsidP="00CC5085">
      <w:pPr>
        <w:pStyle w:val="ListParagraph"/>
        <w:numPr>
          <w:ilvl w:val="0"/>
          <w:numId w:val="8"/>
        </w:numPr>
        <w:tabs>
          <w:tab w:val="left" w:pos="444"/>
        </w:tabs>
        <w:spacing w:line="276" w:lineRule="auto"/>
        <w:ind w:left="22" w:right="19" w:firstLine="0"/>
        <w:jc w:val="both"/>
      </w:pPr>
      <w:r w:rsidRPr="008F05A2">
        <w:t>D.</w:t>
      </w:r>
      <w:r w:rsidRPr="008F05A2">
        <w:rPr>
          <w:spacing w:val="-2"/>
        </w:rPr>
        <w:t xml:space="preserve"> </w:t>
      </w:r>
      <w:r w:rsidRPr="008F05A2">
        <w:t>Bhowmik,</w:t>
      </w:r>
      <w:r w:rsidRPr="008F05A2">
        <w:rPr>
          <w:spacing w:val="-2"/>
        </w:rPr>
        <w:t xml:space="preserve"> </w:t>
      </w:r>
      <w:r w:rsidRPr="008F05A2">
        <w:t>J.</w:t>
      </w:r>
      <w:r w:rsidRPr="008F05A2">
        <w:rPr>
          <w:spacing w:val="-2"/>
        </w:rPr>
        <w:t xml:space="preserve"> </w:t>
      </w:r>
      <w:r w:rsidRPr="008F05A2">
        <w:t>Pal,</w:t>
      </w:r>
      <w:r w:rsidRPr="008F05A2">
        <w:rPr>
          <w:spacing w:val="-2"/>
        </w:rPr>
        <w:t xml:space="preserve"> </w:t>
      </w:r>
      <w:r w:rsidRPr="008F05A2">
        <w:t>M.</w:t>
      </w:r>
      <w:r w:rsidRPr="008F05A2">
        <w:rPr>
          <w:spacing w:val="-2"/>
        </w:rPr>
        <w:t xml:space="preserve"> </w:t>
      </w:r>
      <w:r w:rsidRPr="008F05A2">
        <w:t>Chandra,</w:t>
      </w:r>
      <w:r w:rsidRPr="008F05A2">
        <w:rPr>
          <w:spacing w:val="-2"/>
        </w:rPr>
        <w:t xml:space="preserve"> </w:t>
      </w:r>
      <w:r w:rsidRPr="008F05A2">
        <w:t>A.</w:t>
      </w:r>
      <w:r w:rsidRPr="008F05A2">
        <w:rPr>
          <w:spacing w:val="-2"/>
        </w:rPr>
        <w:t xml:space="preserve"> </w:t>
      </w:r>
      <w:r w:rsidRPr="008F05A2">
        <w:t>Kumar</w:t>
      </w:r>
      <w:r w:rsidRPr="008F05A2">
        <w:rPr>
          <w:spacing w:val="-1"/>
        </w:rPr>
        <w:t xml:space="preserve"> </w:t>
      </w:r>
      <w:r w:rsidRPr="008F05A2">
        <w:t>Saha,</w:t>
      </w:r>
      <w:r w:rsidRPr="008F05A2">
        <w:rPr>
          <w:spacing w:val="-2"/>
        </w:rPr>
        <w:t xml:space="preserve"> </w:t>
      </w:r>
      <w:r w:rsidRPr="008F05A2">
        <w:t>and</w:t>
      </w:r>
      <w:r w:rsidRPr="008F05A2">
        <w:rPr>
          <w:spacing w:val="-2"/>
        </w:rPr>
        <w:t xml:space="preserve"> </w:t>
      </w:r>
      <w:r w:rsidRPr="008F05A2">
        <w:t>N. Kumar,</w:t>
      </w:r>
      <w:r w:rsidRPr="008F05A2">
        <w:rPr>
          <w:spacing w:val="-14"/>
        </w:rPr>
        <w:t xml:space="preserve"> </w:t>
      </w:r>
      <w:r w:rsidRPr="008F05A2">
        <w:t>“QCA</w:t>
      </w:r>
      <w:r w:rsidRPr="008F05A2">
        <w:rPr>
          <w:spacing w:val="-14"/>
        </w:rPr>
        <w:t xml:space="preserve"> </w:t>
      </w:r>
      <w:r w:rsidRPr="008F05A2">
        <w:t>based</w:t>
      </w:r>
      <w:r w:rsidRPr="008F05A2">
        <w:rPr>
          <w:spacing w:val="-14"/>
        </w:rPr>
        <w:t xml:space="preserve"> </w:t>
      </w:r>
      <w:r w:rsidRPr="008F05A2">
        <w:t>design</w:t>
      </w:r>
      <w:r w:rsidRPr="008F05A2">
        <w:rPr>
          <w:spacing w:val="-13"/>
        </w:rPr>
        <w:t xml:space="preserve"> </w:t>
      </w:r>
      <w:r w:rsidRPr="008F05A2">
        <w:t>of</w:t>
      </w:r>
      <w:r w:rsidRPr="008F05A2">
        <w:rPr>
          <w:spacing w:val="-14"/>
        </w:rPr>
        <w:t xml:space="preserve"> </w:t>
      </w:r>
      <w:r w:rsidRPr="008F05A2">
        <w:t>cost-</w:t>
      </w:r>
      <w:r w:rsidR="0038688E" w:rsidRPr="008F05A2">
        <w:t>efficient</w:t>
      </w:r>
      <w:r w:rsidRPr="008F05A2">
        <w:rPr>
          <w:spacing w:val="-14"/>
        </w:rPr>
        <w:t xml:space="preserve"> </w:t>
      </w:r>
      <w:r w:rsidRPr="008F05A2">
        <w:t>code</w:t>
      </w:r>
      <w:r w:rsidRPr="008F05A2">
        <w:rPr>
          <w:spacing w:val="-14"/>
        </w:rPr>
        <w:t xml:space="preserve"> </w:t>
      </w:r>
      <w:r w:rsidRPr="008F05A2">
        <w:t>converter</w:t>
      </w:r>
      <w:r w:rsidRPr="008F05A2">
        <w:rPr>
          <w:spacing w:val="-13"/>
        </w:rPr>
        <w:t xml:space="preserve"> </w:t>
      </w:r>
      <w:r w:rsidRPr="008F05A2">
        <w:t xml:space="preserve">with temperature stability and energy </w:t>
      </w:r>
      <w:r w:rsidR="0038688E" w:rsidRPr="008F05A2">
        <w:t>efficiency</w:t>
      </w:r>
      <w:r w:rsidRPr="008F05A2">
        <w:t xml:space="preserve"> analysis,” Materials Today: Proceedings, vol. 49, pp. 3585–3594, 2022.</w:t>
      </w:r>
    </w:p>
    <w:p w14:paraId="10AF6F5E" w14:textId="77777777" w:rsidR="00CC5085" w:rsidRPr="008F05A2" w:rsidRDefault="00CC5085" w:rsidP="00CC5085">
      <w:pPr>
        <w:pStyle w:val="ListParagraph"/>
        <w:numPr>
          <w:ilvl w:val="0"/>
          <w:numId w:val="8"/>
        </w:numPr>
        <w:tabs>
          <w:tab w:val="left" w:pos="509"/>
        </w:tabs>
        <w:spacing w:before="199" w:line="276" w:lineRule="auto"/>
        <w:ind w:left="22" w:right="19" w:firstLine="0"/>
        <w:jc w:val="both"/>
      </w:pPr>
      <w:r w:rsidRPr="008F05A2">
        <w:t>F. Fouladinia and M. Gholami, "Design of a Novel Decimal to Multicode Converter in QCA Technology," Journal of Electrical and Computer Engineering, vol. 2023, Article ID 6615790, 13 pages, 2023.</w:t>
      </w:r>
    </w:p>
    <w:p w14:paraId="78A67117" w14:textId="1DF713E7" w:rsidR="00CC5085" w:rsidRPr="008F05A2" w:rsidRDefault="00CC5085" w:rsidP="00CC5085">
      <w:pPr>
        <w:widowControl w:val="0"/>
        <w:tabs>
          <w:tab w:val="left" w:pos="455"/>
        </w:tabs>
        <w:autoSpaceDE w:val="0"/>
        <w:autoSpaceDN w:val="0"/>
        <w:spacing w:before="202" w:line="240" w:lineRule="auto"/>
        <w:ind w:left="23" w:right="3"/>
        <w:jc w:val="both"/>
        <w:rPr>
          <w:rFonts w:ascii="Times New Roman" w:eastAsia="Times New Roman" w:hAnsi="Times New Roman" w:cs="Times New Roman"/>
          <w:lang w:val="en-US" w:eastAsia="en-US"/>
        </w:rPr>
      </w:pPr>
      <w:r w:rsidRPr="008F05A2">
        <w:rPr>
          <w:rFonts w:ascii="Times New Roman" w:hAnsi="Times New Roman" w:cs="Times New Roman"/>
        </w:rPr>
        <w:t xml:space="preserve">[16] J. C. Das and D. De, “Design of thermometer code-to- </w:t>
      </w:r>
      <w:r w:rsidR="0038688E" w:rsidRPr="008F05A2">
        <w:rPr>
          <w:rFonts w:ascii="Times New Roman" w:hAnsi="Times New Roman" w:cs="Times New Roman"/>
        </w:rPr>
        <w:t>gray code</w:t>
      </w:r>
      <w:r w:rsidRPr="008F05A2">
        <w:rPr>
          <w:rFonts w:ascii="Times New Roman" w:hAnsi="Times New Roman" w:cs="Times New Roman"/>
        </w:rPr>
        <w:t xml:space="preserve"> converter circuit in quantum-dot cellular automata for nano-computing network,” Photonic Network Communications, vol. 41, no. 3, pp. 259–273, 2021</w:t>
      </w:r>
    </w:p>
    <w:p w14:paraId="08E62697" w14:textId="77777777" w:rsidR="005D652C" w:rsidRPr="008F05A2" w:rsidRDefault="005D652C" w:rsidP="00CC5085">
      <w:pPr>
        <w:jc w:val="both"/>
        <w:rPr>
          <w:rFonts w:ascii="Times New Roman" w:hAnsi="Times New Roman" w:cs="Times New Roman"/>
        </w:rPr>
      </w:pPr>
    </w:p>
    <w:p w14:paraId="39E2C374" w14:textId="4AA82F84" w:rsidR="00CC5085" w:rsidRPr="008F05A2" w:rsidRDefault="00CC5085" w:rsidP="00CC5085">
      <w:pPr>
        <w:spacing w:after="160" w:line="278" w:lineRule="auto"/>
        <w:jc w:val="both"/>
        <w:rPr>
          <w:rFonts w:ascii="Times New Roman" w:eastAsia="Calibri" w:hAnsi="Times New Roman" w:cs="Times New Roman"/>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 xml:space="preserve">[17] F. Fouladinia, M. Gholami, and P. </w:t>
      </w:r>
      <w:r w:rsidR="0038688E" w:rsidRPr="008F05A2">
        <w:rPr>
          <w:rFonts w:ascii="Times New Roman" w:eastAsia="Calibri" w:hAnsi="Times New Roman" w:cs="Times New Roman"/>
          <w:kern w:val="2"/>
          <w:lang w:val="en-IN" w:eastAsia="en-US"/>
          <w14:ligatures w14:val="standardContextual"/>
        </w:rPr>
        <w:t>Karimi, “New</w:t>
      </w:r>
      <w:r w:rsidRPr="008F05A2">
        <w:rPr>
          <w:rFonts w:ascii="Times New Roman" w:eastAsia="Calibri" w:hAnsi="Times New Roman" w:cs="Times New Roman"/>
          <w:kern w:val="2"/>
          <w:lang w:val="en-IN" w:eastAsia="en-US"/>
          <w14:ligatures w14:val="standardContextual"/>
        </w:rPr>
        <w:t xml:space="preserve"> tile-based circuits converting BCD code to </w:t>
      </w:r>
      <w:r w:rsidR="0038688E" w:rsidRPr="008F05A2">
        <w:rPr>
          <w:rFonts w:ascii="Times New Roman" w:eastAsia="Calibri" w:hAnsi="Times New Roman" w:cs="Times New Roman"/>
          <w:kern w:val="2"/>
          <w:lang w:val="en-IN" w:eastAsia="en-US"/>
          <w14:ligatures w14:val="standardContextual"/>
        </w:rPr>
        <w:t>Gray</w:t>
      </w:r>
      <w:r w:rsidRPr="008F05A2">
        <w:rPr>
          <w:rFonts w:ascii="Times New Roman" w:eastAsia="Calibri" w:hAnsi="Times New Roman" w:cs="Times New Roman"/>
          <w:kern w:val="2"/>
          <w:lang w:val="en-IN" w:eastAsia="en-US"/>
          <w14:ligatures w14:val="standardContextual"/>
        </w:rPr>
        <w:t xml:space="preserve">, excess-3, and </w:t>
      </w:r>
      <w:r w:rsidR="0038688E" w:rsidRPr="008F05A2">
        <w:rPr>
          <w:rFonts w:ascii="Times New Roman" w:eastAsia="Calibri" w:hAnsi="Times New Roman" w:cs="Times New Roman"/>
          <w:kern w:val="2"/>
          <w:lang w:val="en-IN" w:eastAsia="en-US"/>
          <w14:ligatures w14:val="standardContextual"/>
        </w:rPr>
        <w:t>Aiken</w:t>
      </w:r>
      <w:r w:rsidRPr="008F05A2">
        <w:rPr>
          <w:rFonts w:ascii="Times New Roman" w:eastAsia="Calibri" w:hAnsi="Times New Roman" w:cs="Times New Roman"/>
          <w:kern w:val="2"/>
          <w:lang w:val="en-IN" w:eastAsia="en-US"/>
          <w14:ligatures w14:val="standardContextual"/>
        </w:rPr>
        <w:t xml:space="preserve"> codes in quantum-dot cellular automata (QCA) nanotechnology,”</w:t>
      </w:r>
      <w:r w:rsidRPr="008F05A2">
        <w:rPr>
          <w:rFonts w:ascii="Times New Roman" w:eastAsia="Calibri" w:hAnsi="Times New Roman" w:cs="Times New Roman"/>
          <w:kern w:val="2"/>
          <w:lang w:val="en-IN" w:eastAsia="en-US"/>
          <w14:ligatures w14:val="standardContextual"/>
        </w:rPr>
        <w:br/>
        <w:t>Heliyon, vol. 10, 2024</w:t>
      </w:r>
      <w:r w:rsidRPr="008F05A2">
        <w:rPr>
          <w:rFonts w:ascii="Times New Roman" w:eastAsia="Calibri" w:hAnsi="Times New Roman" w:cs="Times New Roman"/>
          <w:b/>
          <w:bCs/>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 xml:space="preserve">DOI: </w:t>
      </w:r>
      <w:r w:rsidR="0038688E" w:rsidRPr="008F05A2">
        <w:rPr>
          <w:rFonts w:ascii="Times New Roman" w:eastAsia="Calibri" w:hAnsi="Times New Roman" w:cs="Times New Roman"/>
          <w:kern w:val="2"/>
          <w:lang w:val="en-IN" w:eastAsia="en-US"/>
          <w14:ligatures w14:val="standardContextual"/>
        </w:rPr>
        <w:t>10.1016/j.heliyon. 2024.e</w:t>
      </w:r>
      <w:r w:rsidRPr="008F05A2">
        <w:rPr>
          <w:rFonts w:ascii="Times New Roman" w:eastAsia="Calibri" w:hAnsi="Times New Roman" w:cs="Times New Roman"/>
          <w:kern w:val="2"/>
          <w:lang w:val="en-IN" w:eastAsia="en-US"/>
          <w14:ligatures w14:val="standardContextual"/>
        </w:rPr>
        <w:t>40446.</w:t>
      </w:r>
    </w:p>
    <w:p w14:paraId="4B711B85" w14:textId="1043A3A2" w:rsidR="00CC5085" w:rsidRPr="008F05A2" w:rsidRDefault="00CC5085" w:rsidP="00CC5085">
      <w:pPr>
        <w:spacing w:after="160" w:line="278" w:lineRule="auto"/>
        <w:jc w:val="both"/>
        <w:rPr>
          <w:rFonts w:ascii="Times New Roman" w:eastAsia="Calibri" w:hAnsi="Times New Roman" w:cs="Times New Roman"/>
          <w:b/>
          <w:bCs/>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 xml:space="preserve">[18] Design of energy, cost-efficient binary to </w:t>
      </w:r>
      <w:r w:rsidR="0038688E" w:rsidRPr="008F05A2">
        <w:rPr>
          <w:rFonts w:ascii="Times New Roman" w:eastAsia="Calibri" w:hAnsi="Times New Roman" w:cs="Times New Roman"/>
          <w:kern w:val="2"/>
          <w:lang w:val="en-IN" w:eastAsia="en-US"/>
          <w14:ligatures w14:val="standardContextual"/>
        </w:rPr>
        <w:t>Gray</w:t>
      </w:r>
      <w:r w:rsidRPr="008F05A2">
        <w:rPr>
          <w:rFonts w:ascii="Times New Roman" w:eastAsia="Calibri" w:hAnsi="Times New Roman" w:cs="Times New Roman"/>
          <w:kern w:val="2"/>
          <w:lang w:val="en-IN" w:eastAsia="en-US"/>
          <w14:ligatures w14:val="standardContextual"/>
        </w:rPr>
        <w:t xml:space="preserve"> code converter with temperature and stability </w:t>
      </w:r>
      <w:r w:rsidR="0038688E" w:rsidRPr="008F05A2">
        <w:rPr>
          <w:rFonts w:ascii="Times New Roman" w:eastAsia="Calibri" w:hAnsi="Times New Roman" w:cs="Times New Roman"/>
          <w:kern w:val="2"/>
          <w:lang w:val="en-IN" w:eastAsia="en-US"/>
          <w14:ligatures w14:val="standardContextual"/>
        </w:rPr>
        <w:t>analysis, Results</w:t>
      </w:r>
      <w:r w:rsidRPr="008F05A2">
        <w:rPr>
          <w:rFonts w:ascii="Times New Roman" w:eastAsia="Calibri" w:hAnsi="Times New Roman" w:cs="Times New Roman"/>
          <w:kern w:val="2"/>
          <w:lang w:val="en-IN" w:eastAsia="en-US"/>
          <w14:ligatures w14:val="standardContextual"/>
        </w:rPr>
        <w:t xml:space="preserve"> in Optics, vol. 16, 2024</w:t>
      </w:r>
      <w:r w:rsidRPr="008F05A2">
        <w:rPr>
          <w:rFonts w:ascii="Times New Roman" w:eastAsia="Calibri" w:hAnsi="Times New Roman" w:cs="Times New Roman"/>
          <w:b/>
          <w:bCs/>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DOI: 10.1016/j.rio.2024.100712</w:t>
      </w:r>
      <w:r w:rsidRPr="008F05A2">
        <w:rPr>
          <w:rFonts w:ascii="Times New Roman" w:eastAsia="Calibri" w:hAnsi="Times New Roman" w:cs="Times New Roman"/>
          <w:b/>
          <w:bCs/>
          <w:kern w:val="2"/>
          <w:lang w:val="en-IN" w:eastAsia="en-US"/>
          <w14:ligatures w14:val="standardContextual"/>
        </w:rPr>
        <w:t>.</w:t>
      </w:r>
    </w:p>
    <w:p w14:paraId="4D39AA1D" w14:textId="75522503" w:rsidR="00CC5085" w:rsidRPr="008F05A2" w:rsidRDefault="00CC5085" w:rsidP="00CC5085">
      <w:pPr>
        <w:spacing w:after="160" w:line="278" w:lineRule="auto"/>
        <w:jc w:val="both"/>
        <w:rPr>
          <w:rFonts w:ascii="Times New Roman" w:eastAsia="Calibri" w:hAnsi="Times New Roman" w:cs="Times New Roman"/>
          <w:b/>
          <w:bCs/>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 xml:space="preserve">[19] C. Xie, </w:t>
      </w:r>
      <w:r w:rsidR="0038688E" w:rsidRPr="008F05A2">
        <w:rPr>
          <w:rFonts w:ascii="Times New Roman" w:eastAsia="Calibri" w:hAnsi="Times New Roman" w:cs="Times New Roman"/>
          <w:kern w:val="2"/>
          <w:lang w:val="en-IN" w:eastAsia="en-US"/>
          <w14:ligatures w14:val="standardContextual"/>
        </w:rPr>
        <w:t>et al., “</w:t>
      </w:r>
      <w:r w:rsidRPr="008F05A2">
        <w:rPr>
          <w:rFonts w:ascii="Times New Roman" w:eastAsia="Calibri" w:hAnsi="Times New Roman" w:cs="Times New Roman"/>
          <w:kern w:val="2"/>
          <w:lang w:val="en-IN" w:eastAsia="en-US"/>
          <w14:ligatures w14:val="standardContextual"/>
        </w:rPr>
        <w:t>Design and analysis of a fault tolerance nano-scale code converter based on quantum-</w:t>
      </w:r>
      <w:r w:rsidR="0038688E" w:rsidRPr="008F05A2">
        <w:rPr>
          <w:rFonts w:ascii="Times New Roman" w:eastAsia="Calibri" w:hAnsi="Times New Roman" w:cs="Times New Roman"/>
          <w:kern w:val="2"/>
          <w:lang w:val="en-IN" w:eastAsia="en-US"/>
          <w14:ligatures w14:val="standardContextual"/>
        </w:rPr>
        <w:t>dots, “Nano</w:t>
      </w:r>
      <w:r w:rsidRPr="008F05A2">
        <w:rPr>
          <w:rFonts w:ascii="Times New Roman" w:eastAsia="Calibri" w:hAnsi="Times New Roman" w:cs="Times New Roman"/>
          <w:kern w:val="2"/>
          <w:lang w:val="en-IN" w:eastAsia="en-US"/>
          <w14:ligatures w14:val="standardContextual"/>
        </w:rPr>
        <w:t xml:space="preserve"> Communication Networks, vol. 42, 2024</w:t>
      </w:r>
      <w:r w:rsidRPr="008F05A2">
        <w:rPr>
          <w:rFonts w:ascii="Times New Roman" w:eastAsia="Calibri" w:hAnsi="Times New Roman" w:cs="Times New Roman"/>
          <w:b/>
          <w:bCs/>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DOI: 10.1016/j.nancom.2024.100530</w:t>
      </w:r>
      <w:r w:rsidRPr="008F05A2">
        <w:rPr>
          <w:rFonts w:ascii="Times New Roman" w:eastAsia="Calibri" w:hAnsi="Times New Roman" w:cs="Times New Roman"/>
          <w:b/>
          <w:bCs/>
          <w:kern w:val="2"/>
          <w:lang w:val="en-IN" w:eastAsia="en-US"/>
          <w14:ligatures w14:val="standardContextual"/>
        </w:rPr>
        <w:t>.</w:t>
      </w:r>
    </w:p>
    <w:p w14:paraId="383FEA7C" w14:textId="57EEA602" w:rsidR="00CC5085" w:rsidRPr="008F05A2" w:rsidRDefault="00CC5085" w:rsidP="00CC5085">
      <w:pPr>
        <w:spacing w:after="160" w:line="278" w:lineRule="auto"/>
        <w:jc w:val="both"/>
        <w:rPr>
          <w:rFonts w:ascii="Times New Roman" w:eastAsia="Calibri" w:hAnsi="Times New Roman" w:cs="Times New Roman"/>
          <w:b/>
          <w:bCs/>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 xml:space="preserve">[20] A. Khan, N. Safoev &amp; R. </w:t>
      </w:r>
      <w:r w:rsidR="0038688E" w:rsidRPr="008F05A2">
        <w:rPr>
          <w:rFonts w:ascii="Times New Roman" w:eastAsia="Calibri" w:hAnsi="Times New Roman" w:cs="Times New Roman"/>
          <w:kern w:val="2"/>
          <w:lang w:val="en-IN" w:eastAsia="en-US"/>
          <w14:ligatures w14:val="standardContextual"/>
        </w:rPr>
        <w:t>Arya, “Modelling</w:t>
      </w:r>
      <w:r w:rsidRPr="008F05A2">
        <w:rPr>
          <w:rFonts w:ascii="Times New Roman" w:eastAsia="Calibri" w:hAnsi="Times New Roman" w:cs="Times New Roman"/>
          <w:kern w:val="2"/>
          <w:lang w:val="en-IN" w:eastAsia="en-US"/>
          <w14:ligatures w14:val="standardContextual"/>
        </w:rPr>
        <w:t xml:space="preserve"> of Excess-3 to BCD code converter for nano systems using quantum-dot cellular automata technology</w:t>
      </w:r>
      <w:r w:rsidR="0038688E" w:rsidRPr="008F05A2">
        <w:rPr>
          <w:rFonts w:ascii="Times New Roman" w:eastAsia="Calibri" w:hAnsi="Times New Roman" w:cs="Times New Roman"/>
          <w:kern w:val="2"/>
          <w:lang w:val="en-IN" w:eastAsia="en-US"/>
          <w14:ligatures w14:val="standardContextual"/>
        </w:rPr>
        <w:t>,” Int.</w:t>
      </w:r>
      <w:r w:rsidRPr="008F05A2">
        <w:rPr>
          <w:rFonts w:ascii="Times New Roman" w:eastAsia="Calibri" w:hAnsi="Times New Roman" w:cs="Times New Roman"/>
          <w:kern w:val="2"/>
          <w:lang w:val="en-IN" w:eastAsia="en-US"/>
          <w14:ligatures w14:val="standardContextual"/>
        </w:rPr>
        <w:t xml:space="preserve"> J. Numer. Model. Electron. </w:t>
      </w:r>
      <w:r w:rsidR="0038688E" w:rsidRPr="008F05A2">
        <w:rPr>
          <w:rFonts w:ascii="Times New Roman" w:eastAsia="Calibri" w:hAnsi="Times New Roman" w:cs="Times New Roman"/>
          <w:kern w:val="2"/>
          <w:lang w:val="en-IN" w:eastAsia="en-US"/>
          <w14:ligatures w14:val="standardContextual"/>
        </w:rPr>
        <w:t>New</w:t>
      </w:r>
      <w:r w:rsidR="0038688E">
        <w:rPr>
          <w:rFonts w:ascii="Times New Roman" w:eastAsia="Calibri" w:hAnsi="Times New Roman" w:cs="Times New Roman"/>
          <w:kern w:val="2"/>
          <w:lang w:val="en-IN" w:eastAsia="en-US"/>
          <w14:ligatures w14:val="standardContextual"/>
        </w:rPr>
        <w:t>t</w:t>
      </w:r>
      <w:r w:rsidRPr="008F05A2">
        <w:rPr>
          <w:rFonts w:ascii="Times New Roman" w:eastAsia="Calibri" w:hAnsi="Times New Roman" w:cs="Times New Roman"/>
          <w:kern w:val="2"/>
          <w:lang w:val="en-IN" w:eastAsia="en-US"/>
          <w14:ligatures w14:val="standardContextual"/>
        </w:rPr>
        <w:t>. Devices Fields</w:t>
      </w:r>
      <w:r w:rsidRPr="008F05A2">
        <w:rPr>
          <w:rFonts w:ascii="Times New Roman" w:eastAsia="Calibri" w:hAnsi="Times New Roman" w:cs="Times New Roman"/>
          <w:b/>
          <w:bCs/>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2022</w:t>
      </w:r>
      <w:r w:rsidRPr="008F05A2">
        <w:rPr>
          <w:rFonts w:ascii="Times New Roman" w:eastAsia="Calibri" w:hAnsi="Times New Roman" w:cs="Times New Roman"/>
          <w:b/>
          <w:bCs/>
          <w:kern w:val="2"/>
          <w:lang w:val="en-IN" w:eastAsia="en-US"/>
          <w14:ligatures w14:val="standardContextual"/>
        </w:rPr>
        <w:t>.</w:t>
      </w:r>
    </w:p>
    <w:p w14:paraId="0713699F" w14:textId="310895D6" w:rsidR="00CC5085" w:rsidRPr="008F05A2" w:rsidRDefault="00CC5085" w:rsidP="00CC5085">
      <w:pPr>
        <w:spacing w:after="160" w:line="278" w:lineRule="auto"/>
        <w:jc w:val="both"/>
        <w:rPr>
          <w:rFonts w:ascii="Times New Roman" w:eastAsia="Calibri" w:hAnsi="Times New Roman" w:cs="Times New Roman"/>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[21] Decimal to Excess-3 and Excess-3 to Decimal Code Converters in QCA Nanotechnology,</w:t>
      </w:r>
      <w:r w:rsidR="008F05A2" w:rsidRPr="008F05A2">
        <w:rPr>
          <w:rFonts w:ascii="Times New Roman" w:eastAsia="Calibri" w:hAnsi="Times New Roman" w:cs="Times New Roman"/>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 xml:space="preserve">(Research work reported as QCA code converter designs with significant improvements — search on Google Scholar for full citation/DOI) </w:t>
      </w:r>
    </w:p>
    <w:p w14:paraId="0EC7B2AF" w14:textId="77777777" w:rsidR="00CC5085" w:rsidRPr="008F05A2" w:rsidRDefault="00CC5085" w:rsidP="00CC5085">
      <w:pPr>
        <w:spacing w:after="160" w:line="278" w:lineRule="auto"/>
        <w:jc w:val="both"/>
        <w:rPr>
          <w:rFonts w:ascii="Times New Roman" w:eastAsia="Calibri" w:hAnsi="Times New Roman" w:cs="Times New Roman"/>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[22] Energy-efficient implementation of BCD to Excess-3 code converter for nano-communication using QCA, with DOI 10.23919/JCC.ea.2021-0883.202401</w:t>
      </w:r>
    </w:p>
    <w:p w14:paraId="1E1EA6B6" w14:textId="4E9026F0" w:rsidR="00CC5085" w:rsidRPr="008F05A2" w:rsidRDefault="00CC5085" w:rsidP="00CC5085">
      <w:pPr>
        <w:spacing w:after="160" w:line="278" w:lineRule="auto"/>
        <w:jc w:val="both"/>
        <w:rPr>
          <w:rFonts w:ascii="Times New Roman" w:eastAsia="Calibri" w:hAnsi="Times New Roman" w:cs="Times New Roman"/>
          <w:b/>
          <w:bCs/>
          <w:kern w:val="2"/>
          <w:lang w:val="en-IN" w:eastAsia="en-US"/>
          <w14:ligatures w14:val="standardContextual"/>
        </w:rPr>
      </w:pPr>
      <w:r w:rsidRPr="008F05A2">
        <w:rPr>
          <w:rFonts w:ascii="Times New Roman" w:eastAsia="Calibri" w:hAnsi="Times New Roman" w:cs="Times New Roman"/>
          <w:kern w:val="2"/>
          <w:lang w:val="en-IN" w:eastAsia="en-US"/>
          <w14:ligatures w14:val="standardContextual"/>
        </w:rPr>
        <w:t>[23] Decimal to excess-3, BCD, and gray code converters with a novel 4-inputs block in QCA,</w:t>
      </w:r>
      <w:r w:rsidR="008F05A2" w:rsidRPr="008F05A2">
        <w:rPr>
          <w:rFonts w:ascii="Times New Roman" w:eastAsia="Calibri" w:hAnsi="Times New Roman" w:cs="Times New Roman"/>
          <w:kern w:val="2"/>
          <w:lang w:val="en-IN" w:eastAsia="en-US"/>
          <w14:ligatures w14:val="standardContextual"/>
        </w:rPr>
        <w:t xml:space="preserve"> </w:t>
      </w:r>
      <w:r w:rsidRPr="008F05A2">
        <w:rPr>
          <w:rFonts w:ascii="Times New Roman" w:eastAsia="Calibri" w:hAnsi="Times New Roman" w:cs="Times New Roman"/>
          <w:kern w:val="2"/>
          <w:lang w:val="en-IN" w:eastAsia="en-US"/>
          <w14:ligatures w14:val="standardContextual"/>
        </w:rPr>
        <w:t>reported 2023(Google scholar DOI)</w:t>
      </w:r>
    </w:p>
    <w:p w14:paraId="706743E9" w14:textId="77777777" w:rsidR="00CC5085" w:rsidRPr="00962262" w:rsidRDefault="00CC5085" w:rsidP="00962262">
      <w:pPr>
        <w:jc w:val="both"/>
        <w:rPr>
          <w:rFonts w:ascii="Times New Roman" w:hAnsi="Times New Roman" w:cs="Times New Roman"/>
        </w:rPr>
      </w:pPr>
    </w:p>
    <w:sectPr w:rsidR="00CC5085" w:rsidRPr="00962262" w:rsidSect="00962262">
      <w:type w:val="continuous"/>
      <w:pgSz w:w="14570" w:h="20636" w:code="12"/>
      <w:pgMar w:top="1440" w:right="1440" w:bottom="1440" w:left="1440" w:header="720" w:footer="720" w:gutter="0"/>
      <w:pgNumType w:start="1"/>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B4515" w14:textId="77777777" w:rsidR="00B75E5B" w:rsidRDefault="00B75E5B" w:rsidP="002A063B">
      <w:pPr>
        <w:spacing w:line="240" w:lineRule="auto"/>
      </w:pPr>
      <w:r>
        <w:separator/>
      </w:r>
    </w:p>
  </w:endnote>
  <w:endnote w:type="continuationSeparator" w:id="0">
    <w:p w14:paraId="7E996C77" w14:textId="77777777" w:rsidR="00B75E5B" w:rsidRDefault="00B75E5B" w:rsidP="002A06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C846E79-5897-4B75-9322-DBFED45A8DFD}"/>
    <w:embedBold r:id="rId2" w:fontKey="{8DCFC05C-7599-46EB-9959-FA2BCC196A95}"/>
  </w:font>
  <w:font w:name="Calibri">
    <w:panose1 w:val="020F0502020204030204"/>
    <w:charset w:val="00"/>
    <w:family w:val="swiss"/>
    <w:pitch w:val="variable"/>
    <w:sig w:usb0="E4002EFF" w:usb1="C000247B" w:usb2="00000009" w:usb3="00000000" w:csb0="000001FF" w:csb1="00000000"/>
    <w:embedRegular r:id="rId3" w:fontKey="{F19A41BE-C494-4780-8BF7-B4DAFC2A1BB3}"/>
    <w:embedBold r:id="rId4" w:fontKey="{6AF69303-918A-4673-8573-6CE3C5F497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50037" w14:textId="77777777" w:rsidR="00B75E5B" w:rsidRDefault="00B75E5B" w:rsidP="002A063B">
      <w:pPr>
        <w:spacing w:line="240" w:lineRule="auto"/>
      </w:pPr>
      <w:r>
        <w:separator/>
      </w:r>
    </w:p>
  </w:footnote>
  <w:footnote w:type="continuationSeparator" w:id="0">
    <w:p w14:paraId="3F85E20F" w14:textId="77777777" w:rsidR="00B75E5B" w:rsidRDefault="00B75E5B" w:rsidP="002A06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14C7C"/>
    <w:multiLevelType w:val="hybridMultilevel"/>
    <w:tmpl w:val="C6D0D26E"/>
    <w:lvl w:ilvl="0" w:tplc="5E6CAD22">
      <w:start w:val="9"/>
      <w:numFmt w:val="decimal"/>
      <w:lvlText w:val="[%1]"/>
      <w:lvlJc w:val="left"/>
      <w:pPr>
        <w:ind w:left="23" w:hanging="45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0108B1A">
      <w:numFmt w:val="bullet"/>
      <w:lvlText w:val="•"/>
      <w:lvlJc w:val="left"/>
      <w:pPr>
        <w:ind w:left="569" w:hanging="453"/>
      </w:pPr>
      <w:rPr>
        <w:rFonts w:hint="default"/>
        <w:lang w:val="en-US" w:eastAsia="en-US" w:bidi="ar-SA"/>
      </w:rPr>
    </w:lvl>
    <w:lvl w:ilvl="2" w:tplc="E0CEE2CE">
      <w:numFmt w:val="bullet"/>
      <w:lvlText w:val="•"/>
      <w:lvlJc w:val="left"/>
      <w:pPr>
        <w:ind w:left="1118" w:hanging="453"/>
      </w:pPr>
      <w:rPr>
        <w:rFonts w:hint="default"/>
        <w:lang w:val="en-US" w:eastAsia="en-US" w:bidi="ar-SA"/>
      </w:rPr>
    </w:lvl>
    <w:lvl w:ilvl="3" w:tplc="866C5DFA">
      <w:numFmt w:val="bullet"/>
      <w:lvlText w:val="•"/>
      <w:lvlJc w:val="left"/>
      <w:pPr>
        <w:ind w:left="1667" w:hanging="453"/>
      </w:pPr>
      <w:rPr>
        <w:rFonts w:hint="default"/>
        <w:lang w:val="en-US" w:eastAsia="en-US" w:bidi="ar-SA"/>
      </w:rPr>
    </w:lvl>
    <w:lvl w:ilvl="4" w:tplc="AE92A79A">
      <w:numFmt w:val="bullet"/>
      <w:lvlText w:val="•"/>
      <w:lvlJc w:val="left"/>
      <w:pPr>
        <w:ind w:left="2216" w:hanging="453"/>
      </w:pPr>
      <w:rPr>
        <w:rFonts w:hint="default"/>
        <w:lang w:val="en-US" w:eastAsia="en-US" w:bidi="ar-SA"/>
      </w:rPr>
    </w:lvl>
    <w:lvl w:ilvl="5" w:tplc="42980FC4">
      <w:numFmt w:val="bullet"/>
      <w:lvlText w:val="•"/>
      <w:lvlJc w:val="left"/>
      <w:pPr>
        <w:ind w:left="2765" w:hanging="453"/>
      </w:pPr>
      <w:rPr>
        <w:rFonts w:hint="default"/>
        <w:lang w:val="en-US" w:eastAsia="en-US" w:bidi="ar-SA"/>
      </w:rPr>
    </w:lvl>
    <w:lvl w:ilvl="6" w:tplc="184C5A70">
      <w:numFmt w:val="bullet"/>
      <w:lvlText w:val="•"/>
      <w:lvlJc w:val="left"/>
      <w:pPr>
        <w:ind w:left="3315" w:hanging="453"/>
      </w:pPr>
      <w:rPr>
        <w:rFonts w:hint="default"/>
        <w:lang w:val="en-US" w:eastAsia="en-US" w:bidi="ar-SA"/>
      </w:rPr>
    </w:lvl>
    <w:lvl w:ilvl="7" w:tplc="D1B47772">
      <w:numFmt w:val="bullet"/>
      <w:lvlText w:val="•"/>
      <w:lvlJc w:val="left"/>
      <w:pPr>
        <w:ind w:left="3864" w:hanging="453"/>
      </w:pPr>
      <w:rPr>
        <w:rFonts w:hint="default"/>
        <w:lang w:val="en-US" w:eastAsia="en-US" w:bidi="ar-SA"/>
      </w:rPr>
    </w:lvl>
    <w:lvl w:ilvl="8" w:tplc="C5B07F96">
      <w:numFmt w:val="bullet"/>
      <w:lvlText w:val="•"/>
      <w:lvlJc w:val="left"/>
      <w:pPr>
        <w:ind w:left="4413" w:hanging="453"/>
      </w:pPr>
      <w:rPr>
        <w:rFonts w:hint="default"/>
        <w:lang w:val="en-US" w:eastAsia="en-US" w:bidi="ar-SA"/>
      </w:rPr>
    </w:lvl>
  </w:abstractNum>
  <w:abstractNum w:abstractNumId="1" w15:restartNumberingAfterBreak="0">
    <w:nsid w:val="2E8551A7"/>
    <w:multiLevelType w:val="multilevel"/>
    <w:tmpl w:val="82B28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E03844"/>
    <w:multiLevelType w:val="multilevel"/>
    <w:tmpl w:val="C1F0A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E2F58F2"/>
    <w:multiLevelType w:val="hybridMultilevel"/>
    <w:tmpl w:val="EBC6995A"/>
    <w:lvl w:ilvl="0" w:tplc="A962875E">
      <w:start w:val="1"/>
      <w:numFmt w:val="decimal"/>
      <w:lvlText w:val="[%1]"/>
      <w:lvlJc w:val="left"/>
      <w:pPr>
        <w:ind w:left="23" w:hanging="319"/>
        <w:jc w:val="left"/>
      </w:pPr>
      <w:rPr>
        <w:rFonts w:hint="default"/>
        <w:spacing w:val="0"/>
        <w:w w:val="100"/>
        <w:lang w:val="en-US" w:eastAsia="en-US" w:bidi="ar-SA"/>
      </w:rPr>
    </w:lvl>
    <w:lvl w:ilvl="1" w:tplc="AAEA692A">
      <w:numFmt w:val="bullet"/>
      <w:lvlText w:val="•"/>
      <w:lvlJc w:val="left"/>
      <w:pPr>
        <w:ind w:left="571" w:hanging="319"/>
      </w:pPr>
      <w:rPr>
        <w:rFonts w:hint="default"/>
        <w:lang w:val="en-US" w:eastAsia="en-US" w:bidi="ar-SA"/>
      </w:rPr>
    </w:lvl>
    <w:lvl w:ilvl="2" w:tplc="E1484756">
      <w:numFmt w:val="bullet"/>
      <w:lvlText w:val="•"/>
      <w:lvlJc w:val="left"/>
      <w:pPr>
        <w:ind w:left="1122" w:hanging="319"/>
      </w:pPr>
      <w:rPr>
        <w:rFonts w:hint="default"/>
        <w:lang w:val="en-US" w:eastAsia="en-US" w:bidi="ar-SA"/>
      </w:rPr>
    </w:lvl>
    <w:lvl w:ilvl="3" w:tplc="21B8E204">
      <w:numFmt w:val="bullet"/>
      <w:lvlText w:val="•"/>
      <w:lvlJc w:val="left"/>
      <w:pPr>
        <w:ind w:left="1673" w:hanging="319"/>
      </w:pPr>
      <w:rPr>
        <w:rFonts w:hint="default"/>
        <w:lang w:val="en-US" w:eastAsia="en-US" w:bidi="ar-SA"/>
      </w:rPr>
    </w:lvl>
    <w:lvl w:ilvl="4" w:tplc="3B0A43B2">
      <w:numFmt w:val="bullet"/>
      <w:lvlText w:val="•"/>
      <w:lvlJc w:val="left"/>
      <w:pPr>
        <w:ind w:left="2224" w:hanging="319"/>
      </w:pPr>
      <w:rPr>
        <w:rFonts w:hint="default"/>
        <w:lang w:val="en-US" w:eastAsia="en-US" w:bidi="ar-SA"/>
      </w:rPr>
    </w:lvl>
    <w:lvl w:ilvl="5" w:tplc="8932E900">
      <w:numFmt w:val="bullet"/>
      <w:lvlText w:val="•"/>
      <w:lvlJc w:val="left"/>
      <w:pPr>
        <w:ind w:left="2775" w:hanging="319"/>
      </w:pPr>
      <w:rPr>
        <w:rFonts w:hint="default"/>
        <w:lang w:val="en-US" w:eastAsia="en-US" w:bidi="ar-SA"/>
      </w:rPr>
    </w:lvl>
    <w:lvl w:ilvl="6" w:tplc="3D4AAD24">
      <w:numFmt w:val="bullet"/>
      <w:lvlText w:val="•"/>
      <w:lvlJc w:val="left"/>
      <w:pPr>
        <w:ind w:left="3326" w:hanging="319"/>
      </w:pPr>
      <w:rPr>
        <w:rFonts w:hint="default"/>
        <w:lang w:val="en-US" w:eastAsia="en-US" w:bidi="ar-SA"/>
      </w:rPr>
    </w:lvl>
    <w:lvl w:ilvl="7" w:tplc="CF5A3530">
      <w:numFmt w:val="bullet"/>
      <w:lvlText w:val="•"/>
      <w:lvlJc w:val="left"/>
      <w:pPr>
        <w:ind w:left="3877" w:hanging="319"/>
      </w:pPr>
      <w:rPr>
        <w:rFonts w:hint="default"/>
        <w:lang w:val="en-US" w:eastAsia="en-US" w:bidi="ar-SA"/>
      </w:rPr>
    </w:lvl>
    <w:lvl w:ilvl="8" w:tplc="FBE2D6C2">
      <w:numFmt w:val="bullet"/>
      <w:lvlText w:val="•"/>
      <w:lvlJc w:val="left"/>
      <w:pPr>
        <w:ind w:left="4429" w:hanging="319"/>
      </w:pPr>
      <w:rPr>
        <w:rFonts w:hint="default"/>
        <w:lang w:val="en-US" w:eastAsia="en-US" w:bidi="ar-SA"/>
      </w:rPr>
    </w:lvl>
  </w:abstractNum>
  <w:abstractNum w:abstractNumId="4" w15:restartNumberingAfterBreak="0">
    <w:nsid w:val="4DEA4671"/>
    <w:multiLevelType w:val="multilevel"/>
    <w:tmpl w:val="338CF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612EEB"/>
    <w:multiLevelType w:val="multilevel"/>
    <w:tmpl w:val="338A8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DF40CF"/>
    <w:multiLevelType w:val="multilevel"/>
    <w:tmpl w:val="32CC4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F23568"/>
    <w:multiLevelType w:val="multilevel"/>
    <w:tmpl w:val="3E34C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1861021">
    <w:abstractNumId w:val="2"/>
  </w:num>
  <w:num w:numId="2" w16cid:durableId="898129589">
    <w:abstractNumId w:val="1"/>
  </w:num>
  <w:num w:numId="3" w16cid:durableId="756635661">
    <w:abstractNumId w:val="7"/>
  </w:num>
  <w:num w:numId="4" w16cid:durableId="1713185021">
    <w:abstractNumId w:val="5"/>
  </w:num>
  <w:num w:numId="5" w16cid:durableId="1191066105">
    <w:abstractNumId w:val="4"/>
  </w:num>
  <w:num w:numId="6" w16cid:durableId="148599870">
    <w:abstractNumId w:val="6"/>
  </w:num>
  <w:num w:numId="7" w16cid:durableId="843740809">
    <w:abstractNumId w:val="3"/>
  </w:num>
  <w:num w:numId="8" w16cid:durableId="187662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52C"/>
    <w:rsid w:val="000200DF"/>
    <w:rsid w:val="00087883"/>
    <w:rsid w:val="000E02B8"/>
    <w:rsid w:val="00130D30"/>
    <w:rsid w:val="00166E11"/>
    <w:rsid w:val="00167D8D"/>
    <w:rsid w:val="001A7560"/>
    <w:rsid w:val="0022620D"/>
    <w:rsid w:val="0028580F"/>
    <w:rsid w:val="00292FC0"/>
    <w:rsid w:val="002A063B"/>
    <w:rsid w:val="002D24F5"/>
    <w:rsid w:val="002D5DC0"/>
    <w:rsid w:val="002D72BC"/>
    <w:rsid w:val="003427CB"/>
    <w:rsid w:val="003826E5"/>
    <w:rsid w:val="0038688E"/>
    <w:rsid w:val="003C77F7"/>
    <w:rsid w:val="003D5E46"/>
    <w:rsid w:val="003E285C"/>
    <w:rsid w:val="00411E9B"/>
    <w:rsid w:val="00474C4A"/>
    <w:rsid w:val="00524FC4"/>
    <w:rsid w:val="00546177"/>
    <w:rsid w:val="005645C9"/>
    <w:rsid w:val="005C0063"/>
    <w:rsid w:val="005C653B"/>
    <w:rsid w:val="005D652C"/>
    <w:rsid w:val="005E6A6C"/>
    <w:rsid w:val="00630E67"/>
    <w:rsid w:val="00670B2E"/>
    <w:rsid w:val="006712DD"/>
    <w:rsid w:val="00692921"/>
    <w:rsid w:val="006B412C"/>
    <w:rsid w:val="006C769D"/>
    <w:rsid w:val="006E645D"/>
    <w:rsid w:val="006E6DDB"/>
    <w:rsid w:val="00713A97"/>
    <w:rsid w:val="00732B73"/>
    <w:rsid w:val="00741AA8"/>
    <w:rsid w:val="007869DC"/>
    <w:rsid w:val="007A3E65"/>
    <w:rsid w:val="007D2710"/>
    <w:rsid w:val="00813A6D"/>
    <w:rsid w:val="008805F2"/>
    <w:rsid w:val="008B12A2"/>
    <w:rsid w:val="008C46E8"/>
    <w:rsid w:val="008F05A2"/>
    <w:rsid w:val="00913EDC"/>
    <w:rsid w:val="00962262"/>
    <w:rsid w:val="009A2502"/>
    <w:rsid w:val="009B695C"/>
    <w:rsid w:val="009E31BA"/>
    <w:rsid w:val="00A3285B"/>
    <w:rsid w:val="00A43392"/>
    <w:rsid w:val="00A54DD8"/>
    <w:rsid w:val="00A55E51"/>
    <w:rsid w:val="00A6125D"/>
    <w:rsid w:val="00B41C43"/>
    <w:rsid w:val="00B57DD1"/>
    <w:rsid w:val="00B75E5B"/>
    <w:rsid w:val="00BB5CC9"/>
    <w:rsid w:val="00BC2F80"/>
    <w:rsid w:val="00BF7B24"/>
    <w:rsid w:val="00C404D4"/>
    <w:rsid w:val="00C438F0"/>
    <w:rsid w:val="00C6565F"/>
    <w:rsid w:val="00C7606C"/>
    <w:rsid w:val="00CC5085"/>
    <w:rsid w:val="00CC7A39"/>
    <w:rsid w:val="00CF6B4F"/>
    <w:rsid w:val="00D662D9"/>
    <w:rsid w:val="00DB199C"/>
    <w:rsid w:val="00DF4366"/>
    <w:rsid w:val="00E12B63"/>
    <w:rsid w:val="00E33350"/>
    <w:rsid w:val="00E37712"/>
    <w:rsid w:val="00E8505B"/>
    <w:rsid w:val="00EC1D3E"/>
    <w:rsid w:val="00EC598B"/>
    <w:rsid w:val="00EC62B5"/>
    <w:rsid w:val="00EE3A7E"/>
    <w:rsid w:val="00F01DA2"/>
    <w:rsid w:val="00F95B5B"/>
    <w:rsid w:val="00FA22D1"/>
    <w:rsid w:val="00FC7693"/>
    <w:rsid w:val="00FD2F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C4BE9"/>
  <w15:docId w15:val="{660613B4-34CB-407B-B56F-DA1E64E0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FC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CC7A39"/>
    <w:rPr>
      <w:color w:val="0000FF" w:themeColor="hyperlink"/>
      <w:u w:val="single"/>
    </w:rPr>
  </w:style>
  <w:style w:type="character" w:styleId="UnresolvedMention">
    <w:name w:val="Unresolved Mention"/>
    <w:basedOn w:val="DefaultParagraphFont"/>
    <w:uiPriority w:val="99"/>
    <w:semiHidden/>
    <w:unhideWhenUsed/>
    <w:rsid w:val="00CC7A39"/>
    <w:rPr>
      <w:color w:val="605E5C"/>
      <w:shd w:val="clear" w:color="auto" w:fill="E1DFDD"/>
    </w:rPr>
  </w:style>
  <w:style w:type="paragraph" w:styleId="NoSpacing">
    <w:name w:val="No Spacing"/>
    <w:uiPriority w:val="1"/>
    <w:qFormat/>
    <w:rsid w:val="003D5E46"/>
    <w:pPr>
      <w:spacing w:line="240" w:lineRule="auto"/>
    </w:pPr>
  </w:style>
  <w:style w:type="paragraph" w:styleId="Header">
    <w:name w:val="header"/>
    <w:basedOn w:val="Normal"/>
    <w:link w:val="HeaderChar"/>
    <w:uiPriority w:val="99"/>
    <w:unhideWhenUsed/>
    <w:rsid w:val="002A063B"/>
    <w:pPr>
      <w:tabs>
        <w:tab w:val="center" w:pos="4513"/>
        <w:tab w:val="right" w:pos="9026"/>
      </w:tabs>
      <w:spacing w:line="240" w:lineRule="auto"/>
    </w:pPr>
  </w:style>
  <w:style w:type="character" w:customStyle="1" w:styleId="HeaderChar">
    <w:name w:val="Header Char"/>
    <w:basedOn w:val="DefaultParagraphFont"/>
    <w:link w:val="Header"/>
    <w:uiPriority w:val="99"/>
    <w:rsid w:val="002A063B"/>
  </w:style>
  <w:style w:type="paragraph" w:styleId="Footer">
    <w:name w:val="footer"/>
    <w:basedOn w:val="Normal"/>
    <w:link w:val="FooterChar"/>
    <w:uiPriority w:val="99"/>
    <w:unhideWhenUsed/>
    <w:rsid w:val="002A063B"/>
    <w:pPr>
      <w:tabs>
        <w:tab w:val="center" w:pos="4513"/>
        <w:tab w:val="right" w:pos="9026"/>
      </w:tabs>
      <w:spacing w:line="240" w:lineRule="auto"/>
    </w:pPr>
  </w:style>
  <w:style w:type="character" w:customStyle="1" w:styleId="FooterChar">
    <w:name w:val="Footer Char"/>
    <w:basedOn w:val="DefaultParagraphFont"/>
    <w:link w:val="Footer"/>
    <w:uiPriority w:val="99"/>
    <w:rsid w:val="002A063B"/>
  </w:style>
  <w:style w:type="table" w:styleId="TableGrid">
    <w:name w:val="Table Grid"/>
    <w:basedOn w:val="TableNormal"/>
    <w:uiPriority w:val="39"/>
    <w:rsid w:val="008C46E8"/>
    <w:pPr>
      <w:spacing w:line="240" w:lineRule="auto"/>
    </w:pPr>
    <w:rPr>
      <w:rFonts w:asciiTheme="minorHAnsi" w:eastAsiaTheme="minorHAnsi" w:hAnsiTheme="minorHAnsi" w:cstheme="minorBidi"/>
      <w:kern w:val="2"/>
      <w:sz w:val="24"/>
      <w:szCs w:val="24"/>
      <w:lang w:val="en-I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C5085"/>
    <w:pPr>
      <w:widowControl w:val="0"/>
      <w:autoSpaceDE w:val="0"/>
      <w:autoSpaceDN w:val="0"/>
      <w:spacing w:before="200" w:line="240" w:lineRule="auto"/>
      <w:ind w:left="743"/>
      <w:jc w:val="both"/>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6</Pages>
  <Words>4202</Words>
  <Characters>23955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theaisha1707@gmail.com</cp:lastModifiedBy>
  <cp:revision>10</cp:revision>
  <cp:lastPrinted>2026-01-13T06:02:00Z</cp:lastPrinted>
  <dcterms:created xsi:type="dcterms:W3CDTF">2026-01-13T10:07:00Z</dcterms:created>
  <dcterms:modified xsi:type="dcterms:W3CDTF">2026-02-20T09:06:00Z</dcterms:modified>
</cp:coreProperties>
</file>