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54D4" w14:textId="77777777" w:rsidR="004C0A10" w:rsidRDefault="00000000">
      <w:pPr>
        <w:pStyle w:val="Title"/>
        <w:jc w:val="both"/>
      </w:pPr>
      <w:r>
        <w:t xml:space="preserve">Efficacy of combined Intra-articular injection of platelet rich plasma and ozone for osteoarthritis </w:t>
      </w:r>
    </w:p>
    <w:p w14:paraId="7C593237" w14:textId="77777777" w:rsidR="004C0A10" w:rsidRDefault="00000000">
      <w:pPr>
        <w:jc w:val="both"/>
        <w:rPr>
          <w:sz w:val="36"/>
          <w:szCs w:val="36"/>
        </w:rPr>
      </w:pPr>
      <w:r>
        <w:rPr>
          <w:sz w:val="36"/>
          <w:szCs w:val="36"/>
        </w:rPr>
        <w:t>Abstract</w:t>
      </w:r>
    </w:p>
    <w:p w14:paraId="04E86D35" w14:textId="77777777" w:rsidR="004C0A10" w:rsidRDefault="00000000">
      <w:pPr>
        <w:jc w:val="both"/>
      </w:pPr>
      <w:r>
        <w:rPr>
          <w:b/>
          <w:bCs/>
        </w:rPr>
        <w:t>Background</w:t>
      </w:r>
      <w:r>
        <w:t>: Osteoarthritis (OA) of the knee is a degenerative joint disease that significantly impacts quality of life and mobility. Recent advances in regenerative medicine have introduced intra-articular therapies like platelet-rich plasma (PRP) and ozone, both known for their anti-inflammatory and healing properties. This study aims to evaluate the efficacy of a combined intra-articular injection of PRP and ozone in managing symptoms of knee osteoarthritis.</w:t>
      </w:r>
    </w:p>
    <w:p w14:paraId="63B23C3B" w14:textId="77777777" w:rsidR="004C0A10" w:rsidRDefault="00000000">
      <w:pPr>
        <w:jc w:val="both"/>
      </w:pPr>
      <w:r>
        <w:rPr>
          <w:b/>
          <w:bCs/>
        </w:rPr>
        <w:t>Methods</w:t>
      </w:r>
      <w:r>
        <w:t>: This prospective observational study included 60 patients diagnosed with Grade II–III knee OA according to Kellgren-Lawrence classification. All participants received a single intra-articular injection comprising autologous PRP combined with medical-grade ozone. Patients were evaluated at baseline, 1 month, 3 months, and 6 months post-injection. Pain and functional outcomes were assessed using the Visual Analogue Scale (VAS) and Western Ontario and McMaster Universities Osteoarthritis Index (WOMAC).</w:t>
      </w:r>
    </w:p>
    <w:p w14:paraId="47BD8331" w14:textId="77777777" w:rsidR="004C0A10" w:rsidRDefault="00000000">
      <w:pPr>
        <w:jc w:val="both"/>
      </w:pPr>
      <w:r>
        <w:rPr>
          <w:b/>
          <w:bCs/>
        </w:rPr>
        <w:t>Results</w:t>
      </w:r>
      <w:r>
        <w:t>: There was a statistically significant reduction in mean VAS scores from baseline to each follow-up point (p &lt; 0.05), along with significant improvement in WOMAC scores, indicating better joint function and reduced stiffness. The most marked improvements were observed at 3 and 6 months post-injection. No serious adverse events were reported.</w:t>
      </w:r>
    </w:p>
    <w:p w14:paraId="4C5ECDE2" w14:textId="77777777" w:rsidR="004C0A10" w:rsidRDefault="00000000">
      <w:pPr>
        <w:jc w:val="both"/>
      </w:pPr>
      <w:r>
        <w:rPr>
          <w:b/>
          <w:bCs/>
        </w:rPr>
        <w:t>Conclusion</w:t>
      </w:r>
      <w:r>
        <w:t>: Intra-articular injection of combined PRP and ozone is a safe and effective treatment modality for patients with knee osteoarthritis, resulting in significant improvements in pain and joint function. This combination may offer a synergistic approach for symptom relief and cartilage preservation.</w:t>
      </w:r>
    </w:p>
    <w:p w14:paraId="6C0D4432" w14:textId="77777777" w:rsidR="004C0A10" w:rsidRDefault="00000000">
      <w:pPr>
        <w:jc w:val="both"/>
      </w:pPr>
      <w:r>
        <w:rPr>
          <w:b/>
          <w:bCs/>
        </w:rPr>
        <w:t>Keywords</w:t>
      </w:r>
      <w:r>
        <w:t>: Osteoarthritis, Platelet-rich plasma, Ozone therapy, Knee joint, Intra-articular injection, Regenerative medicine</w:t>
      </w:r>
    </w:p>
    <w:p w14:paraId="53FE1DFC" w14:textId="77777777" w:rsidR="004C0A10" w:rsidRDefault="00000000">
      <w:pPr>
        <w:jc w:val="both"/>
      </w:pPr>
      <w:r>
        <w:rPr>
          <w:sz w:val="36"/>
          <w:szCs w:val="36"/>
        </w:rPr>
        <w:t>Introduction</w:t>
      </w:r>
    </w:p>
    <w:p w14:paraId="56D13512" w14:textId="77777777" w:rsidR="004C0A10" w:rsidRDefault="00000000">
      <w:pPr>
        <w:jc w:val="both"/>
      </w:pPr>
      <w:r>
        <w:t xml:space="preserve">Osteoarthritis (OA) is the most common form of degenerative joint disease, particularly affecting weight-bearing joints such as the knees. It is characterized by progressive articular cartilage loss, </w:t>
      </w:r>
      <w:r>
        <w:lastRenderedPageBreak/>
        <w:t>subchondral bone remodeling, and synovial inflammation, leading to chronic pain, stiffness, and reduced mobility. Globally, OA is a significant cause of disability, especially in aging populations, with increasing prevalence due to longer life expectancy and rising obesity rates</w:t>
      </w:r>
      <w:r>
        <w:rPr>
          <w:vertAlign w:val="superscript"/>
        </w:rPr>
        <w:t>【1】</w:t>
      </w:r>
      <w:r>
        <w:t>.</w:t>
      </w:r>
    </w:p>
    <w:p w14:paraId="32EDDC4A" w14:textId="77777777" w:rsidR="004C0A10" w:rsidRDefault="00000000">
      <w:pPr>
        <w:jc w:val="both"/>
      </w:pPr>
      <w:r>
        <w:t>Conventional management of OA includes nonsteroidal anti-inflammatory drugs (NSAIDs), physiotherapy, intra-articular corticosteroids, hyaluronic acid injections, and ultimately joint replacement surgery in advanced cases. However, these approaches often offer temporary relief and do not modify the course of the disease</w:t>
      </w:r>
      <w:r>
        <w:rPr>
          <w:vertAlign w:val="superscript"/>
        </w:rPr>
        <w:t>【2】</w:t>
      </w:r>
      <w:r>
        <w:t>. This has led to a growing interest in regenerative and biological therapies aimed at restoring joint homeostasis and halting disease progression.</w:t>
      </w:r>
    </w:p>
    <w:p w14:paraId="6A28DA2C" w14:textId="77777777" w:rsidR="004C0A10" w:rsidRDefault="00000000">
      <w:pPr>
        <w:jc w:val="both"/>
      </w:pPr>
      <w:r>
        <w:t>Platelet-rich plasma (PRP) is an autologous concentration of platelets suspended in plasma, rich in growth factors such as platelet-derived growth factor (PDGF), transforming growth factor-beta (TGF-β), and vascular endothelial growth factor (VEGF). These factors are known to promote chondrogenesis, tissue regeneration, and modulation of inflammation within the joint</w:t>
      </w:r>
      <w:r>
        <w:rPr>
          <w:vertAlign w:val="superscript"/>
        </w:rPr>
        <w:t>【3】</w:t>
      </w:r>
      <w:r>
        <w:t>. Several studies have demonstrated the beneficial effects of intra-articular PRP injections in improving pain and joint function in patients with mild to moderate knee OA</w:t>
      </w:r>
      <w:r>
        <w:rPr>
          <w:vertAlign w:val="superscript"/>
        </w:rPr>
        <w:t>【4】</w:t>
      </w:r>
      <w:r>
        <w:t>.</w:t>
      </w:r>
    </w:p>
    <w:p w14:paraId="3C46BB47" w14:textId="77777777" w:rsidR="004C0A10" w:rsidRDefault="00000000">
      <w:pPr>
        <w:jc w:val="both"/>
      </w:pPr>
      <w:r>
        <w:t>Ozone (O₃), a naturally occurring molecule composed of three oxygen atoms, has been used in medical therapy for its analgesic, anti-inflammatory, and immunomodulatory effects. When administered intra-articularly in low concentrations, ozone is believed to stimulate antioxidant defenses, improve oxygen metabolism, and modulate oxidative stress, thus contributing to symptomatic relief in OA patients</w:t>
      </w:r>
      <w:r>
        <w:rPr>
          <w:vertAlign w:val="superscript"/>
        </w:rPr>
        <w:t>【5】</w:t>
      </w:r>
      <w:r>
        <w:t>.</w:t>
      </w:r>
    </w:p>
    <w:p w14:paraId="008B5ED9" w14:textId="77777777" w:rsidR="004C0A10" w:rsidRDefault="00000000">
      <w:pPr>
        <w:jc w:val="both"/>
      </w:pPr>
      <w:r>
        <w:t>The integration of platelet-rich plasma (PRP) and ozone therapy presents an innovative therapeutic strategy with potential synergistic effects</w:t>
      </w:r>
      <w:r>
        <w:rPr>
          <w:vertAlign w:val="superscript"/>
        </w:rPr>
        <w:t>【14,15】</w:t>
      </w:r>
      <w:r>
        <w:t>. PRP promotes tissue regeneration and cartilage repair through its concentration of growth factors, while ozone therapy may enhance these effects by reducing inflammation and improving local oxygenation</w:t>
      </w:r>
      <w:r>
        <w:rPr>
          <w:vertAlign w:val="superscript"/>
        </w:rPr>
        <w:t>【14,15】</w:t>
      </w:r>
      <w:r>
        <w:t>. This concept is supported by Lu et al.,</w:t>
      </w:r>
      <w:r>
        <w:rPr>
          <w:vertAlign w:val="superscript"/>
        </w:rPr>
        <w:t>【14】</w:t>
      </w:r>
      <w:r>
        <w:t>. who demonstrated that oxygen-rich PRP significantly improved facial rejuvenation outcomes, emphasizing the role of enhanced oxygenation in tissue repair mechanisms. However, clinical evidence regarding the combined use of PRP and ozone remains limited and necessitates further investigation.</w:t>
      </w:r>
    </w:p>
    <w:p w14:paraId="7DC26C51" w14:textId="77777777" w:rsidR="004C0A10" w:rsidRDefault="00000000">
      <w:pPr>
        <w:jc w:val="both"/>
      </w:pPr>
      <w:r>
        <w:t>This prospective observational study aims to evaluate the efficacy and safety of intra-articular injections combining PRP and ozone in patients with knee osteoarthritis. The primary objectives include assessment of pain relief and functional improvement using validated scoring systems over a six-month follow-up period.</w:t>
      </w:r>
    </w:p>
    <w:p w14:paraId="26C25631" w14:textId="77777777" w:rsidR="004C0A10" w:rsidRDefault="004C0A10">
      <w:pPr>
        <w:jc w:val="both"/>
      </w:pPr>
    </w:p>
    <w:p w14:paraId="08715113" w14:textId="77777777" w:rsidR="004C0A10" w:rsidRDefault="00000000">
      <w:pPr>
        <w:jc w:val="both"/>
      </w:pPr>
      <w:r>
        <w:rPr>
          <w:sz w:val="36"/>
          <w:szCs w:val="36"/>
        </w:rPr>
        <w:t>Materials and Methods</w:t>
      </w:r>
    </w:p>
    <w:p w14:paraId="7E3FED03" w14:textId="77777777" w:rsidR="004C0A10" w:rsidRDefault="00000000">
      <w:pPr>
        <w:jc w:val="both"/>
      </w:pPr>
      <w:r>
        <w:t>Study Design and Setting:</w:t>
      </w:r>
    </w:p>
    <w:p w14:paraId="7574853F" w14:textId="77777777" w:rsidR="004C0A10" w:rsidRDefault="00000000">
      <w:pPr>
        <w:jc w:val="both"/>
      </w:pPr>
      <w:r>
        <w:t>This was a prospective observational study conducted at Government JLNM Hospital, Rainawari, Srinagar, J&amp;K from July 2023 to January 2025 after obtaining institutional ethical committee approval and written informed consent from all participants.</w:t>
      </w:r>
    </w:p>
    <w:p w14:paraId="1228B727" w14:textId="77777777" w:rsidR="004C0A10" w:rsidRDefault="00000000">
      <w:pPr>
        <w:jc w:val="both"/>
      </w:pPr>
      <w:r>
        <w:t>Study Population:</w:t>
      </w:r>
    </w:p>
    <w:p w14:paraId="3F0710FC" w14:textId="77777777" w:rsidR="004C0A10" w:rsidRDefault="00000000">
      <w:pPr>
        <w:jc w:val="both"/>
      </w:pPr>
      <w:r>
        <w:t>A total of 60 patients diagnosed with primary knee osteoarthritis were enrolled in the study. The diagnosis was based on clinical evaluation and radiographic findings in accordance with the Kellgren-Lawrence (K-L) grading system. Only patients with Grade II and III OA were included.</w:t>
      </w:r>
    </w:p>
    <w:p w14:paraId="0D2367C5" w14:textId="77777777" w:rsidR="004C0A10" w:rsidRDefault="00000000">
      <w:pPr>
        <w:jc w:val="both"/>
      </w:pPr>
      <w:r>
        <w:t>Inclusion Criteria:</w:t>
      </w:r>
    </w:p>
    <w:p w14:paraId="2250AA57" w14:textId="77777777" w:rsidR="004C0A10" w:rsidRDefault="00000000">
      <w:pPr>
        <w:jc w:val="both"/>
      </w:pPr>
      <w:r>
        <w:t>Age between 40 and 75 years</w:t>
      </w:r>
    </w:p>
    <w:p w14:paraId="0BA380CF" w14:textId="77777777" w:rsidR="004C0A10" w:rsidRDefault="00000000">
      <w:pPr>
        <w:jc w:val="both"/>
      </w:pPr>
      <w:r>
        <w:t>Radiologically confirmed Grade II or III knee OA</w:t>
      </w:r>
    </w:p>
    <w:p w14:paraId="1A913754" w14:textId="77777777" w:rsidR="004C0A10" w:rsidRDefault="00000000">
      <w:pPr>
        <w:jc w:val="both"/>
      </w:pPr>
      <w:r>
        <w:t>Persistent knee pain for more than 3 months despite conservative management</w:t>
      </w:r>
    </w:p>
    <w:p w14:paraId="500458D9" w14:textId="77777777" w:rsidR="004C0A10" w:rsidRDefault="00000000">
      <w:pPr>
        <w:jc w:val="both"/>
      </w:pPr>
      <w:r>
        <w:t>Willingness to participate and follow-up</w:t>
      </w:r>
    </w:p>
    <w:p w14:paraId="51D153AC" w14:textId="77777777" w:rsidR="004C0A10" w:rsidRDefault="00000000">
      <w:pPr>
        <w:jc w:val="both"/>
      </w:pPr>
      <w:r>
        <w:t>Exclusion Criteria:</w:t>
      </w:r>
    </w:p>
    <w:p w14:paraId="6683DB54" w14:textId="77777777" w:rsidR="004C0A10" w:rsidRDefault="00000000">
      <w:pPr>
        <w:jc w:val="both"/>
      </w:pPr>
      <w:r>
        <w:t>Severe OA (K-L Grade IV)</w:t>
      </w:r>
    </w:p>
    <w:p w14:paraId="6B820A4B" w14:textId="77777777" w:rsidR="004C0A10" w:rsidRDefault="00000000">
      <w:pPr>
        <w:jc w:val="both"/>
      </w:pPr>
      <w:r>
        <w:t>Prior intra-articular injection in the past 6 months</w:t>
      </w:r>
    </w:p>
    <w:p w14:paraId="76D1C4D9" w14:textId="77777777" w:rsidR="004C0A10" w:rsidRDefault="00000000">
      <w:pPr>
        <w:jc w:val="both"/>
      </w:pPr>
      <w:r>
        <w:t>Systemic inflammatory diseases (e.g., rheumatoid arthritis, gout)</w:t>
      </w:r>
    </w:p>
    <w:p w14:paraId="68799E5C" w14:textId="77777777" w:rsidR="004C0A10" w:rsidRDefault="00000000">
      <w:pPr>
        <w:jc w:val="both"/>
      </w:pPr>
      <w:r>
        <w:t>Active joint infection or skin infection near the injection site</w:t>
      </w:r>
    </w:p>
    <w:p w14:paraId="1CBD0E0F" w14:textId="77777777" w:rsidR="004C0A10" w:rsidRDefault="00000000">
      <w:pPr>
        <w:jc w:val="both"/>
      </w:pPr>
      <w:r>
        <w:t>Immunocompromised state or coagulation disorders</w:t>
      </w:r>
    </w:p>
    <w:p w14:paraId="1BD118BD" w14:textId="77777777" w:rsidR="004C0A10" w:rsidRDefault="00000000">
      <w:pPr>
        <w:jc w:val="both"/>
      </w:pPr>
      <w:r>
        <w:t>Platelet count &lt;150,000/mm³</w:t>
      </w:r>
    </w:p>
    <w:p w14:paraId="3FAEC27B" w14:textId="77777777" w:rsidR="004C0A10" w:rsidRDefault="00000000">
      <w:pPr>
        <w:jc w:val="both"/>
      </w:pPr>
      <w:r>
        <w:t>Preparation of PRP and Ozone Injection:</w:t>
      </w:r>
    </w:p>
    <w:p w14:paraId="2E67CEE3" w14:textId="77777777" w:rsidR="004C0A10" w:rsidRDefault="00000000">
      <w:pPr>
        <w:jc w:val="both"/>
      </w:pPr>
      <w:r>
        <w:t>A 20 mL sample of autologous venous blood was drawn into a sterile tube containing anticoagulant and centrifuged using a two-step process. The resulting 10 mL of platelet-rich plasma (PRP) was aspirated under sterile conditions.</w:t>
      </w:r>
    </w:p>
    <w:p w14:paraId="5F78AB03" w14:textId="77777777" w:rsidR="004C0A10" w:rsidRDefault="00000000">
      <w:pPr>
        <w:jc w:val="both"/>
      </w:pPr>
      <w:r>
        <w:t>Medical-grade ozone was generated using a certified ozone generator at a concentration of 20 µg/mL, and 10 mL was prepared immediately before administration.</w:t>
      </w:r>
    </w:p>
    <w:p w14:paraId="3345760C" w14:textId="77777777" w:rsidR="004C0A10" w:rsidRDefault="00000000">
      <w:pPr>
        <w:jc w:val="both"/>
      </w:pPr>
      <w:r>
        <w:t>Injection Procedure:</w:t>
      </w:r>
    </w:p>
    <w:p w14:paraId="0ACE69AD" w14:textId="77777777" w:rsidR="004C0A10" w:rsidRDefault="00000000">
      <w:pPr>
        <w:jc w:val="both"/>
      </w:pPr>
      <w:r>
        <w:t>Under strict aseptic precautions and using anatomical landmarks, a total of 20 mL solution (10 mL PRP + 10 mL ozone) was injected intra-articularly into the affected knee using a lateral mid-patellar approach. All procedures were performed by a trained physician in the same clinical setting.</w:t>
      </w:r>
    </w:p>
    <w:p w14:paraId="2BB8D7FB" w14:textId="77777777" w:rsidR="004C0A10" w:rsidRDefault="00000000">
      <w:pPr>
        <w:jc w:val="both"/>
      </w:pPr>
      <w:r>
        <w:t>Post-Injection Protocol:</w:t>
      </w:r>
    </w:p>
    <w:p w14:paraId="6D42929F" w14:textId="77777777" w:rsidR="004C0A10" w:rsidRDefault="00000000">
      <w:pPr>
        <w:jc w:val="both"/>
      </w:pPr>
      <w:r>
        <w:t>Patients were advised relative rest for 24–48 hours, avoidance of strenuous activity for one week, and continuation of prescribed physiotherapy exercises. No NSAIDs were allowed post-injection; only acetaminophen was permitted as rescue analgesia.</w:t>
      </w:r>
    </w:p>
    <w:p w14:paraId="2DFFC0D2" w14:textId="77777777" w:rsidR="004C0A10" w:rsidRDefault="00000000">
      <w:pPr>
        <w:jc w:val="both"/>
      </w:pPr>
      <w:r>
        <w:t>Outcome Measures:</w:t>
      </w:r>
    </w:p>
    <w:p w14:paraId="4794F0DC" w14:textId="77777777" w:rsidR="004C0A10" w:rsidRDefault="00000000">
      <w:pPr>
        <w:jc w:val="both"/>
      </w:pPr>
      <w:r>
        <w:t>Patients were evaluated at baseline, 1 month, 3 months, and 6 months after the injection. Outcome measures included:</w:t>
      </w:r>
    </w:p>
    <w:p w14:paraId="37E90715" w14:textId="77777777" w:rsidR="004C0A10" w:rsidRDefault="00000000">
      <w:pPr>
        <w:jc w:val="both"/>
      </w:pPr>
      <w:r>
        <w:t>Visual Analogue Scale (VAS) for pain (0–10 scale)</w:t>
      </w:r>
    </w:p>
    <w:p w14:paraId="01C17E55" w14:textId="77777777" w:rsidR="004C0A10" w:rsidRDefault="00000000">
      <w:pPr>
        <w:jc w:val="both"/>
      </w:pPr>
      <w:r>
        <w:t>Western Ontario and McMaster Universities Osteoarthritis Index (WOMAC) for pain, stiffness, and functional limitation</w:t>
      </w:r>
    </w:p>
    <w:p w14:paraId="77184437" w14:textId="77777777" w:rsidR="004C0A10" w:rsidRDefault="00000000">
      <w:pPr>
        <w:jc w:val="both"/>
      </w:pPr>
      <w:r>
        <w:t>Any adverse effects related to the injection were also recorded.</w:t>
      </w:r>
    </w:p>
    <w:p w14:paraId="78FDDACE" w14:textId="77777777" w:rsidR="004C0A10" w:rsidRDefault="00000000">
      <w:pPr>
        <w:jc w:val="both"/>
      </w:pPr>
      <w:r>
        <w:t>Statistical Analysis:</w:t>
      </w:r>
    </w:p>
    <w:p w14:paraId="3DC00619" w14:textId="77777777" w:rsidR="004C0A10" w:rsidRDefault="00000000">
      <w:pPr>
        <w:jc w:val="both"/>
      </w:pPr>
      <w:r>
        <w:t>Data were analyzed using [Insert Software, e.g., SPSS version 25]. Continuous variables were expressed as mean ± standard deviation. Paired t-tests or Wilcoxon signed-rank tests were used to compare baseline and follow-up scores. A p-value of &lt;0.05 was considered statistically significant.</w:t>
      </w:r>
    </w:p>
    <w:p w14:paraId="0AB6D144" w14:textId="77777777" w:rsidR="004C0A10" w:rsidRDefault="00000000">
      <w:pPr>
        <w:jc w:val="both"/>
        <w:rPr>
          <w:sz w:val="36"/>
          <w:szCs w:val="36"/>
        </w:rPr>
      </w:pPr>
      <w:r>
        <w:rPr>
          <w:sz w:val="36"/>
          <w:szCs w:val="36"/>
        </w:rPr>
        <w:t>Results</w:t>
      </w:r>
    </w:p>
    <w:p w14:paraId="2286CB90" w14:textId="77777777" w:rsidR="004C0A10" w:rsidRDefault="00000000">
      <w:pPr>
        <w:jc w:val="both"/>
      </w:pPr>
      <w:r>
        <w:t>A total of 60 patients were included in the study, with a mean age of 58.3 ± 7.9 years. Of these, 36 (60%) were female and 24 (40%) were male. All participants completed follow-up assessments at 1, 3, and 6 months following a single intra-articular injection of platelet-rich plasma (PRP) combined with ozone.</w:t>
      </w:r>
    </w:p>
    <w:p w14:paraId="283C0D16" w14:textId="77777777" w:rsidR="004C0A10" w:rsidRDefault="00000000">
      <w:pPr>
        <w:keepNext/>
        <w:keepLines/>
        <w:spacing w:before="200" w:line="276" w:lineRule="auto"/>
        <w:jc w:val="center"/>
        <w:outlineLvl w:val="1"/>
      </w:pPr>
      <w:r>
        <w:rPr>
          <w:rFonts w:ascii="Calibri" w:eastAsia="MS Gothic" w:hAnsi="Calibri"/>
          <w:b/>
          <w:bCs/>
          <w:color w:val="4F81BD"/>
          <w:sz w:val="26"/>
          <w:szCs w:val="26"/>
          <w:lang w:eastAsia="en-US"/>
        </w:rPr>
        <w:t>Table 1: Demographics and Baseline Characteristics</w:t>
      </w:r>
    </w:p>
    <w:tbl>
      <w:tblPr>
        <w:tblW w:w="0" w:type="auto"/>
        <w:tblLook w:val="04A0" w:firstRow="1" w:lastRow="0" w:firstColumn="1" w:lastColumn="0" w:noHBand="0" w:noVBand="1"/>
      </w:tblPr>
      <w:tblGrid>
        <w:gridCol w:w="4320"/>
        <w:gridCol w:w="4320"/>
      </w:tblGrid>
      <w:tr w:rsidR="004C0A10" w14:paraId="2A2F7E94"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BA32" w14:textId="77777777" w:rsidR="004C0A10" w:rsidRDefault="00000000">
            <w:pPr>
              <w:spacing w:after="200" w:line="276" w:lineRule="auto"/>
              <w:jc w:val="both"/>
            </w:pPr>
            <w:r>
              <w:rPr>
                <w:rFonts w:ascii="Cambria" w:eastAsia="MS Mincho" w:hAnsi="Cambria"/>
                <w:color w:val="auto"/>
                <w:sz w:val="22"/>
                <w:szCs w:val="22"/>
                <w:lang w:eastAsia="en-US"/>
              </w:rPr>
              <w:t>Parameter</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C24A" w14:textId="77777777" w:rsidR="004C0A10" w:rsidRDefault="00000000">
            <w:pPr>
              <w:spacing w:after="200" w:line="276" w:lineRule="auto"/>
              <w:jc w:val="both"/>
            </w:pPr>
            <w:r>
              <w:rPr>
                <w:rFonts w:ascii="Cambria" w:eastAsia="MS Mincho" w:hAnsi="Cambria"/>
                <w:color w:val="auto"/>
                <w:sz w:val="22"/>
                <w:szCs w:val="22"/>
                <w:lang w:eastAsia="en-US"/>
              </w:rPr>
              <w:t>Value</w:t>
            </w:r>
          </w:p>
        </w:tc>
      </w:tr>
      <w:tr w:rsidR="004C0A10" w14:paraId="40F4DF19"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7CA9B" w14:textId="77777777" w:rsidR="004C0A10" w:rsidRDefault="00000000">
            <w:pPr>
              <w:spacing w:after="200" w:line="276" w:lineRule="auto"/>
              <w:jc w:val="both"/>
            </w:pPr>
            <w:r>
              <w:rPr>
                <w:rFonts w:ascii="Cambria" w:eastAsia="MS Mincho" w:hAnsi="Cambria"/>
                <w:color w:val="auto"/>
                <w:sz w:val="22"/>
                <w:szCs w:val="22"/>
                <w:lang w:eastAsia="en-US"/>
              </w:rPr>
              <w:t>Number of patients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48A27" w14:textId="77777777" w:rsidR="004C0A10" w:rsidRDefault="00000000">
            <w:pPr>
              <w:spacing w:after="200" w:line="276" w:lineRule="auto"/>
              <w:jc w:val="both"/>
            </w:pPr>
            <w:r>
              <w:rPr>
                <w:rFonts w:ascii="Cambria" w:eastAsia="MS Mincho" w:hAnsi="Cambria"/>
                <w:color w:val="auto"/>
                <w:sz w:val="22"/>
                <w:szCs w:val="22"/>
                <w:lang w:eastAsia="en-US"/>
              </w:rPr>
              <w:t>60</w:t>
            </w:r>
          </w:p>
        </w:tc>
      </w:tr>
      <w:tr w:rsidR="004C0A10" w14:paraId="1E5B4DA7"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8F43" w14:textId="77777777" w:rsidR="004C0A10" w:rsidRDefault="00000000">
            <w:pPr>
              <w:spacing w:after="200" w:line="276" w:lineRule="auto"/>
              <w:jc w:val="both"/>
            </w:pPr>
            <w:r>
              <w:rPr>
                <w:rFonts w:ascii="Cambria" w:eastAsia="MS Mincho" w:hAnsi="Cambria"/>
                <w:color w:val="auto"/>
                <w:sz w:val="22"/>
                <w:szCs w:val="22"/>
                <w:lang w:eastAsia="en-US"/>
              </w:rPr>
              <w:t>Mean age (years)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7B444" w14:textId="77777777" w:rsidR="004C0A10" w:rsidRDefault="00000000">
            <w:pPr>
              <w:spacing w:after="200" w:line="276" w:lineRule="auto"/>
              <w:jc w:val="both"/>
            </w:pPr>
            <w:r>
              <w:rPr>
                <w:rFonts w:ascii="Cambria" w:eastAsia="MS Mincho" w:hAnsi="Cambria"/>
                <w:color w:val="auto"/>
                <w:sz w:val="22"/>
                <w:szCs w:val="22"/>
                <w:lang w:eastAsia="en-US"/>
              </w:rPr>
              <w:t>58.3 ± 7.9</w:t>
            </w:r>
          </w:p>
        </w:tc>
      </w:tr>
      <w:tr w:rsidR="004C0A10" w14:paraId="5506734D"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EB4F1" w14:textId="77777777" w:rsidR="004C0A10" w:rsidRDefault="00000000">
            <w:pPr>
              <w:spacing w:after="200" w:line="276" w:lineRule="auto"/>
              <w:jc w:val="both"/>
            </w:pPr>
            <w:r>
              <w:rPr>
                <w:rFonts w:ascii="Cambria" w:eastAsia="MS Mincho" w:hAnsi="Cambria"/>
                <w:color w:val="auto"/>
                <w:sz w:val="22"/>
                <w:szCs w:val="22"/>
                <w:lang w:eastAsia="en-US"/>
              </w:rPr>
              <w:t>Sex (Female/Male)</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06102" w14:textId="77777777" w:rsidR="004C0A10" w:rsidRDefault="00000000">
            <w:pPr>
              <w:spacing w:after="200" w:line="276" w:lineRule="auto"/>
              <w:jc w:val="both"/>
            </w:pPr>
            <w:r>
              <w:rPr>
                <w:rFonts w:ascii="Cambria" w:eastAsia="MS Mincho" w:hAnsi="Cambria"/>
                <w:color w:val="auto"/>
                <w:sz w:val="22"/>
                <w:szCs w:val="22"/>
                <w:lang w:eastAsia="en-US"/>
              </w:rPr>
              <w:t>36 / 24</w:t>
            </w:r>
          </w:p>
        </w:tc>
      </w:tr>
      <w:tr w:rsidR="004C0A10" w14:paraId="0E334017"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22830" w14:textId="77777777" w:rsidR="004C0A10" w:rsidRDefault="00000000">
            <w:pPr>
              <w:spacing w:after="200" w:line="276" w:lineRule="auto"/>
              <w:jc w:val="both"/>
            </w:pPr>
            <w:r>
              <w:rPr>
                <w:rFonts w:ascii="Cambria" w:eastAsia="MS Mincho" w:hAnsi="Cambria"/>
                <w:color w:val="auto"/>
                <w:sz w:val="22"/>
                <w:szCs w:val="22"/>
                <w:lang w:eastAsia="en-US"/>
              </w:rPr>
              <w:t>Kellgren-Lawrence Grade II</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CA3C2" w14:textId="77777777" w:rsidR="004C0A10" w:rsidRDefault="00000000">
            <w:pPr>
              <w:spacing w:after="200" w:line="276" w:lineRule="auto"/>
              <w:jc w:val="both"/>
            </w:pPr>
            <w:r>
              <w:rPr>
                <w:rFonts w:ascii="Cambria" w:eastAsia="MS Mincho" w:hAnsi="Cambria"/>
                <w:color w:val="auto"/>
                <w:sz w:val="22"/>
                <w:szCs w:val="22"/>
                <w:lang w:eastAsia="en-US"/>
              </w:rPr>
              <w:t>38 (63.3%)</w:t>
            </w:r>
          </w:p>
        </w:tc>
      </w:tr>
      <w:tr w:rsidR="004C0A10" w14:paraId="6AFF820B"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E7A6F" w14:textId="77777777" w:rsidR="004C0A10" w:rsidRDefault="00000000">
            <w:pPr>
              <w:spacing w:after="200" w:line="276" w:lineRule="auto"/>
              <w:jc w:val="both"/>
            </w:pPr>
            <w:r>
              <w:rPr>
                <w:rFonts w:ascii="Cambria" w:eastAsia="MS Mincho" w:hAnsi="Cambria"/>
                <w:color w:val="auto"/>
                <w:sz w:val="22"/>
                <w:szCs w:val="22"/>
                <w:lang w:eastAsia="en-US"/>
              </w:rPr>
              <w:t>Kellgren-Lawrence Grade III</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BEA7D" w14:textId="77777777" w:rsidR="004C0A10" w:rsidRDefault="00000000">
            <w:pPr>
              <w:spacing w:after="200" w:line="276" w:lineRule="auto"/>
              <w:jc w:val="both"/>
            </w:pPr>
            <w:r>
              <w:rPr>
                <w:rFonts w:ascii="Cambria" w:eastAsia="MS Mincho" w:hAnsi="Cambria"/>
                <w:color w:val="auto"/>
                <w:sz w:val="22"/>
                <w:szCs w:val="22"/>
                <w:lang w:eastAsia="en-US"/>
              </w:rPr>
              <w:t>22 (36.7%)</w:t>
            </w:r>
          </w:p>
        </w:tc>
      </w:tr>
    </w:tbl>
    <w:p w14:paraId="672CC885" w14:textId="77777777" w:rsidR="004C0A10" w:rsidRDefault="004C0A10">
      <w:pPr>
        <w:jc w:val="both"/>
      </w:pPr>
    </w:p>
    <w:p w14:paraId="3C157F24" w14:textId="77777777" w:rsidR="004C0A10" w:rsidRDefault="00000000">
      <w:pPr>
        <w:jc w:val="both"/>
      </w:pPr>
      <w:r>
        <w:t>Pain Scores (VAS)</w:t>
      </w:r>
    </w:p>
    <w:p w14:paraId="1FBB6657" w14:textId="77777777" w:rsidR="004C0A10" w:rsidRDefault="00000000">
      <w:pPr>
        <w:jc w:val="both"/>
      </w:pPr>
      <w:r>
        <w:t>There was a statistically significant reduction in pain scores at all follow-up intervals compared to baseline. The mean VAS score decreased from 7.8 ± 1.1 at baseline to 5.1 ± 1.0 at 1 month, 3.9 ± 0.9 at 3 months, and 2.8 ± 0.8 at 6 months (p &lt; 0.001 for all comparisons with baseline).</w:t>
      </w:r>
    </w:p>
    <w:p w14:paraId="7351DE69" w14:textId="77777777" w:rsidR="004C0A10" w:rsidRDefault="00000000">
      <w:pPr>
        <w:keepNext/>
        <w:keepLines/>
        <w:spacing w:before="200" w:line="276" w:lineRule="auto"/>
        <w:jc w:val="center"/>
        <w:outlineLvl w:val="1"/>
      </w:pPr>
      <w:r>
        <w:rPr>
          <w:rFonts w:ascii="Calibri" w:eastAsia="MS Gothic" w:hAnsi="Calibri"/>
          <w:b/>
          <w:bCs/>
          <w:color w:val="4F81BD"/>
          <w:sz w:val="26"/>
          <w:szCs w:val="26"/>
          <w:lang w:eastAsia="en-US"/>
        </w:rPr>
        <w:t>Table 2: VAS Score Over Time</w:t>
      </w:r>
    </w:p>
    <w:tbl>
      <w:tblPr>
        <w:tblW w:w="0" w:type="auto"/>
        <w:tblLook w:val="04A0" w:firstRow="1" w:lastRow="0" w:firstColumn="1" w:lastColumn="0" w:noHBand="0" w:noVBand="1"/>
      </w:tblPr>
      <w:tblGrid>
        <w:gridCol w:w="2880"/>
        <w:gridCol w:w="2880"/>
        <w:gridCol w:w="2880"/>
      </w:tblGrid>
      <w:tr w:rsidR="004C0A10" w14:paraId="42099B0B"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54F0" w14:textId="77777777" w:rsidR="004C0A10" w:rsidRDefault="00000000">
            <w:pPr>
              <w:spacing w:after="200" w:line="276" w:lineRule="auto"/>
              <w:jc w:val="both"/>
            </w:pPr>
            <w:r>
              <w:rPr>
                <w:rFonts w:ascii="Cambria" w:eastAsia="MS Mincho" w:hAnsi="Cambria"/>
                <w:color w:val="auto"/>
                <w:sz w:val="22"/>
                <w:szCs w:val="22"/>
                <w:lang w:eastAsia="en-US"/>
              </w:rPr>
              <w:t>Time Point</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3927" w14:textId="77777777" w:rsidR="004C0A10" w:rsidRDefault="00000000">
            <w:pPr>
              <w:spacing w:after="200" w:line="276" w:lineRule="auto"/>
              <w:jc w:val="both"/>
            </w:pPr>
            <w:r>
              <w:rPr>
                <w:rFonts w:ascii="Cambria" w:eastAsia="MS Mincho" w:hAnsi="Cambria"/>
                <w:color w:val="auto"/>
                <w:sz w:val="22"/>
                <w:szCs w:val="22"/>
                <w:lang w:eastAsia="en-US"/>
              </w:rPr>
              <w:t>VAS Score (Mean ± SD)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66F53" w14:textId="77777777" w:rsidR="004C0A10" w:rsidRDefault="00000000">
            <w:pPr>
              <w:spacing w:after="200" w:line="276" w:lineRule="auto"/>
              <w:jc w:val="both"/>
            </w:pPr>
            <w:r>
              <w:rPr>
                <w:rFonts w:ascii="Cambria" w:eastAsia="MS Mincho" w:hAnsi="Cambria"/>
                <w:color w:val="auto"/>
                <w:sz w:val="22"/>
                <w:szCs w:val="22"/>
                <w:lang w:eastAsia="en-US"/>
              </w:rPr>
              <w:t>p-value vs Baseline</w:t>
            </w:r>
          </w:p>
        </w:tc>
      </w:tr>
      <w:tr w:rsidR="004C0A10" w14:paraId="2AC1CC79"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D150" w14:textId="77777777" w:rsidR="004C0A10" w:rsidRDefault="00000000">
            <w:pPr>
              <w:spacing w:after="200" w:line="276" w:lineRule="auto"/>
              <w:jc w:val="both"/>
            </w:pPr>
            <w:r>
              <w:rPr>
                <w:rFonts w:ascii="Cambria" w:eastAsia="MS Mincho" w:hAnsi="Cambria"/>
                <w:color w:val="auto"/>
                <w:sz w:val="22"/>
                <w:szCs w:val="22"/>
                <w:lang w:eastAsia="en-US"/>
              </w:rPr>
              <w:t>Baseline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39526" w14:textId="77777777" w:rsidR="004C0A10" w:rsidRDefault="00000000">
            <w:pPr>
              <w:spacing w:after="200" w:line="276" w:lineRule="auto"/>
              <w:jc w:val="both"/>
            </w:pPr>
            <w:r>
              <w:rPr>
                <w:rFonts w:ascii="Cambria" w:eastAsia="MS Mincho" w:hAnsi="Cambria"/>
                <w:color w:val="auto"/>
                <w:sz w:val="22"/>
                <w:szCs w:val="22"/>
                <w:lang w:eastAsia="en-US"/>
              </w:rPr>
              <w:t>7.8 ± 1.1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974B" w14:textId="77777777" w:rsidR="004C0A10" w:rsidRDefault="00000000">
            <w:pPr>
              <w:spacing w:after="200" w:line="276" w:lineRule="auto"/>
              <w:jc w:val="both"/>
            </w:pPr>
            <w:r>
              <w:rPr>
                <w:rFonts w:ascii="Cambria" w:eastAsia="MS Mincho" w:hAnsi="Cambria"/>
                <w:color w:val="auto"/>
                <w:sz w:val="22"/>
                <w:szCs w:val="22"/>
                <w:lang w:eastAsia="en-US"/>
              </w:rPr>
              <w:t>–</w:t>
            </w:r>
          </w:p>
        </w:tc>
      </w:tr>
      <w:tr w:rsidR="004C0A10" w14:paraId="6F6B796C"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0895" w14:textId="77777777" w:rsidR="004C0A10" w:rsidRDefault="00000000">
            <w:pPr>
              <w:spacing w:after="200" w:line="276" w:lineRule="auto"/>
              <w:jc w:val="both"/>
            </w:pPr>
            <w:r>
              <w:rPr>
                <w:rFonts w:ascii="Cambria" w:eastAsia="MS Mincho" w:hAnsi="Cambria"/>
                <w:color w:val="auto"/>
                <w:sz w:val="22"/>
                <w:szCs w:val="22"/>
                <w:lang w:eastAsia="en-US"/>
              </w:rPr>
              <w:t>1 Month</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C3908" w14:textId="77777777" w:rsidR="004C0A10" w:rsidRDefault="00000000">
            <w:pPr>
              <w:spacing w:after="200" w:line="276" w:lineRule="auto"/>
              <w:jc w:val="both"/>
            </w:pPr>
            <w:r>
              <w:rPr>
                <w:rFonts w:ascii="Cambria" w:eastAsia="MS Mincho" w:hAnsi="Cambria"/>
                <w:color w:val="auto"/>
                <w:sz w:val="22"/>
                <w:szCs w:val="22"/>
                <w:lang w:eastAsia="en-US"/>
              </w:rPr>
              <w:t>5.1 ± 1.0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4E03E" w14:textId="77777777" w:rsidR="004C0A10" w:rsidRDefault="00000000">
            <w:pPr>
              <w:spacing w:after="200" w:line="276" w:lineRule="auto"/>
              <w:jc w:val="both"/>
            </w:pPr>
            <w:r>
              <w:rPr>
                <w:rFonts w:ascii="Cambria" w:eastAsia="MS Mincho" w:hAnsi="Cambria"/>
                <w:color w:val="auto"/>
                <w:sz w:val="22"/>
                <w:szCs w:val="22"/>
                <w:lang w:eastAsia="en-US"/>
              </w:rPr>
              <w:t>&lt;0.001</w:t>
            </w:r>
          </w:p>
        </w:tc>
      </w:tr>
      <w:tr w:rsidR="004C0A10" w14:paraId="03C1F5C1"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E0858" w14:textId="77777777" w:rsidR="004C0A10" w:rsidRDefault="00000000">
            <w:pPr>
              <w:spacing w:after="200" w:line="276" w:lineRule="auto"/>
              <w:jc w:val="both"/>
            </w:pPr>
            <w:r>
              <w:rPr>
                <w:rFonts w:ascii="Cambria" w:eastAsia="MS Mincho" w:hAnsi="Cambria"/>
                <w:color w:val="auto"/>
                <w:sz w:val="22"/>
                <w:szCs w:val="22"/>
                <w:lang w:eastAsia="en-US"/>
              </w:rPr>
              <w:t>3 Months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2BEDB" w14:textId="77777777" w:rsidR="004C0A10" w:rsidRDefault="00000000">
            <w:pPr>
              <w:spacing w:after="200" w:line="276" w:lineRule="auto"/>
              <w:jc w:val="both"/>
            </w:pPr>
            <w:r>
              <w:rPr>
                <w:rFonts w:ascii="Cambria" w:eastAsia="MS Mincho" w:hAnsi="Cambria"/>
                <w:color w:val="auto"/>
                <w:sz w:val="22"/>
                <w:szCs w:val="22"/>
                <w:lang w:eastAsia="en-US"/>
              </w:rPr>
              <w:t>3.9 ± 0.9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0BBD1" w14:textId="77777777" w:rsidR="004C0A10" w:rsidRDefault="00000000">
            <w:pPr>
              <w:spacing w:after="200" w:line="276" w:lineRule="auto"/>
              <w:jc w:val="both"/>
            </w:pPr>
            <w:r>
              <w:rPr>
                <w:rFonts w:ascii="Cambria" w:eastAsia="MS Mincho" w:hAnsi="Cambria"/>
                <w:color w:val="auto"/>
                <w:sz w:val="22"/>
                <w:szCs w:val="22"/>
                <w:lang w:eastAsia="en-US"/>
              </w:rPr>
              <w:t>&lt;0.001</w:t>
            </w:r>
          </w:p>
        </w:tc>
      </w:tr>
      <w:tr w:rsidR="004C0A10" w14:paraId="1AB16C6F"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DA2C3" w14:textId="77777777" w:rsidR="004C0A10" w:rsidRDefault="00000000">
            <w:pPr>
              <w:spacing w:after="200" w:line="276" w:lineRule="auto"/>
              <w:jc w:val="both"/>
            </w:pPr>
            <w:r>
              <w:rPr>
                <w:rFonts w:ascii="Cambria" w:eastAsia="MS Mincho" w:hAnsi="Cambria"/>
                <w:color w:val="auto"/>
                <w:sz w:val="22"/>
                <w:szCs w:val="22"/>
                <w:lang w:eastAsia="en-US"/>
              </w:rPr>
              <w:t>6 Months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EEC8" w14:textId="77777777" w:rsidR="004C0A10" w:rsidRDefault="00000000">
            <w:pPr>
              <w:spacing w:after="200" w:line="276" w:lineRule="auto"/>
              <w:jc w:val="both"/>
            </w:pPr>
            <w:r>
              <w:rPr>
                <w:rFonts w:ascii="Cambria" w:eastAsia="MS Mincho" w:hAnsi="Cambria"/>
                <w:color w:val="auto"/>
                <w:sz w:val="22"/>
                <w:szCs w:val="22"/>
                <w:lang w:eastAsia="en-US"/>
              </w:rPr>
              <w:t>2.8 ± 0.8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A1D42" w14:textId="77777777" w:rsidR="004C0A10" w:rsidRDefault="00000000">
            <w:pPr>
              <w:spacing w:after="200" w:line="276" w:lineRule="auto"/>
              <w:jc w:val="both"/>
            </w:pPr>
            <w:r>
              <w:rPr>
                <w:rFonts w:ascii="Cambria" w:eastAsia="MS Mincho" w:hAnsi="Cambria"/>
                <w:color w:val="auto"/>
                <w:sz w:val="22"/>
                <w:szCs w:val="22"/>
                <w:lang w:eastAsia="en-US"/>
              </w:rPr>
              <w:t>&lt;0.001</w:t>
            </w:r>
          </w:p>
        </w:tc>
      </w:tr>
    </w:tbl>
    <w:p w14:paraId="239990C1" w14:textId="77777777" w:rsidR="004C0A10" w:rsidRDefault="004C0A10">
      <w:pPr>
        <w:jc w:val="both"/>
      </w:pPr>
    </w:p>
    <w:p w14:paraId="5552F8F4" w14:textId="77777777" w:rsidR="004C0A10" w:rsidRDefault="00000000">
      <w:pPr>
        <w:jc w:val="center"/>
      </w:pPr>
      <w:r>
        <w:rPr>
          <w:rFonts w:ascii="Calibri" w:eastAsia="MS Gothic" w:hAnsi="Calibri"/>
          <w:b/>
          <w:bCs/>
          <w:color w:val="4F81BD"/>
          <w:sz w:val="26"/>
          <w:szCs w:val="26"/>
          <w:lang w:eastAsia="en-US"/>
        </w:rPr>
        <w:t>Figure 1: VAS Score Over Time</w:t>
      </w:r>
    </w:p>
    <w:p w14:paraId="6B25955C" w14:textId="77777777" w:rsidR="004C0A10" w:rsidRDefault="00000000">
      <w:pPr>
        <w:jc w:val="center"/>
      </w:pPr>
      <w:r>
        <w:rPr>
          <w:noProof/>
        </w:rPr>
        <w:drawing>
          <wp:inline distT="0" distB="0" distL="0" distR="0" wp14:anchorId="4533D737" wp14:editId="70D42DF2">
            <wp:extent cx="4241287" cy="252766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4241287" cy="2527661"/>
                    </a:xfrm>
                    <a:prstGeom prst="rect">
                      <a:avLst/>
                    </a:prstGeom>
                  </pic:spPr>
                </pic:pic>
              </a:graphicData>
            </a:graphic>
          </wp:inline>
        </w:drawing>
      </w:r>
    </w:p>
    <w:p w14:paraId="1BDFD9C5" w14:textId="77777777" w:rsidR="004C0A10" w:rsidRDefault="00000000">
      <w:pPr>
        <w:jc w:val="both"/>
      </w:pPr>
      <w:r>
        <w:t>Functional Outcomes (WOMAC)</w:t>
      </w:r>
    </w:p>
    <w:p w14:paraId="75B20B0B" w14:textId="77777777" w:rsidR="004C0A10" w:rsidRDefault="00000000">
      <w:pPr>
        <w:jc w:val="both"/>
      </w:pPr>
      <w:r>
        <w:t>WOMAC scores also demonstrated significant improvement over time. The baseline mean total WOMAC score was 62.5 ± 6.4, which reduced to 48.7 ± 5.9 at 1 month, 38.2 ± 5.5 at 3 months, and 29.6 ± 4.8 at 6 months post-injection (p &lt; 0.001 for all intervals compared to baseline). Improvements were noted across all WOMAC subdomains, including pain, stiffness, and physical function.</w:t>
      </w:r>
    </w:p>
    <w:p w14:paraId="4A5E92D7" w14:textId="77777777" w:rsidR="004C0A10" w:rsidRDefault="00000000">
      <w:pPr>
        <w:keepNext/>
        <w:keepLines/>
        <w:spacing w:before="200" w:line="276" w:lineRule="auto"/>
        <w:jc w:val="center"/>
        <w:outlineLvl w:val="1"/>
      </w:pPr>
      <w:r>
        <w:rPr>
          <w:rFonts w:ascii="Calibri" w:eastAsia="MS Gothic" w:hAnsi="Calibri"/>
          <w:b/>
          <w:bCs/>
          <w:color w:val="4F81BD"/>
          <w:sz w:val="26"/>
          <w:szCs w:val="26"/>
          <w:lang w:eastAsia="en-US"/>
        </w:rPr>
        <w:t>Table 3: WOMAC Scores Over Time</w:t>
      </w:r>
    </w:p>
    <w:tbl>
      <w:tblPr>
        <w:tblW w:w="0" w:type="auto"/>
        <w:tblLook w:val="04A0" w:firstRow="1" w:lastRow="0" w:firstColumn="1" w:lastColumn="0" w:noHBand="0" w:noVBand="1"/>
      </w:tblPr>
      <w:tblGrid>
        <w:gridCol w:w="1440"/>
        <w:gridCol w:w="1440"/>
        <w:gridCol w:w="1440"/>
        <w:gridCol w:w="1440"/>
        <w:gridCol w:w="1440"/>
        <w:gridCol w:w="1440"/>
      </w:tblGrid>
      <w:tr w:rsidR="004C0A10" w14:paraId="0D5779BE" w14:textId="77777777">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42709" w14:textId="77777777" w:rsidR="004C0A10" w:rsidRDefault="00000000">
            <w:pPr>
              <w:spacing w:after="200" w:line="276" w:lineRule="auto"/>
              <w:jc w:val="both"/>
            </w:pPr>
            <w:r>
              <w:rPr>
                <w:rFonts w:ascii="Cambria" w:eastAsia="MS Mincho" w:hAnsi="Cambria"/>
                <w:color w:val="auto"/>
                <w:sz w:val="22"/>
                <w:szCs w:val="22"/>
                <w:lang w:eastAsia="en-US"/>
              </w:rPr>
              <w:t>Time Point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5172" w14:textId="77777777" w:rsidR="004C0A10" w:rsidRDefault="00000000">
            <w:pPr>
              <w:spacing w:after="200" w:line="276" w:lineRule="auto"/>
              <w:jc w:val="both"/>
            </w:pPr>
            <w:r>
              <w:rPr>
                <w:rFonts w:ascii="Cambria" w:eastAsia="MS Mincho" w:hAnsi="Cambria"/>
                <w:color w:val="auto"/>
                <w:sz w:val="22"/>
                <w:szCs w:val="22"/>
                <w:lang w:eastAsia="en-US"/>
              </w:rPr>
              <w:t>WOMAC Total Score (Mean ± 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35FB2" w14:textId="77777777" w:rsidR="004C0A10" w:rsidRDefault="00000000">
            <w:pPr>
              <w:spacing w:after="200" w:line="276" w:lineRule="auto"/>
              <w:jc w:val="both"/>
            </w:pPr>
            <w:r>
              <w:rPr>
                <w:rFonts w:ascii="Cambria" w:eastAsia="MS Mincho" w:hAnsi="Cambria"/>
                <w:color w:val="auto"/>
                <w:sz w:val="22"/>
                <w:szCs w:val="22"/>
                <w:lang w:eastAsia="en-US"/>
              </w:rPr>
              <w:t>Pain Subscore (Mean ± 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B3557" w14:textId="77777777" w:rsidR="004C0A10" w:rsidRDefault="00000000">
            <w:pPr>
              <w:spacing w:after="200" w:line="276" w:lineRule="auto"/>
              <w:jc w:val="both"/>
            </w:pPr>
            <w:r>
              <w:rPr>
                <w:rFonts w:ascii="Cambria" w:eastAsia="MS Mincho" w:hAnsi="Cambria"/>
                <w:color w:val="auto"/>
                <w:sz w:val="22"/>
                <w:szCs w:val="22"/>
                <w:lang w:eastAsia="en-US"/>
              </w:rPr>
              <w:t>Stiffness Subscore (Mean ± 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9FFE1" w14:textId="77777777" w:rsidR="004C0A10" w:rsidRDefault="00000000">
            <w:pPr>
              <w:spacing w:after="200" w:line="276" w:lineRule="auto"/>
              <w:jc w:val="both"/>
            </w:pPr>
            <w:r>
              <w:rPr>
                <w:rFonts w:ascii="Cambria" w:eastAsia="MS Mincho" w:hAnsi="Cambria"/>
                <w:color w:val="auto"/>
                <w:sz w:val="22"/>
                <w:szCs w:val="22"/>
                <w:lang w:eastAsia="en-US"/>
              </w:rPr>
              <w:t>Function Subscore (Mean ± SD)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A3A33" w14:textId="77777777" w:rsidR="004C0A10" w:rsidRDefault="00000000">
            <w:pPr>
              <w:spacing w:after="200" w:line="276" w:lineRule="auto"/>
              <w:jc w:val="both"/>
            </w:pPr>
            <w:r>
              <w:rPr>
                <w:rFonts w:ascii="Cambria" w:eastAsia="MS Mincho" w:hAnsi="Cambria"/>
                <w:color w:val="auto"/>
                <w:sz w:val="22"/>
                <w:szCs w:val="22"/>
                <w:lang w:eastAsia="en-US"/>
              </w:rPr>
              <w:t>p-value vs Baseline</w:t>
            </w:r>
          </w:p>
        </w:tc>
      </w:tr>
      <w:tr w:rsidR="004C0A10" w14:paraId="32415802" w14:textId="77777777">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61EE0" w14:textId="77777777" w:rsidR="004C0A10" w:rsidRDefault="00000000">
            <w:pPr>
              <w:spacing w:after="200" w:line="276" w:lineRule="auto"/>
              <w:jc w:val="both"/>
            </w:pPr>
            <w:r>
              <w:rPr>
                <w:rFonts w:ascii="Cambria" w:eastAsia="MS Mincho" w:hAnsi="Cambria"/>
                <w:color w:val="auto"/>
                <w:sz w:val="22"/>
                <w:szCs w:val="22"/>
                <w:lang w:eastAsia="en-US"/>
              </w:rPr>
              <w:t>Baseline</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61B2" w14:textId="77777777" w:rsidR="004C0A10" w:rsidRDefault="00000000">
            <w:pPr>
              <w:spacing w:after="200" w:line="276" w:lineRule="auto"/>
              <w:jc w:val="both"/>
            </w:pPr>
            <w:r>
              <w:rPr>
                <w:rFonts w:ascii="Cambria" w:eastAsia="MS Mincho" w:hAnsi="Cambria"/>
                <w:color w:val="auto"/>
                <w:sz w:val="22"/>
                <w:szCs w:val="22"/>
                <w:lang w:eastAsia="en-US"/>
              </w:rPr>
              <w:t>62.5 ± 6.4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FE048" w14:textId="77777777" w:rsidR="004C0A10" w:rsidRDefault="00000000">
            <w:pPr>
              <w:spacing w:after="200" w:line="276" w:lineRule="auto"/>
              <w:jc w:val="both"/>
            </w:pPr>
            <w:r>
              <w:rPr>
                <w:rFonts w:ascii="Cambria" w:eastAsia="MS Mincho" w:hAnsi="Cambria"/>
                <w:color w:val="auto"/>
                <w:sz w:val="22"/>
                <w:szCs w:val="22"/>
                <w:lang w:eastAsia="en-US"/>
              </w:rPr>
              <w:t>13.4 ± 1.9</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BCBDF" w14:textId="77777777" w:rsidR="004C0A10" w:rsidRDefault="00000000">
            <w:pPr>
              <w:spacing w:after="200" w:line="276" w:lineRule="auto"/>
              <w:jc w:val="both"/>
            </w:pPr>
            <w:r>
              <w:rPr>
                <w:rFonts w:ascii="Cambria" w:eastAsia="MS Mincho" w:hAnsi="Cambria"/>
                <w:color w:val="auto"/>
                <w:sz w:val="22"/>
                <w:szCs w:val="22"/>
                <w:lang w:eastAsia="en-US"/>
              </w:rPr>
              <w:t>5.8 ± 0.9</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202E" w14:textId="77777777" w:rsidR="004C0A10" w:rsidRDefault="00000000">
            <w:pPr>
              <w:spacing w:after="200" w:line="276" w:lineRule="auto"/>
              <w:jc w:val="both"/>
            </w:pPr>
            <w:r>
              <w:rPr>
                <w:rFonts w:ascii="Cambria" w:eastAsia="MS Mincho" w:hAnsi="Cambria"/>
                <w:color w:val="auto"/>
                <w:sz w:val="22"/>
                <w:szCs w:val="22"/>
                <w:lang w:eastAsia="en-US"/>
              </w:rPr>
              <w:t>43.3 ± 4.8</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439FC" w14:textId="77777777" w:rsidR="004C0A10" w:rsidRDefault="00000000">
            <w:pPr>
              <w:spacing w:after="200" w:line="276" w:lineRule="auto"/>
              <w:jc w:val="both"/>
            </w:pPr>
            <w:r>
              <w:rPr>
                <w:rFonts w:ascii="Cambria" w:eastAsia="MS Mincho" w:hAnsi="Cambria"/>
                <w:color w:val="auto"/>
                <w:sz w:val="22"/>
                <w:szCs w:val="22"/>
                <w:lang w:eastAsia="en-US"/>
              </w:rPr>
              <w:t>–</w:t>
            </w:r>
          </w:p>
        </w:tc>
      </w:tr>
      <w:tr w:rsidR="004C0A10" w14:paraId="2BD025C3" w14:textId="77777777">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A07F1" w14:textId="77777777" w:rsidR="004C0A10" w:rsidRDefault="00000000">
            <w:pPr>
              <w:spacing w:after="200" w:line="276" w:lineRule="auto"/>
              <w:jc w:val="both"/>
            </w:pPr>
            <w:r>
              <w:rPr>
                <w:rFonts w:ascii="Cambria" w:eastAsia="MS Mincho" w:hAnsi="Cambria"/>
                <w:color w:val="auto"/>
                <w:sz w:val="22"/>
                <w:szCs w:val="22"/>
                <w:lang w:eastAsia="en-US"/>
              </w:rPr>
              <w:t>1 Month</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F5968" w14:textId="77777777" w:rsidR="004C0A10" w:rsidRDefault="00000000">
            <w:pPr>
              <w:spacing w:after="200" w:line="276" w:lineRule="auto"/>
              <w:jc w:val="both"/>
            </w:pPr>
            <w:r>
              <w:rPr>
                <w:rFonts w:ascii="Cambria" w:eastAsia="MS Mincho" w:hAnsi="Cambria"/>
                <w:color w:val="auto"/>
                <w:sz w:val="22"/>
                <w:szCs w:val="22"/>
                <w:lang w:eastAsia="en-US"/>
              </w:rPr>
              <w:t>48.7 ± 5.9</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AEBD" w14:textId="77777777" w:rsidR="004C0A10" w:rsidRDefault="00000000">
            <w:pPr>
              <w:spacing w:after="200" w:line="276" w:lineRule="auto"/>
              <w:jc w:val="both"/>
            </w:pPr>
            <w:r>
              <w:rPr>
                <w:rFonts w:ascii="Cambria" w:eastAsia="MS Mincho" w:hAnsi="Cambria"/>
                <w:color w:val="auto"/>
                <w:sz w:val="22"/>
                <w:szCs w:val="22"/>
                <w:lang w:eastAsia="en-US"/>
              </w:rPr>
              <w:t>10.2 ± 1.7</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D7F33" w14:textId="77777777" w:rsidR="004C0A10" w:rsidRDefault="00000000">
            <w:pPr>
              <w:spacing w:after="200" w:line="276" w:lineRule="auto"/>
              <w:jc w:val="both"/>
            </w:pPr>
            <w:r>
              <w:rPr>
                <w:rFonts w:ascii="Cambria" w:eastAsia="MS Mincho" w:hAnsi="Cambria"/>
                <w:color w:val="auto"/>
                <w:sz w:val="22"/>
                <w:szCs w:val="22"/>
                <w:lang w:eastAsia="en-US"/>
              </w:rPr>
              <w:t>4.5 ± 0.7</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88A4" w14:textId="77777777" w:rsidR="004C0A10" w:rsidRDefault="00000000">
            <w:pPr>
              <w:spacing w:after="200" w:line="276" w:lineRule="auto"/>
              <w:jc w:val="both"/>
            </w:pPr>
            <w:r>
              <w:rPr>
                <w:rFonts w:ascii="Cambria" w:eastAsia="MS Mincho" w:hAnsi="Cambria"/>
                <w:color w:val="auto"/>
                <w:sz w:val="22"/>
                <w:szCs w:val="22"/>
                <w:lang w:eastAsia="en-US"/>
              </w:rPr>
              <w:t>34.0 ± 4.5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CF7F" w14:textId="77777777" w:rsidR="004C0A10" w:rsidRDefault="00000000">
            <w:pPr>
              <w:spacing w:after="200" w:line="276" w:lineRule="auto"/>
              <w:jc w:val="both"/>
            </w:pPr>
            <w:r>
              <w:rPr>
                <w:rFonts w:ascii="Cambria" w:eastAsia="MS Mincho" w:hAnsi="Cambria"/>
                <w:color w:val="auto"/>
                <w:sz w:val="22"/>
                <w:szCs w:val="22"/>
                <w:lang w:eastAsia="en-US"/>
              </w:rPr>
              <w:t>&lt;0.001</w:t>
            </w:r>
          </w:p>
        </w:tc>
      </w:tr>
      <w:tr w:rsidR="004C0A10" w14:paraId="63D611ED" w14:textId="77777777">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56F85" w14:textId="77777777" w:rsidR="004C0A10" w:rsidRDefault="00000000">
            <w:pPr>
              <w:spacing w:after="200" w:line="276" w:lineRule="auto"/>
              <w:jc w:val="both"/>
            </w:pPr>
            <w:r>
              <w:rPr>
                <w:rFonts w:ascii="Cambria" w:eastAsia="MS Mincho" w:hAnsi="Cambria"/>
                <w:color w:val="auto"/>
                <w:sz w:val="22"/>
                <w:szCs w:val="22"/>
                <w:lang w:eastAsia="en-US"/>
              </w:rPr>
              <w:t>3 Months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3EAB" w14:textId="77777777" w:rsidR="004C0A10" w:rsidRDefault="00000000">
            <w:pPr>
              <w:spacing w:after="200" w:line="276" w:lineRule="auto"/>
              <w:jc w:val="both"/>
            </w:pPr>
            <w:r>
              <w:rPr>
                <w:rFonts w:ascii="Cambria" w:eastAsia="MS Mincho" w:hAnsi="Cambria"/>
                <w:color w:val="auto"/>
                <w:sz w:val="22"/>
                <w:szCs w:val="22"/>
                <w:lang w:eastAsia="en-US"/>
              </w:rPr>
              <w:t>38.2 ± 5.5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521FB" w14:textId="77777777" w:rsidR="004C0A10" w:rsidRDefault="00000000">
            <w:pPr>
              <w:spacing w:after="200" w:line="276" w:lineRule="auto"/>
              <w:jc w:val="both"/>
            </w:pPr>
            <w:r>
              <w:rPr>
                <w:rFonts w:ascii="Cambria" w:eastAsia="MS Mincho" w:hAnsi="Cambria"/>
                <w:color w:val="auto"/>
                <w:sz w:val="22"/>
                <w:szCs w:val="22"/>
                <w:lang w:eastAsia="en-US"/>
              </w:rPr>
              <w:t>8.2 ± 1.5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55752" w14:textId="77777777" w:rsidR="004C0A10" w:rsidRDefault="00000000">
            <w:pPr>
              <w:spacing w:after="200" w:line="276" w:lineRule="auto"/>
              <w:jc w:val="both"/>
            </w:pPr>
            <w:r>
              <w:rPr>
                <w:rFonts w:ascii="Cambria" w:eastAsia="MS Mincho" w:hAnsi="Cambria"/>
                <w:color w:val="auto"/>
                <w:sz w:val="22"/>
                <w:szCs w:val="22"/>
                <w:lang w:eastAsia="en-US"/>
              </w:rPr>
              <w:t>3.6 ± 0.6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ED62" w14:textId="77777777" w:rsidR="004C0A10" w:rsidRDefault="00000000">
            <w:pPr>
              <w:spacing w:after="200" w:line="276" w:lineRule="auto"/>
              <w:jc w:val="both"/>
            </w:pPr>
            <w:r>
              <w:rPr>
                <w:rFonts w:ascii="Cambria" w:eastAsia="MS Mincho" w:hAnsi="Cambria"/>
                <w:color w:val="auto"/>
                <w:sz w:val="22"/>
                <w:szCs w:val="22"/>
                <w:lang w:eastAsia="en-US"/>
              </w:rPr>
              <w:t>26.4 ± 4.1</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6A789" w14:textId="77777777" w:rsidR="004C0A10" w:rsidRDefault="00000000">
            <w:pPr>
              <w:spacing w:after="200" w:line="276" w:lineRule="auto"/>
              <w:jc w:val="both"/>
            </w:pPr>
            <w:r>
              <w:rPr>
                <w:rFonts w:ascii="Cambria" w:eastAsia="MS Mincho" w:hAnsi="Cambria"/>
                <w:color w:val="auto"/>
                <w:sz w:val="22"/>
                <w:szCs w:val="22"/>
                <w:lang w:eastAsia="en-US"/>
              </w:rPr>
              <w:t>&lt;0.001</w:t>
            </w:r>
          </w:p>
        </w:tc>
      </w:tr>
      <w:tr w:rsidR="004C0A10" w14:paraId="33BC4FBE" w14:textId="77777777">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AA52A" w14:textId="77777777" w:rsidR="004C0A10" w:rsidRDefault="00000000">
            <w:pPr>
              <w:spacing w:after="200" w:line="276" w:lineRule="auto"/>
              <w:jc w:val="both"/>
            </w:pPr>
            <w:r>
              <w:rPr>
                <w:rFonts w:ascii="Cambria" w:eastAsia="MS Mincho" w:hAnsi="Cambria"/>
                <w:color w:val="auto"/>
                <w:sz w:val="22"/>
                <w:szCs w:val="22"/>
                <w:lang w:eastAsia="en-US"/>
              </w:rPr>
              <w:t>6 Months</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EFD98" w14:textId="77777777" w:rsidR="004C0A10" w:rsidRDefault="00000000">
            <w:pPr>
              <w:spacing w:after="200" w:line="276" w:lineRule="auto"/>
              <w:jc w:val="both"/>
            </w:pPr>
            <w:r>
              <w:rPr>
                <w:rFonts w:ascii="Cambria" w:eastAsia="MS Mincho" w:hAnsi="Cambria"/>
                <w:color w:val="auto"/>
                <w:sz w:val="22"/>
                <w:szCs w:val="22"/>
                <w:lang w:eastAsia="en-US"/>
              </w:rPr>
              <w:t>29.6 ± 4.8</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3990C" w14:textId="77777777" w:rsidR="004C0A10" w:rsidRDefault="00000000">
            <w:pPr>
              <w:spacing w:after="200" w:line="276" w:lineRule="auto"/>
              <w:jc w:val="both"/>
            </w:pPr>
            <w:r>
              <w:rPr>
                <w:rFonts w:ascii="Cambria" w:eastAsia="MS Mincho" w:hAnsi="Cambria"/>
                <w:color w:val="auto"/>
                <w:sz w:val="22"/>
                <w:szCs w:val="22"/>
                <w:lang w:eastAsia="en-US"/>
              </w:rPr>
              <w:t>6.7 ± 1.4</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1942" w14:textId="77777777" w:rsidR="004C0A10" w:rsidRDefault="00000000">
            <w:pPr>
              <w:spacing w:after="200" w:line="276" w:lineRule="auto"/>
              <w:jc w:val="both"/>
            </w:pPr>
            <w:r>
              <w:rPr>
                <w:rFonts w:ascii="Cambria" w:eastAsia="MS Mincho" w:hAnsi="Cambria"/>
                <w:color w:val="auto"/>
                <w:sz w:val="22"/>
                <w:szCs w:val="22"/>
                <w:lang w:eastAsia="en-US"/>
              </w:rPr>
              <w:t>3.0 ± 0.6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CBFC9" w14:textId="77777777" w:rsidR="004C0A10" w:rsidRDefault="00000000">
            <w:pPr>
              <w:spacing w:after="200" w:line="276" w:lineRule="auto"/>
              <w:jc w:val="both"/>
            </w:pPr>
            <w:r>
              <w:rPr>
                <w:rFonts w:ascii="Cambria" w:eastAsia="MS Mincho" w:hAnsi="Cambria"/>
                <w:color w:val="auto"/>
                <w:sz w:val="22"/>
                <w:szCs w:val="22"/>
                <w:lang w:eastAsia="en-US"/>
              </w:rPr>
              <w:t>19.9 ± 3.1</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4E72" w14:textId="77777777" w:rsidR="004C0A10" w:rsidRDefault="00000000">
            <w:pPr>
              <w:spacing w:after="200" w:line="276" w:lineRule="auto"/>
              <w:jc w:val="both"/>
            </w:pPr>
            <w:r>
              <w:rPr>
                <w:rFonts w:ascii="Cambria" w:eastAsia="MS Mincho" w:hAnsi="Cambria"/>
                <w:color w:val="auto"/>
                <w:sz w:val="22"/>
                <w:szCs w:val="22"/>
                <w:lang w:eastAsia="en-US"/>
              </w:rPr>
              <w:t>&lt;0.001</w:t>
            </w:r>
          </w:p>
        </w:tc>
      </w:tr>
    </w:tbl>
    <w:p w14:paraId="5A4C0E2E" w14:textId="77777777" w:rsidR="004C0A10" w:rsidRDefault="004C0A10">
      <w:pPr>
        <w:jc w:val="both"/>
      </w:pPr>
    </w:p>
    <w:p w14:paraId="32C8D29A" w14:textId="77777777" w:rsidR="004C0A10" w:rsidRDefault="00000000">
      <w:pPr>
        <w:jc w:val="center"/>
      </w:pPr>
      <w:r>
        <w:rPr>
          <w:rFonts w:ascii="Calibri" w:eastAsia="MS Gothic" w:hAnsi="Calibri"/>
          <w:b/>
          <w:bCs/>
          <w:color w:val="4F81BD"/>
          <w:sz w:val="26"/>
          <w:szCs w:val="26"/>
          <w:lang w:eastAsia="en-US"/>
        </w:rPr>
        <w:t>Figure 2: WOMAC Scores Over Time</w:t>
      </w:r>
    </w:p>
    <w:p w14:paraId="5D443A41" w14:textId="77777777" w:rsidR="004C0A10" w:rsidRDefault="00000000">
      <w:pPr>
        <w:jc w:val="center"/>
      </w:pPr>
      <w:r>
        <w:rPr>
          <w:noProof/>
        </w:rPr>
        <w:drawing>
          <wp:inline distT="0" distB="0" distL="0" distR="0" wp14:anchorId="16F39C5F" wp14:editId="1AC29AF1">
            <wp:extent cx="3995228" cy="2306189"/>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3995228" cy="2306189"/>
                    </a:xfrm>
                    <a:prstGeom prst="rect">
                      <a:avLst/>
                    </a:prstGeom>
                  </pic:spPr>
                </pic:pic>
              </a:graphicData>
            </a:graphic>
          </wp:inline>
        </w:drawing>
      </w:r>
    </w:p>
    <w:p w14:paraId="1D7BC76D" w14:textId="77777777" w:rsidR="004C0A10" w:rsidRDefault="00000000">
      <w:pPr>
        <w:spacing w:after="200" w:line="276" w:lineRule="auto"/>
        <w:jc w:val="both"/>
        <w:rPr>
          <w:rFonts w:ascii="Calibri" w:eastAsia="MS Gothic" w:hAnsi="Calibri"/>
          <w:b/>
          <w:bCs/>
          <w:color w:val="4F81BD"/>
          <w:sz w:val="26"/>
          <w:szCs w:val="26"/>
          <w:lang w:eastAsia="en-US"/>
        </w:rPr>
      </w:pPr>
      <w:r>
        <w:rPr>
          <w:rFonts w:ascii="Cambria" w:eastAsia="MS Mincho" w:hAnsi="Cambria"/>
          <w:color w:val="auto"/>
          <w:sz w:val="22"/>
          <w:szCs w:val="22"/>
          <w:lang w:eastAsia="en-US"/>
        </w:rPr>
        <w:t>Patient satisfaction was assessed at 6 months post-injection. Out of 60 patients, 48 (80%) reported being 'very satisfied' with the treatment, 9 (15%) were 'moderately satisfied,' and 3 (5%) reported minimal or no improvement.</w:t>
      </w:r>
    </w:p>
    <w:p w14:paraId="309E6515" w14:textId="77777777" w:rsidR="004C0A10" w:rsidRDefault="00000000">
      <w:pPr>
        <w:keepNext/>
        <w:keepLines/>
        <w:spacing w:before="200" w:line="276" w:lineRule="auto"/>
        <w:jc w:val="center"/>
        <w:outlineLvl w:val="1"/>
      </w:pPr>
      <w:r>
        <w:rPr>
          <w:rFonts w:ascii="Calibri" w:eastAsia="MS Gothic" w:hAnsi="Calibri"/>
          <w:b/>
          <w:bCs/>
          <w:color w:val="4F81BD"/>
          <w:sz w:val="26"/>
          <w:szCs w:val="26"/>
          <w:lang w:eastAsia="en-US"/>
        </w:rPr>
        <w:t>Table 4: Patient Satisfaction Summary</w:t>
      </w:r>
    </w:p>
    <w:tbl>
      <w:tblPr>
        <w:tblW w:w="0" w:type="auto"/>
        <w:tblLook w:val="04A0" w:firstRow="1" w:lastRow="0" w:firstColumn="1" w:lastColumn="0" w:noHBand="0" w:noVBand="1"/>
      </w:tblPr>
      <w:tblGrid>
        <w:gridCol w:w="2880"/>
        <w:gridCol w:w="2880"/>
        <w:gridCol w:w="2880"/>
      </w:tblGrid>
      <w:tr w:rsidR="004C0A10" w14:paraId="39E98FF9"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8B138" w14:textId="77777777" w:rsidR="004C0A10" w:rsidRDefault="00000000">
            <w:pPr>
              <w:spacing w:after="200" w:line="276" w:lineRule="auto"/>
              <w:jc w:val="both"/>
            </w:pPr>
            <w:r>
              <w:rPr>
                <w:rFonts w:ascii="Cambria" w:eastAsia="MS Mincho" w:hAnsi="Cambria"/>
                <w:color w:val="auto"/>
                <w:sz w:val="22"/>
                <w:szCs w:val="22"/>
                <w:lang w:eastAsia="en-US"/>
              </w:rPr>
              <w:t>Patient Satisfaction Level</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7BF9" w14:textId="77777777" w:rsidR="004C0A10" w:rsidRDefault="00000000">
            <w:pPr>
              <w:spacing w:after="200" w:line="276" w:lineRule="auto"/>
              <w:jc w:val="both"/>
            </w:pPr>
            <w:r>
              <w:rPr>
                <w:rFonts w:ascii="Cambria" w:eastAsia="MS Mincho" w:hAnsi="Cambria"/>
                <w:color w:val="auto"/>
                <w:sz w:val="22"/>
                <w:szCs w:val="22"/>
                <w:lang w:eastAsia="en-US"/>
              </w:rPr>
              <w:t>Number of Patients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7D601" w14:textId="77777777" w:rsidR="004C0A10" w:rsidRDefault="00000000">
            <w:pPr>
              <w:spacing w:after="200" w:line="276" w:lineRule="auto"/>
              <w:jc w:val="both"/>
            </w:pPr>
            <w:r>
              <w:rPr>
                <w:rFonts w:ascii="Cambria" w:eastAsia="MS Mincho" w:hAnsi="Cambria"/>
                <w:color w:val="auto"/>
                <w:sz w:val="22"/>
                <w:szCs w:val="22"/>
                <w:lang w:eastAsia="en-US"/>
              </w:rPr>
              <w:t>Percentage (%)</w:t>
            </w:r>
          </w:p>
        </w:tc>
      </w:tr>
      <w:tr w:rsidR="004C0A10" w14:paraId="3A88707B"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125B" w14:textId="77777777" w:rsidR="004C0A10" w:rsidRDefault="00000000">
            <w:pPr>
              <w:spacing w:after="200" w:line="276" w:lineRule="auto"/>
              <w:jc w:val="both"/>
            </w:pPr>
            <w:r>
              <w:rPr>
                <w:rFonts w:ascii="Cambria" w:eastAsia="MS Mincho" w:hAnsi="Cambria"/>
                <w:color w:val="auto"/>
                <w:sz w:val="22"/>
                <w:szCs w:val="22"/>
                <w:lang w:eastAsia="en-US"/>
              </w:rPr>
              <w:t>Very Satisfied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E112B" w14:textId="77777777" w:rsidR="004C0A10" w:rsidRDefault="00000000">
            <w:pPr>
              <w:spacing w:after="200" w:line="276" w:lineRule="auto"/>
              <w:jc w:val="both"/>
            </w:pPr>
            <w:r>
              <w:rPr>
                <w:rFonts w:ascii="Cambria" w:eastAsia="MS Mincho" w:hAnsi="Cambria"/>
                <w:color w:val="auto"/>
                <w:sz w:val="22"/>
                <w:szCs w:val="22"/>
                <w:lang w:eastAsia="en-US"/>
              </w:rPr>
              <w:t>48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4582" w14:textId="77777777" w:rsidR="004C0A10" w:rsidRDefault="00000000">
            <w:pPr>
              <w:spacing w:after="200" w:line="276" w:lineRule="auto"/>
              <w:jc w:val="both"/>
            </w:pPr>
            <w:r>
              <w:rPr>
                <w:rFonts w:ascii="Cambria" w:eastAsia="MS Mincho" w:hAnsi="Cambria"/>
                <w:color w:val="auto"/>
                <w:sz w:val="22"/>
                <w:szCs w:val="22"/>
                <w:lang w:eastAsia="en-US"/>
              </w:rPr>
              <w:t>80.0</w:t>
            </w:r>
          </w:p>
        </w:tc>
      </w:tr>
      <w:tr w:rsidR="004C0A10" w14:paraId="46B569DE"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FF9E0" w14:textId="77777777" w:rsidR="004C0A10" w:rsidRDefault="00000000">
            <w:pPr>
              <w:spacing w:after="200" w:line="276" w:lineRule="auto"/>
              <w:jc w:val="both"/>
            </w:pPr>
            <w:r>
              <w:rPr>
                <w:rFonts w:ascii="Cambria" w:eastAsia="MS Mincho" w:hAnsi="Cambria"/>
                <w:color w:val="auto"/>
                <w:sz w:val="22"/>
                <w:szCs w:val="22"/>
                <w:lang w:eastAsia="en-US"/>
              </w:rPr>
              <w:t>Moderately Satisfied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1BC06" w14:textId="77777777" w:rsidR="004C0A10" w:rsidRDefault="00000000">
            <w:pPr>
              <w:spacing w:after="200" w:line="276" w:lineRule="auto"/>
              <w:jc w:val="both"/>
            </w:pPr>
            <w:r>
              <w:rPr>
                <w:rFonts w:ascii="Cambria" w:eastAsia="MS Mincho" w:hAnsi="Cambria"/>
                <w:color w:val="auto"/>
                <w:sz w:val="22"/>
                <w:szCs w:val="22"/>
                <w:lang w:eastAsia="en-US"/>
              </w:rPr>
              <w:t>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70E1E" w14:textId="77777777" w:rsidR="004C0A10" w:rsidRDefault="00000000">
            <w:pPr>
              <w:spacing w:after="200" w:line="276" w:lineRule="auto"/>
              <w:jc w:val="both"/>
            </w:pPr>
            <w:r>
              <w:rPr>
                <w:rFonts w:ascii="Cambria" w:eastAsia="MS Mincho" w:hAnsi="Cambria"/>
                <w:color w:val="auto"/>
                <w:sz w:val="22"/>
                <w:szCs w:val="22"/>
                <w:lang w:eastAsia="en-US"/>
              </w:rPr>
              <w:t>15.0</w:t>
            </w:r>
          </w:p>
        </w:tc>
      </w:tr>
      <w:tr w:rsidR="004C0A10" w14:paraId="194B1304" w14:textId="77777777">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B42BD" w14:textId="77777777" w:rsidR="004C0A10" w:rsidRDefault="00000000">
            <w:pPr>
              <w:spacing w:after="200" w:line="276" w:lineRule="auto"/>
              <w:jc w:val="both"/>
            </w:pPr>
            <w:r>
              <w:rPr>
                <w:rFonts w:ascii="Cambria" w:eastAsia="MS Mincho" w:hAnsi="Cambria"/>
                <w:color w:val="auto"/>
                <w:sz w:val="22"/>
                <w:szCs w:val="22"/>
                <w:lang w:eastAsia="en-US"/>
              </w:rPr>
              <w:t>Minimally/Not Improved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C2561" w14:textId="77777777" w:rsidR="004C0A10" w:rsidRDefault="00000000">
            <w:pPr>
              <w:spacing w:after="200" w:line="276" w:lineRule="auto"/>
              <w:jc w:val="both"/>
            </w:pPr>
            <w:r>
              <w:rPr>
                <w:rFonts w:ascii="Cambria" w:eastAsia="MS Mincho" w:hAnsi="Cambria"/>
                <w:color w:val="auto"/>
                <w:sz w:val="22"/>
                <w:szCs w:val="22"/>
                <w:lang w:eastAsia="en-US"/>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2B01D" w14:textId="77777777" w:rsidR="004C0A10" w:rsidRDefault="00000000">
            <w:pPr>
              <w:spacing w:after="200" w:line="276" w:lineRule="auto"/>
              <w:jc w:val="both"/>
            </w:pPr>
            <w:r>
              <w:rPr>
                <w:rFonts w:ascii="Cambria" w:eastAsia="MS Mincho" w:hAnsi="Cambria"/>
                <w:color w:val="auto"/>
                <w:sz w:val="22"/>
                <w:szCs w:val="22"/>
                <w:lang w:eastAsia="en-US"/>
              </w:rPr>
              <w:t>5.0</w:t>
            </w:r>
          </w:p>
        </w:tc>
      </w:tr>
    </w:tbl>
    <w:p w14:paraId="7025490E" w14:textId="77777777" w:rsidR="004C0A10" w:rsidRDefault="004C0A10">
      <w:pPr>
        <w:jc w:val="both"/>
      </w:pPr>
    </w:p>
    <w:p w14:paraId="61709EA9" w14:textId="77777777" w:rsidR="004C0A10" w:rsidRDefault="004C0A10">
      <w:pPr>
        <w:jc w:val="both"/>
      </w:pPr>
    </w:p>
    <w:p w14:paraId="3883ADE9" w14:textId="77777777" w:rsidR="004C0A10" w:rsidRDefault="004C0A10">
      <w:pPr>
        <w:jc w:val="both"/>
      </w:pPr>
    </w:p>
    <w:p w14:paraId="2EB3886E" w14:textId="77777777" w:rsidR="004C0A10" w:rsidRDefault="004C0A10">
      <w:pPr>
        <w:jc w:val="both"/>
      </w:pPr>
    </w:p>
    <w:p w14:paraId="3885B40F" w14:textId="77777777" w:rsidR="004C0A10" w:rsidRDefault="004C0A10">
      <w:pPr>
        <w:jc w:val="both"/>
      </w:pPr>
    </w:p>
    <w:p w14:paraId="7C5983F4" w14:textId="77777777" w:rsidR="004C0A10" w:rsidRDefault="004C0A10">
      <w:pPr>
        <w:jc w:val="both"/>
      </w:pPr>
    </w:p>
    <w:p w14:paraId="1128260C" w14:textId="77777777" w:rsidR="004C0A10" w:rsidRDefault="00000000">
      <w:pPr>
        <w:jc w:val="center"/>
      </w:pPr>
      <w:r>
        <w:rPr>
          <w:rFonts w:ascii="Calibri" w:eastAsia="MS Gothic" w:hAnsi="Calibri"/>
          <w:b/>
          <w:bCs/>
          <w:color w:val="4F81BD"/>
          <w:sz w:val="26"/>
          <w:szCs w:val="26"/>
          <w:lang w:eastAsia="en-US"/>
        </w:rPr>
        <w:t xml:space="preserve">Figure 3: Patient Satisfaction summary </w:t>
      </w:r>
    </w:p>
    <w:p w14:paraId="4C485E52" w14:textId="77777777" w:rsidR="004C0A10" w:rsidRDefault="00000000">
      <w:pPr>
        <w:jc w:val="center"/>
      </w:pPr>
      <w:r>
        <w:rPr>
          <w:noProof/>
        </w:rPr>
        <w:drawing>
          <wp:inline distT="0" distB="0" distL="0" distR="0" wp14:anchorId="36BECC65" wp14:editId="50B4050C">
            <wp:extent cx="3811788" cy="2382367"/>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srcRect/>
                    <a:stretch/>
                  </pic:blipFill>
                  <pic:spPr>
                    <a:xfrm>
                      <a:off x="0" y="0"/>
                      <a:ext cx="3811788" cy="2382367"/>
                    </a:xfrm>
                    <a:prstGeom prst="rect">
                      <a:avLst/>
                    </a:prstGeom>
                  </pic:spPr>
                </pic:pic>
              </a:graphicData>
            </a:graphic>
          </wp:inline>
        </w:drawing>
      </w:r>
    </w:p>
    <w:p w14:paraId="0F573FF7" w14:textId="77777777" w:rsidR="004C0A10" w:rsidRDefault="004C0A10">
      <w:pPr>
        <w:jc w:val="both"/>
      </w:pPr>
    </w:p>
    <w:p w14:paraId="213DA7D8" w14:textId="77777777" w:rsidR="004C0A10" w:rsidRDefault="004C0A10">
      <w:pPr>
        <w:jc w:val="both"/>
      </w:pPr>
    </w:p>
    <w:p w14:paraId="555CDD63" w14:textId="77777777" w:rsidR="004C0A10" w:rsidRDefault="004C0A10">
      <w:pPr>
        <w:jc w:val="both"/>
      </w:pPr>
    </w:p>
    <w:p w14:paraId="66A60996" w14:textId="77777777" w:rsidR="004C0A10" w:rsidRDefault="004C0A10">
      <w:pPr>
        <w:jc w:val="both"/>
      </w:pPr>
    </w:p>
    <w:p w14:paraId="0ACAAB8B" w14:textId="77777777" w:rsidR="004C0A10" w:rsidRDefault="00000000">
      <w:pPr>
        <w:jc w:val="both"/>
      </w:pPr>
      <w:r>
        <w:t>Safety and Tolerability</w:t>
      </w:r>
    </w:p>
    <w:p w14:paraId="1C23A421" w14:textId="77777777" w:rsidR="004C0A10" w:rsidRDefault="00000000">
      <w:pPr>
        <w:jc w:val="both"/>
      </w:pPr>
      <w:r>
        <w:t>The treatment was well tolerated. Two patients (3.3%) experienced mild local swelling and transient discomfort within 24 hours post-injection, which resolved spontaneously without intervention. No major adverse events or infections were reported.</w:t>
      </w:r>
    </w:p>
    <w:p w14:paraId="1E5C350C" w14:textId="77777777" w:rsidR="004C0A10" w:rsidRDefault="00000000">
      <w:pPr>
        <w:jc w:val="both"/>
        <w:rPr>
          <w:sz w:val="36"/>
          <w:szCs w:val="36"/>
        </w:rPr>
      </w:pPr>
      <w:r>
        <w:rPr>
          <w:sz w:val="36"/>
          <w:szCs w:val="36"/>
        </w:rPr>
        <w:t>Discussion</w:t>
      </w:r>
    </w:p>
    <w:p w14:paraId="526BC388" w14:textId="77777777" w:rsidR="004C0A10" w:rsidRDefault="00000000">
      <w:pPr>
        <w:jc w:val="both"/>
      </w:pPr>
      <w:r>
        <w:t>The findings of this prospective observational study suggest that the combination of platelet-rich plasma (PRP) and ozone therapy administered intra-articularly is a promising therapeutic option for patients with knee osteoarthritis (OA). Significant reductions in pain scores and improvements in joint function were observed at all follow-up intervals, with the most pronounced effects noted at three and six months post-injection. These results support the growing interest in regenerative medicine as a viable alternative to conventional pharmacologic and surgical interventions in early to moderate OA.</w:t>
      </w:r>
    </w:p>
    <w:p w14:paraId="0B391EC3" w14:textId="77777777" w:rsidR="004C0A10" w:rsidRDefault="00000000">
      <w:pPr>
        <w:jc w:val="both"/>
      </w:pPr>
      <w:r>
        <w:t>The pathophysiology of osteoarthritis is multifactorial, involving progressive cartilage degeneration, synovial inflammation, subchondral bone changes, and oxidative stress. Conventional treatments such as NSAIDs, corticosteroids, and hyaluronic acid injections are largely symptomatic and do not influence the underlying disease process</w:t>
      </w:r>
      <w:r>
        <w:rPr>
          <w:vertAlign w:val="superscript"/>
        </w:rPr>
        <w:t>【6】</w:t>
      </w:r>
      <w:r>
        <w:t>. Furthermore, long-term use of NSAIDs is associated with gastrointestinal, renal, and cardiovascular side effects, making them unsuitable for chronic management</w:t>
      </w:r>
      <w:r>
        <w:rPr>
          <w:vertAlign w:val="superscript"/>
        </w:rPr>
        <w:t>【7】</w:t>
      </w:r>
      <w:r>
        <w:t>. In this context, biological and autologous therapies are gaining attention for their potential to modify the disease environment and promote joint repair.</w:t>
      </w:r>
    </w:p>
    <w:p w14:paraId="295DD6F6" w14:textId="77777777" w:rsidR="004C0A10" w:rsidRDefault="00000000">
      <w:pPr>
        <w:jc w:val="both"/>
      </w:pPr>
      <w:r>
        <w:t>PRP, an autologous concentration of platelets suspended in plasma, delivers a high concentration of growth factors such as transforming growth factor-beta (TGF-β), platelet-derived growth factor (PDGF), and insulin-like growth factor (IGF-1), which play a crucial role in tissue regeneration, cartilage repair, and modulation of inflammation</w:t>
      </w:r>
      <w:r>
        <w:rPr>
          <w:vertAlign w:val="superscript"/>
        </w:rPr>
        <w:t>【8】</w:t>
      </w:r>
      <w:r>
        <w:t>. Several clinical studies and meta-analyses have demonstrated the efficacy of PRP in reducing OA symptoms and improving joint function, particularly in patients with early-stage disease</w:t>
      </w:r>
      <w:r>
        <w:rPr>
          <w:vertAlign w:val="superscript"/>
        </w:rPr>
        <w:t>【9,10】.</w:t>
      </w:r>
    </w:p>
    <w:p w14:paraId="100C7715" w14:textId="77777777" w:rsidR="004C0A10" w:rsidRDefault="00000000">
      <w:pPr>
        <w:jc w:val="both"/>
      </w:pPr>
      <w:r>
        <w:t>Ozone (O₃), a molecule consisting of three oxygen atoms, has demonstrated anti-inflammatory, antioxidant, and immunomodulatory properties when used in medical therapy. Intra-articular ozone therapy is thought to inhibit pro-inflammatory cytokines, enhance oxygen delivery to tissues, and reduce oxidative stress within the joint space</w:t>
      </w:r>
      <w:r>
        <w:rPr>
          <w:vertAlign w:val="superscript"/>
        </w:rPr>
        <w:t>【11】</w:t>
      </w:r>
      <w:r>
        <w:t>. Studies comparing ozone to placebo or other injectables have shown clinical benefits in reducing OA-related pain and stiffness</w:t>
      </w:r>
      <w:r>
        <w:rPr>
          <w:vertAlign w:val="superscript"/>
        </w:rPr>
        <w:t>【12】</w:t>
      </w:r>
      <w:r>
        <w:t>.</w:t>
      </w:r>
    </w:p>
    <w:p w14:paraId="494120B1" w14:textId="77777777" w:rsidR="004C0A10" w:rsidRDefault="00000000">
      <w:pPr>
        <w:jc w:val="both"/>
      </w:pPr>
      <w:r>
        <w:t>The rationale for combining PRP and ozone lies in their potentially synergistic mechanisms: while PRP promotes healing and regeneration through growth factor release and cellular recruitment, ozone contributes to the modulation of the inflammatory and oxidative milieu. The favorable outcomes observed in our study, including progressive VAS and WOMAC score improvements without major complications, suggest that this combination may enhance and sustain clinical benefits compared to either modality alone.</w:t>
      </w:r>
    </w:p>
    <w:p w14:paraId="62900BC0" w14:textId="77777777" w:rsidR="004C0A10" w:rsidRDefault="00000000">
      <w:pPr>
        <w:jc w:val="both"/>
      </w:pPr>
      <w:r>
        <w:t>Importantly, the therapy was well tolerated, with only two patients experiencing mild, self-limiting adverse effects. This supports previous literature describing the safety of both PRP and ozone when used intra-articularly</w:t>
      </w:r>
      <w:r>
        <w:rPr>
          <w:vertAlign w:val="superscript"/>
        </w:rPr>
        <w:t>【13】</w:t>
      </w:r>
      <w:r>
        <w:t>.</w:t>
      </w:r>
    </w:p>
    <w:p w14:paraId="4B1FC2B4" w14:textId="77777777" w:rsidR="004C0A10" w:rsidRDefault="00000000">
      <w:pPr>
        <w:jc w:val="both"/>
      </w:pPr>
      <w:r>
        <w:t>However, the study has certain limitations. The observational design lacks a control or comparison group, which precludes definitive conclusions about the superiority of the combined therapy. The relatively small sample size and short-term follow-up period also limit generalizability. Nevertheless, the positive trends observed warrant further exploration in larger, randomized controlled trials comparing PRP alone, ozone alone, and their combination.</w:t>
      </w:r>
    </w:p>
    <w:p w14:paraId="1C7D5A32" w14:textId="77777777" w:rsidR="004C0A10" w:rsidRDefault="00000000">
      <w:pPr>
        <w:jc w:val="both"/>
      </w:pPr>
      <w:r>
        <w:rPr>
          <w:sz w:val="36"/>
          <w:szCs w:val="36"/>
        </w:rPr>
        <w:t>References</w:t>
      </w:r>
    </w:p>
    <w:p w14:paraId="0FF9EBBC" w14:textId="77777777" w:rsidR="004C0A10" w:rsidRDefault="00000000">
      <w:pPr>
        <w:jc w:val="both"/>
      </w:pPr>
      <w:r>
        <w:t>1. Hunter DJ, Bierma-Zeinstra S. Osteoarthritis. Lancet. 2019 Apr 27;393(10182):1745-1759.</w:t>
      </w:r>
    </w:p>
    <w:p w14:paraId="01D54E49" w14:textId="77777777" w:rsidR="004C0A10" w:rsidRDefault="00000000">
      <w:pPr>
        <w:jc w:val="both"/>
      </w:pPr>
      <w:r>
        <w:t>2. McAlindon TE, Bannuru RR, Sullivan MC, et al. OARSI guidelines for the non-surgical management of knee osteoarthritis. Osteoarthritis Cartilage. 2014 Mar;22(3):363-88.</w:t>
      </w:r>
    </w:p>
    <w:p w14:paraId="6F2908D4" w14:textId="77777777" w:rsidR="004C0A10" w:rsidRDefault="00000000">
      <w:pPr>
        <w:jc w:val="both"/>
      </w:pPr>
      <w:r>
        <w:t>3. Marx RE. Platelet-rich plasma (PRP): what is PRP and what is not PRP? Implant Dent. 2001;10(4):225-8.</w:t>
      </w:r>
    </w:p>
    <w:p w14:paraId="1444A3B5" w14:textId="77777777" w:rsidR="004C0A10" w:rsidRDefault="00000000">
      <w:pPr>
        <w:jc w:val="both"/>
      </w:pPr>
      <w:r>
        <w:t>4. Khoshbin A, Leroux T, Wasserstein D, et al. The efficacy of platelet-rich plasma in the treatment of symptomatic knee osteoarthritis: a systematic review with quantitative synthesis. Arthroscopy. 2013 Dec;29(12):2037-48.</w:t>
      </w:r>
    </w:p>
    <w:p w14:paraId="28491685" w14:textId="77777777" w:rsidR="004C0A10" w:rsidRDefault="00000000">
      <w:pPr>
        <w:jc w:val="both"/>
      </w:pPr>
      <w:r>
        <w:t>5. Lopes de Jesus CC, Dos Santos FC, de Almeida AC, et al. Comparison between intra-articular ozone and placebo in the treatment of knee osteoarthritis: a randomized, double-blinded, placebo-controlled study. PLoS One. 2017;12(7):e0181208.</w:t>
      </w:r>
    </w:p>
    <w:p w14:paraId="16F1B5E6" w14:textId="77777777" w:rsidR="004C0A10" w:rsidRDefault="00000000">
      <w:pPr>
        <w:jc w:val="both"/>
      </w:pPr>
      <w:r>
        <w:t>6. Hunter DJ, Bierma-Zeinstra S. Osteoarthritis. Lancet. 2019 Apr 27;393(10182):1745-1759.</w:t>
      </w:r>
    </w:p>
    <w:p w14:paraId="51DBFA44" w14:textId="77777777" w:rsidR="004C0A10" w:rsidRDefault="00000000">
      <w:pPr>
        <w:jc w:val="both"/>
      </w:pPr>
      <w:r>
        <w:t>7. da Costa BR, Reichenbach S, Keller N, et al. Effectiveness of non-steroidal anti-inflammatory drugs for the treatment of pain in knee and hip osteoarthritis: a network meta-analysis. Lancet. 2017 May 27;390(10090):e21-e33.</w:t>
      </w:r>
    </w:p>
    <w:p w14:paraId="7F1CE801" w14:textId="77777777" w:rsidR="004C0A10" w:rsidRDefault="00000000">
      <w:pPr>
        <w:jc w:val="both"/>
      </w:pPr>
      <w:r>
        <w:t>8. Marx RE. Platelet-rich plasma (PRP): what is PRP and what is not PRP? Implant Dent. 2001;10(4):225–228.</w:t>
      </w:r>
    </w:p>
    <w:p w14:paraId="12FD5E62" w14:textId="77777777" w:rsidR="004C0A10" w:rsidRDefault="00000000">
      <w:pPr>
        <w:jc w:val="both"/>
      </w:pPr>
      <w:r>
        <w:t>9. Filardo G, Di Matteo B, Di Martino A, Merli ML, Cenacchi A, Fornasari PM, et al. Platelet-rich plasma intra-articular knee injections show no superiority versus viscosupplementation: a randomized controlled trial. Am J Sports Med. 2015 Jul;43(7):1575-1582.</w:t>
      </w:r>
    </w:p>
    <w:p w14:paraId="1D1A9E5C" w14:textId="77777777" w:rsidR="004C0A10" w:rsidRDefault="00000000">
      <w:pPr>
        <w:jc w:val="both"/>
      </w:pPr>
      <w:r>
        <w:t>10. Khoshbin A, Leroux T, Wasserstein D, et al. The efficacy of platelet-rich plasma in the treatment of symptomatic knee osteoarthritis: a systematic review with quantitative synthesis. Arthroscopy. 2013 Dec;29(12):2037-48.</w:t>
      </w:r>
    </w:p>
    <w:p w14:paraId="2139F136" w14:textId="77777777" w:rsidR="004C0A10" w:rsidRDefault="00000000">
      <w:pPr>
        <w:jc w:val="both"/>
      </w:pPr>
      <w:r>
        <w:t>11. Bocci V, Borrelli E, Travagli V, Zanardi I. The ozone paradox: ozone is a strong oxidant as well as a medical drug. Med Res Rev. 2009 Jul;29(4):646-682.</w:t>
      </w:r>
    </w:p>
    <w:p w14:paraId="46E76A86" w14:textId="77777777" w:rsidR="004C0A10" w:rsidRDefault="00000000">
      <w:pPr>
        <w:jc w:val="both"/>
      </w:pPr>
      <w:r>
        <w:t>12. Lopes de Jesus CC, Dos Santos FC, de Almeida AC, et al. Comparison between intra-articular ozone and placebo in the treatment of knee osteoarthritis: a randomized, double-blinded, placebo-controlled study. PLoS One. 2017 Jul 17;12(7):e0181208.</w:t>
      </w:r>
    </w:p>
    <w:p w14:paraId="36EE8294" w14:textId="77777777" w:rsidR="004C0A10" w:rsidRDefault="00000000">
      <w:pPr>
        <w:jc w:val="both"/>
      </w:pPr>
      <w:r>
        <w:t>13. Raeissadat SA, Rayegani SM, Babaee M, et al. Safety and efficacy of ozone therapy for treatment of knee osteoarthritis: a randomized, double-blind, placebo-controlled study. J Pain Res. 2018;11:2537–2543.</w:t>
      </w:r>
    </w:p>
    <w:p w14:paraId="771430D1" w14:textId="77777777" w:rsidR="004C0A10" w:rsidRDefault="00000000">
      <w:pPr>
        <w:jc w:val="both"/>
      </w:pPr>
      <w:r>
        <w:t>14. Lu J, Zhang T, Zhou L, Tong X, Gui R, Jiang L, et al. The therapeutic effect of sufficient oxygen-rich PRP injection in facial rejuvenation by multiple objective evaluations in 26 cases. Regen Ther [Internet]. 2024;26:213–8. doi:10.1016/j.reth.2024.05.013.</w:t>
      </w:r>
    </w:p>
    <w:p w14:paraId="5CA1C5F3" w14:textId="77777777" w:rsidR="004C0A10" w:rsidRDefault="00000000">
      <w:pPr>
        <w:jc w:val="both"/>
      </w:pPr>
      <w:r>
        <w:t>15. Amir Moayednia, Farnaz Dehghan, Mohammad Mousaei Ghasroldasht and Farzaneh Ahmadi Shapoora-badi. Effect of Co-Injection of PRP and Ozone Gas on Growth Factors’ Expression in Knee Osteoarthritis: A Thera-peutic Evaluation. Biomed J Sci &amp; Tech Res 52(2)-2023. BJSTR. MS.ID.008228.</w:t>
      </w:r>
    </w:p>
    <w:sectPr w:rsidR="004C0A10">
      <w:headerReference w:type="default" r:id="rId10"/>
      <w:footerReference w:type="default" r:id="rId11"/>
      <w:headerReference w:type="first" r:id="rId12"/>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7015" w14:textId="77777777" w:rsidR="0081260D" w:rsidRDefault="0081260D">
      <w:pPr>
        <w:spacing w:after="0" w:line="240" w:lineRule="auto"/>
      </w:pPr>
      <w:r>
        <w:separator/>
      </w:r>
    </w:p>
  </w:endnote>
  <w:endnote w:type="continuationSeparator" w:id="0">
    <w:p w14:paraId="6C91E2DA" w14:textId="77777777" w:rsidR="0081260D" w:rsidRDefault="0081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00"/>
    <w:family w:val="roman"/>
    <w:pitch w:val="variable"/>
    <w:sig w:usb0="20007A87" w:usb1="80000000" w:usb2="00000008"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AE6E" w14:textId="77777777" w:rsidR="004C0A10"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F76D" w14:textId="77777777" w:rsidR="0081260D" w:rsidRDefault="0081260D">
      <w:pPr>
        <w:spacing w:after="0" w:line="240" w:lineRule="auto"/>
      </w:pPr>
      <w:r>
        <w:separator/>
      </w:r>
    </w:p>
  </w:footnote>
  <w:footnote w:type="continuationSeparator" w:id="0">
    <w:p w14:paraId="0B1FD968" w14:textId="77777777" w:rsidR="0081260D" w:rsidRDefault="0081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7359" w14:textId="77777777" w:rsidR="004C0A10" w:rsidRDefault="004C0A1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3DF8" w14:textId="77777777" w:rsidR="004C0A10" w:rsidRDefault="004C0A1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60029364"/>
    <w:lvl w:ilvl="0">
      <w:start w:val="1"/>
      <w:numFmt w:val="decimal"/>
      <w:lvlText w:val="%1."/>
      <w:lvlJc w:val="left"/>
      <w:pPr>
        <w:tabs>
          <w:tab w:val="left" w:pos="1800"/>
        </w:tabs>
        <w:ind w:left="1800" w:hanging="360"/>
      </w:pPr>
    </w:lvl>
  </w:abstractNum>
  <w:abstractNum w:abstractNumId="1" w15:restartNumberingAfterBreak="0">
    <w:nsid w:val="00000001"/>
    <w:multiLevelType w:val="singleLevel"/>
    <w:tmpl w:val="D270B25E"/>
    <w:lvl w:ilvl="0">
      <w:start w:val="1"/>
      <w:numFmt w:val="decimal"/>
      <w:lvlText w:val="%1."/>
      <w:lvlJc w:val="left"/>
      <w:pPr>
        <w:tabs>
          <w:tab w:val="left" w:pos="1440"/>
        </w:tabs>
        <w:ind w:left="1440" w:hanging="360"/>
      </w:pPr>
    </w:lvl>
  </w:abstractNum>
  <w:abstractNum w:abstractNumId="2" w15:restartNumberingAfterBreak="0">
    <w:nsid w:val="00000002"/>
    <w:multiLevelType w:val="singleLevel"/>
    <w:tmpl w:val="1996E9A4"/>
    <w:lvl w:ilvl="0">
      <w:start w:val="1"/>
      <w:numFmt w:val="decimal"/>
      <w:lvlText w:val="%1."/>
      <w:lvlJc w:val="left"/>
      <w:pPr>
        <w:tabs>
          <w:tab w:val="left" w:pos="1080"/>
        </w:tabs>
        <w:ind w:left="1080" w:hanging="360"/>
      </w:pPr>
    </w:lvl>
  </w:abstractNum>
  <w:abstractNum w:abstractNumId="3" w15:restartNumberingAfterBreak="0">
    <w:nsid w:val="00000003"/>
    <w:multiLevelType w:val="singleLevel"/>
    <w:tmpl w:val="31B4141E"/>
    <w:lvl w:ilvl="0">
      <w:start w:val="1"/>
      <w:numFmt w:val="decimal"/>
      <w:lvlText w:val="%1."/>
      <w:lvlJc w:val="left"/>
      <w:pPr>
        <w:tabs>
          <w:tab w:val="left" w:pos="720"/>
        </w:tabs>
        <w:ind w:left="720" w:hanging="360"/>
      </w:pPr>
    </w:lvl>
  </w:abstractNum>
  <w:abstractNum w:abstractNumId="4" w15:restartNumberingAfterBreak="0">
    <w:nsid w:val="00000004"/>
    <w:multiLevelType w:val="singleLevel"/>
    <w:tmpl w:val="B82E4BF4"/>
    <w:lvl w:ilvl="0">
      <w:start w:val="1"/>
      <w:numFmt w:val="bullet"/>
      <w:lvlText w:val=""/>
      <w:lvlJc w:val="left"/>
      <w:pPr>
        <w:tabs>
          <w:tab w:val="left" w:pos="1800"/>
        </w:tabs>
        <w:ind w:left="1800" w:hanging="360"/>
      </w:pPr>
      <w:rPr>
        <w:rFonts w:ascii="Symbol" w:hAnsi="Symbol" w:hint="default"/>
      </w:rPr>
    </w:lvl>
  </w:abstractNum>
  <w:abstractNum w:abstractNumId="5" w15:restartNumberingAfterBreak="0">
    <w:nsid w:val="00000005"/>
    <w:multiLevelType w:val="singleLevel"/>
    <w:tmpl w:val="F3B4E408"/>
    <w:lvl w:ilvl="0">
      <w:start w:val="1"/>
      <w:numFmt w:val="bullet"/>
      <w:lvlText w:val=""/>
      <w:lvlJc w:val="left"/>
      <w:pPr>
        <w:tabs>
          <w:tab w:val="left" w:pos="1440"/>
        </w:tabs>
        <w:ind w:left="1440" w:hanging="360"/>
      </w:pPr>
      <w:rPr>
        <w:rFonts w:ascii="Symbol" w:hAnsi="Symbol" w:hint="default"/>
      </w:rPr>
    </w:lvl>
  </w:abstractNum>
  <w:abstractNum w:abstractNumId="6" w15:restartNumberingAfterBreak="0">
    <w:nsid w:val="00000006"/>
    <w:multiLevelType w:val="singleLevel"/>
    <w:tmpl w:val="06683E50"/>
    <w:lvl w:ilvl="0">
      <w:start w:val="1"/>
      <w:numFmt w:val="bullet"/>
      <w:lvlText w:val=""/>
      <w:lvlJc w:val="left"/>
      <w:pPr>
        <w:tabs>
          <w:tab w:val="left" w:pos="1080"/>
        </w:tabs>
        <w:ind w:left="1080" w:hanging="360"/>
      </w:pPr>
      <w:rPr>
        <w:rFonts w:ascii="Symbol" w:hAnsi="Symbol" w:hint="default"/>
      </w:rPr>
    </w:lvl>
  </w:abstractNum>
  <w:abstractNum w:abstractNumId="7" w15:restartNumberingAfterBreak="0">
    <w:nsid w:val="00000007"/>
    <w:multiLevelType w:val="singleLevel"/>
    <w:tmpl w:val="DA629394"/>
    <w:lvl w:ilvl="0">
      <w:start w:val="1"/>
      <w:numFmt w:val="bullet"/>
      <w:lvlText w:val=""/>
      <w:lvlJc w:val="left"/>
      <w:pPr>
        <w:tabs>
          <w:tab w:val="left" w:pos="720"/>
        </w:tabs>
        <w:ind w:left="720" w:hanging="360"/>
      </w:pPr>
      <w:rPr>
        <w:rFonts w:ascii="Symbol" w:hAnsi="Symbol" w:hint="default"/>
      </w:rPr>
    </w:lvl>
  </w:abstractNum>
  <w:abstractNum w:abstractNumId="8" w15:restartNumberingAfterBreak="0">
    <w:nsid w:val="00000008"/>
    <w:multiLevelType w:val="singleLevel"/>
    <w:tmpl w:val="44C23A14"/>
    <w:lvl w:ilvl="0">
      <w:start w:val="1"/>
      <w:numFmt w:val="decimal"/>
      <w:lvlText w:val="%1."/>
      <w:lvlJc w:val="left"/>
      <w:pPr>
        <w:tabs>
          <w:tab w:val="left" w:pos="749"/>
        </w:tabs>
        <w:ind w:left="749" w:hanging="259"/>
      </w:pPr>
      <w:rPr>
        <w:rFonts w:hint="default"/>
      </w:rPr>
    </w:lvl>
  </w:abstractNum>
  <w:abstractNum w:abstractNumId="9" w15:restartNumberingAfterBreak="0">
    <w:nsid w:val="00000009"/>
    <w:multiLevelType w:val="singleLevel"/>
    <w:tmpl w:val="BD14218A"/>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A"/>
    <w:multiLevelType w:val="hybridMultilevel"/>
    <w:tmpl w:val="64709B02"/>
    <w:lvl w:ilvl="0" w:tplc="D0CE1B3C">
      <w:start w:val="1"/>
      <w:numFmt w:val="bullet"/>
      <w:lvlText w:val=""/>
      <w:lvlJc w:val="left"/>
      <w:pPr>
        <w:ind w:left="749" w:hanging="259"/>
      </w:pPr>
      <w:rPr>
        <w:rFonts w:ascii="Symbol" w:hAnsi="Symbol" w:hint="default"/>
        <w:color w:val="00000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D9D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63F07864"/>
    <w:lvl w:ilvl="0" w:tplc="A552E8B8">
      <w:start w:val="1"/>
      <w:numFmt w:val="bullet"/>
      <w:lvlText w:val=""/>
      <w:lvlJc w:val="left"/>
      <w:pPr>
        <w:tabs>
          <w:tab w:val="left"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DC3C7298"/>
    <w:lvl w:ilvl="0" w:tplc="B92C4AE4">
      <w:start w:val="1"/>
      <w:numFmt w:val="bullet"/>
      <w:lvlText w:val=""/>
      <w:lvlJc w:val="left"/>
      <w:pPr>
        <w:ind w:left="662" w:hanging="172"/>
      </w:pPr>
      <w:rPr>
        <w:rFonts w:ascii="Symbol" w:hAnsi="Symbol" w:hint="default"/>
        <w:color w:val="00000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BE6E19F6"/>
    <w:lvl w:ilvl="0" w:tplc="A50A105A">
      <w:start w:val="1"/>
      <w:numFmt w:val="bullet"/>
      <w:pStyle w:val="ListBullet"/>
      <w:lvlText w:val=""/>
      <w:lvlJc w:val="left"/>
      <w:pPr>
        <w:tabs>
          <w:tab w:val="left" w:pos="749"/>
        </w:tabs>
        <w:ind w:left="749" w:hanging="259"/>
      </w:pPr>
      <w:rPr>
        <w:rFonts w:ascii="Symbol" w:hAnsi="Symbol" w:hint="default"/>
        <w:color w:val="00000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49ACD974"/>
    <w:lvl w:ilvl="0" w:tplc="2A7A1916">
      <w:start w:val="1"/>
      <w:numFmt w:val="bullet"/>
      <w:lvlText w:val=""/>
      <w:lvlJc w:val="left"/>
      <w:pPr>
        <w:ind w:left="850" w:hanging="360"/>
      </w:pPr>
      <w:rPr>
        <w:rFonts w:ascii="Symbol" w:hAnsi="Symbol" w:hint="default"/>
        <w:color w:val="00000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704924">
    <w:abstractNumId w:val="16"/>
  </w:num>
  <w:num w:numId="2" w16cid:durableId="1653100344">
    <w:abstractNumId w:val="14"/>
  </w:num>
  <w:num w:numId="3" w16cid:durableId="500896341">
    <w:abstractNumId w:val="9"/>
  </w:num>
  <w:num w:numId="4" w16cid:durableId="1428035773">
    <w:abstractNumId w:val="12"/>
  </w:num>
  <w:num w:numId="5" w16cid:durableId="1081219725">
    <w:abstractNumId w:val="15"/>
  </w:num>
  <w:num w:numId="6" w16cid:durableId="1497644881">
    <w:abstractNumId w:val="13"/>
  </w:num>
  <w:num w:numId="7" w16cid:durableId="1397899817">
    <w:abstractNumId w:val="10"/>
  </w:num>
  <w:num w:numId="8" w16cid:durableId="1726486573">
    <w:abstractNumId w:val="7"/>
  </w:num>
  <w:num w:numId="9" w16cid:durableId="998342502">
    <w:abstractNumId w:val="6"/>
  </w:num>
  <w:num w:numId="10" w16cid:durableId="2083289265">
    <w:abstractNumId w:val="5"/>
  </w:num>
  <w:num w:numId="11" w16cid:durableId="1187065748">
    <w:abstractNumId w:val="4"/>
  </w:num>
  <w:num w:numId="12" w16cid:durableId="928122983">
    <w:abstractNumId w:val="8"/>
  </w:num>
  <w:num w:numId="13" w16cid:durableId="1391617097">
    <w:abstractNumId w:val="3"/>
  </w:num>
  <w:num w:numId="14" w16cid:durableId="1425957077">
    <w:abstractNumId w:val="2"/>
  </w:num>
  <w:num w:numId="15" w16cid:durableId="1049064301">
    <w:abstractNumId w:val="1"/>
  </w:num>
  <w:num w:numId="16" w16cid:durableId="129710422">
    <w:abstractNumId w:val="0"/>
  </w:num>
  <w:num w:numId="17" w16cid:durableId="1153259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10"/>
    <w:rsid w:val="004C0A10"/>
    <w:rsid w:val="0081260D"/>
    <w:rsid w:val="00812720"/>
    <w:rsid w:val="00C1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9B9"/>
  <w15:docId w15:val="{5294EDA5-50C1-4137-9D74-CC0845C2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SimSun"/>
        <w:color w:val="000000"/>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eastAsia="SimSun"/>
      <w:sz w:val="42"/>
      <w:szCs w:val="32"/>
    </w:rPr>
  </w:style>
  <w:style w:type="paragraph" w:styleId="Heading2">
    <w:name w:val="heading 2"/>
    <w:basedOn w:val="Normal"/>
    <w:next w:val="Normal"/>
    <w:link w:val="Heading2Char"/>
    <w:uiPriority w:val="9"/>
    <w:semiHidden/>
    <w:unhideWhenUsed/>
    <w:qFormat/>
    <w:pPr>
      <w:keepNext/>
      <w:keepLines/>
      <w:spacing w:before="400" w:line="240" w:lineRule="auto"/>
      <w:outlineLvl w:val="1"/>
    </w:pPr>
    <w:rPr>
      <w:rFonts w:eastAsia="SimSun"/>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eastAsia="SimSun"/>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eastAsia="SimSun"/>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eastAsia="SimSun"/>
      <w:b/>
      <w:color w:val="595959"/>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eastAsia="SimSun"/>
      <w:b/>
      <w:i/>
      <w:color w:val="595959"/>
      <w:sz w:val="30"/>
    </w:rPr>
  </w:style>
  <w:style w:type="paragraph" w:styleId="Heading7">
    <w:name w:val="heading 7"/>
    <w:basedOn w:val="Normal"/>
    <w:next w:val="Normal"/>
    <w:link w:val="Heading7Char"/>
    <w:uiPriority w:val="9"/>
    <w:qFormat/>
    <w:pPr>
      <w:keepNext/>
      <w:keepLines/>
      <w:spacing w:before="400" w:line="240" w:lineRule="auto"/>
      <w:contextualSpacing/>
      <w:outlineLvl w:val="6"/>
    </w:pPr>
    <w:rPr>
      <w:rFonts w:eastAsia="SimSun"/>
      <w:iCs/>
      <w:color w:val="595959"/>
      <w:sz w:val="30"/>
    </w:rPr>
  </w:style>
  <w:style w:type="paragraph" w:styleId="Heading8">
    <w:name w:val="heading 8"/>
    <w:basedOn w:val="Normal"/>
    <w:next w:val="Normal"/>
    <w:link w:val="Heading8Char"/>
    <w:uiPriority w:val="9"/>
    <w:qFormat/>
    <w:pPr>
      <w:keepNext/>
      <w:keepLines/>
      <w:spacing w:before="400" w:line="240" w:lineRule="auto"/>
      <w:contextualSpacing/>
      <w:outlineLvl w:val="7"/>
    </w:pPr>
    <w:rPr>
      <w:rFonts w:eastAsia="SimSun"/>
      <w:i/>
      <w:color w:val="595959"/>
      <w:sz w:val="30"/>
      <w:szCs w:val="21"/>
    </w:rPr>
  </w:style>
  <w:style w:type="paragraph" w:styleId="Heading9">
    <w:name w:val="heading 9"/>
    <w:basedOn w:val="Normal"/>
    <w:next w:val="Normal"/>
    <w:link w:val="Heading9Char"/>
    <w:uiPriority w:val="9"/>
    <w:qFormat/>
    <w:pPr>
      <w:keepNext/>
      <w:keepLines/>
      <w:spacing w:before="400" w:line="240" w:lineRule="auto"/>
      <w:contextualSpacing/>
      <w:outlineLvl w:val="8"/>
    </w:pPr>
    <w:rPr>
      <w:rFonts w:eastAsia="SimSun"/>
      <w:b/>
      <w:iCs/>
      <w:color w:val="595959"/>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pPr>
      <w:numPr>
        <w:ilvl w:val="1"/>
      </w:numPr>
      <w:spacing w:after="300" w:line="240" w:lineRule="auto"/>
      <w:contextualSpacing/>
    </w:pPr>
    <w:rPr>
      <w:rFonts w:eastAsia="SimSun"/>
      <w:sz w:val="32"/>
    </w:rPr>
  </w:style>
  <w:style w:type="character" w:customStyle="1" w:styleId="SubtitleChar">
    <w:name w:val="Subtitle Char"/>
    <w:basedOn w:val="DefaultParagraphFont"/>
    <w:link w:val="Subtitle"/>
    <w:uiPriority w:val="2"/>
    <w:rPr>
      <w:rFonts w:eastAsia="SimSun"/>
      <w:sz w:val="32"/>
    </w:rPr>
  </w:style>
  <w:style w:type="paragraph" w:styleId="Title">
    <w:name w:val="Title"/>
    <w:basedOn w:val="Normal"/>
    <w:link w:val="TitleChar"/>
    <w:uiPriority w:val="10"/>
    <w:qFormat/>
    <w:pPr>
      <w:spacing w:line="240" w:lineRule="auto"/>
      <w:contextualSpacing/>
    </w:pPr>
    <w:rPr>
      <w:rFonts w:eastAsia="SimSun"/>
      <w:kern w:val="28"/>
      <w:sz w:val="56"/>
      <w:szCs w:val="56"/>
    </w:rPr>
  </w:style>
  <w:style w:type="character" w:customStyle="1" w:styleId="TitleChar">
    <w:name w:val="Title Char"/>
    <w:basedOn w:val="DefaultParagraphFont"/>
    <w:link w:val="Title"/>
    <w:uiPriority w:val="1"/>
    <w:rPr>
      <w:rFonts w:ascii="Times New Roman" w:eastAsia="SimSun" w:hAnsi="Times New Roman" w:cs="SimSun"/>
      <w:kern w:val="28"/>
      <w:sz w:val="56"/>
      <w:szCs w:val="56"/>
    </w:rPr>
  </w:style>
  <w:style w:type="character" w:customStyle="1" w:styleId="Heading1Char">
    <w:name w:val="Heading 1 Char"/>
    <w:basedOn w:val="DefaultParagraphFont"/>
    <w:link w:val="Heading1"/>
    <w:uiPriority w:val="9"/>
    <w:rPr>
      <w:rFonts w:ascii="Times New Roman" w:eastAsia="SimSun" w:hAnsi="Times New Roman" w:cs="SimSun"/>
      <w:sz w:val="42"/>
      <w:szCs w:val="32"/>
    </w:rPr>
  </w:style>
  <w:style w:type="paragraph" w:styleId="ListNumber">
    <w:name w:val="List Number"/>
    <w:basedOn w:val="Normal"/>
    <w:uiPriority w:val="13"/>
    <w:qFormat/>
    <w:pPr>
      <w:numPr>
        <w:numId w:val="1"/>
      </w:numPr>
    </w:pPr>
  </w:style>
  <w:style w:type="paragraph" w:styleId="IntenseQuote">
    <w:name w:val="Intense Quote"/>
    <w:basedOn w:val="Normal"/>
    <w:next w:val="Normal"/>
    <w:link w:val="IntenseQuoteChar"/>
    <w:uiPriority w:val="30"/>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rPr>
  </w:style>
  <w:style w:type="character" w:customStyle="1" w:styleId="QuoteChar">
    <w:name w:val="Quote Char"/>
    <w:basedOn w:val="DefaultParagraphFont"/>
    <w:link w:val="Quote"/>
    <w:uiPriority w:val="29"/>
    <w:rPr>
      <w:i/>
      <w:iCs/>
      <w:color w:val="404040"/>
    </w:rPr>
  </w:style>
  <w:style w:type="paragraph" w:styleId="ListBullet">
    <w:name w:val="List Bullet"/>
    <w:basedOn w:val="Normal"/>
    <w:uiPriority w:val="12"/>
    <w:qFormat/>
    <w:pPr>
      <w:numPr>
        <w:numId w:val="2"/>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pBdr>
      <w:spacing w:after="640" w:line="240" w:lineRule="auto"/>
      <w:contextualSpacing/>
    </w:pPr>
  </w:style>
  <w:style w:type="character" w:customStyle="1" w:styleId="Heading5Char">
    <w:name w:val="Heading 5 Char"/>
    <w:basedOn w:val="DefaultParagraphFont"/>
    <w:link w:val="Heading5"/>
    <w:uiPriority w:val="9"/>
    <w:rPr>
      <w:rFonts w:ascii="Times New Roman" w:eastAsia="SimSun" w:hAnsi="Times New Roman" w:cs="SimSun"/>
      <w:b/>
      <w:color w:val="595959"/>
      <w:sz w:val="30"/>
    </w:rPr>
  </w:style>
  <w:style w:type="character" w:customStyle="1" w:styleId="Heading6Char">
    <w:name w:val="Heading 6 Char"/>
    <w:basedOn w:val="DefaultParagraphFont"/>
    <w:link w:val="Heading6"/>
    <w:uiPriority w:val="9"/>
    <w:rPr>
      <w:rFonts w:ascii="Times New Roman" w:eastAsia="SimSun" w:hAnsi="Times New Roman" w:cs="SimSun"/>
      <w:b/>
      <w:i/>
      <w:color w:val="595959"/>
      <w:sz w:val="30"/>
    </w:rPr>
  </w:style>
  <w:style w:type="character" w:customStyle="1" w:styleId="Heading7Char">
    <w:name w:val="Heading 7 Char"/>
    <w:basedOn w:val="DefaultParagraphFont"/>
    <w:link w:val="Heading7"/>
    <w:uiPriority w:val="9"/>
    <w:rPr>
      <w:rFonts w:ascii="Times New Roman" w:eastAsia="SimSun" w:hAnsi="Times New Roman" w:cs="SimSun"/>
      <w:iCs/>
      <w:color w:val="595959"/>
      <w:sz w:val="30"/>
    </w:rPr>
  </w:style>
  <w:style w:type="character" w:customStyle="1" w:styleId="Heading8Char">
    <w:name w:val="Heading 8 Char"/>
    <w:basedOn w:val="DefaultParagraphFont"/>
    <w:link w:val="Heading8"/>
    <w:uiPriority w:val="9"/>
    <w:rPr>
      <w:rFonts w:ascii="Times New Roman" w:eastAsia="SimSun" w:hAnsi="Times New Roman" w:cs="SimSun"/>
      <w:i/>
      <w:color w:val="595959"/>
      <w:sz w:val="30"/>
      <w:szCs w:val="21"/>
    </w:rPr>
  </w:style>
  <w:style w:type="character" w:customStyle="1" w:styleId="Heading9Char">
    <w:name w:val="Heading 9 Char"/>
    <w:basedOn w:val="DefaultParagraphFont"/>
    <w:link w:val="Heading9"/>
    <w:uiPriority w:val="9"/>
    <w:rPr>
      <w:rFonts w:ascii="Times New Roman" w:eastAsia="SimSun" w:hAnsi="Times New Roman" w:cs="SimSun"/>
      <w:b/>
      <w:iCs/>
      <w:color w:val="595959"/>
      <w:sz w:val="26"/>
      <w:szCs w:val="21"/>
    </w:rPr>
  </w:style>
  <w:style w:type="character" w:styleId="SubtleEmphasis">
    <w:name w:val="Subtle Emphasis"/>
    <w:basedOn w:val="DefaultParagraphFont"/>
    <w:uiPriority w:val="19"/>
    <w:qFormat/>
    <w:rPr>
      <w:i/>
      <w:iCs/>
      <w:color w:val="000000"/>
    </w:rPr>
  </w:style>
  <w:style w:type="character" w:styleId="Emphasis">
    <w:name w:val="Emphasis"/>
    <w:basedOn w:val="DefaultParagraphFont"/>
    <w:uiPriority w:val="20"/>
    <w:qFormat/>
    <w:rPr>
      <w:b/>
      <w:i/>
      <w:iCs/>
    </w:rPr>
  </w:style>
  <w:style w:type="character" w:styleId="IntenseEmphasis">
    <w:name w:val="Intense Emphasis"/>
    <w:basedOn w:val="DefaultParagraphFont"/>
    <w:uiPriority w:val="21"/>
    <w:qFormat/>
    <w:rPr>
      <w:b/>
      <w:iCs/>
      <w:caps/>
      <w:smallCaps w:val="0"/>
      <w:color w:val="000000"/>
    </w:rPr>
  </w:style>
  <w:style w:type="character" w:styleId="SubtleReference">
    <w:name w:val="Subtle Reference"/>
    <w:basedOn w:val="DefaultParagraphFont"/>
    <w:uiPriority w:val="31"/>
    <w:qFormat/>
    <w:rPr>
      <w:caps/>
      <w:smallCaps w:val="0"/>
      <w:color w:val="000000"/>
    </w:rPr>
  </w:style>
  <w:style w:type="character" w:styleId="IntenseReference">
    <w:name w:val="Intense Reference"/>
    <w:basedOn w:val="DefaultParagraphFont"/>
    <w:uiPriority w:val="32"/>
    <w:qFormat/>
    <w:rPr>
      <w:b/>
      <w:bCs/>
      <w:i/>
      <w:caps/>
      <w:smallCaps w:val="0"/>
      <w:color w:val="000000"/>
      <w:spacing w:val="0"/>
    </w:rPr>
  </w:style>
  <w:style w:type="character" w:styleId="BookTitle">
    <w:name w:val="Book Title"/>
    <w:basedOn w:val="DefaultParagraphFont"/>
    <w:uiPriority w:val="33"/>
    <w:qFormat/>
    <w:rPr>
      <w:b w:val="0"/>
      <w:bCs/>
      <w:i w:val="0"/>
      <w:iCs/>
      <w:spacing w:val="0"/>
      <w:u w:val="single"/>
    </w:rPr>
  </w:style>
  <w:style w:type="paragraph" w:styleId="Caption">
    <w:name w:val="caption"/>
    <w:basedOn w:val="Normal"/>
    <w:next w:val="Normal"/>
    <w:uiPriority w:val="35"/>
    <w:qFormat/>
    <w:pPr>
      <w:spacing w:after="200" w:line="240" w:lineRule="auto"/>
    </w:pPr>
    <w:rPr>
      <w:i/>
      <w:iCs/>
      <w:sz w:val="20"/>
      <w:szCs w:val="18"/>
    </w:rPr>
  </w:style>
  <w:style w:type="character" w:styleId="PlaceholderText">
    <w:name w:val="Placeholder Text"/>
    <w:basedOn w:val="DefaultParagraphFont"/>
    <w:uiPriority w:val="99"/>
    <w:rPr>
      <w:color w:val="808080"/>
    </w:rPr>
  </w:style>
  <w:style w:type="paragraph" w:styleId="Footer">
    <w:name w:val="footer"/>
    <w:basedOn w:val="Normal"/>
    <w:link w:val="FooterChar"/>
    <w:uiPriority w:val="99"/>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insideH w:val="single" w:sz="8" w:space="0" w:color="000000"/>
      </w:tblBorders>
      <w:tblCellMar>
        <w:top w:w="216" w:type="dxa"/>
        <w:left w:w="0" w:type="dxa"/>
        <w:bottom w:w="216" w:type="dxa"/>
        <w:right w:w="0" w:type="dxa"/>
      </w:tblCellMar>
    </w:tblPr>
    <w:tblStylePr w:type="firstRow">
      <w:rPr>
        <w:sz w:val="30"/>
      </w:rPr>
      <w:tblPr/>
      <w:tcPr>
        <w:tcBorders>
          <w:top w:val="nil"/>
          <w:left w:val="nil"/>
          <w:bottom w:val="single" w:sz="24" w:space="0" w:color="000000"/>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rPr>
      <w:i/>
      <w:iCs/>
      <w:sz w:val="30"/>
    </w:rPr>
  </w:style>
  <w:style w:type="character" w:customStyle="1" w:styleId="Heading2Char">
    <w:name w:val="Heading 2 Char"/>
    <w:basedOn w:val="DefaultParagraphFont"/>
    <w:link w:val="Heading2"/>
    <w:uiPriority w:val="9"/>
    <w:rPr>
      <w:rFonts w:ascii="Times New Roman" w:eastAsia="SimSun" w:hAnsi="Times New Roman" w:cs="SimSun"/>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rPr>
      <w:rFonts w:ascii="Times New Roman" w:eastAsia="SimSun" w:hAnsi="Times New Roman" w:cs="SimSun"/>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rPr>
      <w:rFonts w:ascii="Times New Roman" w:eastAsia="SimSun" w:hAnsi="Times New Roman" w:cs="SimSun"/>
      <w:i/>
      <w:i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2</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alfer antony</dc:creator>
  <cp:lastModifiedBy>theaisha1707@gmail.com</cp:lastModifiedBy>
  <cp:revision>3</cp:revision>
  <dcterms:created xsi:type="dcterms:W3CDTF">2025-07-24T19:00:00Z</dcterms:created>
  <dcterms:modified xsi:type="dcterms:W3CDTF">2026-02-20T10:44:00Z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a6c77d3272914f3bbae92dba0f328cb0</vt:lpwstr>
  </property>
</Properties>
</file>