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20E" w:rsidRDefault="00DA6448">
      <w:pPr>
        <w:pStyle w:val="Heading1"/>
        <w:spacing w:before="0" w:beforeAutospacing="0" w:after="0" w:afterAutospacing="0" w:line="480" w:lineRule="auto"/>
        <w:jc w:val="center"/>
        <w:rPr>
          <w:rFonts w:ascii="Garamond" w:hAnsi="Garamond"/>
          <w:sz w:val="24"/>
          <w:szCs w:val="24"/>
        </w:rPr>
      </w:pPr>
      <w:r>
        <w:rPr>
          <w:rFonts w:ascii="Garamond" w:hAnsi="Garamond"/>
          <w:sz w:val="24"/>
          <w:szCs w:val="24"/>
        </w:rPr>
        <w:t>Predisposing Factors Influencing Pregnant Women’s Attitudes Towards Infant Mortality Prevention in Ilorin Metropolis, Nigeria</w:t>
      </w:r>
    </w:p>
    <w:p w:rsidR="005D320E" w:rsidRDefault="00DA6448">
      <w:pPr>
        <w:pStyle w:val="Heading2"/>
        <w:spacing w:before="0" w:beforeAutospacing="0" w:after="0" w:afterAutospacing="0" w:line="480" w:lineRule="auto"/>
        <w:jc w:val="both"/>
        <w:rPr>
          <w:rFonts w:ascii="Garamond" w:hAnsi="Garamond"/>
          <w:sz w:val="24"/>
          <w:szCs w:val="24"/>
        </w:rPr>
      </w:pPr>
      <w:bookmarkStart w:id="0" w:name="_GoBack"/>
      <w:bookmarkEnd w:id="0"/>
      <w:r>
        <w:rPr>
          <w:rFonts w:ascii="Garamond" w:hAnsi="Garamond"/>
          <w:sz w:val="24"/>
          <w:szCs w:val="24"/>
        </w:rPr>
        <w:t>Abstract</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Background:</w:t>
      </w:r>
      <w:r>
        <w:rPr>
          <w:rFonts w:ascii="Garamond" w:hAnsi="Garamond"/>
        </w:rPr>
        <w:t xml:space="preserve"> Infant mortality remains a major public health challenge in Nigeria despite ongoing interventions to improve maternal and child health outcomes. Pregnant wo</w:t>
      </w:r>
      <w:r>
        <w:rPr>
          <w:rFonts w:ascii="Garamond" w:hAnsi="Garamond"/>
        </w:rPr>
        <w:t>men’s attitudes towards infant mortality prevention are influenced by predisposing factors such as maternal education, knowledge of infant mortality causes, cultural beliefs, and access to healthcare services.</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Objective:</w:t>
      </w:r>
      <w:r>
        <w:rPr>
          <w:rFonts w:ascii="Garamond" w:hAnsi="Garamond"/>
        </w:rPr>
        <w:t xml:space="preserve"> This study investigated the predisp</w:t>
      </w:r>
      <w:r>
        <w:rPr>
          <w:rFonts w:ascii="Garamond" w:hAnsi="Garamond"/>
        </w:rPr>
        <w:t>osing factors influencing pregnant women’s attitudes towards infant mortality prevention in Ilorin metropolis, Nigeria.</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Methods:</w:t>
      </w:r>
      <w:r>
        <w:rPr>
          <w:rFonts w:ascii="Garamond" w:hAnsi="Garamond"/>
        </w:rPr>
        <w:t xml:space="preserve"> A descriptive cross-sectional survey design was adopted. Three hundred pregnant women attending antenatal clinics in selected p</w:t>
      </w:r>
      <w:r>
        <w:rPr>
          <w:rFonts w:ascii="Garamond" w:hAnsi="Garamond"/>
        </w:rPr>
        <w:t>ublic health facilities were recruited using multistage sampling. Data were collected using a validated researcher-designed questionnaire. Descriptive statistics summarized demographic characteristics and attitudes, while Analysis of Variance (ANOVA) and m</w:t>
      </w:r>
      <w:r>
        <w:rPr>
          <w:rFonts w:ascii="Garamond" w:hAnsi="Garamond"/>
        </w:rPr>
        <w:t>ultiple regression analysis tested hypotheses at the 0.05 significance level.</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Results:</w:t>
      </w:r>
      <w:r>
        <w:rPr>
          <w:rFonts w:ascii="Garamond" w:hAnsi="Garamond"/>
        </w:rPr>
        <w:t xml:space="preserve"> Maternal education, knowledge of infant mortality causes, cultural beliefs, and access to healthcare services significantly influenced pregnant women’s attitudes towards</w:t>
      </w:r>
      <w:r>
        <w:rPr>
          <w:rFonts w:ascii="Garamond" w:hAnsi="Garamond"/>
        </w:rPr>
        <w:t xml:space="preserve"> infant mortality prevention (p &lt; 0.05). Access to healthcare services (β = 0.36, p &lt; 0.001) and maternal education (β = 0.31, p &lt; 0.001) were the strongest predictors of positive preventive attitudes.</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Conclusion:</w:t>
      </w:r>
      <w:r>
        <w:rPr>
          <w:rFonts w:ascii="Garamond" w:hAnsi="Garamond"/>
        </w:rPr>
        <w:t xml:space="preserve"> Predisposing factors significantly shape p</w:t>
      </w:r>
      <w:r>
        <w:rPr>
          <w:rFonts w:ascii="Garamond" w:hAnsi="Garamond"/>
        </w:rPr>
        <w:t>regnant women’s attitudes towards infant mortality prevention. Strategies addressing educational disparities, enhancing health knowledge, strengthening healthcare access, and engaging cultural contexts are critical for reducing infant mortality.</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Keywords:</w:t>
      </w:r>
      <w:r>
        <w:rPr>
          <w:rFonts w:ascii="Garamond" w:hAnsi="Garamond"/>
        </w:rPr>
        <w:t xml:space="preserve"> </w:t>
      </w:r>
      <w:r>
        <w:rPr>
          <w:rFonts w:ascii="Garamond" w:hAnsi="Garamond"/>
        </w:rPr>
        <w:t>Infant mortality, pregnant women, attitudes, predisposing factors, Nigeria</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Introduction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lastRenderedPageBreak/>
        <w:t xml:space="preserve">Infant mortality is one of the most important indicators of population health and national development, reflecting not only the quality of healthcare services but also </w:t>
      </w:r>
      <w:r>
        <w:rPr>
          <w:rFonts w:ascii="Garamond" w:hAnsi="Garamond"/>
        </w:rPr>
        <w:t>the broader socioeconomic conditions within a country. Globally, significant progress has been made in reducing infant deaths over the last few decades due to improvements in maternal and child health interventions, expanded immunisation programs, and bett</w:t>
      </w:r>
      <w:r>
        <w:rPr>
          <w:rFonts w:ascii="Garamond" w:hAnsi="Garamond"/>
        </w:rPr>
        <w:t>er access to healthcare services. Despite these advancements, Nigeria continues to report infant mortality rates that are substantially higher than the global average, with some regions experiencing rates more than twice the global estimate (World Health O</w:t>
      </w:r>
      <w:r>
        <w:rPr>
          <w:rFonts w:ascii="Garamond" w:hAnsi="Garamond"/>
        </w:rPr>
        <w:t xml:space="preserve">rganization, 2023). </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This persistent high burden underscores the ongoing public health challenge and highlights the urgent need for effective interventions aimed at improving maternal and child health outcomes.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Many infant deaths are preventable through ev</w:t>
      </w:r>
      <w:r>
        <w:rPr>
          <w:rFonts w:ascii="Garamond" w:hAnsi="Garamond"/>
        </w:rPr>
        <w:t>idence-based interventions, including timely and adequate antenatal care, skilled birth attendance, postnatal follow-up, appropriate immunisation, and proper newborn care practices. The attitudes of pregnant women towards these preventive measures play a c</w:t>
      </w:r>
      <w:r>
        <w:rPr>
          <w:rFonts w:ascii="Garamond" w:hAnsi="Garamond"/>
        </w:rPr>
        <w:t>ritical role in determining their uptake and effectiveness. Positive attitudes towards maternal and child health interventions often translate into higher adherence to recommended health practices, while negative or ambivalent attitudes may hinder utilizat</w:t>
      </w:r>
      <w:r>
        <w:rPr>
          <w:rFonts w:ascii="Garamond" w:hAnsi="Garamond"/>
        </w:rPr>
        <w:t>ion of available services, thereby increasing the risk of adverse outcomes. Understanding the factors that shape these attitudes is therefore essential for designing targeted interventions to reduce infant mortality.</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A range of predisposing factors influen</w:t>
      </w:r>
      <w:r>
        <w:rPr>
          <w:rFonts w:ascii="Garamond" w:hAnsi="Garamond"/>
        </w:rPr>
        <w:t xml:space="preserve">ces pregnant women’s attitudes towards infant mortality prevention. </w:t>
      </w:r>
      <w:r>
        <w:rPr>
          <w:rStyle w:val="Strong"/>
          <w:rFonts w:ascii="Garamond" w:hAnsi="Garamond"/>
          <w:b w:val="0"/>
        </w:rPr>
        <w:t>Maternal education</w:t>
      </w:r>
      <w:r>
        <w:rPr>
          <w:rFonts w:ascii="Garamond" w:hAnsi="Garamond"/>
          <w:b/>
        </w:rPr>
        <w:t>,</w:t>
      </w:r>
      <w:r>
        <w:rPr>
          <w:rFonts w:ascii="Garamond" w:hAnsi="Garamond"/>
        </w:rPr>
        <w:t xml:space="preserve"> for instance, has been consistently linked to improved health knowledge, informed decision-making, and the adoption of preventive health behaviours. Educated women are </w:t>
      </w:r>
      <w:r>
        <w:rPr>
          <w:rFonts w:ascii="Garamond" w:hAnsi="Garamond"/>
        </w:rPr>
        <w:t xml:space="preserve">better equipped to understand health information, navigate healthcare systems, and implement strategies that reduce the risk of infant morbidity and mortality (Babalola &amp; Fatusi, 2020). In addition, </w:t>
      </w:r>
      <w:r>
        <w:rPr>
          <w:rStyle w:val="Strong"/>
          <w:rFonts w:ascii="Garamond" w:hAnsi="Garamond"/>
          <w:b w:val="0"/>
        </w:rPr>
        <w:t>knowledge of infant mortality causes</w:t>
      </w:r>
      <w:r>
        <w:rPr>
          <w:rFonts w:ascii="Garamond" w:hAnsi="Garamond"/>
        </w:rPr>
        <w:t xml:space="preserve">—including awareness </w:t>
      </w:r>
      <w:r>
        <w:rPr>
          <w:rFonts w:ascii="Garamond" w:hAnsi="Garamond"/>
        </w:rPr>
        <w:t xml:space="preserve">of risk factors such as poor </w:t>
      </w:r>
      <w:r>
        <w:rPr>
          <w:rFonts w:ascii="Garamond" w:hAnsi="Garamond"/>
        </w:rPr>
        <w:lastRenderedPageBreak/>
        <w:t>maternal nutrition, infections, unsafe delivery practices, and delayed immunisation—has been shown to shape preventive attitudes, as informed mothers are more likely to take proactive measures to protect their infants’ health.</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b w:val="0"/>
        </w:rPr>
        <w:t>Cultural beliefs and practices</w:t>
      </w:r>
      <w:r>
        <w:rPr>
          <w:rFonts w:ascii="Garamond" w:hAnsi="Garamond"/>
        </w:rPr>
        <w:t xml:space="preserve"> also play a significant role in influencing maternal attitudes. In many Nigerian communities, cultural norms, traditional practices, and social expectations regarding pregnancy, childbirth, and infant care can either facilita</w:t>
      </w:r>
      <w:r>
        <w:rPr>
          <w:rFonts w:ascii="Garamond" w:hAnsi="Garamond"/>
        </w:rPr>
        <w:t>te or hinder engagement with modern healthcare services. Some beliefs may support maternal health by promoting practices like exclusive breastfeeding, while others may discourage women from seeking antenatal care or delivering in health facilities, thereby</w:t>
      </w:r>
      <w:r>
        <w:rPr>
          <w:rFonts w:ascii="Garamond" w:hAnsi="Garamond"/>
        </w:rPr>
        <w:t xml:space="preserve"> increasing the risk of infant deaths (Adedini et al., 2023). Understanding the interplay between these cultural dimensions and health behaviours is critical for developing culturally sensitive interventions that resonate with local communities.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Another ke</w:t>
      </w:r>
      <w:r>
        <w:rPr>
          <w:rFonts w:ascii="Garamond" w:hAnsi="Garamond"/>
        </w:rPr>
        <w:t xml:space="preserve">y determinant is </w:t>
      </w:r>
      <w:r>
        <w:rPr>
          <w:rStyle w:val="Strong"/>
          <w:rFonts w:ascii="Garamond" w:hAnsi="Garamond"/>
          <w:b w:val="0"/>
        </w:rPr>
        <w:t>access to healthcare services</w:t>
      </w:r>
      <w:r>
        <w:rPr>
          <w:rFonts w:ascii="Garamond" w:hAnsi="Garamond"/>
        </w:rPr>
        <w:t>, which encompasses the availability, affordability, and perceived quality of maternal and child health services. Geographic barriers, financial constraints, and negative perceptions of healthcare providers can</w:t>
      </w:r>
      <w:r>
        <w:rPr>
          <w:rFonts w:ascii="Garamond" w:hAnsi="Garamond"/>
        </w:rPr>
        <w:t xml:space="preserve"> all limit service utilization, negatively influencing maternal attitudes towards infant mortality prevention (National Population Commission, 2023). Conversely, women with easier access to quality healthcare are more likely to engage in preventive practic</w:t>
      </w:r>
      <w:r>
        <w:rPr>
          <w:rFonts w:ascii="Garamond" w:hAnsi="Garamond"/>
        </w:rPr>
        <w:t>es, highlighting the importance of strengthening health systems and improving service delivery in both urban and peri-urban areas.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Although previous studies have examined individual factors influencing maternal attitudes, limited empirical evidence exists </w:t>
      </w:r>
      <w:r>
        <w:rPr>
          <w:rFonts w:ascii="Garamond" w:hAnsi="Garamond"/>
        </w:rPr>
        <w:t>regarding the combined effects of education, knowledge, cultural beliefs, and healthcare access on pregnant women’s attitudes in Ilorin metropolis. Given that urban settings present unique challenges—such as uneven distribution of health facilities, high p</w:t>
      </w:r>
      <w:r>
        <w:rPr>
          <w:rFonts w:ascii="Garamond" w:hAnsi="Garamond"/>
        </w:rPr>
        <w:t xml:space="preserve">opulation density, and diverse cultural practices it is important to investigate these predisposing factors in this context. By identifying the factors that most strongly influence maternal attitudes, this study provides </w:t>
      </w:r>
      <w:r>
        <w:rPr>
          <w:rFonts w:ascii="Garamond" w:hAnsi="Garamond"/>
        </w:rPr>
        <w:lastRenderedPageBreak/>
        <w:t>evidence that can guide targeted in</w:t>
      </w:r>
      <w:r>
        <w:rPr>
          <w:rFonts w:ascii="Garamond" w:hAnsi="Garamond"/>
        </w:rPr>
        <w:t>terventions, health education programs, and policy decisions aimed at reducing infant mortality in the metropolis and similar urban areas.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Therefore, this study seeks to explore the </w:t>
      </w:r>
      <w:r>
        <w:rPr>
          <w:rStyle w:val="Strong"/>
          <w:rFonts w:ascii="Garamond" w:hAnsi="Garamond"/>
          <w:b w:val="0"/>
        </w:rPr>
        <w:t>predisposing factors influencing pregnant women’s attitudes towards infant</w:t>
      </w:r>
      <w:r>
        <w:rPr>
          <w:rStyle w:val="Strong"/>
          <w:rFonts w:ascii="Garamond" w:hAnsi="Garamond"/>
          <w:b w:val="0"/>
        </w:rPr>
        <w:t xml:space="preserve"> mortality prevention in Ilorin metropolis</w:t>
      </w:r>
      <w:r>
        <w:rPr>
          <w:rFonts w:ascii="Garamond" w:hAnsi="Garamond"/>
        </w:rPr>
        <w:t>, with the ultimate goal of informing strategies to improve maternal and child health outcomes and contribute to the reduction of preventable infant deaths.</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Research Question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What are the predisposing factors influ</w:t>
      </w:r>
      <w:r>
        <w:rPr>
          <w:rFonts w:ascii="Garamond" w:hAnsi="Garamond"/>
        </w:rPr>
        <w:t>encing pregnant women’s attitudes towards infant mortality prevention in Ilorin metropolis?</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Research Hypotheses</w:t>
      </w:r>
    </w:p>
    <w:p w:rsidR="005D320E" w:rsidRDefault="00DA6448">
      <w:pPr>
        <w:pStyle w:val="NormalWeb"/>
        <w:numPr>
          <w:ilvl w:val="0"/>
          <w:numId w:val="1"/>
        </w:numPr>
        <w:spacing w:before="0" w:beforeAutospacing="0" w:after="0" w:afterAutospacing="0" w:line="480" w:lineRule="auto"/>
        <w:jc w:val="both"/>
        <w:rPr>
          <w:rFonts w:ascii="Garamond" w:hAnsi="Garamond"/>
        </w:rPr>
      </w:pPr>
      <w:r>
        <w:rPr>
          <w:rFonts w:ascii="Garamond" w:hAnsi="Garamond"/>
        </w:rPr>
        <w:t>There is no significant influence of maternal education on pregnant women’s attitudes towards infant mortality prevention.</w:t>
      </w:r>
    </w:p>
    <w:p w:rsidR="005D320E" w:rsidRDefault="00DA6448">
      <w:pPr>
        <w:pStyle w:val="NormalWeb"/>
        <w:numPr>
          <w:ilvl w:val="0"/>
          <w:numId w:val="1"/>
        </w:numPr>
        <w:spacing w:before="0" w:beforeAutospacing="0" w:after="0" w:afterAutospacing="0" w:line="480" w:lineRule="auto"/>
        <w:jc w:val="both"/>
        <w:rPr>
          <w:rFonts w:ascii="Garamond" w:hAnsi="Garamond"/>
        </w:rPr>
      </w:pPr>
      <w:r>
        <w:rPr>
          <w:rFonts w:ascii="Garamond" w:hAnsi="Garamond"/>
        </w:rPr>
        <w:t xml:space="preserve">There is no </w:t>
      </w:r>
      <w:r>
        <w:rPr>
          <w:rFonts w:ascii="Garamond" w:hAnsi="Garamond"/>
        </w:rPr>
        <w:t>significant influence of knowledge of infant mortality causes on pregnant women’s attitudes towards infant mortality prevention.</w:t>
      </w:r>
    </w:p>
    <w:p w:rsidR="005D320E" w:rsidRDefault="00DA6448">
      <w:pPr>
        <w:pStyle w:val="NormalWeb"/>
        <w:numPr>
          <w:ilvl w:val="0"/>
          <w:numId w:val="1"/>
        </w:numPr>
        <w:spacing w:before="0" w:beforeAutospacing="0" w:after="0" w:afterAutospacing="0" w:line="480" w:lineRule="auto"/>
        <w:jc w:val="both"/>
        <w:rPr>
          <w:rFonts w:ascii="Garamond" w:hAnsi="Garamond"/>
        </w:rPr>
      </w:pPr>
      <w:r>
        <w:rPr>
          <w:rFonts w:ascii="Garamond" w:hAnsi="Garamond"/>
        </w:rPr>
        <w:t>There is no significant influence of cultural beliefs on pregnant women’s attitudes towards infant mortality prevention.</w:t>
      </w:r>
    </w:p>
    <w:p w:rsidR="005D320E" w:rsidRDefault="00DA6448">
      <w:pPr>
        <w:pStyle w:val="NormalWeb"/>
        <w:numPr>
          <w:ilvl w:val="0"/>
          <w:numId w:val="1"/>
        </w:numPr>
        <w:spacing w:before="0" w:beforeAutospacing="0" w:after="0" w:afterAutospacing="0" w:line="480" w:lineRule="auto"/>
        <w:jc w:val="both"/>
        <w:rPr>
          <w:rFonts w:ascii="Garamond" w:hAnsi="Garamond"/>
        </w:rPr>
      </w:pPr>
      <w:r>
        <w:rPr>
          <w:rFonts w:ascii="Garamond" w:hAnsi="Garamond"/>
        </w:rPr>
        <w:t xml:space="preserve">There </w:t>
      </w:r>
      <w:r>
        <w:rPr>
          <w:rFonts w:ascii="Garamond" w:hAnsi="Garamond"/>
        </w:rPr>
        <w:t>is no significant influence of access to healthcare services on pregnant women’s attitudes towards infant mortality prevention.</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Methods</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Research Design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A descriptive cross-sectional survey design was adopted to examine predisposing factors influencing preg</w:t>
      </w:r>
      <w:r>
        <w:rPr>
          <w:rFonts w:ascii="Garamond" w:hAnsi="Garamond"/>
        </w:rPr>
        <w:t>nant women’s attitudes towards infant mortality prevention.</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Participants and Setting</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lastRenderedPageBreak/>
        <w:t>The study population consisted of pregnant women attending antenatal clinics in selected public health facilities in Ilorin metropolis, Kwara State, Nigeria. A sample size</w:t>
      </w:r>
      <w:r>
        <w:rPr>
          <w:rFonts w:ascii="Garamond" w:hAnsi="Garamond"/>
        </w:rPr>
        <w:t xml:space="preserve"> of 300 participants was determined using Cochran’s formula and recruited through multistage sampling techniques.</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Instrumentation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Data were collected using a researcher-designed questionnaire comprising sections on: socio-demographic characteristics, mater</w:t>
      </w:r>
      <w:r>
        <w:rPr>
          <w:rFonts w:ascii="Garamond" w:hAnsi="Garamond"/>
        </w:rPr>
        <w:t>nal education, knowledge of infant mortality causes, cultural beliefs, access to healthcare services, and attitudes towards infant mortality prevention. The instrument was validated by public health experts and maternal health specialists, yielding a relia</w:t>
      </w:r>
      <w:r>
        <w:rPr>
          <w:rFonts w:ascii="Garamond" w:hAnsi="Garamond"/>
        </w:rPr>
        <w:t>bility coefficient of 0.82 (test–retest method).</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Ethical Considerations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The objective of the research was clearly explained to the respondents by attaching informed consent forms to the questionnaire. Respondents were assured of utmost anonymity and confid</w:t>
      </w:r>
      <w:r>
        <w:rPr>
          <w:rFonts w:ascii="Garamond" w:hAnsi="Garamond"/>
        </w:rPr>
        <w:t>entiality of any information  provided on the questionnaire form. Each respondent’s identity was protected as their names were requested.</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Data Analysis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Descriptive statistics summarized demographic characteristics and mean attitude scores. Inferential anal</w:t>
      </w:r>
      <w:r>
        <w:rPr>
          <w:rFonts w:ascii="Garamond" w:hAnsi="Garamond"/>
        </w:rPr>
        <w:t>ysis included Analysis of Variance (ANOVA) to determine group differences and multiple regression analysis to identify predictors of attitudes. Hypotheses were tested at the 0.05 significance level.</w:t>
      </w:r>
    </w:p>
    <w:p w:rsidR="005D320E" w:rsidRDefault="005D320E">
      <w:pPr>
        <w:pStyle w:val="Heading2"/>
        <w:spacing w:before="0" w:beforeAutospacing="0" w:after="0" w:afterAutospacing="0" w:line="480" w:lineRule="auto"/>
        <w:jc w:val="both"/>
        <w:rPr>
          <w:rFonts w:ascii="Garamond" w:hAnsi="Garamond"/>
          <w:sz w:val="24"/>
          <w:szCs w:val="24"/>
        </w:rPr>
      </w:pP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Results</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Demographic Characteristics of Participants (n =</w:t>
      </w:r>
      <w:r>
        <w:rPr>
          <w:rFonts w:ascii="Garamond" w:hAnsi="Garamond"/>
          <w:sz w:val="24"/>
          <w:szCs w:val="24"/>
        </w:rPr>
        <w:t xml:space="preserve"> 300)</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1: Demographic characteristics of participants</w:t>
      </w:r>
    </w:p>
    <w:tbl>
      <w:tblPr>
        <w:tblW w:w="870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14"/>
        <w:gridCol w:w="2533"/>
        <w:gridCol w:w="2756"/>
      </w:tblGrid>
      <w:tr w:rsidR="005D320E">
        <w:trPr>
          <w:trHeight w:val="517"/>
          <w:tblHeader/>
          <w:tblCellSpacing w:w="15" w:type="dxa"/>
        </w:trPr>
        <w:tc>
          <w:tcPr>
            <w:tcW w:w="0" w:type="auto"/>
            <w:vAlign w:val="center"/>
            <w:hideMark/>
          </w:tcPr>
          <w:p w:rsidR="005D320E" w:rsidRDefault="00DA6448">
            <w:pPr>
              <w:spacing w:after="0" w:line="240" w:lineRule="auto"/>
              <w:ind w:left="1440" w:hanging="1440"/>
              <w:jc w:val="both"/>
              <w:rPr>
                <w:rFonts w:ascii="Garamond" w:hAnsi="Garamond"/>
                <w:b/>
                <w:bCs/>
                <w:sz w:val="24"/>
                <w:szCs w:val="24"/>
              </w:rPr>
            </w:pPr>
            <w:r>
              <w:rPr>
                <w:rFonts w:ascii="Garamond" w:hAnsi="Garamond"/>
                <w:b/>
                <w:bCs/>
                <w:sz w:val="24"/>
                <w:szCs w:val="24"/>
              </w:rPr>
              <w:lastRenderedPageBreak/>
              <w:t>Variable</w:t>
            </w:r>
          </w:p>
        </w:tc>
        <w:tc>
          <w:tcPr>
            <w:tcW w:w="0" w:type="auto"/>
            <w:vAlign w:val="center"/>
            <w:hideMark/>
          </w:tcPr>
          <w:p w:rsidR="005D320E" w:rsidRDefault="00DA6448">
            <w:pPr>
              <w:spacing w:after="0" w:line="240" w:lineRule="auto"/>
              <w:ind w:left="1440" w:hanging="1440"/>
              <w:jc w:val="both"/>
              <w:rPr>
                <w:rFonts w:ascii="Garamond" w:hAnsi="Garamond"/>
                <w:b/>
                <w:bCs/>
                <w:sz w:val="24"/>
                <w:szCs w:val="24"/>
              </w:rPr>
            </w:pPr>
            <w:r>
              <w:rPr>
                <w:rFonts w:ascii="Garamond" w:hAnsi="Garamond"/>
                <w:b/>
                <w:bCs/>
                <w:sz w:val="24"/>
                <w:szCs w:val="24"/>
              </w:rPr>
              <w:t>Frequency (n)</w:t>
            </w:r>
          </w:p>
        </w:tc>
        <w:tc>
          <w:tcPr>
            <w:tcW w:w="0" w:type="auto"/>
            <w:vAlign w:val="center"/>
            <w:hideMark/>
          </w:tcPr>
          <w:p w:rsidR="005D320E" w:rsidRDefault="00DA6448">
            <w:pPr>
              <w:spacing w:after="0" w:line="240" w:lineRule="auto"/>
              <w:ind w:left="1440" w:hanging="1440"/>
              <w:jc w:val="both"/>
              <w:rPr>
                <w:rFonts w:ascii="Garamond" w:hAnsi="Garamond"/>
                <w:b/>
                <w:bCs/>
                <w:sz w:val="24"/>
                <w:szCs w:val="24"/>
              </w:rPr>
            </w:pPr>
            <w:r>
              <w:rPr>
                <w:rFonts w:ascii="Garamond" w:hAnsi="Garamond"/>
                <w:b/>
                <w:bCs/>
                <w:sz w:val="24"/>
                <w:szCs w:val="24"/>
              </w:rPr>
              <w:t>Percentage (%)</w:t>
            </w:r>
          </w:p>
        </w:tc>
      </w:tr>
      <w:tr w:rsidR="005D320E">
        <w:trPr>
          <w:trHeight w:val="529"/>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Age (years)</w:t>
            </w: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18–24</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92</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30.7</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25–29</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146</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48.7</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30–34</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44</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14.6</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≥35</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18</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6.0</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Educational level</w:t>
            </w: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No formal education</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22</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7.3</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Primary education</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92</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30.7</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Secondary</w:t>
            </w:r>
            <w:r>
              <w:rPr>
                <w:rFonts w:ascii="Garamond" w:hAnsi="Garamond"/>
                <w:sz w:val="24"/>
                <w:szCs w:val="24"/>
              </w:rPr>
              <w:t xml:space="preserve"> education</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134</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44.7</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Tertiary education</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52</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17.3</w:t>
            </w: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Parity</w:t>
            </w: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c>
          <w:tcPr>
            <w:tcW w:w="0" w:type="auto"/>
            <w:vAlign w:val="center"/>
            <w:hideMark/>
          </w:tcPr>
          <w:p w:rsidR="005D320E" w:rsidRDefault="005D320E">
            <w:pPr>
              <w:spacing w:after="0" w:line="240" w:lineRule="auto"/>
              <w:ind w:left="1440" w:hanging="1440"/>
              <w:jc w:val="both"/>
              <w:rPr>
                <w:rFonts w:ascii="Garamond" w:hAnsi="Garamond"/>
                <w:sz w:val="24"/>
                <w:szCs w:val="24"/>
              </w:rPr>
            </w:pPr>
          </w:p>
        </w:tc>
      </w:tr>
      <w:tr w:rsidR="005D320E">
        <w:trPr>
          <w:trHeight w:val="517"/>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Primigravida</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131</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43.7</w:t>
            </w:r>
          </w:p>
        </w:tc>
      </w:tr>
      <w:tr w:rsidR="005D320E">
        <w:trPr>
          <w:trHeight w:val="529"/>
          <w:tblCellSpacing w:w="15" w:type="dxa"/>
        </w:trPr>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Multigravida</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169</w:t>
            </w:r>
          </w:p>
        </w:tc>
        <w:tc>
          <w:tcPr>
            <w:tcW w:w="0" w:type="auto"/>
            <w:vAlign w:val="center"/>
            <w:hideMark/>
          </w:tcPr>
          <w:p w:rsidR="005D320E" w:rsidRDefault="00DA6448">
            <w:pPr>
              <w:spacing w:after="0" w:line="240" w:lineRule="auto"/>
              <w:ind w:left="1440" w:hanging="1440"/>
              <w:jc w:val="both"/>
              <w:rPr>
                <w:rFonts w:ascii="Garamond" w:hAnsi="Garamond"/>
                <w:sz w:val="24"/>
                <w:szCs w:val="24"/>
              </w:rPr>
            </w:pPr>
            <w:r>
              <w:rPr>
                <w:rFonts w:ascii="Garamond" w:hAnsi="Garamond"/>
                <w:sz w:val="24"/>
                <w:szCs w:val="24"/>
              </w:rPr>
              <w:t>56.3</w:t>
            </w:r>
          </w:p>
        </w:tc>
      </w:tr>
    </w:tbl>
    <w:p w:rsidR="005D320E" w:rsidRDefault="005D320E">
      <w:pPr>
        <w:spacing w:after="0" w:line="480" w:lineRule="auto"/>
        <w:jc w:val="both"/>
        <w:rPr>
          <w:rFonts w:ascii="Garamond" w:hAnsi="Garamond"/>
          <w:sz w:val="24"/>
          <w:szCs w:val="24"/>
        </w:rPr>
      </w:pP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Mean and Rank Order of Attitudes</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2: Mean scores of attitudes towards infant mortality prevention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11"/>
        <w:gridCol w:w="5967"/>
        <w:gridCol w:w="640"/>
        <w:gridCol w:w="618"/>
      </w:tblGrid>
      <w:tr w:rsidR="005D320E">
        <w:trPr>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Item No.</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Attitude statements</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Rank</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Attending antenatal clinics regularly can prevent infant deaths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3.72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1st</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Delivery in health facilities reduces infant mortality</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3.61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2nd</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Adequate maternal nutrition improves infant survival</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3.48</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3rd</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Immunisation</w:t>
            </w:r>
            <w:r>
              <w:rPr>
                <w:rFonts w:ascii="Garamond" w:hAnsi="Garamond"/>
                <w:sz w:val="24"/>
                <w:szCs w:val="24"/>
              </w:rPr>
              <w:t xml:space="preserve"> is important for preventing infant deaths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3.44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4th</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lastRenderedPageBreak/>
              <w:t>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Prompt treatment of childhood illness prevents infant mortality</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3.36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5th</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Traditional beliefs may discourage modern healthcare use</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3.12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6th</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Poor access to health facilities increases infant deaths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3.09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7th</w:t>
            </w:r>
          </w:p>
        </w:tc>
      </w:tr>
      <w:tr w:rsidR="005D320E">
        <w:trPr>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Education helps mothers understand infant health risks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3.01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8th</w:t>
            </w:r>
          </w:p>
        </w:tc>
      </w:tr>
    </w:tbl>
    <w:p w:rsidR="005D320E" w:rsidRDefault="00DA6448">
      <w:pPr>
        <w:pStyle w:val="NormalWeb"/>
        <w:spacing w:before="0" w:beforeAutospacing="0" w:after="0" w:afterAutospacing="0" w:line="480" w:lineRule="auto"/>
        <w:jc w:val="both"/>
        <w:rPr>
          <w:rFonts w:ascii="Garamond" w:hAnsi="Garamond"/>
        </w:rPr>
      </w:pPr>
      <w:r>
        <w:rPr>
          <w:rStyle w:val="Emphasis"/>
          <w:rFonts w:ascii="Garamond" w:hAnsi="Garamond"/>
        </w:rPr>
        <w:t>Mid cut-off mean = 2.50</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 xml:space="preserve">Results </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Influence of Predisposing Factors on Attitudes</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3: ANOVA showing influence of maternal education on attitudes</w:t>
      </w:r>
    </w:p>
    <w:tbl>
      <w:tblPr>
        <w:tblW w:w="819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3"/>
        <w:gridCol w:w="499"/>
        <w:gridCol w:w="1139"/>
        <w:gridCol w:w="1774"/>
        <w:gridCol w:w="846"/>
        <w:gridCol w:w="907"/>
        <w:gridCol w:w="1034"/>
      </w:tblGrid>
      <w:tr w:rsidR="005D320E">
        <w:trPr>
          <w:trHeight w:val="536"/>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Source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df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SS</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 Square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 xml:space="preserve">Cal. </w:t>
            </w:r>
            <w:r>
              <w:rPr>
                <w:rFonts w:ascii="Garamond" w:hAnsi="Garamond"/>
                <w:b/>
                <w:bCs/>
                <w:sz w:val="24"/>
                <w:szCs w:val="24"/>
              </w:rPr>
              <w:t>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Crit.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p-value</w:t>
            </w:r>
          </w:p>
        </w:tc>
      </w:tr>
      <w:tr w:rsidR="005D320E">
        <w:trPr>
          <w:trHeight w:val="551"/>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Between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268.430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89.477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6.84*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2.60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.002</w:t>
            </w:r>
          </w:p>
        </w:tc>
      </w:tr>
      <w:tr w:rsidR="005D320E">
        <w:trPr>
          <w:trHeight w:val="53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Within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3873.214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13.085</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r w:rsidR="005D320E">
        <w:trPr>
          <w:trHeight w:val="53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Total</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4141.644</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bl>
    <w:p w:rsidR="005D320E" w:rsidRDefault="00DA6448">
      <w:pPr>
        <w:pStyle w:val="NormalWeb"/>
        <w:spacing w:before="0" w:beforeAutospacing="0" w:after="0" w:afterAutospacing="0" w:line="480" w:lineRule="auto"/>
        <w:jc w:val="both"/>
        <w:rPr>
          <w:rFonts w:ascii="Garamond" w:hAnsi="Garamond"/>
        </w:rPr>
      </w:pPr>
      <w:r>
        <w:rPr>
          <w:rFonts w:ascii="Garamond" w:hAnsi="Garamond"/>
        </w:rPr>
        <w:t>*Significant at p &lt; 0.05</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4: ANOVA showing influence of knowledge of infant mortality causes</w:t>
      </w:r>
    </w:p>
    <w:tbl>
      <w:tblPr>
        <w:tblW w:w="820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7"/>
        <w:gridCol w:w="500"/>
        <w:gridCol w:w="1141"/>
        <w:gridCol w:w="1778"/>
        <w:gridCol w:w="848"/>
        <w:gridCol w:w="909"/>
        <w:gridCol w:w="1036"/>
      </w:tblGrid>
      <w:tr w:rsidR="005D320E">
        <w:trPr>
          <w:trHeight w:val="446"/>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Source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df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SS</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 Square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Cal.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Crit.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p-value</w:t>
            </w:r>
          </w:p>
        </w:tc>
      </w:tr>
      <w:tr w:rsidR="005D320E">
        <w:trPr>
          <w:trHeight w:val="45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Between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191.506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95.753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5.27*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3.00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.006</w:t>
            </w: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Within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5392.817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18.156</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Total</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5584.323</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bl>
    <w:p w:rsidR="005D320E" w:rsidRDefault="00DA6448">
      <w:pPr>
        <w:pStyle w:val="NormalWeb"/>
        <w:spacing w:before="0" w:beforeAutospacing="0" w:after="0" w:afterAutospacing="0" w:line="480" w:lineRule="auto"/>
        <w:jc w:val="both"/>
        <w:rPr>
          <w:rFonts w:ascii="Garamond" w:hAnsi="Garamond"/>
        </w:rPr>
      </w:pPr>
      <w:r>
        <w:rPr>
          <w:rFonts w:ascii="Garamond" w:hAnsi="Garamond"/>
        </w:rPr>
        <w:t>*Significant at p &lt; 0.05</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5a: ANOVA showing influence of cultural beliefs</w:t>
      </w:r>
    </w:p>
    <w:tbl>
      <w:tblPr>
        <w:tblW w:w="830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19"/>
        <w:gridCol w:w="506"/>
        <w:gridCol w:w="1154"/>
        <w:gridCol w:w="1798"/>
        <w:gridCol w:w="857"/>
        <w:gridCol w:w="919"/>
        <w:gridCol w:w="1048"/>
      </w:tblGrid>
      <w:tr w:rsidR="005D320E">
        <w:trPr>
          <w:trHeight w:val="446"/>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lastRenderedPageBreak/>
              <w:t>Source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df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SS</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 Square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Cal.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Crit.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p-value</w:t>
            </w:r>
          </w:p>
        </w:tc>
      </w:tr>
      <w:tr w:rsidR="005D320E">
        <w:trPr>
          <w:trHeight w:val="45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Between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176.219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88.109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4.91*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3.00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.009</w:t>
            </w: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Within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5331.414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17.950</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Total</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5507.633</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bl>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5b: ANOVA showing influence of access to healthcare services</w:t>
      </w:r>
    </w:p>
    <w:tbl>
      <w:tblPr>
        <w:tblW w:w="822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01"/>
        <w:gridCol w:w="501"/>
        <w:gridCol w:w="1143"/>
        <w:gridCol w:w="1781"/>
        <w:gridCol w:w="849"/>
        <w:gridCol w:w="910"/>
        <w:gridCol w:w="1038"/>
      </w:tblGrid>
      <w:tr w:rsidR="005D320E">
        <w:trPr>
          <w:trHeight w:val="446"/>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Source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df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SS</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 Square</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Cal.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Crit. F</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p-value</w:t>
            </w:r>
          </w:p>
        </w:tc>
      </w:tr>
      <w:tr w:rsidR="005D320E">
        <w:trPr>
          <w:trHeight w:val="45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Between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295.611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147.806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8.13*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3.00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.001</w:t>
            </w: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Within groups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5390.433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18.148</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r w:rsidR="005D320E">
        <w:trPr>
          <w:trHeight w:val="446"/>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Total</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299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5686.044</w:t>
            </w: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c>
          <w:tcPr>
            <w:tcW w:w="0" w:type="auto"/>
            <w:vAlign w:val="center"/>
            <w:hideMark/>
          </w:tcPr>
          <w:p w:rsidR="005D320E" w:rsidRDefault="005D320E">
            <w:pPr>
              <w:spacing w:after="0" w:line="480" w:lineRule="auto"/>
              <w:jc w:val="both"/>
              <w:rPr>
                <w:rFonts w:ascii="Garamond" w:hAnsi="Garamond"/>
                <w:sz w:val="24"/>
                <w:szCs w:val="24"/>
              </w:rPr>
            </w:pPr>
          </w:p>
        </w:tc>
      </w:tr>
    </w:tbl>
    <w:p w:rsidR="005D320E" w:rsidRDefault="00DA6448">
      <w:pPr>
        <w:pStyle w:val="NormalWeb"/>
        <w:spacing w:before="0" w:beforeAutospacing="0" w:after="0" w:afterAutospacing="0" w:line="480" w:lineRule="auto"/>
        <w:jc w:val="both"/>
        <w:rPr>
          <w:rFonts w:ascii="Garamond" w:hAnsi="Garamond"/>
        </w:rPr>
      </w:pPr>
      <w:r>
        <w:rPr>
          <w:rFonts w:ascii="Garamond" w:hAnsi="Garamond"/>
        </w:rPr>
        <w:t>*Significant at p &lt; 0.05</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Duncan Multiple Range Test (DMRT)</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6: Differences in attitudes based on maternal education</w:t>
      </w:r>
    </w:p>
    <w:tbl>
      <w:tblPr>
        <w:tblW w:w="825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850"/>
        <w:gridCol w:w="1389"/>
        <w:gridCol w:w="4456"/>
      </w:tblGrid>
      <w:tr w:rsidR="005D320E">
        <w:trPr>
          <w:trHeight w:val="398"/>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Group</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Educational level</w:t>
            </w:r>
          </w:p>
        </w:tc>
      </w:tr>
      <w:tr w:rsidR="005D320E">
        <w:trPr>
          <w:trHeight w:val="38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56.84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Tertiary education</w:t>
            </w:r>
          </w:p>
        </w:tc>
      </w:tr>
      <w:tr w:rsidR="005D320E">
        <w:trPr>
          <w:trHeight w:val="38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134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54.31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Secondary education</w:t>
            </w:r>
          </w:p>
        </w:tc>
      </w:tr>
      <w:tr w:rsidR="005D320E">
        <w:trPr>
          <w:trHeight w:val="38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C</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92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52.06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Primary education</w:t>
            </w:r>
          </w:p>
        </w:tc>
      </w:tr>
      <w:tr w:rsidR="005D320E">
        <w:trPr>
          <w:trHeight w:val="398"/>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D</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49.77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No formal education</w:t>
            </w:r>
          </w:p>
        </w:tc>
      </w:tr>
    </w:tbl>
    <w:p w:rsidR="005D320E" w:rsidRDefault="005D320E">
      <w:pPr>
        <w:pStyle w:val="NormalWeb"/>
        <w:spacing w:before="0" w:beforeAutospacing="0" w:after="0" w:afterAutospacing="0" w:line="480" w:lineRule="auto"/>
        <w:jc w:val="both"/>
        <w:rPr>
          <w:rStyle w:val="Strong"/>
          <w:rFonts w:ascii="Garamond" w:hAnsi="Garamond"/>
        </w:rPr>
      </w:pP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Interpretation:</w:t>
      </w:r>
      <w:r>
        <w:rPr>
          <w:rFonts w:ascii="Garamond" w:hAnsi="Garamond"/>
        </w:rPr>
        <w:t xml:space="preserve"> Respondents with higher education demonstrated more positive attitudes; null hypothesis rejected.</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7: Differences</w:t>
      </w:r>
      <w:r>
        <w:rPr>
          <w:rStyle w:val="Strong"/>
          <w:rFonts w:ascii="Garamond" w:hAnsi="Garamond"/>
        </w:rPr>
        <w:t xml:space="preserve"> in attitudes based on knowledge of infant mortality causes</w:t>
      </w:r>
    </w:p>
    <w:tbl>
      <w:tblPr>
        <w:tblW w:w="83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79"/>
        <w:gridCol w:w="862"/>
        <w:gridCol w:w="1410"/>
        <w:gridCol w:w="4523"/>
      </w:tblGrid>
      <w:tr w:rsidR="005D320E">
        <w:trPr>
          <w:trHeight w:val="368"/>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lastRenderedPageBreak/>
              <w:t>Group</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Knowledge level</w:t>
            </w:r>
          </w:p>
        </w:tc>
      </w:tr>
      <w:tr w:rsidR="005D320E">
        <w:trPr>
          <w:trHeight w:val="36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118</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55.26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High knowledge</w:t>
            </w:r>
          </w:p>
        </w:tc>
      </w:tr>
      <w:tr w:rsidR="005D320E">
        <w:trPr>
          <w:trHeight w:val="36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109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53.17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Moderate knowledge</w:t>
            </w:r>
          </w:p>
        </w:tc>
      </w:tr>
      <w:tr w:rsidR="005D320E">
        <w:trPr>
          <w:trHeight w:val="368"/>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C</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73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50.94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Low knowledge</w:t>
            </w:r>
          </w:p>
        </w:tc>
      </w:tr>
    </w:tbl>
    <w:p w:rsidR="005D320E" w:rsidRDefault="005D320E">
      <w:pPr>
        <w:pStyle w:val="NormalWeb"/>
        <w:spacing w:before="0" w:beforeAutospacing="0" w:after="0" w:afterAutospacing="0" w:line="480" w:lineRule="auto"/>
        <w:jc w:val="both"/>
        <w:rPr>
          <w:rStyle w:val="Strong"/>
          <w:rFonts w:ascii="Garamond" w:hAnsi="Garamond"/>
        </w:rPr>
      </w:pP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Interpretation:</w:t>
      </w:r>
      <w:r>
        <w:rPr>
          <w:rFonts w:ascii="Garamond" w:hAnsi="Garamond"/>
        </w:rPr>
        <w:t xml:space="preserve"> Higher knowledge corresponded to more positive attitudes; null hypothesis rejected.</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8: Differences in attitudes based on cultural beliefs</w:t>
      </w:r>
    </w:p>
    <w:tbl>
      <w:tblPr>
        <w:tblW w:w="86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72"/>
        <w:gridCol w:w="750"/>
        <w:gridCol w:w="1223"/>
        <w:gridCol w:w="5317"/>
      </w:tblGrid>
      <w:tr w:rsidR="005D320E">
        <w:trPr>
          <w:trHeight w:val="410"/>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Group</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Cultural belief orientation</w:t>
            </w:r>
          </w:p>
        </w:tc>
      </w:tr>
      <w:tr w:rsidR="005D320E">
        <w:trPr>
          <w:trHeight w:val="40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96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55.02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Health-supportive beliefs</w:t>
            </w:r>
          </w:p>
        </w:tc>
      </w:tr>
      <w:tr w:rsidR="005D320E">
        <w:trPr>
          <w:trHeight w:val="40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121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53.41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Neutral beliefs</w:t>
            </w:r>
          </w:p>
        </w:tc>
      </w:tr>
      <w:tr w:rsidR="005D320E">
        <w:trPr>
          <w:trHeight w:val="41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C</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83</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51.08</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Traditional-restrictive beliefs</w:t>
            </w:r>
          </w:p>
        </w:tc>
      </w:tr>
    </w:tbl>
    <w:p w:rsidR="005D320E" w:rsidRDefault="005D320E">
      <w:pPr>
        <w:pStyle w:val="NormalWeb"/>
        <w:spacing w:before="0" w:beforeAutospacing="0" w:after="0" w:afterAutospacing="0" w:line="480" w:lineRule="auto"/>
        <w:jc w:val="both"/>
        <w:rPr>
          <w:rStyle w:val="Strong"/>
          <w:rFonts w:ascii="Garamond" w:hAnsi="Garamond"/>
        </w:rPr>
      </w:pP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Interpretation:</w:t>
      </w:r>
      <w:r>
        <w:rPr>
          <w:rFonts w:ascii="Garamond" w:hAnsi="Garamond"/>
        </w:rPr>
        <w:t xml:space="preserve"> Supportive cultural beliefs led to more positive attitudes; null hypothesis rejected.</w:t>
      </w: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Table 9: Differences in attitudes based on access to healthcare services</w:t>
      </w:r>
    </w:p>
    <w:tbl>
      <w:tblPr>
        <w:tblW w:w="87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57"/>
        <w:gridCol w:w="1013"/>
        <w:gridCol w:w="1660"/>
        <w:gridCol w:w="4195"/>
      </w:tblGrid>
      <w:tr w:rsidR="005D320E">
        <w:trPr>
          <w:trHeight w:val="377"/>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Group</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Mean</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Access level</w:t>
            </w:r>
          </w:p>
        </w:tc>
      </w:tr>
      <w:tr w:rsidR="005D320E">
        <w:trPr>
          <w:trHeight w:val="36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137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56.09</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Good access</w:t>
            </w:r>
          </w:p>
        </w:tc>
      </w:tr>
      <w:tr w:rsidR="005D320E">
        <w:trPr>
          <w:trHeight w:val="36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B</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96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53.22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Moderate access</w:t>
            </w:r>
          </w:p>
        </w:tc>
      </w:tr>
      <w:tr w:rsidR="005D320E">
        <w:trPr>
          <w:trHeight w:val="377"/>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C</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67</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50.88</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Poor access</w:t>
            </w:r>
          </w:p>
        </w:tc>
      </w:tr>
    </w:tbl>
    <w:p w:rsidR="005D320E" w:rsidRDefault="005D320E">
      <w:pPr>
        <w:pStyle w:val="NormalWeb"/>
        <w:spacing w:before="0" w:beforeAutospacing="0" w:after="0" w:afterAutospacing="0" w:line="480" w:lineRule="auto"/>
        <w:jc w:val="both"/>
        <w:rPr>
          <w:rStyle w:val="Strong"/>
          <w:rFonts w:ascii="Garamond" w:hAnsi="Garamond"/>
        </w:rPr>
      </w:pP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Interpretation:</w:t>
      </w:r>
      <w:r>
        <w:rPr>
          <w:rFonts w:ascii="Garamond" w:hAnsi="Garamond"/>
        </w:rPr>
        <w:t xml:space="preserve"> Better access predicted more positive attitudes; null hypothesis rejected.</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Multiple Regression Analysis</w:t>
      </w:r>
    </w:p>
    <w:tbl>
      <w:tblPr>
        <w:tblW w:w="932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321"/>
        <w:gridCol w:w="782"/>
        <w:gridCol w:w="782"/>
        <w:gridCol w:w="1435"/>
      </w:tblGrid>
      <w:tr w:rsidR="005D320E">
        <w:trPr>
          <w:trHeight w:val="530"/>
          <w:tblHeader/>
          <w:tblCellSpacing w:w="15" w:type="dxa"/>
        </w:trPr>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lastRenderedPageBreak/>
              <w:t>Predictor</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β</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t</w:t>
            </w:r>
          </w:p>
        </w:tc>
        <w:tc>
          <w:tcPr>
            <w:tcW w:w="0" w:type="auto"/>
            <w:vAlign w:val="center"/>
            <w:hideMark/>
          </w:tcPr>
          <w:p w:rsidR="005D320E" w:rsidRDefault="00DA6448">
            <w:pPr>
              <w:spacing w:after="0" w:line="480" w:lineRule="auto"/>
              <w:jc w:val="both"/>
              <w:rPr>
                <w:rFonts w:ascii="Garamond" w:hAnsi="Garamond"/>
                <w:b/>
                <w:bCs/>
                <w:sz w:val="24"/>
                <w:szCs w:val="24"/>
              </w:rPr>
            </w:pPr>
            <w:r>
              <w:rPr>
                <w:rFonts w:ascii="Garamond" w:hAnsi="Garamond"/>
                <w:b/>
                <w:bCs/>
                <w:sz w:val="24"/>
                <w:szCs w:val="24"/>
              </w:rPr>
              <w:t>p-value</w:t>
            </w:r>
          </w:p>
        </w:tc>
      </w:tr>
      <w:tr w:rsidR="005D320E">
        <w:trPr>
          <w:trHeight w:val="51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Maternal education</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0.31</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3.95</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.001</w:t>
            </w:r>
          </w:p>
        </w:tc>
      </w:tr>
      <w:tr w:rsidR="005D320E">
        <w:trPr>
          <w:trHeight w:val="53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 xml:space="preserve">Knowledge </w:t>
            </w:r>
            <w:r>
              <w:rPr>
                <w:rFonts w:ascii="Garamond" w:hAnsi="Garamond"/>
                <w:sz w:val="24"/>
                <w:szCs w:val="24"/>
              </w:rPr>
              <w:t>of infant mortality causes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0.24</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3.10</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.002</w:t>
            </w:r>
          </w:p>
        </w:tc>
      </w:tr>
      <w:tr w:rsidR="005D320E">
        <w:trPr>
          <w:trHeight w:val="519"/>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Cultural beliefs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0.18</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2.36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.019</w:t>
            </w:r>
          </w:p>
        </w:tc>
      </w:tr>
      <w:tr w:rsidR="005D320E">
        <w:trPr>
          <w:trHeight w:val="530"/>
          <w:tblCellSpacing w:w="15" w:type="dxa"/>
        </w:trPr>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Access to healthcare services</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0.36</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4.62</w:t>
            </w:r>
          </w:p>
        </w:tc>
        <w:tc>
          <w:tcPr>
            <w:tcW w:w="0" w:type="auto"/>
            <w:vAlign w:val="center"/>
            <w:hideMark/>
          </w:tcPr>
          <w:p w:rsidR="005D320E" w:rsidRDefault="00DA6448">
            <w:pPr>
              <w:spacing w:after="0" w:line="480" w:lineRule="auto"/>
              <w:jc w:val="both"/>
              <w:rPr>
                <w:rFonts w:ascii="Garamond" w:hAnsi="Garamond"/>
                <w:sz w:val="24"/>
                <w:szCs w:val="24"/>
              </w:rPr>
            </w:pPr>
            <w:r>
              <w:rPr>
                <w:rFonts w:ascii="Garamond" w:hAnsi="Garamond"/>
                <w:sz w:val="24"/>
                <w:szCs w:val="24"/>
              </w:rPr>
              <w:t>.000</w:t>
            </w:r>
          </w:p>
        </w:tc>
      </w:tr>
    </w:tbl>
    <w:p w:rsidR="005D320E" w:rsidRDefault="005D320E">
      <w:pPr>
        <w:pStyle w:val="NormalWeb"/>
        <w:spacing w:before="0" w:beforeAutospacing="0" w:after="0" w:afterAutospacing="0" w:line="480" w:lineRule="auto"/>
        <w:jc w:val="both"/>
        <w:rPr>
          <w:rStyle w:val="Strong"/>
          <w:rFonts w:ascii="Garamond" w:hAnsi="Garamond"/>
        </w:rPr>
      </w:pPr>
    </w:p>
    <w:p w:rsidR="005D320E" w:rsidRDefault="00DA6448">
      <w:pPr>
        <w:pStyle w:val="NormalWeb"/>
        <w:spacing w:before="0" w:beforeAutospacing="0" w:after="0" w:afterAutospacing="0" w:line="480" w:lineRule="auto"/>
        <w:jc w:val="both"/>
        <w:rPr>
          <w:rFonts w:ascii="Garamond" w:hAnsi="Garamond"/>
        </w:rPr>
      </w:pPr>
      <w:r>
        <w:rPr>
          <w:rStyle w:val="Strong"/>
          <w:rFonts w:ascii="Garamond" w:hAnsi="Garamond"/>
        </w:rPr>
        <w:t>Interpretation:</w:t>
      </w:r>
      <w:r>
        <w:rPr>
          <w:rFonts w:ascii="Garamond" w:hAnsi="Garamond"/>
        </w:rPr>
        <w:t xml:space="preserve"> Access to healthcare and maternal education were the strongest predictors of positive attitudes.</w:t>
      </w:r>
    </w:p>
    <w:p w:rsidR="005D320E" w:rsidRDefault="00DA6448">
      <w:pPr>
        <w:pStyle w:val="Heading3"/>
        <w:spacing w:before="0" w:beforeAutospacing="0" w:after="0" w:afterAutospacing="0" w:line="480" w:lineRule="auto"/>
        <w:jc w:val="both"/>
        <w:rPr>
          <w:rFonts w:ascii="Garamond" w:hAnsi="Garamond"/>
          <w:sz w:val="24"/>
          <w:szCs w:val="24"/>
        </w:rPr>
      </w:pPr>
      <w:r>
        <w:rPr>
          <w:rFonts w:ascii="Garamond" w:hAnsi="Garamond"/>
          <w:sz w:val="24"/>
          <w:szCs w:val="24"/>
        </w:rPr>
        <w:t>Discussion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The </w:t>
      </w:r>
      <w:r>
        <w:rPr>
          <w:rFonts w:ascii="Garamond" w:hAnsi="Garamond"/>
        </w:rPr>
        <w:t>findings of this study revealed that predisposing factors maternal education, knowledge of infant mortality causes, cultural beliefs, and access to healthcare services significantly influence pregnant women’s attitudes towards infant mortality prevention i</w:t>
      </w:r>
      <w:r>
        <w:rPr>
          <w:rFonts w:ascii="Garamond" w:hAnsi="Garamond"/>
        </w:rPr>
        <w:t>n Ilorin metropolis. Women with higher educational attainment were more likely to demonstrate positive attitudes towards preventive practices, including regular antenatal care attendance, facility-based delivery, adherence to immunisation schedules, and pr</w:t>
      </w:r>
      <w:r>
        <w:rPr>
          <w:rFonts w:ascii="Garamond" w:hAnsi="Garamond"/>
        </w:rPr>
        <w:t xml:space="preserve">ompt treatment of childhood illnesses. This finding is consistent with Babalola and Fatusi (2020), who reported that maternal education enhances understanding of health information, facilitates informed decision-making, and promotes adoption of behaviours </w:t>
      </w:r>
      <w:r>
        <w:rPr>
          <w:rFonts w:ascii="Garamond" w:hAnsi="Garamond"/>
        </w:rPr>
        <w:t>that reduce infant mortality risks. Educated mothers are better equipped to interpret health messages, recognize early warning signs of infant illness, and seek timely care, thereby contributing to improved infant survival.</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Another significant finding was </w:t>
      </w:r>
      <w:r>
        <w:rPr>
          <w:rFonts w:ascii="Garamond" w:hAnsi="Garamond"/>
        </w:rPr>
        <w:t>that pregnant women with higher knowledge of the causes of infant mortality exhibited more positive attitudes towards preventive measures. This underscores the crucial role of health education in shaping maternal attitudes and behaviours. Adequate knowledg</w:t>
      </w:r>
      <w:r>
        <w:rPr>
          <w:rFonts w:ascii="Garamond" w:hAnsi="Garamond"/>
        </w:rPr>
        <w:t xml:space="preserve">e </w:t>
      </w:r>
      <w:r>
        <w:rPr>
          <w:rFonts w:ascii="Garamond" w:hAnsi="Garamond"/>
        </w:rPr>
        <w:lastRenderedPageBreak/>
        <w:t>allows women to identify risk factors such as poor maternal nutrition, unsafe delivery practices, and delayed immunisation, and to take proactive steps to mitigate these risks. Health education delivered during antenatal visits, community outreach, and p</w:t>
      </w:r>
      <w:r>
        <w:rPr>
          <w:rFonts w:ascii="Garamond" w:hAnsi="Garamond"/>
        </w:rPr>
        <w:t>ublic health campaigns is therefore essential in empowering women to engage effectively in infant mortality prevention (Adewuyi et al., 2021).</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Cultural beliefs were also found to significantly influence attitudes towards infant mortality prevention. Women </w:t>
      </w:r>
      <w:r>
        <w:rPr>
          <w:rFonts w:ascii="Garamond" w:hAnsi="Garamond"/>
        </w:rPr>
        <w:t>who held health-supportive cultural beliefs such as valuing modern healthcare services and facility-based deliveries demonstrated more favourable attitudes. Conversely, restrictive traditional beliefs, including reliance on home remedies or cultural ritual</w:t>
      </w:r>
      <w:r>
        <w:rPr>
          <w:rFonts w:ascii="Garamond" w:hAnsi="Garamond"/>
        </w:rPr>
        <w:t>s, were associated with poorer preventive attitudes. This finding aligns with Adedini et al. (2023), who highlighted that sociocultural norms strongly shape maternal health-seeking behaviours and can either facilitate or hinder engagement with preventive h</w:t>
      </w:r>
      <w:r>
        <w:rPr>
          <w:rFonts w:ascii="Garamond" w:hAnsi="Garamond"/>
        </w:rPr>
        <w:t>ealthcare. The support of family and community members plays a pivotal role in reinforcing positive health behaviours and mitigating culturally-driven barriers to care.</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Access to healthcare services emerged as the strongest predictor of positive attitudes </w:t>
      </w:r>
      <w:r>
        <w:rPr>
          <w:rFonts w:ascii="Garamond" w:hAnsi="Garamond"/>
        </w:rPr>
        <w:t>towards infant mortality prevention. Pregnant women with good access to clinics, skilled personnel, and affordable services demonstrated the highest engagement with preventive practices. Limited access due to distance, financial constraints, or perceived l</w:t>
      </w:r>
      <w:r>
        <w:rPr>
          <w:rFonts w:ascii="Garamond" w:hAnsi="Garamond"/>
        </w:rPr>
        <w:t>ow-quality services may discourage women from attending antenatal appointments, delivering in health facilities, or adhering to immunisation schedules. These findings support the observations of the National Population Commission (2023), which noted that s</w:t>
      </w:r>
      <w:r>
        <w:rPr>
          <w:rFonts w:ascii="Garamond" w:hAnsi="Garamond"/>
        </w:rPr>
        <w:t>tructural barriers significantly influence maternal utilisation of healthcare services. Strengthening healthcare infrastructure and improving service accessibility are therefore critical to fostering positive attitudes and promoting preventive behaviours.</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 xml:space="preserve">The study further revealed that maternal attitudes towards infant mortality prevention are shaped by the interaction of multiple factors rather than by a single determinant. Maternal education and </w:t>
      </w:r>
      <w:r>
        <w:rPr>
          <w:rFonts w:ascii="Garamond" w:hAnsi="Garamond"/>
        </w:rPr>
        <w:lastRenderedPageBreak/>
        <w:t>knowledge empower women cognitively, cultural beliefs shape</w:t>
      </w:r>
      <w:r>
        <w:rPr>
          <w:rFonts w:ascii="Garamond" w:hAnsi="Garamond"/>
        </w:rPr>
        <w:t xml:space="preserve"> social acceptability, and access to healthcare enables the practical application of preventive behaviours. When these factors converge positively, women are more likely to adopt consistent preventive practices, which in turn reduce the risk of infant deat</w:t>
      </w:r>
      <w:r>
        <w:rPr>
          <w:rFonts w:ascii="Garamond" w:hAnsi="Garamond"/>
        </w:rPr>
        <w:t>hs. This finding supports the socio-ecological perspective, which posits that individual behaviours are influenced by a combination of personal, social, and structural determinants (Bronfenbrenner, 1979).</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Collectively, these findings have important implica</w:t>
      </w:r>
      <w:r>
        <w:rPr>
          <w:rFonts w:ascii="Garamond" w:hAnsi="Garamond"/>
        </w:rPr>
        <w:t>tions for policy and practice. Health education programs targeting pregnant women should be intensified during antenatal clinics, with emphasis on the causes, risk factors, and prevention strategies for infant mortality. Community-based interventions shoul</w:t>
      </w:r>
      <w:r>
        <w:rPr>
          <w:rFonts w:ascii="Garamond" w:hAnsi="Garamond"/>
        </w:rPr>
        <w:t>d be culturally sensitive and engage key influencers such as family members, traditional leaders, and healthcare providers to encourage supportive beliefs and practices. Finally, improving accessibility to affordable and high-quality maternal healthcare se</w:t>
      </w:r>
      <w:r>
        <w:rPr>
          <w:rFonts w:ascii="Garamond" w:hAnsi="Garamond"/>
        </w:rPr>
        <w:t>rvices is essential to reinforce positive attitudes and promote the translation of knowledge into preventive action.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In conclusion, this study confirms that predisposing factors significantly influence pregnant women’s attitudes towards infant mortality pr</w:t>
      </w:r>
      <w:r>
        <w:rPr>
          <w:rFonts w:ascii="Garamond" w:hAnsi="Garamond"/>
        </w:rPr>
        <w:t>evention in Ilorin metropolis. Addressing maternal education, health knowledge, cultural norms, and healthcare access in an integrated manner is vital for promoting preventive behaviours and reducing infant mortality. These findings provide a framework for</w:t>
      </w:r>
      <w:r>
        <w:rPr>
          <w:rFonts w:ascii="Garamond" w:hAnsi="Garamond"/>
        </w:rPr>
        <w:t xml:space="preserve"> designing multifaceted interventions that target the cognitive, cultural, and structural determinants of maternal attitudes, ultimately contributing to improved child health outcomes.</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Conclusion</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Predisposing factors maternal education, knowledge of infant</w:t>
      </w:r>
      <w:r>
        <w:rPr>
          <w:rFonts w:ascii="Garamond" w:hAnsi="Garamond"/>
        </w:rPr>
        <w:t xml:space="preserve"> mortality causes, cultural beliefs, and access to healthcare significantly influence pregnant women’s attitudes towards infant mortality prevention. Promoting maternal education, health knowledge, culturally sensitive interventions, and improving healthca</w:t>
      </w:r>
      <w:r>
        <w:rPr>
          <w:rFonts w:ascii="Garamond" w:hAnsi="Garamond"/>
        </w:rPr>
        <w:t>re access are key strategies to reduce infant mortality in Ilorin metropolis.</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lastRenderedPageBreak/>
        <w:t>Recommendations</w:t>
      </w:r>
    </w:p>
    <w:p w:rsidR="005D320E" w:rsidRDefault="00DA6448">
      <w:pPr>
        <w:pStyle w:val="NormalWeb"/>
        <w:numPr>
          <w:ilvl w:val="0"/>
          <w:numId w:val="10"/>
        </w:numPr>
        <w:spacing w:before="0" w:beforeAutospacing="0" w:after="0" w:afterAutospacing="0" w:line="480" w:lineRule="auto"/>
        <w:jc w:val="both"/>
        <w:rPr>
          <w:rFonts w:ascii="Garamond" w:hAnsi="Garamond"/>
        </w:rPr>
      </w:pPr>
      <w:r>
        <w:rPr>
          <w:rFonts w:ascii="Garamond" w:hAnsi="Garamond"/>
        </w:rPr>
        <w:t>Health workers should intensify health education programs for pregnant women during antenatal clinics to enhance knowledge of infant mortality prevention.</w:t>
      </w:r>
    </w:p>
    <w:p w:rsidR="005D320E" w:rsidRDefault="00DA6448">
      <w:pPr>
        <w:pStyle w:val="NormalWeb"/>
        <w:numPr>
          <w:ilvl w:val="0"/>
          <w:numId w:val="10"/>
        </w:numPr>
        <w:spacing w:before="0" w:beforeAutospacing="0" w:after="0" w:afterAutospacing="0" w:line="480" w:lineRule="auto"/>
        <w:jc w:val="both"/>
        <w:rPr>
          <w:rFonts w:ascii="Garamond" w:hAnsi="Garamond"/>
        </w:rPr>
      </w:pPr>
      <w:r>
        <w:rPr>
          <w:rFonts w:hAnsi="Garamond"/>
        </w:rPr>
        <w:t xml:space="preserve">Health </w:t>
      </w:r>
      <w:r>
        <w:rPr>
          <w:rFonts w:hAnsi="Garamond"/>
        </w:rPr>
        <w:t>workers should promote culturally sensitive community interventions that address harmful beliefs and practices affecting maternal and child health.</w:t>
      </w:r>
    </w:p>
    <w:p w:rsidR="005D320E" w:rsidRDefault="00DA6448">
      <w:pPr>
        <w:pStyle w:val="NormalWeb"/>
        <w:numPr>
          <w:ilvl w:val="0"/>
          <w:numId w:val="10"/>
        </w:numPr>
        <w:spacing w:before="0" w:beforeAutospacing="0" w:after="0" w:afterAutospacing="0" w:line="480" w:lineRule="auto"/>
        <w:jc w:val="both"/>
        <w:rPr>
          <w:rFonts w:ascii="Garamond" w:hAnsi="Garamond"/>
        </w:rPr>
      </w:pPr>
      <w:r>
        <w:rPr>
          <w:rFonts w:hAnsi="Garamond"/>
        </w:rPr>
        <w:t>Health workers should support improved access to affordable and quality maternal healthcare services for all</w:t>
      </w:r>
      <w:r>
        <w:rPr>
          <w:rFonts w:hAnsi="Garamond"/>
        </w:rPr>
        <w:t xml:space="preserve"> pregnant women.</w:t>
      </w:r>
    </w:p>
    <w:p w:rsidR="005D320E" w:rsidRDefault="00DA6448">
      <w:pPr>
        <w:pStyle w:val="NormalWeb"/>
        <w:numPr>
          <w:ilvl w:val="0"/>
          <w:numId w:val="10"/>
        </w:numPr>
        <w:spacing w:before="0" w:beforeAutospacing="0" w:after="0" w:afterAutospacing="0" w:line="480" w:lineRule="auto"/>
        <w:jc w:val="both"/>
        <w:rPr>
          <w:rFonts w:ascii="Garamond" w:hAnsi="Garamond"/>
        </w:rPr>
      </w:pPr>
      <w:r>
        <w:rPr>
          <w:rFonts w:hAnsi="Garamond"/>
        </w:rPr>
        <w:t>Health workers should advocate for policies that prioritize female education as a long-term strategy to reduce infant mortality.</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Conflict of Interest</w:t>
      </w:r>
    </w:p>
    <w:p w:rsidR="005D320E" w:rsidRDefault="00DA6448">
      <w:pPr>
        <w:pStyle w:val="NormalWeb"/>
        <w:spacing w:before="0" w:beforeAutospacing="0" w:after="0" w:afterAutospacing="0" w:line="480" w:lineRule="auto"/>
        <w:jc w:val="both"/>
        <w:rPr>
          <w:rFonts w:ascii="Garamond" w:hAnsi="Garamond"/>
        </w:rPr>
      </w:pPr>
      <w:r>
        <w:rPr>
          <w:rFonts w:ascii="Garamond" w:hAnsi="Garamond"/>
        </w:rPr>
        <w:t>None declared.</w:t>
      </w:r>
    </w:p>
    <w:p w:rsidR="005D320E" w:rsidRDefault="00DA6448">
      <w:pPr>
        <w:pStyle w:val="Heading2"/>
        <w:spacing w:before="0" w:beforeAutospacing="0" w:after="0" w:afterAutospacing="0" w:line="480" w:lineRule="auto"/>
        <w:jc w:val="both"/>
        <w:rPr>
          <w:rFonts w:ascii="Garamond" w:hAnsi="Garamond"/>
          <w:sz w:val="24"/>
          <w:szCs w:val="24"/>
        </w:rPr>
      </w:pPr>
      <w:r>
        <w:rPr>
          <w:rFonts w:ascii="Garamond" w:hAnsi="Garamond"/>
          <w:sz w:val="24"/>
          <w:szCs w:val="24"/>
        </w:rPr>
        <w:t>References</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 xml:space="preserve">World Health Organization. Levels and trends in child </w:t>
      </w:r>
      <w:r>
        <w:rPr>
          <w:rFonts w:ascii="Garamond" w:hAnsi="Garamond"/>
        </w:rPr>
        <w:t>mortality. Geneva: WHO; 2023.</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UNICEF. Maternal and newborn health statistics: Nigeria. New York: UNICEF; 2022.</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National Population Commission (NPC) [Nigeria] &amp; ICF. Nigeria Demographic and Health Survey 2023. Abuja, Nigeria; 2024.</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Babalola S, Fatusi A. Det</w:t>
      </w:r>
      <w:r>
        <w:rPr>
          <w:rFonts w:ascii="Garamond" w:hAnsi="Garamond"/>
        </w:rPr>
        <w:t>erminants of maternal health-seeking behaviour in sub-Saharan Africa. Afr J Reprod Health. 2020;24(3):123-134.</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Adewuyi EO, Auta A, Khanal V. Factors associated with antenatal care utilization in Nigeria. Int J Public Health. 2021;66:1604123.</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Okonofua F, Nt</w:t>
      </w:r>
      <w:r>
        <w:rPr>
          <w:rFonts w:ascii="Garamond" w:hAnsi="Garamond"/>
        </w:rPr>
        <w:t>oimo LFC, Ogungbangbe J. Sociocultural determinants of maternal health service utilization in Nigeria. BMC Pregnancy Childbirth. 2022;22:381.</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Adedini SA, Odimegwu CO, Bamiwuye SO. Cultural beliefs and maternal health behaviour in Nigeria. African Populatio</w:t>
      </w:r>
      <w:r>
        <w:rPr>
          <w:rFonts w:ascii="Garamond" w:hAnsi="Garamond"/>
        </w:rPr>
        <w:t>n Studies. 2023;37(1):5592-5604.</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lastRenderedPageBreak/>
        <w:t>World Bank. Improving maternal and child health outcomes in Nigeria. Washington DC; 2024.</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Afolayan JA, Ogunwale A. Health system accessibility and maternal outcomes in urban Nigeria. Afr Health Sci. 2021;21(4):1891-1899.</w:t>
      </w:r>
    </w:p>
    <w:p w:rsidR="005D320E" w:rsidRDefault="00DA6448">
      <w:pPr>
        <w:pStyle w:val="NormalWeb"/>
        <w:numPr>
          <w:ilvl w:val="0"/>
          <w:numId w:val="11"/>
        </w:numPr>
        <w:spacing w:before="0" w:beforeAutospacing="0" w:after="0" w:afterAutospacing="0" w:line="480" w:lineRule="auto"/>
        <w:jc w:val="both"/>
        <w:rPr>
          <w:rFonts w:ascii="Garamond" w:hAnsi="Garamond"/>
        </w:rPr>
      </w:pPr>
      <w:r>
        <w:rPr>
          <w:rFonts w:ascii="Garamond" w:hAnsi="Garamond"/>
        </w:rPr>
        <w:t>Un</w:t>
      </w:r>
      <w:r>
        <w:rPr>
          <w:rFonts w:ascii="Garamond" w:hAnsi="Garamond"/>
        </w:rPr>
        <w:t>ited Nations. Sustainable Development Goal 3: Progress report. New York: UN; 2025.</w:t>
      </w:r>
    </w:p>
    <w:p w:rsidR="005D320E" w:rsidRDefault="005D320E">
      <w:pPr>
        <w:spacing w:after="0" w:line="480" w:lineRule="auto"/>
        <w:jc w:val="both"/>
        <w:rPr>
          <w:rFonts w:ascii="Garamond" w:hAnsi="Garamond"/>
          <w:sz w:val="24"/>
          <w:szCs w:val="24"/>
        </w:rPr>
      </w:pPr>
    </w:p>
    <w:sectPr w:rsidR="005D32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2BC463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929CDB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1F569F3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5F56F9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2938D1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439C36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multilevel"/>
    <w:tmpl w:val="84D080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7"/>
    <w:multiLevelType w:val="multilevel"/>
    <w:tmpl w:val="49EE856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nsid w:val="00000008"/>
    <w:multiLevelType w:val="multilevel"/>
    <w:tmpl w:val="EADEFAF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9"/>
    <w:multiLevelType w:val="multilevel"/>
    <w:tmpl w:val="7A48A7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multilevel"/>
    <w:tmpl w:val="4B5688D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3"/>
  </w:num>
  <w:num w:numId="2">
    <w:abstractNumId w:val="4"/>
  </w:num>
  <w:num w:numId="3">
    <w:abstractNumId w:val="2"/>
  </w:num>
  <w:num w:numId="4">
    <w:abstractNumId w:val="5"/>
  </w:num>
  <w:num w:numId="5">
    <w:abstractNumId w:val="1"/>
  </w:num>
  <w:num w:numId="6">
    <w:abstractNumId w:val="7"/>
  </w:num>
  <w:num w:numId="7">
    <w:abstractNumId w:val="10"/>
  </w:num>
  <w:num w:numId="8">
    <w:abstractNumId w:val="0"/>
  </w:num>
  <w:num w:numId="9">
    <w:abstractNumId w:val="9"/>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0E"/>
    <w:rsid w:val="005D320E"/>
    <w:rsid w:val="00DA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3055</Words>
  <Characters>17418</Characters>
  <Application>Microsoft Office Word</Application>
  <DocSecurity>0</DocSecurity>
  <Lines>145</Lines>
  <Paragraphs>40</Paragraphs>
  <ScaleCrop>false</ScaleCrop>
  <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Ifeoluwa</dc:creator>
  <cp:lastModifiedBy>qwert</cp:lastModifiedBy>
  <cp:revision>3</cp:revision>
  <dcterms:created xsi:type="dcterms:W3CDTF">2026-01-28T08:01:00Z</dcterms:created>
  <dcterms:modified xsi:type="dcterms:W3CDTF">2026-02-20T13:54:00Z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55aa9ad6-5c32-47aa-b02d-2eca56b52b82</vt:lpwstr>
  </property>
  <property fmtid="{D5CDD505-2E9C-101B-9397-08002B2CF9AE}" pid="3" name="ICV">
    <vt:lpwstr>ee728d95a02a481d9dcc1523d6ede343</vt:lpwstr>
  </property>
</Properties>
</file>