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04" w:rsidRDefault="00666DD7" w:rsidP="00647719">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Land Use</w:t>
      </w:r>
      <w:r w:rsidR="00B36304" w:rsidRPr="00927F64">
        <w:rPr>
          <w:rFonts w:ascii="Times New Roman" w:hAnsi="Times New Roman" w:cs="Times New Roman"/>
          <w:b/>
          <w:color w:val="000000" w:themeColor="text1"/>
        </w:rPr>
        <w:t xml:space="preserve"> types Driven Variations in Soil </w:t>
      </w:r>
      <w:r w:rsidR="00C632CF">
        <w:rPr>
          <w:rFonts w:ascii="Times New Roman" w:hAnsi="Times New Roman" w:cs="Times New Roman"/>
          <w:b/>
          <w:color w:val="000000" w:themeColor="text1"/>
        </w:rPr>
        <w:t xml:space="preserve">Properties of </w:t>
      </w:r>
      <w:r w:rsidR="00D41D7C">
        <w:rPr>
          <w:rFonts w:ascii="Times New Roman" w:hAnsi="Times New Roman" w:cs="Times New Roman"/>
        </w:rPr>
        <w:t>Kaseny</w:t>
      </w:r>
      <w:r w:rsidR="00C632CF" w:rsidRPr="00647719">
        <w:rPr>
          <w:rFonts w:ascii="Times New Roman" w:hAnsi="Times New Roman" w:cs="Times New Roman"/>
        </w:rPr>
        <w:t xml:space="preserve"> </w:t>
      </w:r>
      <w:r w:rsidR="00C632CF">
        <w:rPr>
          <w:rFonts w:ascii="Times New Roman" w:hAnsi="Times New Roman" w:cs="Times New Roman"/>
          <w:b/>
          <w:color w:val="000000" w:themeColor="text1"/>
        </w:rPr>
        <w:t>watershed, Eas</w:t>
      </w:r>
      <w:r w:rsidR="00B36304" w:rsidRPr="00927F64">
        <w:rPr>
          <w:rFonts w:ascii="Times New Roman" w:hAnsi="Times New Roman" w:cs="Times New Roman"/>
          <w:b/>
          <w:color w:val="000000" w:themeColor="text1"/>
        </w:rPr>
        <w:t>tern Ethiopia</w:t>
      </w:r>
    </w:p>
    <w:p w:rsidR="008C73F8" w:rsidRPr="008C73F8" w:rsidRDefault="008C73F8" w:rsidP="008C73F8">
      <w:pPr>
        <w:spacing w:after="0" w:line="360" w:lineRule="auto"/>
        <w:jc w:val="both"/>
        <w:rPr>
          <w:rFonts w:ascii="Times New Roman" w:eastAsia="Times New Roman" w:hAnsi="Times New Roman" w:cs="Times New Roman"/>
          <w:b/>
          <w:i/>
          <w:color w:val="000000" w:themeColor="text1"/>
        </w:rPr>
      </w:pPr>
      <w:r>
        <w:rPr>
          <w:rFonts w:ascii="Times New Roman" w:eastAsia="Times New Roman" w:hAnsi="Times New Roman" w:cs="Times New Roman"/>
          <w:b/>
          <w:color w:val="000000" w:themeColor="text1"/>
        </w:rPr>
        <w:t>Abstract</w:t>
      </w:r>
      <w:r w:rsidRPr="008C73F8">
        <w:rPr>
          <w:rFonts w:ascii="Times New Roman" w:eastAsia="Times New Roman" w:hAnsi="Times New Roman" w:cs="Times New Roman"/>
        </w:rPr>
        <w:br/>
      </w:r>
      <w:r w:rsidRPr="00D111C4">
        <w:rPr>
          <w:rFonts w:ascii="Times New Roman" w:eastAsia="Times New Roman" w:hAnsi="Times New Roman" w:cs="Times New Roman"/>
          <w:b/>
          <w:bCs/>
          <w:i/>
        </w:rPr>
        <w:t>Purpose:</w:t>
      </w:r>
      <w:r w:rsidRPr="008C73F8">
        <w:rPr>
          <w:rFonts w:ascii="Times New Roman" w:eastAsia="Times New Roman" w:hAnsi="Times New Roman" w:cs="Times New Roman"/>
          <w:i/>
        </w:rPr>
        <w:t xml:space="preserve"> Assessing soil responses to human activities is critical for sustainable land management and understanding the ecological consequences of land use. This study evaluates the impact of different land-use types on soil physicochemical properties in the Kasen</w:t>
      </w:r>
      <w:r w:rsidR="00D41D7C">
        <w:rPr>
          <w:rFonts w:ascii="Times New Roman" w:eastAsia="Times New Roman" w:hAnsi="Times New Roman" w:cs="Times New Roman"/>
          <w:i/>
        </w:rPr>
        <w:t>y</w:t>
      </w:r>
      <w:r w:rsidRPr="008C73F8">
        <w:rPr>
          <w:rFonts w:ascii="Times New Roman" w:eastAsia="Times New Roman" w:hAnsi="Times New Roman" w:cs="Times New Roman"/>
          <w:i/>
        </w:rPr>
        <w:t xml:space="preserve"> Watershed, eastern Ethiopia, providing localized insights for agricultural and conservation planning.</w:t>
      </w:r>
    </w:p>
    <w:p w:rsidR="008C73F8" w:rsidRPr="008C73F8" w:rsidRDefault="008C73F8" w:rsidP="008C73F8">
      <w:pPr>
        <w:spacing w:after="0" w:line="360" w:lineRule="auto"/>
        <w:jc w:val="both"/>
        <w:rPr>
          <w:rFonts w:ascii="Times New Roman" w:eastAsia="Times New Roman" w:hAnsi="Times New Roman" w:cs="Times New Roman"/>
          <w:i/>
        </w:rPr>
      </w:pPr>
      <w:r w:rsidRPr="00D111C4">
        <w:rPr>
          <w:rFonts w:ascii="Times New Roman" w:eastAsia="Times New Roman" w:hAnsi="Times New Roman" w:cs="Times New Roman"/>
          <w:b/>
          <w:bCs/>
          <w:i/>
        </w:rPr>
        <w:t>Methods:</w:t>
      </w:r>
      <w:r w:rsidRPr="008C73F8">
        <w:rPr>
          <w:rFonts w:ascii="Times New Roman" w:eastAsia="Times New Roman" w:hAnsi="Times New Roman" w:cs="Times New Roman"/>
          <w:i/>
        </w:rPr>
        <w:t xml:space="preserve"> Soil samples were collected from natural forests, plantations, cultivated lands, and grazing lands at depths of 0–20 cm and 20–40 cm, with three replications per land use type. A total of 24 disturbed samples were analyzed for chemical properties and 24 undisturbed samples for physical properties, following FAO standard procedures. Data were analyzed using two-way ANOVA, Pearson correlation, and LSD tests at P &lt; 0.05 in SAS 9.0.</w:t>
      </w:r>
    </w:p>
    <w:p w:rsidR="008C73F8" w:rsidRPr="008C73F8" w:rsidRDefault="008C73F8" w:rsidP="008C73F8">
      <w:pPr>
        <w:spacing w:after="0" w:line="360" w:lineRule="auto"/>
        <w:jc w:val="both"/>
        <w:rPr>
          <w:rFonts w:ascii="Times New Roman" w:eastAsia="Times New Roman" w:hAnsi="Times New Roman" w:cs="Times New Roman"/>
          <w:i/>
        </w:rPr>
      </w:pPr>
      <w:r w:rsidRPr="00D111C4">
        <w:rPr>
          <w:rFonts w:ascii="Times New Roman" w:eastAsia="Times New Roman" w:hAnsi="Times New Roman" w:cs="Times New Roman"/>
          <w:b/>
          <w:bCs/>
          <w:i/>
        </w:rPr>
        <w:t>Results:</w:t>
      </w:r>
      <w:r w:rsidRPr="008C73F8">
        <w:rPr>
          <w:rFonts w:ascii="Times New Roman" w:eastAsia="Times New Roman" w:hAnsi="Times New Roman" w:cs="Times New Roman"/>
          <w:i/>
        </w:rPr>
        <w:t xml:space="preserve"> Land use and soil depth significantly affected soil properties. Sand content was highest in cultivated soils (23.10%) and lowest in natural forests (15.47%), while clay content was highest in forests (56.80%) and lowest in cultivated lands (44.69%). Bulk density was greater in cultivated (1.50 g cm⁻³) and grazing lands (1.49 g cm⁻³) than in forests (1.11 g cm⁻³). Soil organic carbon (SOC) and total nitrogen (TN) were highest in forests (5.03% and 0.37%, respectively) and lowest in cultivated (0.87% and 0.12%) and grazing lands (0.83% and 0.16%). SOC and TN decreased with depth. The C</w:t>
      </w:r>
      <w:proofErr w:type="gramStart"/>
      <w:r w:rsidRPr="008C73F8">
        <w:rPr>
          <w:rFonts w:ascii="Times New Roman" w:eastAsia="Times New Roman" w:hAnsi="Times New Roman" w:cs="Times New Roman"/>
          <w:i/>
        </w:rPr>
        <w:t>:N</w:t>
      </w:r>
      <w:proofErr w:type="gramEnd"/>
      <w:r w:rsidRPr="008C73F8">
        <w:rPr>
          <w:rFonts w:ascii="Times New Roman" w:eastAsia="Times New Roman" w:hAnsi="Times New Roman" w:cs="Times New Roman"/>
          <w:i/>
        </w:rPr>
        <w:t xml:space="preserve"> ratio was highest in forests (15.07) and lowest in cultivated (6.17) and grazing lands (5.14). Available phosphorus, exchangeable bases (Ca²⁺, Mg²⁺, K⁺, Na⁺), and cation exchange capacity were also highest in forests and lowest in plantations and cultivated lands.</w:t>
      </w:r>
    </w:p>
    <w:p w:rsidR="008C73F8" w:rsidRPr="008C73F8" w:rsidRDefault="008C73F8" w:rsidP="008C73F8">
      <w:pPr>
        <w:spacing w:after="0" w:line="360" w:lineRule="auto"/>
        <w:jc w:val="both"/>
        <w:rPr>
          <w:rFonts w:ascii="Times New Roman" w:eastAsia="Times New Roman" w:hAnsi="Times New Roman" w:cs="Times New Roman"/>
          <w:i/>
        </w:rPr>
      </w:pPr>
      <w:r w:rsidRPr="00D111C4">
        <w:rPr>
          <w:rFonts w:ascii="Times New Roman" w:eastAsia="Times New Roman" w:hAnsi="Times New Roman" w:cs="Times New Roman"/>
          <w:b/>
          <w:bCs/>
          <w:i/>
        </w:rPr>
        <w:t>Conclusion:</w:t>
      </w:r>
      <w:r w:rsidRPr="008C73F8">
        <w:rPr>
          <w:rFonts w:ascii="Times New Roman" w:eastAsia="Times New Roman" w:hAnsi="Times New Roman" w:cs="Times New Roman"/>
          <w:i/>
        </w:rPr>
        <w:t xml:space="preserve"> Natural forests maintain superior soil quality due to continuous organic matter inputs and minimal disturbance, whereas cultivated, plantation, and grazing lands suffer degradation from residue removal, nutrient mining, erosion, and trampling. Sustainable practices such as residue retention, integrated fertilization, liming, limiting eucalyptus expansion, and soil conservation measures are recommended to restore soil health and maintain productivity in the Ethiopian highlands</w:t>
      </w:r>
      <w:r w:rsidR="00D111C4">
        <w:rPr>
          <w:rFonts w:ascii="Times New Roman" w:eastAsia="Times New Roman" w:hAnsi="Times New Roman" w:cs="Times New Roman"/>
          <w:i/>
        </w:rPr>
        <w:t>.</w:t>
      </w:r>
    </w:p>
    <w:p w:rsidR="00647719" w:rsidRPr="00647719" w:rsidRDefault="006A03CE" w:rsidP="00647719">
      <w:pPr>
        <w:spacing w:after="0" w:line="360" w:lineRule="auto"/>
        <w:jc w:val="both"/>
        <w:rPr>
          <w:rFonts w:ascii="Times New Roman" w:hAnsi="Times New Roman" w:cs="Times New Roman"/>
          <w:color w:val="000000" w:themeColor="text1"/>
        </w:rPr>
      </w:pPr>
      <w:r w:rsidRPr="00647719">
        <w:rPr>
          <w:rFonts w:ascii="Times New Roman" w:hAnsi="Times New Roman" w:cs="Times New Roman"/>
          <w:b/>
          <w:color w:val="000000" w:themeColor="text1"/>
        </w:rPr>
        <w:t>Key words:</w:t>
      </w:r>
      <w:r w:rsidRPr="00647719">
        <w:rPr>
          <w:rFonts w:ascii="Times New Roman" w:hAnsi="Times New Roman" w:cs="Times New Roman"/>
          <w:color w:val="000000" w:themeColor="text1"/>
        </w:rPr>
        <w:t xml:space="preserve"> </w:t>
      </w:r>
      <w:r w:rsidR="002A6A02" w:rsidRPr="00647719">
        <w:rPr>
          <w:rFonts w:ascii="Times New Roman" w:hAnsi="Times New Roman" w:cs="Times New Roman"/>
          <w:color w:val="000000" w:themeColor="text1"/>
        </w:rPr>
        <w:t>L</w:t>
      </w:r>
      <w:r w:rsidR="00F56166" w:rsidRPr="00647719">
        <w:rPr>
          <w:rFonts w:ascii="Times New Roman" w:hAnsi="Times New Roman" w:cs="Times New Roman"/>
          <w:color w:val="000000" w:themeColor="text1"/>
        </w:rPr>
        <w:t>and use type</w:t>
      </w:r>
      <w:r w:rsidR="00DB2BEA" w:rsidRPr="00647719">
        <w:rPr>
          <w:rFonts w:ascii="Times New Roman" w:hAnsi="Times New Roman" w:cs="Times New Roman"/>
          <w:color w:val="000000" w:themeColor="text1"/>
        </w:rPr>
        <w:t>s,</w:t>
      </w:r>
      <w:r w:rsidR="002A6A02" w:rsidRPr="00647719">
        <w:rPr>
          <w:rFonts w:ascii="Times New Roman" w:hAnsi="Times New Roman" w:cs="Times New Roman"/>
          <w:color w:val="000000" w:themeColor="text1"/>
        </w:rPr>
        <w:t xml:space="preserve"> Soil fertility, Soil degradation, </w:t>
      </w:r>
      <w:r w:rsidR="00C632CF" w:rsidRPr="00647719">
        <w:rPr>
          <w:rFonts w:ascii="Times New Roman" w:hAnsi="Times New Roman" w:cs="Times New Roman"/>
        </w:rPr>
        <w:t>Kas</w:t>
      </w:r>
      <w:r w:rsidR="005D2B43">
        <w:rPr>
          <w:rFonts w:ascii="Times New Roman" w:hAnsi="Times New Roman" w:cs="Times New Roman"/>
        </w:rPr>
        <w:t>eny</w:t>
      </w:r>
      <w:r w:rsidR="00AB50F5">
        <w:rPr>
          <w:rFonts w:ascii="Times New Roman" w:hAnsi="Times New Roman" w:cs="Times New Roman"/>
          <w:color w:val="000000" w:themeColor="text1"/>
        </w:rPr>
        <w:t xml:space="preserve"> Watershed</w:t>
      </w:r>
    </w:p>
    <w:p w:rsidR="007D65FB" w:rsidRPr="00927F64" w:rsidRDefault="007D65FB" w:rsidP="00F8771F">
      <w:pPr>
        <w:pStyle w:val="ListParagraph"/>
        <w:numPr>
          <w:ilvl w:val="0"/>
          <w:numId w:val="7"/>
        </w:numPr>
        <w:spacing w:after="0" w:line="360" w:lineRule="auto"/>
        <w:rPr>
          <w:rFonts w:ascii="Times New Roman" w:eastAsia="Times New Roman" w:hAnsi="Times New Roman" w:cs="Times New Roman"/>
          <w:b/>
          <w:color w:val="000000" w:themeColor="text1"/>
        </w:rPr>
      </w:pPr>
      <w:r w:rsidRPr="00927F64">
        <w:rPr>
          <w:rFonts w:ascii="Times New Roman" w:eastAsia="Times New Roman" w:hAnsi="Times New Roman" w:cs="Times New Roman"/>
          <w:b/>
          <w:color w:val="000000" w:themeColor="text1"/>
        </w:rPr>
        <w:t>INTRODUCTION</w:t>
      </w:r>
      <w:r w:rsidR="001C188D">
        <w:rPr>
          <w:rFonts w:ascii="Times New Roman" w:eastAsia="Times New Roman" w:hAnsi="Times New Roman" w:cs="Times New Roman"/>
          <w:b/>
          <w:color w:val="000000" w:themeColor="text1"/>
        </w:rPr>
        <w:t xml:space="preserve"> </w:t>
      </w:r>
    </w:p>
    <w:p w:rsidR="003B6A9D" w:rsidRPr="003B6A9D" w:rsidRDefault="003B6A9D" w:rsidP="003B6A9D">
      <w:pPr>
        <w:spacing w:after="0" w:line="360" w:lineRule="auto"/>
        <w:jc w:val="both"/>
        <w:rPr>
          <w:rFonts w:ascii="Times New Roman" w:eastAsia="Times New Roman" w:hAnsi="Times New Roman" w:cs="Times New Roman"/>
        </w:rPr>
      </w:pPr>
      <w:r w:rsidRPr="003B6A9D">
        <w:rPr>
          <w:rFonts w:ascii="Times New Roman" w:eastAsia="Times New Roman" w:hAnsi="Times New Roman" w:cs="Times New Roman"/>
        </w:rPr>
        <w:t>Land use refers to the ways humans organize, manage, and utilize land to maintain specific cover types (Ufot et al., 2016). Land use change occurs when one type of land use is converted to another due to human activities influenced by socio-economic and environmental factors (Turner &amp; Meyer, 1994). Soil, as a vital resource for sustainable agriculture, supports all land uses (Mulugeta &amp; Karl, 2010). In Ethiopia, soil degradation is a major environmental and agricultural challenge, threatening both food security and productivity (</w:t>
      </w:r>
      <w:proofErr w:type="spellStart"/>
      <w:r w:rsidRPr="003B6A9D">
        <w:rPr>
          <w:rFonts w:ascii="Times New Roman" w:eastAsia="Times New Roman" w:hAnsi="Times New Roman" w:cs="Times New Roman"/>
        </w:rPr>
        <w:t>Agegnehu</w:t>
      </w:r>
      <w:proofErr w:type="spellEnd"/>
      <w:r w:rsidRPr="003B6A9D">
        <w:rPr>
          <w:rFonts w:ascii="Times New Roman" w:eastAsia="Times New Roman" w:hAnsi="Times New Roman" w:cs="Times New Roman"/>
        </w:rPr>
        <w:t xml:space="preserve"> et al., 2013; </w:t>
      </w:r>
      <w:proofErr w:type="spellStart"/>
      <w:r w:rsidRPr="003B6A9D">
        <w:rPr>
          <w:rFonts w:ascii="Times New Roman" w:eastAsia="Times New Roman" w:hAnsi="Times New Roman" w:cs="Times New Roman"/>
        </w:rPr>
        <w:t>Tesfahunegn</w:t>
      </w:r>
      <w:proofErr w:type="spellEnd"/>
      <w:r w:rsidRPr="003B6A9D">
        <w:rPr>
          <w:rFonts w:ascii="Times New Roman" w:eastAsia="Times New Roman" w:hAnsi="Times New Roman" w:cs="Times New Roman"/>
        </w:rPr>
        <w:t xml:space="preserve">, 2013). Factors such as soil fertility limitations, population growth, and long-term cultivation have intensified land use changes, resulting in the </w:t>
      </w:r>
      <w:r w:rsidRPr="003B6A9D">
        <w:rPr>
          <w:rFonts w:ascii="Times New Roman" w:eastAsia="Times New Roman" w:hAnsi="Times New Roman" w:cs="Times New Roman"/>
        </w:rPr>
        <w:lastRenderedPageBreak/>
        <w:t>degradation of soils, forests, and water resources, especially in African countries (</w:t>
      </w:r>
      <w:proofErr w:type="spellStart"/>
      <w:r w:rsidRPr="003B6A9D">
        <w:rPr>
          <w:rFonts w:ascii="Times New Roman" w:eastAsia="Times New Roman" w:hAnsi="Times New Roman" w:cs="Times New Roman"/>
        </w:rPr>
        <w:t>Agidew</w:t>
      </w:r>
      <w:proofErr w:type="spellEnd"/>
      <w:r w:rsidRPr="003B6A9D">
        <w:rPr>
          <w:rFonts w:ascii="Times New Roman" w:eastAsia="Times New Roman" w:hAnsi="Times New Roman" w:cs="Times New Roman"/>
        </w:rPr>
        <w:t xml:space="preserve"> &amp; Singh, 2018; Foley et al., 2005; </w:t>
      </w:r>
      <w:proofErr w:type="spellStart"/>
      <w:r w:rsidRPr="003B6A9D">
        <w:rPr>
          <w:rFonts w:ascii="Times New Roman" w:eastAsia="Times New Roman" w:hAnsi="Times New Roman" w:cs="Times New Roman"/>
        </w:rPr>
        <w:t>Thiombiano</w:t>
      </w:r>
      <w:proofErr w:type="spellEnd"/>
      <w:r w:rsidRPr="003B6A9D">
        <w:rPr>
          <w:rFonts w:ascii="Times New Roman" w:eastAsia="Times New Roman" w:hAnsi="Times New Roman" w:cs="Times New Roman"/>
        </w:rPr>
        <w:t xml:space="preserve"> &amp; </w:t>
      </w:r>
      <w:proofErr w:type="spellStart"/>
      <w:r w:rsidRPr="003B6A9D">
        <w:rPr>
          <w:rFonts w:ascii="Times New Roman" w:eastAsia="Times New Roman" w:hAnsi="Times New Roman" w:cs="Times New Roman"/>
        </w:rPr>
        <w:t>Tourino</w:t>
      </w:r>
      <w:proofErr w:type="spellEnd"/>
      <w:r w:rsidRPr="003B6A9D">
        <w:rPr>
          <w:rFonts w:ascii="Times New Roman" w:eastAsia="Times New Roman" w:hAnsi="Times New Roman" w:cs="Times New Roman"/>
        </w:rPr>
        <w:t>-Soto, 2007).</w:t>
      </w:r>
    </w:p>
    <w:p w:rsidR="005D2B43" w:rsidRPr="005D2B43" w:rsidRDefault="003B6A9D" w:rsidP="003B6A9D">
      <w:pPr>
        <w:spacing w:after="0" w:line="360" w:lineRule="auto"/>
        <w:jc w:val="both"/>
        <w:rPr>
          <w:rFonts w:ascii="Times New Roman" w:eastAsia="Times New Roman" w:hAnsi="Times New Roman" w:cs="Times New Roman"/>
        </w:rPr>
      </w:pPr>
      <w:r w:rsidRPr="003B6A9D">
        <w:rPr>
          <w:rFonts w:ascii="Times New Roman" w:eastAsia="Times New Roman" w:hAnsi="Times New Roman" w:cs="Times New Roman"/>
        </w:rPr>
        <w:t xml:space="preserve">Since the twentieth century, the conversion of natural forests to agricultural lands and settlements has become a global concern (Bekele et al., 2021; </w:t>
      </w:r>
      <w:proofErr w:type="spellStart"/>
      <w:r w:rsidRPr="003B6A9D">
        <w:rPr>
          <w:rFonts w:ascii="Times New Roman" w:eastAsia="Times New Roman" w:hAnsi="Times New Roman" w:cs="Times New Roman"/>
        </w:rPr>
        <w:t>Fetene</w:t>
      </w:r>
      <w:proofErr w:type="spellEnd"/>
      <w:r w:rsidRPr="003B6A9D">
        <w:rPr>
          <w:rFonts w:ascii="Times New Roman" w:eastAsia="Times New Roman" w:hAnsi="Times New Roman" w:cs="Times New Roman"/>
        </w:rPr>
        <w:t xml:space="preserve"> &amp; </w:t>
      </w:r>
      <w:proofErr w:type="spellStart"/>
      <w:r w:rsidRPr="003B6A9D">
        <w:rPr>
          <w:rFonts w:ascii="Times New Roman" w:eastAsia="Times New Roman" w:hAnsi="Times New Roman" w:cs="Times New Roman"/>
        </w:rPr>
        <w:t>Amera</w:t>
      </w:r>
      <w:proofErr w:type="spellEnd"/>
      <w:r w:rsidRPr="003B6A9D">
        <w:rPr>
          <w:rFonts w:ascii="Times New Roman" w:eastAsia="Times New Roman" w:hAnsi="Times New Roman" w:cs="Times New Roman"/>
        </w:rPr>
        <w:t>, 2018). These changes are major drivers of soil degradation, affecting soil quality worldwide (</w:t>
      </w:r>
      <w:proofErr w:type="spellStart"/>
      <w:r w:rsidRPr="003B6A9D">
        <w:rPr>
          <w:rFonts w:ascii="Times New Roman" w:eastAsia="Times New Roman" w:hAnsi="Times New Roman" w:cs="Times New Roman"/>
        </w:rPr>
        <w:t>Ayoubi</w:t>
      </w:r>
      <w:proofErr w:type="spellEnd"/>
      <w:r w:rsidRPr="003B6A9D">
        <w:rPr>
          <w:rFonts w:ascii="Times New Roman" w:eastAsia="Times New Roman" w:hAnsi="Times New Roman" w:cs="Times New Roman"/>
        </w:rPr>
        <w:t xml:space="preserve"> &amp; </w:t>
      </w:r>
      <w:proofErr w:type="spellStart"/>
      <w:r w:rsidRPr="003B6A9D">
        <w:rPr>
          <w:rFonts w:ascii="Times New Roman" w:eastAsia="Times New Roman" w:hAnsi="Times New Roman" w:cs="Times New Roman"/>
        </w:rPr>
        <w:t>Moazzeni</w:t>
      </w:r>
      <w:proofErr w:type="spellEnd"/>
      <w:r w:rsidRPr="003B6A9D">
        <w:rPr>
          <w:rFonts w:ascii="Times New Roman" w:eastAsia="Times New Roman" w:hAnsi="Times New Roman" w:cs="Times New Roman"/>
        </w:rPr>
        <w:t xml:space="preserve"> </w:t>
      </w:r>
      <w:proofErr w:type="spellStart"/>
      <w:r w:rsidRPr="003B6A9D">
        <w:rPr>
          <w:rFonts w:ascii="Times New Roman" w:eastAsia="Times New Roman" w:hAnsi="Times New Roman" w:cs="Times New Roman"/>
        </w:rPr>
        <w:t>Dehaghani</w:t>
      </w:r>
      <w:proofErr w:type="spellEnd"/>
      <w:r w:rsidRPr="003B6A9D">
        <w:rPr>
          <w:rFonts w:ascii="Times New Roman" w:eastAsia="Times New Roman" w:hAnsi="Times New Roman" w:cs="Times New Roman"/>
        </w:rPr>
        <w:t xml:space="preserve">, 2020). It is estimated that about 24 billion tons of fertile soil are lost annually, with 12 million hectares degraded due to land use changes and management practices (Elias et al., 2019; </w:t>
      </w:r>
      <w:proofErr w:type="spellStart"/>
      <w:r w:rsidRPr="003B6A9D">
        <w:rPr>
          <w:rFonts w:ascii="Times New Roman" w:eastAsia="Times New Roman" w:hAnsi="Times New Roman" w:cs="Times New Roman"/>
        </w:rPr>
        <w:t>Tellen</w:t>
      </w:r>
      <w:proofErr w:type="spellEnd"/>
      <w:r w:rsidRPr="003B6A9D">
        <w:rPr>
          <w:rFonts w:ascii="Times New Roman" w:eastAsia="Times New Roman" w:hAnsi="Times New Roman" w:cs="Times New Roman"/>
        </w:rPr>
        <w:t xml:space="preserve"> &amp; Bernard, 2018). Land use changes strongly influence key soil properties such as phosphorus, potassium, calcium, magnesium, total nitrogen, soil organic carbon, and bulk density (Annan-</w:t>
      </w:r>
      <w:proofErr w:type="spellStart"/>
      <w:r w:rsidRPr="003B6A9D">
        <w:rPr>
          <w:rFonts w:ascii="Times New Roman" w:eastAsia="Times New Roman" w:hAnsi="Times New Roman" w:cs="Times New Roman"/>
        </w:rPr>
        <w:t>Afful</w:t>
      </w:r>
      <w:proofErr w:type="spellEnd"/>
      <w:r w:rsidRPr="003B6A9D">
        <w:rPr>
          <w:rFonts w:ascii="Times New Roman" w:eastAsia="Times New Roman" w:hAnsi="Times New Roman" w:cs="Times New Roman"/>
        </w:rPr>
        <w:t xml:space="preserve"> et al., 2005; Gupta et al., 2022). In Ethiopia, poor soil management and population pressure have led to losses of up to 42 t/ha per year on cultivated lands (Hurni, 1993).</w:t>
      </w:r>
      <w:r w:rsidR="005D2B43">
        <w:rPr>
          <w:rFonts w:ascii="Times New Roman" w:eastAsia="Times New Roman" w:hAnsi="Times New Roman" w:cs="Times New Roman"/>
        </w:rPr>
        <w:t xml:space="preserve"> </w:t>
      </w:r>
      <w:r w:rsidR="005D2B43" w:rsidRPr="005D2B43">
        <w:rPr>
          <w:rFonts w:ascii="Times New Roman" w:hAnsi="Times New Roman" w:cs="Times New Roman"/>
        </w:rPr>
        <w:t xml:space="preserve">Numerous studies in eastern and adjacent Ethiopian regions demonstrate how land use types drive significant variations in soil properties. For example, in the </w:t>
      </w:r>
      <w:proofErr w:type="spellStart"/>
      <w:r w:rsidR="005D2B43" w:rsidRPr="005D2B43">
        <w:rPr>
          <w:rStyle w:val="Strong"/>
          <w:rFonts w:ascii="Times New Roman" w:hAnsi="Times New Roman" w:cs="Times New Roman"/>
          <w:b w:val="0"/>
        </w:rPr>
        <w:t>Kersa</w:t>
      </w:r>
      <w:proofErr w:type="spellEnd"/>
      <w:r w:rsidR="005D2B43" w:rsidRPr="005D2B43">
        <w:rPr>
          <w:rStyle w:val="Strong"/>
          <w:rFonts w:ascii="Times New Roman" w:hAnsi="Times New Roman" w:cs="Times New Roman"/>
          <w:b w:val="0"/>
        </w:rPr>
        <w:t xml:space="preserve"> sub</w:t>
      </w:r>
      <w:r w:rsidR="005D2B43" w:rsidRPr="005D2B43">
        <w:rPr>
          <w:rStyle w:val="Strong"/>
          <w:rFonts w:ascii="Times New Roman" w:hAnsi="Times New Roman" w:cs="Times New Roman"/>
          <w:b w:val="0"/>
        </w:rPr>
        <w:noBreakHyphen/>
        <w:t>watershed</w:t>
      </w:r>
      <w:r w:rsidR="005D2B43" w:rsidRPr="005D2B43">
        <w:rPr>
          <w:rFonts w:ascii="Times New Roman" w:hAnsi="Times New Roman" w:cs="Times New Roman"/>
        </w:rPr>
        <w:t xml:space="preserve"> in eastern Ethiopia, soil quality indicators such as soil organic carbon, total nitrogen, and bulk density varied significantly across land use types, with forest and less disturbed lands generally maintaining superior soil quality compared to continuously cultivated areas (</w:t>
      </w:r>
      <w:proofErr w:type="spellStart"/>
      <w:r w:rsidR="005D2B43" w:rsidRPr="005D2B43">
        <w:rPr>
          <w:rFonts w:ascii="Times New Roman" w:hAnsi="Times New Roman" w:cs="Times New Roman"/>
        </w:rPr>
        <w:t>Mulat</w:t>
      </w:r>
      <w:proofErr w:type="spellEnd"/>
      <w:r w:rsidR="005D2B43" w:rsidRPr="005D2B43">
        <w:rPr>
          <w:rFonts w:ascii="Times New Roman" w:hAnsi="Times New Roman" w:cs="Times New Roman"/>
        </w:rPr>
        <w:t xml:space="preserve">, </w:t>
      </w:r>
      <w:proofErr w:type="spellStart"/>
      <w:r w:rsidR="005D2B43" w:rsidRPr="005D2B43">
        <w:rPr>
          <w:rFonts w:ascii="Times New Roman" w:hAnsi="Times New Roman" w:cs="Times New Roman"/>
        </w:rPr>
        <w:t>Kibret</w:t>
      </w:r>
      <w:proofErr w:type="spellEnd"/>
      <w:r w:rsidR="005D2B43" w:rsidRPr="005D2B43">
        <w:rPr>
          <w:rFonts w:ascii="Times New Roman" w:hAnsi="Times New Roman" w:cs="Times New Roman"/>
        </w:rPr>
        <w:t xml:space="preserve"> &amp; </w:t>
      </w:r>
      <w:proofErr w:type="spellStart"/>
      <w:r w:rsidR="005D2B43" w:rsidRPr="005D2B43">
        <w:rPr>
          <w:rFonts w:ascii="Times New Roman" w:hAnsi="Times New Roman" w:cs="Times New Roman"/>
        </w:rPr>
        <w:t>Bedadi</w:t>
      </w:r>
      <w:proofErr w:type="spellEnd"/>
      <w:r w:rsidR="005D2B43" w:rsidRPr="005D2B43">
        <w:rPr>
          <w:rFonts w:ascii="Times New Roman" w:hAnsi="Times New Roman" w:cs="Times New Roman"/>
        </w:rPr>
        <w:t>, 2021)</w:t>
      </w:r>
    </w:p>
    <w:p w:rsidR="003B6A9D" w:rsidRPr="003B6A9D" w:rsidRDefault="003B6A9D" w:rsidP="003B6A9D">
      <w:pPr>
        <w:spacing w:after="0" w:line="360" w:lineRule="auto"/>
        <w:jc w:val="both"/>
        <w:rPr>
          <w:rFonts w:ascii="Times New Roman" w:eastAsia="Times New Roman" w:hAnsi="Times New Roman" w:cs="Times New Roman"/>
        </w:rPr>
      </w:pPr>
      <w:r w:rsidRPr="003B6A9D">
        <w:rPr>
          <w:rFonts w:ascii="Times New Roman" w:eastAsia="Times New Roman" w:hAnsi="Times New Roman" w:cs="Times New Roman"/>
        </w:rPr>
        <w:t>Although studies have examined the effects of land use on soil physical and chemical properties in Ethiopia (</w:t>
      </w:r>
      <w:proofErr w:type="spellStart"/>
      <w:r w:rsidRPr="003B6A9D">
        <w:rPr>
          <w:rFonts w:ascii="Times New Roman" w:eastAsia="Times New Roman" w:hAnsi="Times New Roman" w:cs="Times New Roman"/>
        </w:rPr>
        <w:t>Tolesa</w:t>
      </w:r>
      <w:proofErr w:type="spellEnd"/>
      <w:r w:rsidRPr="003B6A9D">
        <w:rPr>
          <w:rFonts w:ascii="Times New Roman" w:eastAsia="Times New Roman" w:hAnsi="Times New Roman" w:cs="Times New Roman"/>
        </w:rPr>
        <w:t xml:space="preserve"> et al., 2021), the impact of land use on key soil parameters in the northern highlands, particularly the </w:t>
      </w:r>
      <w:r w:rsidRPr="005D2B43">
        <w:rPr>
          <w:rFonts w:ascii="Times New Roman" w:eastAsia="Times New Roman" w:hAnsi="Times New Roman" w:cs="Times New Roman"/>
          <w:bCs/>
        </w:rPr>
        <w:t>Kassegni Watershed</w:t>
      </w:r>
      <w:r w:rsidRPr="003B6A9D">
        <w:rPr>
          <w:rFonts w:ascii="Times New Roman" w:eastAsia="Times New Roman" w:hAnsi="Times New Roman" w:cs="Times New Roman"/>
        </w:rPr>
        <w:t>, remains underexplored. Agricultural productivity in the region is constrained by low soil fertility, limited farmland, and rising population pressure. Conversion of natural vegetation to croplands and grazing lands has further degraded soils, increased erosion risk, and lowered crop yields.</w:t>
      </w:r>
      <w:r w:rsidR="005D2B43">
        <w:rPr>
          <w:rFonts w:ascii="Times New Roman" w:eastAsia="Times New Roman" w:hAnsi="Times New Roman" w:cs="Times New Roman"/>
        </w:rPr>
        <w:t xml:space="preserve"> </w:t>
      </w:r>
      <w:r w:rsidRPr="003B6A9D">
        <w:rPr>
          <w:rFonts w:ascii="Times New Roman" w:eastAsia="Times New Roman" w:hAnsi="Times New Roman" w:cs="Times New Roman"/>
        </w:rPr>
        <w:t xml:space="preserve">Soil quality has therefore declined, driven by population pressure, deforestation, urban expansion, plantation forests, cropland growth, and overgrazing. Understanding how different land use types affect soil properties and fertility is essential for sustaining soil productivity. This study aims to assess the impact of land use on soil physicochemical properties in the </w:t>
      </w:r>
      <w:r w:rsidRPr="005D2B43">
        <w:rPr>
          <w:rFonts w:ascii="Times New Roman" w:eastAsia="Times New Roman" w:hAnsi="Times New Roman" w:cs="Times New Roman"/>
          <w:bCs/>
        </w:rPr>
        <w:t>Kas</w:t>
      </w:r>
      <w:r w:rsidR="005D2B43">
        <w:rPr>
          <w:rFonts w:ascii="Times New Roman" w:eastAsia="Times New Roman" w:hAnsi="Times New Roman" w:cs="Times New Roman"/>
          <w:bCs/>
        </w:rPr>
        <w:t>eny</w:t>
      </w:r>
      <w:r w:rsidRPr="005D2B43">
        <w:rPr>
          <w:rFonts w:ascii="Times New Roman" w:eastAsia="Times New Roman" w:hAnsi="Times New Roman" w:cs="Times New Roman"/>
          <w:bCs/>
        </w:rPr>
        <w:t xml:space="preserve"> Watershed</w:t>
      </w:r>
      <w:r w:rsidRPr="003B6A9D">
        <w:rPr>
          <w:rFonts w:ascii="Times New Roman" w:eastAsia="Times New Roman" w:hAnsi="Times New Roman" w:cs="Times New Roman"/>
        </w:rPr>
        <w:t>, eastern Ethiopia, providing insights to guide integrated soil and land management strategies for restoring degraded lands and promoting sustainable agriculture</w:t>
      </w:r>
    </w:p>
    <w:p w:rsidR="00336794" w:rsidRPr="00C632CF" w:rsidRDefault="00C632CF" w:rsidP="00C632CF">
      <w:pPr>
        <w:widowControl w:val="0"/>
        <w:tabs>
          <w:tab w:val="left" w:pos="352"/>
        </w:tabs>
        <w:autoSpaceDE w:val="0"/>
        <w:autoSpaceDN w:val="0"/>
        <w:spacing w:after="0" w:line="360" w:lineRule="auto"/>
        <w:ind w:left="720"/>
        <w:jc w:val="both"/>
        <w:rPr>
          <w:rFonts w:ascii="Times New Roman" w:hAnsi="Times New Roman" w:cs="Times New Roman"/>
          <w:b/>
          <w:color w:val="000000" w:themeColor="text1"/>
        </w:rPr>
      </w:pPr>
      <w:r w:rsidRPr="00C632CF">
        <w:rPr>
          <w:rFonts w:ascii="Times New Roman" w:hAnsi="Times New Roman" w:cs="Times New Roman"/>
          <w:b/>
          <w:color w:val="000000" w:themeColor="text1"/>
          <w:w w:val="105"/>
        </w:rPr>
        <w:t xml:space="preserve"> </w:t>
      </w:r>
      <w:r w:rsidR="00A247D7" w:rsidRPr="00C632CF">
        <w:rPr>
          <w:rFonts w:ascii="Times New Roman" w:hAnsi="Times New Roman" w:cs="Times New Roman"/>
          <w:b/>
          <w:color w:val="000000" w:themeColor="text1"/>
          <w:w w:val="105"/>
        </w:rPr>
        <w:t xml:space="preserve">2. </w:t>
      </w:r>
      <w:r w:rsidR="00336794" w:rsidRPr="00C632CF">
        <w:rPr>
          <w:rFonts w:ascii="Times New Roman" w:hAnsi="Times New Roman" w:cs="Times New Roman"/>
          <w:b/>
          <w:color w:val="000000" w:themeColor="text1"/>
          <w:w w:val="105"/>
        </w:rPr>
        <w:t>Materials</w:t>
      </w:r>
      <w:r w:rsidR="00336794" w:rsidRPr="00C632CF">
        <w:rPr>
          <w:rFonts w:ascii="Times New Roman" w:hAnsi="Times New Roman" w:cs="Times New Roman"/>
          <w:b/>
          <w:color w:val="000000" w:themeColor="text1"/>
          <w:spacing w:val="7"/>
          <w:w w:val="105"/>
        </w:rPr>
        <w:t xml:space="preserve"> </w:t>
      </w:r>
      <w:r w:rsidR="00336794" w:rsidRPr="00C632CF">
        <w:rPr>
          <w:rFonts w:ascii="Times New Roman" w:hAnsi="Times New Roman" w:cs="Times New Roman"/>
          <w:b/>
          <w:color w:val="000000" w:themeColor="text1"/>
          <w:w w:val="105"/>
        </w:rPr>
        <w:t>and</w:t>
      </w:r>
      <w:r w:rsidR="00336794" w:rsidRPr="00C632CF">
        <w:rPr>
          <w:rFonts w:ascii="Times New Roman" w:hAnsi="Times New Roman" w:cs="Times New Roman"/>
          <w:b/>
          <w:color w:val="000000" w:themeColor="text1"/>
          <w:spacing w:val="9"/>
          <w:w w:val="105"/>
        </w:rPr>
        <w:t xml:space="preserve"> </w:t>
      </w:r>
      <w:r w:rsidR="00336794" w:rsidRPr="00C632CF">
        <w:rPr>
          <w:rFonts w:ascii="Times New Roman" w:hAnsi="Times New Roman" w:cs="Times New Roman"/>
          <w:b/>
          <w:color w:val="000000" w:themeColor="text1"/>
          <w:spacing w:val="-2"/>
          <w:w w:val="105"/>
        </w:rPr>
        <w:t>methods</w:t>
      </w:r>
    </w:p>
    <w:p w:rsidR="00336794" w:rsidRPr="00A144CD" w:rsidRDefault="00D56B27" w:rsidP="00F8771F">
      <w:pPr>
        <w:pStyle w:val="ListParagraph"/>
        <w:widowControl w:val="0"/>
        <w:numPr>
          <w:ilvl w:val="1"/>
          <w:numId w:val="5"/>
        </w:numPr>
        <w:tabs>
          <w:tab w:val="left" w:pos="472"/>
        </w:tabs>
        <w:autoSpaceDE w:val="0"/>
        <w:autoSpaceDN w:val="0"/>
        <w:spacing w:after="0" w:line="360" w:lineRule="auto"/>
        <w:contextualSpacing w:val="0"/>
        <w:jc w:val="both"/>
        <w:rPr>
          <w:rFonts w:ascii="Times New Roman" w:hAnsi="Times New Roman" w:cs="Times New Roman"/>
          <w:b/>
          <w:color w:val="000000" w:themeColor="text1"/>
        </w:rPr>
      </w:pPr>
      <w:r w:rsidRPr="00927F64">
        <w:rPr>
          <w:rFonts w:ascii="Times New Roman" w:hAnsi="Times New Roman" w:cs="Times New Roman"/>
          <w:b/>
          <w:color w:val="000000" w:themeColor="text1"/>
          <w:spacing w:val="-2"/>
        </w:rPr>
        <w:t xml:space="preserve">Description of </w:t>
      </w:r>
      <w:r w:rsidR="00336794" w:rsidRPr="00927F64">
        <w:rPr>
          <w:rFonts w:ascii="Times New Roman" w:hAnsi="Times New Roman" w:cs="Times New Roman"/>
          <w:b/>
          <w:color w:val="000000" w:themeColor="text1"/>
          <w:spacing w:val="-2"/>
        </w:rPr>
        <w:t>Study</w:t>
      </w:r>
      <w:r w:rsidR="00336794" w:rsidRPr="00927F64">
        <w:rPr>
          <w:rFonts w:ascii="Times New Roman" w:hAnsi="Times New Roman" w:cs="Times New Roman"/>
          <w:b/>
          <w:color w:val="000000" w:themeColor="text1"/>
          <w:spacing w:val="2"/>
        </w:rPr>
        <w:t xml:space="preserve"> </w:t>
      </w:r>
      <w:r w:rsidR="00336794" w:rsidRPr="00927F64">
        <w:rPr>
          <w:rFonts w:ascii="Times New Roman" w:hAnsi="Times New Roman" w:cs="Times New Roman"/>
          <w:b/>
          <w:color w:val="000000" w:themeColor="text1"/>
          <w:spacing w:val="-4"/>
        </w:rPr>
        <w:t>area</w:t>
      </w:r>
    </w:p>
    <w:p w:rsidR="00A144CD" w:rsidRPr="009C5E6C" w:rsidRDefault="009C5E6C" w:rsidP="00A144CD">
      <w:pPr>
        <w:widowControl w:val="0"/>
        <w:tabs>
          <w:tab w:val="left" w:pos="472"/>
        </w:tabs>
        <w:autoSpaceDE w:val="0"/>
        <w:autoSpaceDN w:val="0"/>
        <w:spacing w:after="0" w:line="360" w:lineRule="auto"/>
        <w:jc w:val="both"/>
        <w:rPr>
          <w:rFonts w:ascii="Times New Roman" w:hAnsi="Times New Roman" w:cs="Times New Roman"/>
          <w:b/>
          <w:color w:val="000000" w:themeColor="text1"/>
        </w:rPr>
      </w:pPr>
      <w:r w:rsidRPr="009C5E6C">
        <w:rPr>
          <w:rFonts w:ascii="Times New Roman" w:hAnsi="Times New Roman" w:cs="Times New Roman"/>
        </w:rPr>
        <w:t xml:space="preserve">The study was conducted in the </w:t>
      </w:r>
      <w:r w:rsidRPr="009C5E6C">
        <w:rPr>
          <w:rStyle w:val="Strong"/>
          <w:rFonts w:ascii="Times New Roman" w:hAnsi="Times New Roman" w:cs="Times New Roman"/>
        </w:rPr>
        <w:t>Kaseny Watershed</w:t>
      </w:r>
      <w:r w:rsidRPr="009C5E6C">
        <w:rPr>
          <w:rFonts w:ascii="Times New Roman" w:hAnsi="Times New Roman" w:cs="Times New Roman"/>
        </w:rPr>
        <w:t xml:space="preserve">, Arberkete Kebele, West Hararghe Zone, near Chiro town, Ethiopia (Figure 1), located at 9°05'N, 40°35'E in the eastern highlands (West Hararghe Zone of Agriculture, 2024). The area had undulating to steep slopes, making it highly vulnerable to soil erosion and land degradation due to unsustainable farming, deforestation, and overgrazing. The climate was sub-humid to semi-arid, with unimodal rainfall from June to September, averaging 1,200 mm annually, and mean temperatures of 22–24°C, supporting mixed crop-livestock systems. Dominant soils were Nitisols </w:t>
      </w:r>
      <w:r w:rsidRPr="009C5E6C">
        <w:rPr>
          <w:rFonts w:ascii="Times New Roman" w:hAnsi="Times New Roman" w:cs="Times New Roman"/>
        </w:rPr>
        <w:lastRenderedPageBreak/>
        <w:t>and Andosols. Smallholder households practiced mixed farming, cultivating cereals, vegetables, fruits, and spices across croplands, riparian zones, and grazing lands, with land-use patterns shaped by topography and resource availability. These biophysical and socio-economic conditions made the Kaseny Watershed an ideal site to evaluate soil and water conservation, agroforestry, and organic fertilization strategies aimed at improving soil fertility, water retention, crop productivity, and sustainable livelihoods</w:t>
      </w:r>
      <w:r>
        <w:rPr>
          <w:rFonts w:ascii="Times New Roman" w:hAnsi="Times New Roman" w:cs="Times New Roman"/>
        </w:rPr>
        <w:t>.</w:t>
      </w:r>
    </w:p>
    <w:p w:rsidR="00065EFF" w:rsidRPr="00927F64" w:rsidRDefault="005D2B43" w:rsidP="00F8771F">
      <w:pPr>
        <w:pStyle w:val="ListParagraph"/>
        <w:spacing w:line="360" w:lineRule="auto"/>
        <w:ind w:left="360"/>
        <w:jc w:val="center"/>
        <w:rPr>
          <w:rFonts w:ascii="Times New Roman" w:hAnsi="Times New Roman" w:cs="Times New Roman"/>
          <w:b/>
          <w:color w:val="000000" w:themeColor="text1"/>
        </w:rPr>
      </w:pPr>
      <w:r w:rsidRPr="00957193">
        <w:rPr>
          <w:rFonts w:ascii="Times New Roman" w:hAnsi="Times New Roman" w:cs="Times New Roman"/>
          <w:noProof/>
          <w:lang w:val="en-IN" w:eastAsia="en-IN"/>
        </w:rPr>
        <w:drawing>
          <wp:inline distT="0" distB="0" distL="0" distR="0" wp14:anchorId="4EF1155A" wp14:editId="11CD0699">
            <wp:extent cx="5020574" cy="3917818"/>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37805" cy="3931264"/>
                    </a:xfrm>
                    <a:prstGeom prst="rect">
                      <a:avLst/>
                    </a:prstGeom>
                  </pic:spPr>
                </pic:pic>
              </a:graphicData>
            </a:graphic>
          </wp:inline>
        </w:drawing>
      </w:r>
    </w:p>
    <w:p w:rsidR="00986A04" w:rsidRPr="009C5E6C" w:rsidRDefault="007533FA" w:rsidP="00F8771F">
      <w:pPr>
        <w:pStyle w:val="ListParagraph"/>
        <w:spacing w:after="0" w:line="360" w:lineRule="auto"/>
        <w:ind w:left="360"/>
        <w:jc w:val="center"/>
        <w:rPr>
          <w:rFonts w:ascii="Times New Roman" w:hAnsi="Times New Roman" w:cs="Times New Roman"/>
          <w:b/>
          <w:color w:val="000000" w:themeColor="text1"/>
        </w:rPr>
      </w:pPr>
      <w:r w:rsidRPr="009C5E6C">
        <w:rPr>
          <w:rFonts w:ascii="Times New Roman" w:hAnsi="Times New Roman" w:cs="Times New Roman"/>
          <w:b/>
          <w:color w:val="000000" w:themeColor="text1"/>
        </w:rPr>
        <w:t xml:space="preserve">Figure </w:t>
      </w:r>
      <w:r w:rsidRPr="009C5E6C">
        <w:rPr>
          <w:rFonts w:ascii="Times New Roman" w:hAnsi="Times New Roman" w:cs="Times New Roman"/>
          <w:b/>
          <w:color w:val="000000" w:themeColor="text1"/>
        </w:rPr>
        <w:fldChar w:fldCharType="begin"/>
      </w:r>
      <w:r w:rsidRPr="009C5E6C">
        <w:rPr>
          <w:rFonts w:ascii="Times New Roman" w:hAnsi="Times New Roman" w:cs="Times New Roman"/>
          <w:b/>
          <w:color w:val="000000" w:themeColor="text1"/>
        </w:rPr>
        <w:instrText xml:space="preserve"> SEQ Figure \* ARABIC </w:instrText>
      </w:r>
      <w:r w:rsidRPr="009C5E6C">
        <w:rPr>
          <w:rFonts w:ascii="Times New Roman" w:hAnsi="Times New Roman" w:cs="Times New Roman"/>
          <w:b/>
          <w:color w:val="000000" w:themeColor="text1"/>
        </w:rPr>
        <w:fldChar w:fldCharType="separate"/>
      </w:r>
      <w:r w:rsidRPr="009C5E6C">
        <w:rPr>
          <w:rFonts w:ascii="Times New Roman" w:hAnsi="Times New Roman" w:cs="Times New Roman"/>
          <w:b/>
          <w:noProof/>
          <w:color w:val="000000" w:themeColor="text1"/>
        </w:rPr>
        <w:t>1</w:t>
      </w:r>
      <w:r w:rsidRPr="009C5E6C">
        <w:rPr>
          <w:rFonts w:ascii="Times New Roman" w:hAnsi="Times New Roman" w:cs="Times New Roman"/>
          <w:b/>
          <w:color w:val="000000" w:themeColor="text1"/>
        </w:rPr>
        <w:fldChar w:fldCharType="end"/>
      </w:r>
      <w:r w:rsidR="00F36B82" w:rsidRPr="009C5E6C">
        <w:rPr>
          <w:rFonts w:ascii="Times New Roman" w:hAnsi="Times New Roman" w:cs="Times New Roman"/>
          <w:b/>
          <w:color w:val="000000" w:themeColor="text1"/>
        </w:rPr>
        <w:t xml:space="preserve"> Location map of the study area</w:t>
      </w:r>
    </w:p>
    <w:p w:rsidR="00065EFF" w:rsidRPr="00927F64" w:rsidRDefault="00A247D7" w:rsidP="00F8771F">
      <w:pPr>
        <w:spacing w:after="0" w:line="360" w:lineRule="auto"/>
        <w:jc w:val="both"/>
        <w:rPr>
          <w:rFonts w:ascii="Times New Roman" w:eastAsia="Times New Roman" w:hAnsi="Times New Roman" w:cs="Times New Roman"/>
          <w:color w:val="000000" w:themeColor="text1"/>
        </w:rPr>
      </w:pPr>
      <w:r w:rsidRPr="00927F64">
        <w:rPr>
          <w:rFonts w:ascii="Times New Roman" w:eastAsia="Times New Roman" w:hAnsi="Times New Roman" w:cs="Times New Roman"/>
          <w:b/>
          <w:bCs/>
          <w:color w:val="000000" w:themeColor="text1"/>
        </w:rPr>
        <w:t xml:space="preserve">2.2. </w:t>
      </w:r>
      <w:r w:rsidR="00065EFF" w:rsidRPr="00927F64">
        <w:rPr>
          <w:rFonts w:ascii="Times New Roman" w:eastAsia="Times New Roman" w:hAnsi="Times New Roman" w:cs="Times New Roman"/>
          <w:b/>
          <w:bCs/>
          <w:color w:val="000000" w:themeColor="text1"/>
        </w:rPr>
        <w:t>Climate and Topography</w:t>
      </w:r>
    </w:p>
    <w:p w:rsidR="001F7EA8" w:rsidRPr="009C5E6C" w:rsidRDefault="009C5E6C" w:rsidP="00F8771F">
      <w:pPr>
        <w:spacing w:after="0" w:line="360" w:lineRule="auto"/>
        <w:jc w:val="both"/>
        <w:rPr>
          <w:rFonts w:ascii="Times New Roman" w:eastAsia="Times New Roman" w:hAnsi="Times New Roman" w:cs="Times New Roman"/>
          <w:color w:val="000000" w:themeColor="text1"/>
        </w:rPr>
      </w:pPr>
      <w:r w:rsidRPr="009C5E6C">
        <w:rPr>
          <w:rFonts w:ascii="Times New Roman" w:hAnsi="Times New Roman" w:cs="Times New Roman"/>
        </w:rPr>
        <w:t xml:space="preserve">Based on data from the nearby Chiro meteorological station, the </w:t>
      </w:r>
      <w:r w:rsidRPr="009C5E6C">
        <w:rPr>
          <w:rStyle w:val="Strong"/>
          <w:rFonts w:ascii="Times New Roman" w:hAnsi="Times New Roman" w:cs="Times New Roman"/>
        </w:rPr>
        <w:t>Kaseny Watershed</w:t>
      </w:r>
      <w:r w:rsidRPr="009C5E6C">
        <w:rPr>
          <w:rFonts w:ascii="Times New Roman" w:hAnsi="Times New Roman" w:cs="Times New Roman"/>
        </w:rPr>
        <w:t xml:space="preserve"> receives an average annual rainfall of approximately 1,200 mm (West Hararghe Zone of Agriculture, 2024). According to traditional agro-ecological classification, the watershed falls within the midland to lowland zone, with mean annual temperatures ranging from 22ºC to 24ºC. The area features undulating to steep</w:t>
      </w:r>
      <w:r>
        <w:rPr>
          <w:rFonts w:ascii="Times New Roman" w:hAnsi="Times New Roman" w:cs="Times New Roman"/>
        </w:rPr>
        <w:t xml:space="preserve"> slopes, and the dominant soils Nitisols and Andosols</w:t>
      </w:r>
      <w:r w:rsidR="00A22F98">
        <w:rPr>
          <w:rFonts w:ascii="Times New Roman" w:hAnsi="Times New Roman" w:cs="Times New Roman"/>
        </w:rPr>
        <w:t xml:space="preserve"> </w:t>
      </w:r>
      <w:r w:rsidRPr="009C5E6C">
        <w:rPr>
          <w:rFonts w:ascii="Times New Roman" w:hAnsi="Times New Roman" w:cs="Times New Roman"/>
        </w:rPr>
        <w:t>combined with the rugged topography, make the soils highly susceptible to erosion. As a result, large portions of the watershed show signs of land degradation, with numerous rills and gullies across croplands and grazing areas (West Hararghe Zone of Agriculture, 2024).</w:t>
      </w:r>
    </w:p>
    <w:p w:rsidR="00A247D7" w:rsidRPr="00927F64" w:rsidRDefault="00A247D7" w:rsidP="00F8771F">
      <w:pPr>
        <w:spacing w:after="0" w:line="360" w:lineRule="auto"/>
        <w:jc w:val="both"/>
        <w:rPr>
          <w:rFonts w:ascii="Times New Roman" w:eastAsia="Times New Roman" w:hAnsi="Times New Roman" w:cs="Times New Roman"/>
          <w:b/>
          <w:bCs/>
          <w:color w:val="000000" w:themeColor="text1"/>
        </w:rPr>
      </w:pPr>
      <w:r w:rsidRPr="00927F64">
        <w:rPr>
          <w:rFonts w:ascii="Times New Roman" w:eastAsia="Times New Roman" w:hAnsi="Times New Roman" w:cs="Times New Roman"/>
          <w:b/>
          <w:bCs/>
          <w:color w:val="000000" w:themeColor="text1"/>
        </w:rPr>
        <w:t xml:space="preserve">2.3 </w:t>
      </w:r>
      <w:r w:rsidR="00065EFF" w:rsidRPr="00927F64">
        <w:rPr>
          <w:rFonts w:ascii="Times New Roman" w:eastAsia="Times New Roman" w:hAnsi="Times New Roman" w:cs="Times New Roman"/>
          <w:b/>
          <w:bCs/>
          <w:color w:val="000000" w:themeColor="text1"/>
        </w:rPr>
        <w:t>Land Use and Vegetation Cover</w:t>
      </w:r>
    </w:p>
    <w:p w:rsidR="009C5E6C" w:rsidRPr="009C5E6C" w:rsidRDefault="009C5E6C" w:rsidP="00C96818">
      <w:pPr>
        <w:spacing w:after="120" w:line="360" w:lineRule="auto"/>
        <w:jc w:val="both"/>
        <w:rPr>
          <w:rFonts w:ascii="Times New Roman" w:hAnsi="Times New Roman" w:cs="Times New Roman"/>
        </w:rPr>
      </w:pPr>
      <w:r w:rsidRPr="009C5E6C">
        <w:rPr>
          <w:rFonts w:ascii="Times New Roman" w:hAnsi="Times New Roman" w:cs="Times New Roman"/>
        </w:rPr>
        <w:t xml:space="preserve">The land use types within the </w:t>
      </w:r>
      <w:r w:rsidRPr="001629A9">
        <w:rPr>
          <w:rStyle w:val="Strong"/>
          <w:rFonts w:ascii="Times New Roman" w:hAnsi="Times New Roman" w:cs="Times New Roman"/>
          <w:b w:val="0"/>
        </w:rPr>
        <w:t>Kaseny Watershed</w:t>
      </w:r>
      <w:r w:rsidRPr="009C5E6C">
        <w:rPr>
          <w:rFonts w:ascii="Times New Roman" w:hAnsi="Times New Roman" w:cs="Times New Roman"/>
        </w:rPr>
        <w:t xml:space="preserve"> are diverse, comprising cultivated lands, settlements, grazing areas, and bush or forestlands (Table 1) (West Hararghe Zone of Agriculture, 2024). Cultivated </w:t>
      </w:r>
      <w:r w:rsidRPr="009C5E6C">
        <w:rPr>
          <w:rFonts w:ascii="Times New Roman" w:hAnsi="Times New Roman" w:cs="Times New Roman"/>
        </w:rPr>
        <w:lastRenderedPageBreak/>
        <w:t>fields dominate the landscape, covering approximately 185.65 ha (77.8%) with slopes ranging from 3 to 20%, reflecting the reliance of smallholder households on crop production for food and income. Settlement areas account for 23.86 ha (10%), while forested regions cover 19.54 ha (8.1%), providing important ecosystem services such as soil protection, carbon storage, and biodiversity conservation. Grazing lands with scattered bushes make up 9.55 ha (4%) and are critical for livestock feeding and maintaining nutrient cycling in the watershed. Land use in the Kaseny Watershed is therefore closely linked to both the livelihoods of local communities and the maintenance of ecological functions, highlighting the need for integrated land management practices to balance agricultural production with environmental sustainability (West Hararghe Zone of Agriculture, 2024).</w:t>
      </w:r>
    </w:p>
    <w:p w:rsidR="0097190B" w:rsidRDefault="008450A4" w:rsidP="00C96818">
      <w:pPr>
        <w:spacing w:after="12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Table1 D</w:t>
      </w:r>
      <w:r w:rsidR="003268FB" w:rsidRPr="00927F64">
        <w:rPr>
          <w:rFonts w:ascii="Times New Roman" w:hAnsi="Times New Roman" w:cs="Times New Roman"/>
          <w:b/>
          <w:color w:val="000000" w:themeColor="text1"/>
        </w:rPr>
        <w:t xml:space="preserve">escription of the Land Use Types and sampling site in </w:t>
      </w:r>
      <w:r w:rsidRPr="00927F64">
        <w:rPr>
          <w:rFonts w:ascii="Times New Roman" w:hAnsi="Times New Roman" w:cs="Times New Roman"/>
          <w:b/>
          <w:color w:val="000000" w:themeColor="text1"/>
        </w:rPr>
        <w:t>Alalo Watershed</w:t>
      </w:r>
    </w:p>
    <w:tbl>
      <w:tblPr>
        <w:tblStyle w:val="TableGrid"/>
        <w:tblW w:w="10260" w:type="dxa"/>
        <w:tblInd w:w="-432" w:type="dxa"/>
        <w:tblLook w:val="04A0" w:firstRow="1" w:lastRow="0" w:firstColumn="1" w:lastColumn="0" w:noHBand="0" w:noVBand="1"/>
      </w:tblPr>
      <w:tblGrid>
        <w:gridCol w:w="1620"/>
        <w:gridCol w:w="4500"/>
        <w:gridCol w:w="2775"/>
        <w:gridCol w:w="1365"/>
      </w:tblGrid>
      <w:tr w:rsidR="00C96818" w:rsidTr="00C96818">
        <w:tc>
          <w:tcPr>
            <w:tcW w:w="1620"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Land Use Type</w:t>
            </w:r>
          </w:p>
        </w:tc>
        <w:tc>
          <w:tcPr>
            <w:tcW w:w="4500"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Description</w:t>
            </w:r>
          </w:p>
        </w:tc>
        <w:tc>
          <w:tcPr>
            <w:tcW w:w="2775"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Sampling Points (3 Replications)</w:t>
            </w:r>
          </w:p>
        </w:tc>
        <w:tc>
          <w:tcPr>
            <w:tcW w:w="1365" w:type="dxa"/>
          </w:tcPr>
          <w:p w:rsidR="00C96818" w:rsidRPr="00C96818" w:rsidRDefault="00C96818" w:rsidP="00C96818">
            <w:pPr>
              <w:spacing w:before="0" w:beforeAutospacing="0" w:afterAutospacing="0" w:line="360" w:lineRule="auto"/>
              <w:jc w:val="center"/>
              <w:rPr>
                <w:rFonts w:ascii="Times New Roman" w:hAnsi="Times New Roman" w:cs="Times New Roman"/>
              </w:rPr>
            </w:pPr>
            <w:r w:rsidRPr="00C96818">
              <w:rPr>
                <w:rFonts w:ascii="Times New Roman" w:hAnsi="Times New Roman" w:cs="Times New Roman"/>
              </w:rPr>
              <w:t>Average Coordinates</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Forest land</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Natural forests and native trees with dense canopy cover and minimal human disturbance, mainly in the upper northeastern part of the watershed</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9.1160°N, 40.3200°E</w:t>
            </w:r>
            <w:r w:rsidRPr="00C96818">
              <w:rPr>
                <w:rFonts w:ascii="Times New Roman" w:hAnsi="Times New Roman" w:cs="Times New Roman"/>
              </w:rPr>
              <w:br/>
              <w:t>2) 9.1162°N, 40.3203°E</w:t>
            </w:r>
            <w:r w:rsidRPr="00C96818">
              <w:rPr>
                <w:rFonts w:ascii="Times New Roman" w:hAnsi="Times New Roman" w:cs="Times New Roman"/>
              </w:rPr>
              <w:br/>
              <w:t>3) 9.1161°N, 40.3201°E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9.1161°N, 40.3201°E</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Grazing land</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Open areas dominated by grasses and low vegetation, primarily used for livestock grazing. Typically found in mid-slope regions</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9.1080°N, 40.3150°E</w:t>
            </w:r>
            <w:r w:rsidRPr="00C96818">
              <w:rPr>
                <w:rFonts w:ascii="Times New Roman" w:hAnsi="Times New Roman" w:cs="Times New Roman"/>
              </w:rPr>
              <w:br/>
              <w:t>2) 9.1082°N, 40.3152°E</w:t>
            </w:r>
            <w:r w:rsidRPr="00C96818">
              <w:rPr>
                <w:rFonts w:ascii="Times New Roman" w:hAnsi="Times New Roman" w:cs="Times New Roman"/>
              </w:rPr>
              <w:br/>
              <w:t>3) 9.1081°N, 40.3151°E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9.1081°N, 40.3151°E</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Cultivated land</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Areas used for growing seasonal and annual crops, dominant in the lower and central watershed, mainly on Vertisols</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9.1020°N, 40.3180°E</w:t>
            </w:r>
            <w:r w:rsidRPr="00C96818">
              <w:rPr>
                <w:rFonts w:ascii="Times New Roman" w:hAnsi="Times New Roman" w:cs="Times New Roman"/>
              </w:rPr>
              <w:br/>
              <w:t>2) 9.1022°N, 40.3182°E</w:t>
            </w:r>
            <w:r w:rsidRPr="00C96818">
              <w:rPr>
                <w:rFonts w:ascii="Times New Roman" w:hAnsi="Times New Roman" w:cs="Times New Roman"/>
              </w:rPr>
              <w:br/>
              <w:t>3) 9.1021°N, 40.3181°E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9.1021°N, 40.3181°E</w:t>
            </w:r>
          </w:p>
        </w:tc>
      </w:tr>
      <w:tr w:rsidR="00C96818" w:rsidTr="00C96818">
        <w:tc>
          <w:tcPr>
            <w:tcW w:w="162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Plantation forest</w:t>
            </w:r>
          </w:p>
        </w:tc>
        <w:tc>
          <w:tcPr>
            <w:tcW w:w="4500"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Areas planted with fast-growing Eucalyptus species for timber, fuel wood, and construction, mostly adjacent to natural forests</w:t>
            </w:r>
          </w:p>
        </w:tc>
        <w:tc>
          <w:tcPr>
            <w:tcW w:w="277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1) 9.1140°N, 40.3210°E</w:t>
            </w:r>
            <w:r w:rsidRPr="00C96818">
              <w:rPr>
                <w:rFonts w:ascii="Times New Roman" w:hAnsi="Times New Roman" w:cs="Times New Roman"/>
              </w:rPr>
              <w:br/>
              <w:t>2) 9.1142°N, 40.3212°E</w:t>
            </w:r>
            <w:r w:rsidRPr="00C96818">
              <w:rPr>
                <w:rFonts w:ascii="Times New Roman" w:hAnsi="Times New Roman" w:cs="Times New Roman"/>
              </w:rPr>
              <w:br/>
              <w:t>3) 9.1141°N, 40.3211°E</w:t>
            </w:r>
          </w:p>
        </w:tc>
        <w:tc>
          <w:tcPr>
            <w:tcW w:w="1365" w:type="dxa"/>
          </w:tcPr>
          <w:p w:rsidR="00C96818" w:rsidRPr="00C96818" w:rsidRDefault="00C96818" w:rsidP="00C96818">
            <w:pPr>
              <w:spacing w:before="0" w:beforeAutospacing="0" w:afterAutospacing="0" w:line="360" w:lineRule="auto"/>
              <w:jc w:val="both"/>
              <w:rPr>
                <w:rFonts w:ascii="Times New Roman" w:hAnsi="Times New Roman" w:cs="Times New Roman"/>
              </w:rPr>
            </w:pPr>
            <w:r w:rsidRPr="00C96818">
              <w:rPr>
                <w:rFonts w:ascii="Times New Roman" w:hAnsi="Times New Roman" w:cs="Times New Roman"/>
              </w:rPr>
              <w:t>9.1141°N, 40.3211°E</w:t>
            </w:r>
          </w:p>
        </w:tc>
      </w:tr>
    </w:tbl>
    <w:p w:rsidR="008450A4" w:rsidRPr="00927F64" w:rsidRDefault="003268FB" w:rsidP="001629A9">
      <w:pPr>
        <w:spacing w:after="120" w:line="360" w:lineRule="auto"/>
        <w:jc w:val="both"/>
        <w:rPr>
          <w:rFonts w:ascii="Times New Roman" w:hAnsi="Times New Roman" w:cs="Times New Roman"/>
          <w:b/>
          <w:color w:val="000000" w:themeColor="text1"/>
        </w:rPr>
      </w:pPr>
      <w:r w:rsidRPr="00927F64">
        <w:rPr>
          <w:rStyle w:val="Strong"/>
          <w:rFonts w:ascii="Times New Roman" w:hAnsi="Times New Roman" w:cs="Times New Roman"/>
          <w:color w:val="000000" w:themeColor="text1"/>
        </w:rPr>
        <w:t>Note:</w:t>
      </w:r>
      <w:r w:rsidRPr="00927F64">
        <w:rPr>
          <w:rFonts w:ascii="Times New Roman" w:hAnsi="Times New Roman" w:cs="Times New Roman"/>
          <w:color w:val="000000" w:themeColor="text1"/>
        </w:rPr>
        <w:t xml:space="preserve"> The soil sampling points listed above were collected directly in the field using a Garmin GPS device, providing precise latitude and longitude coordinates for each land use type. This ensures accuracy, transparency, and reproducibility of the data.</w:t>
      </w:r>
    </w:p>
    <w:p w:rsidR="00A247D7" w:rsidRPr="001629A9" w:rsidRDefault="00A247D7" w:rsidP="001629A9">
      <w:pPr>
        <w:spacing w:after="0" w:line="360" w:lineRule="auto"/>
        <w:jc w:val="both"/>
        <w:rPr>
          <w:rFonts w:ascii="Times New Roman" w:eastAsia="Times New Roman" w:hAnsi="Times New Roman" w:cs="Times New Roman"/>
          <w:b/>
          <w:color w:val="000000" w:themeColor="text1"/>
        </w:rPr>
      </w:pPr>
      <w:r w:rsidRPr="001629A9">
        <w:rPr>
          <w:rFonts w:ascii="Times New Roman" w:eastAsia="Times New Roman" w:hAnsi="Times New Roman" w:cs="Times New Roman"/>
          <w:b/>
          <w:color w:val="000000" w:themeColor="text1"/>
        </w:rPr>
        <w:t>2.4 Methodology</w:t>
      </w:r>
    </w:p>
    <w:p w:rsidR="00BD78F0" w:rsidRPr="001629A9" w:rsidRDefault="001F7EA8" w:rsidP="001629A9">
      <w:pPr>
        <w:spacing w:after="120" w:line="360" w:lineRule="auto"/>
        <w:jc w:val="both"/>
        <w:rPr>
          <w:rFonts w:ascii="Times New Roman" w:hAnsi="Times New Roman" w:cs="Times New Roman"/>
          <w:color w:val="000000" w:themeColor="text1"/>
        </w:rPr>
      </w:pPr>
      <w:r w:rsidRPr="001629A9">
        <w:rPr>
          <w:rFonts w:ascii="Times New Roman" w:hAnsi="Times New Roman" w:cs="Times New Roman"/>
          <w:b/>
          <w:color w:val="000000" w:themeColor="text1"/>
        </w:rPr>
        <w:t xml:space="preserve">2.4.1 </w:t>
      </w:r>
      <w:r w:rsidR="00BD78F0" w:rsidRPr="001629A9">
        <w:rPr>
          <w:rFonts w:ascii="Times New Roman" w:hAnsi="Times New Roman" w:cs="Times New Roman"/>
          <w:b/>
          <w:color w:val="000000" w:themeColor="text1"/>
        </w:rPr>
        <w:t>Soil sampling and sample preparation</w:t>
      </w:r>
      <w:r w:rsidR="00133BB4" w:rsidRPr="001629A9">
        <w:rPr>
          <w:rFonts w:ascii="Times New Roman" w:hAnsi="Times New Roman" w:cs="Times New Roman"/>
          <w:b/>
          <w:color w:val="000000" w:themeColor="text1"/>
        </w:rPr>
        <w:t xml:space="preserve"> </w:t>
      </w:r>
    </w:p>
    <w:p w:rsidR="001629A9" w:rsidRPr="001629A9" w:rsidRDefault="00BD78F0" w:rsidP="001629A9">
      <w:pPr>
        <w:pStyle w:val="NormalWeb"/>
        <w:spacing w:before="0" w:beforeAutospacing="0" w:after="120" w:afterAutospacing="0" w:line="360" w:lineRule="auto"/>
        <w:jc w:val="both"/>
        <w:rPr>
          <w:sz w:val="22"/>
          <w:szCs w:val="22"/>
        </w:rPr>
      </w:pPr>
      <w:r w:rsidRPr="001629A9">
        <w:rPr>
          <w:color w:val="000000" w:themeColor="text1"/>
          <w:sz w:val="22"/>
          <w:szCs w:val="22"/>
        </w:rPr>
        <w:t xml:space="preserve"> </w:t>
      </w:r>
      <w:r w:rsidR="001629A9" w:rsidRPr="001629A9">
        <w:rPr>
          <w:sz w:val="22"/>
          <w:szCs w:val="22"/>
        </w:rPr>
        <w:t>The Kaseny watershed was purposively selected for this study due to its diverse land use types, pronounced land degradation, and high agricultural pote</w:t>
      </w:r>
      <w:r w:rsidR="001629A9">
        <w:rPr>
          <w:sz w:val="22"/>
          <w:szCs w:val="22"/>
        </w:rPr>
        <w:t xml:space="preserve">ntial. Four land use categories </w:t>
      </w:r>
      <w:r w:rsidR="001629A9" w:rsidRPr="001629A9">
        <w:rPr>
          <w:sz w:val="22"/>
          <w:szCs w:val="22"/>
        </w:rPr>
        <w:t xml:space="preserve">cultivated </w:t>
      </w:r>
      <w:proofErr w:type="gramStart"/>
      <w:r w:rsidR="001629A9" w:rsidRPr="001629A9">
        <w:rPr>
          <w:sz w:val="22"/>
          <w:szCs w:val="22"/>
        </w:rPr>
        <w:t>land,</w:t>
      </w:r>
      <w:proofErr w:type="gramEnd"/>
      <w:r w:rsidR="001629A9" w:rsidRPr="001629A9">
        <w:rPr>
          <w:sz w:val="22"/>
          <w:szCs w:val="22"/>
        </w:rPr>
        <w:t xml:space="preserve"> grazing land, for</w:t>
      </w:r>
      <w:r w:rsidR="001629A9">
        <w:rPr>
          <w:sz w:val="22"/>
          <w:szCs w:val="22"/>
        </w:rPr>
        <w:t xml:space="preserve">est land, and plantation forest </w:t>
      </w:r>
      <w:r w:rsidR="001629A9" w:rsidRPr="001629A9">
        <w:rPr>
          <w:sz w:val="22"/>
          <w:szCs w:val="22"/>
        </w:rPr>
        <w:t xml:space="preserve">were identified and classified based on detailed field </w:t>
      </w:r>
      <w:r w:rsidR="001629A9" w:rsidRPr="001629A9">
        <w:rPr>
          <w:sz w:val="22"/>
          <w:szCs w:val="22"/>
        </w:rPr>
        <w:lastRenderedPageBreak/>
        <w:t>observations and consultations with key informants. These land use types were deliberately chosen to be adjacent and to share similar soil characteristics, climatic conditions, and slope gradients, thereby minimizing the influence of confounding factors.</w:t>
      </w:r>
    </w:p>
    <w:p w:rsidR="001629A9" w:rsidRPr="001629A9" w:rsidRDefault="001629A9" w:rsidP="001629A9">
      <w:pPr>
        <w:spacing w:after="120" w:line="360" w:lineRule="auto"/>
        <w:jc w:val="both"/>
        <w:rPr>
          <w:rFonts w:ascii="Times New Roman" w:eastAsia="Times New Roman" w:hAnsi="Times New Roman" w:cs="Times New Roman"/>
        </w:rPr>
      </w:pPr>
      <w:r w:rsidRPr="001629A9">
        <w:rPr>
          <w:rFonts w:ascii="Times New Roman" w:eastAsia="Times New Roman" w:hAnsi="Times New Roman" w:cs="Times New Roman"/>
        </w:rPr>
        <w:t>For chemical and selected physical analyses, a total of 24 disturbed soil samples were collected from the four land use types at two soil depths (0–20 cm and 20–40 cm), with three replications per land use type. Within each 20 m × 20 m sampling plot, five soil pits were established in an X-pattern, with four pits located at the corners and one at the center. In addition, 24 undisturbed soil samples were obtained from the same pits using a 10.85 cm³ soil core sampler for the determination of bulk density and moisture content. Non-soil materials, including gravel, plant debris, and old manure, were carefully removed prior to and following sample collection to ensure sample purity.</w:t>
      </w:r>
    </w:p>
    <w:p w:rsidR="008109BD" w:rsidRPr="001629A9" w:rsidRDefault="001629A9" w:rsidP="00F8771F">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Both in-situ and ex-situ sample handling protocols were rigorously followed to maintain sample integrity. Soil samples were properly bagged, labeled, and stored in a contaminant-free environment until analysis. Prior to laboratory analysis, samples were air-dried, ground, and sieved through a 2 mm mesh. Selected physical and chemical properties were analyzed following FAO-standard soil analytical procedures at the Soil Laboratory of Haramaya University, a leading institution in agricultural and environmental research in Ethiopia.</w:t>
      </w:r>
    </w:p>
    <w:p w:rsidR="00BD78F0" w:rsidRPr="001629A9" w:rsidRDefault="00BD78F0" w:rsidP="001629A9">
      <w:pPr>
        <w:spacing w:after="120" w:line="360" w:lineRule="auto"/>
        <w:jc w:val="both"/>
        <w:rPr>
          <w:rFonts w:ascii="Times New Roman" w:hAnsi="Times New Roman" w:cs="Times New Roman"/>
          <w:bCs/>
          <w:color w:val="000000" w:themeColor="text1"/>
        </w:rPr>
      </w:pPr>
      <w:r w:rsidRPr="001629A9">
        <w:rPr>
          <w:rFonts w:ascii="Times New Roman" w:hAnsi="Times New Roman" w:cs="Times New Roman"/>
          <w:b/>
          <w:color w:val="000000" w:themeColor="text1"/>
        </w:rPr>
        <w:t xml:space="preserve"> </w:t>
      </w:r>
      <w:r w:rsidR="001F7EA8" w:rsidRPr="001629A9">
        <w:rPr>
          <w:rFonts w:ascii="Times New Roman" w:hAnsi="Times New Roman" w:cs="Times New Roman"/>
          <w:b/>
          <w:color w:val="000000" w:themeColor="text1"/>
        </w:rPr>
        <w:t xml:space="preserve">2.4.2 </w:t>
      </w:r>
      <w:r w:rsidRPr="001629A9">
        <w:rPr>
          <w:rFonts w:ascii="Times New Roman" w:hAnsi="Times New Roman" w:cs="Times New Roman"/>
          <w:b/>
          <w:color w:val="000000" w:themeColor="text1"/>
        </w:rPr>
        <w:t>Analysis of soil physicochemical properties</w:t>
      </w:r>
    </w:p>
    <w:p w:rsidR="001629A9" w:rsidRPr="001629A9" w:rsidRDefault="001629A9" w:rsidP="001629A9">
      <w:pPr>
        <w:spacing w:after="0" w:line="360" w:lineRule="auto"/>
        <w:jc w:val="both"/>
        <w:rPr>
          <w:rFonts w:ascii="Times New Roman" w:eastAsia="Times New Roman" w:hAnsi="Times New Roman" w:cs="Times New Roman"/>
        </w:rPr>
      </w:pPr>
      <w:bookmarkStart w:id="0" w:name="_Toc97271019"/>
      <w:r w:rsidRPr="001629A9">
        <w:rPr>
          <w:rFonts w:ascii="Times New Roman" w:eastAsia="Times New Roman" w:hAnsi="Times New Roman" w:cs="Times New Roman"/>
        </w:rPr>
        <w:t>Soil pH was measured in both distilled water and 1 M potassium chloride (</w:t>
      </w:r>
      <w:proofErr w:type="spellStart"/>
      <w:r w:rsidRPr="001629A9">
        <w:rPr>
          <w:rFonts w:ascii="Times New Roman" w:eastAsia="Times New Roman" w:hAnsi="Times New Roman" w:cs="Times New Roman"/>
        </w:rPr>
        <w:t>KCl</w:t>
      </w:r>
      <w:proofErr w:type="spellEnd"/>
      <w:r w:rsidRPr="001629A9">
        <w:rPr>
          <w:rFonts w:ascii="Times New Roman" w:eastAsia="Times New Roman" w:hAnsi="Times New Roman" w:cs="Times New Roman"/>
        </w:rPr>
        <w:t>) at a soil-to-solution ratio of 1:2.5 using a Thermo-</w:t>
      </w:r>
      <w:proofErr w:type="spellStart"/>
      <w:r w:rsidRPr="001629A9">
        <w:rPr>
          <w:rFonts w:ascii="Times New Roman" w:eastAsia="Times New Roman" w:hAnsi="Times New Roman" w:cs="Times New Roman"/>
        </w:rPr>
        <w:t>Russel</w:t>
      </w:r>
      <w:proofErr w:type="spellEnd"/>
      <w:r w:rsidRPr="001629A9">
        <w:rPr>
          <w:rFonts w:ascii="Times New Roman" w:eastAsia="Times New Roman" w:hAnsi="Times New Roman" w:cs="Times New Roman"/>
        </w:rPr>
        <w:t xml:space="preserve"> pH meter with a glass electrode, calibrated with standard buffer solutions of pH 7 and 4 (Day, 1965), after air-drying and sieving the samples through a 2 mm mesh to remove debris and coarse particles. Soil moisture content was determined gravimetrically by weighing fresh samples before and after oven-drying at 105 °C for 24 hours. Bulk density was measured using the volumetric method on undisturbed soil cores collected from the field and oven-dried at 105 °C for 24 hours (</w:t>
      </w:r>
      <w:proofErr w:type="spellStart"/>
      <w:r w:rsidRPr="001629A9">
        <w:rPr>
          <w:rFonts w:ascii="Times New Roman" w:eastAsia="Times New Roman" w:hAnsi="Times New Roman" w:cs="Times New Roman"/>
        </w:rPr>
        <w:t>Yerima</w:t>
      </w:r>
      <w:proofErr w:type="spellEnd"/>
      <w:r w:rsidRPr="001629A9">
        <w:rPr>
          <w:rFonts w:ascii="Times New Roman" w:eastAsia="Times New Roman" w:hAnsi="Times New Roman" w:cs="Times New Roman"/>
        </w:rPr>
        <w:t xml:space="preserve"> &amp; Van </w:t>
      </w:r>
      <w:proofErr w:type="spellStart"/>
      <w:r w:rsidRPr="001629A9">
        <w:rPr>
          <w:rFonts w:ascii="Times New Roman" w:eastAsia="Times New Roman" w:hAnsi="Times New Roman" w:cs="Times New Roman"/>
        </w:rPr>
        <w:t>Ranst</w:t>
      </w:r>
      <w:proofErr w:type="spellEnd"/>
      <w:r w:rsidRPr="001629A9">
        <w:rPr>
          <w:rFonts w:ascii="Times New Roman" w:eastAsia="Times New Roman" w:hAnsi="Times New Roman" w:cs="Times New Roman"/>
        </w:rPr>
        <w:t>, 2005a).</w:t>
      </w:r>
    </w:p>
    <w:p w:rsidR="001629A9" w:rsidRPr="001629A9" w:rsidRDefault="001629A9" w:rsidP="001629A9">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 xml:space="preserve">Soil organic carbon was determined using the wet digestion Walkley–Black method (1934) on air-dried, ground samples from which plant residues had been removed, while total nitrogen was analyzed on similarly pre-processed samples using the </w:t>
      </w:r>
      <w:proofErr w:type="spellStart"/>
      <w:r w:rsidRPr="001629A9">
        <w:rPr>
          <w:rFonts w:ascii="Times New Roman" w:eastAsia="Times New Roman" w:hAnsi="Times New Roman" w:cs="Times New Roman"/>
        </w:rPr>
        <w:t>Kjeldahl</w:t>
      </w:r>
      <w:proofErr w:type="spellEnd"/>
      <w:r w:rsidRPr="001629A9">
        <w:rPr>
          <w:rFonts w:ascii="Times New Roman" w:eastAsia="Times New Roman" w:hAnsi="Times New Roman" w:cs="Times New Roman"/>
        </w:rPr>
        <w:t xml:space="preserve"> digestion, distillation, and titration procedure (Anderson &amp; Ingram, 1993). Available phosphorus was extracted by the Olsen method (1954) on air-dried, sieved samples. Cation exchange capacity (CEC) was measured following Chapman’s ammonium acetate extraction method (1965) after pre-washing soils with neutral ammonium acetate to remove soluble salts. Exchangeable bases (Ca²⁺, Mg²⁺, K⁺, and Na⁺) were extracted with 1.0 M </w:t>
      </w:r>
      <w:proofErr w:type="spellStart"/>
      <w:r w:rsidRPr="001629A9">
        <w:rPr>
          <w:rFonts w:ascii="Times New Roman" w:eastAsia="Times New Roman" w:hAnsi="Times New Roman" w:cs="Times New Roman"/>
        </w:rPr>
        <w:t>NH₄OAc</w:t>
      </w:r>
      <w:proofErr w:type="spellEnd"/>
      <w:r w:rsidRPr="001629A9">
        <w:rPr>
          <w:rFonts w:ascii="Times New Roman" w:eastAsia="Times New Roman" w:hAnsi="Times New Roman" w:cs="Times New Roman"/>
        </w:rPr>
        <w:t xml:space="preserve">, with calcium and magnesium quantified by atomic absorption spectrophotometry, and potassium and sodium determined using a flame photometer (Thomas, 1990). </w:t>
      </w:r>
    </w:p>
    <w:p w:rsidR="00BD78F0" w:rsidRPr="001629A9" w:rsidRDefault="001F7EA8" w:rsidP="001629A9">
      <w:pPr>
        <w:spacing w:after="0" w:line="360" w:lineRule="auto"/>
        <w:jc w:val="both"/>
        <w:rPr>
          <w:rFonts w:ascii="Times New Roman" w:hAnsi="Times New Roman" w:cs="Times New Roman"/>
          <w:b/>
          <w:color w:val="000000" w:themeColor="text1"/>
        </w:rPr>
      </w:pPr>
      <w:r w:rsidRPr="001629A9">
        <w:rPr>
          <w:rFonts w:ascii="Times New Roman" w:hAnsi="Times New Roman" w:cs="Times New Roman"/>
          <w:b/>
          <w:color w:val="000000" w:themeColor="text1"/>
        </w:rPr>
        <w:lastRenderedPageBreak/>
        <w:t xml:space="preserve">2.4.3 </w:t>
      </w:r>
      <w:r w:rsidR="00BD78F0" w:rsidRPr="001629A9">
        <w:rPr>
          <w:rFonts w:ascii="Times New Roman" w:hAnsi="Times New Roman" w:cs="Times New Roman"/>
          <w:b/>
          <w:color w:val="000000" w:themeColor="text1"/>
        </w:rPr>
        <w:t>Statistical analysis</w:t>
      </w:r>
      <w:bookmarkEnd w:id="0"/>
    </w:p>
    <w:p w:rsidR="001629A9" w:rsidRPr="001629A9" w:rsidRDefault="001629A9" w:rsidP="001629A9">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Analyses of natural forestland, cultivated land, grazing land, pastureland, and plantation forestland were conducted in triplicate to ensure accuracy and reliability. Variations in soil physicochemical properties across land use types and soil depths were evaluated using a two-way analysis of variance (ANOVA) with the General Linear Model (GLM) procedure in SAS version 9.00 (SAS, 2002), allowing simultaneous assessment of the main effects of land use, soil depth, and their interactions. Prior to ANOVA, the normality of the data was confirmed using the Shapiro–</w:t>
      </w:r>
      <w:proofErr w:type="spellStart"/>
      <w:r w:rsidRPr="001629A9">
        <w:rPr>
          <w:rFonts w:ascii="Times New Roman" w:eastAsia="Times New Roman" w:hAnsi="Times New Roman" w:cs="Times New Roman"/>
        </w:rPr>
        <w:t>Wilk</w:t>
      </w:r>
      <w:proofErr w:type="spellEnd"/>
      <w:r w:rsidRPr="001629A9">
        <w:rPr>
          <w:rFonts w:ascii="Times New Roman" w:eastAsia="Times New Roman" w:hAnsi="Times New Roman" w:cs="Times New Roman"/>
        </w:rPr>
        <w:t xml:space="preserve"> test (Shapiro et al., 1965), and homogeneity of variances across groups was verified using </w:t>
      </w:r>
      <w:proofErr w:type="spellStart"/>
      <w:r w:rsidRPr="001629A9">
        <w:rPr>
          <w:rFonts w:ascii="Times New Roman" w:eastAsia="Times New Roman" w:hAnsi="Times New Roman" w:cs="Times New Roman"/>
        </w:rPr>
        <w:t>Levene’s</w:t>
      </w:r>
      <w:proofErr w:type="spellEnd"/>
      <w:r w:rsidRPr="001629A9">
        <w:rPr>
          <w:rFonts w:ascii="Times New Roman" w:eastAsia="Times New Roman" w:hAnsi="Times New Roman" w:cs="Times New Roman"/>
        </w:rPr>
        <w:t xml:space="preserve"> test (</w:t>
      </w:r>
      <w:proofErr w:type="spellStart"/>
      <w:r w:rsidRPr="001629A9">
        <w:rPr>
          <w:rFonts w:ascii="Times New Roman" w:eastAsia="Times New Roman" w:hAnsi="Times New Roman" w:cs="Times New Roman"/>
        </w:rPr>
        <w:t>Levene</w:t>
      </w:r>
      <w:proofErr w:type="spellEnd"/>
      <w:r w:rsidRPr="001629A9">
        <w:rPr>
          <w:rFonts w:ascii="Times New Roman" w:eastAsia="Times New Roman" w:hAnsi="Times New Roman" w:cs="Times New Roman"/>
        </w:rPr>
        <w:t>, 1960).</w:t>
      </w:r>
    </w:p>
    <w:p w:rsidR="001629A9" w:rsidRPr="001629A9" w:rsidRDefault="001629A9" w:rsidP="001629A9">
      <w:pPr>
        <w:spacing w:after="0" w:line="360" w:lineRule="auto"/>
        <w:jc w:val="both"/>
        <w:rPr>
          <w:rFonts w:ascii="Times New Roman" w:eastAsia="Times New Roman" w:hAnsi="Times New Roman" w:cs="Times New Roman"/>
        </w:rPr>
      </w:pPr>
      <w:r w:rsidRPr="001629A9">
        <w:rPr>
          <w:rFonts w:ascii="Times New Roman" w:eastAsia="Times New Roman" w:hAnsi="Times New Roman" w:cs="Times New Roman"/>
        </w:rPr>
        <w:t>Relationships between soil properties were examined using Pearson correlation coefficients (Pearson, 1896) to assess the strength and direction of associations. Post hoc mean comparisons were performed using the Least Significant Difference (LSD) method at a 5% significance level, enabling identification of specific land use types and soil depths that differed significantly. This approach provided a detailed understanding of how land management practices and soil stratification influence soil quality.</w:t>
      </w:r>
    </w:p>
    <w:p w:rsidR="00150C8B" w:rsidRPr="00927F64" w:rsidRDefault="00762473" w:rsidP="00F8771F">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3. Results and D</w:t>
      </w:r>
      <w:r w:rsidR="00150C8B" w:rsidRPr="00927F64">
        <w:rPr>
          <w:rFonts w:ascii="Times New Roman" w:hAnsi="Times New Roman" w:cs="Times New Roman"/>
          <w:b/>
          <w:color w:val="000000" w:themeColor="text1"/>
        </w:rPr>
        <w:t>iscussion</w:t>
      </w:r>
    </w:p>
    <w:p w:rsidR="007D6848" w:rsidRPr="00927F64" w:rsidRDefault="007D6848" w:rsidP="00F8771F">
      <w:pPr>
        <w:pStyle w:val="NormalWeb"/>
        <w:spacing w:before="0" w:beforeAutospacing="0" w:after="0" w:afterAutospacing="0" w:line="360" w:lineRule="auto"/>
        <w:jc w:val="both"/>
        <w:rPr>
          <w:rStyle w:val="Strong"/>
          <w:b w:val="0"/>
          <w:color w:val="000000" w:themeColor="text1"/>
          <w:sz w:val="22"/>
          <w:szCs w:val="22"/>
        </w:rPr>
      </w:pPr>
      <w:r w:rsidRPr="00927F64">
        <w:rPr>
          <w:b/>
          <w:color w:val="000000" w:themeColor="text1"/>
          <w:sz w:val="22"/>
          <w:szCs w:val="22"/>
        </w:rPr>
        <w:t>3.1. Effects of land use types and soil depth on selected soil physical properties</w:t>
      </w:r>
    </w:p>
    <w:p w:rsidR="007E397B" w:rsidRPr="002D59E7" w:rsidRDefault="004B36C1" w:rsidP="002D59E7">
      <w:pPr>
        <w:pStyle w:val="NormalWeb"/>
        <w:spacing w:before="0" w:beforeAutospacing="0" w:after="0" w:afterAutospacing="0" w:line="360" w:lineRule="auto"/>
        <w:jc w:val="both"/>
        <w:rPr>
          <w:rStyle w:val="Strong"/>
          <w:color w:val="000000" w:themeColor="text1"/>
          <w:sz w:val="22"/>
          <w:szCs w:val="22"/>
        </w:rPr>
      </w:pPr>
      <w:r w:rsidRPr="002D59E7">
        <w:rPr>
          <w:rStyle w:val="Strong"/>
          <w:color w:val="000000" w:themeColor="text1"/>
          <w:sz w:val="22"/>
          <w:szCs w:val="22"/>
        </w:rPr>
        <w:t xml:space="preserve">3.1.1 </w:t>
      </w:r>
      <w:r w:rsidR="007E397B" w:rsidRPr="002D59E7">
        <w:rPr>
          <w:rStyle w:val="Strong"/>
          <w:color w:val="000000" w:themeColor="text1"/>
          <w:sz w:val="22"/>
          <w:szCs w:val="22"/>
        </w:rPr>
        <w:t>Soil Texture</w:t>
      </w:r>
    </w:p>
    <w:p w:rsidR="002D59E7" w:rsidRPr="002D59E7" w:rsidRDefault="002D59E7" w:rsidP="002D59E7">
      <w:pPr>
        <w:spacing w:after="0" w:line="360" w:lineRule="auto"/>
        <w:jc w:val="both"/>
        <w:rPr>
          <w:rFonts w:ascii="Times New Roman" w:eastAsia="Times New Roman" w:hAnsi="Times New Roman" w:cs="Times New Roman"/>
        </w:rPr>
      </w:pPr>
      <w:r w:rsidRPr="002D59E7">
        <w:rPr>
          <w:rFonts w:ascii="Times New Roman" w:eastAsia="Times New Roman" w:hAnsi="Times New Roman" w:cs="Times New Roman"/>
        </w:rPr>
        <w:t>The analysis showed that the proportions of sand and clay differed significantly (P &lt; 0.01) among various land use types and soil depths, whereas the average silt content remained statistically similar (Table 2). This indicates that variations in soil texture are mainly driven by changes in sand and clay fractions influenced by land use and depth.</w:t>
      </w:r>
    </w:p>
    <w:p w:rsidR="002D59E7" w:rsidRDefault="002D59E7" w:rsidP="002D59E7">
      <w:pPr>
        <w:spacing w:after="0" w:line="360" w:lineRule="auto"/>
        <w:jc w:val="both"/>
        <w:rPr>
          <w:rFonts w:ascii="Times New Roman" w:eastAsia="Times New Roman" w:hAnsi="Times New Roman" w:cs="Times New Roman"/>
        </w:rPr>
      </w:pPr>
      <w:r w:rsidRPr="002D59E7">
        <w:rPr>
          <w:rFonts w:ascii="Times New Roman" w:eastAsia="Times New Roman" w:hAnsi="Times New Roman" w:cs="Times New Roman"/>
        </w:rPr>
        <w:t>Sand content varied notably (P &lt; 0.01), with cultivated land</w:t>
      </w:r>
      <w:r w:rsidR="00D17CAC">
        <w:rPr>
          <w:rFonts w:ascii="Times New Roman" w:eastAsia="Times New Roman" w:hAnsi="Times New Roman" w:cs="Times New Roman"/>
        </w:rPr>
        <w:t xml:space="preserve"> having the highest proportion </w:t>
      </w:r>
      <w:r w:rsidR="00F83989">
        <w:rPr>
          <w:rFonts w:ascii="Times New Roman" w:eastAsia="Times New Roman" w:hAnsi="Times New Roman" w:cs="Times New Roman"/>
        </w:rPr>
        <w:t>23.10</w:t>
      </w:r>
      <w:r w:rsidR="00D17CAC">
        <w:rPr>
          <w:rFonts w:ascii="Times New Roman" w:eastAsia="Times New Roman" w:hAnsi="Times New Roman" w:cs="Times New Roman"/>
        </w:rPr>
        <w:t>% and grazing land the lowest value 15.63%</w:t>
      </w:r>
      <w:r w:rsidRPr="002D59E7">
        <w:rPr>
          <w:rFonts w:ascii="Times New Roman" w:eastAsia="Times New Roman" w:hAnsi="Times New Roman" w:cs="Times New Roman"/>
        </w:rPr>
        <w:t>, while natural forest and plantation fore</w:t>
      </w:r>
      <w:r w:rsidR="00F83989">
        <w:rPr>
          <w:rFonts w:ascii="Times New Roman" w:eastAsia="Times New Roman" w:hAnsi="Times New Roman" w:cs="Times New Roman"/>
        </w:rPr>
        <w:t>st had intermediate values of 15.47</w:t>
      </w:r>
      <w:r w:rsidRPr="002D59E7">
        <w:rPr>
          <w:rFonts w:ascii="Times New Roman" w:eastAsia="Times New Roman" w:hAnsi="Times New Roman" w:cs="Times New Roman"/>
        </w:rPr>
        <w:t>% and 17.83%, respectively (Table 2). Across the soil profile</w:t>
      </w:r>
      <w:r w:rsidR="00D86CE3">
        <w:rPr>
          <w:rFonts w:ascii="Times New Roman" w:eastAsia="Times New Roman" w:hAnsi="Times New Roman" w:cs="Times New Roman"/>
        </w:rPr>
        <w:t>, sand slightly declined from 19.4</w:t>
      </w:r>
      <w:r w:rsidR="001E68AD">
        <w:rPr>
          <w:rFonts w:ascii="Times New Roman" w:eastAsia="Times New Roman" w:hAnsi="Times New Roman" w:cs="Times New Roman"/>
        </w:rPr>
        <w:t>3% at 0–2</w:t>
      </w:r>
      <w:r w:rsidR="00D86CE3">
        <w:rPr>
          <w:rFonts w:ascii="Times New Roman" w:eastAsia="Times New Roman" w:hAnsi="Times New Roman" w:cs="Times New Roman"/>
        </w:rPr>
        <w:t>0 cm to 17</w:t>
      </w:r>
      <w:r w:rsidR="001E68AD">
        <w:rPr>
          <w:rFonts w:ascii="Times New Roman" w:eastAsia="Times New Roman" w:hAnsi="Times New Roman" w:cs="Times New Roman"/>
        </w:rPr>
        <w:t>.25% at 20–4</w:t>
      </w:r>
      <w:r w:rsidRPr="002D59E7">
        <w:rPr>
          <w:rFonts w:ascii="Times New Roman" w:eastAsia="Times New Roman" w:hAnsi="Times New Roman" w:cs="Times New Roman"/>
        </w:rPr>
        <w:t xml:space="preserve">0 cm, suggesting that finer particles accumulate at deeper layers. The elevated sand content in cultivated soils is likely due to disturbances such as tillage, as well as the loss of finer clay and silt particles through erosion or leaching. In contrast, forested and grazing lands maintain lower sand levels and a more stable soil structure supported by continuous litter deposition, minimal disturbance, and reduced erosion. Similar trends have been observed by Molla et al. (2022) in the </w:t>
      </w:r>
      <w:proofErr w:type="spellStart"/>
      <w:r w:rsidRPr="002D59E7">
        <w:rPr>
          <w:rFonts w:ascii="Times New Roman" w:eastAsia="Times New Roman" w:hAnsi="Times New Roman" w:cs="Times New Roman"/>
        </w:rPr>
        <w:t>Ganzer</w:t>
      </w:r>
      <w:proofErr w:type="spellEnd"/>
      <w:r w:rsidRPr="002D59E7">
        <w:rPr>
          <w:rFonts w:ascii="Times New Roman" w:eastAsia="Times New Roman" w:hAnsi="Times New Roman" w:cs="Times New Roman"/>
        </w:rPr>
        <w:t xml:space="preserve"> watershed and </w:t>
      </w:r>
      <w:proofErr w:type="spellStart"/>
      <w:r w:rsidRPr="002D59E7">
        <w:rPr>
          <w:rFonts w:ascii="Times New Roman" w:eastAsia="Times New Roman" w:hAnsi="Times New Roman" w:cs="Times New Roman"/>
        </w:rPr>
        <w:t>Ewunetu</w:t>
      </w:r>
      <w:proofErr w:type="spellEnd"/>
      <w:r w:rsidRPr="002D59E7">
        <w:rPr>
          <w:rFonts w:ascii="Times New Roman" w:eastAsia="Times New Roman" w:hAnsi="Times New Roman" w:cs="Times New Roman"/>
        </w:rPr>
        <w:t xml:space="preserve"> et al. (2025) in the </w:t>
      </w:r>
      <w:proofErr w:type="spellStart"/>
      <w:r w:rsidRPr="002D59E7">
        <w:rPr>
          <w:rFonts w:ascii="Times New Roman" w:eastAsia="Times New Roman" w:hAnsi="Times New Roman" w:cs="Times New Roman"/>
        </w:rPr>
        <w:t>Tach</w:t>
      </w:r>
      <w:proofErr w:type="spellEnd"/>
      <w:r w:rsidRPr="002D59E7">
        <w:rPr>
          <w:rFonts w:ascii="Times New Roman" w:eastAsia="Times New Roman" w:hAnsi="Times New Roman" w:cs="Times New Roman"/>
        </w:rPr>
        <w:t xml:space="preserve"> </w:t>
      </w:r>
      <w:proofErr w:type="spellStart"/>
      <w:r w:rsidRPr="002D59E7">
        <w:rPr>
          <w:rFonts w:ascii="Times New Roman" w:eastAsia="Times New Roman" w:hAnsi="Times New Roman" w:cs="Times New Roman"/>
        </w:rPr>
        <w:t>Karnuary</w:t>
      </w:r>
      <w:proofErr w:type="spellEnd"/>
      <w:r w:rsidRPr="002D59E7">
        <w:rPr>
          <w:rFonts w:ascii="Times New Roman" w:eastAsia="Times New Roman" w:hAnsi="Times New Roman" w:cs="Times New Roman"/>
        </w:rPr>
        <w:t xml:space="preserve"> watershed, confirming that converting land to cultivation generall</w:t>
      </w:r>
      <w:r w:rsidR="00EB07B1">
        <w:rPr>
          <w:rFonts w:ascii="Times New Roman" w:eastAsia="Times New Roman" w:hAnsi="Times New Roman" w:cs="Times New Roman"/>
        </w:rPr>
        <w:t>y leads to coarser soil texture</w:t>
      </w:r>
      <w:r w:rsidRPr="002D59E7">
        <w:rPr>
          <w:rFonts w:ascii="Times New Roman" w:eastAsia="Times New Roman" w:hAnsi="Times New Roman" w:cs="Times New Roman"/>
        </w:rPr>
        <w:t>.</w:t>
      </w:r>
    </w:p>
    <w:p w:rsidR="00D86CE3" w:rsidRPr="008D69A0" w:rsidRDefault="002D59E7" w:rsidP="002D59E7">
      <w:pPr>
        <w:spacing w:after="0" w:line="360" w:lineRule="auto"/>
        <w:jc w:val="both"/>
        <w:rPr>
          <w:rFonts w:ascii="Times New Roman" w:eastAsia="Times New Roman" w:hAnsi="Times New Roman" w:cs="Times New Roman"/>
          <w:color w:val="000000" w:themeColor="text1"/>
        </w:rPr>
      </w:pPr>
      <w:r w:rsidRPr="002D59E7">
        <w:rPr>
          <w:rFonts w:ascii="Times New Roman" w:eastAsia="Times New Roman" w:hAnsi="Times New Roman" w:cs="Times New Roman"/>
        </w:rPr>
        <w:t>Silt content did not differ significantly across land use types or soil de</w:t>
      </w:r>
      <w:r w:rsidR="00D86CE3">
        <w:rPr>
          <w:rFonts w:ascii="Times New Roman" w:eastAsia="Times New Roman" w:hAnsi="Times New Roman" w:cs="Times New Roman"/>
        </w:rPr>
        <w:t xml:space="preserve">pths (P &gt; 0.05), ranging from </w:t>
      </w:r>
      <w:r w:rsidR="00D86CE3" w:rsidRPr="008D69A0">
        <w:rPr>
          <w:rFonts w:ascii="Times New Roman" w:eastAsia="Times New Roman" w:hAnsi="Times New Roman" w:cs="Times New Roman"/>
          <w:color w:val="000000" w:themeColor="text1"/>
        </w:rPr>
        <w:t>25.73</w:t>
      </w:r>
      <w:r w:rsidRPr="002D59E7">
        <w:rPr>
          <w:rFonts w:ascii="Times New Roman" w:eastAsia="Times New Roman" w:hAnsi="Times New Roman" w:cs="Times New Roman"/>
          <w:color w:val="000000" w:themeColor="text1"/>
        </w:rPr>
        <w:t xml:space="preserve">% in </w:t>
      </w:r>
      <w:r w:rsidR="00D86CE3" w:rsidRPr="008D69A0">
        <w:rPr>
          <w:rFonts w:ascii="Times New Roman" w:eastAsia="Times New Roman" w:hAnsi="Times New Roman" w:cs="Times New Roman"/>
          <w:color w:val="000000" w:themeColor="text1"/>
        </w:rPr>
        <w:t>natural forests to 32.21</w:t>
      </w:r>
      <w:r w:rsidRPr="002D59E7">
        <w:rPr>
          <w:rFonts w:ascii="Times New Roman" w:eastAsia="Times New Roman" w:hAnsi="Times New Roman" w:cs="Times New Roman"/>
          <w:color w:val="000000" w:themeColor="text1"/>
        </w:rPr>
        <w:t xml:space="preserve">% in cultivated lands, and remained relatively </w:t>
      </w:r>
      <w:r w:rsidR="00D17CAC" w:rsidRPr="008D69A0">
        <w:rPr>
          <w:rFonts w:ascii="Times New Roman" w:eastAsia="Times New Roman" w:hAnsi="Times New Roman" w:cs="Times New Roman"/>
          <w:color w:val="000000" w:themeColor="text1"/>
        </w:rPr>
        <w:t xml:space="preserve">stable with depth </w:t>
      </w:r>
      <w:r w:rsidR="00D86CE3" w:rsidRPr="008D69A0">
        <w:rPr>
          <w:rFonts w:ascii="Times New Roman" w:eastAsia="Times New Roman" w:hAnsi="Times New Roman" w:cs="Times New Roman"/>
          <w:color w:val="000000" w:themeColor="text1"/>
        </w:rPr>
        <w:t>28.61–25.5</w:t>
      </w:r>
      <w:r w:rsidR="00D17CAC" w:rsidRPr="008D69A0">
        <w:rPr>
          <w:rFonts w:ascii="Times New Roman" w:eastAsia="Times New Roman" w:hAnsi="Times New Roman" w:cs="Times New Roman"/>
          <w:color w:val="000000" w:themeColor="text1"/>
        </w:rPr>
        <w:t>%</w:t>
      </w:r>
      <w:r w:rsidRPr="002D59E7">
        <w:rPr>
          <w:rFonts w:ascii="Times New Roman" w:eastAsia="Times New Roman" w:hAnsi="Times New Roman" w:cs="Times New Roman"/>
          <w:color w:val="000000" w:themeColor="text1"/>
        </w:rPr>
        <w:t xml:space="preserve"> (Table 2). This suggests that silt is less affected by land use, likely due to its intermediate particle size, which makes it less prone to erosion than sand and less mobile than clay. </w:t>
      </w:r>
    </w:p>
    <w:p w:rsidR="002D59E7" w:rsidRPr="002D59E7" w:rsidRDefault="002D59E7" w:rsidP="002D59E7">
      <w:pPr>
        <w:spacing w:after="0" w:line="360" w:lineRule="auto"/>
        <w:jc w:val="both"/>
        <w:rPr>
          <w:rFonts w:ascii="Times New Roman" w:eastAsia="Times New Roman" w:hAnsi="Times New Roman" w:cs="Times New Roman"/>
          <w:color w:val="000000" w:themeColor="text1"/>
        </w:rPr>
      </w:pPr>
      <w:r w:rsidRPr="002D59E7">
        <w:rPr>
          <w:rFonts w:ascii="Times New Roman" w:eastAsia="Times New Roman" w:hAnsi="Times New Roman" w:cs="Times New Roman"/>
          <w:color w:val="000000" w:themeColor="text1"/>
        </w:rPr>
        <w:lastRenderedPageBreak/>
        <w:t>In contrast, clay content varied significantly (P &lt; 0.05)</w:t>
      </w:r>
      <w:r w:rsidR="00D17CAC" w:rsidRPr="008D69A0">
        <w:rPr>
          <w:rFonts w:ascii="Times New Roman" w:eastAsia="Times New Roman" w:hAnsi="Times New Roman" w:cs="Times New Roman"/>
          <w:color w:val="000000" w:themeColor="text1"/>
        </w:rPr>
        <w:t>;</w:t>
      </w:r>
      <w:r w:rsidRPr="002D59E7">
        <w:rPr>
          <w:rFonts w:ascii="Times New Roman" w:eastAsia="Times New Roman" w:hAnsi="Times New Roman" w:cs="Times New Roman"/>
          <w:color w:val="000000" w:themeColor="text1"/>
        </w:rPr>
        <w:t xml:space="preserve"> with the highest propor</w:t>
      </w:r>
      <w:r w:rsidR="001E68AD" w:rsidRPr="008D69A0">
        <w:rPr>
          <w:rFonts w:ascii="Times New Roman" w:eastAsia="Times New Roman" w:hAnsi="Times New Roman" w:cs="Times New Roman"/>
          <w:color w:val="000000" w:themeColor="text1"/>
        </w:rPr>
        <w:t xml:space="preserve">tion in natural forest soils 56.8% </w:t>
      </w:r>
      <w:r w:rsidRPr="002D59E7">
        <w:rPr>
          <w:rFonts w:ascii="Times New Roman" w:eastAsia="Times New Roman" w:hAnsi="Times New Roman" w:cs="Times New Roman"/>
          <w:color w:val="000000" w:themeColor="text1"/>
        </w:rPr>
        <w:t xml:space="preserve">and </w:t>
      </w:r>
      <w:r w:rsidR="00D17CAC" w:rsidRPr="008D69A0">
        <w:rPr>
          <w:rFonts w:ascii="Times New Roman" w:eastAsia="Times New Roman" w:hAnsi="Times New Roman" w:cs="Times New Roman"/>
          <w:color w:val="000000" w:themeColor="text1"/>
        </w:rPr>
        <w:t xml:space="preserve">the lowest in cultivated lands </w:t>
      </w:r>
      <w:r w:rsidR="001E68AD" w:rsidRPr="008D69A0">
        <w:rPr>
          <w:rFonts w:ascii="Times New Roman" w:eastAsia="Times New Roman" w:hAnsi="Times New Roman" w:cs="Times New Roman"/>
          <w:color w:val="000000" w:themeColor="text1"/>
        </w:rPr>
        <w:t>44.6</w:t>
      </w:r>
      <w:r w:rsidR="00D17CAC" w:rsidRPr="008D69A0">
        <w:rPr>
          <w:rFonts w:ascii="Times New Roman" w:eastAsia="Times New Roman" w:hAnsi="Times New Roman" w:cs="Times New Roman"/>
          <w:color w:val="000000" w:themeColor="text1"/>
        </w:rPr>
        <w:t>9%</w:t>
      </w:r>
      <w:r w:rsidRPr="002D59E7">
        <w:rPr>
          <w:rFonts w:ascii="Times New Roman" w:eastAsia="Times New Roman" w:hAnsi="Times New Roman" w:cs="Times New Roman"/>
          <w:color w:val="000000" w:themeColor="text1"/>
        </w:rPr>
        <w:t>, while grazing and planta</w:t>
      </w:r>
      <w:r w:rsidR="00D17CAC" w:rsidRPr="008D69A0">
        <w:rPr>
          <w:rFonts w:ascii="Times New Roman" w:eastAsia="Times New Roman" w:hAnsi="Times New Roman" w:cs="Times New Roman"/>
          <w:color w:val="000000" w:themeColor="text1"/>
        </w:rPr>
        <w:t xml:space="preserve">tion forests were intermediate </w:t>
      </w:r>
      <w:r w:rsidRPr="002D59E7">
        <w:rPr>
          <w:rFonts w:ascii="Times New Roman" w:eastAsia="Times New Roman" w:hAnsi="Times New Roman" w:cs="Times New Roman"/>
          <w:color w:val="000000" w:themeColor="text1"/>
        </w:rPr>
        <w:t>53</w:t>
      </w:r>
      <w:r w:rsidR="00D17CAC" w:rsidRPr="008D69A0">
        <w:rPr>
          <w:rFonts w:ascii="Times New Roman" w:eastAsia="Times New Roman" w:hAnsi="Times New Roman" w:cs="Times New Roman"/>
          <w:color w:val="000000" w:themeColor="text1"/>
        </w:rPr>
        <w:t xml:space="preserve">.80% and 52.24% </w:t>
      </w:r>
      <w:r w:rsidRPr="002D59E7">
        <w:rPr>
          <w:rFonts w:ascii="Times New Roman" w:eastAsia="Times New Roman" w:hAnsi="Times New Roman" w:cs="Times New Roman"/>
          <w:color w:val="000000" w:themeColor="text1"/>
        </w:rPr>
        <w:t>(Table 2). C</w:t>
      </w:r>
      <w:r w:rsidR="001E68AD" w:rsidRPr="008D69A0">
        <w:rPr>
          <w:rFonts w:ascii="Times New Roman" w:eastAsia="Times New Roman" w:hAnsi="Times New Roman" w:cs="Times New Roman"/>
          <w:color w:val="000000" w:themeColor="text1"/>
        </w:rPr>
        <w:t>lay increased with depth from 51.96% at 0–20 cm to 55.25% at 20–4</w:t>
      </w:r>
      <w:r w:rsidRPr="002D59E7">
        <w:rPr>
          <w:rFonts w:ascii="Times New Roman" w:eastAsia="Times New Roman" w:hAnsi="Times New Roman" w:cs="Times New Roman"/>
          <w:color w:val="000000" w:themeColor="text1"/>
        </w:rPr>
        <w:t>0 cm, reflecting accumulation in less disturbed soils. The higher clay content in forested areas is likely due to reduced erosion, organic matter accumulation, and minimal disturbance, whereas cultivated soils may lose clay through erosion, tillage, and leaching.</w:t>
      </w:r>
    </w:p>
    <w:p w:rsidR="002D59E7" w:rsidRPr="002D59E7" w:rsidRDefault="002D59E7" w:rsidP="008D69A0">
      <w:pPr>
        <w:spacing w:after="120" w:line="360" w:lineRule="auto"/>
        <w:jc w:val="both"/>
        <w:rPr>
          <w:rFonts w:ascii="Times New Roman" w:eastAsia="Times New Roman" w:hAnsi="Times New Roman" w:cs="Times New Roman"/>
          <w:color w:val="000000" w:themeColor="text1"/>
        </w:rPr>
      </w:pPr>
      <w:r w:rsidRPr="002D59E7">
        <w:rPr>
          <w:rFonts w:ascii="Times New Roman" w:eastAsia="Times New Roman" w:hAnsi="Times New Roman" w:cs="Times New Roman"/>
          <w:color w:val="000000" w:themeColor="text1"/>
        </w:rPr>
        <w:t>These variations in soil texture influence fertility and crop performance. High sand content lowers water and nutrient retention, stable silt supports moderate water holding and nutrient availability, and higher clay improves nutrient retention and water-holding capacity but may impede drainage if excessive. Thus, managing soil texture through organic amendments, conservation tillage, and sustainable land use practices is critical for maintaining soil productivity.</w:t>
      </w:r>
    </w:p>
    <w:p w:rsidR="00FB0AFD" w:rsidRPr="00D17CAC" w:rsidRDefault="004B36C1" w:rsidP="008D69A0">
      <w:pPr>
        <w:pStyle w:val="NormalWeb"/>
        <w:spacing w:before="0" w:beforeAutospacing="0" w:after="120" w:afterAutospacing="0" w:line="360" w:lineRule="auto"/>
        <w:jc w:val="both"/>
        <w:rPr>
          <w:color w:val="000000" w:themeColor="text1"/>
          <w:sz w:val="22"/>
          <w:szCs w:val="22"/>
        </w:rPr>
      </w:pPr>
      <w:r w:rsidRPr="00D17CAC">
        <w:rPr>
          <w:rStyle w:val="Strong"/>
          <w:color w:val="000000" w:themeColor="text1"/>
          <w:sz w:val="22"/>
          <w:szCs w:val="22"/>
        </w:rPr>
        <w:t xml:space="preserve">3.1.2 </w:t>
      </w:r>
      <w:r w:rsidR="00FB0AFD" w:rsidRPr="00D17CAC">
        <w:rPr>
          <w:rStyle w:val="Strong"/>
          <w:color w:val="000000" w:themeColor="text1"/>
          <w:sz w:val="22"/>
          <w:szCs w:val="22"/>
        </w:rPr>
        <w:t>Soil Bulk Density (BD)</w:t>
      </w:r>
    </w:p>
    <w:p w:rsidR="00D17CAC" w:rsidRDefault="00D17CAC" w:rsidP="008D69A0">
      <w:pPr>
        <w:spacing w:after="0" w:line="360" w:lineRule="auto"/>
        <w:jc w:val="both"/>
        <w:rPr>
          <w:rFonts w:ascii="Times New Roman" w:hAnsi="Times New Roman" w:cs="Times New Roman"/>
        </w:rPr>
      </w:pPr>
      <w:r w:rsidRPr="00D17CAC">
        <w:rPr>
          <w:rFonts w:ascii="Times New Roman" w:eastAsia="Times New Roman" w:hAnsi="Times New Roman" w:cs="Times New Roman"/>
        </w:rPr>
        <w:t>Bulk density (BD) varied significantly across land use types and soil depths (P &lt; 0.01), with natural fore</w:t>
      </w:r>
      <w:r w:rsidRPr="008D69A0">
        <w:rPr>
          <w:rFonts w:ascii="Times New Roman" w:eastAsia="Times New Roman" w:hAnsi="Times New Roman" w:cs="Times New Roman"/>
        </w:rPr>
        <w:t xml:space="preserve">st soils showing the lowest BD </w:t>
      </w:r>
      <w:r w:rsidR="001E68AD" w:rsidRPr="008D69A0">
        <w:rPr>
          <w:rFonts w:ascii="Times New Roman" w:eastAsia="Times New Roman" w:hAnsi="Times New Roman" w:cs="Times New Roman"/>
        </w:rPr>
        <w:t>1.1</w:t>
      </w:r>
      <w:r w:rsidRPr="008D69A0">
        <w:rPr>
          <w:rFonts w:ascii="Times New Roman" w:eastAsia="Times New Roman" w:hAnsi="Times New Roman" w:cs="Times New Roman"/>
        </w:rPr>
        <w:t>0 g/cm³</w:t>
      </w:r>
      <w:r w:rsidRPr="00D17CAC">
        <w:rPr>
          <w:rFonts w:ascii="Times New Roman" w:eastAsia="Times New Roman" w:hAnsi="Times New Roman" w:cs="Times New Roman"/>
        </w:rPr>
        <w:t>, cultivated</w:t>
      </w:r>
      <w:r w:rsidRPr="008D69A0">
        <w:rPr>
          <w:rFonts w:ascii="Times New Roman" w:eastAsia="Times New Roman" w:hAnsi="Times New Roman" w:cs="Times New Roman"/>
        </w:rPr>
        <w:t xml:space="preserve"> and grazing lands the highest </w:t>
      </w:r>
      <w:r w:rsidRPr="00D17CAC">
        <w:rPr>
          <w:rFonts w:ascii="Times New Roman" w:eastAsia="Times New Roman" w:hAnsi="Times New Roman" w:cs="Times New Roman"/>
        </w:rPr>
        <w:t>1.</w:t>
      </w:r>
      <w:r w:rsidR="001E68AD" w:rsidRPr="008D69A0">
        <w:rPr>
          <w:rFonts w:ascii="Times New Roman" w:eastAsia="Times New Roman" w:hAnsi="Times New Roman" w:cs="Times New Roman"/>
        </w:rPr>
        <w:t>5 and 1.4</w:t>
      </w:r>
      <w:r w:rsidRPr="00D17CAC">
        <w:rPr>
          <w:rFonts w:ascii="Times New Roman" w:eastAsia="Times New Roman" w:hAnsi="Times New Roman" w:cs="Times New Roman"/>
        </w:rPr>
        <w:t>9 g/cm³, respectively), and plan</w:t>
      </w:r>
      <w:r w:rsidR="001E68AD" w:rsidRPr="008D69A0">
        <w:rPr>
          <w:rFonts w:ascii="Times New Roman" w:eastAsia="Times New Roman" w:hAnsi="Times New Roman" w:cs="Times New Roman"/>
        </w:rPr>
        <w:t>tation forest intermediate 1.31 g/cm³</w:t>
      </w:r>
      <w:r w:rsidRPr="00D17CAC">
        <w:rPr>
          <w:rFonts w:ascii="Times New Roman" w:eastAsia="Times New Roman" w:hAnsi="Times New Roman" w:cs="Times New Roman"/>
        </w:rPr>
        <w:t xml:space="preserve"> (Table 2). BD also increased wi</w:t>
      </w:r>
      <w:r w:rsidR="001E68AD" w:rsidRPr="008D69A0">
        <w:rPr>
          <w:rFonts w:ascii="Times New Roman" w:eastAsia="Times New Roman" w:hAnsi="Times New Roman" w:cs="Times New Roman"/>
        </w:rPr>
        <w:t>th depth, from 1.15 g/cm³ at 0–20 cm to 1.41 g/cm³ at 20–4</w:t>
      </w:r>
      <w:r w:rsidRPr="00D17CAC">
        <w:rPr>
          <w:rFonts w:ascii="Times New Roman" w:eastAsia="Times New Roman" w:hAnsi="Times New Roman" w:cs="Times New Roman"/>
        </w:rPr>
        <w:t xml:space="preserve">0 cm, indicating greater compaction in subsurface layers. These differences are primarily linked to vegetation cover, organic matter content, and soil disturbance: cultivated lands experience mechanical compaction from tillage, lower organic inputs, and reduced root biomass, whereas forested soils benefit from continuous litter deposition and extensive root networks that maintain porosity. Similar trends have been reported by Cherinet Miju et al. (2025), </w:t>
      </w:r>
      <w:proofErr w:type="spellStart"/>
      <w:r w:rsidRPr="00D17CAC">
        <w:rPr>
          <w:rFonts w:ascii="Times New Roman" w:eastAsia="Times New Roman" w:hAnsi="Times New Roman" w:cs="Times New Roman"/>
        </w:rPr>
        <w:t>Workina</w:t>
      </w:r>
      <w:proofErr w:type="spellEnd"/>
      <w:r w:rsidRPr="00D17CAC">
        <w:rPr>
          <w:rFonts w:ascii="Times New Roman" w:eastAsia="Times New Roman" w:hAnsi="Times New Roman" w:cs="Times New Roman"/>
        </w:rPr>
        <w:t xml:space="preserve"> et al. (2025), and Molla et al. (2022), showing lower BD in forested soils and higher BD in cultivated areas across the Ethiopian highlands.</w:t>
      </w:r>
      <w:r w:rsidR="008D69A0" w:rsidRPr="008D69A0">
        <w:rPr>
          <w:rFonts w:ascii="Times New Roman" w:eastAsia="Times New Roman" w:hAnsi="Times New Roman" w:cs="Times New Roman"/>
        </w:rPr>
        <w:t xml:space="preserve"> </w:t>
      </w:r>
      <w:r w:rsidRPr="008D69A0">
        <w:rPr>
          <w:rFonts w:ascii="Times New Roman" w:hAnsi="Times New Roman" w:cs="Times New Roman"/>
        </w:rPr>
        <w:t>High BD reduces porosity, root growth, water infiltration, and nutrient availability, lowering productivity. Applying organic amendments, cover crops, and reduced tillage can lower BD, improve soil structure and fertility, and enhance crop yields sustainably.</w:t>
      </w:r>
    </w:p>
    <w:p w:rsidR="00677265" w:rsidRPr="00927F64" w:rsidRDefault="003268FB" w:rsidP="00F8771F">
      <w:pPr>
        <w:pStyle w:val="NormalWeb"/>
        <w:spacing w:before="0" w:beforeAutospacing="0" w:after="0" w:afterAutospacing="0" w:line="360" w:lineRule="auto"/>
        <w:jc w:val="both"/>
        <w:rPr>
          <w:color w:val="000000" w:themeColor="text1"/>
          <w:sz w:val="22"/>
          <w:szCs w:val="22"/>
        </w:rPr>
      </w:pPr>
      <w:r w:rsidRPr="00927F64">
        <w:rPr>
          <w:b/>
          <w:color w:val="000000" w:themeColor="text1"/>
          <w:sz w:val="22"/>
          <w:szCs w:val="22"/>
        </w:rPr>
        <w:t>Table 2</w:t>
      </w:r>
      <w:r w:rsidR="00CB029D" w:rsidRPr="00927F64">
        <w:rPr>
          <w:b/>
          <w:color w:val="000000" w:themeColor="text1"/>
          <w:sz w:val="22"/>
          <w:szCs w:val="22"/>
        </w:rPr>
        <w:t xml:space="preserve"> Main effects of land use and soil depth on selected soil physical properties</w:t>
      </w:r>
    </w:p>
    <w:tbl>
      <w:tblPr>
        <w:tblStyle w:val="TableGrid1"/>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4"/>
        <w:gridCol w:w="1361"/>
        <w:gridCol w:w="90"/>
        <w:gridCol w:w="1080"/>
        <w:gridCol w:w="180"/>
        <w:gridCol w:w="1080"/>
        <w:gridCol w:w="180"/>
        <w:gridCol w:w="1170"/>
        <w:gridCol w:w="1170"/>
        <w:gridCol w:w="90"/>
        <w:gridCol w:w="1260"/>
      </w:tblGrid>
      <w:tr w:rsidR="00927F64" w:rsidRPr="00927F64" w:rsidTr="00677265">
        <w:tc>
          <w:tcPr>
            <w:tcW w:w="2074" w:type="dxa"/>
            <w:vMerge w:val="restart"/>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Treatment</w:t>
            </w:r>
          </w:p>
        </w:tc>
        <w:tc>
          <w:tcPr>
            <w:tcW w:w="3791" w:type="dxa"/>
            <w:gridSpan w:val="5"/>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Particle Distribution (%)</w:t>
            </w:r>
          </w:p>
        </w:tc>
        <w:tc>
          <w:tcPr>
            <w:tcW w:w="135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Textural</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BD</w:t>
            </w:r>
          </w:p>
        </w:tc>
        <w:tc>
          <w:tcPr>
            <w:tcW w:w="135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MC</w:t>
            </w:r>
          </w:p>
        </w:tc>
      </w:tr>
      <w:tr w:rsidR="00927F64" w:rsidRPr="00927F64" w:rsidTr="00677265">
        <w:tc>
          <w:tcPr>
            <w:tcW w:w="2074" w:type="dxa"/>
            <w:vMerge/>
            <w:tcBorders>
              <w:top w:val="single" w:sz="4" w:space="0" w:color="auto"/>
              <w:left w:val="nil"/>
              <w:bottom w:val="single" w:sz="4" w:space="0" w:color="auto"/>
              <w:right w:val="nil"/>
            </w:tcBorders>
            <w:vAlign w:val="center"/>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p>
        </w:tc>
        <w:tc>
          <w:tcPr>
            <w:tcW w:w="1361" w:type="dxa"/>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Sand</w:t>
            </w:r>
          </w:p>
        </w:tc>
        <w:tc>
          <w:tcPr>
            <w:tcW w:w="1170" w:type="dxa"/>
            <w:gridSpan w:val="2"/>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Silt</w:t>
            </w:r>
          </w:p>
        </w:tc>
        <w:tc>
          <w:tcPr>
            <w:tcW w:w="1260" w:type="dxa"/>
            <w:gridSpan w:val="2"/>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35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Class</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gcm</w:t>
            </w:r>
            <w:r w:rsidRPr="00927F64">
              <w:rPr>
                <w:rFonts w:ascii="Times New Roman" w:hAnsi="Times New Roman" w:cs="Times New Roman"/>
                <w:color w:val="000000" w:themeColor="text1"/>
                <w:vertAlign w:val="superscript"/>
              </w:rPr>
              <w:t>-3</w:t>
            </w:r>
          </w:p>
        </w:tc>
        <w:tc>
          <w:tcPr>
            <w:tcW w:w="135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677265">
        <w:tc>
          <w:tcPr>
            <w:tcW w:w="9735" w:type="dxa"/>
            <w:gridSpan w:val="11"/>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Land Use Type</w:t>
            </w:r>
          </w:p>
        </w:tc>
      </w:tr>
      <w:tr w:rsidR="00927F64" w:rsidRPr="00927F64" w:rsidTr="00677265">
        <w:tc>
          <w:tcPr>
            <w:tcW w:w="2074"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Natural forest</w:t>
            </w:r>
          </w:p>
        </w:tc>
        <w:tc>
          <w:tcPr>
            <w:tcW w:w="1451" w:type="dxa"/>
            <w:gridSpan w:val="2"/>
            <w:tcBorders>
              <w:top w:val="single" w:sz="4" w:space="0" w:color="auto"/>
              <w:left w:val="nil"/>
              <w:bottom w:val="nil"/>
              <w:right w:val="nil"/>
            </w:tcBorders>
            <w:hideMark/>
          </w:tcPr>
          <w:p w:rsidR="00677265" w:rsidRPr="00927F64" w:rsidRDefault="00D17CAC"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15.47</w:t>
            </w:r>
            <w:r w:rsidR="00677265" w:rsidRPr="00927F64">
              <w:rPr>
                <w:rFonts w:ascii="Times New Roman" w:hAnsi="Times New Roman" w:cs="Times New Roman"/>
                <w:color w:val="000000" w:themeColor="text1"/>
                <w:vertAlign w:val="superscript"/>
              </w:rPr>
              <w:t>c</w:t>
            </w:r>
          </w:p>
        </w:tc>
        <w:tc>
          <w:tcPr>
            <w:tcW w:w="1260" w:type="dxa"/>
            <w:gridSpan w:val="2"/>
            <w:tcBorders>
              <w:top w:val="single" w:sz="4" w:space="0" w:color="auto"/>
              <w:left w:val="nil"/>
              <w:bottom w:val="nil"/>
              <w:right w:val="nil"/>
            </w:tcBorders>
            <w:hideMark/>
          </w:tcPr>
          <w:p w:rsidR="00677265" w:rsidRPr="00927F64" w:rsidRDefault="00D17CAC"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27</w:t>
            </w:r>
            <w:r w:rsidR="00DD4971" w:rsidRPr="00927F64">
              <w:rPr>
                <w:rFonts w:ascii="Times New Roman" w:hAnsi="Times New Roman" w:cs="Times New Roman"/>
                <w:color w:val="000000" w:themeColor="text1"/>
              </w:rPr>
              <w:t>.7</w:t>
            </w:r>
            <w:r>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a</w:t>
            </w:r>
          </w:p>
        </w:tc>
        <w:tc>
          <w:tcPr>
            <w:tcW w:w="1260" w:type="dxa"/>
            <w:gridSpan w:val="2"/>
            <w:tcBorders>
              <w:top w:val="single" w:sz="4" w:space="0" w:color="auto"/>
              <w:left w:val="nil"/>
              <w:bottom w:val="nil"/>
              <w:right w:val="nil"/>
            </w:tcBorders>
            <w:hideMark/>
          </w:tcPr>
          <w:p w:rsidR="00677265" w:rsidRPr="00927F64" w:rsidRDefault="00F83989"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56.80</w:t>
            </w:r>
            <w:r w:rsidR="00677265" w:rsidRPr="00927F64">
              <w:rPr>
                <w:rFonts w:ascii="Times New Roman" w:hAnsi="Times New Roman" w:cs="Times New Roman"/>
                <w:color w:val="000000" w:themeColor="text1"/>
                <w:vertAlign w:val="superscript"/>
              </w:rPr>
              <w:t>a</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tcBorders>
              <w:top w:val="single" w:sz="4" w:space="0" w:color="auto"/>
              <w:left w:val="nil"/>
              <w:bottom w:val="nil"/>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1.11</w:t>
            </w:r>
            <w:r w:rsidR="00677265" w:rsidRPr="00927F64">
              <w:rPr>
                <w:rFonts w:ascii="Times New Roman" w:hAnsi="Times New Roman" w:cs="Times New Roman"/>
                <w:color w:val="000000" w:themeColor="text1"/>
                <w:vertAlign w:val="superscript"/>
              </w:rPr>
              <w:t>c</w:t>
            </w:r>
          </w:p>
        </w:tc>
        <w:tc>
          <w:tcPr>
            <w:tcW w:w="1350" w:type="dxa"/>
            <w:gridSpan w:val="2"/>
            <w:tcBorders>
              <w:top w:val="single" w:sz="4" w:space="0" w:color="auto"/>
              <w:left w:val="nil"/>
              <w:bottom w:val="nil"/>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29..53</w:t>
            </w:r>
            <w:r w:rsidR="00677265" w:rsidRPr="00927F64">
              <w:rPr>
                <w:rFonts w:ascii="Times New Roman" w:hAnsi="Times New Roman" w:cs="Times New Roman"/>
                <w:color w:val="000000" w:themeColor="text1"/>
                <w:vertAlign w:val="superscript"/>
              </w:rPr>
              <w:t>a</w:t>
            </w:r>
          </w:p>
        </w:tc>
      </w:tr>
      <w:tr w:rsidR="00927F64" w:rsidRPr="00927F64" w:rsidTr="00677265">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Cultivated land</w:t>
            </w:r>
          </w:p>
        </w:tc>
        <w:tc>
          <w:tcPr>
            <w:tcW w:w="1451" w:type="dxa"/>
            <w:gridSpan w:val="2"/>
            <w:hideMark/>
          </w:tcPr>
          <w:p w:rsidR="00677265" w:rsidRPr="00927F64" w:rsidRDefault="00F83989" w:rsidP="00F8771F">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23.1</w:t>
            </w:r>
            <w:r w:rsidR="00677265" w:rsidRPr="00927F64">
              <w:rPr>
                <w:rFonts w:ascii="Times New Roman" w:hAnsi="Times New Roman" w:cs="Times New Roman"/>
                <w:color w:val="000000" w:themeColor="text1"/>
              </w:rPr>
              <w:t>0a</w:t>
            </w:r>
          </w:p>
        </w:tc>
        <w:tc>
          <w:tcPr>
            <w:tcW w:w="1260" w:type="dxa"/>
            <w:gridSpan w:val="2"/>
            <w:hideMark/>
          </w:tcPr>
          <w:p w:rsidR="00677265" w:rsidRPr="00927F64" w:rsidRDefault="00F83989"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32.2</w:t>
            </w:r>
            <w:r w:rsidR="00DD4971" w:rsidRPr="00927F64">
              <w:rPr>
                <w:rFonts w:ascii="Times New Roman" w:hAnsi="Times New Roman" w:cs="Times New Roman"/>
                <w:color w:val="000000" w:themeColor="text1"/>
              </w:rPr>
              <w:t>1</w:t>
            </w:r>
            <w:r w:rsidR="00677265" w:rsidRPr="00927F64">
              <w:rPr>
                <w:rFonts w:ascii="Times New Roman" w:hAnsi="Times New Roman" w:cs="Times New Roman"/>
                <w:color w:val="000000" w:themeColor="text1"/>
                <w:vertAlign w:val="superscript"/>
              </w:rPr>
              <w:t>a</w:t>
            </w:r>
          </w:p>
        </w:tc>
        <w:tc>
          <w:tcPr>
            <w:tcW w:w="1260" w:type="dxa"/>
            <w:gridSpan w:val="2"/>
            <w:hideMark/>
          </w:tcPr>
          <w:p w:rsidR="00677265" w:rsidRPr="00927F64" w:rsidRDefault="00F83989"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44.6</w:t>
            </w:r>
            <w:r w:rsidR="00C136CA" w:rsidRPr="00927F64">
              <w:rPr>
                <w:rFonts w:ascii="Times New Roman" w:hAnsi="Times New Roman" w:cs="Times New Roman"/>
                <w:color w:val="000000" w:themeColor="text1"/>
              </w:rPr>
              <w:t>9</w:t>
            </w:r>
            <w:r w:rsidR="00C136CA" w:rsidRPr="00927F64">
              <w:rPr>
                <w:rFonts w:ascii="Times New Roman" w:hAnsi="Times New Roman" w:cs="Times New Roman"/>
                <w:color w:val="000000" w:themeColor="text1"/>
                <w:vertAlign w:val="superscript"/>
              </w:rPr>
              <w:t>c</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1.5</w:t>
            </w:r>
            <w:r w:rsidR="00677265" w:rsidRPr="00927F64">
              <w:rPr>
                <w:rFonts w:ascii="Times New Roman" w:hAnsi="Times New Roman" w:cs="Times New Roman"/>
                <w:color w:val="000000" w:themeColor="text1"/>
                <w:vertAlign w:val="superscript"/>
              </w:rPr>
              <w:t>a</w:t>
            </w:r>
          </w:p>
        </w:tc>
        <w:tc>
          <w:tcPr>
            <w:tcW w:w="1350" w:type="dxa"/>
            <w:gridSpan w:val="2"/>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23.07</w:t>
            </w:r>
            <w:r w:rsidR="00677265" w:rsidRPr="00927F64">
              <w:rPr>
                <w:rFonts w:ascii="Times New Roman" w:hAnsi="Times New Roman" w:cs="Times New Roman"/>
                <w:color w:val="000000" w:themeColor="text1"/>
                <w:vertAlign w:val="superscript"/>
              </w:rPr>
              <w:t>c</w:t>
            </w:r>
          </w:p>
        </w:tc>
      </w:tr>
      <w:tr w:rsidR="00927F64" w:rsidRPr="00927F64" w:rsidTr="00677265">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Grazing  land</w:t>
            </w:r>
          </w:p>
        </w:tc>
        <w:tc>
          <w:tcPr>
            <w:tcW w:w="1451" w:type="dxa"/>
            <w:gridSpan w:val="2"/>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15.6</w:t>
            </w:r>
            <w:r w:rsidR="00677265" w:rsidRPr="00927F64">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b</w:t>
            </w:r>
          </w:p>
        </w:tc>
        <w:tc>
          <w:tcPr>
            <w:tcW w:w="1260" w:type="dxa"/>
            <w:gridSpan w:val="2"/>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30.5</w:t>
            </w:r>
            <w:r w:rsidR="00677265" w:rsidRPr="00927F64">
              <w:rPr>
                <w:rFonts w:ascii="Times New Roman" w:hAnsi="Times New Roman" w:cs="Times New Roman"/>
                <w:color w:val="000000" w:themeColor="text1"/>
              </w:rPr>
              <w:t>7</w:t>
            </w:r>
            <w:r w:rsidR="00677265" w:rsidRPr="00927F64">
              <w:rPr>
                <w:rFonts w:ascii="Times New Roman" w:hAnsi="Times New Roman" w:cs="Times New Roman"/>
                <w:color w:val="000000" w:themeColor="text1"/>
                <w:vertAlign w:val="superscript"/>
              </w:rPr>
              <w:t>a</w:t>
            </w:r>
          </w:p>
        </w:tc>
        <w:tc>
          <w:tcPr>
            <w:tcW w:w="1260" w:type="dxa"/>
            <w:gridSpan w:val="2"/>
            <w:hideMark/>
          </w:tcPr>
          <w:p w:rsidR="00677265" w:rsidRPr="00927F64" w:rsidRDefault="00C136CA"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53.80</w:t>
            </w:r>
            <w:r w:rsidR="00677265" w:rsidRPr="00927F64">
              <w:rPr>
                <w:rFonts w:ascii="Times New Roman" w:hAnsi="Times New Roman" w:cs="Times New Roman"/>
                <w:color w:val="000000" w:themeColor="text1"/>
              </w:rPr>
              <w:t>b</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1.4</w:t>
            </w:r>
            <w:r w:rsidR="00C136CA" w:rsidRPr="00927F64">
              <w:rPr>
                <w:rFonts w:ascii="Times New Roman" w:hAnsi="Times New Roman" w:cs="Times New Roman"/>
                <w:color w:val="000000" w:themeColor="text1"/>
              </w:rPr>
              <w:t>9</w:t>
            </w:r>
            <w:r w:rsidR="00677265" w:rsidRPr="00927F64">
              <w:rPr>
                <w:rFonts w:ascii="Times New Roman" w:hAnsi="Times New Roman" w:cs="Times New Roman"/>
                <w:color w:val="000000" w:themeColor="text1"/>
                <w:vertAlign w:val="superscript"/>
              </w:rPr>
              <w:t>a</w:t>
            </w:r>
          </w:p>
        </w:tc>
        <w:tc>
          <w:tcPr>
            <w:tcW w:w="1350" w:type="dxa"/>
            <w:gridSpan w:val="2"/>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22.84</w:t>
            </w:r>
            <w:r w:rsidR="00677265" w:rsidRPr="00927F64">
              <w:rPr>
                <w:rFonts w:ascii="Times New Roman" w:hAnsi="Times New Roman" w:cs="Times New Roman"/>
                <w:color w:val="000000" w:themeColor="text1"/>
                <w:vertAlign w:val="superscript"/>
              </w:rPr>
              <w:t>cb</w:t>
            </w:r>
          </w:p>
        </w:tc>
      </w:tr>
      <w:tr w:rsidR="00927F64" w:rsidRPr="00927F64" w:rsidTr="00677265">
        <w:tc>
          <w:tcPr>
            <w:tcW w:w="2074"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Plantation forest</w:t>
            </w:r>
          </w:p>
        </w:tc>
        <w:tc>
          <w:tcPr>
            <w:tcW w:w="1451" w:type="dxa"/>
            <w:gridSpan w:val="2"/>
            <w:tcBorders>
              <w:top w:val="nil"/>
              <w:left w:val="nil"/>
              <w:bottom w:val="single" w:sz="4" w:space="0" w:color="auto"/>
              <w:right w:val="nil"/>
            </w:tcBorders>
            <w:hideMark/>
          </w:tcPr>
          <w:p w:rsidR="00677265" w:rsidRPr="00927F64" w:rsidRDefault="00C136CA"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17</w:t>
            </w:r>
            <w:r w:rsidR="00677265" w:rsidRPr="00927F64">
              <w:rPr>
                <w:rFonts w:ascii="Times New Roman" w:hAnsi="Times New Roman" w:cs="Times New Roman"/>
                <w:color w:val="000000" w:themeColor="text1"/>
              </w:rPr>
              <w:t>.83</w:t>
            </w:r>
            <w:r w:rsidRPr="00927F64">
              <w:rPr>
                <w:rFonts w:ascii="Times New Roman" w:hAnsi="Times New Roman" w:cs="Times New Roman"/>
                <w:color w:val="000000" w:themeColor="text1"/>
                <w:vertAlign w:val="superscript"/>
              </w:rPr>
              <w:t>c</w:t>
            </w:r>
          </w:p>
        </w:tc>
        <w:tc>
          <w:tcPr>
            <w:tcW w:w="1260" w:type="dxa"/>
            <w:gridSpan w:val="2"/>
            <w:tcBorders>
              <w:top w:val="nil"/>
              <w:left w:val="nil"/>
              <w:bottom w:val="single" w:sz="4" w:space="0" w:color="auto"/>
              <w:right w:val="nil"/>
            </w:tcBorders>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29.9</w:t>
            </w:r>
            <w:r w:rsidR="00677265" w:rsidRPr="00927F64">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a</w:t>
            </w:r>
          </w:p>
        </w:tc>
        <w:tc>
          <w:tcPr>
            <w:tcW w:w="1260" w:type="dxa"/>
            <w:gridSpan w:val="2"/>
            <w:tcBorders>
              <w:top w:val="nil"/>
              <w:left w:val="nil"/>
              <w:bottom w:val="single" w:sz="4" w:space="0" w:color="auto"/>
              <w:right w:val="nil"/>
            </w:tcBorders>
            <w:hideMark/>
          </w:tcPr>
          <w:p w:rsidR="00677265" w:rsidRPr="00927F64" w:rsidRDefault="00C136CA"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52.24</w:t>
            </w:r>
            <w:r w:rsidR="00677265" w:rsidRPr="00927F64">
              <w:rPr>
                <w:rFonts w:ascii="Times New Roman" w:hAnsi="Times New Roman" w:cs="Times New Roman"/>
                <w:color w:val="000000" w:themeColor="text1"/>
              </w:rPr>
              <w:t>ba</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170" w:type="dxa"/>
            <w:tcBorders>
              <w:top w:val="nil"/>
              <w:left w:val="nil"/>
              <w:bottom w:val="single" w:sz="4" w:space="0" w:color="auto"/>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1.31</w:t>
            </w:r>
            <w:r w:rsidR="00677265" w:rsidRPr="00927F64">
              <w:rPr>
                <w:rFonts w:ascii="Times New Roman" w:hAnsi="Times New Roman" w:cs="Times New Roman"/>
                <w:color w:val="000000" w:themeColor="text1"/>
                <w:vertAlign w:val="superscript"/>
              </w:rPr>
              <w:t>b</w:t>
            </w:r>
          </w:p>
        </w:tc>
        <w:tc>
          <w:tcPr>
            <w:tcW w:w="1350" w:type="dxa"/>
            <w:gridSpan w:val="2"/>
            <w:tcBorders>
              <w:top w:val="nil"/>
              <w:left w:val="nil"/>
              <w:bottom w:val="single" w:sz="4" w:space="0" w:color="auto"/>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24.5</w:t>
            </w:r>
            <w:r w:rsidR="00677265" w:rsidRPr="00927F64">
              <w:rPr>
                <w:rFonts w:ascii="Times New Roman" w:hAnsi="Times New Roman" w:cs="Times New Roman"/>
                <w:color w:val="000000" w:themeColor="text1"/>
              </w:rPr>
              <w:t>6</w:t>
            </w:r>
            <w:r w:rsidR="00677265" w:rsidRPr="00927F64">
              <w:rPr>
                <w:rFonts w:ascii="Times New Roman" w:hAnsi="Times New Roman" w:cs="Times New Roman"/>
                <w:color w:val="000000" w:themeColor="text1"/>
                <w:vertAlign w:val="superscript"/>
              </w:rPr>
              <w:t>b</w:t>
            </w:r>
          </w:p>
        </w:tc>
      </w:tr>
      <w:tr w:rsidR="00927F64" w:rsidRPr="00927F64" w:rsidTr="00677265">
        <w:tc>
          <w:tcPr>
            <w:tcW w:w="2074"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451"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2.01</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3.00</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 xml:space="preserve">    4.55</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0.06</w:t>
            </w:r>
          </w:p>
        </w:tc>
        <w:tc>
          <w:tcPr>
            <w:tcW w:w="135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1.94</w:t>
            </w:r>
          </w:p>
        </w:tc>
      </w:tr>
      <w:tr w:rsidR="00927F64" w:rsidRPr="00927F64" w:rsidTr="00677265">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lastRenderedPageBreak/>
              <w:t>P-value</w:t>
            </w:r>
          </w:p>
        </w:tc>
        <w:tc>
          <w:tcPr>
            <w:tcW w:w="1451"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5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677265">
        <w:tc>
          <w:tcPr>
            <w:tcW w:w="2074"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451"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0.85</w:t>
            </w:r>
          </w:p>
        </w:tc>
        <w:tc>
          <w:tcPr>
            <w:tcW w:w="126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0.90</w:t>
            </w:r>
          </w:p>
        </w:tc>
        <w:tc>
          <w:tcPr>
            <w:tcW w:w="126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1.66</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0.02</w:t>
            </w:r>
          </w:p>
        </w:tc>
        <w:tc>
          <w:tcPr>
            <w:tcW w:w="1350" w:type="dxa"/>
            <w:gridSpan w:val="2"/>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0.67</w:t>
            </w:r>
          </w:p>
        </w:tc>
      </w:tr>
      <w:tr w:rsidR="00927F64" w:rsidRPr="00927F64" w:rsidTr="00677265">
        <w:tc>
          <w:tcPr>
            <w:tcW w:w="9735" w:type="dxa"/>
            <w:gridSpan w:val="11"/>
            <w:tcBorders>
              <w:top w:val="single" w:sz="4" w:space="0" w:color="auto"/>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Soil Depth (cm)</w:t>
            </w:r>
          </w:p>
        </w:tc>
      </w:tr>
      <w:tr w:rsidR="00927F64" w:rsidRPr="00927F64" w:rsidTr="00677265">
        <w:tc>
          <w:tcPr>
            <w:tcW w:w="2074" w:type="dxa"/>
            <w:tcBorders>
              <w:top w:val="single" w:sz="4" w:space="0" w:color="auto"/>
              <w:left w:val="nil"/>
              <w:bottom w:val="nil"/>
              <w:right w:val="nil"/>
            </w:tcBorders>
            <w:hideMark/>
          </w:tcPr>
          <w:p w:rsidR="00677265" w:rsidRPr="00927F64" w:rsidRDefault="00F11748"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0-2</w:t>
            </w:r>
            <w:r w:rsidR="00C136CA" w:rsidRPr="00927F64">
              <w:rPr>
                <w:rFonts w:ascii="Times New Roman" w:hAnsi="Times New Roman" w:cs="Times New Roman"/>
                <w:color w:val="000000" w:themeColor="text1"/>
              </w:rPr>
              <w:t>0</w:t>
            </w:r>
          </w:p>
        </w:tc>
        <w:tc>
          <w:tcPr>
            <w:tcW w:w="1451" w:type="dxa"/>
            <w:gridSpan w:val="2"/>
            <w:tcBorders>
              <w:top w:val="single" w:sz="4" w:space="0" w:color="auto"/>
              <w:left w:val="nil"/>
              <w:bottom w:val="nil"/>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19.4</w:t>
            </w:r>
            <w:r w:rsidR="00677265" w:rsidRPr="00927F64">
              <w:rPr>
                <w:rFonts w:ascii="Times New Roman" w:hAnsi="Times New Roman" w:cs="Times New Roman"/>
                <w:color w:val="000000" w:themeColor="text1"/>
              </w:rPr>
              <w:t>3</w:t>
            </w:r>
            <w:r w:rsidR="00677265" w:rsidRPr="00927F64">
              <w:rPr>
                <w:rFonts w:ascii="Times New Roman" w:hAnsi="Times New Roman" w:cs="Times New Roman"/>
                <w:color w:val="000000" w:themeColor="text1"/>
                <w:vertAlign w:val="superscript"/>
              </w:rPr>
              <w:t>a</w:t>
            </w:r>
          </w:p>
        </w:tc>
        <w:tc>
          <w:tcPr>
            <w:tcW w:w="1260" w:type="dxa"/>
            <w:gridSpan w:val="2"/>
            <w:tcBorders>
              <w:top w:val="single" w:sz="4" w:space="0" w:color="auto"/>
              <w:left w:val="nil"/>
              <w:bottom w:val="nil"/>
              <w:right w:val="nil"/>
            </w:tcBorders>
            <w:hideMark/>
          </w:tcPr>
          <w:p w:rsidR="00677265" w:rsidRPr="00927F64" w:rsidRDefault="00C136CA" w:rsidP="00F8771F">
            <w:pPr>
              <w:spacing w:line="360" w:lineRule="auto"/>
              <w:jc w:val="both"/>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28</w:t>
            </w:r>
            <w:r w:rsidR="00D86CE3">
              <w:rPr>
                <w:rFonts w:ascii="Times New Roman" w:hAnsi="Times New Roman" w:cs="Times New Roman"/>
                <w:color w:val="000000" w:themeColor="text1"/>
              </w:rPr>
              <w:t>.61</w:t>
            </w:r>
            <w:r w:rsidR="00677265" w:rsidRPr="00927F64">
              <w:rPr>
                <w:rFonts w:ascii="Times New Roman" w:hAnsi="Times New Roman" w:cs="Times New Roman"/>
                <w:color w:val="000000" w:themeColor="text1"/>
                <w:vertAlign w:val="superscript"/>
              </w:rPr>
              <w:t>a</w:t>
            </w:r>
          </w:p>
        </w:tc>
        <w:tc>
          <w:tcPr>
            <w:tcW w:w="1260" w:type="dxa"/>
            <w:gridSpan w:val="2"/>
            <w:tcBorders>
              <w:top w:val="single" w:sz="4" w:space="0" w:color="auto"/>
              <w:left w:val="nil"/>
              <w:bottom w:val="nil"/>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51.96</w:t>
            </w:r>
            <w:r w:rsidR="00677265" w:rsidRPr="00927F64">
              <w:rPr>
                <w:rFonts w:ascii="Times New Roman" w:hAnsi="Times New Roman" w:cs="Times New Roman"/>
                <w:color w:val="000000" w:themeColor="text1"/>
                <w:vertAlign w:val="superscript"/>
              </w:rPr>
              <w:t>b</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260" w:type="dxa"/>
            <w:gridSpan w:val="2"/>
            <w:tcBorders>
              <w:top w:val="single" w:sz="4" w:space="0" w:color="auto"/>
              <w:left w:val="nil"/>
              <w:bottom w:val="nil"/>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1.15</w:t>
            </w:r>
            <w:r w:rsidR="00677265" w:rsidRPr="00927F64">
              <w:rPr>
                <w:rFonts w:ascii="Times New Roman" w:hAnsi="Times New Roman" w:cs="Times New Roman"/>
                <w:color w:val="000000" w:themeColor="text1"/>
                <w:vertAlign w:val="superscript"/>
              </w:rPr>
              <w:t>b</w:t>
            </w:r>
          </w:p>
        </w:tc>
        <w:tc>
          <w:tcPr>
            <w:tcW w:w="1260" w:type="dxa"/>
            <w:tcBorders>
              <w:top w:val="single" w:sz="4" w:space="0" w:color="auto"/>
              <w:left w:val="nil"/>
              <w:bottom w:val="nil"/>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25</w:t>
            </w:r>
            <w:r w:rsidR="00677265" w:rsidRPr="00927F64">
              <w:rPr>
                <w:rFonts w:ascii="Times New Roman" w:hAnsi="Times New Roman" w:cs="Times New Roman"/>
                <w:color w:val="000000" w:themeColor="text1"/>
              </w:rPr>
              <w:t>.69</w:t>
            </w:r>
            <w:r w:rsidR="00677265" w:rsidRPr="00927F64">
              <w:rPr>
                <w:rFonts w:ascii="Times New Roman" w:hAnsi="Times New Roman" w:cs="Times New Roman"/>
                <w:color w:val="000000" w:themeColor="text1"/>
                <w:vertAlign w:val="superscript"/>
              </w:rPr>
              <w:t>b</w:t>
            </w:r>
          </w:p>
        </w:tc>
      </w:tr>
      <w:tr w:rsidR="00927F64" w:rsidRPr="00927F64" w:rsidTr="00677265">
        <w:trPr>
          <w:trHeight w:val="330"/>
        </w:trPr>
        <w:tc>
          <w:tcPr>
            <w:tcW w:w="2074" w:type="dxa"/>
            <w:tcBorders>
              <w:top w:val="nil"/>
              <w:left w:val="nil"/>
              <w:bottom w:val="single" w:sz="4" w:space="0" w:color="auto"/>
              <w:right w:val="nil"/>
            </w:tcBorders>
            <w:hideMark/>
          </w:tcPr>
          <w:p w:rsidR="00677265" w:rsidRPr="00927F64" w:rsidRDefault="00F11748"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20-4</w:t>
            </w:r>
            <w:r w:rsidR="00677265" w:rsidRPr="00927F64">
              <w:rPr>
                <w:rFonts w:ascii="Times New Roman" w:hAnsi="Times New Roman" w:cs="Times New Roman"/>
                <w:color w:val="000000" w:themeColor="text1"/>
              </w:rPr>
              <w:t>0</w:t>
            </w:r>
          </w:p>
        </w:tc>
        <w:tc>
          <w:tcPr>
            <w:tcW w:w="1451" w:type="dxa"/>
            <w:gridSpan w:val="2"/>
            <w:tcBorders>
              <w:top w:val="nil"/>
              <w:left w:val="nil"/>
              <w:bottom w:val="single" w:sz="4" w:space="0" w:color="auto"/>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17</w:t>
            </w:r>
            <w:r w:rsidR="00677265" w:rsidRPr="00927F64">
              <w:rPr>
                <w:rFonts w:ascii="Times New Roman" w:hAnsi="Times New Roman" w:cs="Times New Roman"/>
                <w:color w:val="000000" w:themeColor="text1"/>
              </w:rPr>
              <w:t>.25</w:t>
            </w:r>
            <w:r w:rsidR="00677265" w:rsidRPr="00927F64">
              <w:rPr>
                <w:rFonts w:ascii="Times New Roman" w:hAnsi="Times New Roman" w:cs="Times New Roman"/>
                <w:color w:val="000000" w:themeColor="text1"/>
                <w:vertAlign w:val="superscript"/>
              </w:rPr>
              <w:t>b</w:t>
            </w:r>
          </w:p>
        </w:tc>
        <w:tc>
          <w:tcPr>
            <w:tcW w:w="1260" w:type="dxa"/>
            <w:gridSpan w:val="2"/>
            <w:tcBorders>
              <w:top w:val="nil"/>
              <w:left w:val="nil"/>
              <w:bottom w:val="single" w:sz="4" w:space="0" w:color="auto"/>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25</w:t>
            </w:r>
            <w:r w:rsidR="00677265" w:rsidRPr="00927F64">
              <w:rPr>
                <w:rFonts w:ascii="Times New Roman" w:hAnsi="Times New Roman" w:cs="Times New Roman"/>
                <w:color w:val="000000" w:themeColor="text1"/>
              </w:rPr>
              <w:t>.50</w:t>
            </w:r>
            <w:r w:rsidR="00677265" w:rsidRPr="00927F64">
              <w:rPr>
                <w:rFonts w:ascii="Times New Roman" w:hAnsi="Times New Roman" w:cs="Times New Roman"/>
                <w:color w:val="000000" w:themeColor="text1"/>
                <w:vertAlign w:val="superscript"/>
              </w:rPr>
              <w:t>a</w:t>
            </w:r>
          </w:p>
        </w:tc>
        <w:tc>
          <w:tcPr>
            <w:tcW w:w="1260" w:type="dxa"/>
            <w:gridSpan w:val="2"/>
            <w:tcBorders>
              <w:top w:val="nil"/>
              <w:left w:val="nil"/>
              <w:bottom w:val="single" w:sz="4" w:space="0" w:color="auto"/>
              <w:right w:val="nil"/>
            </w:tcBorders>
            <w:hideMark/>
          </w:tcPr>
          <w:p w:rsidR="00677265" w:rsidRPr="00927F64" w:rsidRDefault="00D86CE3"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55</w:t>
            </w:r>
            <w:r w:rsidR="00677265" w:rsidRPr="00927F64">
              <w:rPr>
                <w:rFonts w:ascii="Times New Roman" w:hAnsi="Times New Roman" w:cs="Times New Roman"/>
                <w:color w:val="000000" w:themeColor="text1"/>
              </w:rPr>
              <w:t>.25</w:t>
            </w:r>
            <w:r w:rsidR="00677265" w:rsidRPr="00927F64">
              <w:rPr>
                <w:rFonts w:ascii="Times New Roman" w:hAnsi="Times New Roman" w:cs="Times New Roman"/>
                <w:color w:val="000000" w:themeColor="text1"/>
                <w:vertAlign w:val="superscript"/>
              </w:rPr>
              <w:t>a</w:t>
            </w:r>
          </w:p>
        </w:tc>
        <w:tc>
          <w:tcPr>
            <w:tcW w:w="1170" w:type="dxa"/>
            <w:tcBorders>
              <w:top w:val="nil"/>
              <w:left w:val="nil"/>
              <w:bottom w:val="single" w:sz="4" w:space="0" w:color="auto"/>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1260" w:type="dxa"/>
            <w:gridSpan w:val="2"/>
            <w:tcBorders>
              <w:top w:val="nil"/>
              <w:left w:val="nil"/>
              <w:bottom w:val="single" w:sz="4" w:space="0" w:color="auto"/>
              <w:right w:val="nil"/>
            </w:tcBorders>
            <w:hideMark/>
          </w:tcPr>
          <w:p w:rsidR="00677265" w:rsidRPr="00927F64" w:rsidRDefault="001E68AD"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1.4</w:t>
            </w:r>
            <w:r w:rsidR="00677265" w:rsidRPr="00927F64">
              <w:rPr>
                <w:rFonts w:ascii="Times New Roman" w:hAnsi="Times New Roman" w:cs="Times New Roman"/>
                <w:color w:val="000000" w:themeColor="text1"/>
              </w:rPr>
              <w:t>1</w:t>
            </w:r>
            <w:r w:rsidR="00677265" w:rsidRPr="00927F64">
              <w:rPr>
                <w:rFonts w:ascii="Times New Roman" w:hAnsi="Times New Roman" w:cs="Times New Roman"/>
                <w:color w:val="000000" w:themeColor="text1"/>
                <w:vertAlign w:val="superscript"/>
              </w:rPr>
              <w:t>a</w:t>
            </w:r>
          </w:p>
        </w:tc>
        <w:tc>
          <w:tcPr>
            <w:tcW w:w="1260" w:type="dxa"/>
            <w:tcBorders>
              <w:top w:val="nil"/>
              <w:left w:val="nil"/>
              <w:bottom w:val="single" w:sz="4" w:space="0" w:color="auto"/>
              <w:right w:val="nil"/>
            </w:tcBorders>
            <w:hideMark/>
          </w:tcPr>
          <w:p w:rsidR="00677265" w:rsidRPr="00927F64" w:rsidRDefault="008D69A0" w:rsidP="00F8771F">
            <w:pPr>
              <w:spacing w:line="360" w:lineRule="auto"/>
              <w:jc w:val="both"/>
              <w:rPr>
                <w:rFonts w:ascii="Times New Roman" w:hAnsi="Times New Roman" w:cs="Times New Roman"/>
                <w:color w:val="000000" w:themeColor="text1"/>
                <w:vertAlign w:val="superscript"/>
              </w:rPr>
            </w:pPr>
            <w:r>
              <w:rPr>
                <w:rFonts w:ascii="Times New Roman" w:hAnsi="Times New Roman" w:cs="Times New Roman"/>
                <w:color w:val="000000" w:themeColor="text1"/>
              </w:rPr>
              <w:t>27</w:t>
            </w:r>
            <w:r w:rsidR="00677265" w:rsidRPr="00927F64">
              <w:rPr>
                <w:rFonts w:ascii="Times New Roman" w:hAnsi="Times New Roman" w:cs="Times New Roman"/>
                <w:color w:val="000000" w:themeColor="text1"/>
              </w:rPr>
              <w:t>.25</w:t>
            </w:r>
            <w:r w:rsidR="00677265" w:rsidRPr="00927F64">
              <w:rPr>
                <w:rFonts w:ascii="Times New Roman" w:hAnsi="Times New Roman" w:cs="Times New Roman"/>
                <w:color w:val="000000" w:themeColor="text1"/>
                <w:vertAlign w:val="superscript"/>
              </w:rPr>
              <w:t>a</w:t>
            </w:r>
          </w:p>
        </w:tc>
      </w:tr>
      <w:tr w:rsidR="00927F64" w:rsidRPr="00927F64" w:rsidTr="00677265">
        <w:trPr>
          <w:trHeight w:val="360"/>
        </w:trPr>
        <w:tc>
          <w:tcPr>
            <w:tcW w:w="2074"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451"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1.42</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2.12</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3.21</w:t>
            </w:r>
          </w:p>
        </w:tc>
        <w:tc>
          <w:tcPr>
            <w:tcW w:w="117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0.04</w:t>
            </w:r>
          </w:p>
        </w:tc>
        <w:tc>
          <w:tcPr>
            <w:tcW w:w="1260" w:type="dxa"/>
            <w:tcBorders>
              <w:top w:val="single" w:sz="4" w:space="0" w:color="auto"/>
              <w:left w:val="nil"/>
              <w:bottom w:val="nil"/>
              <w:right w:val="nil"/>
            </w:tcBorders>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1.37</w:t>
            </w:r>
          </w:p>
        </w:tc>
      </w:tr>
      <w:tr w:rsidR="00927F64" w:rsidRPr="00927F64" w:rsidTr="00677265">
        <w:trPr>
          <w:trHeight w:val="395"/>
        </w:trPr>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451"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677265">
        <w:trPr>
          <w:trHeight w:val="255"/>
        </w:trPr>
        <w:tc>
          <w:tcPr>
            <w:tcW w:w="2074"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451"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0.71</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0.66</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1.24</w:t>
            </w:r>
          </w:p>
        </w:tc>
        <w:tc>
          <w:tcPr>
            <w:tcW w:w="117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0.04</w:t>
            </w:r>
          </w:p>
        </w:tc>
        <w:tc>
          <w:tcPr>
            <w:tcW w:w="1260" w:type="dxa"/>
            <w:hideMark/>
          </w:tcPr>
          <w:p w:rsidR="00677265" w:rsidRPr="00927F64" w:rsidRDefault="00677265" w:rsidP="00F8771F">
            <w:pPr>
              <w:spacing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1.37</w:t>
            </w:r>
          </w:p>
        </w:tc>
      </w:tr>
      <w:tr w:rsidR="00927F64" w:rsidRPr="00927F64" w:rsidTr="00677265">
        <w:trPr>
          <w:trHeight w:val="300"/>
        </w:trPr>
        <w:tc>
          <w:tcPr>
            <w:tcW w:w="2074" w:type="dxa"/>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CV (%)</w:t>
            </w:r>
          </w:p>
        </w:tc>
        <w:tc>
          <w:tcPr>
            <w:tcW w:w="1451"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9.95</w:t>
            </w:r>
          </w:p>
        </w:tc>
        <w:tc>
          <w:tcPr>
            <w:tcW w:w="1260"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8.40</w:t>
            </w:r>
          </w:p>
        </w:tc>
        <w:tc>
          <w:tcPr>
            <w:tcW w:w="1260"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6.86</w:t>
            </w:r>
          </w:p>
        </w:tc>
        <w:tc>
          <w:tcPr>
            <w:tcW w:w="1170" w:type="dxa"/>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260" w:type="dxa"/>
            <w:gridSpan w:val="2"/>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4.00</w:t>
            </w:r>
          </w:p>
        </w:tc>
        <w:tc>
          <w:tcPr>
            <w:tcW w:w="1260" w:type="dxa"/>
            <w:tcBorders>
              <w:top w:val="nil"/>
              <w:left w:val="nil"/>
              <w:bottom w:val="single" w:sz="4" w:space="0" w:color="auto"/>
              <w:right w:val="nil"/>
            </w:tcBorders>
            <w:hideMark/>
          </w:tcPr>
          <w:p w:rsidR="00677265" w:rsidRPr="00927F64" w:rsidRDefault="00677265" w:rsidP="00F8771F">
            <w:pPr>
              <w:spacing w:before="0" w:beforeAutospacing="0" w:after="0" w:afterAutospacing="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6.21</w:t>
            </w:r>
          </w:p>
        </w:tc>
      </w:tr>
    </w:tbl>
    <w:p w:rsidR="00CB029D" w:rsidRPr="00927F64" w:rsidRDefault="00CB029D" w:rsidP="00F8771F">
      <w:pPr>
        <w:spacing w:after="0" w:line="360" w:lineRule="auto"/>
        <w:jc w:val="both"/>
        <w:rPr>
          <w:rFonts w:ascii="Times New Roman" w:hAnsi="Times New Roman" w:cs="Times New Roman"/>
          <w:i/>
          <w:color w:val="000000" w:themeColor="text1"/>
          <w:sz w:val="18"/>
          <w:szCs w:val="18"/>
        </w:rPr>
      </w:pPr>
      <w:r w:rsidRPr="00927F64">
        <w:rPr>
          <w:rFonts w:ascii="Times New Roman" w:hAnsi="Times New Roman" w:cs="Times New Roman"/>
          <w:i/>
          <w:color w:val="000000" w:themeColor="text1"/>
          <w:sz w:val="18"/>
          <w:szCs w:val="18"/>
        </w:rPr>
        <w:t>Mean values within a column followed by the different letters are significantly different from each other at **p &lt; 0.01 and *p &lt; 0.05; (NS = Not significant; BD = Bulk density; MC=Moisture Content</w:t>
      </w:r>
    </w:p>
    <w:p w:rsidR="00677265" w:rsidRPr="00D81354" w:rsidRDefault="004B36C1" w:rsidP="00D81354">
      <w:pPr>
        <w:pStyle w:val="NormalWeb"/>
        <w:spacing w:before="0" w:beforeAutospacing="0" w:after="0" w:afterAutospacing="0" w:line="360" w:lineRule="auto"/>
        <w:jc w:val="both"/>
        <w:rPr>
          <w:b/>
          <w:color w:val="000000" w:themeColor="text1"/>
          <w:sz w:val="22"/>
          <w:szCs w:val="22"/>
        </w:rPr>
      </w:pPr>
      <w:r w:rsidRPr="00D81354">
        <w:rPr>
          <w:b/>
          <w:color w:val="000000" w:themeColor="text1"/>
          <w:sz w:val="22"/>
          <w:szCs w:val="22"/>
        </w:rPr>
        <w:t xml:space="preserve">3.1.3 </w:t>
      </w:r>
      <w:r w:rsidR="00677265" w:rsidRPr="00D81354">
        <w:rPr>
          <w:b/>
          <w:color w:val="000000" w:themeColor="text1"/>
          <w:sz w:val="22"/>
          <w:szCs w:val="22"/>
        </w:rPr>
        <w:t>Soil moisture content</w:t>
      </w:r>
    </w:p>
    <w:p w:rsidR="00D81354" w:rsidRPr="00BB3667" w:rsidRDefault="00D81354" w:rsidP="00D81354">
      <w:pPr>
        <w:spacing w:after="0" w:line="360" w:lineRule="auto"/>
        <w:jc w:val="both"/>
        <w:rPr>
          <w:rFonts w:ascii="Times New Roman" w:eastAsia="Times New Roman" w:hAnsi="Times New Roman" w:cs="Times New Roman"/>
          <w:color w:val="000000" w:themeColor="text1"/>
        </w:rPr>
      </w:pPr>
      <w:r w:rsidRPr="00D81354">
        <w:rPr>
          <w:rFonts w:ascii="Times New Roman" w:eastAsia="Times New Roman" w:hAnsi="Times New Roman" w:cs="Times New Roman"/>
        </w:rPr>
        <w:t>The results indicated that soil moisture content varied highly significantly (P &lt; 0.01) across different land use types and soil depths, while the interaction between these factors was not significant (P &gt; 0.05) (Table 2). Natural forest soils</w:t>
      </w:r>
      <w:r>
        <w:rPr>
          <w:rFonts w:ascii="Times New Roman" w:eastAsia="Times New Roman" w:hAnsi="Times New Roman" w:cs="Times New Roman"/>
        </w:rPr>
        <w:t xml:space="preserve"> retained the highest moisture 29.53%</w:t>
      </w:r>
      <w:r w:rsidRPr="00D81354">
        <w:rPr>
          <w:rFonts w:ascii="Times New Roman" w:eastAsia="Times New Roman" w:hAnsi="Times New Roman" w:cs="Times New Roman"/>
        </w:rPr>
        <w:t>, whereas cultivated and grazi</w:t>
      </w:r>
      <w:r>
        <w:rPr>
          <w:rFonts w:ascii="Times New Roman" w:eastAsia="Times New Roman" w:hAnsi="Times New Roman" w:cs="Times New Roman"/>
        </w:rPr>
        <w:t xml:space="preserve">ng lands had the lowest values </w:t>
      </w:r>
      <w:r w:rsidRPr="00D81354">
        <w:rPr>
          <w:rFonts w:ascii="Times New Roman" w:eastAsia="Times New Roman" w:hAnsi="Times New Roman" w:cs="Times New Roman"/>
        </w:rPr>
        <w:t xml:space="preserve">23.07% and 22.84%, respectively) (Table 2). Moisture content increased slightly with depth, from 25.69% at 0–20 cm to 27.25% at 20–40 cm. The higher moisture under forested areas is </w:t>
      </w:r>
      <w:r w:rsidRPr="00BB3667">
        <w:rPr>
          <w:rFonts w:ascii="Times New Roman" w:eastAsia="Times New Roman" w:hAnsi="Times New Roman" w:cs="Times New Roman"/>
          <w:color w:val="000000" w:themeColor="text1"/>
        </w:rPr>
        <w:t>likely due to continuous organic matter deposition, which enhances water retention, and canopy shading that reduces evaporation (Gebrekidan and Negassa, 2006). In contrast, the lower moisture in cultivated and grazing lands may result from reduced vegetation cover, greater soil exposure</w:t>
      </w:r>
      <w:r w:rsidR="00A914A6" w:rsidRPr="00BB3667">
        <w:rPr>
          <w:rFonts w:ascii="Times New Roman" w:eastAsia="Times New Roman" w:hAnsi="Times New Roman" w:cs="Times New Roman"/>
          <w:color w:val="000000" w:themeColor="text1"/>
        </w:rPr>
        <w:t xml:space="preserve"> to</w:t>
      </w:r>
      <w:r w:rsidRPr="00BB3667">
        <w:rPr>
          <w:rFonts w:ascii="Times New Roman" w:eastAsia="Times New Roman" w:hAnsi="Times New Roman" w:cs="Times New Roman"/>
          <w:color w:val="000000" w:themeColor="text1"/>
        </w:rPr>
        <w:t xml:space="preserve"> evaporation.</w:t>
      </w:r>
    </w:p>
    <w:p w:rsidR="00D81354" w:rsidRPr="00BB3667" w:rsidRDefault="00D81354" w:rsidP="00D81354">
      <w:pPr>
        <w:spacing w:after="0" w:line="360" w:lineRule="auto"/>
        <w:jc w:val="both"/>
        <w:rPr>
          <w:rFonts w:ascii="Times New Roman" w:eastAsia="Times New Roman" w:hAnsi="Times New Roman" w:cs="Times New Roman"/>
          <w:color w:val="000000" w:themeColor="text1"/>
        </w:rPr>
      </w:pPr>
      <w:r w:rsidRPr="00BB3667">
        <w:rPr>
          <w:rFonts w:ascii="Times New Roman" w:eastAsia="Times New Roman" w:hAnsi="Times New Roman" w:cs="Times New Roman"/>
          <w:color w:val="000000" w:themeColor="text1"/>
        </w:rPr>
        <w:t>The slightly greate</w:t>
      </w:r>
      <w:bookmarkStart w:id="1" w:name="_GoBack"/>
      <w:bookmarkEnd w:id="1"/>
      <w:r w:rsidRPr="00BB3667">
        <w:rPr>
          <w:rFonts w:ascii="Times New Roman" w:eastAsia="Times New Roman" w:hAnsi="Times New Roman" w:cs="Times New Roman"/>
          <w:color w:val="000000" w:themeColor="text1"/>
        </w:rPr>
        <w:t xml:space="preserve">r moisture in the subsurface 20–40 cm can be attributed to reduced solar heating and the accumulation of finer particles, particularly clay, which improve water-holding capacity (Assefa et al., 2020). Similar patterns have been reported by Molla et al. (2022) and </w:t>
      </w:r>
      <w:proofErr w:type="spellStart"/>
      <w:r w:rsidRPr="00BB3667">
        <w:rPr>
          <w:rFonts w:ascii="Times New Roman" w:eastAsia="Times New Roman" w:hAnsi="Times New Roman" w:cs="Times New Roman"/>
          <w:color w:val="000000" w:themeColor="text1"/>
        </w:rPr>
        <w:t>Asmare</w:t>
      </w:r>
      <w:proofErr w:type="spellEnd"/>
      <w:r w:rsidRPr="00BB3667">
        <w:rPr>
          <w:rFonts w:ascii="Times New Roman" w:eastAsia="Times New Roman" w:hAnsi="Times New Roman" w:cs="Times New Roman"/>
          <w:color w:val="000000" w:themeColor="text1"/>
        </w:rPr>
        <w:t xml:space="preserve"> et al. (2023) in the Ethiopian highlands, as well as by Kassie eat al (2025) in northwest. Higher moisture in forested and plantation lands supports improved root development, nutrient uptake, and plant growth, whereas lower moisture in cultivated and grazing areas may limit crop establishment and yield. This underscores the importance of practices such as organic matter addition, mulching, and soil conservation to enhance water retention in degraded soils.</w:t>
      </w:r>
    </w:p>
    <w:p w:rsidR="00EE79B0" w:rsidRPr="00927F64" w:rsidRDefault="007D6848" w:rsidP="00F8771F">
      <w:pPr>
        <w:pStyle w:val="NormalWeb"/>
        <w:spacing w:before="0" w:beforeAutospacing="0" w:after="0" w:afterAutospacing="0" w:line="360" w:lineRule="auto"/>
        <w:jc w:val="both"/>
        <w:rPr>
          <w:b/>
          <w:color w:val="000000" w:themeColor="text1"/>
          <w:sz w:val="22"/>
          <w:szCs w:val="22"/>
        </w:rPr>
      </w:pPr>
      <w:r w:rsidRPr="00927F64">
        <w:rPr>
          <w:b/>
          <w:color w:val="000000" w:themeColor="text1"/>
          <w:sz w:val="22"/>
          <w:szCs w:val="22"/>
        </w:rPr>
        <w:t>3.2. Effects of land use types and soil dep</w:t>
      </w:r>
      <w:r w:rsidR="00EE79B0" w:rsidRPr="00927F64">
        <w:rPr>
          <w:b/>
          <w:color w:val="000000" w:themeColor="text1"/>
          <w:sz w:val="22"/>
          <w:szCs w:val="22"/>
        </w:rPr>
        <w:t>ths on soil chemical properties</w:t>
      </w:r>
    </w:p>
    <w:p w:rsidR="007E397B" w:rsidRPr="00A22F98" w:rsidRDefault="004B36C1" w:rsidP="00A22F98">
      <w:pPr>
        <w:pStyle w:val="NormalWeb"/>
        <w:spacing w:before="0" w:beforeAutospacing="0" w:after="0" w:afterAutospacing="0" w:line="360" w:lineRule="auto"/>
        <w:jc w:val="both"/>
        <w:rPr>
          <w:b/>
          <w:color w:val="000000" w:themeColor="text1"/>
          <w:sz w:val="22"/>
          <w:szCs w:val="22"/>
        </w:rPr>
      </w:pPr>
      <w:r w:rsidRPr="00A22F98">
        <w:rPr>
          <w:b/>
          <w:color w:val="000000" w:themeColor="text1"/>
          <w:sz w:val="22"/>
          <w:szCs w:val="22"/>
        </w:rPr>
        <w:t xml:space="preserve">3.2.1 </w:t>
      </w:r>
      <w:r w:rsidR="007E397B" w:rsidRPr="00A22F98">
        <w:rPr>
          <w:b/>
          <w:color w:val="000000" w:themeColor="text1"/>
          <w:sz w:val="22"/>
          <w:szCs w:val="22"/>
        </w:rPr>
        <w:t>Soil pH</w:t>
      </w:r>
    </w:p>
    <w:p w:rsidR="00A22F98" w:rsidRPr="00A22F98" w:rsidRDefault="00A22F98" w:rsidP="00A22F98">
      <w:pPr>
        <w:spacing w:after="0" w:line="360" w:lineRule="auto"/>
        <w:jc w:val="both"/>
        <w:rPr>
          <w:rFonts w:ascii="Times New Roman" w:eastAsia="Times New Roman" w:hAnsi="Times New Roman" w:cs="Times New Roman"/>
        </w:rPr>
      </w:pPr>
      <w:r w:rsidRPr="00A22F98">
        <w:rPr>
          <w:rFonts w:ascii="Times New Roman" w:eastAsia="Times New Roman" w:hAnsi="Times New Roman" w:cs="Times New Roman"/>
        </w:rPr>
        <w:t>Soil pH showed significant variation among land use types and soil depths (P &lt; 0.01) (Table 3), with values ranging from 4.95 to 6.05, indicating moderately acidic soils (Tadese, 1991). Natural forest</w:t>
      </w:r>
      <w:r w:rsidR="00C079B7">
        <w:rPr>
          <w:rFonts w:ascii="Times New Roman" w:eastAsia="Times New Roman" w:hAnsi="Times New Roman" w:cs="Times New Roman"/>
        </w:rPr>
        <w:t xml:space="preserve"> soils recorded the highest pH 6.05</w:t>
      </w:r>
      <w:r w:rsidRPr="00A22F98">
        <w:rPr>
          <w:rFonts w:ascii="Times New Roman" w:eastAsia="Times New Roman" w:hAnsi="Times New Roman" w:cs="Times New Roman"/>
        </w:rPr>
        <w:t xml:space="preserve">, whereas plantation forests, particularly Eucalyptus-dominated </w:t>
      </w:r>
      <w:r w:rsidR="00C079B7">
        <w:rPr>
          <w:rFonts w:ascii="Times New Roman" w:eastAsia="Times New Roman" w:hAnsi="Times New Roman" w:cs="Times New Roman"/>
        </w:rPr>
        <w:t>areas, exhibited the lowest pH 4.95</w:t>
      </w:r>
      <w:r w:rsidRPr="00A22F98">
        <w:rPr>
          <w:rFonts w:ascii="Times New Roman" w:eastAsia="Times New Roman" w:hAnsi="Times New Roman" w:cs="Times New Roman"/>
        </w:rPr>
        <w:t>. Cultivated and grazing la</w:t>
      </w:r>
      <w:r w:rsidR="00C079B7">
        <w:rPr>
          <w:rFonts w:ascii="Times New Roman" w:eastAsia="Times New Roman" w:hAnsi="Times New Roman" w:cs="Times New Roman"/>
        </w:rPr>
        <w:t xml:space="preserve">nds had intermediate pH values </w:t>
      </w:r>
      <w:r w:rsidRPr="00A22F98">
        <w:rPr>
          <w:rFonts w:ascii="Times New Roman" w:eastAsia="Times New Roman" w:hAnsi="Times New Roman" w:cs="Times New Roman"/>
        </w:rPr>
        <w:t>5.0</w:t>
      </w:r>
      <w:r w:rsidR="00C079B7">
        <w:rPr>
          <w:rFonts w:ascii="Times New Roman" w:eastAsia="Times New Roman" w:hAnsi="Times New Roman" w:cs="Times New Roman"/>
        </w:rPr>
        <w:t>3–5.31</w:t>
      </w:r>
      <w:r w:rsidRPr="00A22F98">
        <w:rPr>
          <w:rFonts w:ascii="Times New Roman" w:eastAsia="Times New Roman" w:hAnsi="Times New Roman" w:cs="Times New Roman"/>
        </w:rPr>
        <w:t xml:space="preserve">. These </w:t>
      </w:r>
      <w:r w:rsidRPr="00A22F98">
        <w:rPr>
          <w:rFonts w:ascii="Times New Roman" w:eastAsia="Times New Roman" w:hAnsi="Times New Roman" w:cs="Times New Roman"/>
        </w:rPr>
        <w:lastRenderedPageBreak/>
        <w:t>variations reflect the effects of vegetation cover and land management on soil acidity through organic matter inputs, nutrient uptake, and leaching of base cations.</w:t>
      </w:r>
    </w:p>
    <w:p w:rsidR="00A22F98" w:rsidRPr="00A22F98" w:rsidRDefault="00A22F98" w:rsidP="00A22F98">
      <w:pPr>
        <w:spacing w:after="0" w:line="360" w:lineRule="auto"/>
        <w:jc w:val="both"/>
        <w:rPr>
          <w:rFonts w:ascii="Times New Roman" w:eastAsia="Times New Roman" w:hAnsi="Times New Roman" w:cs="Times New Roman"/>
        </w:rPr>
      </w:pPr>
      <w:r w:rsidRPr="00A22F98">
        <w:rPr>
          <w:rFonts w:ascii="Times New Roman" w:eastAsia="Times New Roman" w:hAnsi="Times New Roman" w:cs="Times New Roman"/>
        </w:rPr>
        <w:t>Higher pH in natural forests is likely associated with organic matter accumulation and the release of basic cations during decomposition, while lower pH under Eucalyptus plantations may result from intensive uptake of base cations, increasing Al³⁺ and H⁺ concentrations (</w:t>
      </w:r>
      <w:proofErr w:type="spellStart"/>
      <w:r w:rsidRPr="00A22F98">
        <w:rPr>
          <w:rFonts w:ascii="Times New Roman" w:eastAsia="Times New Roman" w:hAnsi="Times New Roman" w:cs="Times New Roman"/>
        </w:rPr>
        <w:t>Yitaferu</w:t>
      </w:r>
      <w:proofErr w:type="spellEnd"/>
      <w:r w:rsidRPr="00A22F98">
        <w:rPr>
          <w:rFonts w:ascii="Times New Roman" w:eastAsia="Times New Roman" w:hAnsi="Times New Roman" w:cs="Times New Roman"/>
        </w:rPr>
        <w:t xml:space="preserve"> et al., 2013). Cultivated soils tend to acidify due to continuous nutrient removal, limited organic inputs, and frequent tillage (Belay et al., 2023; Getnet et al., 2025). Grazing lands may also experience reduced pH because of overgrazing, low litter input, and soil compaction.</w:t>
      </w:r>
    </w:p>
    <w:p w:rsidR="00F54795" w:rsidRPr="00A22F98" w:rsidRDefault="00A22F98" w:rsidP="00A22F98">
      <w:pPr>
        <w:spacing w:after="0" w:line="360" w:lineRule="auto"/>
        <w:jc w:val="both"/>
        <w:rPr>
          <w:rFonts w:ascii="Times New Roman" w:eastAsia="Times New Roman" w:hAnsi="Times New Roman" w:cs="Times New Roman"/>
        </w:rPr>
      </w:pPr>
      <w:r w:rsidRPr="00A22F98">
        <w:rPr>
          <w:rFonts w:ascii="Times New Roman" w:eastAsia="Times New Roman" w:hAnsi="Times New Roman" w:cs="Times New Roman"/>
        </w:rPr>
        <w:t>Soil depth influenced pH, with slightly higher values in the subsurface (20–40 cm; 5.27) than in the surface layer (0–20 cm; 5.08), likely due to increased clay content and accumulation of base cations at depth (Molla &amp; Yalew, 2018; Sabiela et al., 2020; Molla et al., 2022; Getnet et al., 2025). Maintaining optimal soil pH through lime application is therefore recommended, particularly for plantation and cultivated lands, to enhance nutrient availability and productivity.</w:t>
      </w:r>
    </w:p>
    <w:p w:rsidR="007E397B" w:rsidRPr="00C079B7" w:rsidRDefault="007E397B" w:rsidP="00C079B7">
      <w:pPr>
        <w:pStyle w:val="NormalWeb"/>
        <w:spacing w:before="0" w:beforeAutospacing="0" w:after="0" w:afterAutospacing="0" w:line="360" w:lineRule="auto"/>
        <w:jc w:val="both"/>
        <w:rPr>
          <w:color w:val="000000" w:themeColor="text1"/>
          <w:sz w:val="22"/>
          <w:szCs w:val="22"/>
        </w:rPr>
      </w:pPr>
      <w:r w:rsidRPr="00C079B7">
        <w:rPr>
          <w:rStyle w:val="Strong"/>
          <w:color w:val="000000" w:themeColor="text1"/>
          <w:sz w:val="22"/>
          <w:szCs w:val="22"/>
        </w:rPr>
        <w:t xml:space="preserve"> </w:t>
      </w:r>
      <w:r w:rsidR="004B36C1" w:rsidRPr="00C079B7">
        <w:rPr>
          <w:rStyle w:val="Strong"/>
          <w:color w:val="000000" w:themeColor="text1"/>
          <w:sz w:val="22"/>
          <w:szCs w:val="22"/>
        </w:rPr>
        <w:t xml:space="preserve">3.2.2 </w:t>
      </w:r>
      <w:r w:rsidRPr="00C079B7">
        <w:rPr>
          <w:rStyle w:val="Strong"/>
          <w:color w:val="000000" w:themeColor="text1"/>
          <w:sz w:val="22"/>
          <w:szCs w:val="22"/>
        </w:rPr>
        <w:t>Soil organic carbon (SOC)</w:t>
      </w:r>
    </w:p>
    <w:p w:rsidR="00C079B7" w:rsidRPr="00C079B7" w:rsidRDefault="00C079B7" w:rsidP="00C079B7">
      <w:pPr>
        <w:spacing w:after="0" w:line="360" w:lineRule="auto"/>
        <w:jc w:val="both"/>
        <w:rPr>
          <w:rFonts w:ascii="Times New Roman" w:eastAsia="Times New Roman" w:hAnsi="Times New Roman" w:cs="Times New Roman"/>
        </w:rPr>
      </w:pPr>
      <w:r w:rsidRPr="00C079B7">
        <w:rPr>
          <w:rFonts w:ascii="Times New Roman" w:eastAsia="Times New Roman" w:hAnsi="Times New Roman" w:cs="Times New Roman"/>
        </w:rPr>
        <w:t>Soil organic carbon (SOC) varied significantly across land use types and soil depths (P ≤ 0.01) (Table 3). Natural forest soils had the highest SOC content (5.03%), reflecting continuous inputs of litter, roots, and woody materials, minimal disturbance, and reduced erosion, all of which favor carbon accumulation. Plantation fore</w:t>
      </w:r>
      <w:r>
        <w:rPr>
          <w:rFonts w:ascii="Times New Roman" w:eastAsia="Times New Roman" w:hAnsi="Times New Roman" w:cs="Times New Roman"/>
        </w:rPr>
        <w:t>sts showed moderate SOC levels 2.04%, whereas cultivated 0.87% and grazing lands 0.83%</w:t>
      </w:r>
      <w:r w:rsidRPr="00C079B7">
        <w:rPr>
          <w:rFonts w:ascii="Times New Roman" w:eastAsia="Times New Roman" w:hAnsi="Times New Roman" w:cs="Times New Roman"/>
        </w:rPr>
        <w:t xml:space="preserve"> recorded the lowest values. The low SOC in cultivated and grazing areas is mainly attributed to frequent tillage, residue removal, livestock trampling, and increased erosion, which accelerate organic matter decomposition and limit carbon inputs (Molla et al., 2022; Solomon et al., 2002; Bore &amp; </w:t>
      </w:r>
      <w:proofErr w:type="spellStart"/>
      <w:r w:rsidRPr="00C079B7">
        <w:rPr>
          <w:rFonts w:ascii="Times New Roman" w:eastAsia="Times New Roman" w:hAnsi="Times New Roman" w:cs="Times New Roman"/>
        </w:rPr>
        <w:t>Bedadi</w:t>
      </w:r>
      <w:proofErr w:type="spellEnd"/>
      <w:r w:rsidRPr="00C079B7">
        <w:rPr>
          <w:rFonts w:ascii="Times New Roman" w:eastAsia="Times New Roman" w:hAnsi="Times New Roman" w:cs="Times New Roman"/>
        </w:rPr>
        <w:t xml:space="preserve">, 2015; </w:t>
      </w:r>
      <w:proofErr w:type="spellStart"/>
      <w:r w:rsidRPr="00C079B7">
        <w:rPr>
          <w:rFonts w:ascii="Times New Roman" w:eastAsia="Times New Roman" w:hAnsi="Times New Roman" w:cs="Times New Roman"/>
        </w:rPr>
        <w:t>Asmare</w:t>
      </w:r>
      <w:proofErr w:type="spellEnd"/>
      <w:r w:rsidRPr="00C079B7">
        <w:rPr>
          <w:rFonts w:ascii="Times New Roman" w:eastAsia="Times New Roman" w:hAnsi="Times New Roman" w:cs="Times New Roman"/>
        </w:rPr>
        <w:t xml:space="preserve"> &amp; </w:t>
      </w:r>
      <w:proofErr w:type="spellStart"/>
      <w:r w:rsidRPr="00C079B7">
        <w:rPr>
          <w:rFonts w:ascii="Times New Roman" w:eastAsia="Times New Roman" w:hAnsi="Times New Roman" w:cs="Times New Roman"/>
        </w:rPr>
        <w:t>Mamo</w:t>
      </w:r>
      <w:proofErr w:type="spellEnd"/>
      <w:r w:rsidRPr="00C079B7">
        <w:rPr>
          <w:rFonts w:ascii="Times New Roman" w:eastAsia="Times New Roman" w:hAnsi="Times New Roman" w:cs="Times New Roman"/>
        </w:rPr>
        <w:t>, 2023). In addition, exposed soils in these land uses are more susceptible to water and wind erosion, further reducing SOC, while forest soils benefit from protective litter cover and favorable microclimatic conditions that slow decomposition (Miju et al., 2025).</w:t>
      </w:r>
    </w:p>
    <w:p w:rsidR="00C079B7" w:rsidRPr="00C079B7" w:rsidRDefault="00C079B7" w:rsidP="00C079B7">
      <w:pPr>
        <w:spacing w:after="0" w:line="360" w:lineRule="auto"/>
        <w:jc w:val="both"/>
        <w:rPr>
          <w:rFonts w:ascii="Times New Roman" w:eastAsia="Times New Roman" w:hAnsi="Times New Roman" w:cs="Times New Roman"/>
        </w:rPr>
      </w:pPr>
      <w:r w:rsidRPr="00C079B7">
        <w:rPr>
          <w:rFonts w:ascii="Times New Roman" w:eastAsia="Times New Roman" w:hAnsi="Times New Roman" w:cs="Times New Roman"/>
        </w:rPr>
        <w:t>SOC declined with soil depth, with higher concentrations in the surface layer</w:t>
      </w:r>
      <w:r>
        <w:rPr>
          <w:rFonts w:ascii="Times New Roman" w:eastAsia="Times New Roman" w:hAnsi="Times New Roman" w:cs="Times New Roman"/>
        </w:rPr>
        <w:t xml:space="preserve"> 0–20 cm with 2.36%</w:t>
      </w:r>
      <w:r w:rsidRPr="00C079B7">
        <w:rPr>
          <w:rFonts w:ascii="Times New Roman" w:eastAsia="Times New Roman" w:hAnsi="Times New Roman" w:cs="Times New Roman"/>
        </w:rPr>
        <w:t xml:space="preserve"> than in the su</w:t>
      </w:r>
      <w:r>
        <w:rPr>
          <w:rFonts w:ascii="Times New Roman" w:eastAsia="Times New Roman" w:hAnsi="Times New Roman" w:cs="Times New Roman"/>
        </w:rPr>
        <w:t>bsurface layer 20–40 cm with1.56%</w:t>
      </w:r>
      <w:r w:rsidRPr="00C079B7">
        <w:rPr>
          <w:rFonts w:ascii="Times New Roman" w:eastAsia="Times New Roman" w:hAnsi="Times New Roman" w:cs="Times New Roman"/>
        </w:rPr>
        <w:t xml:space="preserve"> (Table 3). This pattern reflects the accumulation of organic matter near the soil surface from litter and animal residues (Gebreselassie &amp; Ayanna, 2013; Fekad et al., 2020; </w:t>
      </w:r>
      <w:proofErr w:type="spellStart"/>
      <w:r w:rsidRPr="00C079B7">
        <w:rPr>
          <w:rFonts w:ascii="Times New Roman" w:eastAsia="Times New Roman" w:hAnsi="Times New Roman" w:cs="Times New Roman"/>
        </w:rPr>
        <w:t>Wachu</w:t>
      </w:r>
      <w:proofErr w:type="spellEnd"/>
      <w:r w:rsidRPr="00C079B7">
        <w:rPr>
          <w:rFonts w:ascii="Times New Roman" w:eastAsia="Times New Roman" w:hAnsi="Times New Roman" w:cs="Times New Roman"/>
        </w:rPr>
        <w:t xml:space="preserve"> &amp; Ibrahim, 2025) and is consistent with earlier findings showing greater SOC in topsoil due to continuous organic inputs and limited decomposition at depth (Molla et al., 2022; </w:t>
      </w:r>
      <w:proofErr w:type="spellStart"/>
      <w:r w:rsidRPr="00C079B7">
        <w:rPr>
          <w:rFonts w:ascii="Times New Roman" w:eastAsia="Times New Roman" w:hAnsi="Times New Roman" w:cs="Times New Roman"/>
        </w:rPr>
        <w:t>Asmare</w:t>
      </w:r>
      <w:proofErr w:type="spellEnd"/>
      <w:r w:rsidRPr="00C079B7">
        <w:rPr>
          <w:rFonts w:ascii="Times New Roman" w:eastAsia="Times New Roman" w:hAnsi="Times New Roman" w:cs="Times New Roman"/>
        </w:rPr>
        <w:t xml:space="preserve"> et al., 2023). Overall, these results highlight the strong influence of land use and management on SOC dynamics and emphasize the importance of organic amendments, residue retention, and reduced soil disturbance for sustaining soil fertility, water-holding capacity, and crop productivity</w:t>
      </w:r>
    </w:p>
    <w:p w:rsidR="007E397B" w:rsidRPr="00C079B7" w:rsidRDefault="004B36C1" w:rsidP="00C079B7">
      <w:pPr>
        <w:pStyle w:val="NormalWeb"/>
        <w:spacing w:before="0" w:beforeAutospacing="0" w:after="0" w:afterAutospacing="0" w:line="360" w:lineRule="auto"/>
        <w:jc w:val="both"/>
        <w:rPr>
          <w:color w:val="000000" w:themeColor="text1"/>
          <w:sz w:val="22"/>
          <w:szCs w:val="22"/>
        </w:rPr>
      </w:pPr>
      <w:r w:rsidRPr="00C079B7">
        <w:rPr>
          <w:rStyle w:val="Strong"/>
          <w:color w:val="000000" w:themeColor="text1"/>
          <w:sz w:val="22"/>
          <w:szCs w:val="22"/>
        </w:rPr>
        <w:t xml:space="preserve">3.2.3 </w:t>
      </w:r>
      <w:r w:rsidR="007E397B" w:rsidRPr="00C079B7">
        <w:rPr>
          <w:rStyle w:val="Strong"/>
          <w:color w:val="000000" w:themeColor="text1"/>
          <w:sz w:val="22"/>
          <w:szCs w:val="22"/>
        </w:rPr>
        <w:t>Total nitrogen (TN)</w:t>
      </w:r>
    </w:p>
    <w:p w:rsidR="00C079B7" w:rsidRPr="00C079B7" w:rsidRDefault="00C079B7" w:rsidP="00C079B7">
      <w:pPr>
        <w:spacing w:after="0" w:line="360" w:lineRule="auto"/>
        <w:jc w:val="both"/>
        <w:rPr>
          <w:rFonts w:ascii="Times New Roman" w:eastAsia="Times New Roman" w:hAnsi="Times New Roman" w:cs="Times New Roman"/>
        </w:rPr>
      </w:pPr>
      <w:r w:rsidRPr="00C079B7">
        <w:rPr>
          <w:rFonts w:ascii="Times New Roman" w:eastAsia="Times New Roman" w:hAnsi="Times New Roman" w:cs="Times New Roman"/>
        </w:rPr>
        <w:lastRenderedPageBreak/>
        <w:t xml:space="preserve">Total nitrogen (TN) varied significantly among land use types and soil depths (P &lt; 0.01) (Table 3). Natural forest soils </w:t>
      </w:r>
      <w:r>
        <w:rPr>
          <w:rFonts w:ascii="Times New Roman" w:eastAsia="Times New Roman" w:hAnsi="Times New Roman" w:cs="Times New Roman"/>
        </w:rPr>
        <w:t>contained the highest TN 0.37%</w:t>
      </w:r>
      <w:r w:rsidRPr="00C079B7">
        <w:rPr>
          <w:rFonts w:ascii="Times New Roman" w:eastAsia="Times New Roman" w:hAnsi="Times New Roman" w:cs="Times New Roman"/>
        </w:rPr>
        <w:t>, followed by plantation for</w:t>
      </w:r>
      <w:r>
        <w:rPr>
          <w:rFonts w:ascii="Times New Roman" w:eastAsia="Times New Roman" w:hAnsi="Times New Roman" w:cs="Times New Roman"/>
        </w:rPr>
        <w:t>ests (0.19%) and grazing lands 0.16%</w:t>
      </w:r>
      <w:r w:rsidRPr="00C079B7">
        <w:rPr>
          <w:rFonts w:ascii="Times New Roman" w:eastAsia="Times New Roman" w:hAnsi="Times New Roman" w:cs="Times New Roman"/>
        </w:rPr>
        <w:t>, while cult</w:t>
      </w:r>
      <w:r>
        <w:rPr>
          <w:rFonts w:ascii="Times New Roman" w:eastAsia="Times New Roman" w:hAnsi="Times New Roman" w:cs="Times New Roman"/>
        </w:rPr>
        <w:t>ivated soils had the lowest TN 0.12%</w:t>
      </w:r>
      <w:r w:rsidRPr="00C079B7">
        <w:rPr>
          <w:rFonts w:ascii="Times New Roman" w:eastAsia="Times New Roman" w:hAnsi="Times New Roman" w:cs="Times New Roman"/>
        </w:rPr>
        <w:t>. Higher TN in forest soils is mainly due to continuous organic matter inputs from litter and roots, which enhance nitrogen accumulation through mineralization and nutrient cycling. In contrast, intensive tillage, residue removal, and rapid organic matter decomposition in cultivated lands reduce nitrogen levels, while grazing and plantation lands maintain intermediate TN due to partial litter return and management effects (Chemeda et al., 2017; Habtamu, 2018; Fekad et al., 2020; Molla et al., 2022; Getnet et al., 2025).</w:t>
      </w:r>
    </w:p>
    <w:p w:rsidR="00C079B7" w:rsidRPr="00C079B7" w:rsidRDefault="00C079B7" w:rsidP="00C079B7">
      <w:pPr>
        <w:spacing w:after="0" w:line="360" w:lineRule="auto"/>
        <w:jc w:val="both"/>
        <w:rPr>
          <w:rFonts w:ascii="Times New Roman" w:eastAsia="Times New Roman" w:hAnsi="Times New Roman" w:cs="Times New Roman"/>
          <w:sz w:val="24"/>
          <w:szCs w:val="24"/>
        </w:rPr>
      </w:pPr>
      <w:r w:rsidRPr="00C079B7">
        <w:rPr>
          <w:rFonts w:ascii="Times New Roman" w:eastAsia="Times New Roman" w:hAnsi="Times New Roman" w:cs="Times New Roman"/>
        </w:rPr>
        <w:t>TN also decreased with soil depth, with higher conce</w:t>
      </w:r>
      <w:r>
        <w:rPr>
          <w:rFonts w:ascii="Times New Roman" w:eastAsia="Times New Roman" w:hAnsi="Times New Roman" w:cs="Times New Roman"/>
        </w:rPr>
        <w:t xml:space="preserve">ntrations in the surface layer </w:t>
      </w:r>
      <w:r w:rsidRPr="00C079B7">
        <w:rPr>
          <w:rFonts w:ascii="Times New Roman" w:eastAsia="Times New Roman" w:hAnsi="Times New Roman" w:cs="Times New Roman"/>
        </w:rPr>
        <w:t>0–20 cm;</w:t>
      </w:r>
      <w:r>
        <w:rPr>
          <w:rFonts w:ascii="Times New Roman" w:eastAsia="Times New Roman" w:hAnsi="Times New Roman" w:cs="Times New Roman"/>
        </w:rPr>
        <w:t xml:space="preserve"> 0.31% than in the subsurface 20–40 cm; 0.21%</w:t>
      </w:r>
      <w:r w:rsidRPr="00C079B7">
        <w:rPr>
          <w:rFonts w:ascii="Times New Roman" w:eastAsia="Times New Roman" w:hAnsi="Times New Roman" w:cs="Times New Roman"/>
        </w:rPr>
        <w:t xml:space="preserve">, reflecting greater organic matter accumulation near the soil surface and progressive nitrogen loss at depth through mineralization and leaching. Similar depth-wise declines in TN have been reported across Ethiopian highlands (Molla &amp; Yalew, 2018; Mulugeta Tufa et al., 2019; Fekadu et al., 2020; Molla et al., 2022; </w:t>
      </w:r>
      <w:proofErr w:type="spellStart"/>
      <w:r w:rsidRPr="00C079B7">
        <w:rPr>
          <w:rFonts w:ascii="Times New Roman" w:eastAsia="Times New Roman" w:hAnsi="Times New Roman" w:cs="Times New Roman"/>
        </w:rPr>
        <w:t>Asmare</w:t>
      </w:r>
      <w:proofErr w:type="spellEnd"/>
      <w:r w:rsidRPr="00C079B7">
        <w:rPr>
          <w:rFonts w:ascii="Times New Roman" w:eastAsia="Times New Roman" w:hAnsi="Times New Roman" w:cs="Times New Roman"/>
        </w:rPr>
        <w:t xml:space="preserve"> et al., 2023). Based on Landon’s (1991) classification, TN levels are high under natural forest but low in cultivated, plantation, and grazing lands, highlighting the strong influence of land use management on soil fertility and long-term productivity</w:t>
      </w:r>
      <w:r w:rsidRPr="00C079B7">
        <w:rPr>
          <w:rFonts w:ascii="Times New Roman" w:eastAsia="Times New Roman" w:hAnsi="Times New Roman" w:cs="Times New Roman"/>
          <w:sz w:val="24"/>
          <w:szCs w:val="24"/>
        </w:rPr>
        <w:t>.</w:t>
      </w:r>
    </w:p>
    <w:p w:rsidR="00BB3667" w:rsidRDefault="004B36C1" w:rsidP="00BB3667">
      <w:pPr>
        <w:pStyle w:val="NormalWeb"/>
        <w:spacing w:before="0" w:beforeAutospacing="0" w:after="0" w:afterAutospacing="0" w:line="360" w:lineRule="auto"/>
        <w:jc w:val="both"/>
        <w:rPr>
          <w:b/>
          <w:color w:val="000000" w:themeColor="text1"/>
          <w:sz w:val="22"/>
          <w:szCs w:val="22"/>
        </w:rPr>
      </w:pPr>
      <w:r w:rsidRPr="00BB3667">
        <w:rPr>
          <w:b/>
          <w:color w:val="000000" w:themeColor="text1"/>
          <w:sz w:val="22"/>
          <w:szCs w:val="22"/>
        </w:rPr>
        <w:t xml:space="preserve">3.2.4 </w:t>
      </w:r>
      <w:r w:rsidR="007E397B" w:rsidRPr="00BB3667">
        <w:rPr>
          <w:b/>
          <w:color w:val="000000" w:themeColor="text1"/>
          <w:sz w:val="22"/>
          <w:szCs w:val="22"/>
        </w:rPr>
        <w:t>Carbon-to-nitrogen ratio (C</w:t>
      </w:r>
      <w:proofErr w:type="gramStart"/>
      <w:r w:rsidR="007E397B" w:rsidRPr="00BB3667">
        <w:rPr>
          <w:b/>
          <w:color w:val="000000" w:themeColor="text1"/>
          <w:sz w:val="22"/>
          <w:szCs w:val="22"/>
        </w:rPr>
        <w:t>:N</w:t>
      </w:r>
      <w:proofErr w:type="gramEnd"/>
      <w:r w:rsidR="007E397B" w:rsidRPr="00BB3667">
        <w:rPr>
          <w:b/>
          <w:color w:val="000000" w:themeColor="text1"/>
          <w:sz w:val="22"/>
          <w:szCs w:val="22"/>
        </w:rPr>
        <w:t>)</w:t>
      </w:r>
    </w:p>
    <w:p w:rsidR="00BB3667" w:rsidRPr="00BB3667" w:rsidRDefault="00BB3667" w:rsidP="00BB3667">
      <w:pPr>
        <w:pStyle w:val="NormalWeb"/>
        <w:spacing w:before="0" w:beforeAutospacing="0" w:after="0" w:afterAutospacing="0" w:line="360" w:lineRule="auto"/>
        <w:jc w:val="both"/>
        <w:rPr>
          <w:b/>
          <w:color w:val="000000" w:themeColor="text1"/>
          <w:sz w:val="22"/>
          <w:szCs w:val="22"/>
        </w:rPr>
      </w:pPr>
      <w:r w:rsidRPr="00BB3667">
        <w:rPr>
          <w:sz w:val="22"/>
          <w:szCs w:val="22"/>
        </w:rPr>
        <w:t>The C</w:t>
      </w:r>
      <w:proofErr w:type="gramStart"/>
      <w:r w:rsidRPr="00BB3667">
        <w:rPr>
          <w:sz w:val="22"/>
          <w:szCs w:val="22"/>
        </w:rPr>
        <w:t>:N</w:t>
      </w:r>
      <w:proofErr w:type="gramEnd"/>
      <w:r w:rsidRPr="00BB3667">
        <w:rPr>
          <w:sz w:val="22"/>
          <w:szCs w:val="22"/>
        </w:rPr>
        <w:t xml:space="preserve"> ratio varied significantly among land use types (P &lt; 0.01) but did not differ significantly with soil depth or land use–depth interaction. Natural forest soils e</w:t>
      </w:r>
      <w:r w:rsidR="0067668D">
        <w:rPr>
          <w:sz w:val="22"/>
          <w:szCs w:val="22"/>
        </w:rPr>
        <w:t>xhibited the highest C:N ratio 15.07</w:t>
      </w:r>
      <w:r w:rsidRPr="00BB3667">
        <w:rPr>
          <w:sz w:val="22"/>
          <w:szCs w:val="22"/>
        </w:rPr>
        <w:t>, foll</w:t>
      </w:r>
      <w:r w:rsidR="0067668D">
        <w:rPr>
          <w:sz w:val="22"/>
          <w:szCs w:val="22"/>
        </w:rPr>
        <w:t>owed by Eucalyptus plantations 8.79, cultivated land 6.17, and grazing land 5.14</w:t>
      </w:r>
      <w:r w:rsidRPr="00BB3667">
        <w:rPr>
          <w:sz w:val="22"/>
          <w:szCs w:val="22"/>
        </w:rPr>
        <w:t xml:space="preserve"> (Table 3), indicating that land use strongly regulates the balance between soil organic carbon and total nitrogen, an important indicator of organic matter quality and nutrient cycling efficiency.</w:t>
      </w:r>
    </w:p>
    <w:p w:rsidR="00BB3667" w:rsidRPr="0067668D" w:rsidRDefault="00BB3667" w:rsidP="0067668D">
      <w:pPr>
        <w:spacing w:after="0" w:line="360" w:lineRule="auto"/>
        <w:jc w:val="both"/>
        <w:rPr>
          <w:rFonts w:ascii="Times New Roman" w:eastAsia="Times New Roman" w:hAnsi="Times New Roman" w:cs="Times New Roman"/>
        </w:rPr>
      </w:pPr>
      <w:r w:rsidRPr="00BB3667">
        <w:rPr>
          <w:rFonts w:ascii="Times New Roman" w:eastAsia="Times New Roman" w:hAnsi="Times New Roman" w:cs="Times New Roman"/>
        </w:rPr>
        <w:t>The higher C</w:t>
      </w:r>
      <w:proofErr w:type="gramStart"/>
      <w:r w:rsidRPr="00BB3667">
        <w:rPr>
          <w:rFonts w:ascii="Times New Roman" w:eastAsia="Times New Roman" w:hAnsi="Times New Roman" w:cs="Times New Roman"/>
        </w:rPr>
        <w:t>:N</w:t>
      </w:r>
      <w:proofErr w:type="gramEnd"/>
      <w:r w:rsidRPr="00BB3667">
        <w:rPr>
          <w:rFonts w:ascii="Times New Roman" w:eastAsia="Times New Roman" w:hAnsi="Times New Roman" w:cs="Times New Roman"/>
        </w:rPr>
        <w:t xml:space="preserve"> ratio in natural forests is attributed to continuous and diverse organic inputs, including litter fall, woody debris, and fine root turnover, along with reduced decomposition under shaded microclimates, which promote carbon accumulation relative to nitrogen (Gebreselassie &amp; Ayanna, 2013; Molla et al., 2022; Miju et al., 2025). In contrast, the lowest C:N ratios in cultivated and grazing lands reflect intensive disturbances, residue removal, and enhanced mineralization that accelerate organic matter decomposition and carbon loss (Chimdi et al., 2012; Fekad et al., 2020; </w:t>
      </w:r>
      <w:proofErr w:type="spellStart"/>
      <w:r w:rsidRPr="00BB3667">
        <w:rPr>
          <w:rFonts w:ascii="Times New Roman" w:eastAsia="Times New Roman" w:hAnsi="Times New Roman" w:cs="Times New Roman"/>
        </w:rPr>
        <w:t>Asmare</w:t>
      </w:r>
      <w:proofErr w:type="spellEnd"/>
      <w:r w:rsidRPr="00BB3667">
        <w:rPr>
          <w:rFonts w:ascii="Times New Roman" w:eastAsia="Times New Roman" w:hAnsi="Times New Roman" w:cs="Times New Roman"/>
        </w:rPr>
        <w:t xml:space="preserve"> &amp; </w:t>
      </w:r>
      <w:proofErr w:type="spellStart"/>
      <w:r w:rsidRPr="00BB3667">
        <w:rPr>
          <w:rFonts w:ascii="Times New Roman" w:eastAsia="Times New Roman" w:hAnsi="Times New Roman" w:cs="Times New Roman"/>
        </w:rPr>
        <w:t>Mamo</w:t>
      </w:r>
      <w:proofErr w:type="spellEnd"/>
      <w:r w:rsidRPr="00BB3667">
        <w:rPr>
          <w:rFonts w:ascii="Times New Roman" w:eastAsia="Times New Roman" w:hAnsi="Times New Roman" w:cs="Times New Roman"/>
        </w:rPr>
        <w:t>, 2023). Grazing pressure further reduces litter inputs and organic matter through trampling and overgrazing (</w:t>
      </w:r>
      <w:proofErr w:type="spellStart"/>
      <w:r w:rsidRPr="00BB3667">
        <w:rPr>
          <w:rFonts w:ascii="Times New Roman" w:eastAsia="Times New Roman" w:hAnsi="Times New Roman" w:cs="Times New Roman"/>
        </w:rPr>
        <w:t>Wachu</w:t>
      </w:r>
      <w:proofErr w:type="spellEnd"/>
      <w:r w:rsidRPr="00BB3667">
        <w:rPr>
          <w:rFonts w:ascii="Times New Roman" w:eastAsia="Times New Roman" w:hAnsi="Times New Roman" w:cs="Times New Roman"/>
        </w:rPr>
        <w:t xml:space="preserve"> &amp; Ibrahim, 2025). Eucalyptus plantations showed intermediate C</w:t>
      </w:r>
      <w:proofErr w:type="gramStart"/>
      <w:r w:rsidRPr="00BB3667">
        <w:rPr>
          <w:rFonts w:ascii="Times New Roman" w:eastAsia="Times New Roman" w:hAnsi="Times New Roman" w:cs="Times New Roman"/>
        </w:rPr>
        <w:t>:N</w:t>
      </w:r>
      <w:proofErr w:type="gramEnd"/>
      <w:r w:rsidRPr="00BB3667">
        <w:rPr>
          <w:rFonts w:ascii="Times New Roman" w:eastAsia="Times New Roman" w:hAnsi="Times New Roman" w:cs="Times New Roman"/>
        </w:rPr>
        <w:t xml:space="preserve"> ratios due to slow-decomposing, low-nitrogen litter and high nutrient uptake by trees (</w:t>
      </w:r>
      <w:proofErr w:type="spellStart"/>
      <w:r w:rsidRPr="00BB3667">
        <w:rPr>
          <w:rFonts w:ascii="Times New Roman" w:eastAsia="Times New Roman" w:hAnsi="Times New Roman" w:cs="Times New Roman"/>
        </w:rPr>
        <w:t>Yitaferu</w:t>
      </w:r>
      <w:proofErr w:type="spellEnd"/>
      <w:r w:rsidRPr="00BB3667">
        <w:rPr>
          <w:rFonts w:ascii="Times New Roman" w:eastAsia="Times New Roman" w:hAnsi="Times New Roman" w:cs="Times New Roman"/>
        </w:rPr>
        <w:t xml:space="preserve"> et al., 2013; Bore &amp; Beda</w:t>
      </w:r>
      <w:r w:rsidR="0067668D">
        <w:rPr>
          <w:rFonts w:ascii="Times New Roman" w:eastAsia="Times New Roman" w:hAnsi="Times New Roman" w:cs="Times New Roman"/>
        </w:rPr>
        <w:t xml:space="preserve">di, 2015; Getnet et al., 2025). </w:t>
      </w:r>
      <w:r w:rsidRPr="00BB3667">
        <w:rPr>
          <w:rFonts w:ascii="Times New Roman" w:eastAsia="Times New Roman" w:hAnsi="Times New Roman" w:cs="Times New Roman"/>
          <w:sz w:val="24"/>
          <w:szCs w:val="24"/>
        </w:rPr>
        <w:t>Sustainable land management practices such as residue retention, reduced tillage, controlled grazing, and diversification of plantation species are recommended to improve soil organic matter quality and optimize C</w:t>
      </w:r>
      <w:proofErr w:type="gramStart"/>
      <w:r w:rsidRPr="00BB3667">
        <w:rPr>
          <w:rFonts w:ascii="Times New Roman" w:eastAsia="Times New Roman" w:hAnsi="Times New Roman" w:cs="Times New Roman"/>
          <w:sz w:val="24"/>
          <w:szCs w:val="24"/>
        </w:rPr>
        <w:t>:N</w:t>
      </w:r>
      <w:proofErr w:type="gramEnd"/>
      <w:r w:rsidRPr="00BB3667">
        <w:rPr>
          <w:rFonts w:ascii="Times New Roman" w:eastAsia="Times New Roman" w:hAnsi="Times New Roman" w:cs="Times New Roman"/>
          <w:sz w:val="24"/>
          <w:szCs w:val="24"/>
        </w:rPr>
        <w:t xml:space="preserve"> balance across disturbed land uses.</w:t>
      </w:r>
    </w:p>
    <w:p w:rsidR="00BF00C1" w:rsidRPr="00927F64" w:rsidRDefault="003268FB" w:rsidP="00F8771F">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 xml:space="preserve">Table 3 </w:t>
      </w:r>
      <w:r w:rsidR="008D0953" w:rsidRPr="00927F64">
        <w:rPr>
          <w:rFonts w:ascii="Times New Roman" w:hAnsi="Times New Roman" w:cs="Times New Roman"/>
          <w:b/>
          <w:color w:val="000000" w:themeColor="text1"/>
        </w:rPr>
        <w:t>Main effects of land use and soil depth on selected soil chemical properties</w:t>
      </w:r>
    </w:p>
    <w:tbl>
      <w:tblPr>
        <w:tblStyle w:val="TableGrid"/>
        <w:tblW w:w="101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350"/>
        <w:gridCol w:w="1350"/>
        <w:gridCol w:w="273"/>
        <w:gridCol w:w="2157"/>
        <w:gridCol w:w="1170"/>
        <w:gridCol w:w="1803"/>
      </w:tblGrid>
      <w:tr w:rsidR="00927F64" w:rsidRPr="00927F64" w:rsidTr="00560A7F">
        <w:tc>
          <w:tcPr>
            <w:tcW w:w="2085"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lastRenderedPageBreak/>
              <w:t>Treatment</w:t>
            </w:r>
          </w:p>
        </w:tc>
        <w:tc>
          <w:tcPr>
            <w:tcW w:w="1350" w:type="dxa"/>
            <w:tcBorders>
              <w:top w:val="single" w:sz="4" w:space="0" w:color="auto"/>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pH (H</w:t>
            </w:r>
            <w:r w:rsidRPr="00927F64">
              <w:rPr>
                <w:rFonts w:ascii="Times New Roman" w:hAnsi="Times New Roman" w:cs="Times New Roman"/>
                <w:color w:val="000000" w:themeColor="text1"/>
                <w:vertAlign w:val="subscript"/>
              </w:rPr>
              <w:t>2</w:t>
            </w:r>
            <w:r w:rsidRPr="00927F64">
              <w:rPr>
                <w:rFonts w:ascii="Times New Roman" w:hAnsi="Times New Roman" w:cs="Times New Roman"/>
                <w:color w:val="000000" w:themeColor="text1"/>
              </w:rPr>
              <w:t>O)</w:t>
            </w:r>
          </w:p>
        </w:tc>
        <w:tc>
          <w:tcPr>
            <w:tcW w:w="1350"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 xml:space="preserve">   SOC (%)</w:t>
            </w:r>
          </w:p>
        </w:tc>
        <w:tc>
          <w:tcPr>
            <w:tcW w:w="273"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TN (%)</w:t>
            </w:r>
          </w:p>
        </w:tc>
        <w:tc>
          <w:tcPr>
            <w:tcW w:w="1170"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 N</w:t>
            </w:r>
          </w:p>
        </w:tc>
        <w:tc>
          <w:tcPr>
            <w:tcW w:w="1803" w:type="dxa"/>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AvP (mg/kg)</w:t>
            </w:r>
          </w:p>
        </w:tc>
      </w:tr>
      <w:tr w:rsidR="00927F64" w:rsidRPr="00927F64" w:rsidTr="00560A7F">
        <w:tc>
          <w:tcPr>
            <w:tcW w:w="10188" w:type="dxa"/>
            <w:gridSpan w:val="7"/>
            <w:tcBorders>
              <w:top w:val="single" w:sz="4" w:space="0" w:color="auto"/>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 xml:space="preserve">                                                                   Land use type</w:t>
            </w:r>
          </w:p>
        </w:tc>
      </w:tr>
      <w:tr w:rsidR="00927F64" w:rsidRPr="00927F64" w:rsidTr="00560A7F">
        <w:tc>
          <w:tcPr>
            <w:tcW w:w="2085" w:type="dxa"/>
            <w:tcBorders>
              <w:top w:val="single" w:sz="4" w:space="0" w:color="auto"/>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Natural Forest</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6.05</w:t>
            </w:r>
            <w:r w:rsidR="008D0953" w:rsidRPr="00927F64">
              <w:rPr>
                <w:rFonts w:ascii="Times New Roman" w:hAnsi="Times New Roman" w:cs="Times New Roman"/>
                <w:color w:val="000000" w:themeColor="text1"/>
                <w:vertAlign w:val="superscript"/>
              </w:rPr>
              <w:t>a</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w:t>
            </w:r>
            <w:r w:rsidR="008D0953" w:rsidRPr="00927F64">
              <w:rPr>
                <w:rFonts w:ascii="Times New Roman" w:hAnsi="Times New Roman" w:cs="Times New Roman"/>
                <w:color w:val="000000" w:themeColor="text1"/>
              </w:rPr>
              <w:t>.03</w:t>
            </w:r>
            <w:r w:rsidR="008D0953" w:rsidRPr="00927F64">
              <w:rPr>
                <w:rFonts w:ascii="Times New Roman" w:hAnsi="Times New Roman" w:cs="Times New Roman"/>
                <w:color w:val="000000" w:themeColor="text1"/>
                <w:vertAlign w:val="superscript"/>
              </w:rPr>
              <w:t>a</w:t>
            </w:r>
          </w:p>
        </w:tc>
        <w:tc>
          <w:tcPr>
            <w:tcW w:w="27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single" w:sz="4" w:space="0" w:color="auto"/>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w:t>
            </w:r>
            <w:r w:rsidR="008D0953" w:rsidRPr="00927F64">
              <w:rPr>
                <w:rFonts w:ascii="Times New Roman" w:hAnsi="Times New Roman" w:cs="Times New Roman"/>
                <w:color w:val="000000" w:themeColor="text1"/>
              </w:rPr>
              <w:t>7a</w:t>
            </w:r>
          </w:p>
        </w:tc>
        <w:tc>
          <w:tcPr>
            <w:tcW w:w="1170"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13.59</w:t>
            </w:r>
            <w:r w:rsidR="008D0953" w:rsidRPr="00927F64">
              <w:rPr>
                <w:rFonts w:ascii="Times New Roman" w:hAnsi="Times New Roman" w:cs="Times New Roman"/>
                <w:color w:val="000000" w:themeColor="text1"/>
                <w:vertAlign w:val="superscript"/>
              </w:rPr>
              <w:t>a</w:t>
            </w:r>
          </w:p>
        </w:tc>
        <w:tc>
          <w:tcPr>
            <w:tcW w:w="1803"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4.7</w:t>
            </w:r>
            <w:r w:rsidR="008D0953" w:rsidRPr="00927F64">
              <w:rPr>
                <w:rFonts w:ascii="Times New Roman" w:hAnsi="Times New Roman" w:cs="Times New Roman"/>
                <w:color w:val="000000" w:themeColor="text1"/>
              </w:rPr>
              <w:t>6</w:t>
            </w:r>
            <w:r w:rsidR="008D0953" w:rsidRPr="00927F64">
              <w:rPr>
                <w:rFonts w:ascii="Times New Roman" w:hAnsi="Times New Roman" w:cs="Times New Roman"/>
                <w:color w:val="000000" w:themeColor="text1"/>
                <w:vertAlign w:val="superscript"/>
              </w:rPr>
              <w:t>a</w:t>
            </w:r>
          </w:p>
        </w:tc>
      </w:tr>
      <w:tr w:rsidR="00927F64" w:rsidRPr="00927F64" w:rsidTr="00560A7F">
        <w:tc>
          <w:tcPr>
            <w:tcW w:w="2085" w:type="dxa"/>
            <w:tcBorders>
              <w:top w:val="nil"/>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Cultivated land</w:t>
            </w:r>
          </w:p>
        </w:tc>
        <w:tc>
          <w:tcPr>
            <w:tcW w:w="135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w:t>
            </w:r>
            <w:r w:rsidR="00BF00C1" w:rsidRPr="00927F64">
              <w:rPr>
                <w:rFonts w:ascii="Times New Roman" w:hAnsi="Times New Roman" w:cs="Times New Roman"/>
                <w:color w:val="000000" w:themeColor="text1"/>
              </w:rPr>
              <w:t>.3</w:t>
            </w:r>
            <w:r w:rsidRPr="00927F64">
              <w:rPr>
                <w:rFonts w:ascii="Times New Roman" w:hAnsi="Times New Roman" w:cs="Times New Roman"/>
                <w:color w:val="000000" w:themeColor="text1"/>
              </w:rPr>
              <w:t>1</w:t>
            </w:r>
            <w:r w:rsidRPr="00927F64">
              <w:rPr>
                <w:rFonts w:ascii="Times New Roman" w:hAnsi="Times New Roman" w:cs="Times New Roman"/>
                <w:color w:val="000000" w:themeColor="text1"/>
                <w:vertAlign w:val="superscript"/>
              </w:rPr>
              <w:t>b</w:t>
            </w:r>
          </w:p>
        </w:tc>
        <w:tc>
          <w:tcPr>
            <w:tcW w:w="1350" w:type="dxa"/>
            <w:tcBorders>
              <w:top w:val="nil"/>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0.8</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c</w:t>
            </w:r>
          </w:p>
        </w:tc>
        <w:tc>
          <w:tcPr>
            <w:tcW w:w="27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0.12</w:t>
            </w:r>
            <w:r w:rsidR="001530B3" w:rsidRPr="00927F64">
              <w:rPr>
                <w:rFonts w:ascii="Times New Roman" w:hAnsi="Times New Roman" w:cs="Times New Roman"/>
                <w:color w:val="000000" w:themeColor="text1"/>
                <w:vertAlign w:val="superscript"/>
              </w:rPr>
              <w:t>b</w:t>
            </w:r>
          </w:p>
        </w:tc>
        <w:tc>
          <w:tcPr>
            <w:tcW w:w="1170"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7.25</w:t>
            </w:r>
            <w:r w:rsidR="008D0953" w:rsidRPr="00927F64">
              <w:rPr>
                <w:rFonts w:ascii="Times New Roman" w:hAnsi="Times New Roman" w:cs="Times New Roman"/>
                <w:color w:val="000000" w:themeColor="text1"/>
                <w:vertAlign w:val="superscript"/>
              </w:rPr>
              <w:t>c</w:t>
            </w:r>
          </w:p>
        </w:tc>
        <w:tc>
          <w:tcPr>
            <w:tcW w:w="1803"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2.8</w:t>
            </w:r>
            <w:r w:rsidR="008D0953" w:rsidRPr="00927F64">
              <w:rPr>
                <w:rFonts w:ascii="Times New Roman" w:hAnsi="Times New Roman" w:cs="Times New Roman"/>
                <w:color w:val="000000" w:themeColor="text1"/>
              </w:rPr>
              <w:t>5</w:t>
            </w:r>
            <w:r w:rsidR="001530B3" w:rsidRPr="00927F64">
              <w:rPr>
                <w:rFonts w:ascii="Times New Roman" w:hAnsi="Times New Roman" w:cs="Times New Roman"/>
                <w:color w:val="000000" w:themeColor="text1"/>
                <w:vertAlign w:val="superscript"/>
              </w:rPr>
              <w:t>b</w:t>
            </w:r>
          </w:p>
        </w:tc>
      </w:tr>
      <w:tr w:rsidR="00927F64" w:rsidRPr="00927F64" w:rsidTr="00560A7F">
        <w:tc>
          <w:tcPr>
            <w:tcW w:w="2085" w:type="dxa"/>
            <w:tcBorders>
              <w:top w:val="nil"/>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Grazing Land</w:t>
            </w:r>
          </w:p>
        </w:tc>
        <w:tc>
          <w:tcPr>
            <w:tcW w:w="1350" w:type="dxa"/>
            <w:tcBorders>
              <w:top w:val="nil"/>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5.0</w:t>
            </w:r>
            <w:r w:rsidR="008D0953" w:rsidRPr="00927F64">
              <w:rPr>
                <w:rFonts w:ascii="Times New Roman" w:hAnsi="Times New Roman" w:cs="Times New Roman"/>
                <w:color w:val="000000" w:themeColor="text1"/>
              </w:rPr>
              <w:t>3</w:t>
            </w:r>
            <w:r w:rsidR="008D0953" w:rsidRPr="00927F64">
              <w:rPr>
                <w:rFonts w:ascii="Times New Roman" w:hAnsi="Times New Roman" w:cs="Times New Roman"/>
                <w:color w:val="000000" w:themeColor="text1"/>
                <w:vertAlign w:val="superscript"/>
              </w:rPr>
              <w:t>b</w:t>
            </w:r>
          </w:p>
        </w:tc>
        <w:tc>
          <w:tcPr>
            <w:tcW w:w="1350" w:type="dxa"/>
            <w:tcBorders>
              <w:top w:val="nil"/>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0.83</w:t>
            </w:r>
            <w:r w:rsidR="008D0953" w:rsidRPr="00927F64">
              <w:rPr>
                <w:rFonts w:ascii="Times New Roman" w:hAnsi="Times New Roman" w:cs="Times New Roman"/>
                <w:color w:val="000000" w:themeColor="text1"/>
                <w:vertAlign w:val="superscript"/>
              </w:rPr>
              <w:t>c</w:t>
            </w:r>
          </w:p>
        </w:tc>
        <w:tc>
          <w:tcPr>
            <w:tcW w:w="27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0.16</w:t>
            </w:r>
            <w:r w:rsidR="008D0953" w:rsidRPr="00927F64">
              <w:rPr>
                <w:rFonts w:ascii="Times New Roman" w:hAnsi="Times New Roman" w:cs="Times New Roman"/>
                <w:color w:val="000000" w:themeColor="text1"/>
                <w:vertAlign w:val="superscript"/>
              </w:rPr>
              <w:t>b</w:t>
            </w:r>
          </w:p>
        </w:tc>
        <w:tc>
          <w:tcPr>
            <w:tcW w:w="1170"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5.19</w:t>
            </w:r>
            <w:r w:rsidR="001530B3" w:rsidRPr="00927F64">
              <w:rPr>
                <w:rFonts w:ascii="Times New Roman" w:hAnsi="Times New Roman" w:cs="Times New Roman"/>
                <w:color w:val="000000" w:themeColor="text1"/>
                <w:vertAlign w:val="superscript"/>
              </w:rPr>
              <w:t>c</w:t>
            </w:r>
          </w:p>
        </w:tc>
        <w:tc>
          <w:tcPr>
            <w:tcW w:w="1803" w:type="dxa"/>
            <w:tcBorders>
              <w:top w:val="nil"/>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3.08</w:t>
            </w:r>
            <w:r w:rsidR="001530B3" w:rsidRPr="00927F64">
              <w:rPr>
                <w:rFonts w:ascii="Times New Roman" w:hAnsi="Times New Roman" w:cs="Times New Roman"/>
                <w:color w:val="000000" w:themeColor="text1"/>
                <w:vertAlign w:val="superscript"/>
              </w:rPr>
              <w:t>b</w:t>
            </w:r>
          </w:p>
        </w:tc>
      </w:tr>
      <w:tr w:rsidR="00927F64" w:rsidRPr="00927F64" w:rsidTr="00560A7F">
        <w:tc>
          <w:tcPr>
            <w:tcW w:w="2085" w:type="dxa"/>
            <w:tcBorders>
              <w:top w:val="nil"/>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Plantation Forest</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4.9</w:t>
            </w:r>
            <w:r w:rsidR="008D0953" w:rsidRPr="00927F64">
              <w:rPr>
                <w:rFonts w:ascii="Times New Roman" w:hAnsi="Times New Roman" w:cs="Times New Roman"/>
                <w:color w:val="000000" w:themeColor="text1"/>
              </w:rPr>
              <w:t>5</w:t>
            </w:r>
            <w:r w:rsidR="008D0953" w:rsidRPr="00927F64">
              <w:rPr>
                <w:rFonts w:ascii="Times New Roman" w:hAnsi="Times New Roman" w:cs="Times New Roman"/>
                <w:color w:val="000000" w:themeColor="text1"/>
                <w:vertAlign w:val="superscript"/>
              </w:rPr>
              <w:t>b</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2.0</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b</w:t>
            </w:r>
          </w:p>
        </w:tc>
        <w:tc>
          <w:tcPr>
            <w:tcW w:w="27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single" w:sz="4" w:space="0" w:color="auto"/>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0.19</w:t>
            </w:r>
            <w:r w:rsidR="008D0953" w:rsidRPr="00927F64">
              <w:rPr>
                <w:rFonts w:ascii="Times New Roman" w:hAnsi="Times New Roman" w:cs="Times New Roman"/>
                <w:color w:val="000000" w:themeColor="text1"/>
                <w:vertAlign w:val="superscript"/>
              </w:rPr>
              <w:t>b</w:t>
            </w:r>
          </w:p>
        </w:tc>
        <w:tc>
          <w:tcPr>
            <w:tcW w:w="1170"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10.74</w:t>
            </w:r>
            <w:r w:rsidR="008D0953" w:rsidRPr="00927F64">
              <w:rPr>
                <w:rFonts w:ascii="Times New Roman" w:hAnsi="Times New Roman" w:cs="Times New Roman"/>
                <w:color w:val="000000" w:themeColor="text1"/>
                <w:vertAlign w:val="superscript"/>
              </w:rPr>
              <w:t>b</w:t>
            </w:r>
          </w:p>
        </w:tc>
        <w:tc>
          <w:tcPr>
            <w:tcW w:w="1803"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2.3</w:t>
            </w:r>
            <w:r w:rsidR="008D0953" w:rsidRPr="00927F64">
              <w:rPr>
                <w:rFonts w:ascii="Times New Roman" w:hAnsi="Times New Roman" w:cs="Times New Roman"/>
                <w:color w:val="000000" w:themeColor="text1"/>
              </w:rPr>
              <w:t>5</w:t>
            </w:r>
            <w:r w:rsidR="001530B3" w:rsidRPr="00927F64">
              <w:rPr>
                <w:rFonts w:ascii="Times New Roman" w:hAnsi="Times New Roman" w:cs="Times New Roman"/>
                <w:color w:val="000000" w:themeColor="text1"/>
                <w:vertAlign w:val="superscript"/>
              </w:rPr>
              <w:t>c</w:t>
            </w:r>
          </w:p>
        </w:tc>
      </w:tr>
      <w:tr w:rsidR="00927F64" w:rsidRPr="00927F64" w:rsidTr="00560A7F">
        <w:tc>
          <w:tcPr>
            <w:tcW w:w="2085"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350"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0.12</w:t>
            </w:r>
          </w:p>
        </w:tc>
        <w:tc>
          <w:tcPr>
            <w:tcW w:w="1350"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p>
        </w:tc>
        <w:tc>
          <w:tcPr>
            <w:tcW w:w="27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170"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1.94</w:t>
            </w:r>
          </w:p>
        </w:tc>
        <w:tc>
          <w:tcPr>
            <w:tcW w:w="180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r>
      <w:tr w:rsidR="00927F64" w:rsidRPr="00927F64" w:rsidTr="00560A7F">
        <w:tc>
          <w:tcPr>
            <w:tcW w:w="2085"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35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5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27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803" w:type="dxa"/>
            <w:tcBorders>
              <w:top w:val="nil"/>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560A7F">
        <w:tc>
          <w:tcPr>
            <w:tcW w:w="2085"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350"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50"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0.11</w:t>
            </w:r>
          </w:p>
        </w:tc>
        <w:tc>
          <w:tcPr>
            <w:tcW w:w="27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0.02</w:t>
            </w:r>
          </w:p>
        </w:tc>
        <w:tc>
          <w:tcPr>
            <w:tcW w:w="1170"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0.59</w:t>
            </w:r>
          </w:p>
        </w:tc>
        <w:tc>
          <w:tcPr>
            <w:tcW w:w="180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0.23</w:t>
            </w:r>
          </w:p>
        </w:tc>
      </w:tr>
      <w:tr w:rsidR="00927F64" w:rsidRPr="00927F64" w:rsidTr="00560A7F">
        <w:tc>
          <w:tcPr>
            <w:tcW w:w="10188" w:type="dxa"/>
            <w:gridSpan w:val="7"/>
            <w:tcBorders>
              <w:top w:val="single" w:sz="4" w:space="0" w:color="auto"/>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Soil Depth (cm)</w:t>
            </w:r>
          </w:p>
        </w:tc>
      </w:tr>
      <w:tr w:rsidR="00927F64" w:rsidRPr="00927F64" w:rsidTr="00560A7F">
        <w:tc>
          <w:tcPr>
            <w:tcW w:w="2085" w:type="dxa"/>
            <w:tcBorders>
              <w:top w:val="single" w:sz="4" w:space="0" w:color="auto"/>
              <w:bottom w:val="nil"/>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0-20</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5.0</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b</w:t>
            </w:r>
          </w:p>
        </w:tc>
        <w:tc>
          <w:tcPr>
            <w:tcW w:w="1350" w:type="dxa"/>
            <w:tcBorders>
              <w:top w:val="single" w:sz="4" w:space="0" w:color="auto"/>
              <w:bottom w:val="nil"/>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2.3</w:t>
            </w:r>
            <w:r w:rsidR="008D0953" w:rsidRPr="00927F64">
              <w:rPr>
                <w:rFonts w:ascii="Times New Roman" w:hAnsi="Times New Roman" w:cs="Times New Roman"/>
                <w:color w:val="000000" w:themeColor="text1"/>
              </w:rPr>
              <w:t>6</w:t>
            </w:r>
            <w:r w:rsidR="008D0953" w:rsidRPr="00927F64">
              <w:rPr>
                <w:rFonts w:ascii="Times New Roman" w:hAnsi="Times New Roman" w:cs="Times New Roman"/>
                <w:color w:val="000000" w:themeColor="text1"/>
                <w:vertAlign w:val="superscript"/>
              </w:rPr>
              <w:t>a</w:t>
            </w:r>
          </w:p>
        </w:tc>
        <w:tc>
          <w:tcPr>
            <w:tcW w:w="273" w:type="dxa"/>
            <w:tcBorders>
              <w:top w:val="single" w:sz="4" w:space="0" w:color="auto"/>
              <w:bottom w:val="nil"/>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single" w:sz="4" w:space="0" w:color="auto"/>
              <w:bottom w:val="nil"/>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a</w:t>
            </w:r>
          </w:p>
        </w:tc>
        <w:tc>
          <w:tcPr>
            <w:tcW w:w="1170"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7.61</w:t>
            </w:r>
            <w:r w:rsidR="008D0953" w:rsidRPr="00927F64">
              <w:rPr>
                <w:rFonts w:ascii="Times New Roman" w:hAnsi="Times New Roman" w:cs="Times New Roman"/>
                <w:color w:val="000000" w:themeColor="text1"/>
                <w:vertAlign w:val="superscript"/>
              </w:rPr>
              <w:t>a</w:t>
            </w:r>
          </w:p>
        </w:tc>
        <w:tc>
          <w:tcPr>
            <w:tcW w:w="1803" w:type="dxa"/>
            <w:tcBorders>
              <w:top w:val="single" w:sz="4" w:space="0" w:color="auto"/>
              <w:bottom w:val="nil"/>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3.7</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a</w:t>
            </w:r>
          </w:p>
        </w:tc>
      </w:tr>
      <w:tr w:rsidR="00927F64" w:rsidRPr="00927F64" w:rsidTr="00560A7F">
        <w:tc>
          <w:tcPr>
            <w:tcW w:w="2085" w:type="dxa"/>
            <w:tcBorders>
              <w:top w:val="nil"/>
              <w:bottom w:val="single" w:sz="4" w:space="0" w:color="auto"/>
            </w:tcBorders>
          </w:tcPr>
          <w:p w:rsidR="008D0953" w:rsidRPr="00927F64" w:rsidRDefault="008D0953" w:rsidP="00F8771F">
            <w:pPr>
              <w:spacing w:before="0" w:beforeAutospacing="0" w:afterAutospacing="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20-40</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5.2</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a</w:t>
            </w:r>
          </w:p>
        </w:tc>
        <w:tc>
          <w:tcPr>
            <w:tcW w:w="1350" w:type="dxa"/>
            <w:tcBorders>
              <w:top w:val="nil"/>
              <w:bottom w:val="single" w:sz="4" w:space="0" w:color="auto"/>
            </w:tcBorders>
          </w:tcPr>
          <w:p w:rsidR="008D0953" w:rsidRPr="00927F64" w:rsidRDefault="00BF00C1"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1.5</w:t>
            </w:r>
            <w:r w:rsidR="008D0953" w:rsidRPr="00927F64">
              <w:rPr>
                <w:rFonts w:ascii="Times New Roman" w:hAnsi="Times New Roman" w:cs="Times New Roman"/>
                <w:color w:val="000000" w:themeColor="text1"/>
              </w:rPr>
              <w:t>6</w:t>
            </w:r>
            <w:r w:rsidR="008D0953" w:rsidRPr="00927F64">
              <w:rPr>
                <w:rFonts w:ascii="Times New Roman" w:hAnsi="Times New Roman" w:cs="Times New Roman"/>
                <w:color w:val="000000" w:themeColor="text1"/>
                <w:vertAlign w:val="superscript"/>
              </w:rPr>
              <w:t>b</w:t>
            </w:r>
          </w:p>
        </w:tc>
        <w:tc>
          <w:tcPr>
            <w:tcW w:w="273" w:type="dxa"/>
            <w:tcBorders>
              <w:top w:val="nil"/>
              <w:bottom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vertAlign w:val="superscript"/>
              </w:rPr>
            </w:pPr>
          </w:p>
        </w:tc>
        <w:tc>
          <w:tcPr>
            <w:tcW w:w="2157" w:type="dxa"/>
            <w:tcBorders>
              <w:top w:val="nil"/>
              <w:bottom w:val="single" w:sz="4" w:space="0" w:color="auto"/>
            </w:tcBorders>
          </w:tcPr>
          <w:p w:rsidR="008D0953" w:rsidRPr="00927F64" w:rsidRDefault="00512BC5"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0.21</w:t>
            </w:r>
            <w:r w:rsidR="008D0953" w:rsidRPr="00927F64">
              <w:rPr>
                <w:rFonts w:ascii="Times New Roman" w:hAnsi="Times New Roman" w:cs="Times New Roman"/>
                <w:color w:val="000000" w:themeColor="text1"/>
                <w:vertAlign w:val="superscript"/>
              </w:rPr>
              <w:t>b</w:t>
            </w:r>
          </w:p>
        </w:tc>
        <w:tc>
          <w:tcPr>
            <w:tcW w:w="1170"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7.43</w:t>
            </w:r>
            <w:r w:rsidR="008D0953" w:rsidRPr="00927F64">
              <w:rPr>
                <w:rFonts w:ascii="Times New Roman" w:hAnsi="Times New Roman" w:cs="Times New Roman"/>
                <w:color w:val="000000" w:themeColor="text1"/>
                <w:vertAlign w:val="superscript"/>
              </w:rPr>
              <w:t>a</w:t>
            </w:r>
          </w:p>
        </w:tc>
        <w:tc>
          <w:tcPr>
            <w:tcW w:w="1803" w:type="dxa"/>
            <w:tcBorders>
              <w:top w:val="nil"/>
              <w:bottom w:val="single" w:sz="4" w:space="0" w:color="auto"/>
            </w:tcBorders>
          </w:tcPr>
          <w:p w:rsidR="008D0953" w:rsidRPr="00927F64" w:rsidRDefault="007774DF" w:rsidP="00F8771F">
            <w:pPr>
              <w:spacing w:before="0" w:beforeAutospacing="0" w:afterAutospacing="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2.5</w:t>
            </w:r>
            <w:r w:rsidR="008D0953" w:rsidRPr="00927F64">
              <w:rPr>
                <w:rFonts w:ascii="Times New Roman" w:hAnsi="Times New Roman" w:cs="Times New Roman"/>
                <w:color w:val="000000" w:themeColor="text1"/>
              </w:rPr>
              <w:t>5</w:t>
            </w:r>
            <w:r w:rsidR="008D0953" w:rsidRPr="00927F64">
              <w:rPr>
                <w:rFonts w:ascii="Times New Roman" w:hAnsi="Times New Roman" w:cs="Times New Roman"/>
                <w:color w:val="000000" w:themeColor="text1"/>
                <w:vertAlign w:val="superscript"/>
              </w:rPr>
              <w:t>b</w:t>
            </w:r>
          </w:p>
        </w:tc>
      </w:tr>
      <w:tr w:rsidR="00927F64" w:rsidRPr="00927F64" w:rsidTr="00560A7F">
        <w:tc>
          <w:tcPr>
            <w:tcW w:w="2085"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w:t>
            </w:r>
          </w:p>
        </w:tc>
        <w:tc>
          <w:tcPr>
            <w:tcW w:w="1350"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0.08</w:t>
            </w:r>
          </w:p>
        </w:tc>
        <w:tc>
          <w:tcPr>
            <w:tcW w:w="1350"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0.24</w:t>
            </w:r>
          </w:p>
        </w:tc>
        <w:tc>
          <w:tcPr>
            <w:tcW w:w="273"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p>
        </w:tc>
        <w:tc>
          <w:tcPr>
            <w:tcW w:w="2157"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0.03</w:t>
            </w:r>
          </w:p>
        </w:tc>
        <w:tc>
          <w:tcPr>
            <w:tcW w:w="1170"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2.08</w:t>
            </w:r>
          </w:p>
        </w:tc>
        <w:tc>
          <w:tcPr>
            <w:tcW w:w="1803" w:type="dxa"/>
            <w:tcBorders>
              <w:top w:val="single" w:sz="4" w:space="0" w:color="auto"/>
            </w:tcBorders>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0.31</w:t>
            </w:r>
          </w:p>
        </w:tc>
      </w:tr>
      <w:tr w:rsidR="00927F64" w:rsidRPr="00927F64" w:rsidTr="00560A7F">
        <w:tblPrEx>
          <w:tblLook w:val="0000" w:firstRow="0" w:lastRow="0" w:firstColumn="0" w:lastColumn="0" w:noHBand="0" w:noVBand="0"/>
        </w:tblPrEx>
        <w:trPr>
          <w:trHeight w:val="465"/>
        </w:trPr>
        <w:tc>
          <w:tcPr>
            <w:tcW w:w="2085"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27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p>
        </w:tc>
        <w:tc>
          <w:tcPr>
            <w:tcW w:w="2157"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17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80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560A7F">
        <w:tblPrEx>
          <w:tblLook w:val="0000" w:firstRow="0" w:lastRow="0" w:firstColumn="0" w:lastColumn="0" w:noHBand="0" w:noVBand="0"/>
        </w:tblPrEx>
        <w:trPr>
          <w:trHeight w:val="360"/>
        </w:trPr>
        <w:tc>
          <w:tcPr>
            <w:tcW w:w="2085"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0.29</w:t>
            </w:r>
          </w:p>
        </w:tc>
        <w:tc>
          <w:tcPr>
            <w:tcW w:w="27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p>
        </w:tc>
        <w:tc>
          <w:tcPr>
            <w:tcW w:w="2157"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0.02</w:t>
            </w:r>
          </w:p>
        </w:tc>
        <w:tc>
          <w:tcPr>
            <w:tcW w:w="117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0.86</w:t>
            </w:r>
          </w:p>
        </w:tc>
        <w:tc>
          <w:tcPr>
            <w:tcW w:w="180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0.39</w:t>
            </w:r>
          </w:p>
        </w:tc>
      </w:tr>
      <w:tr w:rsidR="00927F64" w:rsidRPr="00927F64" w:rsidTr="00560A7F">
        <w:tblPrEx>
          <w:tblLook w:val="0000" w:firstRow="0" w:lastRow="0" w:firstColumn="0" w:lastColumn="0" w:noHBand="0" w:noVBand="0"/>
        </w:tblPrEx>
        <w:trPr>
          <w:trHeight w:val="480"/>
        </w:trPr>
        <w:tc>
          <w:tcPr>
            <w:tcW w:w="2085" w:type="dxa"/>
          </w:tcPr>
          <w:p w:rsidR="008D0953" w:rsidRPr="00927F64" w:rsidRDefault="008D0953" w:rsidP="00F8771F">
            <w:pPr>
              <w:spacing w:before="0" w:beforeAutospacing="0" w:afterAutospacing="0" w:line="360" w:lineRule="auto"/>
              <w:ind w:left="108"/>
              <w:rPr>
                <w:rFonts w:ascii="Times New Roman" w:hAnsi="Times New Roman" w:cs="Times New Roman"/>
                <w:color w:val="000000" w:themeColor="text1"/>
              </w:rPr>
            </w:pPr>
            <w:r w:rsidRPr="00927F64">
              <w:rPr>
                <w:rFonts w:ascii="Times New Roman" w:hAnsi="Times New Roman" w:cs="Times New Roman"/>
                <w:color w:val="000000" w:themeColor="text1"/>
              </w:rPr>
              <w:t>CV (%)</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1.83</w:t>
            </w:r>
          </w:p>
        </w:tc>
        <w:tc>
          <w:tcPr>
            <w:tcW w:w="135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16.00</w:t>
            </w:r>
          </w:p>
        </w:tc>
        <w:tc>
          <w:tcPr>
            <w:tcW w:w="27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p>
        </w:tc>
        <w:tc>
          <w:tcPr>
            <w:tcW w:w="2157"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21.90</w:t>
            </w:r>
          </w:p>
        </w:tc>
        <w:tc>
          <w:tcPr>
            <w:tcW w:w="1170"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27.33</w:t>
            </w:r>
          </w:p>
        </w:tc>
        <w:tc>
          <w:tcPr>
            <w:tcW w:w="1803" w:type="dxa"/>
          </w:tcPr>
          <w:p w:rsidR="008D0953" w:rsidRPr="00927F64" w:rsidRDefault="008D0953" w:rsidP="00F8771F">
            <w:pPr>
              <w:spacing w:before="0" w:beforeAutospacing="0" w:afterAutospacing="0" w:line="360" w:lineRule="auto"/>
              <w:ind w:left="108"/>
              <w:jc w:val="center"/>
              <w:rPr>
                <w:rFonts w:ascii="Times New Roman" w:hAnsi="Times New Roman" w:cs="Times New Roman"/>
                <w:color w:val="000000" w:themeColor="text1"/>
              </w:rPr>
            </w:pPr>
            <w:r w:rsidRPr="00927F64">
              <w:rPr>
                <w:rFonts w:ascii="Times New Roman" w:hAnsi="Times New Roman" w:cs="Times New Roman"/>
                <w:color w:val="000000" w:themeColor="text1"/>
              </w:rPr>
              <w:t>11.34</w:t>
            </w:r>
          </w:p>
        </w:tc>
      </w:tr>
    </w:tbl>
    <w:p w:rsidR="006E31D7" w:rsidRPr="00927F64" w:rsidRDefault="008D0953" w:rsidP="00F8771F">
      <w:pPr>
        <w:spacing w:after="0" w:line="360" w:lineRule="auto"/>
        <w:jc w:val="both"/>
        <w:rPr>
          <w:rFonts w:ascii="Times New Roman" w:hAnsi="Times New Roman" w:cs="Times New Roman"/>
          <w:i/>
          <w:color w:val="000000" w:themeColor="text1"/>
          <w:sz w:val="20"/>
          <w:szCs w:val="20"/>
        </w:rPr>
      </w:pPr>
      <w:r w:rsidRPr="00927F64">
        <w:rPr>
          <w:rFonts w:ascii="Times New Roman" w:hAnsi="Times New Roman" w:cs="Times New Roman"/>
          <w:i/>
          <w:color w:val="000000" w:themeColor="text1"/>
          <w:sz w:val="20"/>
          <w:szCs w:val="20"/>
        </w:rPr>
        <w:t>Mean values within a column followed by the different letters are significantly different from each other at **P &lt; 0.01 and *P &lt; 0.05; NS = Not significant; SOC=Soil organic carbon; AvP= Available Phosphorus</w:t>
      </w:r>
    </w:p>
    <w:p w:rsidR="00C3137C" w:rsidRPr="0067668D" w:rsidRDefault="004B36C1" w:rsidP="0067668D">
      <w:pPr>
        <w:spacing w:after="0" w:line="360" w:lineRule="auto"/>
        <w:jc w:val="both"/>
        <w:rPr>
          <w:rFonts w:ascii="Times New Roman" w:hAnsi="Times New Roman" w:cs="Times New Roman"/>
          <w:b/>
          <w:color w:val="000000" w:themeColor="text1"/>
        </w:rPr>
      </w:pPr>
      <w:r w:rsidRPr="0067668D">
        <w:rPr>
          <w:rFonts w:ascii="Times New Roman" w:hAnsi="Times New Roman" w:cs="Times New Roman"/>
          <w:b/>
          <w:color w:val="000000" w:themeColor="text1"/>
        </w:rPr>
        <w:t xml:space="preserve">3.2.5 </w:t>
      </w:r>
      <w:r w:rsidR="00E25DED" w:rsidRPr="0067668D">
        <w:rPr>
          <w:rFonts w:ascii="Times New Roman" w:hAnsi="Times New Roman" w:cs="Times New Roman"/>
          <w:b/>
          <w:color w:val="000000" w:themeColor="text1"/>
        </w:rPr>
        <w:t>Available Phosphorus (</w:t>
      </w:r>
      <w:r w:rsidR="00C3137C" w:rsidRPr="0067668D">
        <w:rPr>
          <w:rFonts w:ascii="Times New Roman" w:hAnsi="Times New Roman" w:cs="Times New Roman"/>
          <w:b/>
          <w:color w:val="000000" w:themeColor="text1"/>
        </w:rPr>
        <w:t>AvP</w:t>
      </w:r>
      <w:r w:rsidR="008D44A8" w:rsidRPr="0067668D">
        <w:rPr>
          <w:rFonts w:ascii="Times New Roman" w:hAnsi="Times New Roman" w:cs="Times New Roman"/>
          <w:b/>
          <w:color w:val="000000" w:themeColor="text1"/>
        </w:rPr>
        <w:t>)</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The results showed that available phosphorus (AvP) differed significantly (P &lt; 0.01) across land use types and soil depths (Table 3). Natural fo</w:t>
      </w:r>
      <w:r>
        <w:rPr>
          <w:rFonts w:ascii="Times New Roman" w:eastAsia="Times New Roman" w:hAnsi="Times New Roman" w:cs="Times New Roman"/>
        </w:rPr>
        <w:t>rest soils had the highest AvP 4.76 mg/kg, followed by cultivated land 3.08 mg/kg</w:t>
      </w:r>
      <w:r w:rsidRPr="0067668D">
        <w:rPr>
          <w:rFonts w:ascii="Times New Roman" w:eastAsia="Times New Roman" w:hAnsi="Times New Roman" w:cs="Times New Roman"/>
        </w:rPr>
        <w:t>, Eucalyptus plantation</w:t>
      </w:r>
      <w:r>
        <w:rPr>
          <w:rFonts w:ascii="Times New Roman" w:eastAsia="Times New Roman" w:hAnsi="Times New Roman" w:cs="Times New Roman"/>
        </w:rPr>
        <w:t>s 2.85 mg/kg, and grazing land 2.35 mg/kg</w:t>
      </w:r>
      <w:r w:rsidRPr="0067668D">
        <w:rPr>
          <w:rFonts w:ascii="Times New Roman" w:eastAsia="Times New Roman" w:hAnsi="Times New Roman" w:cs="Times New Roman"/>
        </w:rPr>
        <w:t xml:space="preserve">. AvP also decreased </w:t>
      </w:r>
      <w:r>
        <w:rPr>
          <w:rFonts w:ascii="Times New Roman" w:eastAsia="Times New Roman" w:hAnsi="Times New Roman" w:cs="Times New Roman"/>
        </w:rPr>
        <w:t>with depth, with surface soils 3.71 mg/kg</w:t>
      </w:r>
      <w:r w:rsidRPr="0067668D">
        <w:rPr>
          <w:rFonts w:ascii="Times New Roman" w:eastAsia="Times New Roman" w:hAnsi="Times New Roman" w:cs="Times New Roman"/>
        </w:rPr>
        <w:t xml:space="preserve"> richer tha</w:t>
      </w:r>
      <w:r>
        <w:rPr>
          <w:rFonts w:ascii="Times New Roman" w:eastAsia="Times New Roman" w:hAnsi="Times New Roman" w:cs="Times New Roman"/>
        </w:rPr>
        <w:t>n subsurface layers 2.55 mg/kg</w:t>
      </w:r>
      <w:r w:rsidRPr="0067668D">
        <w:rPr>
          <w:rFonts w:ascii="Times New Roman" w:eastAsia="Times New Roman" w:hAnsi="Times New Roman" w:cs="Times New Roman"/>
        </w:rPr>
        <w:t>, indicating that both land use and soil depth strongly influence phosphorus availability.</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Higher AvP in natural forests is attributed to continuous recycling of phosphorus via litter fall, organic matter decomposition, and minimal soil disturbance, with organic acids from decomposition mobilizing P bound to minerals (Solomon et al., 2002; Molla et al., 2022; Abebe et al., 2024). The shaded environment further protects soil from erosion and P loss. In contrast, grazing lands exhibited the lowest AvP due to overgrazing, soil compaction, and biomass removal, which reduce organic inputs and limit root and microbial activity for P mobilization (</w:t>
      </w:r>
      <w:proofErr w:type="spellStart"/>
      <w:r w:rsidRPr="0067668D">
        <w:rPr>
          <w:rFonts w:ascii="Times New Roman" w:eastAsia="Times New Roman" w:hAnsi="Times New Roman" w:cs="Times New Roman"/>
        </w:rPr>
        <w:t>Wachu</w:t>
      </w:r>
      <w:proofErr w:type="spellEnd"/>
      <w:r w:rsidRPr="0067668D">
        <w:rPr>
          <w:rFonts w:ascii="Times New Roman" w:eastAsia="Times New Roman" w:hAnsi="Times New Roman" w:cs="Times New Roman"/>
        </w:rPr>
        <w:t xml:space="preserve"> &amp; Ibrahim, 2025). Cultivated soils had intermediate AvP, likely from fertilizer inputs, but continuous cultivation, residue removal, and erosion prevent levels from matching forests (Chimdi et al., 2012; Fekad et al., 2020; </w:t>
      </w:r>
      <w:proofErr w:type="spellStart"/>
      <w:r w:rsidRPr="0067668D">
        <w:rPr>
          <w:rFonts w:ascii="Times New Roman" w:eastAsia="Times New Roman" w:hAnsi="Times New Roman" w:cs="Times New Roman"/>
        </w:rPr>
        <w:t>Asmare</w:t>
      </w:r>
      <w:proofErr w:type="spellEnd"/>
      <w:r w:rsidRPr="0067668D">
        <w:rPr>
          <w:rFonts w:ascii="Times New Roman" w:eastAsia="Times New Roman" w:hAnsi="Times New Roman" w:cs="Times New Roman"/>
        </w:rPr>
        <w:t xml:space="preserve"> &amp; </w:t>
      </w:r>
      <w:proofErr w:type="spellStart"/>
      <w:r w:rsidRPr="0067668D">
        <w:rPr>
          <w:rFonts w:ascii="Times New Roman" w:eastAsia="Times New Roman" w:hAnsi="Times New Roman" w:cs="Times New Roman"/>
        </w:rPr>
        <w:t>Mamo</w:t>
      </w:r>
      <w:proofErr w:type="spellEnd"/>
      <w:r w:rsidRPr="0067668D">
        <w:rPr>
          <w:rFonts w:ascii="Times New Roman" w:eastAsia="Times New Roman" w:hAnsi="Times New Roman" w:cs="Times New Roman"/>
        </w:rPr>
        <w:t xml:space="preserve">, 2023). Eucalyptus plantations showed lower AvP than cultivated land, as fast-growing trees uptake nutrients, and </w:t>
      </w:r>
      <w:proofErr w:type="spellStart"/>
      <w:r w:rsidRPr="0067668D">
        <w:rPr>
          <w:rFonts w:ascii="Times New Roman" w:eastAsia="Times New Roman" w:hAnsi="Times New Roman" w:cs="Times New Roman"/>
        </w:rPr>
        <w:t>allelopathic</w:t>
      </w:r>
      <w:proofErr w:type="spellEnd"/>
      <w:r w:rsidRPr="0067668D">
        <w:rPr>
          <w:rFonts w:ascii="Times New Roman" w:eastAsia="Times New Roman" w:hAnsi="Times New Roman" w:cs="Times New Roman"/>
        </w:rPr>
        <w:t xml:space="preserve">, </w:t>
      </w:r>
      <w:r w:rsidRPr="0067668D">
        <w:rPr>
          <w:rFonts w:ascii="Times New Roman" w:eastAsia="Times New Roman" w:hAnsi="Times New Roman" w:cs="Times New Roman"/>
        </w:rPr>
        <w:lastRenderedPageBreak/>
        <w:t>recalcitrant litter slows P release and may immobilize soil phosphorus (Bore &amp; Bedadi, 2015; Getnet et al., 2025). The decrease of AvP with depth reflects its concentration in topsoil due to organic matter accumulation, fertilizer application, and surface root activity, as phosphorus is relatively immobile (Gebreselassie &amp; Ayanna, 2013; Miju et al., 2025). Retaining organic residues, practicing integrated nutrient management, and minimizing soil disturbance are suggested to sustain phosphorus availability, especially in cultivated and grazing lands.</w:t>
      </w:r>
    </w:p>
    <w:p w:rsidR="00830B7B" w:rsidRPr="0067668D" w:rsidRDefault="004B36C1" w:rsidP="0067668D">
      <w:pPr>
        <w:pStyle w:val="Heading3"/>
        <w:spacing w:before="0" w:beforeAutospacing="0" w:after="0" w:afterAutospacing="0" w:line="360" w:lineRule="auto"/>
        <w:jc w:val="both"/>
        <w:rPr>
          <w:color w:val="000000" w:themeColor="text1"/>
          <w:sz w:val="22"/>
          <w:szCs w:val="22"/>
        </w:rPr>
      </w:pPr>
      <w:r w:rsidRPr="0067668D">
        <w:rPr>
          <w:color w:val="000000" w:themeColor="text1"/>
          <w:sz w:val="22"/>
          <w:szCs w:val="22"/>
        </w:rPr>
        <w:t xml:space="preserve">3.2.6 </w:t>
      </w:r>
      <w:r w:rsidR="00FB1C74" w:rsidRPr="0067668D">
        <w:rPr>
          <w:color w:val="000000" w:themeColor="text1"/>
          <w:sz w:val="22"/>
          <w:szCs w:val="22"/>
        </w:rPr>
        <w:t>Exchangeable</w:t>
      </w:r>
      <w:r w:rsidR="00830B7B" w:rsidRPr="0067668D">
        <w:rPr>
          <w:color w:val="000000" w:themeColor="text1"/>
          <w:sz w:val="22"/>
          <w:szCs w:val="22"/>
        </w:rPr>
        <w:t xml:space="preserve"> bases</w:t>
      </w:r>
      <w:r w:rsidR="00285793" w:rsidRPr="0067668D">
        <w:rPr>
          <w:color w:val="000000" w:themeColor="text1"/>
          <w:sz w:val="22"/>
          <w:szCs w:val="22"/>
        </w:rPr>
        <w:t xml:space="preserve"> </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 xml:space="preserve">The results indicated that exchangeable bases (Ca²⁺, Mg²⁺, Na⁺, and K⁺) were significantly (P &lt; 0.01) influenced by both land use type and soil depth (Table 4). Natural forest soils had the highest concentrations (Ca²⁺ = 21.07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Mg²⁺ = 4.09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Na⁺ = 0.94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K⁺ = 1.18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likely due to abundant organic matter input, minimal disturbance, favorable pH, and higher clay content, all of which enhance cation retention. The continuous recycling of organic residues through litter fall and decomposition may further replenish these basic cations (Muche et al., 2015). The elevated values in forest soils also suggest the possibility that site-specific factors such as microclimate, species composition, and localized organic matter dynamics contribute to spatial variability in cation levels.</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 xml:space="preserve">In contrast, Eucalyptus plantations recorded the lowest exchangeable bases (Ca²⁺ = 14.08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Mg²⁺ = 2.97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Na⁺ = 0.32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K⁺ = 0.33 </w:t>
      </w:r>
      <w:proofErr w:type="spellStart"/>
      <w:r w:rsidRPr="0067668D">
        <w:rPr>
          <w:rFonts w:ascii="Times New Roman" w:eastAsia="Times New Roman" w:hAnsi="Times New Roman" w:cs="Times New Roman"/>
        </w:rPr>
        <w:t>cmolc</w:t>
      </w:r>
      <w:proofErr w:type="spellEnd"/>
      <w:r w:rsidRPr="0067668D">
        <w:rPr>
          <w:rFonts w:ascii="Times New Roman" w:eastAsia="Times New Roman" w:hAnsi="Times New Roman" w:cs="Times New Roman"/>
        </w:rPr>
        <w:t xml:space="preserve"> kg⁻¹), likely due to the high nutrient uptake of fast-growing trees, deep rooting, and continuous soil cation depletion. Additionally, the poor nutrient quality, recalcitrant nature, and </w:t>
      </w:r>
      <w:proofErr w:type="spellStart"/>
      <w:r w:rsidRPr="0067668D">
        <w:rPr>
          <w:rFonts w:ascii="Times New Roman" w:eastAsia="Times New Roman" w:hAnsi="Times New Roman" w:cs="Times New Roman"/>
        </w:rPr>
        <w:t>allelopathic</w:t>
      </w:r>
      <w:proofErr w:type="spellEnd"/>
      <w:r w:rsidRPr="0067668D">
        <w:rPr>
          <w:rFonts w:ascii="Times New Roman" w:eastAsia="Times New Roman" w:hAnsi="Times New Roman" w:cs="Times New Roman"/>
        </w:rPr>
        <w:t xml:space="preserve"> properties of Eucalyptus litter slow decomposition and limit cation recycling, while acidic soil conditions may enhance leaching of basic cations (Demessie et al., 2012; Jaleta, 2020).</w:t>
      </w:r>
    </w:p>
    <w:p w:rsidR="0067668D" w:rsidRPr="0067668D" w:rsidRDefault="0067668D" w:rsidP="0067668D">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 xml:space="preserve">Cultivated and grazing lands exhibited intermediate values. The slightly higher Ca²⁺ and Mg²⁺ in grazing lands compared with cultivated soils may result from manure return by livestock, which partially replenishes cations. However, both land uses remain lower than natural forests due to nutrient removal through crop harvest, residue extraction, erosion, and limited organic matter inputs (Fekad et al., 2020; </w:t>
      </w:r>
      <w:proofErr w:type="spellStart"/>
      <w:r w:rsidRPr="0067668D">
        <w:rPr>
          <w:rFonts w:ascii="Times New Roman" w:eastAsia="Times New Roman" w:hAnsi="Times New Roman" w:cs="Times New Roman"/>
        </w:rPr>
        <w:t>Asmare</w:t>
      </w:r>
      <w:proofErr w:type="spellEnd"/>
      <w:r w:rsidRPr="0067668D">
        <w:rPr>
          <w:rFonts w:ascii="Times New Roman" w:eastAsia="Times New Roman" w:hAnsi="Times New Roman" w:cs="Times New Roman"/>
        </w:rPr>
        <w:t xml:space="preserve"> &amp; </w:t>
      </w:r>
      <w:proofErr w:type="spellStart"/>
      <w:r w:rsidRPr="0067668D">
        <w:rPr>
          <w:rFonts w:ascii="Times New Roman" w:eastAsia="Times New Roman" w:hAnsi="Times New Roman" w:cs="Times New Roman"/>
        </w:rPr>
        <w:t>Mamo</w:t>
      </w:r>
      <w:proofErr w:type="spellEnd"/>
      <w:r w:rsidRPr="0067668D">
        <w:rPr>
          <w:rFonts w:ascii="Times New Roman" w:eastAsia="Times New Roman" w:hAnsi="Times New Roman" w:cs="Times New Roman"/>
        </w:rPr>
        <w:t>, 2023).</w:t>
      </w:r>
    </w:p>
    <w:p w:rsidR="008D0953" w:rsidRPr="00927F64" w:rsidRDefault="007120E9" w:rsidP="00F8771F">
      <w:pPr>
        <w:spacing w:after="0" w:line="360" w:lineRule="auto"/>
        <w:jc w:val="both"/>
        <w:rPr>
          <w:rFonts w:ascii="Times New Roman" w:hAnsi="Times New Roman" w:cs="Times New Roman"/>
          <w:b/>
          <w:color w:val="000000" w:themeColor="text1"/>
        </w:rPr>
      </w:pPr>
      <w:r w:rsidRPr="00927F64">
        <w:rPr>
          <w:rFonts w:ascii="Times New Roman" w:hAnsi="Times New Roman" w:cs="Times New Roman"/>
          <w:b/>
          <w:color w:val="000000" w:themeColor="text1"/>
        </w:rPr>
        <w:t>Table 4</w:t>
      </w:r>
      <w:r w:rsidR="002224A5" w:rsidRPr="00927F64">
        <w:rPr>
          <w:rFonts w:ascii="Times New Roman" w:hAnsi="Times New Roman" w:cs="Times New Roman"/>
          <w:b/>
          <w:color w:val="000000" w:themeColor="text1"/>
        </w:rPr>
        <w:t xml:space="preserve"> Main effects of land use types and soil depth on exchangeable bases and CEC.</w:t>
      </w:r>
    </w:p>
    <w:tbl>
      <w:tblPr>
        <w:tblStyle w:val="TableGrid"/>
        <w:tblpPr w:leftFromText="180" w:rightFromText="180" w:vertAnchor="text" w:horzAnchor="margin" w:tblpY="10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620"/>
        <w:gridCol w:w="1620"/>
        <w:gridCol w:w="1440"/>
        <w:gridCol w:w="1383"/>
        <w:gridCol w:w="1605"/>
      </w:tblGrid>
      <w:tr w:rsidR="00927F64" w:rsidRPr="00927F64" w:rsidTr="008D0953">
        <w:tc>
          <w:tcPr>
            <w:tcW w:w="1908" w:type="dxa"/>
          </w:tcPr>
          <w:p w:rsidR="008D0953" w:rsidRPr="00927F64" w:rsidRDefault="008D0953"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Treatment</w:t>
            </w:r>
          </w:p>
        </w:tc>
        <w:tc>
          <w:tcPr>
            <w:tcW w:w="6063" w:type="dxa"/>
            <w:gridSpan w:val="4"/>
            <w:tcBorders>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Exchangeable base (cmolckg</w:t>
            </w:r>
            <w:r w:rsidRPr="00927F64">
              <w:rPr>
                <w:rFonts w:ascii="Times New Roman" w:hAnsi="Times New Roman" w:cs="Times New Roman"/>
                <w:color w:val="000000" w:themeColor="text1"/>
                <w:vertAlign w:val="superscript"/>
              </w:rPr>
              <w:t>-1</w:t>
            </w:r>
            <w:r w:rsidRPr="00927F64">
              <w:rPr>
                <w:rFonts w:ascii="Times New Roman" w:hAnsi="Times New Roman" w:cs="Times New Roman"/>
                <w:color w:val="000000" w:themeColor="text1"/>
              </w:rPr>
              <w:t>)</w:t>
            </w:r>
          </w:p>
        </w:tc>
        <w:tc>
          <w:tcPr>
            <w:tcW w:w="1605"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CEC</w:t>
            </w:r>
          </w:p>
        </w:tc>
      </w:tr>
      <w:tr w:rsidR="00927F64" w:rsidRPr="00927F64" w:rsidTr="008D0953">
        <w:tc>
          <w:tcPr>
            <w:tcW w:w="1908" w:type="dxa"/>
            <w:tcBorders>
              <w:bottom w:val="single" w:sz="4" w:space="0" w:color="auto"/>
            </w:tcBorders>
          </w:tcPr>
          <w:p w:rsidR="008D0953" w:rsidRPr="00927F64" w:rsidRDefault="008D0953" w:rsidP="00F8771F">
            <w:pPr>
              <w:spacing w:line="360" w:lineRule="auto"/>
              <w:rPr>
                <w:rFonts w:ascii="Times New Roman" w:hAnsi="Times New Roman" w:cs="Times New Roman"/>
                <w:color w:val="000000" w:themeColor="text1"/>
              </w:rPr>
            </w:pPr>
          </w:p>
        </w:tc>
        <w:tc>
          <w:tcPr>
            <w:tcW w:w="1620"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Ca</w:t>
            </w:r>
            <w:r w:rsidRPr="00927F64">
              <w:rPr>
                <w:rFonts w:ascii="Times New Roman" w:hAnsi="Times New Roman" w:cs="Times New Roman"/>
                <w:color w:val="000000" w:themeColor="text1"/>
                <w:vertAlign w:val="superscript"/>
              </w:rPr>
              <w:t>2+</w:t>
            </w:r>
          </w:p>
        </w:tc>
        <w:tc>
          <w:tcPr>
            <w:tcW w:w="1620"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Mg</w:t>
            </w:r>
            <w:r w:rsidRPr="00927F64">
              <w:rPr>
                <w:rFonts w:ascii="Times New Roman" w:hAnsi="Times New Roman" w:cs="Times New Roman"/>
                <w:color w:val="000000" w:themeColor="text1"/>
                <w:vertAlign w:val="superscript"/>
              </w:rPr>
              <w:t>2+</w:t>
            </w:r>
          </w:p>
        </w:tc>
        <w:tc>
          <w:tcPr>
            <w:tcW w:w="1440"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Na</w:t>
            </w:r>
            <w:r w:rsidRPr="00927F64">
              <w:rPr>
                <w:rFonts w:ascii="Times New Roman" w:hAnsi="Times New Roman" w:cs="Times New Roman"/>
                <w:color w:val="000000" w:themeColor="text1"/>
                <w:vertAlign w:val="superscript"/>
              </w:rPr>
              <w:t>+</w:t>
            </w:r>
          </w:p>
        </w:tc>
        <w:tc>
          <w:tcPr>
            <w:tcW w:w="1383" w:type="dxa"/>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K</w:t>
            </w:r>
            <w:r w:rsidRPr="00927F64">
              <w:rPr>
                <w:rFonts w:ascii="Times New Roman" w:hAnsi="Times New Roman" w:cs="Times New Roman"/>
                <w:color w:val="000000" w:themeColor="text1"/>
                <w:vertAlign w:val="superscript"/>
              </w:rPr>
              <w:t>+</w:t>
            </w:r>
          </w:p>
        </w:tc>
        <w:tc>
          <w:tcPr>
            <w:tcW w:w="1605" w:type="dxa"/>
            <w:tcBorders>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(cmolckg</w:t>
            </w:r>
            <w:r w:rsidRPr="00927F64">
              <w:rPr>
                <w:rFonts w:ascii="Times New Roman" w:hAnsi="Times New Roman" w:cs="Times New Roman"/>
                <w:color w:val="000000" w:themeColor="text1"/>
                <w:vertAlign w:val="superscript"/>
              </w:rPr>
              <w:t>-1</w:t>
            </w:r>
            <w:r w:rsidRPr="00927F64">
              <w:rPr>
                <w:rFonts w:ascii="Times New Roman" w:hAnsi="Times New Roman" w:cs="Times New Roman"/>
                <w:color w:val="000000" w:themeColor="text1"/>
              </w:rPr>
              <w:t>)</w:t>
            </w:r>
          </w:p>
        </w:tc>
      </w:tr>
      <w:tr w:rsidR="00927F64" w:rsidRPr="00927F64" w:rsidTr="008D0953">
        <w:tc>
          <w:tcPr>
            <w:tcW w:w="9576" w:type="dxa"/>
            <w:gridSpan w:val="6"/>
            <w:tcBorders>
              <w:top w:val="single" w:sz="4" w:space="0" w:color="auto"/>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Land Use Type</w:t>
            </w:r>
          </w:p>
        </w:tc>
      </w:tr>
      <w:tr w:rsidR="00927F64" w:rsidRPr="00927F64" w:rsidTr="008D0953">
        <w:tc>
          <w:tcPr>
            <w:tcW w:w="1908" w:type="dxa"/>
            <w:tcBorders>
              <w:top w:val="single" w:sz="4" w:space="0" w:color="auto"/>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Natural Forest</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21.0</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a</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4.09</w:t>
            </w:r>
            <w:r w:rsidR="008D0953" w:rsidRPr="00927F64">
              <w:rPr>
                <w:rFonts w:ascii="Times New Roman" w:hAnsi="Times New Roman" w:cs="Times New Roman"/>
                <w:color w:val="000000" w:themeColor="text1"/>
                <w:vertAlign w:val="superscript"/>
              </w:rPr>
              <w:t>a</w:t>
            </w:r>
          </w:p>
        </w:tc>
        <w:tc>
          <w:tcPr>
            <w:tcW w:w="144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0.9</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a</w:t>
            </w:r>
          </w:p>
        </w:tc>
        <w:tc>
          <w:tcPr>
            <w:tcW w:w="1383"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1.1</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a</w:t>
            </w:r>
          </w:p>
        </w:tc>
        <w:tc>
          <w:tcPr>
            <w:tcW w:w="1605" w:type="dxa"/>
            <w:tcBorders>
              <w:top w:val="single" w:sz="4" w:space="0" w:color="auto"/>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38.11</w:t>
            </w:r>
            <w:r w:rsidR="008D0953" w:rsidRPr="00927F64">
              <w:rPr>
                <w:rFonts w:ascii="Times New Roman" w:hAnsi="Times New Roman" w:cs="Times New Roman"/>
                <w:color w:val="000000" w:themeColor="text1"/>
                <w:vertAlign w:val="superscript"/>
              </w:rPr>
              <w:t>a</w:t>
            </w:r>
          </w:p>
        </w:tc>
      </w:tr>
      <w:tr w:rsidR="00927F64" w:rsidRPr="00927F64" w:rsidTr="008D0953">
        <w:tc>
          <w:tcPr>
            <w:tcW w:w="1908" w:type="dxa"/>
            <w:tcBorders>
              <w:top w:val="nil"/>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Cultivated land</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14.95</w:t>
            </w:r>
            <w:r w:rsidR="008D0953" w:rsidRPr="00927F64">
              <w:rPr>
                <w:rFonts w:ascii="Times New Roman" w:hAnsi="Times New Roman" w:cs="Times New Roman"/>
                <w:color w:val="000000" w:themeColor="text1"/>
                <w:vertAlign w:val="superscript"/>
              </w:rPr>
              <w:t>b</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3.6</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b</w:t>
            </w:r>
          </w:p>
        </w:tc>
        <w:tc>
          <w:tcPr>
            <w:tcW w:w="144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r w:rsidR="008D0953" w:rsidRPr="00927F64">
              <w:rPr>
                <w:rFonts w:ascii="Times New Roman" w:hAnsi="Times New Roman" w:cs="Times New Roman"/>
                <w:color w:val="000000" w:themeColor="text1"/>
                <w:vertAlign w:val="superscript"/>
              </w:rPr>
              <w:t>c</w:t>
            </w:r>
          </w:p>
        </w:tc>
        <w:tc>
          <w:tcPr>
            <w:tcW w:w="1383"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0.48</w:t>
            </w:r>
            <w:r w:rsidR="008D0953" w:rsidRPr="00927F64">
              <w:rPr>
                <w:rFonts w:ascii="Times New Roman" w:hAnsi="Times New Roman" w:cs="Times New Roman"/>
                <w:color w:val="000000" w:themeColor="text1"/>
                <w:vertAlign w:val="superscript"/>
              </w:rPr>
              <w:t>b</w:t>
            </w:r>
          </w:p>
        </w:tc>
        <w:tc>
          <w:tcPr>
            <w:tcW w:w="1605" w:type="dxa"/>
            <w:tcBorders>
              <w:top w:val="nil"/>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31</w:t>
            </w:r>
            <w:r w:rsidR="008D0953" w:rsidRPr="00927F64">
              <w:rPr>
                <w:rFonts w:ascii="Times New Roman" w:hAnsi="Times New Roman" w:cs="Times New Roman"/>
                <w:color w:val="000000" w:themeColor="text1"/>
              </w:rPr>
              <w:t>.18</w:t>
            </w:r>
            <w:r w:rsidR="00B71BE3" w:rsidRPr="00927F64">
              <w:rPr>
                <w:rFonts w:ascii="Times New Roman" w:hAnsi="Times New Roman" w:cs="Times New Roman"/>
                <w:color w:val="000000" w:themeColor="text1"/>
                <w:vertAlign w:val="superscript"/>
              </w:rPr>
              <w:t>c</w:t>
            </w:r>
          </w:p>
        </w:tc>
      </w:tr>
      <w:tr w:rsidR="00927F64" w:rsidRPr="00927F64" w:rsidTr="008D0953">
        <w:tc>
          <w:tcPr>
            <w:tcW w:w="1908" w:type="dxa"/>
            <w:tcBorders>
              <w:top w:val="nil"/>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Grazing Land</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16.0</w:t>
            </w:r>
            <w:r w:rsidR="008D0953" w:rsidRPr="00927F64">
              <w:rPr>
                <w:rFonts w:ascii="Times New Roman" w:hAnsi="Times New Roman" w:cs="Times New Roman"/>
                <w:color w:val="000000" w:themeColor="text1"/>
              </w:rPr>
              <w:t>7</w:t>
            </w:r>
            <w:r w:rsidR="008D0953" w:rsidRPr="00927F64">
              <w:rPr>
                <w:rFonts w:ascii="Times New Roman" w:hAnsi="Times New Roman" w:cs="Times New Roman"/>
                <w:color w:val="000000" w:themeColor="text1"/>
                <w:vertAlign w:val="superscript"/>
              </w:rPr>
              <w:t>b</w:t>
            </w:r>
          </w:p>
        </w:tc>
        <w:tc>
          <w:tcPr>
            <w:tcW w:w="162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3.5</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b</w:t>
            </w:r>
          </w:p>
        </w:tc>
        <w:tc>
          <w:tcPr>
            <w:tcW w:w="1440"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0.49</w:t>
            </w:r>
            <w:r w:rsidR="008D0953" w:rsidRPr="00927F64">
              <w:rPr>
                <w:rFonts w:ascii="Times New Roman" w:hAnsi="Times New Roman" w:cs="Times New Roman"/>
                <w:color w:val="000000" w:themeColor="text1"/>
                <w:vertAlign w:val="superscript"/>
              </w:rPr>
              <w:t>b</w:t>
            </w:r>
          </w:p>
        </w:tc>
        <w:tc>
          <w:tcPr>
            <w:tcW w:w="1383" w:type="dxa"/>
            <w:tcBorders>
              <w:top w:val="nil"/>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0.52</w:t>
            </w:r>
            <w:r w:rsidR="008D0953" w:rsidRPr="00927F64">
              <w:rPr>
                <w:rFonts w:ascii="Times New Roman" w:hAnsi="Times New Roman" w:cs="Times New Roman"/>
                <w:color w:val="000000" w:themeColor="text1"/>
                <w:vertAlign w:val="superscript"/>
              </w:rPr>
              <w:t>b</w:t>
            </w:r>
          </w:p>
        </w:tc>
        <w:tc>
          <w:tcPr>
            <w:tcW w:w="1605" w:type="dxa"/>
            <w:tcBorders>
              <w:top w:val="nil"/>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35.5</w:t>
            </w:r>
            <w:r w:rsidR="008D0953" w:rsidRPr="00927F64">
              <w:rPr>
                <w:rFonts w:ascii="Times New Roman" w:hAnsi="Times New Roman" w:cs="Times New Roman"/>
                <w:color w:val="000000" w:themeColor="text1"/>
              </w:rPr>
              <w:t>0</w:t>
            </w:r>
            <w:r w:rsidR="00B71BE3" w:rsidRPr="00927F64">
              <w:rPr>
                <w:rFonts w:ascii="Times New Roman" w:hAnsi="Times New Roman" w:cs="Times New Roman"/>
                <w:color w:val="000000" w:themeColor="text1"/>
                <w:vertAlign w:val="superscript"/>
              </w:rPr>
              <w:t>b</w:t>
            </w:r>
          </w:p>
        </w:tc>
      </w:tr>
      <w:tr w:rsidR="00927F64" w:rsidRPr="00927F64" w:rsidTr="008D0953">
        <w:tc>
          <w:tcPr>
            <w:tcW w:w="1908" w:type="dxa"/>
            <w:tcBorders>
              <w:top w:val="nil"/>
              <w:bottom w:val="single" w:sz="4" w:space="0" w:color="auto"/>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lastRenderedPageBreak/>
              <w:t>Plantation Forest</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14.08</w:t>
            </w:r>
            <w:r w:rsidR="008D0953" w:rsidRPr="00927F64">
              <w:rPr>
                <w:rFonts w:ascii="Times New Roman" w:hAnsi="Times New Roman" w:cs="Times New Roman"/>
                <w:color w:val="000000" w:themeColor="text1"/>
                <w:vertAlign w:val="superscript"/>
              </w:rPr>
              <w:t>c</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2.97</w:t>
            </w:r>
            <w:r w:rsidR="008D0953" w:rsidRPr="00927F64">
              <w:rPr>
                <w:rFonts w:ascii="Times New Roman" w:hAnsi="Times New Roman" w:cs="Times New Roman"/>
                <w:color w:val="000000" w:themeColor="text1"/>
                <w:vertAlign w:val="superscript"/>
              </w:rPr>
              <w:t>c</w:t>
            </w:r>
          </w:p>
        </w:tc>
        <w:tc>
          <w:tcPr>
            <w:tcW w:w="144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0.32</w:t>
            </w:r>
            <w:r w:rsidR="008D0953" w:rsidRPr="00927F64">
              <w:rPr>
                <w:rFonts w:ascii="Times New Roman" w:hAnsi="Times New Roman" w:cs="Times New Roman"/>
                <w:color w:val="000000" w:themeColor="text1"/>
                <w:vertAlign w:val="superscript"/>
              </w:rPr>
              <w:t>d</w:t>
            </w:r>
          </w:p>
        </w:tc>
        <w:tc>
          <w:tcPr>
            <w:tcW w:w="1383"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0.33</w:t>
            </w:r>
            <w:r w:rsidR="008D0953" w:rsidRPr="00927F64">
              <w:rPr>
                <w:rFonts w:ascii="Times New Roman" w:hAnsi="Times New Roman" w:cs="Times New Roman"/>
                <w:color w:val="000000" w:themeColor="text1"/>
                <w:vertAlign w:val="superscript"/>
              </w:rPr>
              <w:t>c</w:t>
            </w:r>
          </w:p>
        </w:tc>
        <w:tc>
          <w:tcPr>
            <w:tcW w:w="1605" w:type="dxa"/>
            <w:tcBorders>
              <w:top w:val="nil"/>
              <w:bottom w:val="single" w:sz="4" w:space="0" w:color="auto"/>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33.09</w:t>
            </w:r>
            <w:r w:rsidR="00B71BE3" w:rsidRPr="00927F64">
              <w:rPr>
                <w:rFonts w:ascii="Times New Roman" w:hAnsi="Times New Roman" w:cs="Times New Roman"/>
                <w:color w:val="000000" w:themeColor="text1"/>
                <w:vertAlign w:val="superscript"/>
              </w:rPr>
              <w:t>c</w:t>
            </w:r>
          </w:p>
        </w:tc>
      </w:tr>
      <w:tr w:rsidR="00927F64" w:rsidRPr="00927F64" w:rsidTr="008D0953">
        <w:tc>
          <w:tcPr>
            <w:tcW w:w="1908"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620"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1.67</w:t>
            </w:r>
          </w:p>
        </w:tc>
        <w:tc>
          <w:tcPr>
            <w:tcW w:w="1620"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0.29</w:t>
            </w:r>
          </w:p>
        </w:tc>
        <w:tc>
          <w:tcPr>
            <w:tcW w:w="1440"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0.07</w:t>
            </w:r>
          </w:p>
        </w:tc>
        <w:tc>
          <w:tcPr>
            <w:tcW w:w="1383"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0.14</w:t>
            </w:r>
          </w:p>
        </w:tc>
        <w:tc>
          <w:tcPr>
            <w:tcW w:w="1605" w:type="dxa"/>
            <w:tcBorders>
              <w:top w:val="single" w:sz="4" w:space="0" w:color="auto"/>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1.36</w:t>
            </w:r>
          </w:p>
        </w:tc>
      </w:tr>
      <w:tr w:rsidR="00927F64" w:rsidRPr="00927F64" w:rsidTr="008D0953">
        <w:tc>
          <w:tcPr>
            <w:tcW w:w="1908"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620"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20"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440"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383"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05" w:type="dxa"/>
            <w:tcBorders>
              <w:top w:val="nil"/>
              <w:bottom w:val="nil"/>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r>
      <w:tr w:rsidR="00927F64" w:rsidRPr="00927F64" w:rsidTr="008D0953">
        <w:tc>
          <w:tcPr>
            <w:tcW w:w="1908"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620"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0.84</w:t>
            </w:r>
          </w:p>
        </w:tc>
        <w:tc>
          <w:tcPr>
            <w:tcW w:w="1620"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0.13</w:t>
            </w:r>
          </w:p>
        </w:tc>
        <w:tc>
          <w:tcPr>
            <w:tcW w:w="1440"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0.03</w:t>
            </w:r>
          </w:p>
        </w:tc>
        <w:tc>
          <w:tcPr>
            <w:tcW w:w="1383"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605" w:type="dxa"/>
            <w:tcBorders>
              <w:top w:val="nil"/>
              <w:bottom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0.68</w:t>
            </w:r>
          </w:p>
        </w:tc>
      </w:tr>
      <w:tr w:rsidR="00927F64" w:rsidRPr="00927F64" w:rsidTr="008D0953">
        <w:tc>
          <w:tcPr>
            <w:tcW w:w="9576" w:type="dxa"/>
            <w:gridSpan w:val="6"/>
            <w:tcBorders>
              <w:top w:val="single" w:sz="4" w:space="0" w:color="auto"/>
              <w:bottom w:val="single" w:sz="4" w:space="0" w:color="auto"/>
            </w:tcBorders>
          </w:tcPr>
          <w:p w:rsidR="008D0953" w:rsidRPr="00927F64" w:rsidRDefault="008D0953"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Soil Depth (cm)</w:t>
            </w:r>
          </w:p>
        </w:tc>
      </w:tr>
      <w:tr w:rsidR="00927F64" w:rsidRPr="00927F64" w:rsidTr="008D0953">
        <w:tc>
          <w:tcPr>
            <w:tcW w:w="1908" w:type="dxa"/>
            <w:tcBorders>
              <w:top w:val="single" w:sz="4" w:space="0" w:color="auto"/>
              <w:bottom w:val="nil"/>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0-20</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15.34</w:t>
            </w:r>
            <w:r w:rsidR="008D0953" w:rsidRPr="00927F64">
              <w:rPr>
                <w:rFonts w:ascii="Times New Roman" w:hAnsi="Times New Roman" w:cs="Times New Roman"/>
                <w:color w:val="000000" w:themeColor="text1"/>
                <w:vertAlign w:val="superscript"/>
              </w:rPr>
              <w:t>b</w:t>
            </w:r>
          </w:p>
        </w:tc>
        <w:tc>
          <w:tcPr>
            <w:tcW w:w="162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3.0</w:t>
            </w:r>
            <w:r w:rsidR="008D0953" w:rsidRPr="00927F64">
              <w:rPr>
                <w:rFonts w:ascii="Times New Roman" w:hAnsi="Times New Roman" w:cs="Times New Roman"/>
                <w:color w:val="000000" w:themeColor="text1"/>
              </w:rPr>
              <w:t>2</w:t>
            </w:r>
            <w:r w:rsidR="008D0953" w:rsidRPr="00927F64">
              <w:rPr>
                <w:rFonts w:ascii="Times New Roman" w:hAnsi="Times New Roman" w:cs="Times New Roman"/>
                <w:color w:val="000000" w:themeColor="text1"/>
                <w:vertAlign w:val="superscript"/>
              </w:rPr>
              <w:t>b</w:t>
            </w:r>
          </w:p>
        </w:tc>
        <w:tc>
          <w:tcPr>
            <w:tcW w:w="1440"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b</w:t>
            </w:r>
          </w:p>
        </w:tc>
        <w:tc>
          <w:tcPr>
            <w:tcW w:w="1383" w:type="dxa"/>
            <w:tcBorders>
              <w:top w:val="single" w:sz="4" w:space="0" w:color="auto"/>
              <w:bottom w:val="nil"/>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0.53</w:t>
            </w:r>
            <w:r w:rsidR="008D0953" w:rsidRPr="00927F64">
              <w:rPr>
                <w:rFonts w:ascii="Times New Roman" w:hAnsi="Times New Roman" w:cs="Times New Roman"/>
                <w:color w:val="000000" w:themeColor="text1"/>
                <w:vertAlign w:val="superscript"/>
              </w:rPr>
              <w:t>b</w:t>
            </w:r>
          </w:p>
        </w:tc>
        <w:tc>
          <w:tcPr>
            <w:tcW w:w="1605" w:type="dxa"/>
            <w:tcBorders>
              <w:top w:val="single" w:sz="4" w:space="0" w:color="auto"/>
              <w:bottom w:val="nil"/>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35.5</w:t>
            </w:r>
            <w:r w:rsidR="008D0953" w:rsidRPr="00927F64">
              <w:rPr>
                <w:rFonts w:ascii="Times New Roman" w:hAnsi="Times New Roman" w:cs="Times New Roman"/>
                <w:color w:val="000000" w:themeColor="text1"/>
              </w:rPr>
              <w:t>1</w:t>
            </w:r>
            <w:r w:rsidR="008D0953" w:rsidRPr="00927F64">
              <w:rPr>
                <w:rFonts w:ascii="Times New Roman" w:hAnsi="Times New Roman" w:cs="Times New Roman"/>
                <w:color w:val="000000" w:themeColor="text1"/>
                <w:vertAlign w:val="superscript"/>
              </w:rPr>
              <w:t>a</w:t>
            </w:r>
          </w:p>
        </w:tc>
      </w:tr>
      <w:tr w:rsidR="00927F64" w:rsidRPr="00927F64" w:rsidTr="008D0953">
        <w:tc>
          <w:tcPr>
            <w:tcW w:w="1908" w:type="dxa"/>
            <w:tcBorders>
              <w:top w:val="nil"/>
              <w:bottom w:val="single" w:sz="4" w:space="0" w:color="auto"/>
            </w:tcBorders>
          </w:tcPr>
          <w:p w:rsidR="008D0953" w:rsidRPr="00927F64" w:rsidRDefault="008D0953"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20-40</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19.03</w:t>
            </w:r>
            <w:r w:rsidR="008D0953" w:rsidRPr="00927F64">
              <w:rPr>
                <w:rFonts w:ascii="Times New Roman" w:hAnsi="Times New Roman" w:cs="Times New Roman"/>
                <w:color w:val="000000" w:themeColor="text1"/>
                <w:vertAlign w:val="superscript"/>
              </w:rPr>
              <w:t>a</w:t>
            </w:r>
          </w:p>
        </w:tc>
        <w:tc>
          <w:tcPr>
            <w:tcW w:w="162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3.7</w:t>
            </w:r>
            <w:r w:rsidR="008D0953" w:rsidRPr="00927F64">
              <w:rPr>
                <w:rFonts w:ascii="Times New Roman" w:hAnsi="Times New Roman" w:cs="Times New Roman"/>
                <w:color w:val="000000" w:themeColor="text1"/>
              </w:rPr>
              <w:t>8</w:t>
            </w:r>
            <w:r w:rsidR="008D0953" w:rsidRPr="00927F64">
              <w:rPr>
                <w:rFonts w:ascii="Times New Roman" w:hAnsi="Times New Roman" w:cs="Times New Roman"/>
                <w:color w:val="000000" w:themeColor="text1"/>
                <w:vertAlign w:val="superscript"/>
              </w:rPr>
              <w:t>a</w:t>
            </w:r>
          </w:p>
        </w:tc>
        <w:tc>
          <w:tcPr>
            <w:tcW w:w="1440"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0.6</w:t>
            </w:r>
            <w:r w:rsidR="008D0953" w:rsidRPr="00927F64">
              <w:rPr>
                <w:rFonts w:ascii="Times New Roman" w:hAnsi="Times New Roman" w:cs="Times New Roman"/>
                <w:color w:val="000000" w:themeColor="text1"/>
              </w:rPr>
              <w:t>3</w:t>
            </w:r>
            <w:r w:rsidR="008D0953" w:rsidRPr="00927F64">
              <w:rPr>
                <w:rFonts w:ascii="Times New Roman" w:hAnsi="Times New Roman" w:cs="Times New Roman"/>
                <w:color w:val="000000" w:themeColor="text1"/>
                <w:vertAlign w:val="superscript"/>
              </w:rPr>
              <w:t>a</w:t>
            </w:r>
          </w:p>
        </w:tc>
        <w:tc>
          <w:tcPr>
            <w:tcW w:w="1383" w:type="dxa"/>
            <w:tcBorders>
              <w:top w:val="nil"/>
              <w:bottom w:val="single" w:sz="4" w:space="0" w:color="auto"/>
            </w:tcBorders>
          </w:tcPr>
          <w:p w:rsidR="008D0953" w:rsidRPr="00927F64" w:rsidRDefault="005E3F53"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0.78</w:t>
            </w:r>
            <w:r w:rsidR="008D0953" w:rsidRPr="00927F64">
              <w:rPr>
                <w:rFonts w:ascii="Times New Roman" w:hAnsi="Times New Roman" w:cs="Times New Roman"/>
                <w:color w:val="000000" w:themeColor="text1"/>
                <w:vertAlign w:val="superscript"/>
              </w:rPr>
              <w:t>a</w:t>
            </w:r>
          </w:p>
        </w:tc>
        <w:tc>
          <w:tcPr>
            <w:tcW w:w="1605" w:type="dxa"/>
            <w:tcBorders>
              <w:top w:val="nil"/>
              <w:bottom w:val="single" w:sz="4" w:space="0" w:color="auto"/>
            </w:tcBorders>
          </w:tcPr>
          <w:p w:rsidR="008D0953" w:rsidRPr="00927F64" w:rsidRDefault="00551686"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34.4</w:t>
            </w:r>
            <w:r w:rsidR="008D0953" w:rsidRPr="00927F64">
              <w:rPr>
                <w:rFonts w:ascii="Times New Roman" w:hAnsi="Times New Roman" w:cs="Times New Roman"/>
                <w:color w:val="000000" w:themeColor="text1"/>
              </w:rPr>
              <w:t>4</w:t>
            </w:r>
            <w:r w:rsidR="008D0953" w:rsidRPr="00927F64">
              <w:rPr>
                <w:rFonts w:ascii="Times New Roman" w:hAnsi="Times New Roman" w:cs="Times New Roman"/>
                <w:color w:val="000000" w:themeColor="text1"/>
                <w:vertAlign w:val="superscript"/>
              </w:rPr>
              <w:t>a</w:t>
            </w:r>
          </w:p>
        </w:tc>
      </w:tr>
      <w:tr w:rsidR="00927F64" w:rsidRPr="00927F64" w:rsidTr="008D0953">
        <w:tc>
          <w:tcPr>
            <w:tcW w:w="1908" w:type="dxa"/>
            <w:tcBorders>
              <w:top w:val="single" w:sz="4" w:space="0" w:color="auto"/>
            </w:tcBorders>
          </w:tcPr>
          <w:p w:rsidR="008D0953" w:rsidRPr="00927F64" w:rsidRDefault="008D0953"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LSD (0.05)</w:t>
            </w:r>
          </w:p>
        </w:tc>
        <w:tc>
          <w:tcPr>
            <w:tcW w:w="1620"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1.18</w:t>
            </w:r>
          </w:p>
        </w:tc>
        <w:tc>
          <w:tcPr>
            <w:tcW w:w="1620"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0.20</w:t>
            </w:r>
          </w:p>
        </w:tc>
        <w:tc>
          <w:tcPr>
            <w:tcW w:w="1440"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83"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0.10</w:t>
            </w:r>
          </w:p>
        </w:tc>
        <w:tc>
          <w:tcPr>
            <w:tcW w:w="1605" w:type="dxa"/>
            <w:tcBorders>
              <w:top w:val="single" w:sz="4" w:space="0" w:color="auto"/>
            </w:tcBorders>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2.49</w:t>
            </w:r>
          </w:p>
        </w:tc>
      </w:tr>
      <w:tr w:rsidR="00927F64" w:rsidRPr="00927F64" w:rsidTr="008D0953">
        <w:tc>
          <w:tcPr>
            <w:tcW w:w="1908"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P-Value</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44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Ns</w:t>
            </w:r>
          </w:p>
        </w:tc>
        <w:tc>
          <w:tcPr>
            <w:tcW w:w="1383"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w:t>
            </w:r>
          </w:p>
        </w:tc>
        <w:tc>
          <w:tcPr>
            <w:tcW w:w="1605"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Ns</w:t>
            </w:r>
          </w:p>
        </w:tc>
      </w:tr>
      <w:tr w:rsidR="00927F64" w:rsidRPr="00927F64" w:rsidTr="008D0953">
        <w:tc>
          <w:tcPr>
            <w:tcW w:w="1908" w:type="dxa"/>
          </w:tcPr>
          <w:p w:rsidR="008D0953" w:rsidRPr="00927F64" w:rsidRDefault="008D0953"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SEM (±)</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0.81</w:t>
            </w:r>
          </w:p>
        </w:tc>
        <w:tc>
          <w:tcPr>
            <w:tcW w:w="162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0.11</w:t>
            </w:r>
          </w:p>
        </w:tc>
        <w:tc>
          <w:tcPr>
            <w:tcW w:w="1440"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0.05</w:t>
            </w:r>
          </w:p>
        </w:tc>
        <w:tc>
          <w:tcPr>
            <w:tcW w:w="1383"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0.09</w:t>
            </w:r>
          </w:p>
        </w:tc>
        <w:tc>
          <w:tcPr>
            <w:tcW w:w="1605" w:type="dxa"/>
          </w:tcPr>
          <w:p w:rsidR="008D0953" w:rsidRPr="00927F64" w:rsidRDefault="008D0953"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0.87</w:t>
            </w:r>
          </w:p>
        </w:tc>
      </w:tr>
      <w:tr w:rsidR="00927F64" w:rsidRPr="00927F64" w:rsidTr="008D0953">
        <w:tblPrEx>
          <w:tblLook w:val="0000" w:firstRow="0" w:lastRow="0" w:firstColumn="0" w:lastColumn="0" w:noHBand="0" w:noVBand="0"/>
        </w:tblPrEx>
        <w:trPr>
          <w:trHeight w:val="390"/>
        </w:trPr>
        <w:tc>
          <w:tcPr>
            <w:tcW w:w="1908"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CV (%)</w:t>
            </w:r>
          </w:p>
        </w:tc>
        <w:tc>
          <w:tcPr>
            <w:tcW w:w="1620"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8.09</w:t>
            </w:r>
          </w:p>
        </w:tc>
        <w:tc>
          <w:tcPr>
            <w:tcW w:w="1620"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6.48</w:t>
            </w:r>
          </w:p>
        </w:tc>
        <w:tc>
          <w:tcPr>
            <w:tcW w:w="1440"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10.99</w:t>
            </w:r>
          </w:p>
        </w:tc>
        <w:tc>
          <w:tcPr>
            <w:tcW w:w="1383"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18.54</w:t>
            </w:r>
          </w:p>
        </w:tc>
        <w:tc>
          <w:tcPr>
            <w:tcW w:w="1605" w:type="dxa"/>
          </w:tcPr>
          <w:p w:rsidR="008D0953" w:rsidRPr="00927F64" w:rsidRDefault="008D0953" w:rsidP="00F8771F">
            <w:pPr>
              <w:spacing w:before="0" w:beforeAutospacing="0" w:afterAutospacing="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3.16</w:t>
            </w:r>
          </w:p>
        </w:tc>
      </w:tr>
    </w:tbl>
    <w:p w:rsidR="00FB0AFD" w:rsidRDefault="00554840" w:rsidP="00F8771F">
      <w:pPr>
        <w:spacing w:after="0" w:line="360" w:lineRule="auto"/>
        <w:jc w:val="both"/>
        <w:rPr>
          <w:rFonts w:ascii="Times New Roman" w:hAnsi="Times New Roman" w:cs="Times New Roman"/>
          <w:i/>
          <w:color w:val="000000" w:themeColor="text1"/>
          <w:sz w:val="18"/>
          <w:szCs w:val="18"/>
        </w:rPr>
      </w:pPr>
      <w:r w:rsidRPr="00927F64">
        <w:rPr>
          <w:rFonts w:ascii="Times New Roman" w:hAnsi="Times New Roman" w:cs="Times New Roman"/>
          <w:i/>
          <w:color w:val="000000" w:themeColor="text1"/>
          <w:sz w:val="18"/>
          <w:szCs w:val="18"/>
        </w:rPr>
        <w:t>Mean values within a column followed by the different letters are significantly different from each other at ** =Signicant at P &lt; 0.01 and *=Significant at P &lt; 0.05. NS = not Significant at P</w:t>
      </w:r>
      <w:r w:rsidRPr="00927F64">
        <w:rPr>
          <w:rFonts w:ascii="Times New Roman" w:hAnsi="Times New Roman" w:cs="Times New Roman"/>
          <w:i/>
          <w:color w:val="000000" w:themeColor="text1"/>
          <w:sz w:val="18"/>
          <w:szCs w:val="18"/>
          <w:u w:val="single"/>
        </w:rPr>
        <w:t>&gt;</w:t>
      </w:r>
      <w:r w:rsidRPr="00927F64">
        <w:rPr>
          <w:rFonts w:ascii="Times New Roman" w:hAnsi="Times New Roman" w:cs="Times New Roman"/>
          <w:i/>
          <w:color w:val="000000" w:themeColor="text1"/>
          <w:sz w:val="18"/>
          <w:szCs w:val="18"/>
        </w:rPr>
        <w:t>0.05; CEC=Cation Exchange Capacity</w:t>
      </w:r>
    </w:p>
    <w:p w:rsidR="0067668D" w:rsidRPr="00EC3D60" w:rsidRDefault="0067668D" w:rsidP="00F8771F">
      <w:pPr>
        <w:spacing w:after="0" w:line="360" w:lineRule="auto"/>
        <w:jc w:val="both"/>
        <w:rPr>
          <w:rFonts w:ascii="Times New Roman" w:eastAsia="Times New Roman" w:hAnsi="Times New Roman" w:cs="Times New Roman"/>
        </w:rPr>
      </w:pPr>
      <w:r w:rsidRPr="0067668D">
        <w:rPr>
          <w:rFonts w:ascii="Times New Roman" w:eastAsia="Times New Roman" w:hAnsi="Times New Roman" w:cs="Times New Roman"/>
        </w:rPr>
        <w:t>Soil depth significantly affected exchangeable bases, with higher concentrations observed in the subsurface layer (20–40 cm) than in the surface (0–20 cm). This pattern may be attributed to downward cation movement with percolating water and their association with higher clay content in deeper horizons, which enhances cation exchange capacity and retention (Molla &amp; Yalew, 2018; Molla et al., 2022). Similar findings were reported by Admas (2018), showing greater exchangeable base concentrations in deeper soil layers in the Agedit watershed, Northwest Ethiopia.</w:t>
      </w:r>
      <w:r>
        <w:rPr>
          <w:rFonts w:ascii="Times New Roman" w:eastAsia="Times New Roman" w:hAnsi="Times New Roman" w:cs="Times New Roman"/>
        </w:rPr>
        <w:t xml:space="preserve"> </w:t>
      </w:r>
      <w:r w:rsidRPr="0067668D">
        <w:rPr>
          <w:rFonts w:ascii="Times New Roman" w:eastAsia="Times New Roman" w:hAnsi="Times New Roman" w:cs="Times New Roman"/>
        </w:rPr>
        <w:t xml:space="preserve">Overall, the findings suggest that natural forests act as a reservoir of exchangeable bases due to sustained organic matter cycling, while land conversion to plantations, grazing, or cultivated systems reduces cation availability through nutrient mining, leaching, and soil degradation. The observed variation also highlights the possibility that site-specific factors such as tree species, litter quality, microclimate, and soil texture may modulate cation distribution across land uses and depths. Maintain soil cation status, practices such as organic residue </w:t>
      </w:r>
      <w:r w:rsidR="00EC3D60">
        <w:rPr>
          <w:rFonts w:ascii="Times New Roman" w:eastAsia="Times New Roman" w:hAnsi="Times New Roman" w:cs="Times New Roman"/>
        </w:rPr>
        <w:t>and</w:t>
      </w:r>
      <w:r w:rsidRPr="0067668D">
        <w:rPr>
          <w:rFonts w:ascii="Times New Roman" w:eastAsia="Times New Roman" w:hAnsi="Times New Roman" w:cs="Times New Roman"/>
        </w:rPr>
        <w:t xml:space="preserve"> diversified</w:t>
      </w:r>
      <w:r w:rsidR="00EC3D60">
        <w:rPr>
          <w:rFonts w:ascii="Times New Roman" w:eastAsia="Times New Roman" w:hAnsi="Times New Roman" w:cs="Times New Roman"/>
        </w:rPr>
        <w:t xml:space="preserve"> tree species in plantations could be</w:t>
      </w:r>
      <w:r w:rsidRPr="0067668D">
        <w:rPr>
          <w:rFonts w:ascii="Times New Roman" w:eastAsia="Times New Roman" w:hAnsi="Times New Roman" w:cs="Times New Roman"/>
        </w:rPr>
        <w:t xml:space="preserve"> recommended to enhance nutrient recycling and minimize cation depletion.</w:t>
      </w:r>
    </w:p>
    <w:p w:rsidR="00830B7B" w:rsidRPr="00927F64" w:rsidRDefault="004B36C1" w:rsidP="00F8771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3.2.7 </w:t>
      </w:r>
      <w:r w:rsidR="00830B7B" w:rsidRPr="00927F64">
        <w:rPr>
          <w:rFonts w:ascii="Times New Roman" w:hAnsi="Times New Roman" w:cs="Times New Roman"/>
          <w:b/>
          <w:color w:val="000000" w:themeColor="text1"/>
        </w:rPr>
        <w:t>Cation Exchange capacity</w:t>
      </w:r>
      <w:r w:rsidR="00C33411" w:rsidRPr="00927F64">
        <w:rPr>
          <w:rFonts w:ascii="Times New Roman" w:hAnsi="Times New Roman" w:cs="Times New Roman"/>
          <w:b/>
          <w:color w:val="000000" w:themeColor="text1"/>
        </w:rPr>
        <w:t xml:space="preserve"> (CEC)</w:t>
      </w:r>
    </w:p>
    <w:p w:rsidR="00551686" w:rsidRPr="00927F64" w:rsidRDefault="00551686" w:rsidP="00F8771F">
      <w:pPr>
        <w:pStyle w:val="NormalWeb"/>
        <w:spacing w:before="0" w:beforeAutospacing="0" w:after="0" w:afterAutospacing="0" w:line="360" w:lineRule="auto"/>
        <w:jc w:val="both"/>
        <w:rPr>
          <w:color w:val="000000" w:themeColor="text1"/>
          <w:sz w:val="22"/>
          <w:szCs w:val="22"/>
        </w:rPr>
      </w:pPr>
      <w:r w:rsidRPr="00927F64">
        <w:rPr>
          <w:color w:val="000000" w:themeColor="text1"/>
          <w:sz w:val="22"/>
          <w:szCs w:val="22"/>
        </w:rPr>
        <w:t>Cation exchange capacity (CEC) showed a highly significant variation (P &lt; 0.01) among land use types, but it was not significantly i</w:t>
      </w:r>
      <w:r w:rsidR="007120E9" w:rsidRPr="00927F64">
        <w:rPr>
          <w:color w:val="000000" w:themeColor="text1"/>
          <w:sz w:val="22"/>
          <w:szCs w:val="22"/>
        </w:rPr>
        <w:t>nfluenced by soil depth (Table 4</w:t>
      </w:r>
      <w:r w:rsidR="00EC3D60">
        <w:rPr>
          <w:color w:val="000000" w:themeColor="text1"/>
          <w:sz w:val="22"/>
          <w:szCs w:val="22"/>
        </w:rPr>
        <w:t xml:space="preserve">). The highest CEC 38.11 </w:t>
      </w:r>
      <w:proofErr w:type="spellStart"/>
      <w:r w:rsidR="00EC3D60">
        <w:rPr>
          <w:color w:val="000000" w:themeColor="text1"/>
          <w:sz w:val="22"/>
          <w:szCs w:val="22"/>
        </w:rPr>
        <w:t>cmolc</w:t>
      </w:r>
      <w:proofErr w:type="spellEnd"/>
      <w:r w:rsidR="00EC3D60">
        <w:rPr>
          <w:color w:val="000000" w:themeColor="text1"/>
          <w:sz w:val="22"/>
          <w:szCs w:val="22"/>
        </w:rPr>
        <w:t xml:space="preserve"> kg⁻¹</w:t>
      </w:r>
      <w:r w:rsidRPr="00927F64">
        <w:rPr>
          <w:color w:val="000000" w:themeColor="text1"/>
          <w:sz w:val="22"/>
          <w:szCs w:val="22"/>
        </w:rPr>
        <w:t xml:space="preserve"> was observed in natural forest soils, whereas the lowest values were recorded under cultivated lands (31.18 </w:t>
      </w:r>
      <w:proofErr w:type="spellStart"/>
      <w:r w:rsidRPr="00927F64">
        <w:rPr>
          <w:color w:val="000000" w:themeColor="text1"/>
          <w:sz w:val="22"/>
          <w:szCs w:val="22"/>
        </w:rPr>
        <w:t>cmolc</w:t>
      </w:r>
      <w:proofErr w:type="spellEnd"/>
      <w:r w:rsidRPr="00927F64">
        <w:rPr>
          <w:color w:val="000000" w:themeColor="text1"/>
          <w:sz w:val="22"/>
          <w:szCs w:val="22"/>
        </w:rPr>
        <w:t xml:space="preserve"> kg⁻¹) and plant</w:t>
      </w:r>
      <w:r w:rsidR="00EC3D60">
        <w:rPr>
          <w:color w:val="000000" w:themeColor="text1"/>
          <w:sz w:val="22"/>
          <w:szCs w:val="22"/>
        </w:rPr>
        <w:t xml:space="preserve">ation forests 33.09 </w:t>
      </w:r>
      <w:proofErr w:type="spellStart"/>
      <w:r w:rsidR="00EC3D60">
        <w:rPr>
          <w:color w:val="000000" w:themeColor="text1"/>
          <w:sz w:val="22"/>
          <w:szCs w:val="22"/>
        </w:rPr>
        <w:t>cmolc</w:t>
      </w:r>
      <w:proofErr w:type="spellEnd"/>
      <w:r w:rsidR="00EC3D60">
        <w:rPr>
          <w:color w:val="000000" w:themeColor="text1"/>
          <w:sz w:val="22"/>
          <w:szCs w:val="22"/>
        </w:rPr>
        <w:t xml:space="preserve"> kg⁻¹</w:t>
      </w:r>
      <w:r w:rsidRPr="00927F64">
        <w:rPr>
          <w:color w:val="000000" w:themeColor="text1"/>
          <w:sz w:val="22"/>
          <w:szCs w:val="22"/>
        </w:rPr>
        <w:t xml:space="preserve">. Grazing lands also </w:t>
      </w:r>
      <w:r w:rsidR="00EC3D60">
        <w:rPr>
          <w:color w:val="000000" w:themeColor="text1"/>
          <w:sz w:val="22"/>
          <w:szCs w:val="22"/>
        </w:rPr>
        <w:t xml:space="preserve">exhibited relatively lower CEC 35.50 </w:t>
      </w:r>
      <w:proofErr w:type="spellStart"/>
      <w:r w:rsidR="00EC3D60">
        <w:rPr>
          <w:color w:val="000000" w:themeColor="text1"/>
          <w:sz w:val="22"/>
          <w:szCs w:val="22"/>
        </w:rPr>
        <w:t>cmolc</w:t>
      </w:r>
      <w:proofErr w:type="spellEnd"/>
      <w:r w:rsidR="00EC3D60">
        <w:rPr>
          <w:color w:val="000000" w:themeColor="text1"/>
          <w:sz w:val="22"/>
          <w:szCs w:val="22"/>
        </w:rPr>
        <w:t xml:space="preserve"> kg⁻¹ </w:t>
      </w:r>
      <w:r w:rsidRPr="00927F64">
        <w:rPr>
          <w:color w:val="000000" w:themeColor="text1"/>
          <w:sz w:val="22"/>
          <w:szCs w:val="22"/>
        </w:rPr>
        <w:t xml:space="preserve">compared to natural forests. The higher CEC in natural forest soils can be attributed to the continuous accumulation of organic matter from litter fall and minimal soil disturbance, which enhances the soil’s ability to retain and exchange cations. Conversely, the comparatively lower CEC in </w:t>
      </w:r>
      <w:r w:rsidRPr="00927F64">
        <w:rPr>
          <w:color w:val="000000" w:themeColor="text1"/>
          <w:sz w:val="22"/>
          <w:szCs w:val="22"/>
        </w:rPr>
        <w:lastRenderedPageBreak/>
        <w:t>cultivated and plantation soils is likely associated with reduced soil organic matter, intensive soil disturbance, and removal of plant residues, which together decrease the soil’s exchange capacity. These findings are in agreement with Molla et al. (2022), who reported higher CEC values in natural forest soils compared to cultivated and plantation systems in northwestern Ethiopia. Similarly, Chemeda et al. (2017) confirmed that low organic matter inputs and higher erosion rates in cultivated fields contributed to reduce CEC.</w:t>
      </w:r>
    </w:p>
    <w:p w:rsidR="00627906" w:rsidRPr="00927F64" w:rsidRDefault="00551686" w:rsidP="00F8771F">
      <w:pPr>
        <w:pStyle w:val="NormalWeb"/>
        <w:spacing w:before="0" w:beforeAutospacing="0" w:after="0" w:afterAutospacing="0" w:line="360" w:lineRule="auto"/>
        <w:jc w:val="both"/>
        <w:rPr>
          <w:color w:val="000000" w:themeColor="text1"/>
          <w:sz w:val="22"/>
          <w:szCs w:val="22"/>
        </w:rPr>
      </w:pPr>
      <w:r w:rsidRPr="00927F64">
        <w:rPr>
          <w:color w:val="000000" w:themeColor="text1"/>
          <w:sz w:val="22"/>
          <w:szCs w:val="22"/>
        </w:rPr>
        <w:t>Although soil depth did not significantly affect CEC, a slight reduction in values was o</w:t>
      </w:r>
      <w:r w:rsidR="00EC3D60">
        <w:rPr>
          <w:color w:val="000000" w:themeColor="text1"/>
          <w:sz w:val="22"/>
          <w:szCs w:val="22"/>
        </w:rPr>
        <w:t xml:space="preserve">bserved at subsurface layers 34.44 </w:t>
      </w:r>
      <w:proofErr w:type="spellStart"/>
      <w:r w:rsidR="00EC3D60">
        <w:rPr>
          <w:color w:val="000000" w:themeColor="text1"/>
          <w:sz w:val="22"/>
          <w:szCs w:val="22"/>
        </w:rPr>
        <w:t>cmolc</w:t>
      </w:r>
      <w:proofErr w:type="spellEnd"/>
      <w:r w:rsidR="00EC3D60">
        <w:rPr>
          <w:color w:val="000000" w:themeColor="text1"/>
          <w:sz w:val="22"/>
          <w:szCs w:val="22"/>
        </w:rPr>
        <w:t xml:space="preserve"> kg⁻¹ compared to surface layers 35.51 </w:t>
      </w:r>
      <w:proofErr w:type="spellStart"/>
      <w:r w:rsidR="00EC3D60">
        <w:rPr>
          <w:color w:val="000000" w:themeColor="text1"/>
          <w:sz w:val="22"/>
          <w:szCs w:val="22"/>
        </w:rPr>
        <w:t>cmolc</w:t>
      </w:r>
      <w:proofErr w:type="spellEnd"/>
      <w:r w:rsidR="00EC3D60">
        <w:rPr>
          <w:color w:val="000000" w:themeColor="text1"/>
          <w:sz w:val="22"/>
          <w:szCs w:val="22"/>
        </w:rPr>
        <w:t xml:space="preserve"> kg⁻¹</w:t>
      </w:r>
      <w:r w:rsidRPr="00927F64">
        <w:rPr>
          <w:color w:val="000000" w:themeColor="text1"/>
          <w:sz w:val="22"/>
          <w:szCs w:val="22"/>
        </w:rPr>
        <w:t>. This decline could be linked to the vertical distribution of organic matter, which is more concentrated in the surface horizon and decreases with depth. Molla and Yalew (2018) and Molla et al. (2022) also noted a similar pattern of decreasing CEC with soil depth due to lower organic matter accumulation in deeper soil layers. Overall, the results highlight that land use change, particularly conversion of forests to cultivated and plantation systems, significantly reduces soil CEC mainly through declining soil organi</w:t>
      </w:r>
      <w:r w:rsidR="00F11748" w:rsidRPr="00927F64">
        <w:rPr>
          <w:color w:val="000000" w:themeColor="text1"/>
          <w:sz w:val="22"/>
          <w:szCs w:val="22"/>
        </w:rPr>
        <w:t>c matter and nutrient depletion.</w:t>
      </w:r>
    </w:p>
    <w:p w:rsidR="005624B3" w:rsidRPr="00927F64" w:rsidRDefault="005624B3" w:rsidP="00F8771F">
      <w:pPr>
        <w:spacing w:after="0" w:line="360" w:lineRule="auto"/>
        <w:jc w:val="both"/>
        <w:rPr>
          <w:rFonts w:ascii="Times New Roman" w:hAnsi="Times New Roman" w:cs="Times New Roman"/>
          <w:color w:val="000000" w:themeColor="text1"/>
        </w:rPr>
      </w:pPr>
      <w:r w:rsidRPr="00927F64">
        <w:rPr>
          <w:rFonts w:ascii="Times New Roman" w:hAnsi="Times New Roman" w:cs="Times New Roman"/>
          <w:b/>
          <w:color w:val="000000" w:themeColor="text1"/>
        </w:rPr>
        <w:t xml:space="preserve">3.3 Correlation among Selected Soil Physicochemical Properties </w:t>
      </w:r>
    </w:p>
    <w:p w:rsidR="00A95C40" w:rsidRPr="00927F64" w:rsidRDefault="00A95C40" w:rsidP="00F8771F">
      <w:pPr>
        <w:spacing w:after="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The</w:t>
      </w:r>
      <w:r w:rsidR="007120E9" w:rsidRPr="00927F64">
        <w:rPr>
          <w:rFonts w:ascii="Times New Roman" w:hAnsi="Times New Roman" w:cs="Times New Roman"/>
          <w:color w:val="000000" w:themeColor="text1"/>
        </w:rPr>
        <w:t xml:space="preserve"> correlation analysis (Table 5</w:t>
      </w:r>
      <w:r w:rsidRPr="00927F64">
        <w:rPr>
          <w:rFonts w:ascii="Times New Roman" w:hAnsi="Times New Roman" w:cs="Times New Roman"/>
          <w:color w:val="000000" w:themeColor="text1"/>
        </w:rPr>
        <w:t>) revealed strong inter</w:t>
      </w:r>
      <w:r w:rsidR="00EC3D60">
        <w:rPr>
          <w:rFonts w:ascii="Times New Roman" w:hAnsi="Times New Roman" w:cs="Times New Roman"/>
          <w:color w:val="000000" w:themeColor="text1"/>
        </w:rPr>
        <w:t xml:space="preserve"> </w:t>
      </w:r>
      <w:r w:rsidRPr="00927F64">
        <w:rPr>
          <w:rFonts w:ascii="Times New Roman" w:hAnsi="Times New Roman" w:cs="Times New Roman"/>
          <w:color w:val="000000" w:themeColor="text1"/>
        </w:rPr>
        <w:t>linkages among soil properties, showing that fertility is shaped by the interaction of texture, organic matter, and chemical characteristics. Clay content was negatively associated with bulk density (r = –0.48) but positively correlated with moisture content, pH, SOC, CEC, and exchangeable bases, indicating that fine-textured soils enhance water-holding capacity, nutrient retention, and buffering against acidity. In contrast, bulk density showed negative relationships with nearly all fertility indicators, reinforcing the detrimental effects of compaction on soil structure, moisture availability, and nutrient exchange. Moisture content was positively and significantly related to SOC, TN, AvP, CEC, and base cations, highlighting its role in promoting microbial activity, organic matter decomposition, and nutrient cycling. Soil pH exhibited positive correlations with AvP, CEC, and exchangeable bases, suggesting that balanced acidity improves phosphorus availability and stabilizes base cations. SOC emerged as a central fertility driver, showing strong positive associations with TN, AvP, CEC, and base cations, underscoring its role in nutrient storage, soil structure improvement, and cation exchange.</w:t>
      </w:r>
    </w:p>
    <w:p w:rsidR="00AB5D1D" w:rsidRPr="00927F64" w:rsidRDefault="00A95C40" w:rsidP="00F8771F">
      <w:pPr>
        <w:spacing w:after="0" w:line="360" w:lineRule="auto"/>
        <w:jc w:val="both"/>
        <w:rPr>
          <w:rFonts w:ascii="Times New Roman" w:hAnsi="Times New Roman" w:cs="Times New Roman"/>
          <w:color w:val="000000" w:themeColor="text1"/>
        </w:rPr>
      </w:pPr>
      <w:r w:rsidRPr="00927F64">
        <w:rPr>
          <w:rFonts w:ascii="Times New Roman" w:hAnsi="Times New Roman" w:cs="Times New Roman"/>
          <w:color w:val="000000" w:themeColor="text1"/>
        </w:rPr>
        <w:t xml:space="preserve"> Similarly, TN was strongly linked with SOC, AvP, pH, and exchangeable bases, confirming the dependence of nitrogen cycling on organic matter and chemical balance. AvP also correlated positively with SOC, TN, pH, CEC, and exchangeable bases, reflecting the influence of organic matter and cations in reducing P fixation. Exchangeable bases were strongly associated with clay, SOC, TN, AvP, and pH, but negatively with BD, sand, and silt, implying that fertile soils are those with higher organic matter and finer texture. CEC, as an integrative indicator, showed similar positive relationships with SOC, clay, pH, </w:t>
      </w:r>
      <w:r w:rsidRPr="00927F64">
        <w:rPr>
          <w:rFonts w:ascii="Times New Roman" w:hAnsi="Times New Roman" w:cs="Times New Roman"/>
          <w:color w:val="000000" w:themeColor="text1"/>
        </w:rPr>
        <w:lastRenderedPageBreak/>
        <w:t>TN, AvP, and base cations, while being negatively related to BD, sand, and silt. Overall, the results indicate that soil fertility is enhanced in clay-rich, organic matter dominated, and well-structured soils, while high BD and sandy texture undermine nutrient cycling, water storage, and productivity.</w:t>
      </w:r>
    </w:p>
    <w:p w:rsidR="005624B3" w:rsidRPr="00927F64" w:rsidRDefault="005624B3" w:rsidP="00F8771F">
      <w:pPr>
        <w:spacing w:after="0" w:line="360" w:lineRule="auto"/>
        <w:jc w:val="both"/>
        <w:rPr>
          <w:rFonts w:ascii="Times New Roman" w:hAnsi="Times New Roman" w:cs="Times New Roman"/>
          <w:color w:val="000000" w:themeColor="text1"/>
        </w:rPr>
        <w:sectPr w:rsidR="005624B3" w:rsidRPr="00927F64" w:rsidSect="004F4666">
          <w:type w:val="nextPage"/>
          <w:pgSz w:w="12240" w:h="15840"/>
          <w:pgMar w:top="1440" w:right="1440" w:bottom="1440" w:left="1440" w:header="720" w:footer="720" w:gutter="0"/>
          <w:pgNumType w:start="1"/>
          <w:cols w:space="720"/>
          <w:docGrid w:linePitch="360"/>
        </w:sectPr>
      </w:pPr>
    </w:p>
    <w:tbl>
      <w:tblPr>
        <w:tblStyle w:val="TableGrid"/>
        <w:tblpPr w:leftFromText="180" w:rightFromText="180" w:vertAnchor="page" w:horzAnchor="margin" w:tblpXSpec="center" w:tblpY="2162"/>
        <w:tblW w:w="144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90"/>
        <w:gridCol w:w="90"/>
        <w:gridCol w:w="900"/>
        <w:gridCol w:w="900"/>
        <w:gridCol w:w="990"/>
        <w:gridCol w:w="990"/>
        <w:gridCol w:w="900"/>
        <w:gridCol w:w="900"/>
        <w:gridCol w:w="900"/>
        <w:gridCol w:w="900"/>
        <w:gridCol w:w="900"/>
        <w:gridCol w:w="900"/>
        <w:gridCol w:w="900"/>
        <w:gridCol w:w="900"/>
        <w:gridCol w:w="900"/>
        <w:gridCol w:w="720"/>
      </w:tblGrid>
      <w:tr w:rsidR="00927F64" w:rsidRPr="00927F64" w:rsidTr="00AB5D1D">
        <w:tc>
          <w:tcPr>
            <w:tcW w:w="720" w:type="dxa"/>
            <w:tcBorders>
              <w:top w:val="single" w:sz="4" w:space="0" w:color="auto"/>
              <w:bottom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p>
        </w:tc>
        <w:tc>
          <w:tcPr>
            <w:tcW w:w="1080" w:type="dxa"/>
            <w:gridSpan w:val="2"/>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Sand</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Silt</w:t>
            </w:r>
          </w:p>
        </w:tc>
        <w:tc>
          <w:tcPr>
            <w:tcW w:w="900" w:type="dxa"/>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Clay</w:t>
            </w:r>
          </w:p>
        </w:tc>
        <w:tc>
          <w:tcPr>
            <w:tcW w:w="990" w:type="dxa"/>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BD</w:t>
            </w:r>
          </w:p>
        </w:tc>
        <w:tc>
          <w:tcPr>
            <w:tcW w:w="990" w:type="dxa"/>
            <w:tcBorders>
              <w:top w:val="single" w:sz="4" w:space="0" w:color="auto"/>
              <w:bottom w:val="single" w:sz="4" w:space="0" w:color="auto"/>
            </w:tcBorders>
            <w:vAlign w:val="bottom"/>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MC</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pH</w:t>
            </w:r>
          </w:p>
        </w:tc>
        <w:tc>
          <w:tcPr>
            <w:tcW w:w="900" w:type="dxa"/>
            <w:tcBorders>
              <w:top w:val="single" w:sz="4" w:space="0" w:color="auto"/>
              <w:bottom w:val="single" w:sz="4" w:space="0" w:color="auto"/>
            </w:tcBorders>
            <w:vAlign w:val="bottom"/>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bCs/>
                <w:color w:val="000000" w:themeColor="text1"/>
              </w:rPr>
              <w:t>OC</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TN</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C:N</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proofErr w:type="spellStart"/>
            <w:r w:rsidRPr="00927F64">
              <w:rPr>
                <w:rFonts w:ascii="Times New Roman" w:hAnsi="Times New Roman" w:cs="Times New Roman"/>
                <w:bCs/>
                <w:color w:val="000000" w:themeColor="text1"/>
              </w:rPr>
              <w:t>Av_P</w:t>
            </w:r>
            <w:proofErr w:type="spellEnd"/>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Ca</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Mg</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Na</w:t>
            </w:r>
          </w:p>
        </w:tc>
        <w:tc>
          <w:tcPr>
            <w:tcW w:w="900" w:type="dxa"/>
            <w:tcBorders>
              <w:top w:val="single" w:sz="4" w:space="0" w:color="auto"/>
              <w:bottom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K</w:t>
            </w:r>
          </w:p>
        </w:tc>
        <w:tc>
          <w:tcPr>
            <w:tcW w:w="720" w:type="dxa"/>
            <w:tcBorders>
              <w:top w:val="single" w:sz="4" w:space="0" w:color="auto"/>
              <w:bottom w:val="single" w:sz="4" w:space="0" w:color="auto"/>
              <w:right w:val="single" w:sz="4" w:space="0" w:color="auto"/>
            </w:tcBorders>
            <w:vAlign w:val="bottom"/>
          </w:tcPr>
          <w:p w:rsidR="00AB5D1D" w:rsidRPr="00927F64" w:rsidRDefault="00AB5D1D" w:rsidP="00F8771F">
            <w:pPr>
              <w:spacing w:line="360" w:lineRule="auto"/>
              <w:jc w:val="right"/>
              <w:rPr>
                <w:rFonts w:ascii="Times New Roman" w:hAnsi="Times New Roman" w:cs="Times New Roman"/>
                <w:color w:val="000000" w:themeColor="text1"/>
              </w:rPr>
            </w:pPr>
            <w:r w:rsidRPr="00927F64">
              <w:rPr>
                <w:rFonts w:ascii="Times New Roman" w:hAnsi="Times New Roman" w:cs="Times New Roman"/>
                <w:bCs/>
                <w:color w:val="000000" w:themeColor="text1"/>
              </w:rPr>
              <w:t>CEC</w:t>
            </w:r>
          </w:p>
        </w:tc>
      </w:tr>
      <w:tr w:rsidR="00927F64" w:rsidRPr="00927F64" w:rsidTr="00AB5D1D">
        <w:tc>
          <w:tcPr>
            <w:tcW w:w="720" w:type="dxa"/>
            <w:tcBorders>
              <w:top w:val="single" w:sz="4" w:space="0" w:color="auto"/>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 xml:space="preserve">Sand </w:t>
            </w:r>
          </w:p>
        </w:tc>
        <w:tc>
          <w:tcPr>
            <w:tcW w:w="990" w:type="dxa"/>
            <w:tcBorders>
              <w:top w:val="single" w:sz="4" w:space="0" w:color="auto"/>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90" w:type="dxa"/>
            <w:gridSpan w:val="2"/>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Borders>
              <w:top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9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c>
          <w:tcPr>
            <w:tcW w:w="900" w:type="dxa"/>
            <w:tcBorders>
              <w:top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top w:val="single" w:sz="4" w:space="0" w:color="auto"/>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Silt</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0.53**</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Clay</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BD</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0.36</w:t>
            </w:r>
            <w:r w:rsidRPr="00927F64">
              <w:rPr>
                <w:rFonts w:ascii="Times New Roman" w:hAnsi="Times New Roman" w:cs="Times New Roman"/>
                <w:color w:val="000000" w:themeColor="text1"/>
                <w:vertAlign w:val="superscript"/>
              </w:rPr>
              <w:t>ns</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-0.48</w:t>
            </w:r>
            <w:r w:rsidRPr="00927F64">
              <w:rPr>
                <w:rFonts w:ascii="Times New Roman" w:hAnsi="Times New Roman" w:cs="Times New Roman"/>
                <w:color w:val="000000" w:themeColor="text1"/>
                <w:vertAlign w:val="superscript"/>
              </w:rPr>
              <w:t xml:space="preserve"> *</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MC</w:t>
            </w:r>
          </w:p>
        </w:tc>
        <w:tc>
          <w:tcPr>
            <w:tcW w:w="990" w:type="dxa"/>
            <w:tcBorders>
              <w:left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-0.71**</w:t>
            </w:r>
          </w:p>
        </w:tc>
        <w:tc>
          <w:tcPr>
            <w:tcW w:w="990" w:type="dxa"/>
            <w:gridSpan w:val="2"/>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-0.42*</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0.64**</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-0.70**</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pH</w:t>
            </w:r>
          </w:p>
        </w:tc>
        <w:tc>
          <w:tcPr>
            <w:tcW w:w="990" w:type="dxa"/>
            <w:tcBorders>
              <w:left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p>
        </w:tc>
        <w:tc>
          <w:tcPr>
            <w:tcW w:w="990" w:type="dxa"/>
            <w:gridSpan w:val="2"/>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-0.33</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0.58*</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-0.31</w:t>
            </w:r>
            <w:r w:rsidRPr="00927F64">
              <w:rPr>
                <w:rFonts w:ascii="Times New Roman" w:hAnsi="Times New Roman" w:cs="Times New Roman"/>
                <w:color w:val="000000" w:themeColor="text1"/>
                <w:vertAlign w:val="superscript"/>
              </w:rPr>
              <w:t>ns</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0.73**</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OC</w:t>
            </w:r>
          </w:p>
        </w:tc>
        <w:tc>
          <w:tcPr>
            <w:tcW w:w="990" w:type="dxa"/>
            <w:tcBorders>
              <w:left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c>
          <w:tcPr>
            <w:tcW w:w="990" w:type="dxa"/>
            <w:gridSpan w:val="2"/>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-0.29</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0.48*</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-0.90**</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0.85**</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0.45</w:t>
            </w:r>
          </w:p>
        </w:tc>
        <w:tc>
          <w:tcPr>
            <w:tcW w:w="90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TN</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-0.45*</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0.18</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0.87**</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C:N</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-0.21</w:t>
            </w:r>
            <w:r w:rsidRPr="00927F64">
              <w:rPr>
                <w:rFonts w:ascii="Times New Roman" w:hAnsi="Times New Roman" w:cs="Times New Roman"/>
                <w:color w:val="000000" w:themeColor="text1"/>
                <w:vertAlign w:val="superscript"/>
              </w:rPr>
              <w:t>ns</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0.03</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0.12</w:t>
            </w:r>
            <w:r w:rsidRPr="00927F64">
              <w:rPr>
                <w:rFonts w:ascii="Times New Roman" w:hAnsi="Times New Roman" w:cs="Times New Roman"/>
                <w:color w:val="000000" w:themeColor="text1"/>
                <w:vertAlign w:val="superscript"/>
              </w:rPr>
              <w:t xml:space="preserve"> 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AvP</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-0.26</w:t>
            </w:r>
            <w:r w:rsidRPr="00927F64">
              <w:rPr>
                <w:rFonts w:ascii="Times New Roman" w:hAnsi="Times New Roman" w:cs="Times New Roman"/>
                <w:color w:val="000000" w:themeColor="text1"/>
                <w:vertAlign w:val="superscript"/>
              </w:rPr>
              <w:t>ns</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-0.13</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0.23</w:t>
            </w:r>
            <w:r w:rsidRPr="00927F64">
              <w:rPr>
                <w:rFonts w:ascii="Times New Roman" w:hAnsi="Times New Roman" w:cs="Times New Roman"/>
                <w:color w:val="000000" w:themeColor="text1"/>
                <w:vertAlign w:val="superscript"/>
              </w:rPr>
              <w:t xml:space="preserve"> 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-0.68**</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0.88**</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0.79**</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0.62**</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Ca</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-0.58**</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-0.25</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r w:rsidRPr="00927F64">
              <w:rPr>
                <w:rFonts w:ascii="Times New Roman" w:hAnsi="Times New Roman" w:cs="Times New Roman"/>
                <w:color w:val="000000" w:themeColor="text1"/>
                <w:vertAlign w:val="superscript"/>
              </w:rPr>
              <w:t>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0.72**</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0.89**</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0.46*</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0.27ns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Mg</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-0.44*</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-0.28</w:t>
            </w:r>
            <w:r w:rsidRPr="00927F64">
              <w:rPr>
                <w:rFonts w:ascii="Times New Roman" w:hAnsi="Times New Roman" w:cs="Times New Roman"/>
                <w:color w:val="000000" w:themeColor="text1"/>
                <w:vertAlign w:val="superscript"/>
              </w:rPr>
              <w:t xml:space="preserve"> 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0.49</w:t>
            </w:r>
            <w:r w:rsidRPr="00927F64">
              <w:rPr>
                <w:rFonts w:ascii="Times New Roman" w:hAnsi="Times New Roman" w:cs="Times New Roman"/>
                <w:color w:val="000000" w:themeColor="text1"/>
                <w:vertAlign w:val="superscript"/>
              </w:rPr>
              <w:t>**</w:t>
            </w:r>
          </w:p>
        </w:tc>
        <w:tc>
          <w:tcPr>
            <w:tcW w:w="990" w:type="dxa"/>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-0.14*</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0.28</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0.11</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0.17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Na</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-0.56**</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w:t>
            </w:r>
            <w:r w:rsidRPr="00927F64">
              <w:rPr>
                <w:rFonts w:ascii="Times New Roman" w:hAnsi="Times New Roman" w:cs="Times New Roman"/>
                <w:color w:val="000000" w:themeColor="text1"/>
                <w:vertAlign w:val="superscript"/>
              </w:rPr>
              <w:t xml:space="preserve"> 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0.49*</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-0.38</w:t>
            </w:r>
            <w:r w:rsidRPr="00927F64">
              <w:rPr>
                <w:rFonts w:ascii="Times New Roman" w:hAnsi="Times New Roman" w:cs="Times New Roman"/>
                <w:color w:val="000000" w:themeColor="text1"/>
                <w:vertAlign w:val="superscript"/>
              </w:rPr>
              <w:t>ns</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0.76**</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0.63**</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0.49*</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0.71**</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nil"/>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K</w:t>
            </w:r>
          </w:p>
        </w:tc>
        <w:tc>
          <w:tcPr>
            <w:tcW w:w="990" w:type="dxa"/>
            <w:tcBorders>
              <w:left w:val="single" w:sz="4" w:space="0" w:color="auto"/>
            </w:tcBorders>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-0.62**</w:t>
            </w:r>
          </w:p>
        </w:tc>
        <w:tc>
          <w:tcPr>
            <w:tcW w:w="990" w:type="dxa"/>
            <w:gridSpan w:val="2"/>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-0.35</w:t>
            </w:r>
            <w:r w:rsidRPr="00927F64">
              <w:rPr>
                <w:rFonts w:ascii="Times New Roman" w:hAnsi="Times New Roman" w:cs="Times New Roman"/>
                <w:color w:val="000000" w:themeColor="text1"/>
                <w:vertAlign w:val="superscript"/>
              </w:rPr>
              <w:t xml:space="preserve"> 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9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0.84**</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0.65**</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0.62**</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0.56**</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r w:rsidRPr="00927F64">
              <w:rPr>
                <w:rFonts w:ascii="Times New Roman" w:hAnsi="Times New Roman" w:cs="Times New Roman"/>
                <w:color w:val="000000" w:themeColor="text1"/>
                <w:vertAlign w:val="superscript"/>
              </w:rPr>
              <w:t>ns</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0.77**</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0.80**</w:t>
            </w:r>
          </w:p>
        </w:tc>
        <w:tc>
          <w:tcPr>
            <w:tcW w:w="900" w:type="dxa"/>
          </w:tcPr>
          <w:p w:rsidR="00AB5D1D" w:rsidRPr="00927F64" w:rsidRDefault="00AB5D1D" w:rsidP="00F8771F">
            <w:pPr>
              <w:spacing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0.72**</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0.78**</w:t>
            </w:r>
          </w:p>
        </w:tc>
        <w:tc>
          <w:tcPr>
            <w:tcW w:w="900" w:type="dxa"/>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1.00</w:t>
            </w:r>
          </w:p>
        </w:tc>
        <w:tc>
          <w:tcPr>
            <w:tcW w:w="720" w:type="dxa"/>
            <w:tcBorders>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p>
        </w:tc>
      </w:tr>
      <w:tr w:rsidR="00927F64" w:rsidRPr="00927F64" w:rsidTr="00AB5D1D">
        <w:tc>
          <w:tcPr>
            <w:tcW w:w="720" w:type="dxa"/>
            <w:tcBorders>
              <w:top w:val="nil"/>
              <w:left w:val="single" w:sz="4" w:space="0" w:color="auto"/>
              <w:bottom w:val="single" w:sz="4" w:space="0" w:color="auto"/>
              <w:right w:val="single" w:sz="4" w:space="0" w:color="auto"/>
            </w:tcBorders>
          </w:tcPr>
          <w:p w:rsidR="00AB5D1D" w:rsidRPr="00927F64" w:rsidRDefault="00AB5D1D" w:rsidP="00F8771F">
            <w:pPr>
              <w:spacing w:line="360" w:lineRule="auto"/>
              <w:rPr>
                <w:rFonts w:ascii="Times New Roman" w:hAnsi="Times New Roman" w:cs="Times New Roman"/>
                <w:color w:val="000000" w:themeColor="text1"/>
              </w:rPr>
            </w:pPr>
            <w:r w:rsidRPr="00927F64">
              <w:rPr>
                <w:rFonts w:ascii="Times New Roman" w:hAnsi="Times New Roman" w:cs="Times New Roman"/>
                <w:bCs/>
                <w:color w:val="000000" w:themeColor="text1"/>
              </w:rPr>
              <w:t>CEC</w:t>
            </w:r>
          </w:p>
        </w:tc>
        <w:tc>
          <w:tcPr>
            <w:tcW w:w="990" w:type="dxa"/>
            <w:tcBorders>
              <w:left w:val="single" w:sz="4" w:space="0" w:color="auto"/>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-0.72**</w:t>
            </w:r>
          </w:p>
        </w:tc>
        <w:tc>
          <w:tcPr>
            <w:tcW w:w="990" w:type="dxa"/>
            <w:gridSpan w:val="2"/>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-0.28</w:t>
            </w:r>
            <w:r w:rsidRPr="00927F64">
              <w:rPr>
                <w:rFonts w:ascii="Times New Roman" w:hAnsi="Times New Roman" w:cs="Times New Roman"/>
                <w:color w:val="000000" w:themeColor="text1"/>
                <w:vertAlign w:val="superscript"/>
              </w:rPr>
              <w:t xml:space="preserve"> ns</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0.55</w:t>
            </w:r>
            <w:r w:rsidRPr="00927F64">
              <w:rPr>
                <w:rFonts w:ascii="Times New Roman" w:hAnsi="Times New Roman" w:cs="Times New Roman"/>
                <w:b/>
                <w:color w:val="000000" w:themeColor="text1"/>
              </w:rPr>
              <w:t>**</w:t>
            </w:r>
          </w:p>
        </w:tc>
        <w:tc>
          <w:tcPr>
            <w:tcW w:w="99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-0.30</w:t>
            </w:r>
          </w:p>
        </w:tc>
        <w:tc>
          <w:tcPr>
            <w:tcW w:w="99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0.66**</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0.63**</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0.51*</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0.35</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vertAlign w:val="superscript"/>
              </w:rPr>
            </w:pPr>
            <w:r w:rsidRPr="00927F64">
              <w:rPr>
                <w:rFonts w:ascii="Times New Roman" w:hAnsi="Times New Roman" w:cs="Times New Roman"/>
                <w:color w:val="000000" w:themeColor="text1"/>
              </w:rPr>
              <w:t>0.37</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0.47*</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0.76**</w:t>
            </w:r>
          </w:p>
        </w:tc>
        <w:tc>
          <w:tcPr>
            <w:tcW w:w="900" w:type="dxa"/>
            <w:tcBorders>
              <w:bottom w:val="single" w:sz="4" w:space="0" w:color="auto"/>
            </w:tcBorders>
          </w:tcPr>
          <w:p w:rsidR="00AB5D1D" w:rsidRPr="00927F64" w:rsidRDefault="00AB5D1D" w:rsidP="00F8771F">
            <w:pPr>
              <w:spacing w:after="100" w:line="360" w:lineRule="auto"/>
              <w:jc w:val="center"/>
              <w:rPr>
                <w:rFonts w:ascii="Times New Roman" w:hAnsi="Times New Roman" w:cs="Times New Roman"/>
                <w:color w:val="000000" w:themeColor="text1"/>
              </w:rPr>
            </w:pPr>
            <w:r w:rsidRPr="00927F64">
              <w:rPr>
                <w:rFonts w:ascii="Times New Roman" w:hAnsi="Times New Roman" w:cs="Times New Roman"/>
                <w:color w:val="000000" w:themeColor="text1"/>
              </w:rPr>
              <w:t>0.69**</w:t>
            </w:r>
          </w:p>
        </w:tc>
        <w:tc>
          <w:tcPr>
            <w:tcW w:w="900" w:type="dxa"/>
            <w:tcBorders>
              <w:bottom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0.83**</w:t>
            </w:r>
          </w:p>
        </w:tc>
        <w:tc>
          <w:tcPr>
            <w:tcW w:w="900" w:type="dxa"/>
            <w:tcBorders>
              <w:bottom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0.75**</w:t>
            </w:r>
          </w:p>
        </w:tc>
        <w:tc>
          <w:tcPr>
            <w:tcW w:w="720" w:type="dxa"/>
            <w:tcBorders>
              <w:bottom w:val="single" w:sz="4" w:space="0" w:color="auto"/>
              <w:right w:val="single" w:sz="4" w:space="0" w:color="auto"/>
            </w:tcBorders>
          </w:tcPr>
          <w:p w:rsidR="00AB5D1D" w:rsidRPr="00927F64" w:rsidRDefault="00AB5D1D" w:rsidP="00F8771F">
            <w:pPr>
              <w:spacing w:after="100" w:line="360" w:lineRule="auto"/>
              <w:rPr>
                <w:rFonts w:ascii="Times New Roman" w:hAnsi="Times New Roman" w:cs="Times New Roman"/>
                <w:color w:val="000000" w:themeColor="text1"/>
              </w:rPr>
            </w:pPr>
            <w:r w:rsidRPr="00927F64">
              <w:rPr>
                <w:rFonts w:ascii="Times New Roman" w:hAnsi="Times New Roman" w:cs="Times New Roman"/>
                <w:color w:val="000000" w:themeColor="text1"/>
              </w:rPr>
              <w:t>1.00</w:t>
            </w:r>
          </w:p>
        </w:tc>
      </w:tr>
    </w:tbl>
    <w:p w:rsidR="00474D49" w:rsidRPr="00927F64" w:rsidRDefault="007120E9" w:rsidP="00F8771F">
      <w:pPr>
        <w:pStyle w:val="Caption"/>
        <w:jc w:val="both"/>
        <w:rPr>
          <w:rFonts w:ascii="Times New Roman" w:hAnsi="Times New Roman" w:cs="Times New Roman"/>
          <w:b w:val="0"/>
          <w:color w:val="000000" w:themeColor="text1"/>
          <w:sz w:val="22"/>
          <w:szCs w:val="22"/>
        </w:rPr>
      </w:pPr>
      <w:bookmarkStart w:id="2" w:name="_Toc95630177"/>
      <w:bookmarkStart w:id="3" w:name="_Toc97797016"/>
      <w:r w:rsidRPr="00927F64">
        <w:rPr>
          <w:rFonts w:ascii="Times New Roman" w:hAnsi="Times New Roman" w:cs="Times New Roman"/>
          <w:b w:val="0"/>
          <w:color w:val="000000" w:themeColor="text1"/>
          <w:sz w:val="22"/>
          <w:szCs w:val="22"/>
        </w:rPr>
        <w:t>Table 5</w:t>
      </w:r>
      <w:r w:rsidR="00894BF4" w:rsidRPr="00927F64">
        <w:rPr>
          <w:rFonts w:ascii="Times New Roman" w:hAnsi="Times New Roman" w:cs="Times New Roman"/>
          <w:b w:val="0"/>
          <w:color w:val="000000" w:themeColor="text1"/>
          <w:sz w:val="22"/>
          <w:szCs w:val="22"/>
        </w:rPr>
        <w:t xml:space="preserve"> </w:t>
      </w:r>
      <w:r w:rsidR="00474D49" w:rsidRPr="00927F64">
        <w:rPr>
          <w:rFonts w:ascii="Times New Roman" w:hAnsi="Times New Roman" w:cs="Times New Roman"/>
          <w:b w:val="0"/>
          <w:color w:val="000000" w:themeColor="text1"/>
          <w:sz w:val="22"/>
          <w:szCs w:val="22"/>
        </w:rPr>
        <w:t>Pearson’s correlation coefficients (r) matrix among soil physicochemical parameters</w:t>
      </w:r>
      <w:bookmarkEnd w:id="2"/>
      <w:bookmarkEnd w:id="3"/>
      <w:r w:rsidR="00474D49" w:rsidRPr="00927F64">
        <w:rPr>
          <w:rFonts w:ascii="Times New Roman" w:hAnsi="Times New Roman" w:cs="Times New Roman"/>
          <w:b w:val="0"/>
          <w:color w:val="000000" w:themeColor="text1"/>
          <w:sz w:val="22"/>
          <w:szCs w:val="22"/>
        </w:rPr>
        <w:t xml:space="preserve"> </w:t>
      </w:r>
    </w:p>
    <w:p w:rsidR="00894BF4" w:rsidRPr="00927F64" w:rsidRDefault="00894BF4" w:rsidP="00F8771F">
      <w:pPr>
        <w:spacing w:after="0" w:line="360" w:lineRule="auto"/>
        <w:jc w:val="both"/>
        <w:rPr>
          <w:rFonts w:ascii="Times New Roman" w:hAnsi="Times New Roman" w:cs="Times New Roman"/>
          <w:i/>
          <w:color w:val="000000" w:themeColor="text1"/>
          <w:sz w:val="20"/>
          <w:szCs w:val="20"/>
        </w:rPr>
      </w:pPr>
      <w:r w:rsidRPr="00927F64">
        <w:rPr>
          <w:rFonts w:ascii="Times New Roman" w:hAnsi="Times New Roman" w:cs="Times New Roman"/>
          <w:i/>
          <w:color w:val="000000" w:themeColor="text1"/>
          <w:sz w:val="20"/>
          <w:szCs w:val="20"/>
        </w:rPr>
        <w:t>Correlation value followed by (**) are highly significant correlated with each other, Correlation value followed by (*) are significant correlated with each other and Correlation value followed by (ns) are not significant each other at (p&lt;0.05)</w:t>
      </w:r>
    </w:p>
    <w:p w:rsidR="005624B3" w:rsidRPr="00927F64" w:rsidRDefault="005624B3" w:rsidP="00F8771F">
      <w:pPr>
        <w:pStyle w:val="BodyText"/>
        <w:spacing w:line="360" w:lineRule="auto"/>
        <w:jc w:val="both"/>
        <w:rPr>
          <w:rFonts w:ascii="Times New Roman" w:hAnsi="Times New Roman" w:cs="Times New Roman"/>
          <w:b/>
          <w:color w:val="000000" w:themeColor="text1"/>
          <w:spacing w:val="-2"/>
          <w:w w:val="105"/>
          <w:sz w:val="22"/>
          <w:szCs w:val="22"/>
        </w:rPr>
        <w:sectPr w:rsidR="005624B3" w:rsidRPr="00927F64" w:rsidSect="004F4666">
          <w:type w:val="nextPage"/>
          <w:pgSz w:w="15840" w:h="12240" w:orient="landscape"/>
          <w:pgMar w:top="1440" w:right="1440" w:bottom="1440" w:left="1440" w:header="720" w:footer="720" w:gutter="0"/>
          <w:pgNumType w:start="1"/>
          <w:cols w:space="720"/>
          <w:docGrid w:linePitch="360"/>
        </w:sectPr>
      </w:pPr>
    </w:p>
    <w:p w:rsidR="00AD3C90" w:rsidRPr="00927F64" w:rsidRDefault="004B36C1" w:rsidP="00F8771F">
      <w:pPr>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4</w:t>
      </w:r>
      <w:r w:rsidR="00AD3C90" w:rsidRPr="00927F64">
        <w:rPr>
          <w:rFonts w:ascii="Times New Roman" w:hAnsi="Times New Roman" w:cs="Times New Roman"/>
          <w:b/>
          <w:color w:val="000000" w:themeColor="text1"/>
        </w:rPr>
        <w:t xml:space="preserve">. Conclusions </w:t>
      </w:r>
    </w:p>
    <w:p w:rsidR="00A95C40" w:rsidRDefault="00A95C40" w:rsidP="00F8771F">
      <w:pPr>
        <w:pStyle w:val="BodyText"/>
        <w:spacing w:line="360" w:lineRule="auto"/>
        <w:ind w:left="111"/>
        <w:jc w:val="both"/>
        <w:rPr>
          <w:rFonts w:ascii="Times New Roman" w:hAnsi="Times New Roman" w:cs="Times New Roman"/>
          <w:b/>
          <w:color w:val="000000" w:themeColor="text1"/>
          <w:spacing w:val="-2"/>
          <w:w w:val="105"/>
          <w:sz w:val="22"/>
          <w:szCs w:val="22"/>
        </w:rPr>
      </w:pPr>
      <w:r w:rsidRPr="00927F64">
        <w:rPr>
          <w:rFonts w:ascii="Times New Roman" w:hAnsi="Times New Roman" w:cs="Times New Roman"/>
          <w:color w:val="000000" w:themeColor="text1"/>
          <w:sz w:val="22"/>
          <w:szCs w:val="22"/>
        </w:rPr>
        <w:t>The study clearly shows that both land use types and soil depth play a major role in shaping soil properties and fertility. Natural forests had more clay, which helps the soil hold water and nutrients while maintaining a stable structure, whereas cultivated and grazing lands had higher sand content due to frequent disturbance and erosion. Soil pH was generally higher in natural forests but lower in Eucalyptus plantations, likely influenced by organic matter buildup, leaching of essential cations, and nutrient uptake by plants. Similarly, soil organic carbon (SOC) and total nitrogen (TN) were much higher in natural forests because of consistent litter</w:t>
      </w:r>
      <w:r w:rsidR="00626310" w:rsidRPr="00927F64">
        <w:rPr>
          <w:rFonts w:ascii="Times New Roman" w:hAnsi="Times New Roman" w:cs="Times New Roman"/>
          <w:color w:val="000000" w:themeColor="text1"/>
          <w:sz w:val="22"/>
          <w:szCs w:val="22"/>
        </w:rPr>
        <w:t xml:space="preserve"> </w:t>
      </w:r>
      <w:r w:rsidRPr="00927F64">
        <w:rPr>
          <w:rFonts w:ascii="Times New Roman" w:hAnsi="Times New Roman" w:cs="Times New Roman"/>
          <w:color w:val="000000" w:themeColor="text1"/>
          <w:sz w:val="22"/>
          <w:szCs w:val="22"/>
        </w:rPr>
        <w:t xml:space="preserve">fall, minimal soil disturbance, and reduced erosion, while cultivated and grazing lands showed lower levels due to intensive farming, residue removal, and faster organic matter decomposition. Available phosphorus (AvP) followed the same pattern, being highest in forest soils and surface layers, but lower in grazed and plantation lands where nutrients are removed or soil is compacted. Exchangeable bases (Ca²⁺, Mg²⁺, K⁺, </w:t>
      </w:r>
      <w:proofErr w:type="gramStart"/>
      <w:r w:rsidRPr="00927F64">
        <w:rPr>
          <w:rFonts w:ascii="Times New Roman" w:hAnsi="Times New Roman" w:cs="Times New Roman"/>
          <w:color w:val="000000" w:themeColor="text1"/>
          <w:sz w:val="22"/>
          <w:szCs w:val="22"/>
        </w:rPr>
        <w:t>Na</w:t>
      </w:r>
      <w:proofErr w:type="gramEnd"/>
      <w:r w:rsidRPr="00927F64">
        <w:rPr>
          <w:rFonts w:ascii="Times New Roman" w:hAnsi="Times New Roman" w:cs="Times New Roman"/>
          <w:color w:val="000000" w:themeColor="text1"/>
          <w:sz w:val="22"/>
          <w:szCs w:val="22"/>
        </w:rPr>
        <w:t>⁺) and cation exchange capacity (CEC) were also most abundant in natural forests, reflecting the combined influence of higher clay, SOC, and pH, while other land uses had lower values due to nutrient depletion. Correlation analysis further con</w:t>
      </w:r>
      <w:r w:rsidR="00330765" w:rsidRPr="00927F64">
        <w:rPr>
          <w:rFonts w:ascii="Times New Roman" w:hAnsi="Times New Roman" w:cs="Times New Roman"/>
          <w:color w:val="000000" w:themeColor="text1"/>
          <w:sz w:val="22"/>
          <w:szCs w:val="22"/>
        </w:rPr>
        <w:t xml:space="preserve">firmed that key soil properties </w:t>
      </w:r>
      <w:r w:rsidRPr="00927F64">
        <w:rPr>
          <w:rFonts w:ascii="Times New Roman" w:hAnsi="Times New Roman" w:cs="Times New Roman"/>
          <w:color w:val="000000" w:themeColor="text1"/>
          <w:sz w:val="22"/>
          <w:szCs w:val="22"/>
        </w:rPr>
        <w:t>clay, SOC, TN, AvP, exchangeable base</w:t>
      </w:r>
      <w:r w:rsidR="00330765" w:rsidRPr="00927F64">
        <w:rPr>
          <w:rFonts w:ascii="Times New Roman" w:hAnsi="Times New Roman" w:cs="Times New Roman"/>
          <w:color w:val="000000" w:themeColor="text1"/>
          <w:sz w:val="22"/>
          <w:szCs w:val="22"/>
        </w:rPr>
        <w:t xml:space="preserve">s, pH, and CEC </w:t>
      </w:r>
      <w:r w:rsidRPr="00927F64">
        <w:rPr>
          <w:rFonts w:ascii="Times New Roman" w:hAnsi="Times New Roman" w:cs="Times New Roman"/>
          <w:color w:val="000000" w:themeColor="text1"/>
          <w:sz w:val="22"/>
          <w:szCs w:val="22"/>
        </w:rPr>
        <w:t>are strongly interconnected, whereas bulk density, sand, and silt tend to have a negative impact. Overall, the findings highlight that natural forests sustain better soil fertility, nutrient cycling, and structural stability, whereas intensive cultivation, overgrazing, and eucalyptus plantations can lead to soil degradation. This emphasizes the importance of adopting sustainable land management practices, including organic amendments, residue retention, and lime application, to maintain soil health and improve productivity across different land uses.</w:t>
      </w:r>
      <w:r w:rsidRPr="00927F64">
        <w:rPr>
          <w:rFonts w:ascii="Times New Roman" w:hAnsi="Times New Roman" w:cs="Times New Roman"/>
          <w:b/>
          <w:color w:val="000000" w:themeColor="text1"/>
          <w:spacing w:val="-2"/>
          <w:w w:val="105"/>
          <w:sz w:val="22"/>
          <w:szCs w:val="22"/>
        </w:rPr>
        <w:t xml:space="preserve"> </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Author Contribution Statement</w:t>
      </w:r>
    </w:p>
    <w:p w:rsidR="002144C0" w:rsidRPr="002144C0" w:rsidRDefault="002144C0" w:rsidP="002144C0">
      <w:pPr>
        <w:numPr>
          <w:ilvl w:val="0"/>
          <w:numId w:val="8"/>
        </w:num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b/>
          <w:bCs/>
        </w:rPr>
        <w:t>Abebe Amare Kassie:</w:t>
      </w:r>
      <w:r w:rsidRPr="002144C0">
        <w:rPr>
          <w:rFonts w:ascii="Times New Roman" w:eastAsia="Times New Roman" w:hAnsi="Times New Roman" w:cs="Times New Roman"/>
        </w:rPr>
        <w:t xml:space="preserve"> Designed and carried out the experiments, analyzed the data, interpreted the results, and wrote the manuscript.</w:t>
      </w:r>
    </w:p>
    <w:p w:rsidR="002144C0" w:rsidRPr="00FA668C" w:rsidRDefault="002144C0" w:rsidP="00FA668C">
      <w:pPr>
        <w:numPr>
          <w:ilvl w:val="0"/>
          <w:numId w:val="8"/>
        </w:numPr>
        <w:spacing w:after="0" w:line="360" w:lineRule="auto"/>
        <w:jc w:val="both"/>
        <w:rPr>
          <w:rFonts w:ascii="Times New Roman" w:eastAsia="Times New Roman" w:hAnsi="Times New Roman" w:cs="Times New Roman"/>
        </w:rPr>
      </w:pPr>
      <w:proofErr w:type="spellStart"/>
      <w:r w:rsidRPr="00FA668C">
        <w:rPr>
          <w:rFonts w:ascii="Times New Roman" w:eastAsia="Times New Roman" w:hAnsi="Times New Roman" w:cs="Times New Roman"/>
          <w:b/>
          <w:bCs/>
        </w:rPr>
        <w:t>Tilahun</w:t>
      </w:r>
      <w:proofErr w:type="spellEnd"/>
      <w:r w:rsidRPr="00FA668C">
        <w:rPr>
          <w:rFonts w:ascii="Times New Roman" w:eastAsia="Times New Roman" w:hAnsi="Times New Roman" w:cs="Times New Roman"/>
          <w:b/>
          <w:bCs/>
        </w:rPr>
        <w:t xml:space="preserve"> </w:t>
      </w:r>
      <w:proofErr w:type="spellStart"/>
      <w:r w:rsidRPr="00FA668C">
        <w:rPr>
          <w:rFonts w:ascii="Times New Roman" w:eastAsia="Times New Roman" w:hAnsi="Times New Roman" w:cs="Times New Roman"/>
          <w:b/>
          <w:bCs/>
        </w:rPr>
        <w:t>Tsegaye</w:t>
      </w:r>
      <w:proofErr w:type="spellEnd"/>
      <w:r w:rsidRPr="00FA668C">
        <w:rPr>
          <w:rFonts w:ascii="Times New Roman" w:eastAsia="Times New Roman" w:hAnsi="Times New Roman" w:cs="Times New Roman"/>
          <w:b/>
          <w:bCs/>
        </w:rPr>
        <w:t xml:space="preserve"> </w:t>
      </w:r>
      <w:proofErr w:type="spellStart"/>
      <w:r w:rsidRPr="00FA668C">
        <w:rPr>
          <w:rFonts w:ascii="Times New Roman" w:eastAsia="Times New Roman" w:hAnsi="Times New Roman" w:cs="Times New Roman"/>
          <w:b/>
          <w:bCs/>
        </w:rPr>
        <w:t>Arega</w:t>
      </w:r>
      <w:proofErr w:type="spellEnd"/>
      <w:r w:rsidRPr="00FA668C">
        <w:rPr>
          <w:rFonts w:ascii="Times New Roman" w:eastAsia="Times New Roman" w:hAnsi="Times New Roman" w:cs="Times New Roman"/>
          <w:b/>
          <w:bCs/>
        </w:rPr>
        <w:t>:</w:t>
      </w:r>
      <w:r w:rsidRPr="00FA668C">
        <w:rPr>
          <w:rFonts w:ascii="Times New Roman" w:eastAsia="Times New Roman" w:hAnsi="Times New Roman" w:cs="Times New Roman"/>
        </w:rPr>
        <w:t xml:space="preserve"> Contributed to study design, data interpretation, and manuscript writing.</w:t>
      </w:r>
    </w:p>
    <w:p w:rsidR="002144C0" w:rsidRPr="00FA668C" w:rsidRDefault="002144C0" w:rsidP="00FA668C">
      <w:pPr>
        <w:numPr>
          <w:ilvl w:val="0"/>
          <w:numId w:val="8"/>
        </w:numPr>
        <w:spacing w:after="0" w:line="360" w:lineRule="auto"/>
        <w:jc w:val="both"/>
        <w:rPr>
          <w:rFonts w:ascii="Times New Roman" w:eastAsia="Times New Roman" w:hAnsi="Times New Roman" w:cs="Times New Roman"/>
        </w:rPr>
      </w:pPr>
      <w:r w:rsidRPr="00FA668C">
        <w:rPr>
          <w:rFonts w:ascii="Times New Roman" w:eastAsia="Times New Roman" w:hAnsi="Times New Roman" w:cs="Times New Roman"/>
          <w:b/>
          <w:bCs/>
        </w:rPr>
        <w:t>Yalew Asnake Sisay:</w:t>
      </w:r>
      <w:r w:rsidRPr="00FA668C">
        <w:rPr>
          <w:rFonts w:ascii="Times New Roman" w:eastAsia="Times New Roman" w:hAnsi="Times New Roman" w:cs="Times New Roman"/>
        </w:rPr>
        <w:t xml:space="preserve"> Participated in data analysis, interpretation, and manuscript composition.</w:t>
      </w:r>
    </w:p>
    <w:p w:rsidR="00FA668C" w:rsidRPr="00FA668C" w:rsidRDefault="00FA668C" w:rsidP="00FA668C">
      <w:pPr>
        <w:pStyle w:val="Heading3"/>
        <w:spacing w:before="0" w:beforeAutospacing="0" w:after="0" w:afterAutospacing="0" w:line="360" w:lineRule="auto"/>
        <w:jc w:val="both"/>
        <w:rPr>
          <w:sz w:val="22"/>
          <w:szCs w:val="22"/>
        </w:rPr>
      </w:pPr>
      <w:r w:rsidRPr="00FA668C">
        <w:rPr>
          <w:rStyle w:val="Strong"/>
          <w:b/>
          <w:bCs/>
          <w:sz w:val="22"/>
          <w:szCs w:val="22"/>
        </w:rPr>
        <w:t>Acknowledgment</w:t>
      </w:r>
    </w:p>
    <w:p w:rsidR="00FA668C" w:rsidRPr="00FA668C" w:rsidRDefault="00FA668C" w:rsidP="00FA668C">
      <w:pPr>
        <w:pStyle w:val="NormalWeb"/>
        <w:spacing w:before="0" w:beforeAutospacing="0" w:after="0" w:afterAutospacing="0" w:line="360" w:lineRule="auto"/>
        <w:jc w:val="both"/>
        <w:rPr>
          <w:sz w:val="22"/>
          <w:szCs w:val="22"/>
        </w:rPr>
      </w:pPr>
      <w:r w:rsidRPr="00FA668C">
        <w:rPr>
          <w:sz w:val="22"/>
          <w:szCs w:val="22"/>
        </w:rPr>
        <w:t xml:space="preserve">I would like to express my sincere appreciation to </w:t>
      </w:r>
      <w:proofErr w:type="spellStart"/>
      <w:r w:rsidRPr="00FA668C">
        <w:rPr>
          <w:rStyle w:val="Strong"/>
          <w:sz w:val="22"/>
          <w:szCs w:val="22"/>
        </w:rPr>
        <w:t>Zewude</w:t>
      </w:r>
      <w:proofErr w:type="spellEnd"/>
      <w:r w:rsidRPr="00FA668C">
        <w:rPr>
          <w:rStyle w:val="Strong"/>
          <w:sz w:val="22"/>
          <w:szCs w:val="22"/>
        </w:rPr>
        <w:t xml:space="preserve"> </w:t>
      </w:r>
      <w:proofErr w:type="spellStart"/>
      <w:r w:rsidRPr="00FA668C">
        <w:rPr>
          <w:rStyle w:val="Strong"/>
          <w:sz w:val="22"/>
          <w:szCs w:val="22"/>
        </w:rPr>
        <w:t>Alemayehu</w:t>
      </w:r>
      <w:proofErr w:type="spellEnd"/>
      <w:r w:rsidRPr="00FA668C">
        <w:rPr>
          <w:sz w:val="22"/>
          <w:szCs w:val="22"/>
        </w:rPr>
        <w:t xml:space="preserve"> for the invaluable support, commitment, and assistance provided throughout the entire process of data collection and up to the preparation of this manuscript. His/her contribution was instrumental to the successful completion of this work.</w:t>
      </w:r>
    </w:p>
    <w:p w:rsidR="00FA668C" w:rsidRPr="0082142C" w:rsidRDefault="00FA668C" w:rsidP="0082142C">
      <w:pPr>
        <w:pStyle w:val="NormalWeb"/>
        <w:spacing w:before="0" w:beforeAutospacing="0" w:after="0" w:afterAutospacing="0" w:line="360" w:lineRule="auto"/>
        <w:jc w:val="both"/>
        <w:rPr>
          <w:sz w:val="22"/>
          <w:szCs w:val="22"/>
        </w:rPr>
      </w:pPr>
      <w:r w:rsidRPr="00FA668C">
        <w:rPr>
          <w:sz w:val="22"/>
          <w:szCs w:val="22"/>
        </w:rPr>
        <w:lastRenderedPageBreak/>
        <w:t xml:space="preserve">I am also deeply grateful to the </w:t>
      </w:r>
      <w:r w:rsidRPr="00FA668C">
        <w:rPr>
          <w:rStyle w:val="Strong"/>
          <w:sz w:val="22"/>
          <w:szCs w:val="22"/>
        </w:rPr>
        <w:t>staff of the Haramaya University Soil Laboratory</w:t>
      </w:r>
      <w:r w:rsidRPr="00FA668C">
        <w:rPr>
          <w:sz w:val="22"/>
          <w:szCs w:val="22"/>
        </w:rPr>
        <w:t xml:space="preserve"> for their technical assistance, professional guidance, and provision of laboratory facilities during soil sample analysis. Their cooperation and expertise greatly contributed to the accuracy and reliabilit</w:t>
      </w:r>
      <w:r w:rsidR="0082142C">
        <w:rPr>
          <w:sz w:val="22"/>
          <w:szCs w:val="22"/>
        </w:rPr>
        <w:t>y of the results of this study.</w:t>
      </w:r>
    </w:p>
    <w:p w:rsidR="002144C0" w:rsidRPr="00FA668C" w:rsidRDefault="002144C0" w:rsidP="00FA668C">
      <w:pPr>
        <w:spacing w:after="0" w:line="360" w:lineRule="auto"/>
        <w:jc w:val="both"/>
        <w:outlineLvl w:val="3"/>
        <w:rPr>
          <w:rFonts w:ascii="Times New Roman" w:eastAsia="Times New Roman" w:hAnsi="Times New Roman" w:cs="Times New Roman"/>
          <w:b/>
          <w:bCs/>
        </w:rPr>
      </w:pPr>
      <w:r w:rsidRPr="00FA668C">
        <w:rPr>
          <w:rFonts w:ascii="Times New Roman" w:eastAsia="Times New Roman" w:hAnsi="Times New Roman" w:cs="Times New Roman"/>
          <w:b/>
          <w:bCs/>
        </w:rPr>
        <w:t>Funding Statement</w:t>
      </w:r>
    </w:p>
    <w:p w:rsidR="002144C0" w:rsidRPr="002144C0" w:rsidRDefault="002144C0" w:rsidP="002144C0">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The authors declare that no financial support was received for conducting this research.</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Data Availability Statement</w:t>
      </w:r>
    </w:p>
    <w:p w:rsidR="002144C0" w:rsidRPr="002144C0" w:rsidRDefault="002144C0" w:rsidP="002144C0">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The data used to support the findings of this study are available from the corresponding author upon reasonable request. The dataset is not publicly accessible due to confidentiality considerations.</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Ethics Statement</w:t>
      </w:r>
    </w:p>
    <w:p w:rsidR="002144C0" w:rsidRPr="002144C0" w:rsidRDefault="002144C0" w:rsidP="002144C0">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This study was conducted in line with institutional and nation</w:t>
      </w:r>
      <w:r w:rsidR="000A352C">
        <w:rPr>
          <w:rFonts w:ascii="Times New Roman" w:eastAsia="Times New Roman" w:hAnsi="Times New Roman" w:cs="Times New Roman"/>
        </w:rPr>
        <w:t>al ethical research guidelines.</w:t>
      </w:r>
    </w:p>
    <w:p w:rsidR="002144C0" w:rsidRPr="002144C0" w:rsidRDefault="002144C0" w:rsidP="002144C0">
      <w:pPr>
        <w:spacing w:after="0" w:line="360" w:lineRule="auto"/>
        <w:jc w:val="both"/>
        <w:outlineLvl w:val="3"/>
        <w:rPr>
          <w:rFonts w:ascii="Times New Roman" w:eastAsia="Times New Roman" w:hAnsi="Times New Roman" w:cs="Times New Roman"/>
          <w:b/>
          <w:bCs/>
        </w:rPr>
      </w:pPr>
      <w:r w:rsidRPr="002144C0">
        <w:rPr>
          <w:rFonts w:ascii="Times New Roman" w:eastAsia="Times New Roman" w:hAnsi="Times New Roman" w:cs="Times New Roman"/>
          <w:b/>
          <w:bCs/>
        </w:rPr>
        <w:t>Declaration of Competing Interest</w:t>
      </w:r>
    </w:p>
    <w:p w:rsidR="002144C0" w:rsidRPr="0082142C" w:rsidRDefault="002144C0" w:rsidP="0082142C">
      <w:pPr>
        <w:spacing w:after="0" w:line="360" w:lineRule="auto"/>
        <w:jc w:val="both"/>
        <w:rPr>
          <w:rFonts w:ascii="Times New Roman" w:eastAsia="Times New Roman" w:hAnsi="Times New Roman" w:cs="Times New Roman"/>
        </w:rPr>
      </w:pPr>
      <w:r w:rsidRPr="002144C0">
        <w:rPr>
          <w:rFonts w:ascii="Times New Roman" w:eastAsia="Times New Roman" w:hAnsi="Times New Roman" w:cs="Times New Roman"/>
        </w:rPr>
        <w:t>The authors declare no known competing financial interests or personal relationships that could have influenced t</w:t>
      </w:r>
      <w:r w:rsidR="0082142C">
        <w:rPr>
          <w:rFonts w:ascii="Times New Roman" w:eastAsia="Times New Roman" w:hAnsi="Times New Roman" w:cs="Times New Roman"/>
        </w:rPr>
        <w:t>he work reported in this paper.</w:t>
      </w:r>
    </w:p>
    <w:p w:rsidR="00AE6B31" w:rsidRPr="00927F64" w:rsidRDefault="00AE6B31" w:rsidP="00F8771F">
      <w:pPr>
        <w:spacing w:after="0" w:line="360" w:lineRule="auto"/>
        <w:jc w:val="center"/>
        <w:rPr>
          <w:rFonts w:ascii="Times New Roman" w:hAnsi="Times New Roman" w:cs="Times New Roman"/>
          <w:b/>
          <w:color w:val="000000" w:themeColor="text1"/>
        </w:rPr>
      </w:pPr>
      <w:r w:rsidRPr="00927F64">
        <w:rPr>
          <w:rFonts w:ascii="Times New Roman" w:hAnsi="Times New Roman" w:cs="Times New Roman"/>
          <w:b/>
          <w:color w:val="000000" w:themeColor="text1"/>
        </w:rPr>
        <w:t>Reference</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Agegnehu</w:t>
      </w:r>
      <w:proofErr w:type="spellEnd"/>
      <w:r w:rsidRPr="00A53914">
        <w:rPr>
          <w:sz w:val="22"/>
          <w:szCs w:val="22"/>
        </w:rPr>
        <w:t xml:space="preserve">, G., et al. (2013). </w:t>
      </w:r>
      <w:proofErr w:type="gramStart"/>
      <w:r w:rsidRPr="00A53914">
        <w:rPr>
          <w:sz w:val="22"/>
          <w:szCs w:val="22"/>
        </w:rPr>
        <w:t>Soil degradation and management strategies in Ethiopia.</w:t>
      </w:r>
      <w:proofErr w:type="gramEnd"/>
      <w:r w:rsidRPr="00A53914">
        <w:rPr>
          <w:sz w:val="22"/>
          <w:szCs w:val="22"/>
        </w:rPr>
        <w:t xml:space="preserve"> African Journal of Agricultural Research, 8(30), 3991-4002. </w:t>
      </w:r>
      <w:hyperlink r:id="rId10" w:history="1">
        <w:r w:rsidRPr="00A53914">
          <w:rPr>
            <w:rStyle w:val="Hyperlink"/>
            <w:sz w:val="22"/>
            <w:szCs w:val="22"/>
          </w:rPr>
          <w:t>https://doi.org/10.5897/AJAR12.1523</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Agidew</w:t>
      </w:r>
      <w:proofErr w:type="spellEnd"/>
      <w:r w:rsidRPr="00A53914">
        <w:rPr>
          <w:sz w:val="22"/>
          <w:szCs w:val="22"/>
        </w:rPr>
        <w:t>, A., &amp; Singh, B. (2018).</w:t>
      </w:r>
      <w:proofErr w:type="gramEnd"/>
      <w:r w:rsidRPr="00A53914">
        <w:rPr>
          <w:sz w:val="22"/>
          <w:szCs w:val="22"/>
        </w:rPr>
        <w:t xml:space="preserve"> Soil degradation trends in East Africa. Journal of Environmental Management, 206, 1086-1097. </w:t>
      </w:r>
      <w:hyperlink r:id="rId11" w:history="1">
        <w:r w:rsidRPr="00A53914">
          <w:rPr>
            <w:rStyle w:val="Hyperlink"/>
            <w:sz w:val="22"/>
            <w:szCs w:val="22"/>
          </w:rPr>
          <w:t>https://doi.org/10.1016/j.jenvman.2017.10.012</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Anderson, J.M., &amp; Ingram, J.S.I. (1993).</w:t>
      </w:r>
      <w:proofErr w:type="gramEnd"/>
      <w:r w:rsidRPr="00A53914">
        <w:rPr>
          <w:sz w:val="22"/>
          <w:szCs w:val="22"/>
        </w:rPr>
        <w:t xml:space="preserve"> Tropical Soil Biology and Fertility: A Handbook of Methods. CAB International. ISBN: 9780851986861</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Annan-</w:t>
      </w:r>
      <w:proofErr w:type="spellStart"/>
      <w:r w:rsidRPr="00A53914">
        <w:rPr>
          <w:sz w:val="22"/>
          <w:szCs w:val="22"/>
        </w:rPr>
        <w:t>Afful</w:t>
      </w:r>
      <w:proofErr w:type="spellEnd"/>
      <w:r w:rsidRPr="00A53914">
        <w:rPr>
          <w:sz w:val="22"/>
          <w:szCs w:val="22"/>
        </w:rPr>
        <w:t>, E., et al. (2005).</w:t>
      </w:r>
      <w:proofErr w:type="gramEnd"/>
      <w:r w:rsidRPr="00A53914">
        <w:rPr>
          <w:sz w:val="22"/>
          <w:szCs w:val="22"/>
        </w:rPr>
        <w:t xml:space="preserve"> Land use and soil property changes. Soil &amp; Tillage Research, 82(1), 29-40. </w:t>
      </w:r>
      <w:hyperlink r:id="rId12" w:history="1">
        <w:r w:rsidRPr="00A53914">
          <w:rPr>
            <w:rStyle w:val="Hyperlink"/>
            <w:sz w:val="22"/>
            <w:szCs w:val="22"/>
          </w:rPr>
          <w:t>https://doi.org/10.1016/j.still.2004.06.001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Assefa, M., et al. (2020).</w:t>
      </w:r>
      <w:proofErr w:type="gramEnd"/>
      <w:r w:rsidRPr="00A53914">
        <w:rPr>
          <w:sz w:val="22"/>
          <w:szCs w:val="22"/>
        </w:rPr>
        <w:t xml:space="preserve"> Soil moisture dynamics under land use types. Soil &amp; Water Research, 15(2), 87–99. </w:t>
      </w:r>
      <w:hyperlink r:id="rId13" w:history="1">
        <w:r w:rsidRPr="00A53914">
          <w:rPr>
            <w:rStyle w:val="Hyperlink"/>
            <w:sz w:val="22"/>
            <w:szCs w:val="22"/>
          </w:rPr>
          <w:t>https://doi.org/10.17221/123/2020-SWR</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Ayoubi</w:t>
      </w:r>
      <w:proofErr w:type="spellEnd"/>
      <w:r w:rsidRPr="00A53914">
        <w:rPr>
          <w:sz w:val="22"/>
          <w:szCs w:val="22"/>
        </w:rPr>
        <w:t xml:space="preserve">, S., &amp; </w:t>
      </w:r>
      <w:proofErr w:type="spellStart"/>
      <w:r w:rsidRPr="00A53914">
        <w:rPr>
          <w:sz w:val="22"/>
          <w:szCs w:val="22"/>
        </w:rPr>
        <w:t>Moazzeni</w:t>
      </w:r>
      <w:proofErr w:type="spellEnd"/>
      <w:r w:rsidRPr="00A53914">
        <w:rPr>
          <w:sz w:val="22"/>
          <w:szCs w:val="22"/>
        </w:rPr>
        <w:t xml:space="preserve"> </w:t>
      </w:r>
      <w:proofErr w:type="spellStart"/>
      <w:r w:rsidRPr="00A53914">
        <w:rPr>
          <w:sz w:val="22"/>
          <w:szCs w:val="22"/>
        </w:rPr>
        <w:t>Dehaghani</w:t>
      </w:r>
      <w:proofErr w:type="spellEnd"/>
      <w:r w:rsidRPr="00A53914">
        <w:rPr>
          <w:sz w:val="22"/>
          <w:szCs w:val="22"/>
        </w:rPr>
        <w:t>, A. (2020).</w:t>
      </w:r>
      <w:proofErr w:type="gramEnd"/>
      <w:r w:rsidRPr="00A53914">
        <w:rPr>
          <w:sz w:val="22"/>
          <w:szCs w:val="22"/>
        </w:rPr>
        <w:t xml:space="preserve"> Land use and soil property interactions. </w:t>
      </w:r>
      <w:proofErr w:type="spellStart"/>
      <w:proofErr w:type="gramStart"/>
      <w:r w:rsidRPr="00A53914">
        <w:rPr>
          <w:sz w:val="22"/>
          <w:szCs w:val="22"/>
        </w:rPr>
        <w:t>Geoderma</w:t>
      </w:r>
      <w:proofErr w:type="spellEnd"/>
      <w:r w:rsidRPr="00A53914">
        <w:rPr>
          <w:sz w:val="22"/>
          <w:szCs w:val="22"/>
        </w:rPr>
        <w:t>, 377, 114570.</w:t>
      </w:r>
      <w:proofErr w:type="gramEnd"/>
      <w:r w:rsidRPr="00A53914">
        <w:rPr>
          <w:sz w:val="22"/>
          <w:szCs w:val="22"/>
        </w:rPr>
        <w:t xml:space="preserve"> </w:t>
      </w:r>
      <w:hyperlink r:id="rId14" w:history="1">
        <w:r w:rsidRPr="00A53914">
          <w:rPr>
            <w:rStyle w:val="Hyperlink"/>
            <w:sz w:val="22"/>
            <w:szCs w:val="22"/>
          </w:rPr>
          <w:t>https://doi.org/10.1016/j.geoderma.2020.114570</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Bekele, M., et al. (2021).</w:t>
      </w:r>
      <w:proofErr w:type="gramEnd"/>
      <w:r w:rsidRPr="00A53914">
        <w:rPr>
          <w:sz w:val="22"/>
          <w:szCs w:val="22"/>
        </w:rPr>
        <w:t xml:space="preserve"> </w:t>
      </w:r>
      <w:proofErr w:type="gramStart"/>
      <w:r w:rsidRPr="00A53914">
        <w:rPr>
          <w:sz w:val="22"/>
          <w:szCs w:val="22"/>
        </w:rPr>
        <w:t>Forest conversion and soil degradation in Ethiopia.</w:t>
      </w:r>
      <w:proofErr w:type="gramEnd"/>
      <w:r w:rsidRPr="00A53914">
        <w:rPr>
          <w:sz w:val="22"/>
          <w:szCs w:val="22"/>
        </w:rPr>
        <w:t xml:space="preserve"> </w:t>
      </w:r>
      <w:proofErr w:type="gramStart"/>
      <w:r w:rsidRPr="00A53914">
        <w:rPr>
          <w:sz w:val="22"/>
          <w:szCs w:val="22"/>
        </w:rPr>
        <w:t>Forest Ecology and Management, 479, 118563.</w:t>
      </w:r>
      <w:proofErr w:type="gramEnd"/>
      <w:r w:rsidRPr="00A53914">
        <w:rPr>
          <w:sz w:val="22"/>
          <w:szCs w:val="22"/>
        </w:rPr>
        <w:t xml:space="preserve"> </w:t>
      </w:r>
      <w:hyperlink r:id="rId15" w:history="1">
        <w:r w:rsidRPr="00A53914">
          <w:rPr>
            <w:rStyle w:val="Hyperlink"/>
            <w:sz w:val="22"/>
            <w:szCs w:val="22"/>
          </w:rPr>
          <w:t>https://doi.org/10.1016/j.foreco.2020.118563</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Belay, A., et al. (2023). </w:t>
      </w:r>
      <w:proofErr w:type="gramStart"/>
      <w:r w:rsidRPr="00A53914">
        <w:rPr>
          <w:sz w:val="22"/>
          <w:szCs w:val="22"/>
        </w:rPr>
        <w:t>Effects of land use on soil chemical properties in Ethiopia.</w:t>
      </w:r>
      <w:proofErr w:type="gramEnd"/>
      <w:r w:rsidRPr="00A53914">
        <w:rPr>
          <w:sz w:val="22"/>
          <w:szCs w:val="22"/>
        </w:rPr>
        <w:t xml:space="preserve"> Soil Science, 188(1), 22–33. </w:t>
      </w:r>
      <w:hyperlink r:id="rId16" w:history="1">
        <w:r w:rsidRPr="00A53914">
          <w:rPr>
            <w:rStyle w:val="Hyperlink"/>
            <w:sz w:val="22"/>
            <w:szCs w:val="22"/>
          </w:rPr>
          <w:t>https://doi.org/10.1097/SS.0000000000001234</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Chapman, H.D. (1965). </w:t>
      </w:r>
      <w:proofErr w:type="gramStart"/>
      <w:r w:rsidRPr="00A53914">
        <w:rPr>
          <w:sz w:val="22"/>
          <w:szCs w:val="22"/>
        </w:rPr>
        <w:t>Cation exchange capacity determination.</w:t>
      </w:r>
      <w:proofErr w:type="gramEnd"/>
      <w:r w:rsidRPr="00A53914">
        <w:rPr>
          <w:sz w:val="22"/>
          <w:szCs w:val="22"/>
        </w:rPr>
        <w:t xml:space="preserve"> Methods of Soil Analysis, Part 2, 891–901.</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Day, P.R. (1965). </w:t>
      </w:r>
      <w:proofErr w:type="gramStart"/>
      <w:r w:rsidRPr="00A53914">
        <w:rPr>
          <w:sz w:val="22"/>
          <w:szCs w:val="22"/>
        </w:rPr>
        <w:t>Particle fractionation and particle-size analysis.</w:t>
      </w:r>
      <w:proofErr w:type="gramEnd"/>
      <w:r w:rsidRPr="00A53914">
        <w:rPr>
          <w:sz w:val="22"/>
          <w:szCs w:val="22"/>
        </w:rPr>
        <w:t xml:space="preserve"> Methods of Soil Analysis, Part 1. </w:t>
      </w:r>
      <w:proofErr w:type="gramStart"/>
      <w:r w:rsidRPr="00A53914">
        <w:rPr>
          <w:sz w:val="22"/>
          <w:szCs w:val="22"/>
        </w:rPr>
        <w:t>American Society of Agronomy, Madison, WI.</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lastRenderedPageBreak/>
        <w:t xml:space="preserve">Elias, E., et al. (2019). </w:t>
      </w:r>
      <w:proofErr w:type="gramStart"/>
      <w:r w:rsidRPr="00A53914">
        <w:rPr>
          <w:sz w:val="22"/>
          <w:szCs w:val="22"/>
        </w:rPr>
        <w:t>Soil erosion and nutrient loss in cultivated lands.</w:t>
      </w:r>
      <w:proofErr w:type="gramEnd"/>
      <w:r w:rsidRPr="00A53914">
        <w:rPr>
          <w:sz w:val="22"/>
          <w:szCs w:val="22"/>
        </w:rPr>
        <w:t xml:space="preserve"> Catena, 174, 529-538. </w:t>
      </w:r>
      <w:hyperlink r:id="rId17" w:history="1">
        <w:r w:rsidRPr="00A53914">
          <w:rPr>
            <w:rStyle w:val="Hyperlink"/>
            <w:sz w:val="22"/>
            <w:szCs w:val="22"/>
          </w:rPr>
          <w:t>https://doi.org/10.1016/j.catena.2018.12.011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Fetene</w:t>
      </w:r>
      <w:proofErr w:type="spellEnd"/>
      <w:r w:rsidRPr="00A53914">
        <w:rPr>
          <w:sz w:val="22"/>
          <w:szCs w:val="22"/>
        </w:rPr>
        <w:t xml:space="preserve">, B., &amp; </w:t>
      </w:r>
      <w:proofErr w:type="spellStart"/>
      <w:r w:rsidRPr="00A53914">
        <w:rPr>
          <w:sz w:val="22"/>
          <w:szCs w:val="22"/>
        </w:rPr>
        <w:t>Amera</w:t>
      </w:r>
      <w:proofErr w:type="spellEnd"/>
      <w:r w:rsidRPr="00A53914">
        <w:rPr>
          <w:sz w:val="22"/>
          <w:szCs w:val="22"/>
        </w:rPr>
        <w:t>, T. (2018).</w:t>
      </w:r>
      <w:proofErr w:type="gramEnd"/>
      <w:r w:rsidRPr="00A53914">
        <w:rPr>
          <w:sz w:val="22"/>
          <w:szCs w:val="22"/>
        </w:rPr>
        <w:t xml:space="preserve"> </w:t>
      </w:r>
      <w:proofErr w:type="gramStart"/>
      <w:r w:rsidRPr="00A53914">
        <w:rPr>
          <w:sz w:val="22"/>
          <w:szCs w:val="22"/>
        </w:rPr>
        <w:t>Impacts of land use on soil quality in Eastern Ethiopia.</w:t>
      </w:r>
      <w:proofErr w:type="gramEnd"/>
      <w:r w:rsidRPr="00A53914">
        <w:rPr>
          <w:sz w:val="22"/>
          <w:szCs w:val="22"/>
        </w:rPr>
        <w:t xml:space="preserve"> Agriculture, Ecosystems &amp; Environment, 256, 12-21. </w:t>
      </w:r>
      <w:hyperlink r:id="rId18" w:history="1">
        <w:r w:rsidRPr="00A53914">
          <w:rPr>
            <w:rStyle w:val="Hyperlink"/>
            <w:sz w:val="22"/>
            <w:szCs w:val="22"/>
          </w:rPr>
          <w:t>https://doi.org/10.1016/j.agee.2018.01.020</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Foley, J.A., et al. (2005). </w:t>
      </w:r>
      <w:proofErr w:type="gramStart"/>
      <w:r w:rsidRPr="00A53914">
        <w:rPr>
          <w:sz w:val="22"/>
          <w:szCs w:val="22"/>
        </w:rPr>
        <w:t>Global consequences of land use.</w:t>
      </w:r>
      <w:proofErr w:type="gramEnd"/>
      <w:r w:rsidRPr="00A53914">
        <w:rPr>
          <w:sz w:val="22"/>
          <w:szCs w:val="22"/>
        </w:rPr>
        <w:t xml:space="preserve"> Science, 309(5734), 570-574. </w:t>
      </w:r>
      <w:hyperlink r:id="rId19" w:history="1">
        <w:r w:rsidRPr="00A53914">
          <w:rPr>
            <w:rStyle w:val="Hyperlink"/>
            <w:sz w:val="22"/>
            <w:szCs w:val="22"/>
          </w:rPr>
          <w:t>https://doi.org/10.1126/science.1111772</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Gebrekidan, H., &amp; Negassa, W. (2006).</w:t>
      </w:r>
      <w:proofErr w:type="gramEnd"/>
      <w:r w:rsidRPr="00A53914">
        <w:rPr>
          <w:sz w:val="22"/>
          <w:szCs w:val="22"/>
        </w:rPr>
        <w:t xml:space="preserve"> </w:t>
      </w:r>
      <w:proofErr w:type="gramStart"/>
      <w:r w:rsidRPr="00A53914">
        <w:rPr>
          <w:sz w:val="22"/>
          <w:szCs w:val="22"/>
        </w:rPr>
        <w:t>Soil moisture variations under different land uses in Ethiopia.</w:t>
      </w:r>
      <w:proofErr w:type="gramEnd"/>
      <w:r w:rsidRPr="00A53914">
        <w:rPr>
          <w:sz w:val="22"/>
          <w:szCs w:val="22"/>
        </w:rPr>
        <w:t xml:space="preserve"> Ethiopian Journal of Natural Resources, 8(2), 89–100.</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Getnet, A., et al. (2025). Soil fertility and land use impacts in the Ethiopian highlands. Land Degradation &amp; Development, 36(2), 401–417. </w:t>
      </w:r>
      <w:hyperlink r:id="rId20" w:history="1">
        <w:r w:rsidRPr="00A53914">
          <w:rPr>
            <w:rStyle w:val="Hyperlink"/>
            <w:sz w:val="22"/>
            <w:szCs w:val="22"/>
          </w:rPr>
          <w:t>https://doi.org/10.1002/ldr.3987</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Gupta, R., et al. (2022). </w:t>
      </w:r>
      <w:proofErr w:type="gramStart"/>
      <w:r w:rsidRPr="00A53914">
        <w:rPr>
          <w:sz w:val="22"/>
          <w:szCs w:val="22"/>
        </w:rPr>
        <w:t>Soil fertility response to land use.</w:t>
      </w:r>
      <w:proofErr w:type="gramEnd"/>
      <w:r w:rsidRPr="00A53914">
        <w:rPr>
          <w:sz w:val="22"/>
          <w:szCs w:val="22"/>
        </w:rPr>
        <w:t xml:space="preserve"> </w:t>
      </w:r>
      <w:proofErr w:type="spellStart"/>
      <w:r w:rsidRPr="00A53914">
        <w:rPr>
          <w:sz w:val="22"/>
          <w:szCs w:val="22"/>
        </w:rPr>
        <w:t>Geoderma</w:t>
      </w:r>
      <w:proofErr w:type="spellEnd"/>
      <w:r w:rsidRPr="00A53914">
        <w:rPr>
          <w:sz w:val="22"/>
          <w:szCs w:val="22"/>
        </w:rPr>
        <w:t xml:space="preserve"> Regional, 28, e00435. </w:t>
      </w:r>
      <w:hyperlink r:id="rId21" w:history="1">
        <w:r w:rsidRPr="00A53914">
          <w:rPr>
            <w:rStyle w:val="Hyperlink"/>
            <w:sz w:val="22"/>
            <w:szCs w:val="22"/>
          </w:rPr>
          <w:t>https://doi.org/10.1016/j.geodrs.2021.e00435</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Hurni, H. (1993). </w:t>
      </w:r>
      <w:proofErr w:type="gramStart"/>
      <w:r w:rsidRPr="00A53914">
        <w:rPr>
          <w:sz w:val="22"/>
          <w:szCs w:val="22"/>
        </w:rPr>
        <w:t>Land degradation in Ethiopia.</w:t>
      </w:r>
      <w:proofErr w:type="gramEnd"/>
      <w:r w:rsidRPr="00A53914">
        <w:rPr>
          <w:sz w:val="22"/>
          <w:szCs w:val="22"/>
        </w:rPr>
        <w:t xml:space="preserve"> Soil Conservation Research Report, 4, 45-60.</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Levene</w:t>
      </w:r>
      <w:proofErr w:type="spellEnd"/>
      <w:r w:rsidRPr="00A53914">
        <w:rPr>
          <w:sz w:val="22"/>
          <w:szCs w:val="22"/>
        </w:rPr>
        <w:t>, H. (1960). Robust tests for equality of variances. Contributions to Probability and Statistics, 278–292.</w:t>
      </w:r>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 xml:space="preserve">Mulat, K., </w:t>
      </w:r>
      <w:proofErr w:type="spellStart"/>
      <w:r w:rsidRPr="00A53914">
        <w:rPr>
          <w:sz w:val="22"/>
          <w:szCs w:val="22"/>
        </w:rPr>
        <w:t>Kibret</w:t>
      </w:r>
      <w:proofErr w:type="spellEnd"/>
      <w:r w:rsidRPr="00A53914">
        <w:rPr>
          <w:sz w:val="22"/>
          <w:szCs w:val="22"/>
        </w:rPr>
        <w:t>, K., &amp; Bedadi, B. (2021).</w:t>
      </w:r>
      <w:proofErr w:type="gramEnd"/>
      <w:r w:rsidRPr="00A53914">
        <w:rPr>
          <w:sz w:val="22"/>
          <w:szCs w:val="22"/>
        </w:rPr>
        <w:t xml:space="preserve"> </w:t>
      </w:r>
      <w:proofErr w:type="gramStart"/>
      <w:r w:rsidRPr="00A53914">
        <w:rPr>
          <w:sz w:val="22"/>
          <w:szCs w:val="22"/>
        </w:rPr>
        <w:t xml:space="preserve">Soil quality variation under land uses in </w:t>
      </w:r>
      <w:proofErr w:type="spellStart"/>
      <w:r w:rsidRPr="00A53914">
        <w:rPr>
          <w:sz w:val="22"/>
          <w:szCs w:val="22"/>
        </w:rPr>
        <w:t>Kersa</w:t>
      </w:r>
      <w:proofErr w:type="spellEnd"/>
      <w:r w:rsidRPr="00A53914">
        <w:rPr>
          <w:sz w:val="22"/>
          <w:szCs w:val="22"/>
        </w:rPr>
        <w:t xml:space="preserve"> watershed, Ethiopia.</w:t>
      </w:r>
      <w:proofErr w:type="gramEnd"/>
      <w:r w:rsidRPr="00A53914">
        <w:rPr>
          <w:sz w:val="22"/>
          <w:szCs w:val="22"/>
        </w:rPr>
        <w:t xml:space="preserve"> Journal of Soil Science, 31(2), 101-115. </w:t>
      </w:r>
      <w:hyperlink r:id="rId22" w:history="1">
        <w:r w:rsidRPr="00A53914">
          <w:rPr>
            <w:rStyle w:val="Hyperlink"/>
            <w:sz w:val="22"/>
            <w:szCs w:val="22"/>
          </w:rPr>
          <w:t>https://doi.org/10.1002/jss.0321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Mulugeta, D., &amp; Karl, B. (2010).</w:t>
      </w:r>
      <w:proofErr w:type="gramEnd"/>
      <w:r w:rsidRPr="00A53914">
        <w:rPr>
          <w:sz w:val="22"/>
          <w:szCs w:val="22"/>
        </w:rPr>
        <w:t xml:space="preserve"> </w:t>
      </w:r>
      <w:proofErr w:type="gramStart"/>
      <w:r w:rsidRPr="00A53914">
        <w:rPr>
          <w:sz w:val="22"/>
          <w:szCs w:val="22"/>
        </w:rPr>
        <w:t>Soil resources and sustainable agriculture in Ethiopia.</w:t>
      </w:r>
      <w:proofErr w:type="gramEnd"/>
      <w:r w:rsidRPr="00A53914">
        <w:rPr>
          <w:sz w:val="22"/>
          <w:szCs w:val="22"/>
        </w:rPr>
        <w:t xml:space="preserve"> Soil Use and Management, 26(3), 245-256. </w:t>
      </w:r>
      <w:hyperlink r:id="rId23" w:history="1">
        <w:r w:rsidRPr="00A53914">
          <w:rPr>
            <w:rStyle w:val="Hyperlink"/>
            <w:sz w:val="22"/>
            <w:szCs w:val="22"/>
          </w:rPr>
          <w:t>https://doi.org/10.1111/j.1475-2743.2010.00287.x</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Olsen, S.R. (1954). </w:t>
      </w:r>
      <w:proofErr w:type="gramStart"/>
      <w:r w:rsidRPr="00A53914">
        <w:rPr>
          <w:sz w:val="22"/>
          <w:szCs w:val="22"/>
        </w:rPr>
        <w:t>Estimation of available phosphorus in soils.</w:t>
      </w:r>
      <w:proofErr w:type="gramEnd"/>
      <w:r w:rsidRPr="00A53914">
        <w:rPr>
          <w:sz w:val="22"/>
          <w:szCs w:val="22"/>
        </w:rPr>
        <w:t xml:space="preserve"> USDA Circular 939.</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Pearson, K. (1896). </w:t>
      </w:r>
      <w:proofErr w:type="gramStart"/>
      <w:r w:rsidRPr="00A53914">
        <w:rPr>
          <w:sz w:val="22"/>
          <w:szCs w:val="22"/>
        </w:rPr>
        <w:t>Mathematical contributions to the theory of evolution.</w:t>
      </w:r>
      <w:proofErr w:type="gramEnd"/>
      <w:r w:rsidRPr="00A53914">
        <w:rPr>
          <w:sz w:val="22"/>
          <w:szCs w:val="22"/>
        </w:rPr>
        <w:t xml:space="preserve"> Philosophical Transactions of the Royal Society A, 187, 253–318. </w:t>
      </w:r>
      <w:hyperlink r:id="rId24" w:history="1">
        <w:r w:rsidRPr="00A53914">
          <w:rPr>
            <w:rStyle w:val="Hyperlink"/>
            <w:sz w:val="22"/>
            <w:szCs w:val="22"/>
          </w:rPr>
          <w:t>https://doi.org/10.1098/rsta.1896.0007</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SAS.</w:t>
      </w:r>
      <w:proofErr w:type="gramEnd"/>
      <w:r w:rsidRPr="00A53914">
        <w:rPr>
          <w:sz w:val="22"/>
          <w:szCs w:val="22"/>
        </w:rPr>
        <w:t xml:space="preserve"> (2002). SAS User’s Guide: Statistics. </w:t>
      </w:r>
      <w:proofErr w:type="gramStart"/>
      <w:r w:rsidRPr="00A53914">
        <w:rPr>
          <w:sz w:val="22"/>
          <w:szCs w:val="22"/>
        </w:rPr>
        <w:t>SAS Institute Inc., Cary, NC.</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Shapiro, S.S., et al. (1965). </w:t>
      </w:r>
      <w:proofErr w:type="gramStart"/>
      <w:r w:rsidRPr="00A53914">
        <w:rPr>
          <w:sz w:val="22"/>
          <w:szCs w:val="22"/>
        </w:rPr>
        <w:t>An analysis of variance for testing normality.</w:t>
      </w:r>
      <w:proofErr w:type="gramEnd"/>
      <w:r w:rsidRPr="00A53914">
        <w:rPr>
          <w:sz w:val="22"/>
          <w:szCs w:val="22"/>
        </w:rPr>
        <w:t xml:space="preserve"> </w:t>
      </w:r>
      <w:proofErr w:type="spellStart"/>
      <w:r w:rsidRPr="00A53914">
        <w:rPr>
          <w:sz w:val="22"/>
          <w:szCs w:val="22"/>
        </w:rPr>
        <w:t>Biometrika</w:t>
      </w:r>
      <w:proofErr w:type="spellEnd"/>
      <w:r w:rsidRPr="00A53914">
        <w:rPr>
          <w:sz w:val="22"/>
          <w:szCs w:val="22"/>
        </w:rPr>
        <w:t xml:space="preserve">, 52(3–4), 591–611. </w:t>
      </w:r>
      <w:hyperlink r:id="rId25" w:history="1">
        <w:r w:rsidRPr="00A53914">
          <w:rPr>
            <w:rStyle w:val="Hyperlink"/>
            <w:sz w:val="22"/>
            <w:szCs w:val="22"/>
          </w:rPr>
          <w:t>https://doi.org/10.1093/biomet/52.3-4.591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Tadese, G. (1991).</w:t>
      </w:r>
      <w:proofErr w:type="gramEnd"/>
      <w:r w:rsidRPr="00A53914">
        <w:rPr>
          <w:sz w:val="22"/>
          <w:szCs w:val="22"/>
        </w:rPr>
        <w:t xml:space="preserve"> </w:t>
      </w:r>
      <w:proofErr w:type="gramStart"/>
      <w:r w:rsidRPr="00A53914">
        <w:rPr>
          <w:sz w:val="22"/>
          <w:szCs w:val="22"/>
        </w:rPr>
        <w:t>Soil Survey in Ethiopia.</w:t>
      </w:r>
      <w:proofErr w:type="gramEnd"/>
      <w:r w:rsidRPr="00A53914">
        <w:rPr>
          <w:sz w:val="22"/>
          <w:szCs w:val="22"/>
        </w:rPr>
        <w:t xml:space="preserve"> </w:t>
      </w:r>
      <w:proofErr w:type="gramStart"/>
      <w:r w:rsidRPr="00A53914">
        <w:rPr>
          <w:sz w:val="22"/>
          <w:szCs w:val="22"/>
        </w:rPr>
        <w:t>Institute of Agricultural Research, Addis Ababa.</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Tellen</w:t>
      </w:r>
      <w:proofErr w:type="spellEnd"/>
      <w:r w:rsidRPr="00A53914">
        <w:rPr>
          <w:sz w:val="22"/>
          <w:szCs w:val="22"/>
        </w:rPr>
        <w:t>, P., &amp; Bernard, M. (2018).</w:t>
      </w:r>
      <w:proofErr w:type="gramEnd"/>
      <w:r w:rsidRPr="00A53914">
        <w:rPr>
          <w:sz w:val="22"/>
          <w:szCs w:val="22"/>
        </w:rPr>
        <w:t xml:space="preserve"> Land use change and soil fertility in Ethiopia. </w:t>
      </w:r>
      <w:proofErr w:type="gramStart"/>
      <w:r w:rsidRPr="00A53914">
        <w:rPr>
          <w:sz w:val="22"/>
          <w:szCs w:val="22"/>
        </w:rPr>
        <w:t>Environmental Research Letters, 13(4), 045002.</w:t>
      </w:r>
      <w:proofErr w:type="gramEnd"/>
      <w:r w:rsidRPr="00A53914">
        <w:rPr>
          <w:sz w:val="22"/>
          <w:szCs w:val="22"/>
        </w:rPr>
        <w:t xml:space="preserve"> </w:t>
      </w:r>
      <w:hyperlink r:id="rId26" w:history="1">
        <w:r w:rsidRPr="00A53914">
          <w:rPr>
            <w:rStyle w:val="Hyperlink"/>
            <w:sz w:val="22"/>
            <w:szCs w:val="22"/>
          </w:rPr>
          <w:t>https://doi.org/10.1088/1748-9326/aabf70</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Tesfahunegn</w:t>
      </w:r>
      <w:proofErr w:type="spellEnd"/>
      <w:r w:rsidRPr="00A53914">
        <w:rPr>
          <w:sz w:val="22"/>
          <w:szCs w:val="22"/>
        </w:rPr>
        <w:t xml:space="preserve">, G.B. (2013). </w:t>
      </w:r>
      <w:proofErr w:type="gramStart"/>
      <w:r w:rsidRPr="00A53914">
        <w:rPr>
          <w:sz w:val="22"/>
          <w:szCs w:val="22"/>
        </w:rPr>
        <w:t>Land-use change and its impact on soil fertility in Ethiopia.</w:t>
      </w:r>
      <w:proofErr w:type="gramEnd"/>
      <w:r w:rsidRPr="00A53914">
        <w:rPr>
          <w:sz w:val="22"/>
          <w:szCs w:val="22"/>
        </w:rPr>
        <w:t xml:space="preserve"> Environmental Systems Research, 2(1), 1-13. </w:t>
      </w:r>
      <w:hyperlink r:id="rId27" w:history="1">
        <w:r w:rsidRPr="00A53914">
          <w:rPr>
            <w:rStyle w:val="Hyperlink"/>
            <w:sz w:val="22"/>
            <w:szCs w:val="22"/>
          </w:rPr>
          <w:t>https://doi.org/10.1186/2193-2697-2-1</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proofErr w:type="gramStart"/>
      <w:r w:rsidRPr="00A53914">
        <w:rPr>
          <w:sz w:val="22"/>
          <w:szCs w:val="22"/>
        </w:rPr>
        <w:t>Thiombiano</w:t>
      </w:r>
      <w:proofErr w:type="spellEnd"/>
      <w:r w:rsidRPr="00A53914">
        <w:rPr>
          <w:sz w:val="22"/>
          <w:szCs w:val="22"/>
        </w:rPr>
        <w:t xml:space="preserve">, L., &amp; </w:t>
      </w:r>
      <w:proofErr w:type="spellStart"/>
      <w:r w:rsidRPr="00A53914">
        <w:rPr>
          <w:sz w:val="22"/>
          <w:szCs w:val="22"/>
        </w:rPr>
        <w:t>Tourino</w:t>
      </w:r>
      <w:proofErr w:type="spellEnd"/>
      <w:r w:rsidRPr="00A53914">
        <w:rPr>
          <w:sz w:val="22"/>
          <w:szCs w:val="22"/>
        </w:rPr>
        <w:t>-Soto, A. (2007).</w:t>
      </w:r>
      <w:proofErr w:type="gramEnd"/>
      <w:r w:rsidRPr="00A53914">
        <w:rPr>
          <w:sz w:val="22"/>
          <w:szCs w:val="22"/>
        </w:rPr>
        <w:t xml:space="preserve"> Land use changes and soil fertility in Africa. African Soil Science Journal, 14(2), 123-137. </w:t>
      </w:r>
      <w:hyperlink r:id="rId28" w:history="1">
        <w:r w:rsidRPr="00A53914">
          <w:rPr>
            <w:rStyle w:val="Hyperlink"/>
            <w:sz w:val="22"/>
            <w:szCs w:val="22"/>
          </w:rPr>
          <w:t>https://doi.org/10.1016/j.agrformet.2007.07.004</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Thomas, G.W. (1990). </w:t>
      </w:r>
      <w:proofErr w:type="gramStart"/>
      <w:r w:rsidRPr="00A53914">
        <w:rPr>
          <w:sz w:val="22"/>
          <w:szCs w:val="22"/>
        </w:rPr>
        <w:t>Exchangeable cations.</w:t>
      </w:r>
      <w:proofErr w:type="gramEnd"/>
      <w:r w:rsidRPr="00A53914">
        <w:rPr>
          <w:sz w:val="22"/>
          <w:szCs w:val="22"/>
        </w:rPr>
        <w:t xml:space="preserve"> Methods of Soil Analysis, Part 3. </w:t>
      </w:r>
      <w:proofErr w:type="gramStart"/>
      <w:r w:rsidRPr="00A53914">
        <w:rPr>
          <w:sz w:val="22"/>
          <w:szCs w:val="22"/>
        </w:rPr>
        <w:t>Soil Science Society of America, Madison, WI.</w:t>
      </w:r>
      <w:proofErr w:type="gramEnd"/>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lastRenderedPageBreak/>
        <w:t>Tolesa</w:t>
      </w:r>
      <w:proofErr w:type="spellEnd"/>
      <w:r w:rsidRPr="00A53914">
        <w:rPr>
          <w:sz w:val="22"/>
          <w:szCs w:val="22"/>
        </w:rPr>
        <w:t xml:space="preserve">, G., et al. (2021). Land use effects on soil properties in Ethiopian highlands. Soil Research, 59(3), 217-230. </w:t>
      </w:r>
      <w:hyperlink r:id="rId29" w:history="1">
        <w:r w:rsidRPr="00A53914">
          <w:rPr>
            <w:rStyle w:val="Hyperlink"/>
            <w:sz w:val="22"/>
            <w:szCs w:val="22"/>
          </w:rPr>
          <w:t>https://doi.org/10.1071/SR20205</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Turner, B.L., &amp; Meyer, W.B. (1994).</w:t>
      </w:r>
      <w:proofErr w:type="gramEnd"/>
      <w:r w:rsidRPr="00A53914">
        <w:rPr>
          <w:sz w:val="22"/>
          <w:szCs w:val="22"/>
        </w:rPr>
        <w:t xml:space="preserve"> Global land-use and land-cover change: An overview. </w:t>
      </w:r>
      <w:proofErr w:type="gramStart"/>
      <w:r w:rsidRPr="00A53914">
        <w:rPr>
          <w:sz w:val="22"/>
          <w:szCs w:val="22"/>
        </w:rPr>
        <w:t>Cambridge University Press.</w:t>
      </w:r>
      <w:proofErr w:type="gramEnd"/>
      <w:r w:rsidRPr="00A53914">
        <w:rPr>
          <w:sz w:val="22"/>
          <w:szCs w:val="22"/>
        </w:rPr>
        <w:t xml:space="preserve"> ISBN: 9780521445407</w:t>
      </w:r>
    </w:p>
    <w:p w:rsidR="00A53914" w:rsidRPr="00A53914" w:rsidRDefault="00A53914" w:rsidP="00A53914">
      <w:pPr>
        <w:pStyle w:val="NormalWeb"/>
        <w:spacing w:before="0" w:beforeAutospacing="0" w:after="0" w:afterAutospacing="0" w:line="360" w:lineRule="auto"/>
        <w:ind w:left="720" w:hanging="720"/>
        <w:jc w:val="both"/>
        <w:rPr>
          <w:sz w:val="22"/>
          <w:szCs w:val="22"/>
        </w:rPr>
      </w:pPr>
      <w:r w:rsidRPr="00A53914">
        <w:rPr>
          <w:sz w:val="22"/>
          <w:szCs w:val="22"/>
        </w:rPr>
        <w:t xml:space="preserve">Ufot, U., et al. (2016). Land use impacts on soil properties: A review. Soil Science Research, 11(2), 45-55. </w:t>
      </w:r>
      <w:hyperlink r:id="rId30" w:history="1">
        <w:r w:rsidRPr="00A53914">
          <w:rPr>
            <w:rStyle w:val="Hyperlink"/>
            <w:sz w:val="22"/>
            <w:szCs w:val="22"/>
          </w:rPr>
          <w:t>https://doi.org/10.1016/j.ssre.2016.04.002</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gramStart"/>
      <w:r w:rsidRPr="00A53914">
        <w:rPr>
          <w:sz w:val="22"/>
          <w:szCs w:val="22"/>
        </w:rPr>
        <w:t>Walkley, A., &amp; Black, I.A. (1934).</w:t>
      </w:r>
      <w:proofErr w:type="gramEnd"/>
      <w:r w:rsidRPr="00A53914">
        <w:rPr>
          <w:sz w:val="22"/>
          <w:szCs w:val="22"/>
        </w:rPr>
        <w:t xml:space="preserve"> </w:t>
      </w:r>
      <w:proofErr w:type="gramStart"/>
      <w:r w:rsidRPr="00A53914">
        <w:rPr>
          <w:sz w:val="22"/>
          <w:szCs w:val="22"/>
        </w:rPr>
        <w:t xml:space="preserve">An examination of the </w:t>
      </w:r>
      <w:proofErr w:type="spellStart"/>
      <w:r w:rsidRPr="00A53914">
        <w:rPr>
          <w:sz w:val="22"/>
          <w:szCs w:val="22"/>
        </w:rPr>
        <w:t>Degtjareff</w:t>
      </w:r>
      <w:proofErr w:type="spellEnd"/>
      <w:r w:rsidRPr="00A53914">
        <w:rPr>
          <w:sz w:val="22"/>
          <w:szCs w:val="22"/>
        </w:rPr>
        <w:t xml:space="preserve"> method for determining soil organic matter.</w:t>
      </w:r>
      <w:proofErr w:type="gramEnd"/>
      <w:r w:rsidRPr="00A53914">
        <w:rPr>
          <w:sz w:val="22"/>
          <w:szCs w:val="22"/>
        </w:rPr>
        <w:t xml:space="preserve"> Soil Science, 37, 29–38. </w:t>
      </w:r>
      <w:hyperlink r:id="rId31" w:history="1">
        <w:r w:rsidRPr="00A53914">
          <w:rPr>
            <w:rStyle w:val="Hyperlink"/>
            <w:sz w:val="22"/>
            <w:szCs w:val="22"/>
          </w:rPr>
          <w:t>https://doi.org/10.1097/00010694-193401000-00003</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Yerima</w:t>
      </w:r>
      <w:proofErr w:type="spellEnd"/>
      <w:r w:rsidRPr="00A53914">
        <w:rPr>
          <w:sz w:val="22"/>
          <w:szCs w:val="22"/>
        </w:rPr>
        <w:t xml:space="preserve">, B.P.K., &amp; Van </w:t>
      </w:r>
      <w:proofErr w:type="spellStart"/>
      <w:r w:rsidRPr="00A53914">
        <w:rPr>
          <w:sz w:val="22"/>
          <w:szCs w:val="22"/>
        </w:rPr>
        <w:t>Ranst</w:t>
      </w:r>
      <w:proofErr w:type="spellEnd"/>
      <w:r w:rsidRPr="00A53914">
        <w:rPr>
          <w:sz w:val="22"/>
          <w:szCs w:val="22"/>
        </w:rPr>
        <w:t xml:space="preserve">, E. (2005a). </w:t>
      </w:r>
      <w:proofErr w:type="gramStart"/>
      <w:r w:rsidRPr="00A53914">
        <w:rPr>
          <w:sz w:val="22"/>
          <w:szCs w:val="22"/>
        </w:rPr>
        <w:t>Bulk density measurement methods.</w:t>
      </w:r>
      <w:proofErr w:type="gramEnd"/>
      <w:r w:rsidRPr="00A53914">
        <w:rPr>
          <w:sz w:val="22"/>
          <w:szCs w:val="22"/>
        </w:rPr>
        <w:t xml:space="preserve"> Soil Use and Management, 21(1), 23-29. </w:t>
      </w:r>
      <w:hyperlink r:id="rId32" w:history="1">
        <w:r w:rsidRPr="00A53914">
          <w:rPr>
            <w:rStyle w:val="Hyperlink"/>
            <w:sz w:val="22"/>
            <w:szCs w:val="22"/>
          </w:rPr>
          <w:t>https://doi.org/10.1111/j.1475-2743.2005.tb00212.x</w:t>
        </w:r>
      </w:hyperlink>
    </w:p>
    <w:p w:rsidR="00A53914" w:rsidRPr="00A53914" w:rsidRDefault="00A53914" w:rsidP="00A53914">
      <w:pPr>
        <w:pStyle w:val="NormalWeb"/>
        <w:spacing w:before="0" w:beforeAutospacing="0" w:after="0" w:afterAutospacing="0" w:line="360" w:lineRule="auto"/>
        <w:ind w:left="720" w:hanging="720"/>
        <w:jc w:val="both"/>
        <w:rPr>
          <w:sz w:val="22"/>
          <w:szCs w:val="22"/>
        </w:rPr>
      </w:pPr>
      <w:proofErr w:type="spellStart"/>
      <w:r w:rsidRPr="00A53914">
        <w:rPr>
          <w:sz w:val="22"/>
          <w:szCs w:val="22"/>
        </w:rPr>
        <w:t>Yitaferu</w:t>
      </w:r>
      <w:proofErr w:type="spellEnd"/>
      <w:r w:rsidRPr="00A53914">
        <w:rPr>
          <w:sz w:val="22"/>
          <w:szCs w:val="22"/>
        </w:rPr>
        <w:t xml:space="preserve">, B., et al. (2013). </w:t>
      </w:r>
      <w:proofErr w:type="gramStart"/>
      <w:r w:rsidRPr="00A53914">
        <w:rPr>
          <w:sz w:val="22"/>
          <w:szCs w:val="22"/>
        </w:rPr>
        <w:t>Eucalyptus plantations and soil acidity in Ethiopia.</w:t>
      </w:r>
      <w:proofErr w:type="gramEnd"/>
      <w:r w:rsidRPr="00A53914">
        <w:rPr>
          <w:sz w:val="22"/>
          <w:szCs w:val="22"/>
        </w:rPr>
        <w:t xml:space="preserve"> Forest Ecology and Management, 304, 171–178. </w:t>
      </w:r>
      <w:hyperlink r:id="rId33" w:history="1">
        <w:r w:rsidRPr="00A53914">
          <w:rPr>
            <w:rStyle w:val="Hyperlink"/>
            <w:sz w:val="22"/>
            <w:szCs w:val="22"/>
          </w:rPr>
          <w:t>https://doi.org/10.1016/j.foreco.2013.04.017</w:t>
        </w:r>
      </w:hyperlink>
    </w:p>
    <w:sectPr w:rsidR="00A53914" w:rsidRPr="00A53914" w:rsidSect="004F4666">
      <w:type w:val="nextPag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31" w:rsidRDefault="002A6631" w:rsidP="00674BCA">
      <w:pPr>
        <w:spacing w:after="0" w:line="240" w:lineRule="auto"/>
      </w:pPr>
      <w:r>
        <w:separator/>
      </w:r>
    </w:p>
  </w:endnote>
  <w:endnote w:type="continuationSeparator" w:id="0">
    <w:p w:rsidR="002A6631" w:rsidRDefault="002A6631" w:rsidP="0067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31" w:rsidRDefault="002A6631" w:rsidP="00674BCA">
      <w:pPr>
        <w:spacing w:after="0" w:line="240" w:lineRule="auto"/>
      </w:pPr>
      <w:r>
        <w:separator/>
      </w:r>
    </w:p>
  </w:footnote>
  <w:footnote w:type="continuationSeparator" w:id="0">
    <w:p w:rsidR="002A6631" w:rsidRDefault="002A6631" w:rsidP="00674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DCE"/>
    <w:multiLevelType w:val="multilevel"/>
    <w:tmpl w:val="C7A8EB86"/>
    <w:lvl w:ilvl="0">
      <w:start w:val="1"/>
      <w:numFmt w:val="decimal"/>
      <w:lvlText w:val="%1."/>
      <w:lvlJc w:val="left"/>
      <w:pPr>
        <w:ind w:left="354" w:hanging="243"/>
      </w:pPr>
      <w:rPr>
        <w:rFonts w:ascii="Book Antiqua" w:eastAsia="Book Antiqua" w:hAnsi="Book Antiqua" w:cs="Book Antiqua" w:hint="default"/>
        <w:b w:val="0"/>
        <w:bCs w:val="0"/>
        <w:i w:val="0"/>
        <w:iCs w:val="0"/>
        <w:color w:val="AB4D4C"/>
        <w:spacing w:val="0"/>
        <w:w w:val="118"/>
        <w:sz w:val="16"/>
        <w:szCs w:val="16"/>
        <w:lang w:val="en-US" w:eastAsia="en-US" w:bidi="ar-SA"/>
      </w:rPr>
    </w:lvl>
    <w:lvl w:ilvl="1">
      <w:start w:val="1"/>
      <w:numFmt w:val="decimal"/>
      <w:lvlText w:val="%1.%2."/>
      <w:lvlJc w:val="left"/>
      <w:pPr>
        <w:ind w:left="473" w:hanging="362"/>
      </w:pPr>
      <w:rPr>
        <w:rFonts w:ascii="Book Antiqua" w:eastAsia="Book Antiqua" w:hAnsi="Book Antiqua" w:cs="Book Antiqua" w:hint="default"/>
        <w:b w:val="0"/>
        <w:bCs w:val="0"/>
        <w:i/>
        <w:iCs/>
        <w:color w:val="AB4D4C"/>
        <w:spacing w:val="0"/>
        <w:w w:val="109"/>
        <w:sz w:val="16"/>
        <w:szCs w:val="16"/>
        <w:lang w:val="en-US" w:eastAsia="en-US" w:bidi="ar-SA"/>
      </w:rPr>
    </w:lvl>
    <w:lvl w:ilvl="2">
      <w:start w:val="1"/>
      <w:numFmt w:val="decimal"/>
      <w:lvlText w:val="%1.%2.%3."/>
      <w:lvlJc w:val="left"/>
      <w:pPr>
        <w:ind w:left="603" w:hanging="493"/>
      </w:pPr>
      <w:rPr>
        <w:rFonts w:ascii="Book Antiqua" w:eastAsia="Book Antiqua" w:hAnsi="Book Antiqua" w:cs="Book Antiqua" w:hint="default"/>
        <w:b w:val="0"/>
        <w:bCs w:val="0"/>
        <w:i/>
        <w:iCs/>
        <w:color w:val="AB4D4C"/>
        <w:spacing w:val="0"/>
        <w:w w:val="109"/>
        <w:sz w:val="16"/>
        <w:szCs w:val="16"/>
        <w:lang w:val="en-US" w:eastAsia="en-US" w:bidi="ar-SA"/>
      </w:rPr>
    </w:lvl>
    <w:lvl w:ilvl="3">
      <w:numFmt w:val="bullet"/>
      <w:lvlText w:val="•"/>
      <w:lvlJc w:val="left"/>
      <w:pPr>
        <w:ind w:left="499" w:hanging="493"/>
      </w:pPr>
      <w:rPr>
        <w:lang w:val="en-US" w:eastAsia="en-US" w:bidi="ar-SA"/>
      </w:rPr>
    </w:lvl>
    <w:lvl w:ilvl="4">
      <w:numFmt w:val="bullet"/>
      <w:lvlText w:val="•"/>
      <w:lvlJc w:val="left"/>
      <w:pPr>
        <w:ind w:left="398" w:hanging="493"/>
      </w:pPr>
      <w:rPr>
        <w:lang w:val="en-US" w:eastAsia="en-US" w:bidi="ar-SA"/>
      </w:rPr>
    </w:lvl>
    <w:lvl w:ilvl="5">
      <w:numFmt w:val="bullet"/>
      <w:lvlText w:val="•"/>
      <w:lvlJc w:val="left"/>
      <w:pPr>
        <w:ind w:left="297" w:hanging="493"/>
      </w:pPr>
      <w:rPr>
        <w:lang w:val="en-US" w:eastAsia="en-US" w:bidi="ar-SA"/>
      </w:rPr>
    </w:lvl>
    <w:lvl w:ilvl="6">
      <w:numFmt w:val="bullet"/>
      <w:lvlText w:val="•"/>
      <w:lvlJc w:val="left"/>
      <w:pPr>
        <w:ind w:left="197" w:hanging="493"/>
      </w:pPr>
      <w:rPr>
        <w:lang w:val="en-US" w:eastAsia="en-US" w:bidi="ar-SA"/>
      </w:rPr>
    </w:lvl>
    <w:lvl w:ilvl="7">
      <w:numFmt w:val="bullet"/>
      <w:lvlText w:val="•"/>
      <w:lvlJc w:val="left"/>
      <w:pPr>
        <w:ind w:left="96" w:hanging="493"/>
      </w:pPr>
      <w:rPr>
        <w:lang w:val="en-US" w:eastAsia="en-US" w:bidi="ar-SA"/>
      </w:rPr>
    </w:lvl>
    <w:lvl w:ilvl="8">
      <w:numFmt w:val="bullet"/>
      <w:lvlText w:val="•"/>
      <w:lvlJc w:val="left"/>
      <w:pPr>
        <w:ind w:left="-5" w:hanging="493"/>
      </w:pPr>
      <w:rPr>
        <w:lang w:val="en-US" w:eastAsia="en-US" w:bidi="ar-SA"/>
      </w:rPr>
    </w:lvl>
  </w:abstractNum>
  <w:abstractNum w:abstractNumId="1">
    <w:nsid w:val="0F542EE8"/>
    <w:multiLevelType w:val="hybridMultilevel"/>
    <w:tmpl w:val="10FC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10D2E"/>
    <w:multiLevelType w:val="hybridMultilevel"/>
    <w:tmpl w:val="DDBAD880"/>
    <w:lvl w:ilvl="0" w:tplc="5300B8D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B47BF7"/>
    <w:multiLevelType w:val="multilevel"/>
    <w:tmpl w:val="BF1A00C2"/>
    <w:lvl w:ilvl="0">
      <w:start w:val="2"/>
      <w:numFmt w:val="decimal"/>
      <w:lvlText w:val="%1"/>
      <w:lvlJc w:val="left"/>
      <w:pPr>
        <w:ind w:left="360" w:hanging="360"/>
      </w:pPr>
      <w:rPr>
        <w:rFonts w:hint="default"/>
        <w:color w:val="AB4D4C"/>
      </w:rPr>
    </w:lvl>
    <w:lvl w:ilvl="1">
      <w:start w:val="1"/>
      <w:numFmt w:val="decimal"/>
      <w:lvlText w:val="%1.%2"/>
      <w:lvlJc w:val="left"/>
      <w:pPr>
        <w:ind w:left="832" w:hanging="360"/>
      </w:pPr>
      <w:rPr>
        <w:rFonts w:hint="default"/>
        <w:color w:val="000000" w:themeColor="text1"/>
      </w:rPr>
    </w:lvl>
    <w:lvl w:ilvl="2">
      <w:start w:val="1"/>
      <w:numFmt w:val="decimal"/>
      <w:lvlText w:val="%1.%2.%3"/>
      <w:lvlJc w:val="left"/>
      <w:pPr>
        <w:ind w:left="1664" w:hanging="720"/>
      </w:pPr>
      <w:rPr>
        <w:rFonts w:hint="default"/>
        <w:color w:val="AB4D4C"/>
      </w:rPr>
    </w:lvl>
    <w:lvl w:ilvl="3">
      <w:start w:val="1"/>
      <w:numFmt w:val="decimal"/>
      <w:lvlText w:val="%1.%2.%3.%4"/>
      <w:lvlJc w:val="left"/>
      <w:pPr>
        <w:ind w:left="2136" w:hanging="720"/>
      </w:pPr>
      <w:rPr>
        <w:rFonts w:hint="default"/>
        <w:color w:val="AB4D4C"/>
      </w:rPr>
    </w:lvl>
    <w:lvl w:ilvl="4">
      <w:start w:val="1"/>
      <w:numFmt w:val="decimal"/>
      <w:lvlText w:val="%1.%2.%3.%4.%5"/>
      <w:lvlJc w:val="left"/>
      <w:pPr>
        <w:ind w:left="2968" w:hanging="1080"/>
      </w:pPr>
      <w:rPr>
        <w:rFonts w:hint="default"/>
        <w:color w:val="AB4D4C"/>
      </w:rPr>
    </w:lvl>
    <w:lvl w:ilvl="5">
      <w:start w:val="1"/>
      <w:numFmt w:val="decimal"/>
      <w:lvlText w:val="%1.%2.%3.%4.%5.%6"/>
      <w:lvlJc w:val="left"/>
      <w:pPr>
        <w:ind w:left="3440" w:hanging="1080"/>
      </w:pPr>
      <w:rPr>
        <w:rFonts w:hint="default"/>
        <w:color w:val="AB4D4C"/>
      </w:rPr>
    </w:lvl>
    <w:lvl w:ilvl="6">
      <w:start w:val="1"/>
      <w:numFmt w:val="decimal"/>
      <w:lvlText w:val="%1.%2.%3.%4.%5.%6.%7"/>
      <w:lvlJc w:val="left"/>
      <w:pPr>
        <w:ind w:left="4272" w:hanging="1440"/>
      </w:pPr>
      <w:rPr>
        <w:rFonts w:hint="default"/>
        <w:color w:val="AB4D4C"/>
      </w:rPr>
    </w:lvl>
    <w:lvl w:ilvl="7">
      <w:start w:val="1"/>
      <w:numFmt w:val="decimal"/>
      <w:lvlText w:val="%1.%2.%3.%4.%5.%6.%7.%8"/>
      <w:lvlJc w:val="left"/>
      <w:pPr>
        <w:ind w:left="4744" w:hanging="1440"/>
      </w:pPr>
      <w:rPr>
        <w:rFonts w:hint="default"/>
        <w:color w:val="AB4D4C"/>
      </w:rPr>
    </w:lvl>
    <w:lvl w:ilvl="8">
      <w:start w:val="1"/>
      <w:numFmt w:val="decimal"/>
      <w:lvlText w:val="%1.%2.%3.%4.%5.%6.%7.%8.%9"/>
      <w:lvlJc w:val="left"/>
      <w:pPr>
        <w:ind w:left="5576" w:hanging="1800"/>
      </w:pPr>
      <w:rPr>
        <w:rFonts w:hint="default"/>
        <w:color w:val="AB4D4C"/>
      </w:rPr>
    </w:lvl>
  </w:abstractNum>
  <w:abstractNum w:abstractNumId="4">
    <w:nsid w:val="5ABF0FD8"/>
    <w:multiLevelType w:val="hybridMultilevel"/>
    <w:tmpl w:val="39EC5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03E3E"/>
    <w:multiLevelType w:val="hybridMultilevel"/>
    <w:tmpl w:val="5D04CA44"/>
    <w:lvl w:ilvl="0" w:tplc="17BA7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3F5B17"/>
    <w:multiLevelType w:val="hybridMultilevel"/>
    <w:tmpl w:val="464E6B30"/>
    <w:lvl w:ilvl="0" w:tplc="9A3C997A">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E608CC"/>
    <w:multiLevelType w:val="multilevel"/>
    <w:tmpl w:val="72DCB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0972AE"/>
    <w:multiLevelType w:val="multilevel"/>
    <w:tmpl w:val="B2EC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4"/>
  </w:num>
  <w:num w:numId="5">
    <w:abstractNumId w:val="3"/>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20"/>
    <w:rsid w:val="000026C6"/>
    <w:rsid w:val="00007944"/>
    <w:rsid w:val="00007AEA"/>
    <w:rsid w:val="00021B4B"/>
    <w:rsid w:val="00042984"/>
    <w:rsid w:val="00044C13"/>
    <w:rsid w:val="000455E2"/>
    <w:rsid w:val="0005497E"/>
    <w:rsid w:val="0006068E"/>
    <w:rsid w:val="00063787"/>
    <w:rsid w:val="00064B03"/>
    <w:rsid w:val="00065EFF"/>
    <w:rsid w:val="00067043"/>
    <w:rsid w:val="00083719"/>
    <w:rsid w:val="00087BDC"/>
    <w:rsid w:val="000904EF"/>
    <w:rsid w:val="000979A6"/>
    <w:rsid w:val="000A352C"/>
    <w:rsid w:val="000B0301"/>
    <w:rsid w:val="000B4754"/>
    <w:rsid w:val="000C0CB8"/>
    <w:rsid w:val="000C235C"/>
    <w:rsid w:val="000C28E9"/>
    <w:rsid w:val="000C3328"/>
    <w:rsid w:val="000C7B04"/>
    <w:rsid w:val="000D2769"/>
    <w:rsid w:val="000D6C87"/>
    <w:rsid w:val="000E2917"/>
    <w:rsid w:val="001005E2"/>
    <w:rsid w:val="001024FA"/>
    <w:rsid w:val="00106083"/>
    <w:rsid w:val="00114ABE"/>
    <w:rsid w:val="00115C42"/>
    <w:rsid w:val="001172BA"/>
    <w:rsid w:val="0012072B"/>
    <w:rsid w:val="0012196F"/>
    <w:rsid w:val="00133BB4"/>
    <w:rsid w:val="001348B3"/>
    <w:rsid w:val="00134C06"/>
    <w:rsid w:val="00143875"/>
    <w:rsid w:val="00145406"/>
    <w:rsid w:val="00150C8B"/>
    <w:rsid w:val="00151BD9"/>
    <w:rsid w:val="001530B3"/>
    <w:rsid w:val="00153611"/>
    <w:rsid w:val="00155014"/>
    <w:rsid w:val="00157D86"/>
    <w:rsid w:val="00162737"/>
    <w:rsid w:val="001629A9"/>
    <w:rsid w:val="001643FB"/>
    <w:rsid w:val="00164CEA"/>
    <w:rsid w:val="00165D06"/>
    <w:rsid w:val="001807B0"/>
    <w:rsid w:val="00183DC1"/>
    <w:rsid w:val="00191108"/>
    <w:rsid w:val="00191F5C"/>
    <w:rsid w:val="00196F46"/>
    <w:rsid w:val="001A2269"/>
    <w:rsid w:val="001B73C0"/>
    <w:rsid w:val="001C088B"/>
    <w:rsid w:val="001C188D"/>
    <w:rsid w:val="001C71E1"/>
    <w:rsid w:val="001D439D"/>
    <w:rsid w:val="001D775F"/>
    <w:rsid w:val="001E02D1"/>
    <w:rsid w:val="001E1836"/>
    <w:rsid w:val="001E279D"/>
    <w:rsid w:val="001E68AD"/>
    <w:rsid w:val="001F4CEC"/>
    <w:rsid w:val="001F7EA8"/>
    <w:rsid w:val="002045C7"/>
    <w:rsid w:val="00211EB5"/>
    <w:rsid w:val="002144C0"/>
    <w:rsid w:val="00217436"/>
    <w:rsid w:val="002224A5"/>
    <w:rsid w:val="002229B4"/>
    <w:rsid w:val="00240BA8"/>
    <w:rsid w:val="00244A38"/>
    <w:rsid w:val="00253801"/>
    <w:rsid w:val="002538F2"/>
    <w:rsid w:val="002544F0"/>
    <w:rsid w:val="00254A17"/>
    <w:rsid w:val="002628DA"/>
    <w:rsid w:val="00263398"/>
    <w:rsid w:val="00265865"/>
    <w:rsid w:val="00270E0F"/>
    <w:rsid w:val="00271FE9"/>
    <w:rsid w:val="002739CC"/>
    <w:rsid w:val="0027576D"/>
    <w:rsid w:val="002777CC"/>
    <w:rsid w:val="0028395E"/>
    <w:rsid w:val="00284DE1"/>
    <w:rsid w:val="00285793"/>
    <w:rsid w:val="00291491"/>
    <w:rsid w:val="00295959"/>
    <w:rsid w:val="002A4432"/>
    <w:rsid w:val="002A6631"/>
    <w:rsid w:val="002A6A02"/>
    <w:rsid w:val="002B29AF"/>
    <w:rsid w:val="002B6FF7"/>
    <w:rsid w:val="002B7DE4"/>
    <w:rsid w:val="002C5488"/>
    <w:rsid w:val="002C5899"/>
    <w:rsid w:val="002D29FB"/>
    <w:rsid w:val="002D59E7"/>
    <w:rsid w:val="002F5F04"/>
    <w:rsid w:val="002F61BC"/>
    <w:rsid w:val="003058C1"/>
    <w:rsid w:val="003079B8"/>
    <w:rsid w:val="00322F20"/>
    <w:rsid w:val="003268FB"/>
    <w:rsid w:val="00327F6C"/>
    <w:rsid w:val="00330765"/>
    <w:rsid w:val="00336794"/>
    <w:rsid w:val="00346834"/>
    <w:rsid w:val="003501E8"/>
    <w:rsid w:val="003508AD"/>
    <w:rsid w:val="003638DD"/>
    <w:rsid w:val="00364678"/>
    <w:rsid w:val="00365415"/>
    <w:rsid w:val="00366BA9"/>
    <w:rsid w:val="00366BFA"/>
    <w:rsid w:val="00370081"/>
    <w:rsid w:val="00371403"/>
    <w:rsid w:val="003729E3"/>
    <w:rsid w:val="003836CE"/>
    <w:rsid w:val="00384674"/>
    <w:rsid w:val="00384AB0"/>
    <w:rsid w:val="00387180"/>
    <w:rsid w:val="00393952"/>
    <w:rsid w:val="003A37A6"/>
    <w:rsid w:val="003B6A9D"/>
    <w:rsid w:val="003C0A78"/>
    <w:rsid w:val="003C62CB"/>
    <w:rsid w:val="003D0006"/>
    <w:rsid w:val="003D50DC"/>
    <w:rsid w:val="003D71D1"/>
    <w:rsid w:val="003E2835"/>
    <w:rsid w:val="004044BA"/>
    <w:rsid w:val="00405F05"/>
    <w:rsid w:val="00406FD0"/>
    <w:rsid w:val="0040782F"/>
    <w:rsid w:val="00417AE3"/>
    <w:rsid w:val="00417CE9"/>
    <w:rsid w:val="00421825"/>
    <w:rsid w:val="0042240E"/>
    <w:rsid w:val="004314B2"/>
    <w:rsid w:val="004374C9"/>
    <w:rsid w:val="00440BC7"/>
    <w:rsid w:val="004438D0"/>
    <w:rsid w:val="00450BA2"/>
    <w:rsid w:val="00451C04"/>
    <w:rsid w:val="00453DAF"/>
    <w:rsid w:val="00454DF8"/>
    <w:rsid w:val="00455ACD"/>
    <w:rsid w:val="00457D12"/>
    <w:rsid w:val="00464876"/>
    <w:rsid w:val="00464980"/>
    <w:rsid w:val="004730DB"/>
    <w:rsid w:val="00474D49"/>
    <w:rsid w:val="0047555A"/>
    <w:rsid w:val="0047750B"/>
    <w:rsid w:val="004931BF"/>
    <w:rsid w:val="00493F9A"/>
    <w:rsid w:val="00494F79"/>
    <w:rsid w:val="004A555C"/>
    <w:rsid w:val="004A6217"/>
    <w:rsid w:val="004B2FCB"/>
    <w:rsid w:val="004B36C1"/>
    <w:rsid w:val="004B58CD"/>
    <w:rsid w:val="004B7ABD"/>
    <w:rsid w:val="004C25B0"/>
    <w:rsid w:val="004C502F"/>
    <w:rsid w:val="004C7892"/>
    <w:rsid w:val="004E4FBC"/>
    <w:rsid w:val="004F4666"/>
    <w:rsid w:val="00501F5A"/>
    <w:rsid w:val="005026C9"/>
    <w:rsid w:val="00504B46"/>
    <w:rsid w:val="0050584B"/>
    <w:rsid w:val="00511A66"/>
    <w:rsid w:val="00512BC5"/>
    <w:rsid w:val="005253F9"/>
    <w:rsid w:val="005373B0"/>
    <w:rsid w:val="00540716"/>
    <w:rsid w:val="0054259C"/>
    <w:rsid w:val="005479C3"/>
    <w:rsid w:val="00551686"/>
    <w:rsid w:val="00554840"/>
    <w:rsid w:val="00560A7F"/>
    <w:rsid w:val="005624B3"/>
    <w:rsid w:val="00565A50"/>
    <w:rsid w:val="00571D8E"/>
    <w:rsid w:val="0057361C"/>
    <w:rsid w:val="00576754"/>
    <w:rsid w:val="005803BB"/>
    <w:rsid w:val="00580C99"/>
    <w:rsid w:val="00585189"/>
    <w:rsid w:val="005863D7"/>
    <w:rsid w:val="00587FA7"/>
    <w:rsid w:val="005A1F00"/>
    <w:rsid w:val="005B05BC"/>
    <w:rsid w:val="005B5FF5"/>
    <w:rsid w:val="005C14D1"/>
    <w:rsid w:val="005C6F17"/>
    <w:rsid w:val="005D08D1"/>
    <w:rsid w:val="005D094B"/>
    <w:rsid w:val="005D2B43"/>
    <w:rsid w:val="005D2B6A"/>
    <w:rsid w:val="005D7622"/>
    <w:rsid w:val="005E3F53"/>
    <w:rsid w:val="005F1840"/>
    <w:rsid w:val="005F1E5D"/>
    <w:rsid w:val="005F2E33"/>
    <w:rsid w:val="005F4048"/>
    <w:rsid w:val="005F52BB"/>
    <w:rsid w:val="005F59DF"/>
    <w:rsid w:val="006012B0"/>
    <w:rsid w:val="00602415"/>
    <w:rsid w:val="0060475B"/>
    <w:rsid w:val="00607637"/>
    <w:rsid w:val="00612567"/>
    <w:rsid w:val="006152BC"/>
    <w:rsid w:val="00623CDA"/>
    <w:rsid w:val="0062492A"/>
    <w:rsid w:val="00625A2F"/>
    <w:rsid w:val="00626310"/>
    <w:rsid w:val="00626EA2"/>
    <w:rsid w:val="00627906"/>
    <w:rsid w:val="00635D38"/>
    <w:rsid w:val="00637EFF"/>
    <w:rsid w:val="00641C7D"/>
    <w:rsid w:val="00647719"/>
    <w:rsid w:val="0066093D"/>
    <w:rsid w:val="00661FA8"/>
    <w:rsid w:val="006623C3"/>
    <w:rsid w:val="00662954"/>
    <w:rsid w:val="00666DD7"/>
    <w:rsid w:val="00670887"/>
    <w:rsid w:val="00672166"/>
    <w:rsid w:val="00674BCA"/>
    <w:rsid w:val="0067668D"/>
    <w:rsid w:val="00677265"/>
    <w:rsid w:val="00682DF4"/>
    <w:rsid w:val="00686305"/>
    <w:rsid w:val="006902B1"/>
    <w:rsid w:val="0069616D"/>
    <w:rsid w:val="006A03CE"/>
    <w:rsid w:val="006A2C84"/>
    <w:rsid w:val="006B68D5"/>
    <w:rsid w:val="006B7F5D"/>
    <w:rsid w:val="006C0839"/>
    <w:rsid w:val="006C5A51"/>
    <w:rsid w:val="006D0553"/>
    <w:rsid w:val="006E116C"/>
    <w:rsid w:val="006E13F8"/>
    <w:rsid w:val="006E2EAD"/>
    <w:rsid w:val="006E31D7"/>
    <w:rsid w:val="006E395D"/>
    <w:rsid w:val="006E7580"/>
    <w:rsid w:val="006F6750"/>
    <w:rsid w:val="00700E9E"/>
    <w:rsid w:val="007100A6"/>
    <w:rsid w:val="00711141"/>
    <w:rsid w:val="007120E9"/>
    <w:rsid w:val="00714173"/>
    <w:rsid w:val="0072291E"/>
    <w:rsid w:val="00726797"/>
    <w:rsid w:val="00750322"/>
    <w:rsid w:val="00752138"/>
    <w:rsid w:val="007533FA"/>
    <w:rsid w:val="00755F3E"/>
    <w:rsid w:val="00762473"/>
    <w:rsid w:val="0076568E"/>
    <w:rsid w:val="007774DF"/>
    <w:rsid w:val="0078109F"/>
    <w:rsid w:val="0079000E"/>
    <w:rsid w:val="007912B5"/>
    <w:rsid w:val="007A0821"/>
    <w:rsid w:val="007A7990"/>
    <w:rsid w:val="007B3267"/>
    <w:rsid w:val="007B5310"/>
    <w:rsid w:val="007B5DF9"/>
    <w:rsid w:val="007B611C"/>
    <w:rsid w:val="007B6617"/>
    <w:rsid w:val="007B6766"/>
    <w:rsid w:val="007C2A01"/>
    <w:rsid w:val="007C2E44"/>
    <w:rsid w:val="007D086B"/>
    <w:rsid w:val="007D65FB"/>
    <w:rsid w:val="007D6848"/>
    <w:rsid w:val="007E397B"/>
    <w:rsid w:val="007E558A"/>
    <w:rsid w:val="007F1D2E"/>
    <w:rsid w:val="008109BD"/>
    <w:rsid w:val="0082142C"/>
    <w:rsid w:val="00823C5E"/>
    <w:rsid w:val="008267A6"/>
    <w:rsid w:val="00830B7B"/>
    <w:rsid w:val="00832A78"/>
    <w:rsid w:val="00833A0C"/>
    <w:rsid w:val="008404BC"/>
    <w:rsid w:val="00840A7C"/>
    <w:rsid w:val="008412ED"/>
    <w:rsid w:val="008413DA"/>
    <w:rsid w:val="00842198"/>
    <w:rsid w:val="008429E6"/>
    <w:rsid w:val="008450A4"/>
    <w:rsid w:val="008502E1"/>
    <w:rsid w:val="0085269C"/>
    <w:rsid w:val="00856847"/>
    <w:rsid w:val="008674E9"/>
    <w:rsid w:val="008725BD"/>
    <w:rsid w:val="008729CC"/>
    <w:rsid w:val="008824FA"/>
    <w:rsid w:val="00892947"/>
    <w:rsid w:val="00894BF4"/>
    <w:rsid w:val="008A0E6F"/>
    <w:rsid w:val="008A1054"/>
    <w:rsid w:val="008A42CD"/>
    <w:rsid w:val="008B6214"/>
    <w:rsid w:val="008C0749"/>
    <w:rsid w:val="008C3446"/>
    <w:rsid w:val="008C66F2"/>
    <w:rsid w:val="008C73F8"/>
    <w:rsid w:val="008D0953"/>
    <w:rsid w:val="008D44A8"/>
    <w:rsid w:val="008D5081"/>
    <w:rsid w:val="008D6762"/>
    <w:rsid w:val="008D69A0"/>
    <w:rsid w:val="008E44E3"/>
    <w:rsid w:val="008E51ED"/>
    <w:rsid w:val="008E6F95"/>
    <w:rsid w:val="008E78E1"/>
    <w:rsid w:val="008F2687"/>
    <w:rsid w:val="008F5842"/>
    <w:rsid w:val="00900D0D"/>
    <w:rsid w:val="00900FC8"/>
    <w:rsid w:val="00907024"/>
    <w:rsid w:val="00907DD4"/>
    <w:rsid w:val="00915A87"/>
    <w:rsid w:val="00922FCC"/>
    <w:rsid w:val="00927F64"/>
    <w:rsid w:val="009324EF"/>
    <w:rsid w:val="00934711"/>
    <w:rsid w:val="00946427"/>
    <w:rsid w:val="00947087"/>
    <w:rsid w:val="00963CEF"/>
    <w:rsid w:val="009666BE"/>
    <w:rsid w:val="009677E4"/>
    <w:rsid w:val="0097190B"/>
    <w:rsid w:val="009851B6"/>
    <w:rsid w:val="0098682C"/>
    <w:rsid w:val="00986A04"/>
    <w:rsid w:val="00992353"/>
    <w:rsid w:val="00994ED2"/>
    <w:rsid w:val="009A3DFB"/>
    <w:rsid w:val="009A65B0"/>
    <w:rsid w:val="009B0202"/>
    <w:rsid w:val="009B5146"/>
    <w:rsid w:val="009B6748"/>
    <w:rsid w:val="009B681C"/>
    <w:rsid w:val="009B7BB6"/>
    <w:rsid w:val="009C3FD9"/>
    <w:rsid w:val="009C5E6C"/>
    <w:rsid w:val="009E2174"/>
    <w:rsid w:val="009E3474"/>
    <w:rsid w:val="009E5ED7"/>
    <w:rsid w:val="009F1CED"/>
    <w:rsid w:val="009F30CA"/>
    <w:rsid w:val="00A01AB5"/>
    <w:rsid w:val="00A03DFD"/>
    <w:rsid w:val="00A144CD"/>
    <w:rsid w:val="00A17462"/>
    <w:rsid w:val="00A22F98"/>
    <w:rsid w:val="00A23480"/>
    <w:rsid w:val="00A247D7"/>
    <w:rsid w:val="00A34665"/>
    <w:rsid w:val="00A36F61"/>
    <w:rsid w:val="00A41D48"/>
    <w:rsid w:val="00A44AB0"/>
    <w:rsid w:val="00A47C0E"/>
    <w:rsid w:val="00A53914"/>
    <w:rsid w:val="00A541DD"/>
    <w:rsid w:val="00A564B8"/>
    <w:rsid w:val="00A57C8E"/>
    <w:rsid w:val="00A62E35"/>
    <w:rsid w:val="00A6417A"/>
    <w:rsid w:val="00A643F8"/>
    <w:rsid w:val="00A6683D"/>
    <w:rsid w:val="00A67FA9"/>
    <w:rsid w:val="00A80B08"/>
    <w:rsid w:val="00A81036"/>
    <w:rsid w:val="00A83D03"/>
    <w:rsid w:val="00A914A6"/>
    <w:rsid w:val="00A95C40"/>
    <w:rsid w:val="00AA5159"/>
    <w:rsid w:val="00AA6068"/>
    <w:rsid w:val="00AB50E2"/>
    <w:rsid w:val="00AB50F5"/>
    <w:rsid w:val="00AB5D1D"/>
    <w:rsid w:val="00AC4459"/>
    <w:rsid w:val="00AC625D"/>
    <w:rsid w:val="00AD1D16"/>
    <w:rsid w:val="00AD3C90"/>
    <w:rsid w:val="00AD6DBD"/>
    <w:rsid w:val="00AE6B31"/>
    <w:rsid w:val="00AF313E"/>
    <w:rsid w:val="00AF6DC1"/>
    <w:rsid w:val="00AF7E4F"/>
    <w:rsid w:val="00B007FA"/>
    <w:rsid w:val="00B13701"/>
    <w:rsid w:val="00B26407"/>
    <w:rsid w:val="00B306E1"/>
    <w:rsid w:val="00B32A76"/>
    <w:rsid w:val="00B36304"/>
    <w:rsid w:val="00B36E15"/>
    <w:rsid w:val="00B42D3E"/>
    <w:rsid w:val="00B43BD1"/>
    <w:rsid w:val="00B45C53"/>
    <w:rsid w:val="00B51A26"/>
    <w:rsid w:val="00B53418"/>
    <w:rsid w:val="00B61EA0"/>
    <w:rsid w:val="00B70CD4"/>
    <w:rsid w:val="00B71BE3"/>
    <w:rsid w:val="00B72ED6"/>
    <w:rsid w:val="00B73028"/>
    <w:rsid w:val="00B73EA0"/>
    <w:rsid w:val="00B810F5"/>
    <w:rsid w:val="00B81C3E"/>
    <w:rsid w:val="00B9199F"/>
    <w:rsid w:val="00B9394A"/>
    <w:rsid w:val="00BA01A9"/>
    <w:rsid w:val="00BA77BC"/>
    <w:rsid w:val="00BB2BA7"/>
    <w:rsid w:val="00BB3667"/>
    <w:rsid w:val="00BB4488"/>
    <w:rsid w:val="00BB7A81"/>
    <w:rsid w:val="00BD26DC"/>
    <w:rsid w:val="00BD50D8"/>
    <w:rsid w:val="00BD78F0"/>
    <w:rsid w:val="00BE4D34"/>
    <w:rsid w:val="00BF00C1"/>
    <w:rsid w:val="00BF0B80"/>
    <w:rsid w:val="00C00F2E"/>
    <w:rsid w:val="00C02E38"/>
    <w:rsid w:val="00C04C97"/>
    <w:rsid w:val="00C079B7"/>
    <w:rsid w:val="00C136CA"/>
    <w:rsid w:val="00C1463B"/>
    <w:rsid w:val="00C25B15"/>
    <w:rsid w:val="00C30D77"/>
    <w:rsid w:val="00C3137C"/>
    <w:rsid w:val="00C33144"/>
    <w:rsid w:val="00C33411"/>
    <w:rsid w:val="00C34538"/>
    <w:rsid w:val="00C47FB5"/>
    <w:rsid w:val="00C511F8"/>
    <w:rsid w:val="00C57FD6"/>
    <w:rsid w:val="00C62F0A"/>
    <w:rsid w:val="00C632CF"/>
    <w:rsid w:val="00C66593"/>
    <w:rsid w:val="00C804A5"/>
    <w:rsid w:val="00C82581"/>
    <w:rsid w:val="00C85EB8"/>
    <w:rsid w:val="00C90846"/>
    <w:rsid w:val="00C90C20"/>
    <w:rsid w:val="00C9282D"/>
    <w:rsid w:val="00C96818"/>
    <w:rsid w:val="00C97120"/>
    <w:rsid w:val="00CA4524"/>
    <w:rsid w:val="00CB029D"/>
    <w:rsid w:val="00CB0861"/>
    <w:rsid w:val="00CB2804"/>
    <w:rsid w:val="00CB6331"/>
    <w:rsid w:val="00CB7367"/>
    <w:rsid w:val="00CC477C"/>
    <w:rsid w:val="00CC4F9E"/>
    <w:rsid w:val="00CD0612"/>
    <w:rsid w:val="00CD0DFC"/>
    <w:rsid w:val="00CD3206"/>
    <w:rsid w:val="00CD3EB3"/>
    <w:rsid w:val="00D003FD"/>
    <w:rsid w:val="00D033EF"/>
    <w:rsid w:val="00D111C4"/>
    <w:rsid w:val="00D15899"/>
    <w:rsid w:val="00D15F1A"/>
    <w:rsid w:val="00D17CAC"/>
    <w:rsid w:val="00D17DBE"/>
    <w:rsid w:val="00D32439"/>
    <w:rsid w:val="00D33F9E"/>
    <w:rsid w:val="00D41017"/>
    <w:rsid w:val="00D41092"/>
    <w:rsid w:val="00D41D7C"/>
    <w:rsid w:val="00D425DA"/>
    <w:rsid w:val="00D50AB9"/>
    <w:rsid w:val="00D547B1"/>
    <w:rsid w:val="00D56B27"/>
    <w:rsid w:val="00D66EE1"/>
    <w:rsid w:val="00D81354"/>
    <w:rsid w:val="00D81612"/>
    <w:rsid w:val="00D86CE3"/>
    <w:rsid w:val="00D87484"/>
    <w:rsid w:val="00D96981"/>
    <w:rsid w:val="00DA182D"/>
    <w:rsid w:val="00DA4098"/>
    <w:rsid w:val="00DA4794"/>
    <w:rsid w:val="00DB038C"/>
    <w:rsid w:val="00DB2BEA"/>
    <w:rsid w:val="00DB42DD"/>
    <w:rsid w:val="00DB6FF0"/>
    <w:rsid w:val="00DD05B3"/>
    <w:rsid w:val="00DD2F25"/>
    <w:rsid w:val="00DD4971"/>
    <w:rsid w:val="00DE08DA"/>
    <w:rsid w:val="00DF307D"/>
    <w:rsid w:val="00DF45D0"/>
    <w:rsid w:val="00E058C8"/>
    <w:rsid w:val="00E10374"/>
    <w:rsid w:val="00E118FD"/>
    <w:rsid w:val="00E25DC7"/>
    <w:rsid w:val="00E25DED"/>
    <w:rsid w:val="00E3556F"/>
    <w:rsid w:val="00E40C59"/>
    <w:rsid w:val="00E4359D"/>
    <w:rsid w:val="00E44972"/>
    <w:rsid w:val="00E51152"/>
    <w:rsid w:val="00E51BDD"/>
    <w:rsid w:val="00E57181"/>
    <w:rsid w:val="00E57937"/>
    <w:rsid w:val="00E64A83"/>
    <w:rsid w:val="00E71B1E"/>
    <w:rsid w:val="00E769A1"/>
    <w:rsid w:val="00E82AA8"/>
    <w:rsid w:val="00E86E22"/>
    <w:rsid w:val="00E87E10"/>
    <w:rsid w:val="00E91B28"/>
    <w:rsid w:val="00E93295"/>
    <w:rsid w:val="00E95677"/>
    <w:rsid w:val="00E95969"/>
    <w:rsid w:val="00E96920"/>
    <w:rsid w:val="00E974C5"/>
    <w:rsid w:val="00EA67F7"/>
    <w:rsid w:val="00EA6AA3"/>
    <w:rsid w:val="00EB07B1"/>
    <w:rsid w:val="00EB366D"/>
    <w:rsid w:val="00EB38C5"/>
    <w:rsid w:val="00EB4592"/>
    <w:rsid w:val="00EC1F00"/>
    <w:rsid w:val="00EC3D60"/>
    <w:rsid w:val="00EC684F"/>
    <w:rsid w:val="00ED05E8"/>
    <w:rsid w:val="00ED11FB"/>
    <w:rsid w:val="00ED249D"/>
    <w:rsid w:val="00ED2586"/>
    <w:rsid w:val="00ED77F7"/>
    <w:rsid w:val="00EE79B0"/>
    <w:rsid w:val="00EE7B7C"/>
    <w:rsid w:val="00F02167"/>
    <w:rsid w:val="00F024DD"/>
    <w:rsid w:val="00F0450E"/>
    <w:rsid w:val="00F06098"/>
    <w:rsid w:val="00F07FE0"/>
    <w:rsid w:val="00F11748"/>
    <w:rsid w:val="00F15DFD"/>
    <w:rsid w:val="00F20EEF"/>
    <w:rsid w:val="00F23838"/>
    <w:rsid w:val="00F3099C"/>
    <w:rsid w:val="00F31AFD"/>
    <w:rsid w:val="00F36B82"/>
    <w:rsid w:val="00F36D31"/>
    <w:rsid w:val="00F42C20"/>
    <w:rsid w:val="00F54795"/>
    <w:rsid w:val="00F56166"/>
    <w:rsid w:val="00F56834"/>
    <w:rsid w:val="00F714B7"/>
    <w:rsid w:val="00F71EBD"/>
    <w:rsid w:val="00F814BB"/>
    <w:rsid w:val="00F81B4D"/>
    <w:rsid w:val="00F82830"/>
    <w:rsid w:val="00F83989"/>
    <w:rsid w:val="00F84CE1"/>
    <w:rsid w:val="00F86F33"/>
    <w:rsid w:val="00F8771F"/>
    <w:rsid w:val="00F94516"/>
    <w:rsid w:val="00FA668C"/>
    <w:rsid w:val="00FB0AFD"/>
    <w:rsid w:val="00FB1C74"/>
    <w:rsid w:val="00FB5C21"/>
    <w:rsid w:val="00FC2179"/>
    <w:rsid w:val="00FD0AC9"/>
    <w:rsid w:val="00FD3D91"/>
    <w:rsid w:val="00FE112C"/>
    <w:rsid w:val="00FE205F"/>
    <w:rsid w:val="00FE6E7E"/>
    <w:rsid w:val="00FF0CDD"/>
    <w:rsid w:val="00F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2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24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2959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3F9E"/>
    <w:pPr>
      <w:ind w:left="720"/>
      <w:contextualSpacing/>
    </w:pPr>
  </w:style>
  <w:style w:type="character" w:styleId="Emphasis">
    <w:name w:val="Emphasis"/>
    <w:basedOn w:val="DefaultParagraphFont"/>
    <w:uiPriority w:val="20"/>
    <w:qFormat/>
    <w:rsid w:val="00C90C20"/>
    <w:rPr>
      <w:i/>
      <w:iCs/>
    </w:rPr>
  </w:style>
  <w:style w:type="character" w:customStyle="1" w:styleId="Heading3Char">
    <w:name w:val="Heading 3 Char"/>
    <w:basedOn w:val="DefaultParagraphFont"/>
    <w:link w:val="Heading3"/>
    <w:uiPriority w:val="9"/>
    <w:rsid w:val="008824FA"/>
    <w:rPr>
      <w:rFonts w:ascii="Times New Roman" w:eastAsia="Times New Roman" w:hAnsi="Times New Roman" w:cs="Times New Roman"/>
      <w:b/>
      <w:bCs/>
      <w:sz w:val="27"/>
      <w:szCs w:val="27"/>
    </w:rPr>
  </w:style>
  <w:style w:type="paragraph" w:styleId="NormalWeb">
    <w:name w:val="Normal (Web)"/>
    <w:basedOn w:val="Normal"/>
    <w:uiPriority w:val="99"/>
    <w:unhideWhenUsed/>
    <w:rsid w:val="007E3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97B"/>
    <w:rPr>
      <w:b/>
      <w:bCs/>
    </w:rPr>
  </w:style>
  <w:style w:type="character" w:customStyle="1" w:styleId="topic-highlight">
    <w:name w:val="topic-highlight"/>
    <w:basedOn w:val="DefaultParagraphFont"/>
    <w:rsid w:val="00E25DED"/>
  </w:style>
  <w:style w:type="character" w:customStyle="1" w:styleId="fontstyle01">
    <w:name w:val="fontstyle01"/>
    <w:basedOn w:val="DefaultParagraphFont"/>
    <w:rsid w:val="00830B7B"/>
    <w:rPr>
      <w:rFonts w:ascii="CIDFont+F2" w:hAnsi="CIDFont+F2" w:hint="default"/>
      <w:b w:val="0"/>
      <w:bCs w:val="0"/>
      <w:i w:val="0"/>
      <w:iCs w:val="0"/>
      <w:color w:val="000000"/>
      <w:sz w:val="32"/>
      <w:szCs w:val="32"/>
    </w:rPr>
  </w:style>
  <w:style w:type="table" w:styleId="TableGrid">
    <w:name w:val="Table Grid"/>
    <w:basedOn w:val="TableNormal"/>
    <w:uiPriority w:val="59"/>
    <w:rsid w:val="00CB029D"/>
    <w:pPr>
      <w:spacing w:before="100" w:beforeAutospacing="1" w:after="0" w:afterAutospacing="1"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2A7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4730DB"/>
    <w:pPr>
      <w:widowControl w:val="0"/>
      <w:autoSpaceDE w:val="0"/>
      <w:autoSpaceDN w:val="0"/>
      <w:spacing w:after="0" w:line="240" w:lineRule="auto"/>
    </w:pPr>
    <w:rPr>
      <w:rFonts w:ascii="Century" w:eastAsia="Century" w:hAnsi="Century" w:cs="Century"/>
      <w:sz w:val="16"/>
      <w:szCs w:val="16"/>
    </w:rPr>
  </w:style>
  <w:style w:type="character" w:customStyle="1" w:styleId="BodyTextChar">
    <w:name w:val="Body Text Char"/>
    <w:basedOn w:val="DefaultParagraphFont"/>
    <w:link w:val="BodyText"/>
    <w:uiPriority w:val="1"/>
    <w:rsid w:val="004730DB"/>
    <w:rPr>
      <w:rFonts w:ascii="Century" w:eastAsia="Century" w:hAnsi="Century" w:cs="Century"/>
      <w:sz w:val="16"/>
      <w:szCs w:val="16"/>
    </w:rPr>
  </w:style>
  <w:style w:type="character" w:styleId="Hyperlink">
    <w:name w:val="Hyperlink"/>
    <w:basedOn w:val="DefaultParagraphFont"/>
    <w:uiPriority w:val="99"/>
    <w:unhideWhenUsed/>
    <w:rsid w:val="00336794"/>
    <w:rPr>
      <w:color w:val="0000FF"/>
      <w:u w:val="single"/>
    </w:rPr>
  </w:style>
  <w:style w:type="paragraph" w:styleId="BalloonText">
    <w:name w:val="Balloon Text"/>
    <w:basedOn w:val="Normal"/>
    <w:link w:val="BalloonTextChar"/>
    <w:uiPriority w:val="99"/>
    <w:semiHidden/>
    <w:unhideWhenUsed/>
    <w:rsid w:val="00F3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82"/>
    <w:rPr>
      <w:rFonts w:ascii="Tahoma" w:hAnsi="Tahoma" w:cs="Tahoma"/>
      <w:sz w:val="16"/>
      <w:szCs w:val="16"/>
    </w:rPr>
  </w:style>
  <w:style w:type="character" w:styleId="LineNumber">
    <w:name w:val="line number"/>
    <w:basedOn w:val="DefaultParagraphFont"/>
    <w:uiPriority w:val="99"/>
    <w:semiHidden/>
    <w:unhideWhenUsed/>
    <w:rsid w:val="00E57181"/>
  </w:style>
  <w:style w:type="paragraph" w:styleId="Header">
    <w:name w:val="header"/>
    <w:basedOn w:val="Normal"/>
    <w:link w:val="HeaderChar"/>
    <w:uiPriority w:val="99"/>
    <w:unhideWhenUsed/>
    <w:rsid w:val="00674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CA"/>
  </w:style>
  <w:style w:type="paragraph" w:styleId="Footer">
    <w:name w:val="footer"/>
    <w:basedOn w:val="Normal"/>
    <w:link w:val="FooterChar"/>
    <w:uiPriority w:val="99"/>
    <w:unhideWhenUsed/>
    <w:rsid w:val="00674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CA"/>
  </w:style>
  <w:style w:type="table" w:customStyle="1" w:styleId="TableGrid1">
    <w:name w:val="Table Grid1"/>
    <w:basedOn w:val="TableNormal"/>
    <w:next w:val="TableGrid"/>
    <w:uiPriority w:val="59"/>
    <w:rsid w:val="00677265"/>
    <w:pPr>
      <w:spacing w:before="100" w:beforeAutospacing="1" w:after="100" w:afterAutospacing="1"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624B3"/>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74D49"/>
    <w:pPr>
      <w:spacing w:before="100" w:beforeAutospacing="1" w:after="100" w:afterAutospacing="1" w:line="240" w:lineRule="auto"/>
    </w:pPr>
    <w:rPr>
      <w:b/>
      <w:bCs/>
      <w:color w:val="4F81BD" w:themeColor="accent1"/>
      <w:sz w:val="18"/>
      <w:szCs w:val="18"/>
    </w:rPr>
  </w:style>
  <w:style w:type="character" w:customStyle="1" w:styleId="ref-lnk">
    <w:name w:val="ref-lnk"/>
    <w:basedOn w:val="DefaultParagraphFont"/>
    <w:rsid w:val="00662954"/>
  </w:style>
  <w:style w:type="character" w:customStyle="1" w:styleId="off-screen">
    <w:name w:val="off-screen"/>
    <w:basedOn w:val="DefaultParagraphFont"/>
    <w:rsid w:val="00662954"/>
  </w:style>
  <w:style w:type="character" w:customStyle="1" w:styleId="dropblock">
    <w:name w:val="dropblock"/>
    <w:basedOn w:val="DefaultParagraphFont"/>
    <w:rsid w:val="00B9199F"/>
  </w:style>
  <w:style w:type="character" w:customStyle="1" w:styleId="Heading5Char">
    <w:name w:val="Heading 5 Char"/>
    <w:basedOn w:val="DefaultParagraphFont"/>
    <w:link w:val="Heading5"/>
    <w:uiPriority w:val="9"/>
    <w:rsid w:val="00295959"/>
    <w:rPr>
      <w:rFonts w:asciiTheme="majorHAnsi" w:eastAsiaTheme="majorEastAsia" w:hAnsiTheme="majorHAnsi" w:cstheme="majorBidi"/>
      <w:color w:val="243F60" w:themeColor="accent1" w:themeShade="7F"/>
    </w:rPr>
  </w:style>
  <w:style w:type="paragraph" w:customStyle="1" w:styleId="figure">
    <w:name w:val="figure"/>
    <w:basedOn w:val="TableofFigures"/>
    <w:link w:val="figureChar"/>
    <w:autoRedefine/>
    <w:qFormat/>
    <w:rsid w:val="00295959"/>
    <w:pPr>
      <w:tabs>
        <w:tab w:val="left" w:pos="2340"/>
        <w:tab w:val="right" w:leader="dot" w:pos="9350"/>
      </w:tabs>
      <w:spacing w:after="240" w:line="360" w:lineRule="auto"/>
      <w:ind w:hanging="440"/>
      <w:jc w:val="both"/>
    </w:pPr>
    <w:rPr>
      <w:rFonts w:ascii="Times New Roman" w:hAnsi="Times New Roman"/>
      <w:bCs/>
      <w:sz w:val="24"/>
      <w:szCs w:val="20"/>
    </w:rPr>
  </w:style>
  <w:style w:type="character" w:customStyle="1" w:styleId="figureChar">
    <w:name w:val="figure Char"/>
    <w:basedOn w:val="DefaultParagraphFont"/>
    <w:link w:val="figure"/>
    <w:rsid w:val="00295959"/>
    <w:rPr>
      <w:rFonts w:ascii="Times New Roman" w:hAnsi="Times New Roman"/>
      <w:bCs/>
      <w:sz w:val="24"/>
      <w:szCs w:val="20"/>
    </w:rPr>
  </w:style>
  <w:style w:type="paragraph" w:styleId="TableofFigures">
    <w:name w:val="table of figures"/>
    <w:basedOn w:val="Normal"/>
    <w:next w:val="Normal"/>
    <w:uiPriority w:val="99"/>
    <w:semiHidden/>
    <w:unhideWhenUsed/>
    <w:rsid w:val="00295959"/>
    <w:pPr>
      <w:spacing w:after="0"/>
    </w:pPr>
  </w:style>
  <w:style w:type="character" w:customStyle="1" w:styleId="citationsource-book">
    <w:name w:val="citation_source-book"/>
    <w:basedOn w:val="DefaultParagraphFont"/>
    <w:rsid w:val="00EA67F7"/>
  </w:style>
  <w:style w:type="character" w:customStyle="1" w:styleId="citationsource-journal">
    <w:name w:val="citation_source-journal"/>
    <w:basedOn w:val="DefaultParagraphFont"/>
    <w:rsid w:val="0040782F"/>
  </w:style>
  <w:style w:type="character" w:customStyle="1" w:styleId="math-inline">
    <w:name w:val="math-inline"/>
    <w:basedOn w:val="DefaultParagraphFont"/>
    <w:rsid w:val="004B2FCB"/>
  </w:style>
  <w:style w:type="character" w:styleId="HTMLCode">
    <w:name w:val="HTML Code"/>
    <w:basedOn w:val="DefaultParagraphFont"/>
    <w:uiPriority w:val="99"/>
    <w:semiHidden/>
    <w:unhideWhenUsed/>
    <w:rsid w:val="00A5391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2A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4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24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29595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3F9E"/>
    <w:pPr>
      <w:ind w:left="720"/>
      <w:contextualSpacing/>
    </w:pPr>
  </w:style>
  <w:style w:type="character" w:styleId="Emphasis">
    <w:name w:val="Emphasis"/>
    <w:basedOn w:val="DefaultParagraphFont"/>
    <w:uiPriority w:val="20"/>
    <w:qFormat/>
    <w:rsid w:val="00C90C20"/>
    <w:rPr>
      <w:i/>
      <w:iCs/>
    </w:rPr>
  </w:style>
  <w:style w:type="character" w:customStyle="1" w:styleId="Heading3Char">
    <w:name w:val="Heading 3 Char"/>
    <w:basedOn w:val="DefaultParagraphFont"/>
    <w:link w:val="Heading3"/>
    <w:uiPriority w:val="9"/>
    <w:rsid w:val="008824FA"/>
    <w:rPr>
      <w:rFonts w:ascii="Times New Roman" w:eastAsia="Times New Roman" w:hAnsi="Times New Roman" w:cs="Times New Roman"/>
      <w:b/>
      <w:bCs/>
      <w:sz w:val="27"/>
      <w:szCs w:val="27"/>
    </w:rPr>
  </w:style>
  <w:style w:type="paragraph" w:styleId="NormalWeb">
    <w:name w:val="Normal (Web)"/>
    <w:basedOn w:val="Normal"/>
    <w:uiPriority w:val="99"/>
    <w:unhideWhenUsed/>
    <w:rsid w:val="007E3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97B"/>
    <w:rPr>
      <w:b/>
      <w:bCs/>
    </w:rPr>
  </w:style>
  <w:style w:type="character" w:customStyle="1" w:styleId="topic-highlight">
    <w:name w:val="topic-highlight"/>
    <w:basedOn w:val="DefaultParagraphFont"/>
    <w:rsid w:val="00E25DED"/>
  </w:style>
  <w:style w:type="character" w:customStyle="1" w:styleId="fontstyle01">
    <w:name w:val="fontstyle01"/>
    <w:basedOn w:val="DefaultParagraphFont"/>
    <w:rsid w:val="00830B7B"/>
    <w:rPr>
      <w:rFonts w:ascii="CIDFont+F2" w:hAnsi="CIDFont+F2" w:hint="default"/>
      <w:b w:val="0"/>
      <w:bCs w:val="0"/>
      <w:i w:val="0"/>
      <w:iCs w:val="0"/>
      <w:color w:val="000000"/>
      <w:sz w:val="32"/>
      <w:szCs w:val="32"/>
    </w:rPr>
  </w:style>
  <w:style w:type="table" w:styleId="TableGrid">
    <w:name w:val="Table Grid"/>
    <w:basedOn w:val="TableNormal"/>
    <w:uiPriority w:val="59"/>
    <w:rsid w:val="00CB029D"/>
    <w:pPr>
      <w:spacing w:before="100" w:beforeAutospacing="1" w:after="0" w:afterAutospacing="1"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2A7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4730DB"/>
    <w:pPr>
      <w:widowControl w:val="0"/>
      <w:autoSpaceDE w:val="0"/>
      <w:autoSpaceDN w:val="0"/>
      <w:spacing w:after="0" w:line="240" w:lineRule="auto"/>
    </w:pPr>
    <w:rPr>
      <w:rFonts w:ascii="Century" w:eastAsia="Century" w:hAnsi="Century" w:cs="Century"/>
      <w:sz w:val="16"/>
      <w:szCs w:val="16"/>
    </w:rPr>
  </w:style>
  <w:style w:type="character" w:customStyle="1" w:styleId="BodyTextChar">
    <w:name w:val="Body Text Char"/>
    <w:basedOn w:val="DefaultParagraphFont"/>
    <w:link w:val="BodyText"/>
    <w:uiPriority w:val="1"/>
    <w:rsid w:val="004730DB"/>
    <w:rPr>
      <w:rFonts w:ascii="Century" w:eastAsia="Century" w:hAnsi="Century" w:cs="Century"/>
      <w:sz w:val="16"/>
      <w:szCs w:val="16"/>
    </w:rPr>
  </w:style>
  <w:style w:type="character" w:styleId="Hyperlink">
    <w:name w:val="Hyperlink"/>
    <w:basedOn w:val="DefaultParagraphFont"/>
    <w:uiPriority w:val="99"/>
    <w:unhideWhenUsed/>
    <w:rsid w:val="00336794"/>
    <w:rPr>
      <w:color w:val="0000FF"/>
      <w:u w:val="single"/>
    </w:rPr>
  </w:style>
  <w:style w:type="paragraph" w:styleId="BalloonText">
    <w:name w:val="Balloon Text"/>
    <w:basedOn w:val="Normal"/>
    <w:link w:val="BalloonTextChar"/>
    <w:uiPriority w:val="99"/>
    <w:semiHidden/>
    <w:unhideWhenUsed/>
    <w:rsid w:val="00F3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82"/>
    <w:rPr>
      <w:rFonts w:ascii="Tahoma" w:hAnsi="Tahoma" w:cs="Tahoma"/>
      <w:sz w:val="16"/>
      <w:szCs w:val="16"/>
    </w:rPr>
  </w:style>
  <w:style w:type="character" w:styleId="LineNumber">
    <w:name w:val="line number"/>
    <w:basedOn w:val="DefaultParagraphFont"/>
    <w:uiPriority w:val="99"/>
    <w:semiHidden/>
    <w:unhideWhenUsed/>
    <w:rsid w:val="00E57181"/>
  </w:style>
  <w:style w:type="paragraph" w:styleId="Header">
    <w:name w:val="header"/>
    <w:basedOn w:val="Normal"/>
    <w:link w:val="HeaderChar"/>
    <w:uiPriority w:val="99"/>
    <w:unhideWhenUsed/>
    <w:rsid w:val="00674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BCA"/>
  </w:style>
  <w:style w:type="paragraph" w:styleId="Footer">
    <w:name w:val="footer"/>
    <w:basedOn w:val="Normal"/>
    <w:link w:val="FooterChar"/>
    <w:uiPriority w:val="99"/>
    <w:unhideWhenUsed/>
    <w:rsid w:val="00674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BCA"/>
  </w:style>
  <w:style w:type="table" w:customStyle="1" w:styleId="TableGrid1">
    <w:name w:val="Table Grid1"/>
    <w:basedOn w:val="TableNormal"/>
    <w:next w:val="TableGrid"/>
    <w:uiPriority w:val="59"/>
    <w:rsid w:val="00677265"/>
    <w:pPr>
      <w:spacing w:before="100" w:beforeAutospacing="1" w:after="100" w:afterAutospacing="1"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624B3"/>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474D49"/>
    <w:pPr>
      <w:spacing w:before="100" w:beforeAutospacing="1" w:after="100" w:afterAutospacing="1" w:line="240" w:lineRule="auto"/>
    </w:pPr>
    <w:rPr>
      <w:b/>
      <w:bCs/>
      <w:color w:val="4F81BD" w:themeColor="accent1"/>
      <w:sz w:val="18"/>
      <w:szCs w:val="18"/>
    </w:rPr>
  </w:style>
  <w:style w:type="character" w:customStyle="1" w:styleId="ref-lnk">
    <w:name w:val="ref-lnk"/>
    <w:basedOn w:val="DefaultParagraphFont"/>
    <w:rsid w:val="00662954"/>
  </w:style>
  <w:style w:type="character" w:customStyle="1" w:styleId="off-screen">
    <w:name w:val="off-screen"/>
    <w:basedOn w:val="DefaultParagraphFont"/>
    <w:rsid w:val="00662954"/>
  </w:style>
  <w:style w:type="character" w:customStyle="1" w:styleId="dropblock">
    <w:name w:val="dropblock"/>
    <w:basedOn w:val="DefaultParagraphFont"/>
    <w:rsid w:val="00B9199F"/>
  </w:style>
  <w:style w:type="character" w:customStyle="1" w:styleId="Heading5Char">
    <w:name w:val="Heading 5 Char"/>
    <w:basedOn w:val="DefaultParagraphFont"/>
    <w:link w:val="Heading5"/>
    <w:uiPriority w:val="9"/>
    <w:rsid w:val="00295959"/>
    <w:rPr>
      <w:rFonts w:asciiTheme="majorHAnsi" w:eastAsiaTheme="majorEastAsia" w:hAnsiTheme="majorHAnsi" w:cstheme="majorBidi"/>
      <w:color w:val="243F60" w:themeColor="accent1" w:themeShade="7F"/>
    </w:rPr>
  </w:style>
  <w:style w:type="paragraph" w:customStyle="1" w:styleId="figure">
    <w:name w:val="figure"/>
    <w:basedOn w:val="TableofFigures"/>
    <w:link w:val="figureChar"/>
    <w:autoRedefine/>
    <w:qFormat/>
    <w:rsid w:val="00295959"/>
    <w:pPr>
      <w:tabs>
        <w:tab w:val="left" w:pos="2340"/>
        <w:tab w:val="right" w:leader="dot" w:pos="9350"/>
      </w:tabs>
      <w:spacing w:after="240" w:line="360" w:lineRule="auto"/>
      <w:ind w:hanging="440"/>
      <w:jc w:val="both"/>
    </w:pPr>
    <w:rPr>
      <w:rFonts w:ascii="Times New Roman" w:hAnsi="Times New Roman"/>
      <w:bCs/>
      <w:sz w:val="24"/>
      <w:szCs w:val="20"/>
    </w:rPr>
  </w:style>
  <w:style w:type="character" w:customStyle="1" w:styleId="figureChar">
    <w:name w:val="figure Char"/>
    <w:basedOn w:val="DefaultParagraphFont"/>
    <w:link w:val="figure"/>
    <w:rsid w:val="00295959"/>
    <w:rPr>
      <w:rFonts w:ascii="Times New Roman" w:hAnsi="Times New Roman"/>
      <w:bCs/>
      <w:sz w:val="24"/>
      <w:szCs w:val="20"/>
    </w:rPr>
  </w:style>
  <w:style w:type="paragraph" w:styleId="TableofFigures">
    <w:name w:val="table of figures"/>
    <w:basedOn w:val="Normal"/>
    <w:next w:val="Normal"/>
    <w:uiPriority w:val="99"/>
    <w:semiHidden/>
    <w:unhideWhenUsed/>
    <w:rsid w:val="00295959"/>
    <w:pPr>
      <w:spacing w:after="0"/>
    </w:pPr>
  </w:style>
  <w:style w:type="character" w:customStyle="1" w:styleId="citationsource-book">
    <w:name w:val="citation_source-book"/>
    <w:basedOn w:val="DefaultParagraphFont"/>
    <w:rsid w:val="00EA67F7"/>
  </w:style>
  <w:style w:type="character" w:customStyle="1" w:styleId="citationsource-journal">
    <w:name w:val="citation_source-journal"/>
    <w:basedOn w:val="DefaultParagraphFont"/>
    <w:rsid w:val="0040782F"/>
  </w:style>
  <w:style w:type="character" w:customStyle="1" w:styleId="math-inline">
    <w:name w:val="math-inline"/>
    <w:basedOn w:val="DefaultParagraphFont"/>
    <w:rsid w:val="004B2FCB"/>
  </w:style>
  <w:style w:type="character" w:styleId="HTMLCode">
    <w:name w:val="HTML Code"/>
    <w:basedOn w:val="DefaultParagraphFont"/>
    <w:uiPriority w:val="99"/>
    <w:semiHidden/>
    <w:unhideWhenUsed/>
    <w:rsid w:val="00A5391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29">
      <w:bodyDiv w:val="1"/>
      <w:marLeft w:val="0"/>
      <w:marRight w:val="0"/>
      <w:marTop w:val="0"/>
      <w:marBottom w:val="0"/>
      <w:divBdr>
        <w:top w:val="none" w:sz="0" w:space="0" w:color="auto"/>
        <w:left w:val="none" w:sz="0" w:space="0" w:color="auto"/>
        <w:bottom w:val="none" w:sz="0" w:space="0" w:color="auto"/>
        <w:right w:val="none" w:sz="0" w:space="0" w:color="auto"/>
      </w:divBdr>
    </w:div>
    <w:div w:id="44261116">
      <w:bodyDiv w:val="1"/>
      <w:marLeft w:val="0"/>
      <w:marRight w:val="0"/>
      <w:marTop w:val="0"/>
      <w:marBottom w:val="0"/>
      <w:divBdr>
        <w:top w:val="none" w:sz="0" w:space="0" w:color="auto"/>
        <w:left w:val="none" w:sz="0" w:space="0" w:color="auto"/>
        <w:bottom w:val="none" w:sz="0" w:space="0" w:color="auto"/>
        <w:right w:val="none" w:sz="0" w:space="0" w:color="auto"/>
      </w:divBdr>
    </w:div>
    <w:div w:id="90667697">
      <w:bodyDiv w:val="1"/>
      <w:marLeft w:val="0"/>
      <w:marRight w:val="0"/>
      <w:marTop w:val="0"/>
      <w:marBottom w:val="0"/>
      <w:divBdr>
        <w:top w:val="none" w:sz="0" w:space="0" w:color="auto"/>
        <w:left w:val="none" w:sz="0" w:space="0" w:color="auto"/>
        <w:bottom w:val="none" w:sz="0" w:space="0" w:color="auto"/>
        <w:right w:val="none" w:sz="0" w:space="0" w:color="auto"/>
      </w:divBdr>
    </w:div>
    <w:div w:id="98723221">
      <w:bodyDiv w:val="1"/>
      <w:marLeft w:val="0"/>
      <w:marRight w:val="0"/>
      <w:marTop w:val="0"/>
      <w:marBottom w:val="0"/>
      <w:divBdr>
        <w:top w:val="none" w:sz="0" w:space="0" w:color="auto"/>
        <w:left w:val="none" w:sz="0" w:space="0" w:color="auto"/>
        <w:bottom w:val="none" w:sz="0" w:space="0" w:color="auto"/>
        <w:right w:val="none" w:sz="0" w:space="0" w:color="auto"/>
      </w:divBdr>
    </w:div>
    <w:div w:id="172955413">
      <w:bodyDiv w:val="1"/>
      <w:marLeft w:val="0"/>
      <w:marRight w:val="0"/>
      <w:marTop w:val="0"/>
      <w:marBottom w:val="0"/>
      <w:divBdr>
        <w:top w:val="none" w:sz="0" w:space="0" w:color="auto"/>
        <w:left w:val="none" w:sz="0" w:space="0" w:color="auto"/>
        <w:bottom w:val="none" w:sz="0" w:space="0" w:color="auto"/>
        <w:right w:val="none" w:sz="0" w:space="0" w:color="auto"/>
      </w:divBdr>
    </w:div>
    <w:div w:id="210384475">
      <w:bodyDiv w:val="1"/>
      <w:marLeft w:val="0"/>
      <w:marRight w:val="0"/>
      <w:marTop w:val="0"/>
      <w:marBottom w:val="0"/>
      <w:divBdr>
        <w:top w:val="none" w:sz="0" w:space="0" w:color="auto"/>
        <w:left w:val="none" w:sz="0" w:space="0" w:color="auto"/>
        <w:bottom w:val="none" w:sz="0" w:space="0" w:color="auto"/>
        <w:right w:val="none" w:sz="0" w:space="0" w:color="auto"/>
      </w:divBdr>
    </w:div>
    <w:div w:id="213348664">
      <w:bodyDiv w:val="1"/>
      <w:marLeft w:val="0"/>
      <w:marRight w:val="0"/>
      <w:marTop w:val="0"/>
      <w:marBottom w:val="0"/>
      <w:divBdr>
        <w:top w:val="none" w:sz="0" w:space="0" w:color="auto"/>
        <w:left w:val="none" w:sz="0" w:space="0" w:color="auto"/>
        <w:bottom w:val="none" w:sz="0" w:space="0" w:color="auto"/>
        <w:right w:val="none" w:sz="0" w:space="0" w:color="auto"/>
      </w:divBdr>
    </w:div>
    <w:div w:id="226038117">
      <w:bodyDiv w:val="1"/>
      <w:marLeft w:val="0"/>
      <w:marRight w:val="0"/>
      <w:marTop w:val="0"/>
      <w:marBottom w:val="0"/>
      <w:divBdr>
        <w:top w:val="none" w:sz="0" w:space="0" w:color="auto"/>
        <w:left w:val="none" w:sz="0" w:space="0" w:color="auto"/>
        <w:bottom w:val="none" w:sz="0" w:space="0" w:color="auto"/>
        <w:right w:val="none" w:sz="0" w:space="0" w:color="auto"/>
      </w:divBdr>
      <w:divsChild>
        <w:div w:id="1274745841">
          <w:marLeft w:val="0"/>
          <w:marRight w:val="0"/>
          <w:marTop w:val="0"/>
          <w:marBottom w:val="0"/>
          <w:divBdr>
            <w:top w:val="none" w:sz="0" w:space="0" w:color="auto"/>
            <w:left w:val="none" w:sz="0" w:space="0" w:color="auto"/>
            <w:bottom w:val="none" w:sz="0" w:space="0" w:color="auto"/>
            <w:right w:val="none" w:sz="0" w:space="0" w:color="auto"/>
          </w:divBdr>
        </w:div>
        <w:div w:id="2093814624">
          <w:marLeft w:val="0"/>
          <w:marRight w:val="0"/>
          <w:marTop w:val="0"/>
          <w:marBottom w:val="0"/>
          <w:divBdr>
            <w:top w:val="none" w:sz="0" w:space="0" w:color="auto"/>
            <w:left w:val="none" w:sz="0" w:space="0" w:color="auto"/>
            <w:bottom w:val="none" w:sz="0" w:space="0" w:color="auto"/>
            <w:right w:val="none" w:sz="0" w:space="0" w:color="auto"/>
          </w:divBdr>
        </w:div>
      </w:divsChild>
    </w:div>
    <w:div w:id="227229359">
      <w:bodyDiv w:val="1"/>
      <w:marLeft w:val="0"/>
      <w:marRight w:val="0"/>
      <w:marTop w:val="0"/>
      <w:marBottom w:val="0"/>
      <w:divBdr>
        <w:top w:val="none" w:sz="0" w:space="0" w:color="auto"/>
        <w:left w:val="none" w:sz="0" w:space="0" w:color="auto"/>
        <w:bottom w:val="none" w:sz="0" w:space="0" w:color="auto"/>
        <w:right w:val="none" w:sz="0" w:space="0" w:color="auto"/>
      </w:divBdr>
    </w:div>
    <w:div w:id="268439529">
      <w:bodyDiv w:val="1"/>
      <w:marLeft w:val="0"/>
      <w:marRight w:val="0"/>
      <w:marTop w:val="0"/>
      <w:marBottom w:val="0"/>
      <w:divBdr>
        <w:top w:val="none" w:sz="0" w:space="0" w:color="auto"/>
        <w:left w:val="none" w:sz="0" w:space="0" w:color="auto"/>
        <w:bottom w:val="none" w:sz="0" w:space="0" w:color="auto"/>
        <w:right w:val="none" w:sz="0" w:space="0" w:color="auto"/>
      </w:divBdr>
    </w:div>
    <w:div w:id="296298807">
      <w:bodyDiv w:val="1"/>
      <w:marLeft w:val="0"/>
      <w:marRight w:val="0"/>
      <w:marTop w:val="0"/>
      <w:marBottom w:val="0"/>
      <w:divBdr>
        <w:top w:val="none" w:sz="0" w:space="0" w:color="auto"/>
        <w:left w:val="none" w:sz="0" w:space="0" w:color="auto"/>
        <w:bottom w:val="none" w:sz="0" w:space="0" w:color="auto"/>
        <w:right w:val="none" w:sz="0" w:space="0" w:color="auto"/>
      </w:divBdr>
    </w:div>
    <w:div w:id="345449162">
      <w:bodyDiv w:val="1"/>
      <w:marLeft w:val="0"/>
      <w:marRight w:val="0"/>
      <w:marTop w:val="0"/>
      <w:marBottom w:val="0"/>
      <w:divBdr>
        <w:top w:val="none" w:sz="0" w:space="0" w:color="auto"/>
        <w:left w:val="none" w:sz="0" w:space="0" w:color="auto"/>
        <w:bottom w:val="none" w:sz="0" w:space="0" w:color="auto"/>
        <w:right w:val="none" w:sz="0" w:space="0" w:color="auto"/>
      </w:divBdr>
    </w:div>
    <w:div w:id="351685909">
      <w:bodyDiv w:val="1"/>
      <w:marLeft w:val="0"/>
      <w:marRight w:val="0"/>
      <w:marTop w:val="0"/>
      <w:marBottom w:val="0"/>
      <w:divBdr>
        <w:top w:val="none" w:sz="0" w:space="0" w:color="auto"/>
        <w:left w:val="none" w:sz="0" w:space="0" w:color="auto"/>
        <w:bottom w:val="none" w:sz="0" w:space="0" w:color="auto"/>
        <w:right w:val="none" w:sz="0" w:space="0" w:color="auto"/>
      </w:divBdr>
    </w:div>
    <w:div w:id="393161211">
      <w:bodyDiv w:val="1"/>
      <w:marLeft w:val="0"/>
      <w:marRight w:val="0"/>
      <w:marTop w:val="0"/>
      <w:marBottom w:val="0"/>
      <w:divBdr>
        <w:top w:val="none" w:sz="0" w:space="0" w:color="auto"/>
        <w:left w:val="none" w:sz="0" w:space="0" w:color="auto"/>
        <w:bottom w:val="none" w:sz="0" w:space="0" w:color="auto"/>
        <w:right w:val="none" w:sz="0" w:space="0" w:color="auto"/>
      </w:divBdr>
    </w:div>
    <w:div w:id="394397944">
      <w:bodyDiv w:val="1"/>
      <w:marLeft w:val="0"/>
      <w:marRight w:val="0"/>
      <w:marTop w:val="0"/>
      <w:marBottom w:val="0"/>
      <w:divBdr>
        <w:top w:val="none" w:sz="0" w:space="0" w:color="auto"/>
        <w:left w:val="none" w:sz="0" w:space="0" w:color="auto"/>
        <w:bottom w:val="none" w:sz="0" w:space="0" w:color="auto"/>
        <w:right w:val="none" w:sz="0" w:space="0" w:color="auto"/>
      </w:divBdr>
    </w:div>
    <w:div w:id="405958209">
      <w:bodyDiv w:val="1"/>
      <w:marLeft w:val="0"/>
      <w:marRight w:val="0"/>
      <w:marTop w:val="0"/>
      <w:marBottom w:val="0"/>
      <w:divBdr>
        <w:top w:val="none" w:sz="0" w:space="0" w:color="auto"/>
        <w:left w:val="none" w:sz="0" w:space="0" w:color="auto"/>
        <w:bottom w:val="none" w:sz="0" w:space="0" w:color="auto"/>
        <w:right w:val="none" w:sz="0" w:space="0" w:color="auto"/>
      </w:divBdr>
    </w:div>
    <w:div w:id="408422999">
      <w:bodyDiv w:val="1"/>
      <w:marLeft w:val="0"/>
      <w:marRight w:val="0"/>
      <w:marTop w:val="0"/>
      <w:marBottom w:val="0"/>
      <w:divBdr>
        <w:top w:val="none" w:sz="0" w:space="0" w:color="auto"/>
        <w:left w:val="none" w:sz="0" w:space="0" w:color="auto"/>
        <w:bottom w:val="none" w:sz="0" w:space="0" w:color="auto"/>
        <w:right w:val="none" w:sz="0" w:space="0" w:color="auto"/>
      </w:divBdr>
    </w:div>
    <w:div w:id="428697872">
      <w:bodyDiv w:val="1"/>
      <w:marLeft w:val="0"/>
      <w:marRight w:val="0"/>
      <w:marTop w:val="0"/>
      <w:marBottom w:val="0"/>
      <w:divBdr>
        <w:top w:val="none" w:sz="0" w:space="0" w:color="auto"/>
        <w:left w:val="none" w:sz="0" w:space="0" w:color="auto"/>
        <w:bottom w:val="none" w:sz="0" w:space="0" w:color="auto"/>
        <w:right w:val="none" w:sz="0" w:space="0" w:color="auto"/>
      </w:divBdr>
    </w:div>
    <w:div w:id="432551577">
      <w:bodyDiv w:val="1"/>
      <w:marLeft w:val="0"/>
      <w:marRight w:val="0"/>
      <w:marTop w:val="0"/>
      <w:marBottom w:val="0"/>
      <w:divBdr>
        <w:top w:val="none" w:sz="0" w:space="0" w:color="auto"/>
        <w:left w:val="none" w:sz="0" w:space="0" w:color="auto"/>
        <w:bottom w:val="none" w:sz="0" w:space="0" w:color="auto"/>
        <w:right w:val="none" w:sz="0" w:space="0" w:color="auto"/>
      </w:divBdr>
    </w:div>
    <w:div w:id="512035565">
      <w:bodyDiv w:val="1"/>
      <w:marLeft w:val="0"/>
      <w:marRight w:val="0"/>
      <w:marTop w:val="0"/>
      <w:marBottom w:val="0"/>
      <w:divBdr>
        <w:top w:val="none" w:sz="0" w:space="0" w:color="auto"/>
        <w:left w:val="none" w:sz="0" w:space="0" w:color="auto"/>
        <w:bottom w:val="none" w:sz="0" w:space="0" w:color="auto"/>
        <w:right w:val="none" w:sz="0" w:space="0" w:color="auto"/>
      </w:divBdr>
    </w:div>
    <w:div w:id="520893636">
      <w:bodyDiv w:val="1"/>
      <w:marLeft w:val="0"/>
      <w:marRight w:val="0"/>
      <w:marTop w:val="0"/>
      <w:marBottom w:val="0"/>
      <w:divBdr>
        <w:top w:val="none" w:sz="0" w:space="0" w:color="auto"/>
        <w:left w:val="none" w:sz="0" w:space="0" w:color="auto"/>
        <w:bottom w:val="none" w:sz="0" w:space="0" w:color="auto"/>
        <w:right w:val="none" w:sz="0" w:space="0" w:color="auto"/>
      </w:divBdr>
    </w:div>
    <w:div w:id="534512798">
      <w:bodyDiv w:val="1"/>
      <w:marLeft w:val="0"/>
      <w:marRight w:val="0"/>
      <w:marTop w:val="0"/>
      <w:marBottom w:val="0"/>
      <w:divBdr>
        <w:top w:val="none" w:sz="0" w:space="0" w:color="auto"/>
        <w:left w:val="none" w:sz="0" w:space="0" w:color="auto"/>
        <w:bottom w:val="none" w:sz="0" w:space="0" w:color="auto"/>
        <w:right w:val="none" w:sz="0" w:space="0" w:color="auto"/>
      </w:divBdr>
    </w:div>
    <w:div w:id="539901158">
      <w:bodyDiv w:val="1"/>
      <w:marLeft w:val="0"/>
      <w:marRight w:val="0"/>
      <w:marTop w:val="0"/>
      <w:marBottom w:val="0"/>
      <w:divBdr>
        <w:top w:val="none" w:sz="0" w:space="0" w:color="auto"/>
        <w:left w:val="none" w:sz="0" w:space="0" w:color="auto"/>
        <w:bottom w:val="none" w:sz="0" w:space="0" w:color="auto"/>
        <w:right w:val="none" w:sz="0" w:space="0" w:color="auto"/>
      </w:divBdr>
    </w:div>
    <w:div w:id="544172043">
      <w:bodyDiv w:val="1"/>
      <w:marLeft w:val="0"/>
      <w:marRight w:val="0"/>
      <w:marTop w:val="0"/>
      <w:marBottom w:val="0"/>
      <w:divBdr>
        <w:top w:val="none" w:sz="0" w:space="0" w:color="auto"/>
        <w:left w:val="none" w:sz="0" w:space="0" w:color="auto"/>
        <w:bottom w:val="none" w:sz="0" w:space="0" w:color="auto"/>
        <w:right w:val="none" w:sz="0" w:space="0" w:color="auto"/>
      </w:divBdr>
    </w:div>
    <w:div w:id="605696231">
      <w:bodyDiv w:val="1"/>
      <w:marLeft w:val="0"/>
      <w:marRight w:val="0"/>
      <w:marTop w:val="0"/>
      <w:marBottom w:val="0"/>
      <w:divBdr>
        <w:top w:val="none" w:sz="0" w:space="0" w:color="auto"/>
        <w:left w:val="none" w:sz="0" w:space="0" w:color="auto"/>
        <w:bottom w:val="none" w:sz="0" w:space="0" w:color="auto"/>
        <w:right w:val="none" w:sz="0" w:space="0" w:color="auto"/>
      </w:divBdr>
    </w:div>
    <w:div w:id="610938016">
      <w:bodyDiv w:val="1"/>
      <w:marLeft w:val="0"/>
      <w:marRight w:val="0"/>
      <w:marTop w:val="0"/>
      <w:marBottom w:val="0"/>
      <w:divBdr>
        <w:top w:val="none" w:sz="0" w:space="0" w:color="auto"/>
        <w:left w:val="none" w:sz="0" w:space="0" w:color="auto"/>
        <w:bottom w:val="none" w:sz="0" w:space="0" w:color="auto"/>
        <w:right w:val="none" w:sz="0" w:space="0" w:color="auto"/>
      </w:divBdr>
    </w:div>
    <w:div w:id="641159737">
      <w:bodyDiv w:val="1"/>
      <w:marLeft w:val="0"/>
      <w:marRight w:val="0"/>
      <w:marTop w:val="0"/>
      <w:marBottom w:val="0"/>
      <w:divBdr>
        <w:top w:val="none" w:sz="0" w:space="0" w:color="auto"/>
        <w:left w:val="none" w:sz="0" w:space="0" w:color="auto"/>
        <w:bottom w:val="none" w:sz="0" w:space="0" w:color="auto"/>
        <w:right w:val="none" w:sz="0" w:space="0" w:color="auto"/>
      </w:divBdr>
    </w:div>
    <w:div w:id="715392706">
      <w:bodyDiv w:val="1"/>
      <w:marLeft w:val="0"/>
      <w:marRight w:val="0"/>
      <w:marTop w:val="0"/>
      <w:marBottom w:val="0"/>
      <w:divBdr>
        <w:top w:val="none" w:sz="0" w:space="0" w:color="auto"/>
        <w:left w:val="none" w:sz="0" w:space="0" w:color="auto"/>
        <w:bottom w:val="none" w:sz="0" w:space="0" w:color="auto"/>
        <w:right w:val="none" w:sz="0" w:space="0" w:color="auto"/>
      </w:divBdr>
    </w:div>
    <w:div w:id="735707684">
      <w:bodyDiv w:val="1"/>
      <w:marLeft w:val="0"/>
      <w:marRight w:val="0"/>
      <w:marTop w:val="0"/>
      <w:marBottom w:val="0"/>
      <w:divBdr>
        <w:top w:val="none" w:sz="0" w:space="0" w:color="auto"/>
        <w:left w:val="none" w:sz="0" w:space="0" w:color="auto"/>
        <w:bottom w:val="none" w:sz="0" w:space="0" w:color="auto"/>
        <w:right w:val="none" w:sz="0" w:space="0" w:color="auto"/>
      </w:divBdr>
    </w:div>
    <w:div w:id="748582455">
      <w:bodyDiv w:val="1"/>
      <w:marLeft w:val="0"/>
      <w:marRight w:val="0"/>
      <w:marTop w:val="0"/>
      <w:marBottom w:val="0"/>
      <w:divBdr>
        <w:top w:val="none" w:sz="0" w:space="0" w:color="auto"/>
        <w:left w:val="none" w:sz="0" w:space="0" w:color="auto"/>
        <w:bottom w:val="none" w:sz="0" w:space="0" w:color="auto"/>
        <w:right w:val="none" w:sz="0" w:space="0" w:color="auto"/>
      </w:divBdr>
    </w:div>
    <w:div w:id="755588794">
      <w:bodyDiv w:val="1"/>
      <w:marLeft w:val="0"/>
      <w:marRight w:val="0"/>
      <w:marTop w:val="0"/>
      <w:marBottom w:val="0"/>
      <w:divBdr>
        <w:top w:val="none" w:sz="0" w:space="0" w:color="auto"/>
        <w:left w:val="none" w:sz="0" w:space="0" w:color="auto"/>
        <w:bottom w:val="none" w:sz="0" w:space="0" w:color="auto"/>
        <w:right w:val="none" w:sz="0" w:space="0" w:color="auto"/>
      </w:divBdr>
    </w:div>
    <w:div w:id="793207826">
      <w:bodyDiv w:val="1"/>
      <w:marLeft w:val="0"/>
      <w:marRight w:val="0"/>
      <w:marTop w:val="0"/>
      <w:marBottom w:val="0"/>
      <w:divBdr>
        <w:top w:val="none" w:sz="0" w:space="0" w:color="auto"/>
        <w:left w:val="none" w:sz="0" w:space="0" w:color="auto"/>
        <w:bottom w:val="none" w:sz="0" w:space="0" w:color="auto"/>
        <w:right w:val="none" w:sz="0" w:space="0" w:color="auto"/>
      </w:divBdr>
    </w:div>
    <w:div w:id="820468180">
      <w:bodyDiv w:val="1"/>
      <w:marLeft w:val="0"/>
      <w:marRight w:val="0"/>
      <w:marTop w:val="0"/>
      <w:marBottom w:val="0"/>
      <w:divBdr>
        <w:top w:val="none" w:sz="0" w:space="0" w:color="auto"/>
        <w:left w:val="none" w:sz="0" w:space="0" w:color="auto"/>
        <w:bottom w:val="none" w:sz="0" w:space="0" w:color="auto"/>
        <w:right w:val="none" w:sz="0" w:space="0" w:color="auto"/>
      </w:divBdr>
    </w:div>
    <w:div w:id="837883927">
      <w:bodyDiv w:val="1"/>
      <w:marLeft w:val="0"/>
      <w:marRight w:val="0"/>
      <w:marTop w:val="0"/>
      <w:marBottom w:val="0"/>
      <w:divBdr>
        <w:top w:val="none" w:sz="0" w:space="0" w:color="auto"/>
        <w:left w:val="none" w:sz="0" w:space="0" w:color="auto"/>
        <w:bottom w:val="none" w:sz="0" w:space="0" w:color="auto"/>
        <w:right w:val="none" w:sz="0" w:space="0" w:color="auto"/>
      </w:divBdr>
      <w:divsChild>
        <w:div w:id="1559315157">
          <w:marLeft w:val="0"/>
          <w:marRight w:val="0"/>
          <w:marTop w:val="0"/>
          <w:marBottom w:val="0"/>
          <w:divBdr>
            <w:top w:val="none" w:sz="0" w:space="0" w:color="auto"/>
            <w:left w:val="none" w:sz="0" w:space="0" w:color="auto"/>
            <w:bottom w:val="none" w:sz="0" w:space="0" w:color="auto"/>
            <w:right w:val="none" w:sz="0" w:space="0" w:color="auto"/>
          </w:divBdr>
        </w:div>
        <w:div w:id="2022470679">
          <w:marLeft w:val="0"/>
          <w:marRight w:val="0"/>
          <w:marTop w:val="0"/>
          <w:marBottom w:val="0"/>
          <w:divBdr>
            <w:top w:val="none" w:sz="0" w:space="0" w:color="auto"/>
            <w:left w:val="none" w:sz="0" w:space="0" w:color="auto"/>
            <w:bottom w:val="none" w:sz="0" w:space="0" w:color="auto"/>
            <w:right w:val="none" w:sz="0" w:space="0" w:color="auto"/>
          </w:divBdr>
        </w:div>
      </w:divsChild>
    </w:div>
    <w:div w:id="839465090">
      <w:bodyDiv w:val="1"/>
      <w:marLeft w:val="0"/>
      <w:marRight w:val="0"/>
      <w:marTop w:val="0"/>
      <w:marBottom w:val="0"/>
      <w:divBdr>
        <w:top w:val="none" w:sz="0" w:space="0" w:color="auto"/>
        <w:left w:val="none" w:sz="0" w:space="0" w:color="auto"/>
        <w:bottom w:val="none" w:sz="0" w:space="0" w:color="auto"/>
        <w:right w:val="none" w:sz="0" w:space="0" w:color="auto"/>
      </w:divBdr>
    </w:div>
    <w:div w:id="884759808">
      <w:bodyDiv w:val="1"/>
      <w:marLeft w:val="0"/>
      <w:marRight w:val="0"/>
      <w:marTop w:val="0"/>
      <w:marBottom w:val="0"/>
      <w:divBdr>
        <w:top w:val="none" w:sz="0" w:space="0" w:color="auto"/>
        <w:left w:val="none" w:sz="0" w:space="0" w:color="auto"/>
        <w:bottom w:val="none" w:sz="0" w:space="0" w:color="auto"/>
        <w:right w:val="none" w:sz="0" w:space="0" w:color="auto"/>
      </w:divBdr>
    </w:div>
    <w:div w:id="891190170">
      <w:bodyDiv w:val="1"/>
      <w:marLeft w:val="0"/>
      <w:marRight w:val="0"/>
      <w:marTop w:val="0"/>
      <w:marBottom w:val="0"/>
      <w:divBdr>
        <w:top w:val="none" w:sz="0" w:space="0" w:color="auto"/>
        <w:left w:val="none" w:sz="0" w:space="0" w:color="auto"/>
        <w:bottom w:val="none" w:sz="0" w:space="0" w:color="auto"/>
        <w:right w:val="none" w:sz="0" w:space="0" w:color="auto"/>
      </w:divBdr>
      <w:divsChild>
        <w:div w:id="834803985">
          <w:marLeft w:val="0"/>
          <w:marRight w:val="0"/>
          <w:marTop w:val="0"/>
          <w:marBottom w:val="0"/>
          <w:divBdr>
            <w:top w:val="none" w:sz="0" w:space="0" w:color="auto"/>
            <w:left w:val="none" w:sz="0" w:space="0" w:color="auto"/>
            <w:bottom w:val="none" w:sz="0" w:space="0" w:color="auto"/>
            <w:right w:val="none" w:sz="0" w:space="0" w:color="auto"/>
          </w:divBdr>
        </w:div>
        <w:div w:id="1289631389">
          <w:marLeft w:val="0"/>
          <w:marRight w:val="0"/>
          <w:marTop w:val="0"/>
          <w:marBottom w:val="0"/>
          <w:divBdr>
            <w:top w:val="none" w:sz="0" w:space="0" w:color="auto"/>
            <w:left w:val="none" w:sz="0" w:space="0" w:color="auto"/>
            <w:bottom w:val="none" w:sz="0" w:space="0" w:color="auto"/>
            <w:right w:val="none" w:sz="0" w:space="0" w:color="auto"/>
          </w:divBdr>
        </w:div>
      </w:divsChild>
    </w:div>
    <w:div w:id="910232312">
      <w:bodyDiv w:val="1"/>
      <w:marLeft w:val="0"/>
      <w:marRight w:val="0"/>
      <w:marTop w:val="0"/>
      <w:marBottom w:val="0"/>
      <w:divBdr>
        <w:top w:val="none" w:sz="0" w:space="0" w:color="auto"/>
        <w:left w:val="none" w:sz="0" w:space="0" w:color="auto"/>
        <w:bottom w:val="none" w:sz="0" w:space="0" w:color="auto"/>
        <w:right w:val="none" w:sz="0" w:space="0" w:color="auto"/>
      </w:divBdr>
    </w:div>
    <w:div w:id="964967380">
      <w:bodyDiv w:val="1"/>
      <w:marLeft w:val="0"/>
      <w:marRight w:val="0"/>
      <w:marTop w:val="0"/>
      <w:marBottom w:val="0"/>
      <w:divBdr>
        <w:top w:val="none" w:sz="0" w:space="0" w:color="auto"/>
        <w:left w:val="none" w:sz="0" w:space="0" w:color="auto"/>
        <w:bottom w:val="none" w:sz="0" w:space="0" w:color="auto"/>
        <w:right w:val="none" w:sz="0" w:space="0" w:color="auto"/>
      </w:divBdr>
    </w:div>
    <w:div w:id="977228514">
      <w:bodyDiv w:val="1"/>
      <w:marLeft w:val="0"/>
      <w:marRight w:val="0"/>
      <w:marTop w:val="0"/>
      <w:marBottom w:val="0"/>
      <w:divBdr>
        <w:top w:val="none" w:sz="0" w:space="0" w:color="auto"/>
        <w:left w:val="none" w:sz="0" w:space="0" w:color="auto"/>
        <w:bottom w:val="none" w:sz="0" w:space="0" w:color="auto"/>
        <w:right w:val="none" w:sz="0" w:space="0" w:color="auto"/>
      </w:divBdr>
    </w:div>
    <w:div w:id="996879088">
      <w:bodyDiv w:val="1"/>
      <w:marLeft w:val="0"/>
      <w:marRight w:val="0"/>
      <w:marTop w:val="0"/>
      <w:marBottom w:val="0"/>
      <w:divBdr>
        <w:top w:val="none" w:sz="0" w:space="0" w:color="auto"/>
        <w:left w:val="none" w:sz="0" w:space="0" w:color="auto"/>
        <w:bottom w:val="none" w:sz="0" w:space="0" w:color="auto"/>
        <w:right w:val="none" w:sz="0" w:space="0" w:color="auto"/>
      </w:divBdr>
    </w:div>
    <w:div w:id="1005204433">
      <w:bodyDiv w:val="1"/>
      <w:marLeft w:val="0"/>
      <w:marRight w:val="0"/>
      <w:marTop w:val="0"/>
      <w:marBottom w:val="0"/>
      <w:divBdr>
        <w:top w:val="none" w:sz="0" w:space="0" w:color="auto"/>
        <w:left w:val="none" w:sz="0" w:space="0" w:color="auto"/>
        <w:bottom w:val="none" w:sz="0" w:space="0" w:color="auto"/>
        <w:right w:val="none" w:sz="0" w:space="0" w:color="auto"/>
      </w:divBdr>
    </w:div>
    <w:div w:id="1019544023">
      <w:bodyDiv w:val="1"/>
      <w:marLeft w:val="0"/>
      <w:marRight w:val="0"/>
      <w:marTop w:val="0"/>
      <w:marBottom w:val="0"/>
      <w:divBdr>
        <w:top w:val="none" w:sz="0" w:space="0" w:color="auto"/>
        <w:left w:val="none" w:sz="0" w:space="0" w:color="auto"/>
        <w:bottom w:val="none" w:sz="0" w:space="0" w:color="auto"/>
        <w:right w:val="none" w:sz="0" w:space="0" w:color="auto"/>
      </w:divBdr>
    </w:div>
    <w:div w:id="1045450297">
      <w:bodyDiv w:val="1"/>
      <w:marLeft w:val="0"/>
      <w:marRight w:val="0"/>
      <w:marTop w:val="0"/>
      <w:marBottom w:val="0"/>
      <w:divBdr>
        <w:top w:val="none" w:sz="0" w:space="0" w:color="auto"/>
        <w:left w:val="none" w:sz="0" w:space="0" w:color="auto"/>
        <w:bottom w:val="none" w:sz="0" w:space="0" w:color="auto"/>
        <w:right w:val="none" w:sz="0" w:space="0" w:color="auto"/>
      </w:divBdr>
    </w:div>
    <w:div w:id="1086153956">
      <w:bodyDiv w:val="1"/>
      <w:marLeft w:val="0"/>
      <w:marRight w:val="0"/>
      <w:marTop w:val="0"/>
      <w:marBottom w:val="0"/>
      <w:divBdr>
        <w:top w:val="none" w:sz="0" w:space="0" w:color="auto"/>
        <w:left w:val="none" w:sz="0" w:space="0" w:color="auto"/>
        <w:bottom w:val="none" w:sz="0" w:space="0" w:color="auto"/>
        <w:right w:val="none" w:sz="0" w:space="0" w:color="auto"/>
      </w:divBdr>
    </w:div>
    <w:div w:id="1090271235">
      <w:bodyDiv w:val="1"/>
      <w:marLeft w:val="0"/>
      <w:marRight w:val="0"/>
      <w:marTop w:val="0"/>
      <w:marBottom w:val="0"/>
      <w:divBdr>
        <w:top w:val="none" w:sz="0" w:space="0" w:color="auto"/>
        <w:left w:val="none" w:sz="0" w:space="0" w:color="auto"/>
        <w:bottom w:val="none" w:sz="0" w:space="0" w:color="auto"/>
        <w:right w:val="none" w:sz="0" w:space="0" w:color="auto"/>
      </w:divBdr>
    </w:div>
    <w:div w:id="1113673587">
      <w:bodyDiv w:val="1"/>
      <w:marLeft w:val="0"/>
      <w:marRight w:val="0"/>
      <w:marTop w:val="0"/>
      <w:marBottom w:val="0"/>
      <w:divBdr>
        <w:top w:val="none" w:sz="0" w:space="0" w:color="auto"/>
        <w:left w:val="none" w:sz="0" w:space="0" w:color="auto"/>
        <w:bottom w:val="none" w:sz="0" w:space="0" w:color="auto"/>
        <w:right w:val="none" w:sz="0" w:space="0" w:color="auto"/>
      </w:divBdr>
    </w:div>
    <w:div w:id="1187670407">
      <w:bodyDiv w:val="1"/>
      <w:marLeft w:val="0"/>
      <w:marRight w:val="0"/>
      <w:marTop w:val="0"/>
      <w:marBottom w:val="0"/>
      <w:divBdr>
        <w:top w:val="none" w:sz="0" w:space="0" w:color="auto"/>
        <w:left w:val="none" w:sz="0" w:space="0" w:color="auto"/>
        <w:bottom w:val="none" w:sz="0" w:space="0" w:color="auto"/>
        <w:right w:val="none" w:sz="0" w:space="0" w:color="auto"/>
      </w:divBdr>
    </w:div>
    <w:div w:id="1196383312">
      <w:bodyDiv w:val="1"/>
      <w:marLeft w:val="0"/>
      <w:marRight w:val="0"/>
      <w:marTop w:val="0"/>
      <w:marBottom w:val="0"/>
      <w:divBdr>
        <w:top w:val="none" w:sz="0" w:space="0" w:color="auto"/>
        <w:left w:val="none" w:sz="0" w:space="0" w:color="auto"/>
        <w:bottom w:val="none" w:sz="0" w:space="0" w:color="auto"/>
        <w:right w:val="none" w:sz="0" w:space="0" w:color="auto"/>
      </w:divBdr>
    </w:div>
    <w:div w:id="1203396818">
      <w:bodyDiv w:val="1"/>
      <w:marLeft w:val="0"/>
      <w:marRight w:val="0"/>
      <w:marTop w:val="0"/>
      <w:marBottom w:val="0"/>
      <w:divBdr>
        <w:top w:val="none" w:sz="0" w:space="0" w:color="auto"/>
        <w:left w:val="none" w:sz="0" w:space="0" w:color="auto"/>
        <w:bottom w:val="none" w:sz="0" w:space="0" w:color="auto"/>
        <w:right w:val="none" w:sz="0" w:space="0" w:color="auto"/>
      </w:divBdr>
    </w:div>
    <w:div w:id="1213424140">
      <w:bodyDiv w:val="1"/>
      <w:marLeft w:val="0"/>
      <w:marRight w:val="0"/>
      <w:marTop w:val="0"/>
      <w:marBottom w:val="0"/>
      <w:divBdr>
        <w:top w:val="none" w:sz="0" w:space="0" w:color="auto"/>
        <w:left w:val="none" w:sz="0" w:space="0" w:color="auto"/>
        <w:bottom w:val="none" w:sz="0" w:space="0" w:color="auto"/>
        <w:right w:val="none" w:sz="0" w:space="0" w:color="auto"/>
      </w:divBdr>
    </w:div>
    <w:div w:id="1227687602">
      <w:bodyDiv w:val="1"/>
      <w:marLeft w:val="0"/>
      <w:marRight w:val="0"/>
      <w:marTop w:val="0"/>
      <w:marBottom w:val="0"/>
      <w:divBdr>
        <w:top w:val="none" w:sz="0" w:space="0" w:color="auto"/>
        <w:left w:val="none" w:sz="0" w:space="0" w:color="auto"/>
        <w:bottom w:val="none" w:sz="0" w:space="0" w:color="auto"/>
        <w:right w:val="none" w:sz="0" w:space="0" w:color="auto"/>
      </w:divBdr>
    </w:div>
    <w:div w:id="1241476999">
      <w:bodyDiv w:val="1"/>
      <w:marLeft w:val="0"/>
      <w:marRight w:val="0"/>
      <w:marTop w:val="0"/>
      <w:marBottom w:val="0"/>
      <w:divBdr>
        <w:top w:val="none" w:sz="0" w:space="0" w:color="auto"/>
        <w:left w:val="none" w:sz="0" w:space="0" w:color="auto"/>
        <w:bottom w:val="none" w:sz="0" w:space="0" w:color="auto"/>
        <w:right w:val="none" w:sz="0" w:space="0" w:color="auto"/>
      </w:divBdr>
    </w:div>
    <w:div w:id="1244991805">
      <w:bodyDiv w:val="1"/>
      <w:marLeft w:val="0"/>
      <w:marRight w:val="0"/>
      <w:marTop w:val="0"/>
      <w:marBottom w:val="0"/>
      <w:divBdr>
        <w:top w:val="none" w:sz="0" w:space="0" w:color="auto"/>
        <w:left w:val="none" w:sz="0" w:space="0" w:color="auto"/>
        <w:bottom w:val="none" w:sz="0" w:space="0" w:color="auto"/>
        <w:right w:val="none" w:sz="0" w:space="0" w:color="auto"/>
      </w:divBdr>
    </w:div>
    <w:div w:id="1250699592">
      <w:bodyDiv w:val="1"/>
      <w:marLeft w:val="0"/>
      <w:marRight w:val="0"/>
      <w:marTop w:val="0"/>
      <w:marBottom w:val="0"/>
      <w:divBdr>
        <w:top w:val="none" w:sz="0" w:space="0" w:color="auto"/>
        <w:left w:val="none" w:sz="0" w:space="0" w:color="auto"/>
        <w:bottom w:val="none" w:sz="0" w:space="0" w:color="auto"/>
        <w:right w:val="none" w:sz="0" w:space="0" w:color="auto"/>
      </w:divBdr>
    </w:div>
    <w:div w:id="1254824758">
      <w:bodyDiv w:val="1"/>
      <w:marLeft w:val="0"/>
      <w:marRight w:val="0"/>
      <w:marTop w:val="0"/>
      <w:marBottom w:val="0"/>
      <w:divBdr>
        <w:top w:val="none" w:sz="0" w:space="0" w:color="auto"/>
        <w:left w:val="none" w:sz="0" w:space="0" w:color="auto"/>
        <w:bottom w:val="none" w:sz="0" w:space="0" w:color="auto"/>
        <w:right w:val="none" w:sz="0" w:space="0" w:color="auto"/>
      </w:divBdr>
    </w:div>
    <w:div w:id="1285043198">
      <w:bodyDiv w:val="1"/>
      <w:marLeft w:val="0"/>
      <w:marRight w:val="0"/>
      <w:marTop w:val="0"/>
      <w:marBottom w:val="0"/>
      <w:divBdr>
        <w:top w:val="none" w:sz="0" w:space="0" w:color="auto"/>
        <w:left w:val="none" w:sz="0" w:space="0" w:color="auto"/>
        <w:bottom w:val="none" w:sz="0" w:space="0" w:color="auto"/>
        <w:right w:val="none" w:sz="0" w:space="0" w:color="auto"/>
      </w:divBdr>
    </w:div>
    <w:div w:id="1334258705">
      <w:bodyDiv w:val="1"/>
      <w:marLeft w:val="0"/>
      <w:marRight w:val="0"/>
      <w:marTop w:val="0"/>
      <w:marBottom w:val="0"/>
      <w:divBdr>
        <w:top w:val="none" w:sz="0" w:space="0" w:color="auto"/>
        <w:left w:val="none" w:sz="0" w:space="0" w:color="auto"/>
        <w:bottom w:val="none" w:sz="0" w:space="0" w:color="auto"/>
        <w:right w:val="none" w:sz="0" w:space="0" w:color="auto"/>
      </w:divBdr>
    </w:div>
    <w:div w:id="1362321309">
      <w:bodyDiv w:val="1"/>
      <w:marLeft w:val="0"/>
      <w:marRight w:val="0"/>
      <w:marTop w:val="0"/>
      <w:marBottom w:val="0"/>
      <w:divBdr>
        <w:top w:val="none" w:sz="0" w:space="0" w:color="auto"/>
        <w:left w:val="none" w:sz="0" w:space="0" w:color="auto"/>
        <w:bottom w:val="none" w:sz="0" w:space="0" w:color="auto"/>
        <w:right w:val="none" w:sz="0" w:space="0" w:color="auto"/>
      </w:divBdr>
    </w:div>
    <w:div w:id="1390609968">
      <w:bodyDiv w:val="1"/>
      <w:marLeft w:val="0"/>
      <w:marRight w:val="0"/>
      <w:marTop w:val="0"/>
      <w:marBottom w:val="0"/>
      <w:divBdr>
        <w:top w:val="none" w:sz="0" w:space="0" w:color="auto"/>
        <w:left w:val="none" w:sz="0" w:space="0" w:color="auto"/>
        <w:bottom w:val="none" w:sz="0" w:space="0" w:color="auto"/>
        <w:right w:val="none" w:sz="0" w:space="0" w:color="auto"/>
      </w:divBdr>
    </w:div>
    <w:div w:id="1463768696">
      <w:bodyDiv w:val="1"/>
      <w:marLeft w:val="0"/>
      <w:marRight w:val="0"/>
      <w:marTop w:val="0"/>
      <w:marBottom w:val="0"/>
      <w:divBdr>
        <w:top w:val="none" w:sz="0" w:space="0" w:color="auto"/>
        <w:left w:val="none" w:sz="0" w:space="0" w:color="auto"/>
        <w:bottom w:val="none" w:sz="0" w:space="0" w:color="auto"/>
        <w:right w:val="none" w:sz="0" w:space="0" w:color="auto"/>
      </w:divBdr>
    </w:div>
    <w:div w:id="1479222627">
      <w:bodyDiv w:val="1"/>
      <w:marLeft w:val="0"/>
      <w:marRight w:val="0"/>
      <w:marTop w:val="0"/>
      <w:marBottom w:val="0"/>
      <w:divBdr>
        <w:top w:val="none" w:sz="0" w:space="0" w:color="auto"/>
        <w:left w:val="none" w:sz="0" w:space="0" w:color="auto"/>
        <w:bottom w:val="none" w:sz="0" w:space="0" w:color="auto"/>
        <w:right w:val="none" w:sz="0" w:space="0" w:color="auto"/>
      </w:divBdr>
    </w:div>
    <w:div w:id="1480002627">
      <w:bodyDiv w:val="1"/>
      <w:marLeft w:val="0"/>
      <w:marRight w:val="0"/>
      <w:marTop w:val="0"/>
      <w:marBottom w:val="0"/>
      <w:divBdr>
        <w:top w:val="none" w:sz="0" w:space="0" w:color="auto"/>
        <w:left w:val="none" w:sz="0" w:space="0" w:color="auto"/>
        <w:bottom w:val="none" w:sz="0" w:space="0" w:color="auto"/>
        <w:right w:val="none" w:sz="0" w:space="0" w:color="auto"/>
      </w:divBdr>
    </w:div>
    <w:div w:id="1538814757">
      <w:bodyDiv w:val="1"/>
      <w:marLeft w:val="0"/>
      <w:marRight w:val="0"/>
      <w:marTop w:val="0"/>
      <w:marBottom w:val="0"/>
      <w:divBdr>
        <w:top w:val="none" w:sz="0" w:space="0" w:color="auto"/>
        <w:left w:val="none" w:sz="0" w:space="0" w:color="auto"/>
        <w:bottom w:val="none" w:sz="0" w:space="0" w:color="auto"/>
        <w:right w:val="none" w:sz="0" w:space="0" w:color="auto"/>
      </w:divBdr>
    </w:div>
    <w:div w:id="1556505577">
      <w:bodyDiv w:val="1"/>
      <w:marLeft w:val="0"/>
      <w:marRight w:val="0"/>
      <w:marTop w:val="0"/>
      <w:marBottom w:val="0"/>
      <w:divBdr>
        <w:top w:val="none" w:sz="0" w:space="0" w:color="auto"/>
        <w:left w:val="none" w:sz="0" w:space="0" w:color="auto"/>
        <w:bottom w:val="none" w:sz="0" w:space="0" w:color="auto"/>
        <w:right w:val="none" w:sz="0" w:space="0" w:color="auto"/>
      </w:divBdr>
    </w:div>
    <w:div w:id="1560632092">
      <w:bodyDiv w:val="1"/>
      <w:marLeft w:val="0"/>
      <w:marRight w:val="0"/>
      <w:marTop w:val="0"/>
      <w:marBottom w:val="0"/>
      <w:divBdr>
        <w:top w:val="none" w:sz="0" w:space="0" w:color="auto"/>
        <w:left w:val="none" w:sz="0" w:space="0" w:color="auto"/>
        <w:bottom w:val="none" w:sz="0" w:space="0" w:color="auto"/>
        <w:right w:val="none" w:sz="0" w:space="0" w:color="auto"/>
      </w:divBdr>
    </w:div>
    <w:div w:id="1562250290">
      <w:bodyDiv w:val="1"/>
      <w:marLeft w:val="0"/>
      <w:marRight w:val="0"/>
      <w:marTop w:val="0"/>
      <w:marBottom w:val="0"/>
      <w:divBdr>
        <w:top w:val="none" w:sz="0" w:space="0" w:color="auto"/>
        <w:left w:val="none" w:sz="0" w:space="0" w:color="auto"/>
        <w:bottom w:val="none" w:sz="0" w:space="0" w:color="auto"/>
        <w:right w:val="none" w:sz="0" w:space="0" w:color="auto"/>
      </w:divBdr>
    </w:div>
    <w:div w:id="1588153794">
      <w:bodyDiv w:val="1"/>
      <w:marLeft w:val="0"/>
      <w:marRight w:val="0"/>
      <w:marTop w:val="0"/>
      <w:marBottom w:val="0"/>
      <w:divBdr>
        <w:top w:val="none" w:sz="0" w:space="0" w:color="auto"/>
        <w:left w:val="none" w:sz="0" w:space="0" w:color="auto"/>
        <w:bottom w:val="none" w:sz="0" w:space="0" w:color="auto"/>
        <w:right w:val="none" w:sz="0" w:space="0" w:color="auto"/>
      </w:divBdr>
    </w:div>
    <w:div w:id="1614242499">
      <w:bodyDiv w:val="1"/>
      <w:marLeft w:val="0"/>
      <w:marRight w:val="0"/>
      <w:marTop w:val="0"/>
      <w:marBottom w:val="0"/>
      <w:divBdr>
        <w:top w:val="none" w:sz="0" w:space="0" w:color="auto"/>
        <w:left w:val="none" w:sz="0" w:space="0" w:color="auto"/>
        <w:bottom w:val="none" w:sz="0" w:space="0" w:color="auto"/>
        <w:right w:val="none" w:sz="0" w:space="0" w:color="auto"/>
      </w:divBdr>
    </w:div>
    <w:div w:id="1649287222">
      <w:bodyDiv w:val="1"/>
      <w:marLeft w:val="0"/>
      <w:marRight w:val="0"/>
      <w:marTop w:val="0"/>
      <w:marBottom w:val="0"/>
      <w:divBdr>
        <w:top w:val="none" w:sz="0" w:space="0" w:color="auto"/>
        <w:left w:val="none" w:sz="0" w:space="0" w:color="auto"/>
        <w:bottom w:val="none" w:sz="0" w:space="0" w:color="auto"/>
        <w:right w:val="none" w:sz="0" w:space="0" w:color="auto"/>
      </w:divBdr>
    </w:div>
    <w:div w:id="1655916770">
      <w:bodyDiv w:val="1"/>
      <w:marLeft w:val="0"/>
      <w:marRight w:val="0"/>
      <w:marTop w:val="0"/>
      <w:marBottom w:val="0"/>
      <w:divBdr>
        <w:top w:val="none" w:sz="0" w:space="0" w:color="auto"/>
        <w:left w:val="none" w:sz="0" w:space="0" w:color="auto"/>
        <w:bottom w:val="none" w:sz="0" w:space="0" w:color="auto"/>
        <w:right w:val="none" w:sz="0" w:space="0" w:color="auto"/>
      </w:divBdr>
    </w:div>
    <w:div w:id="1657565602">
      <w:bodyDiv w:val="1"/>
      <w:marLeft w:val="0"/>
      <w:marRight w:val="0"/>
      <w:marTop w:val="0"/>
      <w:marBottom w:val="0"/>
      <w:divBdr>
        <w:top w:val="none" w:sz="0" w:space="0" w:color="auto"/>
        <w:left w:val="none" w:sz="0" w:space="0" w:color="auto"/>
        <w:bottom w:val="none" w:sz="0" w:space="0" w:color="auto"/>
        <w:right w:val="none" w:sz="0" w:space="0" w:color="auto"/>
      </w:divBdr>
    </w:div>
    <w:div w:id="1686519919">
      <w:bodyDiv w:val="1"/>
      <w:marLeft w:val="0"/>
      <w:marRight w:val="0"/>
      <w:marTop w:val="0"/>
      <w:marBottom w:val="0"/>
      <w:divBdr>
        <w:top w:val="none" w:sz="0" w:space="0" w:color="auto"/>
        <w:left w:val="none" w:sz="0" w:space="0" w:color="auto"/>
        <w:bottom w:val="none" w:sz="0" w:space="0" w:color="auto"/>
        <w:right w:val="none" w:sz="0" w:space="0" w:color="auto"/>
      </w:divBdr>
    </w:div>
    <w:div w:id="1691568418">
      <w:bodyDiv w:val="1"/>
      <w:marLeft w:val="0"/>
      <w:marRight w:val="0"/>
      <w:marTop w:val="0"/>
      <w:marBottom w:val="0"/>
      <w:divBdr>
        <w:top w:val="none" w:sz="0" w:space="0" w:color="auto"/>
        <w:left w:val="none" w:sz="0" w:space="0" w:color="auto"/>
        <w:bottom w:val="none" w:sz="0" w:space="0" w:color="auto"/>
        <w:right w:val="none" w:sz="0" w:space="0" w:color="auto"/>
      </w:divBdr>
    </w:div>
    <w:div w:id="1719283136">
      <w:bodyDiv w:val="1"/>
      <w:marLeft w:val="0"/>
      <w:marRight w:val="0"/>
      <w:marTop w:val="0"/>
      <w:marBottom w:val="0"/>
      <w:divBdr>
        <w:top w:val="none" w:sz="0" w:space="0" w:color="auto"/>
        <w:left w:val="none" w:sz="0" w:space="0" w:color="auto"/>
        <w:bottom w:val="none" w:sz="0" w:space="0" w:color="auto"/>
        <w:right w:val="none" w:sz="0" w:space="0" w:color="auto"/>
      </w:divBdr>
    </w:div>
    <w:div w:id="1725520902">
      <w:bodyDiv w:val="1"/>
      <w:marLeft w:val="0"/>
      <w:marRight w:val="0"/>
      <w:marTop w:val="0"/>
      <w:marBottom w:val="0"/>
      <w:divBdr>
        <w:top w:val="none" w:sz="0" w:space="0" w:color="auto"/>
        <w:left w:val="none" w:sz="0" w:space="0" w:color="auto"/>
        <w:bottom w:val="none" w:sz="0" w:space="0" w:color="auto"/>
        <w:right w:val="none" w:sz="0" w:space="0" w:color="auto"/>
      </w:divBdr>
    </w:div>
    <w:div w:id="1738623718">
      <w:bodyDiv w:val="1"/>
      <w:marLeft w:val="0"/>
      <w:marRight w:val="0"/>
      <w:marTop w:val="0"/>
      <w:marBottom w:val="0"/>
      <w:divBdr>
        <w:top w:val="none" w:sz="0" w:space="0" w:color="auto"/>
        <w:left w:val="none" w:sz="0" w:space="0" w:color="auto"/>
        <w:bottom w:val="none" w:sz="0" w:space="0" w:color="auto"/>
        <w:right w:val="none" w:sz="0" w:space="0" w:color="auto"/>
      </w:divBdr>
    </w:div>
    <w:div w:id="1770925961">
      <w:bodyDiv w:val="1"/>
      <w:marLeft w:val="0"/>
      <w:marRight w:val="0"/>
      <w:marTop w:val="0"/>
      <w:marBottom w:val="0"/>
      <w:divBdr>
        <w:top w:val="none" w:sz="0" w:space="0" w:color="auto"/>
        <w:left w:val="none" w:sz="0" w:space="0" w:color="auto"/>
        <w:bottom w:val="none" w:sz="0" w:space="0" w:color="auto"/>
        <w:right w:val="none" w:sz="0" w:space="0" w:color="auto"/>
      </w:divBdr>
    </w:div>
    <w:div w:id="1784154990">
      <w:bodyDiv w:val="1"/>
      <w:marLeft w:val="0"/>
      <w:marRight w:val="0"/>
      <w:marTop w:val="0"/>
      <w:marBottom w:val="0"/>
      <w:divBdr>
        <w:top w:val="none" w:sz="0" w:space="0" w:color="auto"/>
        <w:left w:val="none" w:sz="0" w:space="0" w:color="auto"/>
        <w:bottom w:val="none" w:sz="0" w:space="0" w:color="auto"/>
        <w:right w:val="none" w:sz="0" w:space="0" w:color="auto"/>
      </w:divBdr>
    </w:div>
    <w:div w:id="1789229183">
      <w:bodyDiv w:val="1"/>
      <w:marLeft w:val="0"/>
      <w:marRight w:val="0"/>
      <w:marTop w:val="0"/>
      <w:marBottom w:val="0"/>
      <w:divBdr>
        <w:top w:val="none" w:sz="0" w:space="0" w:color="auto"/>
        <w:left w:val="none" w:sz="0" w:space="0" w:color="auto"/>
        <w:bottom w:val="none" w:sz="0" w:space="0" w:color="auto"/>
        <w:right w:val="none" w:sz="0" w:space="0" w:color="auto"/>
      </w:divBdr>
    </w:div>
    <w:div w:id="1801924253">
      <w:bodyDiv w:val="1"/>
      <w:marLeft w:val="0"/>
      <w:marRight w:val="0"/>
      <w:marTop w:val="0"/>
      <w:marBottom w:val="0"/>
      <w:divBdr>
        <w:top w:val="none" w:sz="0" w:space="0" w:color="auto"/>
        <w:left w:val="none" w:sz="0" w:space="0" w:color="auto"/>
        <w:bottom w:val="none" w:sz="0" w:space="0" w:color="auto"/>
        <w:right w:val="none" w:sz="0" w:space="0" w:color="auto"/>
      </w:divBdr>
    </w:div>
    <w:div w:id="1823504829">
      <w:bodyDiv w:val="1"/>
      <w:marLeft w:val="0"/>
      <w:marRight w:val="0"/>
      <w:marTop w:val="0"/>
      <w:marBottom w:val="0"/>
      <w:divBdr>
        <w:top w:val="none" w:sz="0" w:space="0" w:color="auto"/>
        <w:left w:val="none" w:sz="0" w:space="0" w:color="auto"/>
        <w:bottom w:val="none" w:sz="0" w:space="0" w:color="auto"/>
        <w:right w:val="none" w:sz="0" w:space="0" w:color="auto"/>
      </w:divBdr>
    </w:div>
    <w:div w:id="1897818566">
      <w:bodyDiv w:val="1"/>
      <w:marLeft w:val="0"/>
      <w:marRight w:val="0"/>
      <w:marTop w:val="0"/>
      <w:marBottom w:val="0"/>
      <w:divBdr>
        <w:top w:val="none" w:sz="0" w:space="0" w:color="auto"/>
        <w:left w:val="none" w:sz="0" w:space="0" w:color="auto"/>
        <w:bottom w:val="none" w:sz="0" w:space="0" w:color="auto"/>
        <w:right w:val="none" w:sz="0" w:space="0" w:color="auto"/>
      </w:divBdr>
    </w:div>
    <w:div w:id="1905220335">
      <w:bodyDiv w:val="1"/>
      <w:marLeft w:val="0"/>
      <w:marRight w:val="0"/>
      <w:marTop w:val="0"/>
      <w:marBottom w:val="0"/>
      <w:divBdr>
        <w:top w:val="none" w:sz="0" w:space="0" w:color="auto"/>
        <w:left w:val="none" w:sz="0" w:space="0" w:color="auto"/>
        <w:bottom w:val="none" w:sz="0" w:space="0" w:color="auto"/>
        <w:right w:val="none" w:sz="0" w:space="0" w:color="auto"/>
      </w:divBdr>
    </w:div>
    <w:div w:id="1913194706">
      <w:bodyDiv w:val="1"/>
      <w:marLeft w:val="0"/>
      <w:marRight w:val="0"/>
      <w:marTop w:val="0"/>
      <w:marBottom w:val="0"/>
      <w:divBdr>
        <w:top w:val="none" w:sz="0" w:space="0" w:color="auto"/>
        <w:left w:val="none" w:sz="0" w:space="0" w:color="auto"/>
        <w:bottom w:val="none" w:sz="0" w:space="0" w:color="auto"/>
        <w:right w:val="none" w:sz="0" w:space="0" w:color="auto"/>
      </w:divBdr>
    </w:div>
    <w:div w:id="1913850238">
      <w:bodyDiv w:val="1"/>
      <w:marLeft w:val="0"/>
      <w:marRight w:val="0"/>
      <w:marTop w:val="0"/>
      <w:marBottom w:val="0"/>
      <w:divBdr>
        <w:top w:val="none" w:sz="0" w:space="0" w:color="auto"/>
        <w:left w:val="none" w:sz="0" w:space="0" w:color="auto"/>
        <w:bottom w:val="none" w:sz="0" w:space="0" w:color="auto"/>
        <w:right w:val="none" w:sz="0" w:space="0" w:color="auto"/>
      </w:divBdr>
    </w:div>
    <w:div w:id="1919174296">
      <w:bodyDiv w:val="1"/>
      <w:marLeft w:val="0"/>
      <w:marRight w:val="0"/>
      <w:marTop w:val="0"/>
      <w:marBottom w:val="0"/>
      <w:divBdr>
        <w:top w:val="none" w:sz="0" w:space="0" w:color="auto"/>
        <w:left w:val="none" w:sz="0" w:space="0" w:color="auto"/>
        <w:bottom w:val="none" w:sz="0" w:space="0" w:color="auto"/>
        <w:right w:val="none" w:sz="0" w:space="0" w:color="auto"/>
      </w:divBdr>
    </w:div>
    <w:div w:id="1967929379">
      <w:bodyDiv w:val="1"/>
      <w:marLeft w:val="0"/>
      <w:marRight w:val="0"/>
      <w:marTop w:val="0"/>
      <w:marBottom w:val="0"/>
      <w:divBdr>
        <w:top w:val="none" w:sz="0" w:space="0" w:color="auto"/>
        <w:left w:val="none" w:sz="0" w:space="0" w:color="auto"/>
        <w:bottom w:val="none" w:sz="0" w:space="0" w:color="auto"/>
        <w:right w:val="none" w:sz="0" w:space="0" w:color="auto"/>
      </w:divBdr>
      <w:divsChild>
        <w:div w:id="270165546">
          <w:marLeft w:val="0"/>
          <w:marRight w:val="0"/>
          <w:marTop w:val="0"/>
          <w:marBottom w:val="0"/>
          <w:divBdr>
            <w:top w:val="none" w:sz="0" w:space="0" w:color="auto"/>
            <w:left w:val="none" w:sz="0" w:space="0" w:color="auto"/>
            <w:bottom w:val="none" w:sz="0" w:space="0" w:color="auto"/>
            <w:right w:val="none" w:sz="0" w:space="0" w:color="auto"/>
          </w:divBdr>
        </w:div>
        <w:div w:id="863639440">
          <w:marLeft w:val="0"/>
          <w:marRight w:val="0"/>
          <w:marTop w:val="0"/>
          <w:marBottom w:val="0"/>
          <w:divBdr>
            <w:top w:val="none" w:sz="0" w:space="0" w:color="auto"/>
            <w:left w:val="none" w:sz="0" w:space="0" w:color="auto"/>
            <w:bottom w:val="none" w:sz="0" w:space="0" w:color="auto"/>
            <w:right w:val="none" w:sz="0" w:space="0" w:color="auto"/>
          </w:divBdr>
        </w:div>
      </w:divsChild>
    </w:div>
    <w:div w:id="1989628584">
      <w:bodyDiv w:val="1"/>
      <w:marLeft w:val="0"/>
      <w:marRight w:val="0"/>
      <w:marTop w:val="0"/>
      <w:marBottom w:val="0"/>
      <w:divBdr>
        <w:top w:val="none" w:sz="0" w:space="0" w:color="auto"/>
        <w:left w:val="none" w:sz="0" w:space="0" w:color="auto"/>
        <w:bottom w:val="none" w:sz="0" w:space="0" w:color="auto"/>
        <w:right w:val="none" w:sz="0" w:space="0" w:color="auto"/>
      </w:divBdr>
    </w:div>
    <w:div w:id="2032216618">
      <w:bodyDiv w:val="1"/>
      <w:marLeft w:val="0"/>
      <w:marRight w:val="0"/>
      <w:marTop w:val="0"/>
      <w:marBottom w:val="0"/>
      <w:divBdr>
        <w:top w:val="none" w:sz="0" w:space="0" w:color="auto"/>
        <w:left w:val="none" w:sz="0" w:space="0" w:color="auto"/>
        <w:bottom w:val="none" w:sz="0" w:space="0" w:color="auto"/>
        <w:right w:val="none" w:sz="0" w:space="0" w:color="auto"/>
      </w:divBdr>
    </w:div>
    <w:div w:id="2035304095">
      <w:bodyDiv w:val="1"/>
      <w:marLeft w:val="0"/>
      <w:marRight w:val="0"/>
      <w:marTop w:val="0"/>
      <w:marBottom w:val="0"/>
      <w:divBdr>
        <w:top w:val="none" w:sz="0" w:space="0" w:color="auto"/>
        <w:left w:val="none" w:sz="0" w:space="0" w:color="auto"/>
        <w:bottom w:val="none" w:sz="0" w:space="0" w:color="auto"/>
        <w:right w:val="none" w:sz="0" w:space="0" w:color="auto"/>
      </w:divBdr>
    </w:div>
    <w:div w:id="2107000529">
      <w:bodyDiv w:val="1"/>
      <w:marLeft w:val="0"/>
      <w:marRight w:val="0"/>
      <w:marTop w:val="0"/>
      <w:marBottom w:val="0"/>
      <w:divBdr>
        <w:top w:val="none" w:sz="0" w:space="0" w:color="auto"/>
        <w:left w:val="none" w:sz="0" w:space="0" w:color="auto"/>
        <w:bottom w:val="none" w:sz="0" w:space="0" w:color="auto"/>
        <w:right w:val="none" w:sz="0" w:space="0" w:color="auto"/>
      </w:divBdr>
    </w:div>
    <w:div w:id="2111849091">
      <w:bodyDiv w:val="1"/>
      <w:marLeft w:val="0"/>
      <w:marRight w:val="0"/>
      <w:marTop w:val="0"/>
      <w:marBottom w:val="0"/>
      <w:divBdr>
        <w:top w:val="none" w:sz="0" w:space="0" w:color="auto"/>
        <w:left w:val="none" w:sz="0" w:space="0" w:color="auto"/>
        <w:bottom w:val="none" w:sz="0" w:space="0" w:color="auto"/>
        <w:right w:val="none" w:sz="0" w:space="0" w:color="auto"/>
      </w:divBdr>
    </w:div>
    <w:div w:id="2124837587">
      <w:bodyDiv w:val="1"/>
      <w:marLeft w:val="0"/>
      <w:marRight w:val="0"/>
      <w:marTop w:val="0"/>
      <w:marBottom w:val="0"/>
      <w:divBdr>
        <w:top w:val="none" w:sz="0" w:space="0" w:color="auto"/>
        <w:left w:val="none" w:sz="0" w:space="0" w:color="auto"/>
        <w:bottom w:val="none" w:sz="0" w:space="0" w:color="auto"/>
        <w:right w:val="none" w:sz="0" w:space="0" w:color="auto"/>
      </w:divBdr>
    </w:div>
    <w:div w:id="2137989129">
      <w:bodyDiv w:val="1"/>
      <w:marLeft w:val="0"/>
      <w:marRight w:val="0"/>
      <w:marTop w:val="0"/>
      <w:marBottom w:val="0"/>
      <w:divBdr>
        <w:top w:val="none" w:sz="0" w:space="0" w:color="auto"/>
        <w:left w:val="none" w:sz="0" w:space="0" w:color="auto"/>
        <w:bottom w:val="none" w:sz="0" w:space="0" w:color="auto"/>
        <w:right w:val="none" w:sz="0" w:space="0" w:color="auto"/>
      </w:divBdr>
    </w:div>
    <w:div w:id="2139061448">
      <w:bodyDiv w:val="1"/>
      <w:marLeft w:val="0"/>
      <w:marRight w:val="0"/>
      <w:marTop w:val="0"/>
      <w:marBottom w:val="0"/>
      <w:divBdr>
        <w:top w:val="none" w:sz="0" w:space="0" w:color="auto"/>
        <w:left w:val="none" w:sz="0" w:space="0" w:color="auto"/>
        <w:bottom w:val="none" w:sz="0" w:space="0" w:color="auto"/>
        <w:right w:val="none" w:sz="0" w:space="0" w:color="auto"/>
      </w:divBdr>
      <w:divsChild>
        <w:div w:id="901872408">
          <w:marLeft w:val="0"/>
          <w:marRight w:val="0"/>
          <w:marTop w:val="0"/>
          <w:marBottom w:val="0"/>
          <w:divBdr>
            <w:top w:val="none" w:sz="0" w:space="0" w:color="auto"/>
            <w:left w:val="none" w:sz="0" w:space="0" w:color="auto"/>
            <w:bottom w:val="none" w:sz="0" w:space="0" w:color="auto"/>
            <w:right w:val="none" w:sz="0" w:space="0" w:color="auto"/>
          </w:divBdr>
        </w:div>
        <w:div w:id="212653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221/123/2020-SWR" TargetMode="External"/><Relationship Id="rId18" Type="http://schemas.openxmlformats.org/officeDocument/2006/relationships/hyperlink" Target="https://doi.org/10.1016/j.agee.2018.01.020" TargetMode="External"/><Relationship Id="rId26" Type="http://schemas.openxmlformats.org/officeDocument/2006/relationships/hyperlink" Target="https://doi.org/10.1088/1748-9326/aabf70" TargetMode="External"/><Relationship Id="rId3" Type="http://schemas.openxmlformats.org/officeDocument/2006/relationships/styles" Target="styles.xml"/><Relationship Id="rId21" Type="http://schemas.openxmlformats.org/officeDocument/2006/relationships/hyperlink" Target="https://doi.org/10.1016/j.geodrs.2021.e00435"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still.2004.06.001" TargetMode="External"/><Relationship Id="rId17" Type="http://schemas.openxmlformats.org/officeDocument/2006/relationships/hyperlink" Target="https://doi.org/10.1016/j.catena.2018.12.011" TargetMode="External"/><Relationship Id="rId25" Type="http://schemas.openxmlformats.org/officeDocument/2006/relationships/hyperlink" Target="https://doi.org/10.1093/biomet/52.3-4.591" TargetMode="External"/><Relationship Id="rId33" Type="http://schemas.openxmlformats.org/officeDocument/2006/relationships/hyperlink" Target="https://doi.org/10.1016/j.foreco.2013.04.017" TargetMode="External"/><Relationship Id="rId2" Type="http://schemas.openxmlformats.org/officeDocument/2006/relationships/numbering" Target="numbering.xml"/><Relationship Id="rId16" Type="http://schemas.openxmlformats.org/officeDocument/2006/relationships/hyperlink" Target="https://doi.org/10.1097/SS.0000000000001234" TargetMode="External"/><Relationship Id="rId20" Type="http://schemas.openxmlformats.org/officeDocument/2006/relationships/hyperlink" Target="https://doi.org/10.1002/ldr.3987" TargetMode="External"/><Relationship Id="rId29" Type="http://schemas.openxmlformats.org/officeDocument/2006/relationships/hyperlink" Target="https://doi.org/10.1071/SR202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jenvman.2017.10.012" TargetMode="External"/><Relationship Id="rId24" Type="http://schemas.openxmlformats.org/officeDocument/2006/relationships/hyperlink" Target="https://doi.org/10.1098/rsta.1896.0007" TargetMode="External"/><Relationship Id="rId32" Type="http://schemas.openxmlformats.org/officeDocument/2006/relationships/hyperlink" Target="https://doi.org/10.1111/j.1475-2743.2005.tb00212.x" TargetMode="External"/><Relationship Id="rId5" Type="http://schemas.openxmlformats.org/officeDocument/2006/relationships/settings" Target="settings.xml"/><Relationship Id="rId15" Type="http://schemas.openxmlformats.org/officeDocument/2006/relationships/hyperlink" Target="https://doi.org/10.1016/j.foreco.2020.118563" TargetMode="External"/><Relationship Id="rId23" Type="http://schemas.openxmlformats.org/officeDocument/2006/relationships/hyperlink" Target="https://doi.org/10.1111/j.1475-2743.2010.00287.x" TargetMode="External"/><Relationship Id="rId28" Type="http://schemas.openxmlformats.org/officeDocument/2006/relationships/hyperlink" Target="https://doi.org/10.1016/j.agrformet.2007.07.004" TargetMode="External"/><Relationship Id="rId10" Type="http://schemas.openxmlformats.org/officeDocument/2006/relationships/hyperlink" Target="https://doi.org/10.5897/AJAR12.1523" TargetMode="External"/><Relationship Id="rId19" Type="http://schemas.openxmlformats.org/officeDocument/2006/relationships/hyperlink" Target="https://doi.org/10.1126/science.1111772" TargetMode="External"/><Relationship Id="rId31" Type="http://schemas.openxmlformats.org/officeDocument/2006/relationships/hyperlink" Target="https://doi.org/10.1097/00010694-193401000-0000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16/j.geoderma.2020.114570" TargetMode="External"/><Relationship Id="rId22" Type="http://schemas.openxmlformats.org/officeDocument/2006/relationships/hyperlink" Target="https://doi.org/10.1002/jss.0321" TargetMode="External"/><Relationship Id="rId27" Type="http://schemas.openxmlformats.org/officeDocument/2006/relationships/hyperlink" Target="https://doi.org/10.1186/2193-2697-2-1" TargetMode="External"/><Relationship Id="rId30" Type="http://schemas.openxmlformats.org/officeDocument/2006/relationships/hyperlink" Target="https://doi.org/10.1016/j.ssre.2016.04.002"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693A-E2DF-4690-B1EA-1713FA03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7620</Words>
  <Characters>43436</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3.2.6 Exchangeable bases </vt:lpstr>
      <vt:lpstr>        Acknowledgment</vt:lpstr>
    </vt:vector>
  </TitlesOfParts>
  <Company/>
  <LinksUpToDate>false</LinksUpToDate>
  <CharactersWithSpaces>50955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2026-02-20T06:53:00Z</dcterms:created>
  <dcterms:modified xsi:type="dcterms:W3CDTF">2026-02-22T06:23:00Z</dcterms:modified>
</cp:coreProperties>
</file>