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DA0" w:rsidRPr="0039607D" w:rsidRDefault="00125F8C" w:rsidP="0039607D">
      <w:pPr>
        <w:pStyle w:val="Heading1"/>
        <w:spacing w:line="240" w:lineRule="auto"/>
        <w:jc w:val="right"/>
        <w:rPr>
          <w:rFonts w:ascii="Arial" w:eastAsia="Times New Roman" w:hAnsi="Arial" w:cs="Arial"/>
          <w:color w:val="000000" w:themeColor="text1"/>
          <w:sz w:val="20"/>
          <w:szCs w:val="20"/>
        </w:rPr>
      </w:pPr>
      <w:r w:rsidRPr="0039607D">
        <w:rPr>
          <w:rFonts w:ascii="Arial" w:hAnsi="Arial" w:cs="Arial"/>
          <w:color w:val="000000" w:themeColor="text1"/>
          <w:sz w:val="20"/>
          <w:szCs w:val="20"/>
        </w:rPr>
        <w:t>DEVELOPING COMMUNITY-BASED EARLY WARNING SYSTEMS FOR FLOOD DISASTER MANAGEMENT USING MOBILE TECHNOLOGY</w:t>
      </w:r>
      <w:r w:rsidRPr="0039607D">
        <w:rPr>
          <w:rFonts w:ascii="Arial" w:eastAsia="Times New Roman" w:hAnsi="Arial" w:cs="Arial"/>
          <w:color w:val="000000" w:themeColor="text1"/>
          <w:sz w:val="20"/>
          <w:szCs w:val="20"/>
        </w:rPr>
        <w:t xml:space="preserve"> </w:t>
      </w:r>
    </w:p>
    <w:p w:rsidR="00677DA0" w:rsidRPr="00E87679" w:rsidRDefault="00F44ABF" w:rsidP="009F5037">
      <w:pPr>
        <w:spacing w:line="240" w:lineRule="auto"/>
        <w:jc w:val="both"/>
        <w:rPr>
          <w:rStyle w:val="Strong"/>
          <w:rFonts w:ascii="Arial" w:hAnsi="Arial" w:cs="Arial"/>
          <w:bCs w:val="0"/>
          <w:color w:val="000000" w:themeColor="text1"/>
          <w:sz w:val="20"/>
          <w:szCs w:val="20"/>
        </w:rPr>
      </w:pPr>
      <w:bookmarkStart w:id="0" w:name="_GoBack"/>
      <w:bookmarkEnd w:id="0"/>
      <w:r w:rsidRPr="00E87679">
        <w:rPr>
          <w:rStyle w:val="Strong"/>
          <w:rFonts w:ascii="Arial" w:hAnsi="Arial" w:cs="Arial"/>
          <w:bCs w:val="0"/>
          <w:color w:val="000000" w:themeColor="text1"/>
          <w:sz w:val="20"/>
          <w:szCs w:val="20"/>
        </w:rPr>
        <w:t>Abstract</w:t>
      </w:r>
    </w:p>
    <w:p w:rsidR="00BA1ED9" w:rsidRPr="0039607D" w:rsidRDefault="00BA1ED9" w:rsidP="009F5037">
      <w:pPr>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t xml:space="preserve">Flooding has become increasingly frequent and severe in </w:t>
      </w:r>
      <w:r w:rsidRPr="0039607D">
        <w:rPr>
          <w:rStyle w:val="whitespace-normal"/>
          <w:rFonts w:ascii="Arial" w:hAnsi="Arial" w:cs="Arial"/>
          <w:color w:val="000000" w:themeColor="text1"/>
          <w:sz w:val="20"/>
          <w:szCs w:val="20"/>
        </w:rPr>
        <w:t>Akwa Ibom State</w:t>
      </w:r>
      <w:r w:rsidRPr="0039607D">
        <w:rPr>
          <w:rFonts w:ascii="Arial" w:hAnsi="Arial" w:cs="Arial"/>
          <w:color w:val="000000" w:themeColor="text1"/>
          <w:sz w:val="20"/>
          <w:szCs w:val="20"/>
        </w:rPr>
        <w:t xml:space="preserve">, largely driven by rising rainfall variability, rapid urbanization, and limited early warning infrastructure. This study assessed long-term rainfall trends, flood incidence patterns, community risk perception, institutional capacity, and determinants of household preparedness between 2005 and 2026. Secondary data were obtained from </w:t>
      </w:r>
      <w:r w:rsidRPr="0039607D">
        <w:rPr>
          <w:rStyle w:val="whitespace-normal"/>
          <w:rFonts w:ascii="Arial" w:hAnsi="Arial" w:cs="Arial"/>
          <w:color w:val="000000" w:themeColor="text1"/>
          <w:sz w:val="20"/>
          <w:szCs w:val="20"/>
        </w:rPr>
        <w:t>NEMA</w:t>
      </w:r>
      <w:r w:rsidRPr="0039607D">
        <w:rPr>
          <w:rFonts w:ascii="Arial" w:hAnsi="Arial" w:cs="Arial"/>
          <w:color w:val="000000" w:themeColor="text1"/>
          <w:sz w:val="20"/>
          <w:szCs w:val="20"/>
        </w:rPr>
        <w:t xml:space="preserve"> and </w:t>
      </w:r>
      <w:r w:rsidRPr="0039607D">
        <w:rPr>
          <w:rStyle w:val="whitespace-normal"/>
          <w:rFonts w:ascii="Arial" w:hAnsi="Arial" w:cs="Arial"/>
          <w:color w:val="000000" w:themeColor="text1"/>
          <w:sz w:val="20"/>
          <w:szCs w:val="20"/>
        </w:rPr>
        <w:t>Akwa Ibom State Emergency Management Agency</w:t>
      </w:r>
      <w:r w:rsidRPr="0039607D">
        <w:rPr>
          <w:rFonts w:ascii="Arial" w:hAnsi="Arial" w:cs="Arial"/>
          <w:color w:val="000000" w:themeColor="text1"/>
          <w:sz w:val="20"/>
          <w:szCs w:val="20"/>
        </w:rPr>
        <w:t>, while primary data were collected through structured questionnaires administered across selected Local Government Areas. The Mann–Kendall trend test revealed a statistically significant upward trend in annual rainfall (τ = 0.74, p &lt; 0.001), with Sen’s slope estimator indicating an average increase of 38 mm per year. Pearson correlation analysis showed a strong positive relationship (r = 0.87, p &lt; 0.001) between annual rainfall and flood events. Logistic regression results identified access to early warning systems (OR = 4.14), mobile phone ownership (OR = 3.16), education level (OR = 2.09), prior flood experience (OR = 1.86), and income level (OR = 1.78) as significant predictors of household preparedness (Model accuracy = 76.3%; Nagelkerke R² = 0.48). Despite high levels of flood experience (87.4%) and growing risk perception (81.6%), more than half of respondents (54.3%) exhibited low preparedness, while institutional assessments revealed major gaps in real-time monitoring, last-mile communication, and mobile-based alert systems. The findings underscore the urgent need for integrated, technology-driven, and community-centered early warning systems to enhance resilience and reduce flood-related losses in the state.</w:t>
      </w:r>
    </w:p>
    <w:p w:rsidR="001C0C9B" w:rsidRDefault="00BA1ED9" w:rsidP="009F5037">
      <w:pPr>
        <w:pStyle w:val="NormalWeb"/>
        <w:jc w:val="both"/>
        <w:rPr>
          <w:rFonts w:ascii="Arial" w:hAnsi="Arial" w:cs="Arial"/>
          <w:color w:val="000000" w:themeColor="text1"/>
          <w:sz w:val="20"/>
          <w:szCs w:val="20"/>
        </w:rPr>
        <w:sectPr w:rsidR="001C0C9B" w:rsidSect="005E2617">
          <w:footerReference w:type="default" r:id="rId9"/>
          <w:pgSz w:w="11907" w:h="16839" w:code="9"/>
          <w:pgMar w:top="1440" w:right="1440" w:bottom="1440" w:left="1440" w:header="720" w:footer="720" w:gutter="0"/>
          <w:cols w:space="720"/>
          <w:docGrid w:linePitch="360"/>
        </w:sectPr>
      </w:pPr>
      <w:r w:rsidRPr="0039607D">
        <w:rPr>
          <w:rStyle w:val="Strong"/>
          <w:rFonts w:ascii="Arial" w:hAnsi="Arial" w:cs="Arial"/>
          <w:color w:val="000000" w:themeColor="text1"/>
          <w:sz w:val="20"/>
          <w:szCs w:val="20"/>
        </w:rPr>
        <w:t>Keywords:</w:t>
      </w:r>
      <w:r w:rsidRPr="0039607D">
        <w:rPr>
          <w:rFonts w:ascii="Arial" w:hAnsi="Arial" w:cs="Arial"/>
          <w:color w:val="000000" w:themeColor="text1"/>
          <w:sz w:val="20"/>
          <w:szCs w:val="20"/>
        </w:rPr>
        <w:t xml:space="preserve"> Early warning systems; Flood preparedness; Flood risk; Rainfall variability; Resilience.</w:t>
      </w:r>
    </w:p>
    <w:p w:rsidR="00BA1ED9" w:rsidRPr="0039607D" w:rsidRDefault="00BA1ED9" w:rsidP="009F5037">
      <w:pPr>
        <w:pStyle w:val="NormalWeb"/>
        <w:jc w:val="both"/>
        <w:rPr>
          <w:rFonts w:ascii="Arial" w:hAnsi="Arial" w:cs="Arial"/>
          <w:color w:val="000000" w:themeColor="text1"/>
          <w:sz w:val="20"/>
          <w:szCs w:val="20"/>
        </w:rPr>
      </w:pPr>
    </w:p>
    <w:p w:rsidR="00BA7DC5" w:rsidRPr="0039607D" w:rsidRDefault="00BA7DC5" w:rsidP="009F5037">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t>INTRODUCTION</w:t>
      </w:r>
    </w:p>
    <w:p w:rsidR="00EC7014" w:rsidRPr="0039607D"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One of the most common and destructive natural hazards in the world today has become flood disasters that have been taking away millions of lives every year, causing significant socio-economic damage (IPCC, 2023; UNDRR, 2022). The risk of floods especially in low-lying coastal and riverine settlements in sub-Saharan Africa has been increased by rapid urbanization, climate variability, and lack of infrastructure (Adelekan, 2016; Olorunfemi et al., 2020). Flooding is very susceptible in Nigeria, and in the past decades, there has been recurrence, leading to loss of lives, displacement, property damage, and livelihood disruption (Nwokoro et al., 2021). The Akwa Ibom State, which is a part of the Niger Delta region, is especially prone to flood risks because of the low-lying terrain, elevated level of precipitation, large population, and ineffective drainage systems (Udoh and Akpan, 2019; Ekwere et al., 2021).</w:t>
      </w:r>
    </w:p>
    <w:p w:rsidR="00827EAE" w:rsidRPr="0039607D"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Flood effects in the Akwa Ibom State are not only physical, but socio-economic as well. In most cases, the devastation caused by flooding can take away homes, farmlands, </w:t>
      </w:r>
      <w:r w:rsidRPr="0039607D">
        <w:rPr>
          <w:rFonts w:ascii="Arial" w:eastAsia="Times New Roman" w:hAnsi="Arial" w:cs="Arial"/>
          <w:color w:val="000000" w:themeColor="text1"/>
          <w:sz w:val="20"/>
          <w:szCs w:val="20"/>
        </w:rPr>
        <w:lastRenderedPageBreak/>
        <w:t xml:space="preserve">and other important infrastructure, resulting into food insecurity, economic damage, and health problems (Udo and Etim, 2018). Although the government tries to address the consequences of floods, the repetitive character of the disaster implies a lack of disaster preparedness, dissemination of early warnings, and community involvement (NEMA, 2022; AKSEMA, 2023). The traditional early warning systems are usually centralized, slow and inaccessible to the vulnerable population especially in rural and peri-urban regions (Adelekan et al., 2015). </w:t>
      </w:r>
    </w:p>
    <w:p w:rsidR="00D84719" w:rsidRPr="00E87679" w:rsidRDefault="00EC7014" w:rsidP="009F5037">
      <w:pPr>
        <w:spacing w:before="240" w:after="0" w:line="240" w:lineRule="auto"/>
        <w:ind w:right="207"/>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The emerging technologies in mobile technology, geospatial modeling, and real-time data collection create the prospects of creating community-based early warning systems (CBEWS) that can be used to bolster the management of flood risks. The mobile-enabled systems have the potential to combine the sensors of rainfall and river level, satellite-based data, and community-sourced reports to provide people in danger with time-sensitive alerts (Shrestha et al., 2020). Such systems also allow the community to participate in disaster monitoring and response, which forms a feedback loop that enhances resilience and minimizes losses (Paul et al., 2021). Moreover, proactive disaster management can be achieved through the adoption of predictive algorithms and the risk scoring </w:t>
      </w:r>
      <w:r w:rsidRPr="0039607D">
        <w:rPr>
          <w:rFonts w:ascii="Arial" w:eastAsia="Times New Roman" w:hAnsi="Arial" w:cs="Arial"/>
          <w:color w:val="000000" w:themeColor="text1"/>
          <w:sz w:val="20"/>
          <w:szCs w:val="20"/>
        </w:rPr>
        <w:lastRenderedPageBreak/>
        <w:t>method into the mobile platforms (Musa et al., 2022).</w:t>
      </w:r>
      <w:r w:rsidR="00E87679">
        <w:rPr>
          <w:rFonts w:ascii="Arial" w:eastAsia="Times New Roman" w:hAnsi="Arial" w:cs="Arial"/>
          <w:color w:val="000000" w:themeColor="text1"/>
          <w:sz w:val="20"/>
          <w:szCs w:val="20"/>
        </w:rPr>
        <w:t xml:space="preserve"> </w:t>
      </w:r>
      <w:r w:rsidRPr="0039607D">
        <w:rPr>
          <w:rFonts w:ascii="Arial" w:eastAsia="Times New Roman" w:hAnsi="Arial" w:cs="Arial"/>
          <w:color w:val="000000" w:themeColor="text1"/>
          <w:sz w:val="20"/>
          <w:szCs w:val="20"/>
        </w:rPr>
        <w:t xml:space="preserve">Since the occurrence and severity of floods in Akwa Ibom State have been on the rise, it is high time the community comes up with a mobile early warning system, which is context-specific and community-based so that it can help in strengthening the resilience of the area, provide timely response, and increase preparedness. </w:t>
      </w:r>
      <w:r w:rsidR="000745FA" w:rsidRPr="0039607D">
        <w:rPr>
          <w:rFonts w:ascii="Arial" w:hAnsi="Arial" w:cs="Arial"/>
          <w:color w:val="000000" w:themeColor="text1"/>
          <w:sz w:val="20"/>
          <w:szCs w:val="20"/>
        </w:rPr>
        <w:t>This study, therefore, aims to address this gap by combining historical flood trend analysis, community preparedness assessment, institutional gap evaluation, and design science research for system development and validation.</w:t>
      </w:r>
      <w:r w:rsidR="00D84719" w:rsidRPr="0039607D">
        <w:rPr>
          <w:rFonts w:ascii="Arial" w:hAnsi="Arial" w:cs="Arial"/>
          <w:color w:val="000000" w:themeColor="text1"/>
          <w:sz w:val="20"/>
          <w:szCs w:val="20"/>
        </w:rPr>
        <w:t xml:space="preserve"> The specific objectives of the study are to:</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Examine the patterns, frequency, and impacts of flood disasters in Akwa Ibom State over the past two decades.</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Assess community awareness, perceptions, and preparedness levels for flood disaster management.</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Evaluate the current gaps and limitations in existing early warning systems for flood management in the study area.</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Develop a mobile technology-based community early warning system framework for flood disaster management.</w:t>
      </w:r>
    </w:p>
    <w:p w:rsidR="00D84719" w:rsidRPr="0039607D" w:rsidRDefault="00D84719" w:rsidP="009F5037">
      <w:pPr>
        <w:pStyle w:val="ListParagraph"/>
        <w:numPr>
          <w:ilvl w:val="0"/>
          <w:numId w:val="1"/>
        </w:numPr>
        <w:spacing w:before="240" w:after="0" w:line="240" w:lineRule="auto"/>
        <w:ind w:right="207"/>
        <w:rPr>
          <w:rFonts w:ascii="Arial" w:hAnsi="Arial" w:cs="Arial"/>
          <w:color w:val="000000" w:themeColor="text1"/>
          <w:sz w:val="20"/>
          <w:szCs w:val="20"/>
        </w:rPr>
      </w:pPr>
      <w:r w:rsidRPr="0039607D">
        <w:rPr>
          <w:rFonts w:ascii="Arial" w:hAnsi="Arial" w:cs="Arial"/>
          <w:color w:val="000000" w:themeColor="text1"/>
          <w:sz w:val="20"/>
          <w:szCs w:val="20"/>
        </w:rPr>
        <w:t>Test and validate the effectiveness, accessibility, and sustainability of the proposed mobile-based community early warning system.</w:t>
      </w:r>
    </w:p>
    <w:p w:rsidR="000B18C6" w:rsidRPr="0039607D" w:rsidRDefault="000B18C6" w:rsidP="009F5037">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t>RESEARCH METHODOLOGY</w:t>
      </w:r>
    </w:p>
    <w:p w:rsidR="000B5B62"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 xml:space="preserve">The study adopted </w:t>
      </w:r>
      <w:r w:rsidR="000B5B62" w:rsidRPr="0039607D">
        <w:rPr>
          <w:rFonts w:ascii="Arial" w:hAnsi="Arial" w:cs="Arial"/>
          <w:color w:val="000000" w:themeColor="text1"/>
          <w:sz w:val="20"/>
          <w:szCs w:val="20"/>
        </w:rPr>
        <w:t>longitudinal, cross-sectional research design</w:t>
      </w:r>
      <w:r w:rsidRPr="0039607D">
        <w:rPr>
          <w:rFonts w:ascii="Arial" w:hAnsi="Arial" w:cs="Arial"/>
          <w:color w:val="000000" w:themeColor="text1"/>
          <w:sz w:val="20"/>
          <w:szCs w:val="20"/>
        </w:rPr>
        <w:t>,</w:t>
      </w:r>
      <w:r w:rsidR="000B5B62" w:rsidRPr="0039607D">
        <w:rPr>
          <w:rFonts w:ascii="Arial" w:hAnsi="Arial" w:cs="Arial"/>
          <w:color w:val="000000" w:themeColor="text1"/>
          <w:sz w:val="20"/>
          <w:szCs w:val="20"/>
        </w:rPr>
        <w:t xml:space="preserve"> the study also employed</w:t>
      </w:r>
      <w:r w:rsidRPr="0039607D">
        <w:rPr>
          <w:rFonts w:ascii="Arial" w:hAnsi="Arial" w:cs="Arial"/>
          <w:color w:val="000000" w:themeColor="text1"/>
          <w:sz w:val="20"/>
          <w:szCs w:val="20"/>
        </w:rPr>
        <w:t xml:space="preserve"> geospatial and hydrological modeling</w:t>
      </w:r>
      <w:r w:rsidR="000B5B62"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 xml:space="preserve">and pilot experimental validation to develop and evaluate a community-based mobile early warning system for flood disaster management in Akwa Ibom State, Nigeria. The methodology was implemented in interconnected phases aligned with the study objectives. A 20-year longitudinal assessment (2005-2025) was conducted to analyze flood </w:t>
      </w:r>
      <w:r w:rsidRPr="0039607D">
        <w:rPr>
          <w:rFonts w:ascii="Arial" w:hAnsi="Arial" w:cs="Arial"/>
          <w:color w:val="000000" w:themeColor="text1"/>
          <w:sz w:val="20"/>
          <w:szCs w:val="20"/>
        </w:rPr>
        <w:lastRenderedPageBreak/>
        <w:t xml:space="preserve">patterns, frequency, and impacts across major flood-prone Local Government Areas including Uyo, Itu, Oron, Eket, Ikot Abasi, Ibeno, and Eastern Obolo. Secondary data were obtained from NiMet (rainfall), NIHSA (river discharge), NEMA and AKSEMA (flood records), alongside satellite datasets </w:t>
      </w:r>
      <w:r w:rsidR="000B5B62" w:rsidRPr="0039607D">
        <w:rPr>
          <w:rFonts w:ascii="Arial" w:hAnsi="Arial" w:cs="Arial"/>
          <w:color w:val="000000" w:themeColor="text1"/>
          <w:sz w:val="20"/>
          <w:szCs w:val="20"/>
        </w:rPr>
        <w:t xml:space="preserve">(Landsat, Sentinel-1 SAR </w:t>
      </w:r>
      <w:r w:rsidRPr="0039607D">
        <w:rPr>
          <w:rFonts w:ascii="Arial" w:hAnsi="Arial" w:cs="Arial"/>
          <w:color w:val="000000" w:themeColor="text1"/>
          <w:sz w:val="20"/>
          <w:szCs w:val="20"/>
        </w:rPr>
        <w:t xml:space="preserve">and SRTM 30m DEM. Trend analysis was performed using the Mann-Kendall test, Sen's slope estimator, Rainfall Anomaly Index, and Standardized Precipitation Index. Flood frequency was modeled using Gumbel Extreme Value and Log-Pearson Type III distributions to estimate 10-, 25-, and 50-year return periods. </w:t>
      </w:r>
    </w:p>
    <w:p w:rsidR="006C3669"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Community awareness and preparedness were assessed using a multi-stage sampling technique. High-risk LGAs were stratified, communities randomly selected, and households systematically sampled</w:t>
      </w:r>
      <w:r w:rsidR="000B5B62" w:rsidRPr="0039607D">
        <w:rPr>
          <w:rFonts w:ascii="Arial" w:hAnsi="Arial" w:cs="Arial"/>
          <w:color w:val="000000" w:themeColor="text1"/>
          <w:sz w:val="20"/>
          <w:szCs w:val="20"/>
        </w:rPr>
        <w:t xml:space="preserve">, yielding approximately </w:t>
      </w:r>
      <w:r w:rsidR="008A497A" w:rsidRPr="0039607D">
        <w:rPr>
          <w:rFonts w:ascii="Arial" w:hAnsi="Arial" w:cs="Arial"/>
          <w:color w:val="000000" w:themeColor="text1"/>
          <w:sz w:val="20"/>
          <w:szCs w:val="20"/>
        </w:rPr>
        <w:t>420</w:t>
      </w:r>
      <w:r w:rsidRPr="0039607D">
        <w:rPr>
          <w:rFonts w:ascii="Arial" w:hAnsi="Arial" w:cs="Arial"/>
          <w:color w:val="000000" w:themeColor="text1"/>
          <w:sz w:val="20"/>
          <w:szCs w:val="20"/>
        </w:rPr>
        <w:t xml:space="preserve"> respondents determined using Cochran's formula. Data were collected through structured questionnaires, focus group discussions, and key informant interviews involving emergency officials and disaster coordinators. Statistical analyses included descriptive statistics, Likert-scale preparedness indexing, binary logistic regression to determine preparedness predictors, factor analysis to identify awareness drivers, and computation of a Community Resilience Index. An institutional and technical gap analysis of existing early warning systems was conducted thr</w:t>
      </w:r>
      <w:r w:rsidR="006C3669" w:rsidRPr="0039607D">
        <w:rPr>
          <w:rFonts w:ascii="Arial" w:hAnsi="Arial" w:cs="Arial"/>
          <w:color w:val="000000" w:themeColor="text1"/>
          <w:sz w:val="20"/>
          <w:szCs w:val="20"/>
        </w:rPr>
        <w:t xml:space="preserve">ough stakeholder consultations </w:t>
      </w:r>
      <w:r w:rsidRPr="0039607D">
        <w:rPr>
          <w:rFonts w:ascii="Arial" w:hAnsi="Arial" w:cs="Arial"/>
          <w:color w:val="000000" w:themeColor="text1"/>
          <w:sz w:val="20"/>
          <w:szCs w:val="20"/>
        </w:rPr>
        <w:t xml:space="preserve">and SWOT analysis. </w:t>
      </w:r>
    </w:p>
    <w:p w:rsidR="006C3669" w:rsidRPr="0039607D" w:rsidRDefault="00F52F9B"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 xml:space="preserve">The system development phase followed a Design Science Research framework. A multi-layered architecture was designed comprising data acquisition (IoT rainfall and river sensors, satellite APIs, SMS reports), cloud-based processing and risk scoring, decision support classification (Green/Yellow/Red), multi-channel communication (SMS, USSD, mobile app, WhatsApp API, IVR in local languages), and a real-time feedback module with geo-tagged reporting. The platform was developed using Python (Django/Flask), Flutter/React Native for mobile deployment, integrated SMS gateways, and cloud hosting services. </w:t>
      </w:r>
    </w:p>
    <w:p w:rsidR="001C0C9B" w:rsidRDefault="001C0C9B" w:rsidP="00365AE9">
      <w:pPr>
        <w:pStyle w:val="NormalWeb"/>
        <w:numPr>
          <w:ilvl w:val="0"/>
          <w:numId w:val="26"/>
        </w:numPr>
        <w:jc w:val="both"/>
        <w:rPr>
          <w:rFonts w:ascii="Arial" w:hAnsi="Arial" w:cs="Arial"/>
          <w:b/>
          <w:color w:val="000000" w:themeColor="text1"/>
          <w:sz w:val="20"/>
          <w:szCs w:val="20"/>
        </w:rPr>
        <w:sectPr w:rsidR="001C0C9B" w:rsidSect="001C0C9B">
          <w:type w:val="continuous"/>
          <w:pgSz w:w="11907" w:h="16839" w:code="9"/>
          <w:pgMar w:top="1440" w:right="1440" w:bottom="1440" w:left="1440" w:header="720" w:footer="720" w:gutter="0"/>
          <w:cols w:num="2" w:space="720"/>
          <w:docGrid w:linePitch="360"/>
        </w:sectPr>
      </w:pPr>
    </w:p>
    <w:p w:rsidR="00990DA4" w:rsidRPr="0039607D" w:rsidRDefault="00906592" w:rsidP="00365AE9">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lastRenderedPageBreak/>
        <w:t>RESULTS</w:t>
      </w:r>
    </w:p>
    <w:p w:rsidR="00990DA4" w:rsidRPr="0039607D" w:rsidRDefault="00365AE9"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t>Table 3</w:t>
      </w:r>
      <w:r w:rsidR="00586F8F" w:rsidRPr="0039607D">
        <w:rPr>
          <w:rFonts w:ascii="Arial" w:hAnsi="Arial" w:cs="Arial"/>
          <w:color w:val="000000" w:themeColor="text1"/>
          <w:sz w:val="20"/>
          <w:szCs w:val="20"/>
        </w:rPr>
        <w:t>.1</w:t>
      </w:r>
      <w:r w:rsidR="00990DA4" w:rsidRPr="0039607D">
        <w:rPr>
          <w:rFonts w:ascii="Arial" w:hAnsi="Arial" w:cs="Arial"/>
          <w:color w:val="000000" w:themeColor="text1"/>
          <w:sz w:val="20"/>
          <w:szCs w:val="20"/>
        </w:rPr>
        <w:t>: Demographic Characteristics of Respondents</w:t>
      </w:r>
    </w:p>
    <w:tbl>
      <w:tblPr>
        <w:tblStyle w:val="LightShading1"/>
        <w:tblW w:w="0" w:type="auto"/>
        <w:tblLook w:val="04A0" w:firstRow="1" w:lastRow="0" w:firstColumn="1" w:lastColumn="0" w:noHBand="0" w:noVBand="1"/>
      </w:tblPr>
      <w:tblGrid>
        <w:gridCol w:w="3866"/>
        <w:gridCol w:w="1504"/>
        <w:gridCol w:w="1358"/>
        <w:gridCol w:w="2515"/>
      </w:tblGrid>
      <w:tr w:rsidR="00990DA4" w:rsidRPr="0039607D" w:rsidTr="003B6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Variable</w:t>
            </w:r>
          </w:p>
        </w:tc>
        <w:tc>
          <w:tcPr>
            <w:tcW w:w="1530" w:type="dxa"/>
            <w:shd w:val="clear" w:color="auto" w:fill="FFFFFF" w:themeFill="background1"/>
            <w:hideMark/>
          </w:tcPr>
          <w:p w:rsidR="00990DA4" w:rsidRPr="0039607D" w:rsidRDefault="00990DA4"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Category</w:t>
            </w:r>
          </w:p>
        </w:tc>
        <w:tc>
          <w:tcPr>
            <w:tcW w:w="1368" w:type="dxa"/>
            <w:shd w:val="clear" w:color="auto" w:fill="FFFFFF" w:themeFill="background1"/>
            <w:hideMark/>
          </w:tcPr>
          <w:p w:rsidR="00990DA4" w:rsidRPr="0039607D" w:rsidRDefault="00990DA4"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Frequency</w:t>
            </w:r>
          </w:p>
        </w:tc>
        <w:tc>
          <w:tcPr>
            <w:tcW w:w="2610" w:type="dxa"/>
            <w:shd w:val="clear" w:color="auto" w:fill="FFFFFF" w:themeFill="background1"/>
            <w:hideMark/>
          </w:tcPr>
          <w:p w:rsidR="00990DA4" w:rsidRPr="0039607D" w:rsidRDefault="00990DA4"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Percentage (%)</w:t>
            </w:r>
          </w:p>
        </w:tc>
      </w:tr>
      <w:tr w:rsidR="00990DA4" w:rsidRPr="0039607D" w:rsidTr="003B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Gender</w:t>
            </w:r>
          </w:p>
        </w:tc>
        <w:tc>
          <w:tcPr>
            <w:tcW w:w="153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Male</w:t>
            </w:r>
          </w:p>
        </w:tc>
        <w:tc>
          <w:tcPr>
            <w:tcW w:w="1368"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238</w:t>
            </w:r>
          </w:p>
        </w:tc>
        <w:tc>
          <w:tcPr>
            <w:tcW w:w="261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56.7</w:t>
            </w:r>
          </w:p>
        </w:tc>
      </w:tr>
      <w:tr w:rsidR="00990DA4" w:rsidRPr="0039607D" w:rsidTr="003B6271">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Female</w:t>
            </w:r>
          </w:p>
        </w:tc>
        <w:tc>
          <w:tcPr>
            <w:tcW w:w="1368"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182</w:t>
            </w:r>
          </w:p>
        </w:tc>
        <w:tc>
          <w:tcPr>
            <w:tcW w:w="261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43.3</w:t>
            </w:r>
          </w:p>
        </w:tc>
      </w:tr>
      <w:tr w:rsidR="00990DA4" w:rsidRPr="0039607D" w:rsidTr="003B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Education</w:t>
            </w:r>
          </w:p>
        </w:tc>
        <w:tc>
          <w:tcPr>
            <w:tcW w:w="153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No Formal</w:t>
            </w:r>
          </w:p>
        </w:tc>
        <w:tc>
          <w:tcPr>
            <w:tcW w:w="1368"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48</w:t>
            </w:r>
          </w:p>
        </w:tc>
        <w:tc>
          <w:tcPr>
            <w:tcW w:w="261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11.4</w:t>
            </w:r>
          </w:p>
        </w:tc>
      </w:tr>
      <w:tr w:rsidR="00990DA4" w:rsidRPr="0039607D" w:rsidTr="003B6271">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Primary</w:t>
            </w:r>
          </w:p>
        </w:tc>
        <w:tc>
          <w:tcPr>
            <w:tcW w:w="1368"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112</w:t>
            </w:r>
          </w:p>
        </w:tc>
        <w:tc>
          <w:tcPr>
            <w:tcW w:w="261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26.7</w:t>
            </w:r>
          </w:p>
        </w:tc>
      </w:tr>
      <w:tr w:rsidR="00990DA4" w:rsidRPr="0039607D" w:rsidTr="003B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Secondary</w:t>
            </w:r>
          </w:p>
        </w:tc>
        <w:tc>
          <w:tcPr>
            <w:tcW w:w="1368"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186</w:t>
            </w:r>
          </w:p>
        </w:tc>
        <w:tc>
          <w:tcPr>
            <w:tcW w:w="261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44.3</w:t>
            </w:r>
          </w:p>
        </w:tc>
      </w:tr>
      <w:tr w:rsidR="00990DA4" w:rsidRPr="0039607D" w:rsidTr="003B6271">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Tertiary</w:t>
            </w:r>
          </w:p>
        </w:tc>
        <w:tc>
          <w:tcPr>
            <w:tcW w:w="1368"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74</w:t>
            </w:r>
          </w:p>
        </w:tc>
        <w:tc>
          <w:tcPr>
            <w:tcW w:w="261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17.6</w:t>
            </w:r>
          </w:p>
        </w:tc>
      </w:tr>
      <w:tr w:rsidR="00990DA4" w:rsidRPr="0039607D" w:rsidTr="003B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Mobile Phone Ownership</w:t>
            </w:r>
          </w:p>
        </w:tc>
        <w:tc>
          <w:tcPr>
            <w:tcW w:w="153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1368"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401</w:t>
            </w:r>
          </w:p>
        </w:tc>
        <w:tc>
          <w:tcPr>
            <w:tcW w:w="2610" w:type="dxa"/>
            <w:shd w:val="clear" w:color="auto" w:fill="FFFFFF" w:themeFill="background1"/>
            <w:hideMark/>
          </w:tcPr>
          <w:p w:rsidR="00990DA4" w:rsidRPr="0039607D" w:rsidRDefault="00990DA4"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95.5</w:t>
            </w:r>
          </w:p>
        </w:tc>
      </w:tr>
      <w:tr w:rsidR="00990DA4" w:rsidRPr="0039607D" w:rsidTr="003B6271">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rsidR="00990DA4" w:rsidRPr="0039607D" w:rsidRDefault="00990DA4" w:rsidP="009F5037">
            <w:pPr>
              <w:jc w:val="both"/>
              <w:rPr>
                <w:rFonts w:ascii="Arial" w:hAnsi="Arial" w:cs="Arial"/>
                <w:color w:val="000000" w:themeColor="text1"/>
                <w:sz w:val="20"/>
                <w:szCs w:val="20"/>
              </w:rPr>
            </w:pPr>
          </w:p>
        </w:tc>
        <w:tc>
          <w:tcPr>
            <w:tcW w:w="153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1368"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19</w:t>
            </w:r>
          </w:p>
        </w:tc>
        <w:tc>
          <w:tcPr>
            <w:tcW w:w="2610" w:type="dxa"/>
            <w:shd w:val="clear" w:color="auto" w:fill="FFFFFF" w:themeFill="background1"/>
            <w:hideMark/>
          </w:tcPr>
          <w:p w:rsidR="00990DA4" w:rsidRPr="0039607D" w:rsidRDefault="00990DA4"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4.5</w:t>
            </w:r>
          </w:p>
        </w:tc>
      </w:tr>
    </w:tbl>
    <w:p w:rsidR="00990DA4" w:rsidRPr="0039607D" w:rsidRDefault="005F7C60" w:rsidP="009F5037">
      <w:pPr>
        <w:spacing w:line="240" w:lineRule="auto"/>
        <w:jc w:val="both"/>
        <w:rPr>
          <w:rFonts w:ascii="Arial" w:hAnsi="Arial" w:cs="Arial"/>
          <w:b/>
          <w:i/>
          <w:color w:val="000000" w:themeColor="text1"/>
          <w:sz w:val="20"/>
          <w:szCs w:val="20"/>
        </w:rPr>
      </w:pPr>
      <w:r w:rsidRPr="0039607D">
        <w:rPr>
          <w:rFonts w:ascii="Arial" w:hAnsi="Arial" w:cs="Arial"/>
          <w:b/>
          <w:i/>
          <w:color w:val="000000" w:themeColor="text1"/>
          <w:sz w:val="20"/>
          <w:szCs w:val="20"/>
        </w:rPr>
        <w:t>Source: Field Survey, (2026</w:t>
      </w:r>
      <w:r w:rsidR="00990DA4" w:rsidRPr="0039607D">
        <w:rPr>
          <w:rFonts w:ascii="Arial" w:hAnsi="Arial" w:cs="Arial"/>
          <w:b/>
          <w:i/>
          <w:color w:val="000000" w:themeColor="text1"/>
          <w:sz w:val="20"/>
          <w:szCs w:val="20"/>
        </w:rPr>
        <w:t>)</w:t>
      </w:r>
    </w:p>
    <w:p w:rsidR="001A4E58" w:rsidRDefault="001A4E58" w:rsidP="001A4E58">
      <w:pPr>
        <w:spacing w:before="100" w:beforeAutospacing="1" w:after="100" w:afterAutospacing="1" w:line="240" w:lineRule="auto"/>
        <w:jc w:val="both"/>
        <w:rPr>
          <w:rFonts w:ascii="Arial" w:eastAsia="Times New Roman" w:hAnsi="Arial" w:cs="Arial"/>
          <w:color w:val="000000" w:themeColor="text1"/>
          <w:sz w:val="20"/>
          <w:szCs w:val="20"/>
        </w:rPr>
        <w:sectPr w:rsidR="001A4E58" w:rsidSect="001C0C9B">
          <w:type w:val="continuous"/>
          <w:pgSz w:w="11907" w:h="16839" w:code="9"/>
          <w:pgMar w:top="1440" w:right="1440" w:bottom="1440" w:left="1440" w:header="720" w:footer="720" w:gutter="0"/>
          <w:cols w:space="720"/>
          <w:docGrid w:linePitch="360"/>
        </w:sectPr>
      </w:pPr>
    </w:p>
    <w:p w:rsidR="001A4E58" w:rsidRDefault="00627435" w:rsidP="001A4E58">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results show a slightly male-dominated sample (56.7%), though female participation is substantial (43.3%), ensuring gender inclusiveness. Educational attainment is relatively high, with 61.9% having at least secondary education, suggesting respondents possess adequate literacy to understand early </w:t>
      </w:r>
    </w:p>
    <w:p w:rsidR="00627435" w:rsidRPr="0039607D" w:rsidRDefault="00627435" w:rsidP="001A4E58">
      <w:pPr>
        <w:spacing w:before="100" w:beforeAutospacing="1" w:after="100" w:afterAutospacing="1" w:line="240" w:lineRule="auto"/>
        <w:jc w:val="both"/>
        <w:rPr>
          <w:rFonts w:ascii="Arial" w:hAnsi="Arial" w:cs="Arial"/>
          <w:b/>
          <w:i/>
          <w:color w:val="000000" w:themeColor="text1"/>
          <w:sz w:val="20"/>
          <w:szCs w:val="20"/>
        </w:rPr>
      </w:pPr>
      <w:proofErr w:type="gramStart"/>
      <w:r w:rsidRPr="0039607D">
        <w:rPr>
          <w:rFonts w:ascii="Arial" w:eastAsia="Times New Roman" w:hAnsi="Arial" w:cs="Arial"/>
          <w:color w:val="000000" w:themeColor="text1"/>
          <w:sz w:val="20"/>
          <w:szCs w:val="20"/>
        </w:rPr>
        <w:lastRenderedPageBreak/>
        <w:t>warning</w:t>
      </w:r>
      <w:proofErr w:type="gramEnd"/>
      <w:r w:rsidRPr="0039607D">
        <w:rPr>
          <w:rFonts w:ascii="Arial" w:eastAsia="Times New Roman" w:hAnsi="Arial" w:cs="Arial"/>
          <w:color w:val="000000" w:themeColor="text1"/>
          <w:sz w:val="20"/>
          <w:szCs w:val="20"/>
        </w:rPr>
        <w:t xml:space="preserve"> information. Notably, 95.5% of respondents own mobile phones, indicating strong feasibility for implementing a mobile-based early warning system. Limited phone ownership (4.5%) suggests the need for complementary communication channels.</w:t>
      </w:r>
    </w:p>
    <w:p w:rsidR="001A4E58" w:rsidRDefault="001A4E58" w:rsidP="009F5037">
      <w:pPr>
        <w:spacing w:line="240" w:lineRule="auto"/>
        <w:jc w:val="both"/>
        <w:rPr>
          <w:rFonts w:ascii="Arial" w:hAnsi="Arial" w:cs="Arial"/>
          <w:b/>
          <w:color w:val="000000" w:themeColor="text1"/>
          <w:sz w:val="20"/>
          <w:szCs w:val="20"/>
        </w:rPr>
        <w:sectPr w:rsidR="001A4E58" w:rsidSect="001A4E58">
          <w:type w:val="continuous"/>
          <w:pgSz w:w="11907" w:h="16839" w:code="9"/>
          <w:pgMar w:top="1440" w:right="1440" w:bottom="1440" w:left="1440" w:header="720" w:footer="720" w:gutter="0"/>
          <w:cols w:num="2" w:space="720"/>
          <w:docGrid w:linePitch="360"/>
        </w:sectPr>
      </w:pPr>
    </w:p>
    <w:p w:rsidR="00286D9C" w:rsidRPr="0039607D" w:rsidRDefault="00FC0392" w:rsidP="009F5037">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Table 3</w:t>
      </w:r>
      <w:r w:rsidR="00586F8F" w:rsidRPr="0039607D">
        <w:rPr>
          <w:rFonts w:ascii="Arial" w:hAnsi="Arial" w:cs="Arial"/>
          <w:b/>
          <w:color w:val="000000" w:themeColor="text1"/>
          <w:sz w:val="20"/>
          <w:szCs w:val="20"/>
        </w:rPr>
        <w:t>.2</w:t>
      </w:r>
      <w:r w:rsidR="001F3444" w:rsidRPr="0039607D">
        <w:rPr>
          <w:rFonts w:ascii="Arial" w:hAnsi="Arial" w:cs="Arial"/>
          <w:b/>
          <w:color w:val="000000" w:themeColor="text1"/>
          <w:sz w:val="20"/>
          <w:szCs w:val="20"/>
        </w:rPr>
        <w:t>: The Annual Rainfall and Flood incidence</w:t>
      </w:r>
      <w:r w:rsidR="00FD1E1D" w:rsidRPr="0039607D">
        <w:rPr>
          <w:rFonts w:ascii="Arial" w:hAnsi="Arial" w:cs="Arial"/>
          <w:b/>
          <w:color w:val="000000" w:themeColor="text1"/>
          <w:sz w:val="20"/>
          <w:szCs w:val="20"/>
        </w:rPr>
        <w:t xml:space="preserve"> in </w:t>
      </w:r>
      <w:r w:rsidR="009673BF" w:rsidRPr="0039607D">
        <w:rPr>
          <w:rFonts w:ascii="Arial" w:hAnsi="Arial" w:cs="Arial"/>
          <w:b/>
          <w:color w:val="000000" w:themeColor="text1"/>
          <w:sz w:val="20"/>
          <w:szCs w:val="20"/>
        </w:rPr>
        <w:t>some selected LGAs in Akwa Ibom State</w:t>
      </w:r>
      <w:r w:rsidR="00FD1E1D" w:rsidRPr="0039607D">
        <w:rPr>
          <w:rFonts w:ascii="Arial" w:hAnsi="Arial" w:cs="Arial"/>
          <w:b/>
          <w:color w:val="000000" w:themeColor="text1"/>
          <w:sz w:val="20"/>
          <w:szCs w:val="20"/>
        </w:rPr>
        <w:t xml:space="preserve"> (2005-2025</w:t>
      </w:r>
      <w:r w:rsidR="0091105C" w:rsidRPr="0039607D">
        <w:rPr>
          <w:rFonts w:ascii="Arial" w:hAnsi="Arial" w:cs="Arial"/>
          <w:b/>
          <w:color w:val="000000" w:themeColor="text1"/>
          <w:sz w:val="20"/>
          <w:szCs w:val="20"/>
        </w:rPr>
        <w:t>)</w:t>
      </w:r>
    </w:p>
    <w:tbl>
      <w:tblPr>
        <w:tblStyle w:val="LightShading1"/>
        <w:tblW w:w="9828" w:type="dxa"/>
        <w:tblLook w:val="04A0" w:firstRow="1" w:lastRow="0" w:firstColumn="1" w:lastColumn="0" w:noHBand="0" w:noVBand="1"/>
      </w:tblPr>
      <w:tblGrid>
        <w:gridCol w:w="723"/>
        <w:gridCol w:w="2715"/>
        <w:gridCol w:w="1350"/>
        <w:gridCol w:w="2610"/>
        <w:gridCol w:w="2430"/>
      </w:tblGrid>
      <w:tr w:rsidR="009673BF" w:rsidRPr="0039607D" w:rsidTr="00985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Year</w:t>
            </w:r>
          </w:p>
        </w:tc>
        <w:tc>
          <w:tcPr>
            <w:tcW w:w="2715" w:type="dxa"/>
            <w:shd w:val="clear" w:color="auto" w:fill="FFFFFF" w:themeFill="background1"/>
            <w:hideMark/>
          </w:tcPr>
          <w:p w:rsidR="009673BF" w:rsidRPr="0039607D" w:rsidRDefault="009673BF"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Annual Rainfall (mm)</w:t>
            </w:r>
          </w:p>
        </w:tc>
        <w:tc>
          <w:tcPr>
            <w:tcW w:w="1350" w:type="dxa"/>
            <w:shd w:val="clear" w:color="auto" w:fill="FFFFFF" w:themeFill="background1"/>
            <w:hideMark/>
          </w:tcPr>
          <w:p w:rsidR="009673BF" w:rsidRPr="0039607D" w:rsidRDefault="009673BF"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SPI Value</w:t>
            </w:r>
          </w:p>
        </w:tc>
        <w:tc>
          <w:tcPr>
            <w:tcW w:w="2610" w:type="dxa"/>
            <w:shd w:val="clear" w:color="auto" w:fill="FFFFFF" w:themeFill="background1"/>
            <w:hideMark/>
          </w:tcPr>
          <w:p w:rsidR="009673BF" w:rsidRPr="0039607D" w:rsidRDefault="009673BF"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Number of Flood events</w:t>
            </w:r>
          </w:p>
        </w:tc>
        <w:tc>
          <w:tcPr>
            <w:tcW w:w="2430" w:type="dxa"/>
            <w:shd w:val="clear" w:color="auto" w:fill="FFFFFF" w:themeFill="background1"/>
            <w:hideMark/>
          </w:tcPr>
          <w:p w:rsidR="009673BF" w:rsidRPr="0039607D" w:rsidRDefault="009673BF"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Affected LGAs</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2005</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2,410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-0.12</w:t>
            </w:r>
          </w:p>
        </w:tc>
        <w:tc>
          <w:tcPr>
            <w:tcW w:w="2610" w:type="dxa"/>
            <w:shd w:val="clear" w:color="auto" w:fill="FFFFFF" w:themeFill="background1"/>
            <w:hideMark/>
          </w:tcPr>
          <w:p w:rsidR="009673BF" w:rsidRPr="0039607D" w:rsidRDefault="00D12550"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 Itu</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2006</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2,530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0.45</w:t>
            </w:r>
          </w:p>
        </w:tc>
        <w:tc>
          <w:tcPr>
            <w:tcW w:w="2610" w:type="dxa"/>
            <w:shd w:val="clear" w:color="auto" w:fill="FFFFFF" w:themeFill="background1"/>
            <w:hideMark/>
          </w:tcPr>
          <w:p w:rsidR="009673BF" w:rsidRPr="0039607D" w:rsidRDefault="00D12550"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DD5E86" w:rsidRPr="0039607D">
              <w:rPr>
                <w:rFonts w:ascii="Arial" w:hAnsi="Arial" w:cs="Arial"/>
                <w:color w:val="000000" w:themeColor="text1"/>
                <w:sz w:val="20"/>
                <w:szCs w:val="20"/>
              </w:rPr>
              <w:t>Itu</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2007</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2,680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0.91</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 Eket</w:t>
            </w:r>
            <w:r w:rsidR="00DD5E86" w:rsidRPr="0039607D">
              <w:rPr>
                <w:rFonts w:ascii="Arial" w:hAnsi="Arial" w:cs="Arial"/>
                <w:color w:val="000000" w:themeColor="text1"/>
                <w:sz w:val="20"/>
                <w:szCs w:val="20"/>
              </w:rPr>
              <w:t>, Oron</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2008</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2,890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1.32</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Oron,</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2009</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2,450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0.21</w:t>
            </w:r>
          </w:p>
        </w:tc>
        <w:tc>
          <w:tcPr>
            <w:tcW w:w="2610" w:type="dxa"/>
            <w:shd w:val="clear" w:color="auto" w:fill="FFFFFF" w:themeFill="background1"/>
            <w:hideMark/>
          </w:tcPr>
          <w:p w:rsidR="009673BF" w:rsidRPr="0039607D" w:rsidRDefault="00D12550"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Itu, Eket</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2010</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2,710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0.98</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Uyo, </w:t>
            </w:r>
            <w:r w:rsidR="00915E05" w:rsidRPr="0039607D">
              <w:rPr>
                <w:rFonts w:ascii="Arial" w:hAnsi="Arial" w:cs="Arial"/>
                <w:color w:val="000000" w:themeColor="text1"/>
                <w:sz w:val="20"/>
                <w:szCs w:val="20"/>
              </w:rPr>
              <w:t>Eket</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2011</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2,820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1.18</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915E05" w:rsidRPr="0039607D">
              <w:rPr>
                <w:rFonts w:ascii="Arial" w:hAnsi="Arial" w:cs="Arial"/>
                <w:color w:val="000000" w:themeColor="text1"/>
                <w:sz w:val="20"/>
                <w:szCs w:val="20"/>
              </w:rPr>
              <w:t>Eket</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2012</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3,050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1.76</w:t>
            </w:r>
          </w:p>
        </w:tc>
        <w:tc>
          <w:tcPr>
            <w:tcW w:w="2610" w:type="dxa"/>
            <w:shd w:val="clear" w:color="auto" w:fill="FFFFFF" w:themeFill="background1"/>
            <w:hideMark/>
          </w:tcPr>
          <w:p w:rsidR="009673BF" w:rsidRPr="0039607D" w:rsidRDefault="00D12550"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2013</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2,960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1.44</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 Oron</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2014</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3,120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1.89</w:t>
            </w:r>
          </w:p>
        </w:tc>
        <w:tc>
          <w:tcPr>
            <w:tcW w:w="2610" w:type="dxa"/>
            <w:shd w:val="clear" w:color="auto" w:fill="FFFFFF" w:themeFill="background1"/>
            <w:hideMark/>
          </w:tcPr>
          <w:p w:rsidR="009673BF" w:rsidRPr="0039607D" w:rsidRDefault="00D12550"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2015</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2,740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0.85</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Eket, Itu</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2016</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2,880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1.22</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Uyo, </w:t>
            </w:r>
            <w:r w:rsidR="007269CE" w:rsidRPr="0039607D">
              <w:rPr>
                <w:rFonts w:ascii="Arial" w:hAnsi="Arial" w:cs="Arial"/>
                <w:color w:val="000000" w:themeColor="text1"/>
                <w:sz w:val="20"/>
                <w:szCs w:val="20"/>
              </w:rPr>
              <w:t>Eket</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2017</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2,610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0.54</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Ikot Abasi</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2018</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3,180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2.01</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10</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2019</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3,090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1.68</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Oron, </w:t>
            </w:r>
            <w:r w:rsidR="007D652E" w:rsidRPr="0039607D">
              <w:rPr>
                <w:rFonts w:ascii="Arial" w:hAnsi="Arial" w:cs="Arial"/>
                <w:color w:val="000000" w:themeColor="text1"/>
                <w:sz w:val="20"/>
                <w:szCs w:val="20"/>
              </w:rPr>
              <w:t>Eket</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2020</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2,950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1.31</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 Eket</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2021</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3,240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2.15</w:t>
            </w:r>
          </w:p>
        </w:tc>
        <w:tc>
          <w:tcPr>
            <w:tcW w:w="261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2022</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3,110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1.72</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w:t>
            </w:r>
          </w:p>
        </w:tc>
        <w:tc>
          <w:tcPr>
            <w:tcW w:w="2430" w:type="dxa"/>
            <w:shd w:val="clear" w:color="auto" w:fill="FFFFFF" w:themeFill="background1"/>
            <w:hideMark/>
          </w:tcPr>
          <w:p w:rsidR="009673BF" w:rsidRPr="0039607D" w:rsidRDefault="00B44F40"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Eket</w:t>
            </w:r>
            <w:r w:rsidR="009673BF" w:rsidRPr="0039607D">
              <w:rPr>
                <w:rFonts w:ascii="Arial" w:hAnsi="Arial" w:cs="Arial"/>
                <w:color w:val="000000" w:themeColor="text1"/>
                <w:sz w:val="20"/>
                <w:szCs w:val="20"/>
              </w:rPr>
              <w:t>, Oron</w:t>
            </w:r>
          </w:p>
        </w:tc>
      </w:tr>
      <w:tr w:rsidR="009673BF" w:rsidRPr="0039607D" w:rsidTr="0098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2023</w:t>
            </w:r>
          </w:p>
        </w:tc>
        <w:tc>
          <w:tcPr>
            <w:tcW w:w="2715"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3,290</w:t>
            </w:r>
          </w:p>
        </w:tc>
        <w:tc>
          <w:tcPr>
            <w:tcW w:w="135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2.28</w:t>
            </w:r>
          </w:p>
        </w:tc>
        <w:tc>
          <w:tcPr>
            <w:tcW w:w="2610" w:type="dxa"/>
            <w:shd w:val="clear" w:color="auto" w:fill="FFFFFF" w:themeFill="background1"/>
            <w:hideMark/>
          </w:tcPr>
          <w:p w:rsidR="009673BF" w:rsidRPr="0039607D" w:rsidRDefault="00EE5480"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w:t>
            </w:r>
          </w:p>
        </w:tc>
        <w:tc>
          <w:tcPr>
            <w:tcW w:w="2430" w:type="dxa"/>
            <w:shd w:val="clear" w:color="auto" w:fill="FFFFFF" w:themeFill="background1"/>
            <w:hideMark/>
          </w:tcPr>
          <w:p w:rsidR="009673BF" w:rsidRPr="0039607D" w:rsidRDefault="009673BF"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Statewide</w:t>
            </w:r>
          </w:p>
        </w:tc>
      </w:tr>
      <w:tr w:rsidR="009673BF" w:rsidRPr="0039607D" w:rsidTr="009856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9673BF" w:rsidRPr="0039607D" w:rsidRDefault="009673BF"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2024</w:t>
            </w:r>
          </w:p>
        </w:tc>
        <w:tc>
          <w:tcPr>
            <w:tcW w:w="2715"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3,180</w:t>
            </w:r>
          </w:p>
        </w:tc>
        <w:tc>
          <w:tcPr>
            <w:tcW w:w="135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2.05</w:t>
            </w:r>
          </w:p>
        </w:tc>
        <w:tc>
          <w:tcPr>
            <w:tcW w:w="261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10</w:t>
            </w:r>
          </w:p>
        </w:tc>
        <w:tc>
          <w:tcPr>
            <w:tcW w:w="2430" w:type="dxa"/>
            <w:shd w:val="clear" w:color="auto" w:fill="FFFFFF" w:themeFill="background1"/>
            <w:hideMark/>
          </w:tcPr>
          <w:p w:rsidR="009673BF" w:rsidRPr="0039607D" w:rsidRDefault="009673BF"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 Itu</w:t>
            </w:r>
          </w:p>
        </w:tc>
      </w:tr>
    </w:tbl>
    <w:p w:rsidR="00627435" w:rsidRPr="0039607D" w:rsidRDefault="00102426" w:rsidP="009F5037">
      <w:pPr>
        <w:spacing w:line="240" w:lineRule="auto"/>
        <w:jc w:val="both"/>
        <w:rPr>
          <w:rFonts w:ascii="Arial" w:hAnsi="Arial" w:cs="Arial"/>
          <w:b/>
          <w:i/>
          <w:color w:val="000000" w:themeColor="text1"/>
          <w:sz w:val="20"/>
          <w:szCs w:val="20"/>
        </w:rPr>
      </w:pPr>
      <w:r w:rsidRPr="0039607D">
        <w:rPr>
          <w:rFonts w:ascii="Arial" w:hAnsi="Arial" w:cs="Arial"/>
          <w:b/>
          <w:i/>
          <w:color w:val="000000" w:themeColor="text1"/>
          <w:sz w:val="20"/>
          <w:szCs w:val="20"/>
        </w:rPr>
        <w:t>Source</w:t>
      </w:r>
      <w:r w:rsidR="0031616C" w:rsidRPr="0039607D">
        <w:rPr>
          <w:rFonts w:ascii="Arial" w:hAnsi="Arial" w:cs="Arial"/>
          <w:b/>
          <w:i/>
          <w:color w:val="000000" w:themeColor="text1"/>
          <w:sz w:val="20"/>
          <w:szCs w:val="20"/>
        </w:rPr>
        <w:t xml:space="preserve">: </w:t>
      </w:r>
      <w:r w:rsidR="006C08D4" w:rsidRPr="0039607D">
        <w:rPr>
          <w:rFonts w:ascii="Arial" w:hAnsi="Arial" w:cs="Arial"/>
          <w:b/>
          <w:i/>
          <w:color w:val="000000" w:themeColor="text1"/>
          <w:sz w:val="20"/>
          <w:szCs w:val="20"/>
        </w:rPr>
        <w:t>NEMA and AKSEMA Flood Record (2026</w:t>
      </w:r>
    </w:p>
    <w:p w:rsidR="001A4E58" w:rsidRDefault="001A4E58" w:rsidP="009F5037">
      <w:pPr>
        <w:spacing w:line="240" w:lineRule="auto"/>
        <w:jc w:val="both"/>
        <w:rPr>
          <w:rFonts w:ascii="Arial" w:eastAsia="Times New Roman" w:hAnsi="Arial" w:cs="Arial"/>
          <w:color w:val="000000" w:themeColor="text1"/>
          <w:sz w:val="20"/>
          <w:szCs w:val="20"/>
        </w:rPr>
        <w:sectPr w:rsidR="001A4E58" w:rsidSect="001C0C9B">
          <w:type w:val="continuous"/>
          <w:pgSz w:w="11907" w:h="16839" w:code="9"/>
          <w:pgMar w:top="1440" w:right="1440" w:bottom="1440" w:left="1440" w:header="720" w:footer="720" w:gutter="0"/>
          <w:cols w:space="720"/>
          <w:docGrid w:linePitch="360"/>
        </w:sectPr>
      </w:pPr>
    </w:p>
    <w:p w:rsidR="00627435" w:rsidRPr="0039607D" w:rsidRDefault="00627435" w:rsidP="009F5037">
      <w:pPr>
        <w:spacing w:line="240" w:lineRule="auto"/>
        <w:jc w:val="both"/>
        <w:rPr>
          <w:rFonts w:ascii="Arial" w:eastAsia="Times New Roman" w:hAnsi="Arial" w:cs="Arial"/>
          <w:b/>
          <w:bCs/>
          <w:color w:val="000000" w:themeColor="text1"/>
          <w:sz w:val="20"/>
          <w:szCs w:val="20"/>
        </w:rPr>
      </w:pPr>
      <w:r w:rsidRPr="0039607D">
        <w:rPr>
          <w:rFonts w:ascii="Arial" w:eastAsia="Times New Roman" w:hAnsi="Arial" w:cs="Arial"/>
          <w:color w:val="000000" w:themeColor="text1"/>
          <w:sz w:val="20"/>
          <w:szCs w:val="20"/>
        </w:rPr>
        <w:lastRenderedPageBreak/>
        <w:t xml:space="preserve">The data reveal an overall increasing rainfall trend, particularly after 2012, with SPI values consistently above 1.5 in several years (2012, 2014, </w:t>
      </w:r>
      <w:proofErr w:type="gramStart"/>
      <w:r w:rsidRPr="0039607D">
        <w:rPr>
          <w:rFonts w:ascii="Arial" w:eastAsia="Times New Roman" w:hAnsi="Arial" w:cs="Arial"/>
          <w:color w:val="000000" w:themeColor="text1"/>
          <w:sz w:val="20"/>
          <w:szCs w:val="20"/>
        </w:rPr>
        <w:t>2018</w:t>
      </w:r>
      <w:proofErr w:type="gramEnd"/>
      <w:r w:rsidRPr="0039607D">
        <w:rPr>
          <w:rFonts w:ascii="Arial" w:eastAsia="Times New Roman" w:hAnsi="Arial" w:cs="Arial"/>
          <w:color w:val="000000" w:themeColor="text1"/>
          <w:sz w:val="20"/>
          <w:szCs w:val="20"/>
        </w:rPr>
        <w:t xml:space="preserve">, 2021–2024), indicating very wet conditions. Flood events generally increase during high SPI years, with peak occurrences recorded in 2018 (10 events), 2021 (11 events), and 2023 (13 events). Statewide </w:t>
      </w:r>
      <w:r w:rsidRPr="0039607D">
        <w:rPr>
          <w:rFonts w:ascii="Arial" w:eastAsia="Times New Roman" w:hAnsi="Arial" w:cs="Arial"/>
          <w:color w:val="000000" w:themeColor="text1"/>
          <w:sz w:val="20"/>
          <w:szCs w:val="20"/>
        </w:rPr>
        <w:lastRenderedPageBreak/>
        <w:t>flooding becomes more frequent in later years, confirming intensifying hydro-climatic conditions and expanding flood exposure across LGAs.</w:t>
      </w:r>
    </w:p>
    <w:p w:rsidR="001A4E58" w:rsidRDefault="001A4E58" w:rsidP="009F5037">
      <w:pPr>
        <w:pStyle w:val="Heading2"/>
        <w:spacing w:line="240" w:lineRule="auto"/>
        <w:jc w:val="both"/>
        <w:rPr>
          <w:rFonts w:ascii="Arial" w:hAnsi="Arial" w:cs="Arial"/>
          <w:color w:val="000000" w:themeColor="text1"/>
          <w:sz w:val="20"/>
          <w:szCs w:val="20"/>
        </w:rPr>
      </w:pPr>
    </w:p>
    <w:p w:rsidR="001A4E58" w:rsidRPr="001A4E58" w:rsidRDefault="001A4E58" w:rsidP="001A4E58">
      <w:pPr>
        <w:sectPr w:rsidR="001A4E58" w:rsidRPr="001A4E58" w:rsidSect="001A4E58">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A51EA6" w:rsidRPr="0039607D">
        <w:rPr>
          <w:rFonts w:ascii="Arial" w:hAnsi="Arial" w:cs="Arial"/>
          <w:color w:val="000000" w:themeColor="text1"/>
          <w:sz w:val="20"/>
          <w:szCs w:val="20"/>
        </w:rPr>
        <w:t>.3</w:t>
      </w:r>
      <w:r w:rsidR="00550A4D" w:rsidRPr="0039607D">
        <w:rPr>
          <w:rFonts w:ascii="Arial" w:hAnsi="Arial" w:cs="Arial"/>
          <w:color w:val="000000" w:themeColor="text1"/>
          <w:sz w:val="20"/>
          <w:szCs w:val="20"/>
        </w:rPr>
        <w:t xml:space="preserve"> </w:t>
      </w:r>
      <w:r w:rsidR="0031616C" w:rsidRPr="0039607D">
        <w:rPr>
          <w:rFonts w:ascii="Arial" w:hAnsi="Arial" w:cs="Arial"/>
          <w:color w:val="000000" w:themeColor="text1"/>
          <w:sz w:val="20"/>
          <w:szCs w:val="20"/>
        </w:rPr>
        <w:t>Discharge and Flood</w:t>
      </w:r>
      <w:r w:rsidR="00550A4D" w:rsidRPr="0039607D">
        <w:rPr>
          <w:rFonts w:ascii="Arial" w:hAnsi="Arial" w:cs="Arial"/>
          <w:color w:val="000000" w:themeColor="text1"/>
          <w:sz w:val="20"/>
          <w:szCs w:val="20"/>
        </w:rPr>
        <w:t xml:space="preserve"> Return Period Analysis of Selected Rivers in Akwa Ibom State</w:t>
      </w:r>
    </w:p>
    <w:tbl>
      <w:tblPr>
        <w:tblStyle w:val="LightShading1"/>
        <w:tblW w:w="0" w:type="auto"/>
        <w:tblLook w:val="04A0" w:firstRow="1" w:lastRow="0" w:firstColumn="1" w:lastColumn="0" w:noHBand="0" w:noVBand="1"/>
      </w:tblPr>
      <w:tblGrid>
        <w:gridCol w:w="1617"/>
        <w:gridCol w:w="2378"/>
        <w:gridCol w:w="1807"/>
        <w:gridCol w:w="1937"/>
        <w:gridCol w:w="1504"/>
      </w:tblGrid>
      <w:tr w:rsidR="00286D9C" w:rsidRPr="0039607D" w:rsidTr="0055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shd w:val="clear" w:color="auto" w:fill="FFFFFF" w:themeFill="background1"/>
            <w:hideMark/>
          </w:tcPr>
          <w:p w:rsidR="00286D9C" w:rsidRPr="0039607D" w:rsidRDefault="00286D9C" w:rsidP="00AF307A">
            <w:pPr>
              <w:rPr>
                <w:rFonts w:ascii="Arial" w:hAnsi="Arial" w:cs="Arial"/>
                <w:b w:val="0"/>
                <w:bCs w:val="0"/>
                <w:color w:val="000000" w:themeColor="text1"/>
                <w:sz w:val="20"/>
                <w:szCs w:val="20"/>
              </w:rPr>
            </w:pPr>
            <w:r w:rsidRPr="0039607D">
              <w:rPr>
                <w:rFonts w:ascii="Arial" w:hAnsi="Arial" w:cs="Arial"/>
                <w:color w:val="000000" w:themeColor="text1"/>
                <w:sz w:val="20"/>
                <w:szCs w:val="20"/>
              </w:rPr>
              <w:t>River Basin</w:t>
            </w:r>
          </w:p>
        </w:tc>
        <w:tc>
          <w:tcPr>
            <w:tcW w:w="2378" w:type="dxa"/>
            <w:shd w:val="clear" w:color="auto" w:fill="FFFFFF" w:themeFill="background1"/>
            <w:hideMark/>
          </w:tcPr>
          <w:p w:rsidR="00286D9C" w:rsidRPr="0039607D" w:rsidRDefault="00286D9C" w:rsidP="00AF307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Mean Annual Discharge (m³/s)</w:t>
            </w:r>
          </w:p>
        </w:tc>
        <w:tc>
          <w:tcPr>
            <w:tcW w:w="0" w:type="auto"/>
            <w:shd w:val="clear" w:color="auto" w:fill="FFFFFF" w:themeFill="background1"/>
            <w:hideMark/>
          </w:tcPr>
          <w:p w:rsidR="00286D9C" w:rsidRPr="0039607D" w:rsidRDefault="00286D9C" w:rsidP="00AF307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Peak Discharge (m³/s)</w:t>
            </w:r>
          </w:p>
        </w:tc>
        <w:tc>
          <w:tcPr>
            <w:tcW w:w="0" w:type="auto"/>
            <w:shd w:val="clear" w:color="auto" w:fill="FFFFFF" w:themeFill="background1"/>
            <w:hideMark/>
          </w:tcPr>
          <w:p w:rsidR="00286D9C" w:rsidRPr="0039607D" w:rsidRDefault="00286D9C" w:rsidP="00AF307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Estimated Return Period</w:t>
            </w:r>
          </w:p>
        </w:tc>
        <w:tc>
          <w:tcPr>
            <w:tcW w:w="0" w:type="auto"/>
            <w:shd w:val="clear" w:color="auto" w:fill="FFFFFF" w:themeFill="background1"/>
            <w:hideMark/>
          </w:tcPr>
          <w:p w:rsidR="00286D9C" w:rsidRPr="0039607D" w:rsidRDefault="00286D9C" w:rsidP="00AF307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Flood Risk Level</w:t>
            </w:r>
          </w:p>
        </w:tc>
      </w:tr>
      <w:tr w:rsidR="00286D9C" w:rsidRPr="0039607D" w:rsidTr="0055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shd w:val="clear" w:color="auto" w:fill="FFFFFF" w:themeFill="background1"/>
            <w:hideMark/>
          </w:tcPr>
          <w:p w:rsidR="00286D9C" w:rsidRPr="0039607D" w:rsidRDefault="007D3A0E"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 xml:space="preserve">Itu </w:t>
            </w:r>
            <w:r w:rsidR="00286D9C" w:rsidRPr="0039607D">
              <w:rPr>
                <w:rFonts w:ascii="Arial" w:hAnsi="Arial" w:cs="Arial"/>
                <w:b w:val="0"/>
                <w:color w:val="000000" w:themeColor="text1"/>
                <w:sz w:val="20"/>
                <w:szCs w:val="20"/>
              </w:rPr>
              <w:t>River Tributary</w:t>
            </w:r>
          </w:p>
        </w:tc>
        <w:tc>
          <w:tcPr>
            <w:tcW w:w="2378" w:type="dxa"/>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1,280</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2,960</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25 years</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55027C">
        <w:tc>
          <w:tcPr>
            <w:cnfStyle w:val="001000000000" w:firstRow="0" w:lastRow="0" w:firstColumn="1" w:lastColumn="0" w:oddVBand="0" w:evenVBand="0" w:oddHBand="0" w:evenHBand="0" w:firstRowFirstColumn="0" w:firstRowLastColumn="0" w:lastRowFirstColumn="0" w:lastRowLastColumn="0"/>
            <w:tcW w:w="1617" w:type="dxa"/>
            <w:shd w:val="clear" w:color="auto" w:fill="FFFFFF" w:themeFill="background1"/>
            <w:hideMark/>
          </w:tcPr>
          <w:p w:rsidR="00286D9C" w:rsidRPr="0039607D" w:rsidRDefault="00286D9C"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Qua Iboe River</w:t>
            </w:r>
          </w:p>
        </w:tc>
        <w:tc>
          <w:tcPr>
            <w:tcW w:w="2378" w:type="dxa"/>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950</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2,140</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10 years</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Moderate-High</w:t>
            </w:r>
          </w:p>
        </w:tc>
      </w:tr>
      <w:tr w:rsidR="00286D9C" w:rsidRPr="0039607D" w:rsidTr="0055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shd w:val="clear" w:color="auto" w:fill="FFFFFF" w:themeFill="background1"/>
            <w:hideMark/>
          </w:tcPr>
          <w:p w:rsidR="00286D9C" w:rsidRPr="0039607D" w:rsidRDefault="007D3A0E"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 xml:space="preserve">Ibeno </w:t>
            </w:r>
            <w:r w:rsidR="00286D9C" w:rsidRPr="0039607D">
              <w:rPr>
                <w:rFonts w:ascii="Arial" w:hAnsi="Arial" w:cs="Arial"/>
                <w:b w:val="0"/>
                <w:color w:val="000000" w:themeColor="text1"/>
                <w:sz w:val="20"/>
                <w:szCs w:val="20"/>
              </w:rPr>
              <w:t>River</w:t>
            </w:r>
          </w:p>
        </w:tc>
        <w:tc>
          <w:tcPr>
            <w:tcW w:w="2378" w:type="dxa"/>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1,120</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2,520</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20 years</w:t>
            </w:r>
          </w:p>
        </w:tc>
        <w:tc>
          <w:tcPr>
            <w:tcW w:w="0" w:type="auto"/>
            <w:shd w:val="clear" w:color="auto" w:fill="FFFFFF" w:themeFill="background1"/>
            <w:hideMark/>
          </w:tcPr>
          <w:p w:rsidR="00286D9C" w:rsidRPr="0039607D" w:rsidRDefault="00286D9C" w:rsidP="00AF307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55027C">
        <w:tc>
          <w:tcPr>
            <w:cnfStyle w:val="001000000000" w:firstRow="0" w:lastRow="0" w:firstColumn="1" w:lastColumn="0" w:oddVBand="0" w:evenVBand="0" w:oddHBand="0" w:evenHBand="0" w:firstRowFirstColumn="0" w:firstRowLastColumn="0" w:lastRowFirstColumn="0" w:lastRowLastColumn="0"/>
            <w:tcW w:w="1617" w:type="dxa"/>
            <w:shd w:val="clear" w:color="auto" w:fill="FFFFFF" w:themeFill="background1"/>
            <w:hideMark/>
          </w:tcPr>
          <w:p w:rsidR="00286D9C" w:rsidRPr="0039607D" w:rsidRDefault="00286D9C" w:rsidP="00AF307A">
            <w:pPr>
              <w:rPr>
                <w:rFonts w:ascii="Arial" w:hAnsi="Arial" w:cs="Arial"/>
                <w:b w:val="0"/>
                <w:color w:val="000000" w:themeColor="text1"/>
                <w:sz w:val="20"/>
                <w:szCs w:val="20"/>
              </w:rPr>
            </w:pPr>
            <w:r w:rsidRPr="0039607D">
              <w:rPr>
                <w:rFonts w:ascii="Arial" w:hAnsi="Arial" w:cs="Arial"/>
                <w:b w:val="0"/>
                <w:color w:val="000000" w:themeColor="text1"/>
                <w:sz w:val="20"/>
                <w:szCs w:val="20"/>
              </w:rPr>
              <w:t>Stubbs Creek</w:t>
            </w:r>
          </w:p>
        </w:tc>
        <w:tc>
          <w:tcPr>
            <w:tcW w:w="2378" w:type="dxa"/>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740</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1,680</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 years</w:t>
            </w:r>
          </w:p>
        </w:tc>
        <w:tc>
          <w:tcPr>
            <w:tcW w:w="0" w:type="auto"/>
            <w:shd w:val="clear" w:color="auto" w:fill="FFFFFF" w:themeFill="background1"/>
            <w:hideMark/>
          </w:tcPr>
          <w:p w:rsidR="00286D9C" w:rsidRPr="0039607D" w:rsidRDefault="00286D9C" w:rsidP="00AF307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Moderate</w:t>
            </w:r>
          </w:p>
        </w:tc>
      </w:tr>
    </w:tbl>
    <w:p w:rsidR="00627435" w:rsidRPr="0039607D" w:rsidRDefault="0005134B" w:rsidP="009F5037">
      <w:pPr>
        <w:spacing w:after="100" w:afterAutospacing="1"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 xml:space="preserve">Source: </w:t>
      </w:r>
      <w:r w:rsidR="00327C33" w:rsidRPr="0039607D">
        <w:rPr>
          <w:rFonts w:ascii="Arial" w:hAnsi="Arial" w:cs="Arial"/>
          <w:b/>
          <w:i/>
          <w:color w:val="000000" w:themeColor="text1"/>
          <w:sz w:val="20"/>
          <w:szCs w:val="20"/>
        </w:rPr>
        <w:t>Analyze</w:t>
      </w:r>
      <w:r w:rsidRPr="0039607D">
        <w:rPr>
          <w:rFonts w:ascii="Arial" w:hAnsi="Arial" w:cs="Arial"/>
          <w:b/>
          <w:i/>
          <w:color w:val="000000" w:themeColor="text1"/>
          <w:sz w:val="20"/>
          <w:szCs w:val="20"/>
        </w:rPr>
        <w:t xml:space="preserve"> from the Field Data (2026)</w:t>
      </w:r>
      <w:r w:rsidR="00627435" w:rsidRPr="0039607D">
        <w:rPr>
          <w:rFonts w:ascii="Arial" w:eastAsia="Times New Roman" w:hAnsi="Arial" w:cs="Arial"/>
          <w:b/>
          <w:color w:val="000000" w:themeColor="text1"/>
          <w:sz w:val="20"/>
          <w:szCs w:val="20"/>
        </w:rPr>
        <w:t xml:space="preserve"> </w:t>
      </w:r>
    </w:p>
    <w:p w:rsidR="00D979FC" w:rsidRDefault="00D979FC" w:rsidP="00D979FC">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05134B" w:rsidRPr="0039607D" w:rsidRDefault="00627435" w:rsidP="00D979FC">
      <w:pPr>
        <w:spacing w:before="100" w:beforeAutospacing="1" w:after="100" w:afterAutospacing="1" w:line="240" w:lineRule="auto"/>
        <w:jc w:val="both"/>
        <w:rPr>
          <w:rFonts w:ascii="Arial" w:hAnsi="Arial" w:cs="Arial"/>
          <w:i/>
          <w:color w:val="000000" w:themeColor="text1"/>
          <w:sz w:val="20"/>
          <w:szCs w:val="20"/>
        </w:rPr>
      </w:pPr>
      <w:r w:rsidRPr="0039607D">
        <w:rPr>
          <w:rFonts w:ascii="Arial" w:eastAsia="Times New Roman" w:hAnsi="Arial" w:cs="Arial"/>
          <w:color w:val="000000" w:themeColor="text1"/>
          <w:sz w:val="20"/>
          <w:szCs w:val="20"/>
        </w:rPr>
        <w:lastRenderedPageBreak/>
        <w:t xml:space="preserve">Hydrological analysis indicates that Itu River Tributary and Ibeno River exhibit high flood risk with return periods of 25 and 20 years respectively, implying significant flood magnitude potential. Qua Iboe River shows moderate-high risk with a 10-year return </w:t>
      </w:r>
      <w:r w:rsidRPr="0039607D">
        <w:rPr>
          <w:rFonts w:ascii="Arial" w:eastAsia="Times New Roman" w:hAnsi="Arial" w:cs="Arial"/>
          <w:color w:val="000000" w:themeColor="text1"/>
          <w:sz w:val="20"/>
          <w:szCs w:val="20"/>
        </w:rPr>
        <w:lastRenderedPageBreak/>
        <w:t>period, suggesting more frequent flood occurrences. Stubbs Creek, with a 5-year return period, reflects recurrent moderate flooding. These results confirm river discharge as a critical contributor to flood hazards in the study area.</w:t>
      </w:r>
      <w:r w:rsidRPr="0039607D">
        <w:rPr>
          <w:rFonts w:ascii="Arial" w:hAnsi="Arial" w:cs="Arial"/>
          <w:i/>
          <w:color w:val="000000" w:themeColor="text1"/>
          <w:sz w:val="20"/>
          <w:szCs w:val="20"/>
        </w:rPr>
        <w:t xml:space="preserve"> </w:t>
      </w:r>
    </w:p>
    <w:p w:rsidR="00D979FC" w:rsidRDefault="00D979FC" w:rsidP="009F5037">
      <w:pPr>
        <w:pStyle w:val="Heading2"/>
        <w:spacing w:before="0"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before="0"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327C33" w:rsidRPr="0039607D">
        <w:rPr>
          <w:rFonts w:ascii="Arial" w:hAnsi="Arial" w:cs="Arial"/>
          <w:color w:val="000000" w:themeColor="text1"/>
          <w:sz w:val="20"/>
          <w:szCs w:val="20"/>
        </w:rPr>
        <w:t>.4</w:t>
      </w:r>
      <w:r w:rsidR="00286D9C" w:rsidRPr="0039607D">
        <w:rPr>
          <w:rFonts w:ascii="Arial" w:hAnsi="Arial" w:cs="Arial"/>
          <w:color w:val="000000" w:themeColor="text1"/>
          <w:sz w:val="20"/>
          <w:szCs w:val="20"/>
        </w:rPr>
        <w:t>: Flood Experience and Risk Perception</w:t>
      </w:r>
    </w:p>
    <w:tbl>
      <w:tblPr>
        <w:tblStyle w:val="LightShading1"/>
        <w:tblW w:w="0" w:type="auto"/>
        <w:tblLook w:val="04A0" w:firstRow="1" w:lastRow="0" w:firstColumn="1" w:lastColumn="0" w:noHBand="0" w:noVBand="1"/>
      </w:tblPr>
      <w:tblGrid>
        <w:gridCol w:w="5407"/>
        <w:gridCol w:w="1832"/>
        <w:gridCol w:w="2004"/>
      </w:tblGrid>
      <w:tr w:rsidR="00286D9C" w:rsidRPr="0039607D" w:rsidTr="00886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Variable</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Yes (%)</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No (%)</w:t>
            </w:r>
          </w:p>
        </w:tc>
      </w:tr>
      <w:tr w:rsidR="00286D9C" w:rsidRPr="0039607D" w:rsidTr="00886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Experienced Flood in Last 5 Years</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87.4</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12.6</w:t>
            </w:r>
          </w:p>
        </w:tc>
      </w:tr>
      <w:tr w:rsidR="00286D9C" w:rsidRPr="0039607D" w:rsidTr="00886D50">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Property Damaged Previously</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72.1</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27.9</w:t>
            </w:r>
          </w:p>
        </w:tc>
      </w:tr>
      <w:tr w:rsidR="00286D9C" w:rsidRPr="0039607D" w:rsidTr="00886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Believe Flood Risk is Increasing</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81.6</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18.4</w:t>
            </w:r>
          </w:p>
        </w:tc>
      </w:tr>
      <w:tr w:rsidR="00286D9C" w:rsidRPr="0039607D" w:rsidTr="00886D50">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Have Emergency Plan</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29.5</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70.5</w:t>
            </w:r>
          </w:p>
        </w:tc>
      </w:tr>
      <w:tr w:rsidR="00286D9C" w:rsidRPr="0039607D" w:rsidTr="00886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shd w:val="clear" w:color="auto" w:fill="FFFFFF" w:themeFill="background1"/>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Received Early Warning Previously</w:t>
            </w:r>
          </w:p>
        </w:tc>
        <w:tc>
          <w:tcPr>
            <w:tcW w:w="189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34.8</w:t>
            </w:r>
          </w:p>
        </w:tc>
        <w:tc>
          <w:tcPr>
            <w:tcW w:w="2070" w:type="dxa"/>
            <w:shd w:val="clear" w:color="auto" w:fill="FFFFFF" w:themeFill="background1"/>
            <w:hideMark/>
          </w:tcPr>
          <w:p w:rsidR="00286D9C" w:rsidRPr="0039607D" w:rsidRDefault="00286D9C" w:rsidP="009F5037">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65.2</w:t>
            </w:r>
          </w:p>
        </w:tc>
      </w:tr>
    </w:tbl>
    <w:p w:rsidR="00627435" w:rsidRPr="0039607D" w:rsidRDefault="005F7C60" w:rsidP="009F5037">
      <w:pPr>
        <w:spacing w:after="100" w:afterAutospacing="1"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Source: Field Survey, (2026)</w:t>
      </w:r>
      <w:r w:rsidR="00627435" w:rsidRPr="0039607D">
        <w:rPr>
          <w:rFonts w:ascii="Arial" w:eastAsia="Times New Roman" w:hAnsi="Arial" w:cs="Arial"/>
          <w:color w:val="000000" w:themeColor="text1"/>
          <w:sz w:val="20"/>
          <w:szCs w:val="20"/>
        </w:rPr>
        <w:t xml:space="preserve"> </w:t>
      </w:r>
    </w:p>
    <w:p w:rsidR="00D979FC" w:rsidRDefault="00D979FC" w:rsidP="009F5037">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5F7C60" w:rsidRPr="0039607D" w:rsidRDefault="00627435" w:rsidP="009F5037">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lastRenderedPageBreak/>
        <w:t xml:space="preserve">Flood exposure is widespread, with 87.4% experiencing flooding within the last five years and 72.1% reporting property damage. A majority (81.6%) perceive increasing flood risk, indicating strong community awareness of </w:t>
      </w:r>
      <w:r w:rsidRPr="0039607D">
        <w:rPr>
          <w:rFonts w:ascii="Arial" w:eastAsia="Times New Roman" w:hAnsi="Arial" w:cs="Arial"/>
          <w:color w:val="000000" w:themeColor="text1"/>
          <w:sz w:val="20"/>
          <w:szCs w:val="20"/>
        </w:rPr>
        <w:lastRenderedPageBreak/>
        <w:t>climatic changes. However, only 29.5% have emergency plans and 34.8% previously received early warning alerts, revealing significant preparedness and communication gaps.</w:t>
      </w:r>
      <w:r w:rsidRPr="0039607D">
        <w:rPr>
          <w:rFonts w:ascii="Arial" w:hAnsi="Arial" w:cs="Arial"/>
          <w:b/>
          <w:i/>
          <w:color w:val="000000" w:themeColor="text1"/>
          <w:sz w:val="20"/>
          <w:szCs w:val="20"/>
        </w:rPr>
        <w:t xml:space="preserve"> </w:t>
      </w:r>
    </w:p>
    <w:p w:rsidR="00D979FC" w:rsidRDefault="00D979FC" w:rsidP="009F5037">
      <w:pPr>
        <w:pStyle w:val="Heading2"/>
        <w:spacing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62C0E" w:rsidRPr="0039607D">
        <w:rPr>
          <w:rFonts w:ascii="Arial" w:hAnsi="Arial" w:cs="Arial"/>
          <w:color w:val="000000" w:themeColor="text1"/>
          <w:sz w:val="20"/>
          <w:szCs w:val="20"/>
        </w:rPr>
        <w:t>.5</w:t>
      </w:r>
      <w:r w:rsidR="00286D9C" w:rsidRPr="0039607D">
        <w:rPr>
          <w:rFonts w:ascii="Arial" w:hAnsi="Arial" w:cs="Arial"/>
          <w:color w:val="000000" w:themeColor="text1"/>
          <w:sz w:val="20"/>
          <w:szCs w:val="20"/>
        </w:rPr>
        <w:t>: Preparedness Index (Composite Score)</w:t>
      </w:r>
    </w:p>
    <w:tbl>
      <w:tblPr>
        <w:tblStyle w:val="LightShading1"/>
        <w:tblW w:w="0" w:type="auto"/>
        <w:tblLook w:val="04A0" w:firstRow="1" w:lastRow="0" w:firstColumn="1" w:lastColumn="0" w:noHBand="0" w:noVBand="1"/>
      </w:tblPr>
      <w:tblGrid>
        <w:gridCol w:w="5430"/>
        <w:gridCol w:w="1862"/>
        <w:gridCol w:w="1951"/>
      </w:tblGrid>
      <w:tr w:rsidR="00286D9C" w:rsidRPr="0039607D" w:rsidTr="00A00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Preparedness Level</w:t>
            </w:r>
          </w:p>
        </w:tc>
        <w:tc>
          <w:tcPr>
            <w:tcW w:w="189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Frequency</w:t>
            </w:r>
          </w:p>
        </w:tc>
        <w:tc>
          <w:tcPr>
            <w:tcW w:w="198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Percentage (%)</w:t>
            </w:r>
          </w:p>
        </w:tc>
      </w:tr>
      <w:tr w:rsidR="00286D9C" w:rsidRPr="0039607D" w:rsidTr="00A00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High Preparedness</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68</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16.2</w:t>
            </w:r>
          </w:p>
        </w:tc>
      </w:tr>
      <w:tr w:rsidR="00286D9C" w:rsidRPr="0039607D" w:rsidTr="00A00BBE">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Moderate Preparedness</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124</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29.5</w:t>
            </w:r>
          </w:p>
        </w:tc>
      </w:tr>
      <w:tr w:rsidR="00286D9C" w:rsidRPr="0039607D" w:rsidTr="00A00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Low Preparedness</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228</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54.3</w:t>
            </w:r>
          </w:p>
        </w:tc>
      </w:tr>
    </w:tbl>
    <w:p w:rsidR="00627435" w:rsidRPr="0039607D" w:rsidRDefault="00E62C0E" w:rsidP="009F5037">
      <w:pPr>
        <w:pStyle w:val="Heading2"/>
        <w:spacing w:before="0" w:after="200" w:line="240" w:lineRule="auto"/>
        <w:jc w:val="both"/>
        <w:rPr>
          <w:rFonts w:ascii="Arial" w:eastAsia="Times New Roman" w:hAnsi="Arial" w:cs="Arial"/>
          <w:color w:val="000000" w:themeColor="text1"/>
          <w:sz w:val="20"/>
          <w:szCs w:val="20"/>
        </w:rPr>
      </w:pPr>
      <w:r w:rsidRPr="0039607D">
        <w:rPr>
          <w:rFonts w:ascii="Arial" w:hAnsi="Arial" w:cs="Arial"/>
          <w:i/>
          <w:color w:val="000000" w:themeColor="text1"/>
          <w:sz w:val="20"/>
          <w:szCs w:val="20"/>
        </w:rPr>
        <w:t>Source: Analyze from the Field Data (2026)</w:t>
      </w:r>
    </w:p>
    <w:p w:rsidR="00D979FC" w:rsidRDefault="00D979FC" w:rsidP="009F5037">
      <w:pPr>
        <w:spacing w:before="100" w:beforeAutospacing="1" w:after="100" w:afterAutospacing="1" w:line="240" w:lineRule="auto"/>
        <w:jc w:val="both"/>
        <w:rPr>
          <w:rFonts w:ascii="Arial" w:eastAsia="Times New Roman" w:hAnsi="Arial" w:cs="Arial"/>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627435" w:rsidRPr="0039607D" w:rsidRDefault="00627435" w:rsidP="009F5037">
      <w:pPr>
        <w:spacing w:before="100" w:beforeAutospacing="1" w:after="100" w:afterAutospacing="1" w:line="240" w:lineRule="auto"/>
        <w:jc w:val="both"/>
        <w:rPr>
          <w:rFonts w:ascii="Arial"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More than half of respondents (54.3%) fall within the low preparedness category, while only 16.2% demonstrate high preparedness. This indicates that despite high flood exposure </w:t>
      </w:r>
      <w:r w:rsidRPr="0039607D">
        <w:rPr>
          <w:rFonts w:ascii="Arial" w:eastAsia="Times New Roman" w:hAnsi="Arial" w:cs="Arial"/>
          <w:color w:val="000000" w:themeColor="text1"/>
          <w:sz w:val="20"/>
          <w:szCs w:val="20"/>
        </w:rPr>
        <w:lastRenderedPageBreak/>
        <w:t>and awareness, preparedness levels remain inadequate, reinforcing the need for structured early warning interventions.</w:t>
      </w:r>
      <w:r w:rsidRPr="0039607D">
        <w:rPr>
          <w:rFonts w:ascii="Arial" w:hAnsi="Arial" w:cs="Arial"/>
          <w:color w:val="000000" w:themeColor="text1"/>
          <w:sz w:val="20"/>
          <w:szCs w:val="20"/>
        </w:rPr>
        <w:t xml:space="preserve"> </w:t>
      </w:r>
    </w:p>
    <w:p w:rsidR="00D979FC" w:rsidRDefault="00D979FC" w:rsidP="009F5037">
      <w:pPr>
        <w:pStyle w:val="Heading2"/>
        <w:spacing w:before="0" w:after="200"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before="0" w:after="200"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62C0E" w:rsidRPr="0039607D">
        <w:rPr>
          <w:rFonts w:ascii="Arial" w:hAnsi="Arial" w:cs="Arial"/>
          <w:color w:val="000000" w:themeColor="text1"/>
          <w:sz w:val="20"/>
          <w:szCs w:val="20"/>
        </w:rPr>
        <w:t>.6</w:t>
      </w:r>
      <w:r w:rsidR="00286D9C" w:rsidRPr="0039607D">
        <w:rPr>
          <w:rFonts w:ascii="Arial" w:hAnsi="Arial" w:cs="Arial"/>
          <w:color w:val="000000" w:themeColor="text1"/>
          <w:sz w:val="20"/>
          <w:szCs w:val="20"/>
        </w:rPr>
        <w:t>: Preferred Early Warning Communication Channels</w:t>
      </w:r>
    </w:p>
    <w:tbl>
      <w:tblPr>
        <w:tblStyle w:val="LightShading2"/>
        <w:tblW w:w="0" w:type="auto"/>
        <w:tblLook w:val="04A0" w:firstRow="1" w:lastRow="0" w:firstColumn="1" w:lastColumn="0" w:noHBand="0" w:noVBand="1"/>
      </w:tblPr>
      <w:tblGrid>
        <w:gridCol w:w="5426"/>
        <w:gridCol w:w="1864"/>
        <w:gridCol w:w="1953"/>
      </w:tblGrid>
      <w:tr w:rsidR="00286D9C" w:rsidRPr="0039607D" w:rsidTr="00E62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Channel</w:t>
            </w:r>
          </w:p>
        </w:tc>
        <w:tc>
          <w:tcPr>
            <w:tcW w:w="189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Frequency</w:t>
            </w:r>
          </w:p>
        </w:tc>
        <w:tc>
          <w:tcPr>
            <w:tcW w:w="198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Percentage (%)</w:t>
            </w:r>
          </w:p>
        </w:tc>
      </w:tr>
      <w:tr w:rsidR="00286D9C" w:rsidRPr="0039607D" w:rsidTr="00E6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SMS</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332</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79.0</w:t>
            </w:r>
          </w:p>
        </w:tc>
      </w:tr>
      <w:tr w:rsidR="00286D9C" w:rsidRPr="0039607D" w:rsidTr="00E62C0E">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WhatsApp</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289</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68.8</w:t>
            </w:r>
          </w:p>
        </w:tc>
      </w:tr>
      <w:tr w:rsidR="00286D9C" w:rsidRPr="0039607D" w:rsidTr="00E6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Radio</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201</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47.9</w:t>
            </w:r>
          </w:p>
        </w:tc>
      </w:tr>
      <w:tr w:rsidR="00286D9C" w:rsidRPr="0039607D" w:rsidTr="00E62C0E">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TV</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138</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32.9</w:t>
            </w:r>
          </w:p>
        </w:tc>
      </w:tr>
      <w:tr w:rsidR="00286D9C" w:rsidRPr="0039607D" w:rsidTr="00E6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Community Town Crier</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167</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39.8</w:t>
            </w:r>
          </w:p>
        </w:tc>
      </w:tr>
      <w:tr w:rsidR="00286D9C" w:rsidRPr="0039607D" w:rsidTr="00E62C0E">
        <w:tc>
          <w:tcPr>
            <w:cnfStyle w:val="001000000000" w:firstRow="0" w:lastRow="0" w:firstColumn="1" w:lastColumn="0" w:oddVBand="0" w:evenVBand="0" w:oddHBand="0" w:evenHBand="0" w:firstRowFirstColumn="0" w:firstRowLastColumn="0" w:lastRowFirstColumn="0" w:lastRowLastColumn="0"/>
            <w:tcW w:w="559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USSD</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241</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57.4</w:t>
            </w:r>
          </w:p>
        </w:tc>
      </w:tr>
    </w:tbl>
    <w:p w:rsidR="00D979FC" w:rsidRDefault="00D979FC" w:rsidP="009F5037">
      <w:pPr>
        <w:spacing w:line="240" w:lineRule="auto"/>
        <w:jc w:val="both"/>
        <w:rPr>
          <w:rFonts w:ascii="Arial" w:hAnsi="Arial" w:cs="Arial"/>
          <w:b/>
          <w:i/>
          <w:color w:val="000000" w:themeColor="text1"/>
          <w:sz w:val="20"/>
          <w:szCs w:val="20"/>
        </w:rPr>
        <w:sectPr w:rsidR="00D979FC" w:rsidSect="001C0C9B">
          <w:type w:val="continuous"/>
          <w:pgSz w:w="11907" w:h="16839" w:code="9"/>
          <w:pgMar w:top="1440" w:right="1440" w:bottom="1440" w:left="1440" w:header="720" w:footer="720" w:gutter="0"/>
          <w:cols w:space="720"/>
          <w:docGrid w:linePitch="360"/>
        </w:sectPr>
      </w:pPr>
    </w:p>
    <w:p w:rsidR="00627435" w:rsidRPr="0039607D" w:rsidRDefault="00E31EC6" w:rsidP="009F5037">
      <w:pPr>
        <w:spacing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lastRenderedPageBreak/>
        <w:t>Source: Field Survey, (2026)</w:t>
      </w:r>
    </w:p>
    <w:p w:rsidR="00627435" w:rsidRPr="0039607D" w:rsidRDefault="00627435" w:rsidP="009F5037">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t>SMS is the most preferred channel (79%), followed by WhatsApp (68.8%) and USSD (57.4%), confirming strong demand for mobile-</w:t>
      </w:r>
      <w:r w:rsidRPr="0039607D">
        <w:rPr>
          <w:rFonts w:ascii="Arial" w:eastAsia="Times New Roman" w:hAnsi="Arial" w:cs="Arial"/>
          <w:color w:val="000000" w:themeColor="text1"/>
          <w:sz w:val="20"/>
          <w:szCs w:val="20"/>
        </w:rPr>
        <w:lastRenderedPageBreak/>
        <w:t>based communication. Traditional channels such as radio (47.9%) and community town criers (39.8%) remain relevant, suggesting a multi-channel dissemination strategy is essential for inclusivity.</w:t>
      </w:r>
    </w:p>
    <w:p w:rsidR="00D979FC" w:rsidRDefault="00D979FC" w:rsidP="009F5037">
      <w:pPr>
        <w:pStyle w:val="Heading2"/>
        <w:spacing w:line="240" w:lineRule="auto"/>
        <w:jc w:val="both"/>
        <w:rPr>
          <w:rFonts w:ascii="Arial" w:hAnsi="Arial" w:cs="Arial"/>
          <w:color w:val="000000" w:themeColor="text1"/>
          <w:sz w:val="20"/>
          <w:szCs w:val="20"/>
        </w:rPr>
        <w:sectPr w:rsidR="00D979FC" w:rsidSect="00D979FC">
          <w:type w:val="continuous"/>
          <w:pgSz w:w="11907" w:h="16839" w:code="9"/>
          <w:pgMar w:top="1440" w:right="1440" w:bottom="1440" w:left="1440" w:header="720" w:footer="720" w:gutter="0"/>
          <w:cols w:num="2" w:space="720"/>
          <w:docGrid w:linePitch="360"/>
        </w:sectPr>
      </w:pPr>
    </w:p>
    <w:p w:rsidR="00286D9C" w:rsidRPr="0039607D" w:rsidRDefault="00FC0392" w:rsidP="009F5037">
      <w:pPr>
        <w:pStyle w:val="Heading2"/>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Table 3</w:t>
      </w:r>
      <w:r w:rsidR="00E31EC6" w:rsidRPr="0039607D">
        <w:rPr>
          <w:rFonts w:ascii="Arial" w:hAnsi="Arial" w:cs="Arial"/>
          <w:color w:val="000000" w:themeColor="text1"/>
          <w:sz w:val="20"/>
          <w:szCs w:val="20"/>
        </w:rPr>
        <w:t>.7</w:t>
      </w:r>
      <w:r w:rsidR="00286D9C" w:rsidRPr="0039607D">
        <w:rPr>
          <w:rFonts w:ascii="Arial" w:hAnsi="Arial" w:cs="Arial"/>
          <w:color w:val="000000" w:themeColor="text1"/>
          <w:sz w:val="20"/>
          <w:szCs w:val="20"/>
        </w:rPr>
        <w:t>: Institutional Early Warning Assessment</w:t>
      </w:r>
    </w:p>
    <w:tbl>
      <w:tblPr>
        <w:tblStyle w:val="LightShading1"/>
        <w:tblW w:w="0" w:type="auto"/>
        <w:tblLook w:val="04A0" w:firstRow="1" w:lastRow="0" w:firstColumn="1" w:lastColumn="0" w:noHBand="0" w:noVBand="1"/>
      </w:tblPr>
      <w:tblGrid>
        <w:gridCol w:w="4093"/>
        <w:gridCol w:w="2223"/>
        <w:gridCol w:w="2927"/>
      </w:tblGrid>
      <w:tr w:rsidR="00286D9C" w:rsidRPr="0039607D" w:rsidTr="004E3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Indicator</w:t>
            </w:r>
          </w:p>
        </w:tc>
        <w:tc>
          <w:tcPr>
            <w:tcW w:w="225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Available (%)</w:t>
            </w:r>
          </w:p>
        </w:tc>
        <w:tc>
          <w:tcPr>
            <w:tcW w:w="297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Not Available (%)</w:t>
            </w:r>
          </w:p>
        </w:tc>
      </w:tr>
      <w:tr w:rsidR="00286D9C" w:rsidRPr="0039607D" w:rsidTr="004E3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Real-time Flood Monitoring</w:t>
            </w:r>
          </w:p>
        </w:tc>
        <w:tc>
          <w:tcPr>
            <w:tcW w:w="225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38</w:t>
            </w:r>
          </w:p>
        </w:tc>
        <w:tc>
          <w:tcPr>
            <w:tcW w:w="297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62</w:t>
            </w:r>
          </w:p>
        </w:tc>
      </w:tr>
      <w:tr w:rsidR="00286D9C" w:rsidRPr="0039607D" w:rsidTr="004E3D04">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SMS-based Alerts</w:t>
            </w:r>
          </w:p>
        </w:tc>
        <w:tc>
          <w:tcPr>
            <w:tcW w:w="225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27</w:t>
            </w:r>
          </w:p>
        </w:tc>
        <w:tc>
          <w:tcPr>
            <w:tcW w:w="297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73</w:t>
            </w:r>
          </w:p>
        </w:tc>
      </w:tr>
      <w:tr w:rsidR="00286D9C" w:rsidRPr="0039607D" w:rsidTr="004E3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Community Feedback Mechanism</w:t>
            </w:r>
          </w:p>
        </w:tc>
        <w:tc>
          <w:tcPr>
            <w:tcW w:w="225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19</w:t>
            </w:r>
          </w:p>
        </w:tc>
        <w:tc>
          <w:tcPr>
            <w:tcW w:w="297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81</w:t>
            </w:r>
          </w:p>
        </w:tc>
      </w:tr>
      <w:tr w:rsidR="00286D9C" w:rsidRPr="0039607D" w:rsidTr="004E3D04">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Local Language Alerts</w:t>
            </w:r>
          </w:p>
        </w:tc>
        <w:tc>
          <w:tcPr>
            <w:tcW w:w="225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21</w:t>
            </w:r>
          </w:p>
        </w:tc>
        <w:tc>
          <w:tcPr>
            <w:tcW w:w="297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79</w:t>
            </w:r>
          </w:p>
        </w:tc>
      </w:tr>
      <w:tr w:rsidR="00286D9C" w:rsidRPr="0039607D" w:rsidTr="004E3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Integrated GIS Mapping</w:t>
            </w:r>
          </w:p>
        </w:tc>
        <w:tc>
          <w:tcPr>
            <w:tcW w:w="225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297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58</w:t>
            </w:r>
          </w:p>
        </w:tc>
      </w:tr>
      <w:tr w:rsidR="00286D9C" w:rsidRPr="0039607D" w:rsidTr="004E3D04">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Inter-agency Coordination Platform</w:t>
            </w:r>
          </w:p>
        </w:tc>
        <w:tc>
          <w:tcPr>
            <w:tcW w:w="225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36</w:t>
            </w:r>
          </w:p>
        </w:tc>
        <w:tc>
          <w:tcPr>
            <w:tcW w:w="297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64</w:t>
            </w:r>
          </w:p>
        </w:tc>
      </w:tr>
    </w:tbl>
    <w:p w:rsidR="00627435" w:rsidRPr="0039607D" w:rsidRDefault="00F90CF2" w:rsidP="009F5037">
      <w:pPr>
        <w:spacing w:line="240" w:lineRule="auto"/>
        <w:jc w:val="both"/>
        <w:rPr>
          <w:rFonts w:ascii="Arial" w:eastAsia="Times New Roman" w:hAnsi="Arial" w:cs="Arial"/>
          <w:b/>
          <w:bCs/>
          <w:color w:val="000000" w:themeColor="text1"/>
          <w:sz w:val="20"/>
          <w:szCs w:val="20"/>
        </w:rPr>
      </w:pPr>
      <w:r w:rsidRPr="0039607D">
        <w:rPr>
          <w:rFonts w:ascii="Arial" w:hAnsi="Arial" w:cs="Arial"/>
          <w:b/>
          <w:i/>
          <w:color w:val="000000" w:themeColor="text1"/>
          <w:sz w:val="20"/>
          <w:szCs w:val="20"/>
        </w:rPr>
        <w:t>Source: Field Survey, (2026)</w:t>
      </w:r>
    </w:p>
    <w:p w:rsidR="00FC0392" w:rsidRDefault="00FC0392" w:rsidP="00FC0392">
      <w:pPr>
        <w:spacing w:before="100" w:beforeAutospacing="1" w:after="100" w:afterAutospacing="1" w:line="240" w:lineRule="auto"/>
        <w:jc w:val="both"/>
        <w:rPr>
          <w:rFonts w:ascii="Arial" w:eastAsia="Times New Roman" w:hAnsi="Arial" w:cs="Arial"/>
          <w:color w:val="000000" w:themeColor="text1"/>
          <w:sz w:val="20"/>
          <w:szCs w:val="20"/>
        </w:rPr>
        <w:sectPr w:rsidR="00FC0392" w:rsidSect="001C0C9B">
          <w:type w:val="continuous"/>
          <w:pgSz w:w="11907" w:h="16839" w:code="9"/>
          <w:pgMar w:top="1440" w:right="1440" w:bottom="1440" w:left="1440" w:header="720" w:footer="720" w:gutter="0"/>
          <w:cols w:space="720"/>
          <w:docGrid w:linePitch="360"/>
        </w:sectPr>
      </w:pPr>
    </w:p>
    <w:p w:rsidR="00627435" w:rsidRPr="0039607D" w:rsidRDefault="00627435" w:rsidP="00FC0392">
      <w:pPr>
        <w:spacing w:before="100" w:beforeAutospacing="1" w:after="100" w:afterAutospacing="1" w:line="240" w:lineRule="auto"/>
        <w:jc w:val="both"/>
        <w:rPr>
          <w:rFonts w:ascii="Arial" w:hAnsi="Arial" w:cs="Arial"/>
          <w:b/>
          <w:i/>
          <w:color w:val="000000" w:themeColor="text1"/>
          <w:sz w:val="20"/>
          <w:szCs w:val="20"/>
        </w:rPr>
      </w:pPr>
      <w:r w:rsidRPr="0039607D">
        <w:rPr>
          <w:rFonts w:ascii="Arial" w:eastAsia="Times New Roman" w:hAnsi="Arial" w:cs="Arial"/>
          <w:color w:val="000000" w:themeColor="text1"/>
          <w:sz w:val="20"/>
          <w:szCs w:val="20"/>
        </w:rPr>
        <w:lastRenderedPageBreak/>
        <w:t xml:space="preserve">Institutional capacity appears weak. Real-time flood monitoring (38%) and GIS integration (42%) are limited. SMS-based alerts (27%) and community feedback mechanisms (19%) are particularly low, indicating poor last-mile </w:t>
      </w:r>
      <w:r w:rsidRPr="0039607D">
        <w:rPr>
          <w:rFonts w:ascii="Arial" w:eastAsia="Times New Roman" w:hAnsi="Arial" w:cs="Arial"/>
          <w:color w:val="000000" w:themeColor="text1"/>
          <w:sz w:val="20"/>
          <w:szCs w:val="20"/>
        </w:rPr>
        <w:lastRenderedPageBreak/>
        <w:t>communication. Inter-agency coordination is also inadequate (36%), highlighting structural and technological deficiencies in existing systems.</w:t>
      </w:r>
      <w:r w:rsidRPr="0039607D">
        <w:rPr>
          <w:rFonts w:ascii="Arial" w:hAnsi="Arial" w:cs="Arial"/>
          <w:b/>
          <w:i/>
          <w:color w:val="000000" w:themeColor="text1"/>
          <w:sz w:val="20"/>
          <w:szCs w:val="20"/>
        </w:rPr>
        <w:t xml:space="preserve"> </w:t>
      </w:r>
    </w:p>
    <w:p w:rsidR="00FC0392" w:rsidRDefault="00FC0392" w:rsidP="009F5037">
      <w:pPr>
        <w:pStyle w:val="Heading2"/>
        <w:spacing w:line="240" w:lineRule="auto"/>
        <w:jc w:val="both"/>
        <w:rPr>
          <w:rFonts w:ascii="Arial" w:hAnsi="Arial" w:cs="Arial"/>
          <w:color w:val="000000" w:themeColor="text1"/>
          <w:sz w:val="20"/>
          <w:szCs w:val="20"/>
        </w:rPr>
        <w:sectPr w:rsidR="00FC0392" w:rsidSect="00FC0392">
          <w:type w:val="continuous"/>
          <w:pgSz w:w="11907" w:h="16839" w:code="9"/>
          <w:pgMar w:top="1440" w:right="1440" w:bottom="1440" w:left="1440" w:header="720" w:footer="720" w:gutter="0"/>
          <w:cols w:num="2" w:space="720"/>
          <w:docGrid w:linePitch="360"/>
        </w:sectPr>
      </w:pPr>
    </w:p>
    <w:p w:rsidR="00286D9C" w:rsidRPr="0039607D" w:rsidRDefault="00286D9C" w:rsidP="009F5037">
      <w:pPr>
        <w:pStyle w:val="Heading2"/>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Table</w:t>
      </w:r>
      <w:r w:rsidR="00FC0392">
        <w:rPr>
          <w:rFonts w:ascii="Arial" w:hAnsi="Arial" w:cs="Arial"/>
          <w:color w:val="000000" w:themeColor="text1"/>
          <w:sz w:val="20"/>
          <w:szCs w:val="20"/>
        </w:rPr>
        <w:t xml:space="preserve"> 3.8</w:t>
      </w:r>
      <w:r w:rsidRPr="0039607D">
        <w:rPr>
          <w:rFonts w:ascii="Arial" w:hAnsi="Arial" w:cs="Arial"/>
          <w:color w:val="000000" w:themeColor="text1"/>
          <w:sz w:val="20"/>
          <w:szCs w:val="20"/>
        </w:rPr>
        <w:t>: Identified Gaps (Stakeholder Rating on 5-Point Scale)</w:t>
      </w:r>
    </w:p>
    <w:tbl>
      <w:tblPr>
        <w:tblStyle w:val="LightShading2"/>
        <w:tblW w:w="0" w:type="auto"/>
        <w:tblLook w:val="04A0" w:firstRow="1" w:lastRow="0" w:firstColumn="1" w:lastColumn="0" w:noHBand="0" w:noVBand="1"/>
      </w:tblPr>
      <w:tblGrid>
        <w:gridCol w:w="5420"/>
        <w:gridCol w:w="1953"/>
        <w:gridCol w:w="1870"/>
      </w:tblGrid>
      <w:tr w:rsidR="00286D9C" w:rsidRPr="0039607D" w:rsidTr="003F0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Limitation</w:t>
            </w:r>
          </w:p>
        </w:tc>
        <w:tc>
          <w:tcPr>
            <w:tcW w:w="198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Mean Score</w:t>
            </w:r>
          </w:p>
        </w:tc>
        <w:tc>
          <w:tcPr>
            <w:tcW w:w="1890" w:type="dxa"/>
            <w:shd w:val="clear" w:color="auto" w:fill="FFFFFF" w:themeFill="background1"/>
            <w:hideMark/>
          </w:tcPr>
          <w:p w:rsidR="00286D9C" w:rsidRPr="0039607D" w:rsidRDefault="00286D9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Severity Level</w:t>
            </w:r>
          </w:p>
        </w:tc>
      </w:tr>
      <w:tr w:rsidR="00286D9C" w:rsidRPr="0039607D" w:rsidTr="003F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Delayed Warning Dissemination</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4.3</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Very High</w:t>
            </w:r>
          </w:p>
        </w:tc>
      </w:tr>
      <w:tr w:rsidR="00286D9C" w:rsidRPr="0039607D" w:rsidTr="003F0531">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Poor Last-Mile Communication</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Very High</w:t>
            </w:r>
          </w:p>
        </w:tc>
      </w:tr>
      <w:tr w:rsidR="00286D9C" w:rsidRPr="0039607D" w:rsidTr="003F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Lack of Community Engagement</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4.1</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3F0531">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Inadequate Sensor Infrastructure</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4.6</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Critical</w:t>
            </w:r>
          </w:p>
        </w:tc>
      </w:tr>
      <w:tr w:rsidR="00286D9C" w:rsidRPr="0039607D" w:rsidTr="003F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Weak Institutional Coordination</w:t>
            </w:r>
          </w:p>
        </w:tc>
        <w:tc>
          <w:tcPr>
            <w:tcW w:w="198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3.9</w:t>
            </w:r>
          </w:p>
        </w:tc>
        <w:tc>
          <w:tcPr>
            <w:tcW w:w="1890" w:type="dxa"/>
            <w:shd w:val="clear" w:color="auto" w:fill="FFFFFF" w:themeFill="background1"/>
            <w:hideMark/>
          </w:tcPr>
          <w:p w:rsidR="00286D9C" w:rsidRPr="0039607D" w:rsidRDefault="00286D9C"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High</w:t>
            </w:r>
          </w:p>
        </w:tc>
      </w:tr>
      <w:tr w:rsidR="00286D9C" w:rsidRPr="0039607D" w:rsidTr="003F0531">
        <w:tc>
          <w:tcPr>
            <w:cnfStyle w:val="001000000000" w:firstRow="0" w:lastRow="0" w:firstColumn="1" w:lastColumn="0" w:oddVBand="0" w:evenVBand="0" w:oddHBand="0" w:evenHBand="0" w:firstRowFirstColumn="0" w:firstRowLastColumn="0" w:lastRowFirstColumn="0" w:lastRowLastColumn="0"/>
            <w:tcW w:w="5508" w:type="dxa"/>
            <w:shd w:val="clear" w:color="auto" w:fill="FFFFFF" w:themeFill="background1"/>
            <w:hideMark/>
          </w:tcPr>
          <w:p w:rsidR="00286D9C" w:rsidRPr="0039607D" w:rsidRDefault="00286D9C" w:rsidP="009F5037">
            <w:pPr>
              <w:jc w:val="both"/>
              <w:rPr>
                <w:rFonts w:ascii="Arial" w:hAnsi="Arial" w:cs="Arial"/>
                <w:b w:val="0"/>
                <w:color w:val="000000" w:themeColor="text1"/>
                <w:sz w:val="20"/>
                <w:szCs w:val="20"/>
              </w:rPr>
            </w:pPr>
            <w:r w:rsidRPr="0039607D">
              <w:rPr>
                <w:rFonts w:ascii="Arial" w:hAnsi="Arial" w:cs="Arial"/>
                <w:b w:val="0"/>
                <w:color w:val="000000" w:themeColor="text1"/>
                <w:sz w:val="20"/>
                <w:szCs w:val="20"/>
              </w:rPr>
              <w:t>Absence of Mobile-Based Alert Platform</w:t>
            </w:r>
          </w:p>
        </w:tc>
        <w:tc>
          <w:tcPr>
            <w:tcW w:w="198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4.7</w:t>
            </w:r>
          </w:p>
        </w:tc>
        <w:tc>
          <w:tcPr>
            <w:tcW w:w="1890" w:type="dxa"/>
            <w:shd w:val="clear" w:color="auto" w:fill="FFFFFF" w:themeFill="background1"/>
            <w:hideMark/>
          </w:tcPr>
          <w:p w:rsidR="00286D9C" w:rsidRPr="0039607D" w:rsidRDefault="00286D9C"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Critical</w:t>
            </w:r>
          </w:p>
        </w:tc>
      </w:tr>
    </w:tbl>
    <w:p w:rsidR="00627435" w:rsidRPr="0039607D" w:rsidRDefault="00CA7C26" w:rsidP="009F5037">
      <w:pPr>
        <w:pStyle w:val="Heading2"/>
        <w:spacing w:before="0" w:after="200" w:line="240" w:lineRule="auto"/>
        <w:jc w:val="both"/>
        <w:rPr>
          <w:rFonts w:ascii="Arial" w:eastAsia="Times New Roman" w:hAnsi="Arial" w:cs="Arial"/>
          <w:color w:val="000000" w:themeColor="text1"/>
          <w:sz w:val="20"/>
          <w:szCs w:val="20"/>
        </w:rPr>
      </w:pPr>
      <w:r w:rsidRPr="0039607D">
        <w:rPr>
          <w:rFonts w:ascii="Arial" w:hAnsi="Arial" w:cs="Arial"/>
          <w:i/>
          <w:color w:val="000000" w:themeColor="text1"/>
          <w:sz w:val="20"/>
          <w:szCs w:val="20"/>
        </w:rPr>
        <w:t>Source: Analyze from the Field Data (2026)</w:t>
      </w:r>
    </w:p>
    <w:p w:rsidR="00C764A5" w:rsidRDefault="00C764A5" w:rsidP="00C764A5">
      <w:pPr>
        <w:spacing w:before="100" w:beforeAutospacing="1" w:after="100" w:afterAutospacing="1" w:line="240" w:lineRule="auto"/>
        <w:jc w:val="both"/>
        <w:rPr>
          <w:rFonts w:ascii="Arial" w:eastAsia="Times New Roman" w:hAnsi="Arial" w:cs="Arial"/>
          <w:color w:val="000000" w:themeColor="text1"/>
          <w:sz w:val="20"/>
          <w:szCs w:val="20"/>
        </w:rPr>
        <w:sectPr w:rsidR="00C764A5" w:rsidSect="001C0C9B">
          <w:type w:val="continuous"/>
          <w:pgSz w:w="11907" w:h="16839" w:code="9"/>
          <w:pgMar w:top="1440" w:right="1440" w:bottom="1440" w:left="1440" w:header="720" w:footer="720" w:gutter="0"/>
          <w:cols w:space="720"/>
          <w:docGrid w:linePitch="360"/>
        </w:sectPr>
      </w:pPr>
    </w:p>
    <w:p w:rsidR="00627435" w:rsidRPr="0039607D" w:rsidRDefault="00627435" w:rsidP="00C764A5">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Stakeholders rated inadequate sensor infrastructure (4.6) and absence of a mobile-based alert platform (4.7) as critical gaps. Poor last-mile communication (4.5) and delayed warning dissemination (4.3) were also rated very high. Weak institutional coordination (3.9) </w:t>
      </w:r>
      <w:r w:rsidRPr="0039607D">
        <w:rPr>
          <w:rFonts w:ascii="Arial" w:eastAsia="Times New Roman" w:hAnsi="Arial" w:cs="Arial"/>
          <w:color w:val="000000" w:themeColor="text1"/>
          <w:sz w:val="20"/>
          <w:szCs w:val="20"/>
        </w:rPr>
        <w:lastRenderedPageBreak/>
        <w:t>and limited community engagement (4.1) further constrain system effectiveness. These findings strongly justify the development of a mobile-enabled, community-centered early warning framework.</w:t>
      </w:r>
    </w:p>
    <w:p w:rsidR="00C764A5" w:rsidRDefault="00C764A5" w:rsidP="009F5037">
      <w:pPr>
        <w:spacing w:before="240" w:after="0" w:line="240" w:lineRule="auto"/>
        <w:ind w:right="207"/>
        <w:jc w:val="both"/>
        <w:rPr>
          <w:rFonts w:ascii="Arial" w:hAnsi="Arial" w:cs="Arial"/>
          <w:color w:val="000000" w:themeColor="text1"/>
          <w:sz w:val="20"/>
          <w:szCs w:val="20"/>
        </w:rPr>
        <w:sectPr w:rsidR="00C764A5" w:rsidSect="00C764A5">
          <w:type w:val="continuous"/>
          <w:pgSz w:w="11907" w:h="16839" w:code="9"/>
          <w:pgMar w:top="1440" w:right="1440" w:bottom="1440" w:left="1440" w:header="720" w:footer="720" w:gutter="0"/>
          <w:cols w:num="2" w:space="720"/>
          <w:docGrid w:linePitch="360"/>
        </w:sectPr>
      </w:pPr>
    </w:p>
    <w:p w:rsidR="002E5F50" w:rsidRPr="0039607D" w:rsidRDefault="002E5F50" w:rsidP="009F5037">
      <w:pPr>
        <w:spacing w:before="240" w:after="0" w:line="240" w:lineRule="auto"/>
        <w:ind w:right="207"/>
        <w:jc w:val="both"/>
        <w:rPr>
          <w:rFonts w:ascii="Arial" w:hAnsi="Arial" w:cs="Arial"/>
          <w:b/>
          <w:color w:val="000000" w:themeColor="text1"/>
          <w:sz w:val="20"/>
          <w:szCs w:val="20"/>
        </w:rPr>
      </w:pPr>
      <w:r w:rsidRPr="0039607D">
        <w:rPr>
          <w:rFonts w:ascii="Arial" w:hAnsi="Arial" w:cs="Arial"/>
          <w:color w:val="000000" w:themeColor="text1"/>
          <w:sz w:val="20"/>
          <w:szCs w:val="20"/>
        </w:rPr>
        <w:lastRenderedPageBreak/>
        <w:t xml:space="preserve"> </w:t>
      </w:r>
      <w:r w:rsidR="007B39D2" w:rsidRPr="0039607D">
        <w:rPr>
          <w:rFonts w:ascii="Arial" w:eastAsia="Times New Roman" w:hAnsi="Arial" w:cs="Arial"/>
          <w:b/>
          <w:bCs/>
          <w:color w:val="000000" w:themeColor="text1"/>
          <w:sz w:val="20"/>
          <w:szCs w:val="20"/>
        </w:rPr>
        <w:t xml:space="preserve">Table 4.8: Analysis of the </w:t>
      </w:r>
      <w:r w:rsidR="007B39D2" w:rsidRPr="0039607D">
        <w:rPr>
          <w:rFonts w:ascii="Arial" w:hAnsi="Arial" w:cs="Arial"/>
          <w:b/>
          <w:color w:val="000000" w:themeColor="text1"/>
          <w:sz w:val="20"/>
          <w:szCs w:val="20"/>
        </w:rPr>
        <w:t>preparedness levels and impacts of flood disasters in Akwa Ibom State over the past two decades</w:t>
      </w:r>
    </w:p>
    <w:tbl>
      <w:tblPr>
        <w:tblStyle w:val="LightShading2"/>
        <w:tblW w:w="0" w:type="auto"/>
        <w:tblLook w:val="04A0" w:firstRow="1" w:lastRow="0" w:firstColumn="1" w:lastColumn="0" w:noHBand="0" w:noVBand="1"/>
      </w:tblPr>
      <w:tblGrid>
        <w:gridCol w:w="1680"/>
        <w:gridCol w:w="3045"/>
        <w:gridCol w:w="2064"/>
        <w:gridCol w:w="996"/>
        <w:gridCol w:w="1458"/>
      </w:tblGrid>
      <w:tr w:rsidR="00B800DC" w:rsidRPr="0039607D" w:rsidTr="00C76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9F5037">
            <w:pPr>
              <w:jc w:val="both"/>
              <w:rPr>
                <w:rFonts w:ascii="Arial" w:hAnsi="Arial" w:cs="Arial"/>
                <w:b w:val="0"/>
                <w:bCs w:val="0"/>
                <w:color w:val="000000" w:themeColor="text1"/>
                <w:sz w:val="20"/>
                <w:szCs w:val="20"/>
              </w:rPr>
            </w:pPr>
            <w:r w:rsidRPr="0039607D">
              <w:rPr>
                <w:rFonts w:ascii="Arial" w:hAnsi="Arial" w:cs="Arial"/>
                <w:color w:val="000000" w:themeColor="text1"/>
                <w:sz w:val="20"/>
                <w:szCs w:val="20"/>
              </w:rPr>
              <w:t>Analysis Type</w:t>
            </w:r>
          </w:p>
        </w:tc>
        <w:tc>
          <w:tcPr>
            <w:tcW w:w="3045" w:type="dxa"/>
            <w:shd w:val="clear" w:color="auto" w:fill="FFFFFF" w:themeFill="background1"/>
            <w:hideMark/>
          </w:tcPr>
          <w:p w:rsidR="00B800DC" w:rsidRPr="0039607D" w:rsidRDefault="00B800D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Variables Tested</w:t>
            </w:r>
          </w:p>
        </w:tc>
        <w:tc>
          <w:tcPr>
            <w:tcW w:w="2064" w:type="dxa"/>
            <w:shd w:val="clear" w:color="auto" w:fill="FFFFFF" w:themeFill="background1"/>
            <w:hideMark/>
          </w:tcPr>
          <w:p w:rsidR="00B800DC" w:rsidRPr="0039607D" w:rsidRDefault="00B800D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Test Statistic</w:t>
            </w:r>
          </w:p>
        </w:tc>
        <w:tc>
          <w:tcPr>
            <w:tcW w:w="996" w:type="dxa"/>
            <w:shd w:val="clear" w:color="auto" w:fill="FFFFFF" w:themeFill="background1"/>
            <w:hideMark/>
          </w:tcPr>
          <w:p w:rsidR="00B800DC" w:rsidRPr="0039607D" w:rsidRDefault="00B800D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p-value</w:t>
            </w:r>
          </w:p>
        </w:tc>
        <w:tc>
          <w:tcPr>
            <w:tcW w:w="1458" w:type="dxa"/>
            <w:shd w:val="clear" w:color="auto" w:fill="FFFFFF" w:themeFill="background1"/>
            <w:hideMark/>
          </w:tcPr>
          <w:p w:rsidR="00B800DC" w:rsidRPr="0039607D" w:rsidRDefault="00B800DC"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color w:val="000000" w:themeColor="text1"/>
                <w:sz w:val="20"/>
                <w:szCs w:val="20"/>
              </w:rPr>
              <w:t>Significance (α=0.05)</w:t>
            </w:r>
          </w:p>
        </w:tc>
      </w:tr>
      <w:tr w:rsidR="00B800DC" w:rsidRPr="0039607D" w:rsidTr="00C76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Mann–Kendall Trend Test</w:t>
            </w:r>
          </w:p>
        </w:tc>
        <w:tc>
          <w:tcPr>
            <w:tcW w:w="3045"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Annual Rainfall (2005–2024)</w:t>
            </w:r>
          </w:p>
        </w:tc>
        <w:tc>
          <w:tcPr>
            <w:tcW w:w="2064" w:type="dxa"/>
            <w:shd w:val="clear" w:color="auto" w:fill="FFFFFF" w:themeFill="background1"/>
            <w:hideMark/>
          </w:tcPr>
          <w:p w:rsidR="00B800DC" w:rsidRPr="0039607D" w:rsidRDefault="00163A53"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 xml:space="preserve">S = </w:t>
            </w:r>
            <w:r w:rsidR="00B800DC" w:rsidRPr="0039607D">
              <w:rPr>
                <w:rFonts w:ascii="Arial" w:hAnsi="Arial" w:cs="Arial"/>
                <w:color w:val="000000" w:themeColor="text1"/>
                <w:sz w:val="20"/>
                <w:szCs w:val="20"/>
              </w:rPr>
              <w:t>+142; τ = 0.74; Z = 3.89</w:t>
            </w:r>
          </w:p>
        </w:tc>
        <w:tc>
          <w:tcPr>
            <w:tcW w:w="996"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0.0001</w:t>
            </w:r>
          </w:p>
        </w:tc>
        <w:tc>
          <w:tcPr>
            <w:tcW w:w="1458"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Sen’s Slope Estimator</w:t>
            </w:r>
          </w:p>
        </w:tc>
        <w:tc>
          <w:tcPr>
            <w:tcW w:w="3045"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Annual Rainfall</w:t>
            </w:r>
          </w:p>
        </w:tc>
        <w:tc>
          <w:tcPr>
            <w:tcW w:w="2064"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+38 mm/year</w:t>
            </w:r>
          </w:p>
        </w:tc>
        <w:tc>
          <w:tcPr>
            <w:tcW w:w="996"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w:t>
            </w:r>
          </w:p>
        </w:tc>
        <w:tc>
          <w:tcPr>
            <w:tcW w:w="1458"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w:t>
            </w:r>
          </w:p>
        </w:tc>
      </w:tr>
      <w:tr w:rsidR="00B800DC" w:rsidRPr="0039607D" w:rsidTr="00C76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Pearson Correlation</w:t>
            </w:r>
          </w:p>
        </w:tc>
        <w:tc>
          <w:tcPr>
            <w:tcW w:w="3045"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Rainfall vs Flood Events</w:t>
            </w:r>
          </w:p>
        </w:tc>
        <w:tc>
          <w:tcPr>
            <w:tcW w:w="2064"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 = 0.87</w:t>
            </w:r>
          </w:p>
        </w:tc>
        <w:tc>
          <w:tcPr>
            <w:tcW w:w="996"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0.000</w:t>
            </w:r>
          </w:p>
        </w:tc>
        <w:tc>
          <w:tcPr>
            <w:tcW w:w="1458"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C764A5">
            <w:pPr>
              <w:rPr>
                <w:rFonts w:ascii="Arial" w:hAnsi="Arial" w:cs="Arial"/>
                <w:b w:val="0"/>
                <w:color w:val="000000" w:themeColor="text1"/>
                <w:sz w:val="20"/>
                <w:szCs w:val="20"/>
              </w:rPr>
            </w:pPr>
            <w:r w:rsidRPr="0039607D">
              <w:rPr>
                <w:rFonts w:ascii="Arial" w:hAnsi="Arial" w:cs="Arial"/>
                <w:b w:val="0"/>
                <w:color w:val="000000" w:themeColor="text1"/>
                <w:sz w:val="20"/>
                <w:szCs w:val="20"/>
              </w:rPr>
              <w:t>Chi-Square Test</w:t>
            </w:r>
          </w:p>
        </w:tc>
        <w:tc>
          <w:tcPr>
            <w:tcW w:w="3045"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Flood Experience vs Preparedness</w:t>
            </w:r>
          </w:p>
        </w:tc>
        <w:tc>
          <w:tcPr>
            <w:tcW w:w="2064"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χ² = 18.62; df = 2</w:t>
            </w:r>
          </w:p>
        </w:tc>
        <w:tc>
          <w:tcPr>
            <w:tcW w:w="996"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0.00009</w:t>
            </w:r>
          </w:p>
        </w:tc>
        <w:tc>
          <w:tcPr>
            <w:tcW w:w="1458" w:type="dxa"/>
            <w:shd w:val="clear" w:color="auto" w:fill="FFFFFF" w:themeFill="background1"/>
            <w:hideMark/>
          </w:tcPr>
          <w:p w:rsidR="00B800DC" w:rsidRPr="0039607D" w:rsidRDefault="00B800DC" w:rsidP="00C764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Significant</w:t>
            </w:r>
          </w:p>
        </w:tc>
      </w:tr>
      <w:tr w:rsidR="00B800DC" w:rsidRPr="0039607D" w:rsidTr="00C76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800DC" w:rsidRPr="0039607D" w:rsidRDefault="00B800DC" w:rsidP="00C764A5">
            <w:pPr>
              <w:rPr>
                <w:rFonts w:ascii="Arial" w:hAnsi="Arial" w:cs="Arial"/>
                <w:color w:val="000000" w:themeColor="text1"/>
                <w:sz w:val="20"/>
                <w:szCs w:val="20"/>
              </w:rPr>
            </w:pPr>
            <w:r w:rsidRPr="0039607D">
              <w:rPr>
                <w:rFonts w:ascii="Arial" w:hAnsi="Arial" w:cs="Arial"/>
                <w:color w:val="000000" w:themeColor="text1"/>
                <w:sz w:val="20"/>
                <w:szCs w:val="20"/>
              </w:rPr>
              <w:t>Chi-Square Test</w:t>
            </w:r>
          </w:p>
        </w:tc>
        <w:tc>
          <w:tcPr>
            <w:tcW w:w="3045"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Early Warning Access vs Preparedness</w:t>
            </w:r>
          </w:p>
        </w:tc>
        <w:tc>
          <w:tcPr>
            <w:tcW w:w="2064"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χ² = 29.47; df = 2</w:t>
            </w:r>
          </w:p>
        </w:tc>
        <w:tc>
          <w:tcPr>
            <w:tcW w:w="996"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0.00001</w:t>
            </w:r>
          </w:p>
        </w:tc>
        <w:tc>
          <w:tcPr>
            <w:tcW w:w="1458" w:type="dxa"/>
            <w:shd w:val="clear" w:color="auto" w:fill="FFFFFF" w:themeFill="background1"/>
            <w:hideMark/>
          </w:tcPr>
          <w:p w:rsidR="00B800DC" w:rsidRPr="0039607D" w:rsidRDefault="00B800DC" w:rsidP="00C764A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Significant</w:t>
            </w:r>
          </w:p>
        </w:tc>
      </w:tr>
    </w:tbl>
    <w:p w:rsidR="002B3A2B" w:rsidRPr="0039607D" w:rsidRDefault="00625DA4" w:rsidP="009F5037">
      <w:pPr>
        <w:spacing w:after="0" w:line="240" w:lineRule="auto"/>
        <w:jc w:val="both"/>
        <w:rPr>
          <w:rFonts w:ascii="Arial" w:eastAsia="Times New Roman" w:hAnsi="Arial" w:cs="Arial"/>
          <w:b/>
          <w:i/>
          <w:color w:val="000000" w:themeColor="text1"/>
          <w:sz w:val="20"/>
          <w:szCs w:val="20"/>
        </w:rPr>
      </w:pPr>
      <w:r w:rsidRPr="0039607D">
        <w:rPr>
          <w:rStyle w:val="Strong"/>
          <w:rFonts w:ascii="Arial" w:hAnsi="Arial" w:cs="Arial"/>
          <w:i/>
          <w:color w:val="000000" w:themeColor="text1"/>
          <w:sz w:val="20"/>
          <w:szCs w:val="20"/>
        </w:rPr>
        <w:t>Source:</w:t>
      </w:r>
      <w:r w:rsidRPr="0039607D">
        <w:rPr>
          <w:rFonts w:ascii="Arial" w:hAnsi="Arial" w:cs="Arial"/>
          <w:b/>
          <w:i/>
          <w:color w:val="000000" w:themeColor="text1"/>
          <w:sz w:val="20"/>
          <w:szCs w:val="20"/>
        </w:rPr>
        <w:t xml:space="preserve"> Computed from Meteorological Records (2005–2025), NEMA &amp; AKSEMA Flood Records (2026), and Field Survey Data (2026)</w:t>
      </w: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E54F95" w:rsidRDefault="00E54F95"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p>
    <w:p w:rsidR="002B3A2B" w:rsidRPr="0039607D" w:rsidRDefault="002B3A2B" w:rsidP="009F5037">
      <w:pPr>
        <w:spacing w:before="100" w:beforeAutospacing="1" w:after="100" w:afterAutospacing="1" w:line="240" w:lineRule="auto"/>
        <w:jc w:val="both"/>
        <w:outlineLvl w:val="2"/>
        <w:rPr>
          <w:rFonts w:ascii="Arial" w:eastAsia="Times New Roman" w:hAnsi="Arial" w:cs="Arial"/>
          <w:b/>
          <w:bCs/>
          <w:color w:val="000000" w:themeColor="text1"/>
          <w:sz w:val="20"/>
          <w:szCs w:val="20"/>
        </w:rPr>
      </w:pPr>
      <w:r w:rsidRPr="0039607D">
        <w:rPr>
          <w:rFonts w:ascii="Arial" w:eastAsia="Times New Roman" w:hAnsi="Arial" w:cs="Arial"/>
          <w:b/>
          <w:bCs/>
          <w:color w:val="000000" w:themeColor="text1"/>
          <w:sz w:val="20"/>
          <w:szCs w:val="20"/>
        </w:rPr>
        <w:t>Table 4.9: Logistic Regression Analysis of Determinants of Household Flood Preparedness</w:t>
      </w:r>
    </w:p>
    <w:tbl>
      <w:tblPr>
        <w:tblStyle w:val="LightShading2"/>
        <w:tblW w:w="0" w:type="auto"/>
        <w:tblLook w:val="04A0" w:firstRow="1" w:lastRow="0" w:firstColumn="1" w:lastColumn="0" w:noHBand="0" w:noVBand="1"/>
      </w:tblPr>
      <w:tblGrid>
        <w:gridCol w:w="2307"/>
        <w:gridCol w:w="2526"/>
        <w:gridCol w:w="2340"/>
        <w:gridCol w:w="2070"/>
      </w:tblGrid>
      <w:tr w:rsidR="002B3A2B" w:rsidRPr="0039607D" w:rsidTr="007B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Variable</w:t>
            </w:r>
          </w:p>
        </w:tc>
        <w:tc>
          <w:tcPr>
            <w:tcW w:w="2526" w:type="dxa"/>
            <w:shd w:val="clear" w:color="auto" w:fill="FFFFFF" w:themeFill="background1"/>
            <w:hideMark/>
          </w:tcPr>
          <w:p w:rsidR="002B3A2B" w:rsidRPr="0039607D" w:rsidRDefault="002B3A2B" w:rsidP="009F503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β Coefficient</w:t>
            </w:r>
          </w:p>
        </w:tc>
        <w:tc>
          <w:tcPr>
            <w:tcW w:w="2340" w:type="dxa"/>
            <w:shd w:val="clear" w:color="auto" w:fill="FFFFFF" w:themeFill="background1"/>
            <w:hideMark/>
          </w:tcPr>
          <w:p w:rsidR="002B3A2B" w:rsidRPr="0039607D" w:rsidRDefault="002B3A2B" w:rsidP="009F503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Odds Ratio (Expβ)</w:t>
            </w:r>
          </w:p>
        </w:tc>
        <w:tc>
          <w:tcPr>
            <w:tcW w:w="2070" w:type="dxa"/>
            <w:shd w:val="clear" w:color="auto" w:fill="FFFFFF" w:themeFill="background1"/>
            <w:hideMark/>
          </w:tcPr>
          <w:p w:rsidR="002B3A2B" w:rsidRPr="0039607D" w:rsidRDefault="002B3A2B" w:rsidP="009F503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0"/>
                <w:szCs w:val="20"/>
              </w:rPr>
            </w:pPr>
            <w:r w:rsidRPr="0039607D">
              <w:rPr>
                <w:rFonts w:ascii="Arial" w:eastAsia="Times New Roman" w:hAnsi="Arial" w:cs="Arial"/>
                <w:bCs w:val="0"/>
                <w:color w:val="000000" w:themeColor="text1"/>
                <w:sz w:val="20"/>
                <w:szCs w:val="20"/>
              </w:rPr>
              <w:t>p-value</w:t>
            </w:r>
          </w:p>
        </w:tc>
      </w:tr>
      <w:tr w:rsidR="002B3A2B" w:rsidRPr="0039607D" w:rsidTr="007B3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Flood Experience</w:t>
            </w:r>
          </w:p>
        </w:tc>
        <w:tc>
          <w:tcPr>
            <w:tcW w:w="2526"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0.62</w:t>
            </w:r>
          </w:p>
        </w:tc>
        <w:tc>
          <w:tcPr>
            <w:tcW w:w="234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1.86</w:t>
            </w:r>
          </w:p>
        </w:tc>
        <w:tc>
          <w:tcPr>
            <w:tcW w:w="207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0.012</w:t>
            </w:r>
          </w:p>
        </w:tc>
      </w:tr>
      <w:tr w:rsidR="002B3A2B" w:rsidRPr="0039607D" w:rsidTr="007B39D2">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Education Level</w:t>
            </w:r>
          </w:p>
        </w:tc>
        <w:tc>
          <w:tcPr>
            <w:tcW w:w="2526"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0.74</w:t>
            </w:r>
          </w:p>
        </w:tc>
        <w:tc>
          <w:tcPr>
            <w:tcW w:w="2340"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2.09</w:t>
            </w:r>
          </w:p>
        </w:tc>
        <w:tc>
          <w:tcPr>
            <w:tcW w:w="2070"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0.003</w:t>
            </w:r>
          </w:p>
        </w:tc>
      </w:tr>
      <w:tr w:rsidR="002B3A2B" w:rsidRPr="0039607D" w:rsidTr="007B3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Mobile Ownership</w:t>
            </w:r>
          </w:p>
        </w:tc>
        <w:tc>
          <w:tcPr>
            <w:tcW w:w="2526"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1.15</w:t>
            </w:r>
          </w:p>
        </w:tc>
        <w:tc>
          <w:tcPr>
            <w:tcW w:w="234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3.16</w:t>
            </w:r>
          </w:p>
        </w:tc>
        <w:tc>
          <w:tcPr>
            <w:tcW w:w="207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0.001</w:t>
            </w:r>
          </w:p>
        </w:tc>
      </w:tr>
      <w:tr w:rsidR="002B3A2B" w:rsidRPr="0039607D" w:rsidTr="007B39D2">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Access to Early Warning</w:t>
            </w:r>
          </w:p>
        </w:tc>
        <w:tc>
          <w:tcPr>
            <w:tcW w:w="2526"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1.42</w:t>
            </w:r>
          </w:p>
        </w:tc>
        <w:tc>
          <w:tcPr>
            <w:tcW w:w="2340"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4.14</w:t>
            </w:r>
          </w:p>
        </w:tc>
        <w:tc>
          <w:tcPr>
            <w:tcW w:w="2070" w:type="dxa"/>
            <w:shd w:val="clear" w:color="auto" w:fill="FFFFFF" w:themeFill="background1"/>
            <w:hideMark/>
          </w:tcPr>
          <w:p w:rsidR="002B3A2B" w:rsidRPr="0039607D" w:rsidRDefault="002B3A2B"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0.000</w:t>
            </w:r>
          </w:p>
        </w:tc>
      </w:tr>
      <w:tr w:rsidR="002B3A2B" w:rsidRPr="0039607D" w:rsidTr="007B3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2B3A2B" w:rsidRPr="0039607D" w:rsidRDefault="002B3A2B" w:rsidP="009F5037">
            <w:pPr>
              <w:jc w:val="both"/>
              <w:rPr>
                <w:rFonts w:ascii="Arial" w:eastAsia="Times New Roman" w:hAnsi="Arial" w:cs="Arial"/>
                <w:b w:val="0"/>
                <w:color w:val="000000" w:themeColor="text1"/>
                <w:sz w:val="20"/>
                <w:szCs w:val="20"/>
              </w:rPr>
            </w:pPr>
            <w:r w:rsidRPr="0039607D">
              <w:rPr>
                <w:rFonts w:ascii="Arial" w:eastAsia="Times New Roman" w:hAnsi="Arial" w:cs="Arial"/>
                <w:b w:val="0"/>
                <w:color w:val="000000" w:themeColor="text1"/>
                <w:sz w:val="20"/>
                <w:szCs w:val="20"/>
              </w:rPr>
              <w:t>Income Level</w:t>
            </w:r>
          </w:p>
        </w:tc>
        <w:tc>
          <w:tcPr>
            <w:tcW w:w="2526"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0.58</w:t>
            </w:r>
          </w:p>
        </w:tc>
        <w:tc>
          <w:tcPr>
            <w:tcW w:w="234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1.78</w:t>
            </w:r>
          </w:p>
        </w:tc>
        <w:tc>
          <w:tcPr>
            <w:tcW w:w="2070" w:type="dxa"/>
            <w:shd w:val="clear" w:color="auto" w:fill="FFFFFF" w:themeFill="background1"/>
            <w:hideMark/>
          </w:tcPr>
          <w:p w:rsidR="002B3A2B" w:rsidRPr="0039607D" w:rsidRDefault="002B3A2B" w:rsidP="009F503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0.021</w:t>
            </w:r>
          </w:p>
        </w:tc>
      </w:tr>
      <w:tr w:rsidR="008E59A8" w:rsidRPr="0039607D" w:rsidTr="004161ED">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8E59A8" w:rsidRPr="0039607D" w:rsidRDefault="008E59A8" w:rsidP="009F5037">
            <w:pPr>
              <w:jc w:val="both"/>
              <w:rPr>
                <w:rFonts w:ascii="Arial" w:eastAsia="Times New Roman" w:hAnsi="Arial" w:cs="Arial"/>
                <w:color w:val="000000" w:themeColor="text1"/>
                <w:sz w:val="20"/>
                <w:szCs w:val="20"/>
              </w:rPr>
            </w:pPr>
            <w:r w:rsidRPr="0039607D">
              <w:rPr>
                <w:rFonts w:ascii="Arial" w:eastAsia="Times New Roman" w:hAnsi="Arial" w:cs="Arial"/>
                <w:b w:val="0"/>
                <w:bCs w:val="0"/>
                <w:color w:val="000000" w:themeColor="text1"/>
                <w:sz w:val="20"/>
                <w:szCs w:val="20"/>
              </w:rPr>
              <w:t>Model Statistics:</w:t>
            </w:r>
          </w:p>
          <w:p w:rsidR="008E59A8" w:rsidRPr="0039607D" w:rsidRDefault="008E59A8" w:rsidP="009F5037">
            <w:pPr>
              <w:jc w:val="both"/>
              <w:rPr>
                <w:rFonts w:ascii="Arial" w:eastAsia="Times New Roman" w:hAnsi="Arial" w:cs="Arial"/>
                <w:b w:val="0"/>
                <w:color w:val="000000" w:themeColor="text1"/>
                <w:sz w:val="20"/>
                <w:szCs w:val="20"/>
              </w:rPr>
            </w:pPr>
          </w:p>
        </w:tc>
        <w:tc>
          <w:tcPr>
            <w:tcW w:w="6936" w:type="dxa"/>
            <w:gridSpan w:val="3"/>
            <w:shd w:val="clear" w:color="auto" w:fill="FFFFFF" w:themeFill="background1"/>
          </w:tcPr>
          <w:p w:rsidR="008E59A8" w:rsidRPr="0039607D" w:rsidRDefault="008E59A8"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Nagelkerke R² = 0.48</w:t>
            </w:r>
          </w:p>
          <w:p w:rsidR="008E59A8" w:rsidRPr="0039607D" w:rsidRDefault="008E59A8"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Model Accuracy = 76.3%</w:t>
            </w:r>
          </w:p>
          <w:p w:rsidR="008E59A8" w:rsidRPr="0039607D" w:rsidRDefault="008E59A8" w:rsidP="009F503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Hosmer–Lemeshow Test (p = 0.62) – Good Model Fit</w:t>
            </w:r>
          </w:p>
        </w:tc>
      </w:tr>
    </w:tbl>
    <w:p w:rsidR="002B3A2B" w:rsidRPr="0039607D" w:rsidRDefault="002B3A2B" w:rsidP="009F5037">
      <w:pPr>
        <w:spacing w:line="240" w:lineRule="auto"/>
        <w:jc w:val="both"/>
        <w:rPr>
          <w:rFonts w:ascii="Arial" w:eastAsia="Times New Roman" w:hAnsi="Arial" w:cs="Arial"/>
          <w:b/>
          <w:i/>
          <w:color w:val="000000" w:themeColor="text1"/>
          <w:sz w:val="20"/>
          <w:szCs w:val="20"/>
        </w:rPr>
      </w:pPr>
      <w:r w:rsidRPr="0039607D">
        <w:rPr>
          <w:rFonts w:ascii="Arial" w:eastAsia="Times New Roman" w:hAnsi="Arial" w:cs="Arial"/>
          <w:b/>
          <w:bCs/>
          <w:i/>
          <w:color w:val="000000" w:themeColor="text1"/>
          <w:sz w:val="20"/>
          <w:szCs w:val="20"/>
        </w:rPr>
        <w:lastRenderedPageBreak/>
        <w:t>Source:</w:t>
      </w:r>
      <w:r w:rsidRPr="0039607D">
        <w:rPr>
          <w:rFonts w:ascii="Arial" w:eastAsia="Times New Roman" w:hAnsi="Arial" w:cs="Arial"/>
          <w:b/>
          <w:i/>
          <w:color w:val="000000" w:themeColor="text1"/>
          <w:sz w:val="20"/>
          <w:szCs w:val="20"/>
        </w:rPr>
        <w:t xml:space="preserve"> Computed from Field Survey Data (2026).</w:t>
      </w:r>
    </w:p>
    <w:p w:rsidR="00B92684" w:rsidRDefault="00B92684" w:rsidP="00B92684">
      <w:pPr>
        <w:pStyle w:val="NormalWeb"/>
        <w:jc w:val="both"/>
        <w:rPr>
          <w:rFonts w:ascii="Arial" w:hAnsi="Arial" w:cs="Arial"/>
          <w:color w:val="000000" w:themeColor="text1"/>
          <w:sz w:val="20"/>
          <w:szCs w:val="20"/>
        </w:rPr>
        <w:sectPr w:rsidR="00B92684" w:rsidSect="001C0C9B">
          <w:type w:val="continuous"/>
          <w:pgSz w:w="11907" w:h="16839" w:code="9"/>
          <w:pgMar w:top="1440" w:right="1440" w:bottom="1440" w:left="1440" w:header="720" w:footer="720" w:gutter="0"/>
          <w:cols w:space="720"/>
          <w:docGrid w:linePitch="360"/>
        </w:sectPr>
      </w:pPr>
    </w:p>
    <w:p w:rsidR="002B67E9" w:rsidRPr="0039607D" w:rsidRDefault="002B67E9" w:rsidP="00B92684">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The statistical analysis reveals a significant intensification of rainfall and flood risk in Akwa Ibom State over the past two decades. The Mann–Kendall test confirmed a strong upward rainfall trend (τ = 0.74, p &lt; 0.001), with Sen’s slope indicating an average annual increase of 38 mm. </w:t>
      </w:r>
      <w:r w:rsidR="0046435F" w:rsidRPr="0039607D">
        <w:rPr>
          <w:rFonts w:ascii="Arial" w:hAnsi="Arial" w:cs="Arial"/>
          <w:color w:val="000000" w:themeColor="text1"/>
          <w:sz w:val="20"/>
          <w:szCs w:val="20"/>
        </w:rPr>
        <w:t>additionally</w:t>
      </w:r>
      <w:r w:rsidRPr="0039607D">
        <w:rPr>
          <w:rFonts w:ascii="Arial" w:hAnsi="Arial" w:cs="Arial"/>
          <w:color w:val="000000" w:themeColor="text1"/>
          <w:sz w:val="20"/>
          <w:szCs w:val="20"/>
        </w:rPr>
        <w:t>, rainfall showed a very strong positive correlation with flood events (r = 0.87), confirming rainfall as a major driver of flooding.</w:t>
      </w:r>
      <w:r w:rsidR="00760DD2"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Chi-square analyses further revealed significant associations between socio-</w:t>
      </w:r>
      <w:r w:rsidRPr="0039607D">
        <w:rPr>
          <w:rFonts w:ascii="Arial" w:hAnsi="Arial" w:cs="Arial"/>
          <w:color w:val="000000" w:themeColor="text1"/>
          <w:sz w:val="20"/>
          <w:szCs w:val="20"/>
        </w:rPr>
        <w:lastRenderedPageBreak/>
        <w:t>environmental factors and preparedness. Flood experience was significantly related to preparedness level (χ² = 18.62, p &lt; 0.001), though many previously affected households still exhibited low preparedness. More importantly, access to early warning information showed a stronger association with preparedness (χ² = 29.47, p &lt; 0.001), demonstrating that early warning systems substantially improve disaster readiness.</w:t>
      </w:r>
    </w:p>
    <w:p w:rsidR="00B92684" w:rsidRDefault="00B92684" w:rsidP="009F5037">
      <w:pPr>
        <w:spacing w:line="240" w:lineRule="auto"/>
        <w:jc w:val="both"/>
        <w:rPr>
          <w:rFonts w:ascii="Arial" w:hAnsi="Arial" w:cs="Arial"/>
          <w:b/>
          <w:color w:val="000000" w:themeColor="text1"/>
          <w:sz w:val="20"/>
          <w:szCs w:val="20"/>
        </w:rPr>
        <w:sectPr w:rsidR="00B92684" w:rsidSect="00B92684">
          <w:type w:val="continuous"/>
          <w:pgSz w:w="11907" w:h="16839" w:code="9"/>
          <w:pgMar w:top="1440" w:right="1440" w:bottom="1440" w:left="1440" w:header="720" w:footer="720" w:gutter="0"/>
          <w:cols w:num="2" w:space="720"/>
          <w:docGrid w:linePitch="360"/>
        </w:sectPr>
      </w:pPr>
    </w:p>
    <w:p w:rsidR="001D079E" w:rsidRPr="00B92684" w:rsidRDefault="00B92684" w:rsidP="00B92684">
      <w:pPr>
        <w:pStyle w:val="ListParagraph"/>
        <w:numPr>
          <w:ilvl w:val="0"/>
          <w:numId w:val="26"/>
        </w:numPr>
        <w:spacing w:line="240" w:lineRule="auto"/>
        <w:rPr>
          <w:rFonts w:ascii="Arial" w:hAnsi="Arial" w:cs="Arial"/>
          <w:b/>
          <w:noProof/>
          <w:color w:val="000000" w:themeColor="text1"/>
          <w:sz w:val="20"/>
          <w:szCs w:val="20"/>
        </w:rPr>
      </w:pPr>
      <w:r w:rsidRPr="00B92684">
        <w:rPr>
          <w:rFonts w:ascii="Arial" w:hAnsi="Arial" w:cs="Arial"/>
          <w:b/>
          <w:color w:val="000000" w:themeColor="text1"/>
          <w:sz w:val="20"/>
          <w:szCs w:val="20"/>
        </w:rPr>
        <w:lastRenderedPageBreak/>
        <w:t>DEVELOPMENT OF A MOBILE TECHNOLOGY-BASED COMMUNITY EARLY WARNING SYSTEM FRAMEWORK FOR FLOOD DISASTER MANAGEMENT</w:t>
      </w:r>
      <w:r w:rsidRPr="00B92684">
        <w:rPr>
          <w:rFonts w:ascii="Arial" w:hAnsi="Arial" w:cs="Arial"/>
          <w:b/>
          <w:noProof/>
          <w:color w:val="000000" w:themeColor="text1"/>
          <w:sz w:val="20"/>
          <w:szCs w:val="20"/>
        </w:rPr>
        <w:t xml:space="preserve"> IN AKWA IBOM STATE</w:t>
      </w:r>
    </w:p>
    <w:p w:rsidR="00B92684" w:rsidRDefault="00B92684" w:rsidP="009F5037">
      <w:pPr>
        <w:spacing w:after="0" w:line="240" w:lineRule="auto"/>
        <w:jc w:val="both"/>
        <w:rPr>
          <w:rFonts w:ascii="Arial" w:hAnsi="Arial" w:cs="Arial"/>
          <w:color w:val="000000" w:themeColor="text1"/>
          <w:sz w:val="20"/>
          <w:szCs w:val="20"/>
        </w:rPr>
        <w:sectPr w:rsidR="00B92684" w:rsidSect="00B92684">
          <w:type w:val="continuous"/>
          <w:pgSz w:w="11907" w:h="16839" w:code="9"/>
          <w:pgMar w:top="1440" w:right="1440" w:bottom="1440" w:left="1440" w:header="720" w:footer="720" w:gutter="0"/>
          <w:cols w:space="720"/>
          <w:docGrid w:linePitch="360"/>
        </w:sectPr>
      </w:pPr>
    </w:p>
    <w:p w:rsidR="001D079E" w:rsidRPr="0039607D" w:rsidRDefault="007047EE" w:rsidP="009F5037">
      <w:pPr>
        <w:spacing w:after="0" w:line="240" w:lineRule="auto"/>
        <w:jc w:val="both"/>
        <w:rPr>
          <w:rFonts w:ascii="Arial" w:hAnsi="Arial" w:cs="Arial"/>
          <w:color w:val="000000" w:themeColor="text1"/>
          <w:sz w:val="20"/>
          <w:szCs w:val="20"/>
        </w:rPr>
      </w:pPr>
      <w:r w:rsidRPr="0039607D">
        <w:rPr>
          <w:rFonts w:ascii="Arial" w:hAnsi="Arial" w:cs="Arial"/>
          <w:noProof/>
          <w:color w:val="000000" w:themeColor="text1"/>
          <w:sz w:val="20"/>
          <w:szCs w:val="20"/>
          <w:lang w:val="en-IN" w:eastAsia="en-IN"/>
        </w:rPr>
        <w:lastRenderedPageBreak/>
        <w:drawing>
          <wp:inline distT="0" distB="0" distL="0" distR="0">
            <wp:extent cx="5943600" cy="2667000"/>
            <wp:effectExtent l="19050" t="0" r="0" b="0"/>
            <wp:docPr id="1" name="Picture 0" descr="ChatGPT Image Feb 12, 2026, 07_56_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Feb 12, 2026, 07_56_33 AM.png"/>
                    <pic:cNvPicPr/>
                  </pic:nvPicPr>
                  <pic:blipFill>
                    <a:blip r:embed="rId10" cstate="print"/>
                    <a:stretch>
                      <a:fillRect/>
                    </a:stretch>
                  </pic:blipFill>
                  <pic:spPr>
                    <a:xfrm>
                      <a:off x="0" y="0"/>
                      <a:ext cx="5943600" cy="2667000"/>
                    </a:xfrm>
                    <a:prstGeom prst="rect">
                      <a:avLst/>
                    </a:prstGeom>
                  </pic:spPr>
                </pic:pic>
              </a:graphicData>
            </a:graphic>
          </wp:inline>
        </w:drawing>
      </w:r>
    </w:p>
    <w:p w:rsidR="000F3512" w:rsidRPr="00FD70AD" w:rsidRDefault="000F3512" w:rsidP="009F5037">
      <w:pPr>
        <w:pStyle w:val="NormalWeb"/>
        <w:spacing w:after="0" w:afterAutospacing="0"/>
        <w:jc w:val="both"/>
        <w:rPr>
          <w:rFonts w:ascii="Arial" w:hAnsi="Arial" w:cs="Arial"/>
          <w:b/>
          <w:i/>
          <w:color w:val="000000" w:themeColor="text1"/>
          <w:sz w:val="20"/>
          <w:szCs w:val="20"/>
        </w:rPr>
      </w:pPr>
      <w:r w:rsidRPr="00FD70AD">
        <w:rPr>
          <w:rFonts w:ascii="Arial" w:hAnsi="Arial" w:cs="Arial"/>
          <w:b/>
          <w:i/>
          <w:color w:val="000000" w:themeColor="text1"/>
          <w:sz w:val="20"/>
          <w:szCs w:val="20"/>
        </w:rPr>
        <w:t xml:space="preserve">Figure 4.1 System Architecture Design </w:t>
      </w:r>
    </w:p>
    <w:p w:rsidR="00656812" w:rsidRDefault="00656812" w:rsidP="009F5037">
      <w:pPr>
        <w:pStyle w:val="NormalWeb"/>
        <w:spacing w:after="0" w:afterAutospacing="0"/>
        <w:jc w:val="both"/>
        <w:rPr>
          <w:rFonts w:ascii="Arial" w:hAnsi="Arial" w:cs="Arial"/>
          <w:color w:val="000000" w:themeColor="text1"/>
          <w:sz w:val="20"/>
          <w:szCs w:val="20"/>
        </w:rPr>
        <w:sectPr w:rsidR="00656812" w:rsidSect="001C0C9B">
          <w:type w:val="continuous"/>
          <w:pgSz w:w="11907" w:h="16839" w:code="9"/>
          <w:pgMar w:top="1440" w:right="1440" w:bottom="1440" w:left="1440" w:header="720" w:footer="720" w:gutter="0"/>
          <w:cols w:space="720"/>
          <w:docGrid w:linePitch="360"/>
        </w:sectPr>
      </w:pPr>
    </w:p>
    <w:p w:rsidR="00656812" w:rsidRDefault="00512996" w:rsidP="00ED614B">
      <w:pPr>
        <w:pStyle w:val="NormalWeb"/>
        <w:spacing w:after="0" w:afterAutospacing="0"/>
        <w:jc w:val="both"/>
        <w:rPr>
          <w:rFonts w:ascii="Arial" w:hAnsi="Arial" w:cs="Arial"/>
          <w:color w:val="000000" w:themeColor="text1"/>
          <w:sz w:val="20"/>
          <w:szCs w:val="20"/>
        </w:rPr>
        <w:sectPr w:rsidR="00656812" w:rsidSect="00ED614B">
          <w:type w:val="continuous"/>
          <w:pgSz w:w="11907" w:h="16839" w:code="9"/>
          <w:pgMar w:top="1440" w:right="1440" w:bottom="1440" w:left="1440" w:header="720" w:footer="720" w:gutter="0"/>
          <w:cols w:num="2" w:space="720"/>
          <w:docGrid w:linePitch="360"/>
        </w:sectPr>
      </w:pPr>
      <w:r w:rsidRPr="0039607D">
        <w:rPr>
          <w:rFonts w:ascii="Arial" w:hAnsi="Arial" w:cs="Arial"/>
          <w:color w:val="000000" w:themeColor="text1"/>
          <w:sz w:val="20"/>
          <w:szCs w:val="20"/>
        </w:rPr>
        <w:lastRenderedPageBreak/>
        <w:t xml:space="preserve">The proposed Community-Based Mobile Flood Early Warning System adopts a </w:t>
      </w:r>
      <w:r w:rsidRPr="0039607D">
        <w:rPr>
          <w:rStyle w:val="Strong"/>
          <w:rFonts w:ascii="Arial" w:hAnsi="Arial" w:cs="Arial"/>
          <w:b w:val="0"/>
          <w:color w:val="000000" w:themeColor="text1"/>
          <w:sz w:val="20"/>
          <w:szCs w:val="20"/>
        </w:rPr>
        <w:t>multi-layered, modular, and scalable architecture</w:t>
      </w:r>
      <w:r w:rsidRPr="0039607D">
        <w:rPr>
          <w:rFonts w:ascii="Arial" w:hAnsi="Arial" w:cs="Arial"/>
          <w:color w:val="000000" w:themeColor="text1"/>
          <w:sz w:val="20"/>
          <w:szCs w:val="20"/>
        </w:rPr>
        <w:t xml:space="preserve"> integrating hydrometeorological monitoring, geospatial analytics, community participation, and mobile communication technologies. The architecture is designed to ensure real-time data acquisition, automated flood risk computation, </w:t>
      </w:r>
      <w:r w:rsidRPr="0039607D">
        <w:rPr>
          <w:rFonts w:ascii="Arial" w:hAnsi="Arial" w:cs="Arial"/>
          <w:color w:val="000000" w:themeColor="text1"/>
          <w:sz w:val="20"/>
          <w:szCs w:val="20"/>
        </w:rPr>
        <w:lastRenderedPageBreak/>
        <w:t>rapid multi-channel alert dissemination, and continuous feedback-driven system refinement.</w:t>
      </w:r>
      <w:r w:rsidR="007A3A33" w:rsidRPr="0039607D">
        <w:rPr>
          <w:rFonts w:ascii="Arial" w:hAnsi="Arial" w:cs="Arial"/>
          <w:color w:val="000000" w:themeColor="text1"/>
          <w:sz w:val="20"/>
          <w:szCs w:val="20"/>
        </w:rPr>
        <w:t xml:space="preserve"> </w:t>
      </w:r>
      <w:r w:rsidRPr="0039607D">
        <w:rPr>
          <w:rFonts w:ascii="Arial" w:hAnsi="Arial" w:cs="Arial"/>
          <w:color w:val="000000" w:themeColor="text1"/>
          <w:sz w:val="20"/>
          <w:szCs w:val="20"/>
        </w:rPr>
        <w:t>The system consists of six layers</w:t>
      </w:r>
      <w:r w:rsidR="00A72F90" w:rsidRPr="0039607D">
        <w:rPr>
          <w:rFonts w:ascii="Arial" w:hAnsi="Arial" w:cs="Arial"/>
          <w:color w:val="000000" w:themeColor="text1"/>
          <w:sz w:val="20"/>
          <w:szCs w:val="20"/>
        </w:rPr>
        <w:t xml:space="preserve"> </w:t>
      </w:r>
      <w:r w:rsidR="00475533" w:rsidRPr="0039607D">
        <w:rPr>
          <w:rFonts w:ascii="Arial" w:hAnsi="Arial" w:cs="Arial"/>
          <w:color w:val="000000" w:themeColor="text1"/>
          <w:sz w:val="20"/>
          <w:szCs w:val="20"/>
        </w:rPr>
        <w:t xml:space="preserve">data acquisition layer, data integration and storage layer, processing and analytics layer, decision support layer, communication and alert dissemination layer, feedback and monitoring </w:t>
      </w:r>
      <w:r w:rsidR="00ED614B">
        <w:rPr>
          <w:rFonts w:ascii="Arial" w:hAnsi="Arial" w:cs="Arial"/>
          <w:color w:val="000000" w:themeColor="text1"/>
          <w:sz w:val="20"/>
          <w:szCs w:val="20"/>
        </w:rPr>
        <w:t>layer</w:t>
      </w:r>
    </w:p>
    <w:p w:rsidR="00ED614B" w:rsidRDefault="00ED614B" w:rsidP="00ED614B">
      <w:pPr>
        <w:pStyle w:val="NormalWeb"/>
        <w:ind w:left="360"/>
        <w:jc w:val="both"/>
        <w:rPr>
          <w:rFonts w:ascii="Arial" w:hAnsi="Arial" w:cs="Arial"/>
          <w:b/>
          <w:color w:val="000000" w:themeColor="text1"/>
          <w:sz w:val="20"/>
          <w:szCs w:val="20"/>
        </w:rPr>
        <w:sectPr w:rsidR="00ED614B" w:rsidSect="00ED614B">
          <w:type w:val="continuous"/>
          <w:pgSz w:w="11907" w:h="16839" w:code="9"/>
          <w:pgMar w:top="1440" w:right="1440" w:bottom="1440" w:left="1440" w:header="720" w:footer="720" w:gutter="0"/>
          <w:cols w:num="2" w:space="720"/>
          <w:docGrid w:linePitch="360"/>
        </w:sectPr>
      </w:pPr>
    </w:p>
    <w:p w:rsidR="000A0AE8" w:rsidRPr="0039607D" w:rsidRDefault="000A0AE8" w:rsidP="005051ED">
      <w:pPr>
        <w:pStyle w:val="NormalWeb"/>
        <w:numPr>
          <w:ilvl w:val="0"/>
          <w:numId w:val="26"/>
        </w:numPr>
        <w:jc w:val="both"/>
        <w:rPr>
          <w:rFonts w:ascii="Arial" w:hAnsi="Arial" w:cs="Arial"/>
          <w:b/>
          <w:color w:val="000000" w:themeColor="text1"/>
          <w:sz w:val="20"/>
          <w:szCs w:val="20"/>
        </w:rPr>
      </w:pPr>
      <w:r w:rsidRPr="0039607D">
        <w:rPr>
          <w:rFonts w:ascii="Arial" w:hAnsi="Arial" w:cs="Arial"/>
          <w:b/>
          <w:color w:val="000000" w:themeColor="text1"/>
          <w:sz w:val="20"/>
          <w:szCs w:val="20"/>
        </w:rPr>
        <w:lastRenderedPageBreak/>
        <w:t xml:space="preserve">REAL-TIME DATA ACQUISITION </w:t>
      </w:r>
    </w:p>
    <w:p w:rsidR="001D079E" w:rsidRPr="0039607D" w:rsidRDefault="008F21C7" w:rsidP="009F5037">
      <w:pPr>
        <w:pStyle w:val="NormalWeb"/>
        <w:jc w:val="both"/>
        <w:rPr>
          <w:rFonts w:ascii="Arial" w:hAnsi="Arial" w:cs="Arial"/>
          <w:b/>
          <w:color w:val="000000" w:themeColor="text1"/>
          <w:sz w:val="20"/>
          <w:szCs w:val="20"/>
        </w:rPr>
      </w:pPr>
      <w:r>
        <w:rPr>
          <w:rFonts w:ascii="Arial" w:hAnsi="Arial" w:cs="Arial"/>
          <w:b/>
          <w:color w:val="000000" w:themeColor="text1"/>
          <w:sz w:val="20"/>
          <w:szCs w:val="20"/>
        </w:rPr>
        <w:t>Table 5.1</w:t>
      </w:r>
      <w:r w:rsidR="001D079E" w:rsidRPr="0039607D">
        <w:rPr>
          <w:rFonts w:ascii="Arial" w:hAnsi="Arial" w:cs="Arial"/>
          <w:b/>
          <w:color w:val="000000" w:themeColor="text1"/>
          <w:sz w:val="20"/>
          <w:szCs w:val="20"/>
        </w:rPr>
        <w:t xml:space="preserve">: IoT </w:t>
      </w:r>
      <w:r w:rsidR="0046435F" w:rsidRPr="0039607D">
        <w:rPr>
          <w:rFonts w:ascii="Arial" w:hAnsi="Arial" w:cs="Arial"/>
          <w:b/>
          <w:color w:val="000000" w:themeColor="text1"/>
          <w:sz w:val="20"/>
          <w:szCs w:val="20"/>
        </w:rPr>
        <w:t xml:space="preserve">Rainfall Sensor Data Collected in </w:t>
      </w:r>
      <w:r w:rsidR="001D079E" w:rsidRPr="0039607D">
        <w:rPr>
          <w:rFonts w:ascii="Arial" w:hAnsi="Arial" w:cs="Arial"/>
          <w:b/>
          <w:color w:val="000000" w:themeColor="text1"/>
          <w:sz w:val="20"/>
          <w:szCs w:val="20"/>
        </w:rPr>
        <w:t>Uyo LGA)</w:t>
      </w:r>
    </w:p>
    <w:tbl>
      <w:tblPr>
        <w:tblStyle w:val="LightShading1"/>
        <w:tblW w:w="0" w:type="auto"/>
        <w:tblLook w:val="04A0" w:firstRow="1" w:lastRow="0" w:firstColumn="1" w:lastColumn="0" w:noHBand="0" w:noVBand="1"/>
      </w:tblPr>
      <w:tblGrid>
        <w:gridCol w:w="1217"/>
        <w:gridCol w:w="1368"/>
        <w:gridCol w:w="2519"/>
        <w:gridCol w:w="2365"/>
        <w:gridCol w:w="1774"/>
      </w:tblGrid>
      <w:tr w:rsidR="001D079E" w:rsidRPr="0039607D" w:rsidTr="00570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Date</w:t>
            </w:r>
          </w:p>
        </w:tc>
        <w:tc>
          <w:tcPr>
            <w:tcW w:w="1408"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Time</w:t>
            </w:r>
          </w:p>
        </w:tc>
        <w:tc>
          <w:tcPr>
            <w:tcW w:w="2610"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Rainfall Intensity (mm/hr)</w:t>
            </w:r>
          </w:p>
        </w:tc>
        <w:tc>
          <w:tcPr>
            <w:tcW w:w="2430"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24hr Cumulative (mm)</w:t>
            </w:r>
          </w:p>
        </w:tc>
        <w:tc>
          <w:tcPr>
            <w:tcW w:w="1818"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Soil Moisture (%)</w:t>
            </w:r>
          </w:p>
        </w:tc>
      </w:tr>
      <w:tr w:rsidR="001D079E" w:rsidRPr="0039607D" w:rsidTr="005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w:t>
            </w:r>
            <w:r w:rsidR="001D079E" w:rsidRPr="0039607D">
              <w:rPr>
                <w:rFonts w:ascii="Arial" w:hAnsi="Arial" w:cs="Arial"/>
                <w:color w:val="000000" w:themeColor="text1"/>
                <w:sz w:val="20"/>
                <w:szCs w:val="20"/>
              </w:rPr>
              <w:t>/202</w:t>
            </w:r>
            <w:r w:rsidR="00BD439B" w:rsidRPr="0039607D">
              <w:rPr>
                <w:rFonts w:ascii="Arial" w:hAnsi="Arial" w:cs="Arial"/>
                <w:color w:val="000000" w:themeColor="text1"/>
                <w:sz w:val="20"/>
                <w:szCs w:val="20"/>
              </w:rPr>
              <w:t>6</w:t>
            </w:r>
          </w:p>
        </w:tc>
        <w:tc>
          <w:tcPr>
            <w:tcW w:w="140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06:00</w:t>
            </w:r>
          </w:p>
        </w:tc>
        <w:tc>
          <w:tcPr>
            <w:tcW w:w="2610"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w:t>
            </w:r>
          </w:p>
        </w:tc>
        <w:tc>
          <w:tcPr>
            <w:tcW w:w="2430"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181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72</w:t>
            </w:r>
          </w:p>
        </w:tc>
      </w:tr>
      <w:tr w:rsidR="001D079E" w:rsidRPr="0039607D" w:rsidTr="0057011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w:t>
            </w:r>
            <w:r w:rsidR="001D079E" w:rsidRPr="0039607D">
              <w:rPr>
                <w:rFonts w:ascii="Arial" w:hAnsi="Arial" w:cs="Arial"/>
                <w:color w:val="000000" w:themeColor="text1"/>
                <w:sz w:val="20"/>
                <w:szCs w:val="20"/>
              </w:rPr>
              <w:t>/202</w:t>
            </w:r>
            <w:r w:rsidR="00BD439B" w:rsidRPr="0039607D">
              <w:rPr>
                <w:rFonts w:ascii="Arial" w:hAnsi="Arial" w:cs="Arial"/>
                <w:color w:val="000000" w:themeColor="text1"/>
                <w:sz w:val="20"/>
                <w:szCs w:val="20"/>
              </w:rPr>
              <w:t>6</w:t>
            </w:r>
          </w:p>
        </w:tc>
        <w:tc>
          <w:tcPr>
            <w:tcW w:w="140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12:00</w:t>
            </w:r>
          </w:p>
        </w:tc>
        <w:tc>
          <w:tcPr>
            <w:tcW w:w="2610"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35</w:t>
            </w:r>
          </w:p>
        </w:tc>
        <w:tc>
          <w:tcPr>
            <w:tcW w:w="2430"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112</w:t>
            </w:r>
          </w:p>
        </w:tc>
        <w:tc>
          <w:tcPr>
            <w:tcW w:w="181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81</w:t>
            </w:r>
          </w:p>
        </w:tc>
      </w:tr>
      <w:tr w:rsidR="001D079E" w:rsidRPr="0039607D" w:rsidTr="005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A72F90"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12</w:t>
            </w:r>
            <w:r w:rsidR="00BD439B" w:rsidRPr="0039607D">
              <w:rPr>
                <w:rFonts w:ascii="Arial" w:hAnsi="Arial" w:cs="Arial"/>
                <w:color w:val="000000" w:themeColor="text1"/>
                <w:sz w:val="20"/>
                <w:szCs w:val="20"/>
              </w:rPr>
              <w:t>/02/2026</w:t>
            </w:r>
          </w:p>
        </w:tc>
        <w:tc>
          <w:tcPr>
            <w:tcW w:w="140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18:00</w:t>
            </w:r>
          </w:p>
        </w:tc>
        <w:tc>
          <w:tcPr>
            <w:tcW w:w="2610"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2430"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154</w:t>
            </w:r>
          </w:p>
        </w:tc>
        <w:tc>
          <w:tcPr>
            <w:tcW w:w="181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89</w:t>
            </w:r>
          </w:p>
        </w:tc>
      </w:tr>
      <w:tr w:rsidR="001D079E" w:rsidRPr="0039607D" w:rsidTr="0057011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13/02/2026</w:t>
            </w:r>
          </w:p>
        </w:tc>
        <w:tc>
          <w:tcPr>
            <w:tcW w:w="140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06:00</w:t>
            </w:r>
          </w:p>
        </w:tc>
        <w:tc>
          <w:tcPr>
            <w:tcW w:w="2610"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28</w:t>
            </w:r>
          </w:p>
        </w:tc>
        <w:tc>
          <w:tcPr>
            <w:tcW w:w="2430"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178</w:t>
            </w:r>
          </w:p>
        </w:tc>
        <w:tc>
          <w:tcPr>
            <w:tcW w:w="181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91</w:t>
            </w:r>
          </w:p>
        </w:tc>
      </w:tr>
      <w:tr w:rsidR="00BD439B" w:rsidRPr="0039607D" w:rsidTr="005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D439B"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1408" w:type="dxa"/>
            <w:shd w:val="clear" w:color="auto" w:fill="FFFFFF" w:themeFill="background1"/>
            <w:hideMark/>
          </w:tcPr>
          <w:p w:rsidR="00BD439B" w:rsidRPr="0039607D" w:rsidRDefault="00BD439B"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12:00</w:t>
            </w:r>
          </w:p>
        </w:tc>
        <w:tc>
          <w:tcPr>
            <w:tcW w:w="2610" w:type="dxa"/>
            <w:shd w:val="clear" w:color="auto" w:fill="FFFFFF" w:themeFill="background1"/>
            <w:hideMark/>
          </w:tcPr>
          <w:p w:rsidR="00BD439B" w:rsidRPr="0039607D" w:rsidRDefault="00BD439B"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2430" w:type="dxa"/>
            <w:shd w:val="clear" w:color="auto" w:fill="FFFFFF" w:themeFill="background1"/>
            <w:hideMark/>
          </w:tcPr>
          <w:p w:rsidR="00BD439B" w:rsidRPr="0039607D" w:rsidRDefault="00BD439B"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220</w:t>
            </w:r>
          </w:p>
        </w:tc>
        <w:tc>
          <w:tcPr>
            <w:tcW w:w="1818" w:type="dxa"/>
            <w:shd w:val="clear" w:color="auto" w:fill="FFFFFF" w:themeFill="background1"/>
            <w:hideMark/>
          </w:tcPr>
          <w:p w:rsidR="00BD439B" w:rsidRPr="0039607D" w:rsidRDefault="00BD439B"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96</w:t>
            </w:r>
          </w:p>
        </w:tc>
      </w:tr>
      <w:tr w:rsidR="00BD439B" w:rsidRPr="0039607D" w:rsidTr="0057011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BD439B" w:rsidRPr="0039607D" w:rsidRDefault="00BD439B"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1408" w:type="dxa"/>
            <w:shd w:val="clear" w:color="auto" w:fill="FFFFFF" w:themeFill="background1"/>
            <w:hideMark/>
          </w:tcPr>
          <w:p w:rsidR="00BD439B" w:rsidRPr="0039607D" w:rsidRDefault="00BD439B"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18:00</w:t>
            </w:r>
          </w:p>
        </w:tc>
        <w:tc>
          <w:tcPr>
            <w:tcW w:w="2610" w:type="dxa"/>
            <w:shd w:val="clear" w:color="auto" w:fill="FFFFFF" w:themeFill="background1"/>
            <w:hideMark/>
          </w:tcPr>
          <w:p w:rsidR="00BD439B" w:rsidRPr="0039607D" w:rsidRDefault="00BD439B"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61</w:t>
            </w:r>
          </w:p>
        </w:tc>
        <w:tc>
          <w:tcPr>
            <w:tcW w:w="2430" w:type="dxa"/>
            <w:shd w:val="clear" w:color="auto" w:fill="FFFFFF" w:themeFill="background1"/>
            <w:hideMark/>
          </w:tcPr>
          <w:p w:rsidR="00BD439B" w:rsidRPr="0039607D" w:rsidRDefault="00BD439B"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248</w:t>
            </w:r>
          </w:p>
        </w:tc>
        <w:tc>
          <w:tcPr>
            <w:tcW w:w="1818" w:type="dxa"/>
            <w:shd w:val="clear" w:color="auto" w:fill="FFFFFF" w:themeFill="background1"/>
            <w:hideMark/>
          </w:tcPr>
          <w:p w:rsidR="00BD439B" w:rsidRPr="0039607D" w:rsidRDefault="00BD439B"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98</w:t>
            </w:r>
          </w:p>
        </w:tc>
      </w:tr>
    </w:tbl>
    <w:p w:rsidR="00656812" w:rsidRDefault="00656812" w:rsidP="00656812">
      <w:pPr>
        <w:spacing w:before="100" w:beforeAutospacing="1" w:after="100" w:afterAutospacing="1" w:line="240" w:lineRule="auto"/>
        <w:jc w:val="both"/>
        <w:rPr>
          <w:rFonts w:ascii="Arial" w:eastAsia="Times New Roman" w:hAnsi="Arial" w:cs="Arial"/>
          <w:color w:val="000000" w:themeColor="text1"/>
          <w:sz w:val="20"/>
          <w:szCs w:val="20"/>
        </w:rPr>
        <w:sectPr w:rsidR="00656812" w:rsidSect="001C0C9B">
          <w:type w:val="continuous"/>
          <w:pgSz w:w="11907" w:h="16839" w:code="9"/>
          <w:pgMar w:top="1440" w:right="1440" w:bottom="1440" w:left="1440" w:header="720" w:footer="720" w:gutter="0"/>
          <w:cols w:space="720"/>
          <w:docGrid w:linePitch="360"/>
        </w:sectPr>
      </w:pPr>
    </w:p>
    <w:p w:rsidR="00DC7591" w:rsidRPr="0039607D" w:rsidRDefault="00DC7591" w:rsidP="00656812">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rainfall data show a progressive increase in both rainfall intensity and cumulative rainfall over the </w:t>
      </w:r>
      <w:r w:rsidR="007D6768" w:rsidRPr="0039607D">
        <w:rPr>
          <w:rFonts w:ascii="Arial" w:eastAsia="Times New Roman" w:hAnsi="Arial" w:cs="Arial"/>
          <w:color w:val="000000" w:themeColor="text1"/>
          <w:sz w:val="20"/>
          <w:szCs w:val="20"/>
        </w:rPr>
        <w:t>monitoring period. On 13/02/2026</w:t>
      </w:r>
      <w:r w:rsidRPr="0039607D">
        <w:rPr>
          <w:rFonts w:ascii="Arial" w:eastAsia="Times New Roman" w:hAnsi="Arial" w:cs="Arial"/>
          <w:color w:val="000000" w:themeColor="text1"/>
          <w:sz w:val="20"/>
          <w:szCs w:val="20"/>
        </w:rPr>
        <w:t xml:space="preserve"> at 12:00 and 18:00, rainfall intensity reached 55 mm/hr and 61 mm/hr respectively, exceeding the critical threshold of 50 mm/hr. Soil moisture levels also surpassed the saturation </w:t>
      </w:r>
      <w:r w:rsidRPr="0039607D">
        <w:rPr>
          <w:rFonts w:ascii="Arial" w:eastAsia="Times New Roman" w:hAnsi="Arial" w:cs="Arial"/>
          <w:color w:val="000000" w:themeColor="text1"/>
          <w:sz w:val="20"/>
          <w:szCs w:val="20"/>
        </w:rPr>
        <w:lastRenderedPageBreak/>
        <w:t>threshold of 90%, reaching up to 98%. These values indicate extreme hydrometeorological conditions with high runoff potential and elevated flood risk. The combination of intense rainfall and saturated soil significantly reduces infiltration capacity, increasing the likelihood of surface flooding.</w:t>
      </w:r>
    </w:p>
    <w:p w:rsidR="00656812" w:rsidRDefault="00656812" w:rsidP="009F5037">
      <w:pPr>
        <w:pStyle w:val="Heading3"/>
        <w:jc w:val="both"/>
        <w:rPr>
          <w:rFonts w:ascii="Arial" w:hAnsi="Arial" w:cs="Arial"/>
          <w:color w:val="000000" w:themeColor="text1"/>
          <w:sz w:val="20"/>
          <w:szCs w:val="20"/>
        </w:rPr>
        <w:sectPr w:rsidR="00656812" w:rsidSect="00656812">
          <w:type w:val="continuous"/>
          <w:pgSz w:w="11907" w:h="16839" w:code="9"/>
          <w:pgMar w:top="1440" w:right="1440" w:bottom="1440" w:left="1440" w:header="720" w:footer="720" w:gutter="0"/>
          <w:cols w:num="2" w:space="720"/>
          <w:docGrid w:linePitch="360"/>
        </w:sectPr>
      </w:pPr>
    </w:p>
    <w:p w:rsidR="001D079E" w:rsidRPr="0039607D" w:rsidRDefault="001D079E" w:rsidP="00FD70AD">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sidR="00FD70AD">
        <w:rPr>
          <w:rFonts w:ascii="Arial" w:hAnsi="Arial" w:cs="Arial"/>
          <w:color w:val="000000" w:themeColor="text1"/>
          <w:sz w:val="20"/>
          <w:szCs w:val="20"/>
        </w:rPr>
        <w:t>5.</w:t>
      </w:r>
      <w:r w:rsidRPr="0039607D">
        <w:rPr>
          <w:rFonts w:ascii="Arial" w:hAnsi="Arial" w:cs="Arial"/>
          <w:color w:val="000000" w:themeColor="text1"/>
          <w:sz w:val="20"/>
          <w:szCs w:val="20"/>
        </w:rPr>
        <w:t xml:space="preserve">2: River Level Monitoring </w:t>
      </w:r>
      <w:r w:rsidR="00ED4310" w:rsidRPr="0039607D">
        <w:rPr>
          <w:rFonts w:ascii="Arial" w:hAnsi="Arial" w:cs="Arial"/>
          <w:color w:val="000000" w:themeColor="text1"/>
          <w:sz w:val="20"/>
          <w:szCs w:val="20"/>
        </w:rPr>
        <w:t xml:space="preserve">at </w:t>
      </w:r>
      <w:r w:rsidRPr="0039607D">
        <w:rPr>
          <w:rFonts w:ascii="Arial" w:hAnsi="Arial" w:cs="Arial"/>
          <w:color w:val="000000" w:themeColor="text1"/>
          <w:sz w:val="20"/>
          <w:szCs w:val="20"/>
        </w:rPr>
        <w:t>Qua Iboe River)</w:t>
      </w:r>
    </w:p>
    <w:tbl>
      <w:tblPr>
        <w:tblStyle w:val="LightShading1"/>
        <w:tblW w:w="0" w:type="auto"/>
        <w:tblLook w:val="04A0" w:firstRow="1" w:lastRow="0" w:firstColumn="1" w:lastColumn="0" w:noHBand="0" w:noVBand="1"/>
      </w:tblPr>
      <w:tblGrid>
        <w:gridCol w:w="1217"/>
        <w:gridCol w:w="2038"/>
        <w:gridCol w:w="3240"/>
        <w:gridCol w:w="2160"/>
      </w:tblGrid>
      <w:tr w:rsidR="001D079E" w:rsidRPr="0039607D" w:rsidTr="00B6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Date</w:t>
            </w:r>
          </w:p>
        </w:tc>
        <w:tc>
          <w:tcPr>
            <w:tcW w:w="2038"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River Level (m)</w:t>
            </w:r>
          </w:p>
        </w:tc>
        <w:tc>
          <w:tcPr>
            <w:tcW w:w="3240"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Alert Threshold (m)</w:t>
            </w:r>
          </w:p>
        </w:tc>
        <w:tc>
          <w:tcPr>
            <w:tcW w:w="2160" w:type="dxa"/>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Status</w:t>
            </w:r>
          </w:p>
        </w:tc>
      </w:tr>
      <w:tr w:rsidR="001D079E" w:rsidRPr="0039607D" w:rsidTr="00B6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12/02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4.2</w:t>
            </w:r>
          </w:p>
        </w:tc>
        <w:tc>
          <w:tcPr>
            <w:tcW w:w="3240"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Safe</w:t>
            </w:r>
          </w:p>
        </w:tc>
      </w:tr>
      <w:tr w:rsidR="001D079E" w:rsidRPr="0039607D" w:rsidTr="00B62AA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13/02/2026</w:t>
            </w:r>
          </w:p>
        </w:tc>
        <w:tc>
          <w:tcPr>
            <w:tcW w:w="2038"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4.8</w:t>
            </w:r>
          </w:p>
        </w:tc>
        <w:tc>
          <w:tcPr>
            <w:tcW w:w="3240"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Watch</w:t>
            </w:r>
          </w:p>
        </w:tc>
      </w:tr>
      <w:tr w:rsidR="001D079E" w:rsidRPr="0039607D" w:rsidTr="00B6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14/02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5.3</w:t>
            </w:r>
          </w:p>
        </w:tc>
        <w:tc>
          <w:tcPr>
            <w:tcW w:w="3240"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Exceeded</w:t>
            </w:r>
          </w:p>
        </w:tc>
      </w:tr>
      <w:tr w:rsidR="001D079E" w:rsidRPr="0039607D" w:rsidTr="00B62AA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BD439B" w:rsidP="00FD70AD">
            <w:pPr>
              <w:jc w:val="both"/>
              <w:rPr>
                <w:rFonts w:ascii="Arial" w:hAnsi="Arial" w:cs="Arial"/>
                <w:color w:val="000000" w:themeColor="text1"/>
                <w:sz w:val="20"/>
                <w:szCs w:val="20"/>
              </w:rPr>
            </w:pPr>
            <w:r w:rsidRPr="0039607D">
              <w:rPr>
                <w:rFonts w:ascii="Arial" w:hAnsi="Arial" w:cs="Arial"/>
                <w:color w:val="000000" w:themeColor="text1"/>
                <w:sz w:val="20"/>
                <w:szCs w:val="20"/>
              </w:rPr>
              <w:t>15/02</w:t>
            </w:r>
            <w:r w:rsidR="001D079E" w:rsidRPr="0039607D">
              <w:rPr>
                <w:rFonts w:ascii="Arial" w:hAnsi="Arial" w:cs="Arial"/>
                <w:color w:val="000000" w:themeColor="text1"/>
                <w:sz w:val="20"/>
                <w:szCs w:val="20"/>
              </w:rPr>
              <w:t>/202</w:t>
            </w:r>
            <w:r w:rsidRPr="0039607D">
              <w:rPr>
                <w:rFonts w:ascii="Arial" w:hAnsi="Arial" w:cs="Arial"/>
                <w:color w:val="000000" w:themeColor="text1"/>
                <w:sz w:val="20"/>
                <w:szCs w:val="20"/>
              </w:rPr>
              <w:t>6</w:t>
            </w:r>
          </w:p>
        </w:tc>
        <w:tc>
          <w:tcPr>
            <w:tcW w:w="2038"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3240"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2160" w:type="dxa"/>
            <w:shd w:val="clear" w:color="auto" w:fill="FFFFFF" w:themeFill="background1"/>
            <w:hideMark/>
          </w:tcPr>
          <w:p w:rsidR="001D079E" w:rsidRPr="0039607D" w:rsidRDefault="001D079E" w:rsidP="00FD70A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Critical</w:t>
            </w:r>
          </w:p>
        </w:tc>
      </w:tr>
    </w:tbl>
    <w:p w:rsidR="00FD70AD" w:rsidRDefault="00FD70AD" w:rsidP="00FD70AD">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D70AD" w:rsidRDefault="00FD70AD" w:rsidP="00FD70AD">
      <w:pPr>
        <w:spacing w:after="100" w:afterAutospacing="1" w:line="240" w:lineRule="auto"/>
        <w:jc w:val="both"/>
        <w:rPr>
          <w:rFonts w:ascii="Arial" w:eastAsia="Times New Roman" w:hAnsi="Arial" w:cs="Arial"/>
          <w:color w:val="000000" w:themeColor="text1"/>
          <w:sz w:val="20"/>
          <w:szCs w:val="20"/>
        </w:rPr>
        <w:sectPr w:rsidR="00FD70AD" w:rsidSect="001C0C9B">
          <w:type w:val="continuous"/>
          <w:pgSz w:w="11907" w:h="16839" w:code="9"/>
          <w:pgMar w:top="1440" w:right="1440" w:bottom="1440" w:left="1440" w:header="720" w:footer="720" w:gutter="0"/>
          <w:cols w:space="720"/>
          <w:docGrid w:linePitch="360"/>
        </w:sectPr>
      </w:pPr>
    </w:p>
    <w:p w:rsidR="00DC7591" w:rsidRPr="0039607D" w:rsidRDefault="00DC7591" w:rsidP="00FD70AD">
      <w:pPr>
        <w:spacing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River levels show a steady upward trend from 4.2 m (Safe) to 5.8 m (Critical) within four days. The river exceeded th</w:t>
      </w:r>
      <w:r w:rsidR="007D6768" w:rsidRPr="0039607D">
        <w:rPr>
          <w:rFonts w:ascii="Arial" w:eastAsia="Times New Roman" w:hAnsi="Arial" w:cs="Arial"/>
          <w:color w:val="000000" w:themeColor="text1"/>
          <w:sz w:val="20"/>
          <w:szCs w:val="20"/>
        </w:rPr>
        <w:t>e 5.0 m alert threshold on 14/02/2026</w:t>
      </w:r>
      <w:r w:rsidRPr="0039607D">
        <w:rPr>
          <w:rFonts w:ascii="Arial" w:eastAsia="Times New Roman" w:hAnsi="Arial" w:cs="Arial"/>
          <w:color w:val="000000" w:themeColor="text1"/>
          <w:sz w:val="20"/>
          <w:szCs w:val="20"/>
        </w:rPr>
        <w:t xml:space="preserve"> and </w:t>
      </w:r>
      <w:r w:rsidR="007D6768" w:rsidRPr="0039607D">
        <w:rPr>
          <w:rFonts w:ascii="Arial" w:eastAsia="Times New Roman" w:hAnsi="Arial" w:cs="Arial"/>
          <w:color w:val="000000" w:themeColor="text1"/>
          <w:sz w:val="20"/>
          <w:szCs w:val="20"/>
        </w:rPr>
        <w:t xml:space="preserve">reached critical </w:t>
      </w:r>
      <w:r w:rsidR="007D6768" w:rsidRPr="0039607D">
        <w:rPr>
          <w:rFonts w:ascii="Arial" w:eastAsia="Times New Roman" w:hAnsi="Arial" w:cs="Arial"/>
          <w:color w:val="000000" w:themeColor="text1"/>
          <w:sz w:val="20"/>
          <w:szCs w:val="20"/>
        </w:rPr>
        <w:lastRenderedPageBreak/>
        <w:t>status on 15/02/2026</w:t>
      </w:r>
      <w:r w:rsidRPr="0039607D">
        <w:rPr>
          <w:rFonts w:ascii="Arial" w:eastAsia="Times New Roman" w:hAnsi="Arial" w:cs="Arial"/>
          <w:color w:val="000000" w:themeColor="text1"/>
          <w:sz w:val="20"/>
          <w:szCs w:val="20"/>
        </w:rPr>
        <w:t>. This confirms that upstream rainfall translated into rising river discharge, validating the hydrological linkage between heavy rainfall and riverine flooding.</w:t>
      </w:r>
    </w:p>
    <w:p w:rsidR="00FD70AD" w:rsidRDefault="00FD70AD" w:rsidP="009F5037">
      <w:pPr>
        <w:pStyle w:val="Heading3"/>
        <w:jc w:val="both"/>
        <w:rPr>
          <w:rFonts w:ascii="Arial" w:hAnsi="Arial" w:cs="Arial"/>
          <w:color w:val="000000" w:themeColor="text1"/>
          <w:sz w:val="20"/>
          <w:szCs w:val="20"/>
        </w:rPr>
        <w:sectPr w:rsidR="00FD70AD" w:rsidSect="00FD70AD">
          <w:type w:val="continuous"/>
          <w:pgSz w:w="11907" w:h="16839" w:code="9"/>
          <w:pgMar w:top="1440" w:right="1440" w:bottom="1440" w:left="1440" w:header="720" w:footer="720" w:gutter="0"/>
          <w:cols w:num="2" w:space="720"/>
          <w:docGrid w:linePitch="360"/>
        </w:sectPr>
      </w:pPr>
    </w:p>
    <w:p w:rsidR="003D01EA" w:rsidRDefault="003D01EA" w:rsidP="003D01EA">
      <w:pPr>
        <w:pStyle w:val="Heading3"/>
        <w:spacing w:before="0" w:beforeAutospacing="0" w:after="0" w:afterAutospacing="0"/>
        <w:jc w:val="both"/>
        <w:rPr>
          <w:rFonts w:ascii="Arial" w:hAnsi="Arial" w:cs="Arial"/>
          <w:color w:val="000000" w:themeColor="text1"/>
          <w:sz w:val="20"/>
          <w:szCs w:val="20"/>
        </w:rPr>
      </w:pPr>
    </w:p>
    <w:p w:rsidR="001D079E" w:rsidRPr="0039607D" w:rsidRDefault="001D079E" w:rsidP="003D01EA">
      <w:pPr>
        <w:pStyle w:val="Heading3"/>
        <w:spacing w:before="0" w:beforeAutospacing="0" w:after="0" w:afterAutospacing="0"/>
        <w:jc w:val="both"/>
        <w:rPr>
          <w:rFonts w:ascii="Arial" w:hAnsi="Arial" w:cs="Arial"/>
          <w:color w:val="000000" w:themeColor="text1"/>
          <w:sz w:val="20"/>
          <w:szCs w:val="20"/>
        </w:rPr>
      </w:pPr>
      <w:r w:rsidRPr="0039607D">
        <w:rPr>
          <w:rFonts w:ascii="Arial" w:hAnsi="Arial" w:cs="Arial"/>
          <w:color w:val="000000" w:themeColor="text1"/>
          <w:sz w:val="20"/>
          <w:szCs w:val="20"/>
        </w:rPr>
        <w:t xml:space="preserve">Table </w:t>
      </w:r>
      <w:r w:rsidR="00FD70AD">
        <w:rPr>
          <w:rFonts w:ascii="Arial" w:hAnsi="Arial" w:cs="Arial"/>
          <w:color w:val="000000" w:themeColor="text1"/>
          <w:sz w:val="20"/>
          <w:szCs w:val="20"/>
        </w:rPr>
        <w:t>5.</w:t>
      </w:r>
      <w:r w:rsidRPr="0039607D">
        <w:rPr>
          <w:rFonts w:ascii="Arial" w:hAnsi="Arial" w:cs="Arial"/>
          <w:color w:val="000000" w:themeColor="text1"/>
          <w:sz w:val="20"/>
          <w:szCs w:val="20"/>
        </w:rPr>
        <w:t>3: SMS Flood Signal Reports</w:t>
      </w:r>
    </w:p>
    <w:tbl>
      <w:tblPr>
        <w:tblStyle w:val="LightShading1"/>
        <w:tblW w:w="0" w:type="auto"/>
        <w:tblLook w:val="04A0" w:firstRow="1" w:lastRow="0" w:firstColumn="1" w:lastColumn="0" w:noHBand="0" w:noVBand="1"/>
      </w:tblPr>
      <w:tblGrid>
        <w:gridCol w:w="1073"/>
        <w:gridCol w:w="1316"/>
        <w:gridCol w:w="1703"/>
        <w:gridCol w:w="1506"/>
        <w:gridCol w:w="2037"/>
        <w:gridCol w:w="1608"/>
      </w:tblGrid>
      <w:tr w:rsidR="001D079E" w:rsidRPr="0039607D" w:rsidTr="00B6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3D01EA">
            <w:pPr>
              <w:jc w:val="both"/>
              <w:rPr>
                <w:rFonts w:ascii="Arial" w:hAnsi="Arial" w:cs="Arial"/>
                <w:bCs w:val="0"/>
                <w:color w:val="000000" w:themeColor="text1"/>
                <w:sz w:val="20"/>
                <w:szCs w:val="20"/>
              </w:rPr>
            </w:pPr>
            <w:r w:rsidRPr="0039607D">
              <w:rPr>
                <w:rFonts w:ascii="Arial" w:hAnsi="Arial" w:cs="Arial"/>
                <w:bCs w:val="0"/>
                <w:color w:val="000000" w:themeColor="text1"/>
                <w:sz w:val="20"/>
                <w:szCs w:val="20"/>
              </w:rPr>
              <w:t>Report ID</w:t>
            </w:r>
          </w:p>
        </w:tc>
        <w:tc>
          <w:tcPr>
            <w:tcW w:w="0" w:type="auto"/>
            <w:shd w:val="clear" w:color="auto" w:fill="FFFFFF" w:themeFill="background1"/>
            <w:hideMark/>
          </w:tcPr>
          <w:p w:rsidR="001D079E" w:rsidRPr="0039607D" w:rsidRDefault="001D079E" w:rsidP="003D01EA">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Community</w:t>
            </w:r>
          </w:p>
        </w:tc>
        <w:tc>
          <w:tcPr>
            <w:tcW w:w="0" w:type="auto"/>
            <w:shd w:val="clear" w:color="auto" w:fill="FFFFFF" w:themeFill="background1"/>
            <w:hideMark/>
          </w:tcPr>
          <w:p w:rsidR="001D079E" w:rsidRPr="0039607D" w:rsidRDefault="001D079E" w:rsidP="003D01EA">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GPS Coordinates</w:t>
            </w:r>
          </w:p>
        </w:tc>
        <w:tc>
          <w:tcPr>
            <w:tcW w:w="0" w:type="auto"/>
            <w:shd w:val="clear" w:color="auto" w:fill="FFFFFF" w:themeFill="background1"/>
            <w:hideMark/>
          </w:tcPr>
          <w:p w:rsidR="001D079E" w:rsidRPr="0039607D" w:rsidRDefault="001D079E" w:rsidP="003D01EA">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Flood Depth (cm)</w:t>
            </w:r>
          </w:p>
        </w:tc>
        <w:tc>
          <w:tcPr>
            <w:tcW w:w="0" w:type="auto"/>
            <w:shd w:val="clear" w:color="auto" w:fill="FFFFFF" w:themeFill="background1"/>
            <w:hideMark/>
          </w:tcPr>
          <w:p w:rsidR="001D079E" w:rsidRPr="0039607D" w:rsidRDefault="001D079E" w:rsidP="003D01EA">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Road Passable (Yes/No)</w:t>
            </w:r>
          </w:p>
        </w:tc>
        <w:tc>
          <w:tcPr>
            <w:tcW w:w="0" w:type="auto"/>
            <w:shd w:val="clear" w:color="auto" w:fill="FFFFFF" w:themeFill="background1"/>
            <w:hideMark/>
          </w:tcPr>
          <w:p w:rsidR="001D079E" w:rsidRPr="0039607D" w:rsidRDefault="001D079E" w:rsidP="003D01EA">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39607D">
              <w:rPr>
                <w:rFonts w:ascii="Arial" w:hAnsi="Arial" w:cs="Arial"/>
                <w:bCs w:val="0"/>
                <w:color w:val="000000" w:themeColor="text1"/>
                <w:sz w:val="20"/>
                <w:szCs w:val="20"/>
              </w:rPr>
              <w:t>Timestamp</w:t>
            </w:r>
          </w:p>
        </w:tc>
      </w:tr>
      <w:tr w:rsidR="001D079E" w:rsidRPr="0039607D" w:rsidTr="00B6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SMS001</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5.205N, 7.984E</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15</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0" w:type="auto"/>
            <w:shd w:val="clear" w:color="auto" w:fill="FFFFFF" w:themeFill="background1"/>
            <w:hideMark/>
          </w:tcPr>
          <w:p w:rsidR="001D079E" w:rsidRPr="0039607D" w:rsidRDefault="00475821"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13/02/2026</w:t>
            </w:r>
            <w:r w:rsidR="001D079E" w:rsidRPr="0039607D">
              <w:rPr>
                <w:rFonts w:ascii="Arial" w:hAnsi="Arial" w:cs="Arial"/>
                <w:color w:val="000000" w:themeColor="text1"/>
                <w:sz w:val="20"/>
                <w:szCs w:val="20"/>
              </w:rPr>
              <w:t xml:space="preserve"> 14:05</w:t>
            </w:r>
          </w:p>
        </w:tc>
      </w:tr>
      <w:tr w:rsidR="001D079E" w:rsidRPr="0039607D" w:rsidTr="00B62AA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SMS002</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5.034N, 7.927E</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0" w:type="auto"/>
            <w:shd w:val="clear" w:color="auto" w:fill="FFFFFF" w:themeFill="background1"/>
            <w:hideMark/>
          </w:tcPr>
          <w:p w:rsidR="001D079E" w:rsidRPr="0039607D" w:rsidRDefault="00475821"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13/02/2026</w:t>
            </w:r>
            <w:r w:rsidR="001D079E" w:rsidRPr="0039607D">
              <w:rPr>
                <w:rFonts w:ascii="Arial" w:hAnsi="Arial" w:cs="Arial"/>
                <w:color w:val="000000" w:themeColor="text1"/>
                <w:sz w:val="20"/>
                <w:szCs w:val="20"/>
              </w:rPr>
              <w:t xml:space="preserve"> 15:12</w:t>
            </w:r>
          </w:p>
        </w:tc>
      </w:tr>
      <w:tr w:rsidR="001D079E" w:rsidRPr="0039607D" w:rsidTr="00B6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SMS003</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4.810N, 8.240E</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60</w:t>
            </w:r>
          </w:p>
        </w:tc>
        <w:tc>
          <w:tcPr>
            <w:tcW w:w="0" w:type="auto"/>
            <w:shd w:val="clear" w:color="auto" w:fill="FFFFFF" w:themeFill="background1"/>
            <w:hideMark/>
          </w:tcPr>
          <w:p w:rsidR="001D079E" w:rsidRPr="0039607D" w:rsidRDefault="001D079E"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No</w:t>
            </w:r>
          </w:p>
        </w:tc>
        <w:tc>
          <w:tcPr>
            <w:tcW w:w="0" w:type="auto"/>
            <w:shd w:val="clear" w:color="auto" w:fill="FFFFFF" w:themeFill="background1"/>
            <w:hideMark/>
          </w:tcPr>
          <w:p w:rsidR="001D079E" w:rsidRPr="0039607D" w:rsidRDefault="00475821" w:rsidP="003D01E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14/02/2026</w:t>
            </w:r>
            <w:r w:rsidR="001D079E" w:rsidRPr="0039607D">
              <w:rPr>
                <w:rFonts w:ascii="Arial" w:hAnsi="Arial" w:cs="Arial"/>
                <w:color w:val="000000" w:themeColor="text1"/>
                <w:sz w:val="20"/>
                <w:szCs w:val="20"/>
              </w:rPr>
              <w:t xml:space="preserve"> 08:21</w:t>
            </w:r>
          </w:p>
        </w:tc>
      </w:tr>
      <w:tr w:rsidR="001D079E" w:rsidRPr="0039607D" w:rsidTr="00B62AA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3D01EA">
            <w:pPr>
              <w:jc w:val="both"/>
              <w:rPr>
                <w:rFonts w:ascii="Arial" w:hAnsi="Arial" w:cs="Arial"/>
                <w:color w:val="000000" w:themeColor="text1"/>
                <w:sz w:val="20"/>
                <w:szCs w:val="20"/>
              </w:rPr>
            </w:pPr>
            <w:r w:rsidRPr="0039607D">
              <w:rPr>
                <w:rFonts w:ascii="Arial" w:hAnsi="Arial" w:cs="Arial"/>
                <w:color w:val="000000" w:themeColor="text1"/>
                <w:sz w:val="20"/>
                <w:szCs w:val="20"/>
              </w:rPr>
              <w:t>SMS004</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4.642N, 7.924E</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30</w:t>
            </w:r>
          </w:p>
        </w:tc>
        <w:tc>
          <w:tcPr>
            <w:tcW w:w="0" w:type="auto"/>
            <w:shd w:val="clear" w:color="auto" w:fill="FFFFFF" w:themeFill="background1"/>
            <w:hideMark/>
          </w:tcPr>
          <w:p w:rsidR="001D079E" w:rsidRPr="0039607D" w:rsidRDefault="001D079E"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Yes</w:t>
            </w:r>
          </w:p>
        </w:tc>
        <w:tc>
          <w:tcPr>
            <w:tcW w:w="0" w:type="auto"/>
            <w:shd w:val="clear" w:color="auto" w:fill="FFFFFF" w:themeFill="background1"/>
            <w:hideMark/>
          </w:tcPr>
          <w:p w:rsidR="001D079E" w:rsidRPr="0039607D" w:rsidRDefault="00475821" w:rsidP="003D01E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14/02/2026</w:t>
            </w:r>
            <w:r w:rsidR="001D079E" w:rsidRPr="0039607D">
              <w:rPr>
                <w:rFonts w:ascii="Arial" w:hAnsi="Arial" w:cs="Arial"/>
                <w:color w:val="000000" w:themeColor="text1"/>
                <w:sz w:val="20"/>
                <w:szCs w:val="20"/>
              </w:rPr>
              <w:t xml:space="preserve"> 09:45</w:t>
            </w:r>
          </w:p>
        </w:tc>
      </w:tr>
    </w:tbl>
    <w:p w:rsidR="00FD70AD" w:rsidRDefault="00FD70AD" w:rsidP="003D01EA">
      <w:pPr>
        <w:spacing w:after="0"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D70AD" w:rsidRDefault="00FD70AD" w:rsidP="009F5037">
      <w:pPr>
        <w:spacing w:before="100" w:beforeAutospacing="1" w:after="100" w:afterAutospacing="1" w:line="240" w:lineRule="auto"/>
        <w:jc w:val="both"/>
        <w:rPr>
          <w:rFonts w:ascii="Arial" w:eastAsia="Times New Roman" w:hAnsi="Arial" w:cs="Arial"/>
          <w:color w:val="000000" w:themeColor="text1"/>
          <w:sz w:val="20"/>
          <w:szCs w:val="20"/>
        </w:rPr>
        <w:sectPr w:rsidR="00FD70AD" w:rsidSect="001C0C9B">
          <w:type w:val="continuous"/>
          <w:pgSz w:w="11907" w:h="16839" w:code="9"/>
          <w:pgMar w:top="1440" w:right="1440" w:bottom="1440" w:left="1440" w:header="720" w:footer="720" w:gutter="0"/>
          <w:cols w:space="720"/>
          <w:docGrid w:linePitch="360"/>
        </w:sectPr>
      </w:pPr>
    </w:p>
    <w:p w:rsidR="00E02C3C" w:rsidRDefault="00DC7591" w:rsidP="00E02C3C">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Community-based SMS reports indicate varying flood depths across LGAs. Oron recorded the highest flood depth (60 cm), followed by Uyo (45 cm), both with roads reported as impassable. Itu (15 cm) and Eket </w:t>
      </w:r>
    </w:p>
    <w:p w:rsidR="00DC7591" w:rsidRPr="0039607D" w:rsidRDefault="00DC7591" w:rsidP="00E02C3C">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(30 cm) experienced milder flooding with passable roads. The geo-tagged reports demonstrate effective last-mile data collection and confirm spatial variability in flood severity.</w:t>
      </w:r>
    </w:p>
    <w:p w:rsidR="00FD70AD" w:rsidRDefault="00FD70AD" w:rsidP="009F5037">
      <w:pPr>
        <w:pStyle w:val="Heading3"/>
        <w:jc w:val="both"/>
        <w:rPr>
          <w:rFonts w:ascii="Arial" w:hAnsi="Arial" w:cs="Arial"/>
          <w:color w:val="000000" w:themeColor="text1"/>
          <w:sz w:val="20"/>
          <w:szCs w:val="20"/>
        </w:rPr>
        <w:sectPr w:rsidR="00FD70AD" w:rsidSect="00FD70AD">
          <w:type w:val="continuous"/>
          <w:pgSz w:w="11907" w:h="16839" w:code="9"/>
          <w:pgMar w:top="1440" w:right="1440" w:bottom="1440" w:left="1440" w:header="720" w:footer="720" w:gutter="0"/>
          <w:cols w:num="2" w:space="720"/>
          <w:docGrid w:linePitch="360"/>
        </w:sectPr>
      </w:pPr>
    </w:p>
    <w:p w:rsidR="00E9284A" w:rsidRDefault="00E9284A" w:rsidP="009F5037">
      <w:pPr>
        <w:pStyle w:val="Heading3"/>
        <w:jc w:val="both"/>
        <w:rPr>
          <w:rFonts w:ascii="Arial" w:hAnsi="Arial" w:cs="Arial"/>
          <w:color w:val="000000" w:themeColor="text1"/>
          <w:sz w:val="20"/>
          <w:szCs w:val="20"/>
        </w:rPr>
      </w:pPr>
    </w:p>
    <w:p w:rsidR="00E9284A" w:rsidRDefault="00E9284A" w:rsidP="009F5037">
      <w:pPr>
        <w:pStyle w:val="Heading3"/>
        <w:jc w:val="both"/>
        <w:rPr>
          <w:rFonts w:ascii="Arial" w:hAnsi="Arial" w:cs="Arial"/>
          <w:color w:val="000000" w:themeColor="text1"/>
          <w:sz w:val="20"/>
          <w:szCs w:val="20"/>
        </w:rPr>
      </w:pPr>
    </w:p>
    <w:p w:rsidR="00E9284A" w:rsidRDefault="00E9284A" w:rsidP="009F5037">
      <w:pPr>
        <w:pStyle w:val="Heading3"/>
        <w:jc w:val="both"/>
        <w:rPr>
          <w:rFonts w:ascii="Arial" w:hAnsi="Arial" w:cs="Arial"/>
          <w:color w:val="000000" w:themeColor="text1"/>
          <w:sz w:val="20"/>
          <w:szCs w:val="20"/>
        </w:r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t xml:space="preserve">Table </w:t>
      </w:r>
      <w:r w:rsidR="00E9284A">
        <w:rPr>
          <w:rFonts w:ascii="Arial" w:hAnsi="Arial" w:cs="Arial"/>
          <w:color w:val="000000" w:themeColor="text1"/>
          <w:sz w:val="20"/>
          <w:szCs w:val="20"/>
        </w:rPr>
        <w:t>5.</w:t>
      </w:r>
      <w:r w:rsidRPr="0039607D">
        <w:rPr>
          <w:rFonts w:ascii="Arial" w:hAnsi="Arial" w:cs="Arial"/>
          <w:color w:val="000000" w:themeColor="text1"/>
          <w:sz w:val="20"/>
          <w:szCs w:val="20"/>
        </w:rPr>
        <w:t>4: Computed Flood Risk Score Dataset</w:t>
      </w:r>
    </w:p>
    <w:tbl>
      <w:tblPr>
        <w:tblStyle w:val="LightShading1"/>
        <w:tblW w:w="0" w:type="auto"/>
        <w:tblLook w:val="04A0" w:firstRow="1" w:lastRow="0" w:firstColumn="1" w:lastColumn="0" w:noHBand="0" w:noVBand="1"/>
      </w:tblPr>
      <w:tblGrid>
        <w:gridCol w:w="1316"/>
        <w:gridCol w:w="1445"/>
        <w:gridCol w:w="1225"/>
        <w:gridCol w:w="1108"/>
        <w:gridCol w:w="1822"/>
        <w:gridCol w:w="1171"/>
        <w:gridCol w:w="1156"/>
      </w:tblGrid>
      <w:tr w:rsidR="001D079E" w:rsidRPr="0039607D" w:rsidTr="00F24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2711DE" w:rsidRDefault="001D079E" w:rsidP="009F5037">
            <w:pPr>
              <w:jc w:val="both"/>
              <w:rPr>
                <w:rFonts w:ascii="Arial" w:hAnsi="Arial" w:cs="Arial"/>
                <w:bCs w:val="0"/>
                <w:color w:val="000000" w:themeColor="text1"/>
                <w:sz w:val="20"/>
                <w:szCs w:val="20"/>
              </w:rPr>
            </w:pPr>
            <w:r w:rsidRPr="002711DE">
              <w:rPr>
                <w:rFonts w:ascii="Arial" w:hAnsi="Arial" w:cs="Arial"/>
                <w:bCs w:val="0"/>
                <w:color w:val="000000" w:themeColor="text1"/>
                <w:sz w:val="20"/>
                <w:szCs w:val="20"/>
              </w:rPr>
              <w:t>Community</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Rainfall Index</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River Index</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Soil Index</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Community Index</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FRS Score</w:t>
            </w:r>
          </w:p>
        </w:tc>
        <w:tc>
          <w:tcPr>
            <w:tcW w:w="0" w:type="auto"/>
            <w:shd w:val="clear" w:color="auto" w:fill="FFFFFF" w:themeFill="background1"/>
            <w:hideMark/>
          </w:tcPr>
          <w:p w:rsidR="001D079E" w:rsidRPr="002711DE"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2711DE">
              <w:rPr>
                <w:rFonts w:ascii="Arial" w:hAnsi="Arial" w:cs="Arial"/>
                <w:bCs w:val="0"/>
                <w:color w:val="000000" w:themeColor="text1"/>
                <w:sz w:val="20"/>
                <w:szCs w:val="20"/>
              </w:rPr>
              <w:t>Risk Level</w:t>
            </w:r>
          </w:p>
        </w:tc>
      </w:tr>
      <w:tr w:rsidR="001D079E" w:rsidRPr="0039607D" w:rsidTr="00F2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72</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40</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Yellow</w:t>
            </w:r>
          </w:p>
        </w:tc>
      </w:tr>
      <w:tr w:rsidR="001D079E" w:rsidRPr="0039607D" w:rsidTr="00F24BFD">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82</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70</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88</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65</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77</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Red</w:t>
            </w:r>
          </w:p>
        </w:tc>
      </w:tr>
      <w:tr w:rsidR="001D079E" w:rsidRPr="0039607D" w:rsidTr="00F2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90</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85</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92</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75</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88</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Red</w:t>
            </w:r>
          </w:p>
        </w:tc>
      </w:tr>
      <w:tr w:rsidR="001D079E" w:rsidRPr="0039607D" w:rsidTr="00F24BFD">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60</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50</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68</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45</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55</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Yellow</w:t>
            </w:r>
          </w:p>
        </w:tc>
      </w:tr>
    </w:tbl>
    <w:p w:rsidR="002711DE" w:rsidRDefault="002711DE" w:rsidP="002711DE">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1815D4" w:rsidRDefault="001815D4" w:rsidP="009F5037">
      <w:pPr>
        <w:spacing w:before="100" w:beforeAutospacing="1" w:after="100" w:afterAutospacing="1" w:line="240" w:lineRule="auto"/>
        <w:jc w:val="both"/>
        <w:rPr>
          <w:rFonts w:ascii="Arial" w:eastAsia="Times New Roman" w:hAnsi="Arial" w:cs="Arial"/>
          <w:color w:val="000000" w:themeColor="text1"/>
          <w:sz w:val="20"/>
          <w:szCs w:val="20"/>
        </w:rPr>
        <w:sectPr w:rsidR="001815D4" w:rsidSect="001C0C9B">
          <w:type w:val="continuous"/>
          <w:pgSz w:w="11907" w:h="16839" w:code="9"/>
          <w:pgMar w:top="1440" w:right="1440" w:bottom="1440" w:left="1440" w:header="720" w:footer="720" w:gutter="0"/>
          <w:cols w:space="720"/>
          <w:docGrid w:linePitch="360"/>
        </w:sectPr>
      </w:pPr>
    </w:p>
    <w:p w:rsidR="00DC7591"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Flood Risk Score classification aligns with observed environmental conditions. Oron (FRS = 88) and Uyo (FRS = 77) fall within the Red (High Risk) category, reflecting high rainfall, river levels, soil saturation, and </w:t>
      </w:r>
      <w:r w:rsidRPr="0039607D">
        <w:rPr>
          <w:rFonts w:ascii="Arial" w:eastAsia="Times New Roman" w:hAnsi="Arial" w:cs="Arial"/>
          <w:color w:val="000000" w:themeColor="text1"/>
          <w:sz w:val="20"/>
          <w:szCs w:val="20"/>
        </w:rPr>
        <w:lastRenderedPageBreak/>
        <w:t>community-reported impacts. Itu (58) and Eket (55) fall under Yellow (Moderate Risk). The scoring system accurately integrates multi-source data into a coherent risk classification framework.</w:t>
      </w:r>
    </w:p>
    <w:p w:rsidR="001815D4" w:rsidRDefault="001815D4" w:rsidP="009F5037">
      <w:pPr>
        <w:pStyle w:val="Heading3"/>
        <w:jc w:val="both"/>
        <w:rPr>
          <w:rFonts w:ascii="Arial" w:hAnsi="Arial" w:cs="Arial"/>
          <w:color w:val="000000" w:themeColor="text1"/>
          <w:sz w:val="20"/>
          <w:szCs w:val="20"/>
        </w:rPr>
        <w:sectPr w:rsidR="001815D4" w:rsidSect="001815D4">
          <w:type w:val="continuous"/>
          <w:pgSz w:w="11907" w:h="16839" w:code="9"/>
          <w:pgMar w:top="1440" w:right="1440" w:bottom="1440" w:left="1440" w:header="720" w:footer="720" w:gutter="0"/>
          <w:cols w:num="2" w:space="720"/>
          <w:docGrid w:linePitch="360"/>
        </w:sect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Table 5</w:t>
      </w:r>
      <w:r w:rsidR="00E9284A">
        <w:rPr>
          <w:rFonts w:ascii="Arial" w:hAnsi="Arial" w:cs="Arial"/>
          <w:color w:val="000000" w:themeColor="text1"/>
          <w:sz w:val="20"/>
          <w:szCs w:val="20"/>
        </w:rPr>
        <w:t>.5</w:t>
      </w:r>
      <w:r w:rsidRPr="0039607D">
        <w:rPr>
          <w:rFonts w:ascii="Arial" w:hAnsi="Arial" w:cs="Arial"/>
          <w:color w:val="000000" w:themeColor="text1"/>
          <w:sz w:val="20"/>
          <w:szCs w:val="20"/>
        </w:rPr>
        <w:t>: Alert Dissemination Log</w:t>
      </w:r>
    </w:p>
    <w:tbl>
      <w:tblPr>
        <w:tblStyle w:val="LightShading1"/>
        <w:tblW w:w="0" w:type="auto"/>
        <w:tblLook w:val="04A0" w:firstRow="1" w:lastRow="0" w:firstColumn="1" w:lastColumn="0" w:noHBand="0" w:noVBand="1"/>
      </w:tblPr>
      <w:tblGrid>
        <w:gridCol w:w="883"/>
        <w:gridCol w:w="1228"/>
        <w:gridCol w:w="1139"/>
        <w:gridCol w:w="2017"/>
        <w:gridCol w:w="1774"/>
        <w:gridCol w:w="2117"/>
      </w:tblGrid>
      <w:tr w:rsidR="001D079E" w:rsidRPr="0039607D" w:rsidTr="00523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ID</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Community</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Risk Level</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Channel</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Time Sent</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Delivery Success (%)</w:t>
            </w:r>
          </w:p>
        </w:tc>
      </w:tr>
      <w:tr w:rsidR="001D079E" w:rsidRPr="0039607D" w:rsidTr="0052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A001</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Yellow</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SMS + App</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13/07/2025 15:30</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96</w:t>
            </w:r>
          </w:p>
        </w:tc>
      </w:tr>
      <w:tr w:rsidR="001D079E" w:rsidRPr="0039607D" w:rsidTr="005238E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A002</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Red</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SMS + USSD + App</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13/07/2025 16:00</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94</w:t>
            </w:r>
          </w:p>
        </w:tc>
      </w:tr>
      <w:tr w:rsidR="001D079E" w:rsidRPr="0039607D" w:rsidTr="0052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A003</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Red</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SMS + IVR</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14/07/2025 08:30</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92</w:t>
            </w:r>
          </w:p>
        </w:tc>
      </w:tr>
      <w:tr w:rsidR="001D079E" w:rsidRPr="0039607D" w:rsidTr="005238E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A004</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Yellow</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SMS</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14/07/2025 10:00</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97</w:t>
            </w:r>
          </w:p>
        </w:tc>
      </w:tr>
    </w:tbl>
    <w:p w:rsidR="004E076D" w:rsidRDefault="004E076D" w:rsidP="004E076D">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4E076D" w:rsidRDefault="004E076D" w:rsidP="009F5037">
      <w:pPr>
        <w:spacing w:before="100" w:beforeAutospacing="1" w:after="100" w:afterAutospacing="1" w:line="240" w:lineRule="auto"/>
        <w:jc w:val="both"/>
        <w:rPr>
          <w:rFonts w:ascii="Arial" w:eastAsia="Times New Roman" w:hAnsi="Arial" w:cs="Arial"/>
          <w:color w:val="000000" w:themeColor="text1"/>
          <w:sz w:val="20"/>
          <w:szCs w:val="20"/>
        </w:rPr>
        <w:sectPr w:rsidR="004E076D" w:rsidSect="001C0C9B">
          <w:type w:val="continuous"/>
          <w:pgSz w:w="11907" w:h="16839" w:code="9"/>
          <w:pgMar w:top="1440" w:right="1440" w:bottom="1440" w:left="1440" w:header="720" w:footer="720" w:gutter="0"/>
          <w:cols w:space="720"/>
          <w:docGrid w:linePitch="360"/>
        </w:sectPr>
      </w:pPr>
    </w:p>
    <w:p w:rsidR="00DC7591"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Alert delivery rates range from 92% to 97%, indicating high system reliability. Red-level communities (Uyo and Oron) received multi-channel alerts (SMS, USSD, App, IVR), </w:t>
      </w:r>
      <w:r w:rsidRPr="0039607D">
        <w:rPr>
          <w:rFonts w:ascii="Arial" w:eastAsia="Times New Roman" w:hAnsi="Arial" w:cs="Arial"/>
          <w:color w:val="000000" w:themeColor="text1"/>
          <w:sz w:val="20"/>
          <w:szCs w:val="20"/>
        </w:rPr>
        <w:lastRenderedPageBreak/>
        <w:t>demonstrating adaptive dissemination for high-risk situations. This confirms effective communication redundancy for critical warnings.</w:t>
      </w:r>
    </w:p>
    <w:p w:rsidR="004E076D" w:rsidRDefault="004E076D" w:rsidP="009F5037">
      <w:pPr>
        <w:pStyle w:val="Heading3"/>
        <w:jc w:val="both"/>
        <w:rPr>
          <w:rFonts w:ascii="Arial" w:hAnsi="Arial" w:cs="Arial"/>
          <w:color w:val="000000" w:themeColor="text1"/>
          <w:sz w:val="20"/>
          <w:szCs w:val="20"/>
        </w:rPr>
        <w:sectPr w:rsidR="004E076D" w:rsidSect="004E076D">
          <w:type w:val="continuous"/>
          <w:pgSz w:w="11907" w:h="16839" w:code="9"/>
          <w:pgMar w:top="1440" w:right="1440" w:bottom="1440" w:left="1440" w:header="720" w:footer="720" w:gutter="0"/>
          <w:cols w:num="2" w:space="720"/>
          <w:docGrid w:linePitch="360"/>
        </w:sectPr>
      </w:pPr>
    </w:p>
    <w:p w:rsidR="001D079E" w:rsidRPr="0039607D" w:rsidRDefault="001D079E" w:rsidP="009F5037">
      <w:pPr>
        <w:pStyle w:val="Heading3"/>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sidR="00E9284A">
        <w:rPr>
          <w:rFonts w:ascii="Arial" w:hAnsi="Arial" w:cs="Arial"/>
          <w:color w:val="000000" w:themeColor="text1"/>
          <w:sz w:val="20"/>
          <w:szCs w:val="20"/>
        </w:rPr>
        <w:t>5.</w:t>
      </w:r>
      <w:r w:rsidRPr="0039607D">
        <w:rPr>
          <w:rFonts w:ascii="Arial" w:hAnsi="Arial" w:cs="Arial"/>
          <w:color w:val="000000" w:themeColor="text1"/>
          <w:sz w:val="20"/>
          <w:szCs w:val="20"/>
        </w:rPr>
        <w:t>6: Community Response Monitoring</w:t>
      </w:r>
    </w:p>
    <w:tbl>
      <w:tblPr>
        <w:tblStyle w:val="LightShading1"/>
        <w:tblW w:w="0" w:type="auto"/>
        <w:tblLook w:val="04A0" w:firstRow="1" w:lastRow="0" w:firstColumn="1" w:lastColumn="0" w:noHBand="0" w:noVBand="1"/>
      </w:tblPr>
      <w:tblGrid>
        <w:gridCol w:w="1228"/>
        <w:gridCol w:w="1784"/>
        <w:gridCol w:w="2407"/>
        <w:gridCol w:w="1484"/>
        <w:gridCol w:w="2340"/>
      </w:tblGrid>
      <w:tr w:rsidR="001D079E" w:rsidRPr="0039607D" w:rsidTr="00AF7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Community</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Alert Received (%)</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Took Protective Action (%)</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Evacuated (%)</w:t>
            </w:r>
          </w:p>
        </w:tc>
        <w:tc>
          <w:tcPr>
            <w:tcW w:w="0" w:type="auto"/>
            <w:shd w:val="clear" w:color="auto" w:fill="FFFFFF" w:themeFill="background1"/>
            <w:hideMark/>
          </w:tcPr>
          <w:p w:rsidR="001D079E" w:rsidRPr="0039607D"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9607D">
              <w:rPr>
                <w:rFonts w:ascii="Arial" w:hAnsi="Arial" w:cs="Arial"/>
                <w:b w:val="0"/>
                <w:bCs w:val="0"/>
                <w:color w:val="000000" w:themeColor="text1"/>
                <w:sz w:val="20"/>
                <w:szCs w:val="20"/>
              </w:rPr>
              <w:t>Response Time (Minutes)</w:t>
            </w:r>
          </w:p>
        </w:tc>
      </w:tr>
      <w:tr w:rsidR="001D079E" w:rsidRPr="0039607D" w:rsidTr="00AF7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Itu</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91</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74</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35</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18</w:t>
            </w:r>
          </w:p>
        </w:tc>
      </w:tr>
      <w:tr w:rsidR="001D079E" w:rsidRPr="0039607D" w:rsidTr="00AF7600">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Uyo</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94</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82</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58</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12</w:t>
            </w:r>
          </w:p>
        </w:tc>
      </w:tr>
      <w:tr w:rsidR="001D079E" w:rsidRPr="0039607D" w:rsidTr="00AF7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Oron</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89</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86</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63</w:t>
            </w:r>
          </w:p>
        </w:tc>
        <w:tc>
          <w:tcPr>
            <w:tcW w:w="0" w:type="auto"/>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10</w:t>
            </w:r>
          </w:p>
        </w:tc>
      </w:tr>
      <w:tr w:rsidR="001D079E" w:rsidRPr="0039607D" w:rsidTr="00AF7600">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D079E" w:rsidRPr="0039607D" w:rsidRDefault="001D079E" w:rsidP="009F5037">
            <w:pPr>
              <w:jc w:val="both"/>
              <w:rPr>
                <w:rFonts w:ascii="Arial" w:hAnsi="Arial" w:cs="Arial"/>
                <w:color w:val="000000" w:themeColor="text1"/>
                <w:sz w:val="20"/>
                <w:szCs w:val="20"/>
              </w:rPr>
            </w:pPr>
            <w:r w:rsidRPr="0039607D">
              <w:rPr>
                <w:rFonts w:ascii="Arial" w:hAnsi="Arial" w:cs="Arial"/>
                <w:color w:val="000000" w:themeColor="text1"/>
                <w:sz w:val="20"/>
                <w:szCs w:val="20"/>
              </w:rPr>
              <w:t>Eket</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93</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71</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29</w:t>
            </w:r>
          </w:p>
        </w:tc>
        <w:tc>
          <w:tcPr>
            <w:tcW w:w="0" w:type="auto"/>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20</w:t>
            </w:r>
          </w:p>
        </w:tc>
      </w:tr>
    </w:tbl>
    <w:p w:rsidR="00F63941" w:rsidRDefault="00F63941" w:rsidP="00F63941">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F63941" w:rsidRDefault="00F63941" w:rsidP="009F5037">
      <w:pPr>
        <w:spacing w:before="100" w:beforeAutospacing="1" w:after="100" w:afterAutospacing="1" w:line="240" w:lineRule="auto"/>
        <w:jc w:val="both"/>
        <w:rPr>
          <w:rFonts w:ascii="Arial" w:eastAsia="Times New Roman" w:hAnsi="Arial" w:cs="Arial"/>
          <w:color w:val="000000" w:themeColor="text1"/>
          <w:sz w:val="20"/>
          <w:szCs w:val="20"/>
        </w:rPr>
        <w:sectPr w:rsidR="00F63941" w:rsidSect="001C0C9B">
          <w:type w:val="continuous"/>
          <w:pgSz w:w="11907" w:h="16839" w:code="9"/>
          <w:pgMar w:top="1440" w:right="1440" w:bottom="1440" w:left="1440" w:header="720" w:footer="720" w:gutter="0"/>
          <w:cols w:space="720"/>
          <w:docGrid w:linePitch="360"/>
        </w:sectPr>
      </w:pPr>
    </w:p>
    <w:p w:rsidR="00F63941" w:rsidRPr="00E56183" w:rsidRDefault="00DC7591" w:rsidP="00E56183">
      <w:pPr>
        <w:spacing w:before="100" w:beforeAutospacing="1" w:after="100" w:afterAutospacing="1" w:line="240" w:lineRule="auto"/>
        <w:jc w:val="both"/>
        <w:rPr>
          <w:rFonts w:ascii="Arial" w:eastAsia="Times New Roman" w:hAnsi="Arial" w:cs="Arial"/>
          <w:color w:val="000000" w:themeColor="text1"/>
          <w:sz w:val="20"/>
          <w:szCs w:val="20"/>
        </w:rPr>
        <w:sectPr w:rsidR="00F63941" w:rsidRPr="00E56183" w:rsidSect="00F63941">
          <w:type w:val="continuous"/>
          <w:pgSz w:w="11907" w:h="16839" w:code="9"/>
          <w:pgMar w:top="1440" w:right="1440" w:bottom="1440" w:left="1440" w:header="720" w:footer="720" w:gutter="0"/>
          <w:cols w:num="2" w:space="720"/>
          <w:docGrid w:linePitch="360"/>
        </w:sectPr>
      </w:pPr>
      <w:r w:rsidRPr="0039607D">
        <w:rPr>
          <w:rFonts w:ascii="Arial" w:eastAsia="Times New Roman" w:hAnsi="Arial" w:cs="Arial"/>
          <w:color w:val="000000" w:themeColor="text1"/>
          <w:sz w:val="20"/>
          <w:szCs w:val="20"/>
        </w:rPr>
        <w:lastRenderedPageBreak/>
        <w:t xml:space="preserve">Communities classified as Red risk (Uyo and Oron) show higher protective action (82–86%) and evacuation rates (58–63%) with shorter response times (10–12 minutes). Yellow-risk communities recorded lower evacuation rates </w:t>
      </w:r>
      <w:r w:rsidRPr="0039607D">
        <w:rPr>
          <w:rFonts w:ascii="Arial" w:eastAsia="Times New Roman" w:hAnsi="Arial" w:cs="Arial"/>
          <w:color w:val="000000" w:themeColor="text1"/>
          <w:sz w:val="20"/>
          <w:szCs w:val="20"/>
        </w:rPr>
        <w:lastRenderedPageBreak/>
        <w:t>and slightly longer response times. This suggests that higher perceived risk levels prompt faster and more decisive community action.</w:t>
      </w:r>
    </w:p>
    <w:p w:rsidR="001D079E" w:rsidRPr="0039607D" w:rsidRDefault="00E9284A" w:rsidP="009F5037">
      <w:pPr>
        <w:pStyle w:val="Heading1"/>
        <w:spacing w:line="240" w:lineRule="auto"/>
        <w:jc w:val="both"/>
        <w:rPr>
          <w:rFonts w:ascii="Arial" w:hAnsi="Arial" w:cs="Arial"/>
          <w:color w:val="000000" w:themeColor="text1"/>
          <w:sz w:val="20"/>
          <w:szCs w:val="20"/>
        </w:rPr>
      </w:pPr>
      <w:r w:rsidRPr="0039607D">
        <w:rPr>
          <w:rFonts w:ascii="Arial" w:hAnsi="Arial" w:cs="Arial"/>
          <w:color w:val="000000" w:themeColor="text1"/>
          <w:sz w:val="20"/>
          <w:szCs w:val="20"/>
        </w:rPr>
        <w:lastRenderedPageBreak/>
        <w:t xml:space="preserve">Table </w:t>
      </w:r>
      <w:r>
        <w:rPr>
          <w:rFonts w:ascii="Arial" w:hAnsi="Arial" w:cs="Arial"/>
          <w:color w:val="000000" w:themeColor="text1"/>
          <w:sz w:val="20"/>
          <w:szCs w:val="20"/>
        </w:rPr>
        <w:t xml:space="preserve">5.7 </w:t>
      </w:r>
      <w:r w:rsidRPr="0039607D">
        <w:rPr>
          <w:rFonts w:ascii="Arial" w:hAnsi="Arial" w:cs="Arial"/>
          <w:color w:val="000000" w:themeColor="text1"/>
          <w:sz w:val="20"/>
          <w:szCs w:val="20"/>
        </w:rPr>
        <w:t>System Performance Summary</w:t>
      </w:r>
    </w:p>
    <w:tbl>
      <w:tblPr>
        <w:tblStyle w:val="LightShading1"/>
        <w:tblW w:w="0" w:type="auto"/>
        <w:tblLook w:val="04A0" w:firstRow="1" w:lastRow="0" w:firstColumn="1" w:lastColumn="0" w:noHBand="0" w:noVBand="1"/>
      </w:tblPr>
      <w:tblGrid>
        <w:gridCol w:w="6275"/>
        <w:gridCol w:w="2968"/>
      </w:tblGrid>
      <w:tr w:rsidR="001D079E" w:rsidRPr="0039607D" w:rsidTr="00E56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Cs w:val="0"/>
                <w:color w:val="000000" w:themeColor="text1"/>
                <w:sz w:val="20"/>
                <w:szCs w:val="20"/>
              </w:rPr>
            </w:pPr>
            <w:r w:rsidRPr="00E56183">
              <w:rPr>
                <w:rFonts w:ascii="Arial" w:hAnsi="Arial" w:cs="Arial"/>
                <w:bCs w:val="0"/>
                <w:color w:val="000000" w:themeColor="text1"/>
                <w:sz w:val="20"/>
                <w:szCs w:val="20"/>
              </w:rPr>
              <w:t>Metric</w:t>
            </w:r>
          </w:p>
        </w:tc>
        <w:tc>
          <w:tcPr>
            <w:tcW w:w="2968" w:type="dxa"/>
            <w:shd w:val="clear" w:color="auto" w:fill="FFFFFF" w:themeFill="background1"/>
            <w:hideMark/>
          </w:tcPr>
          <w:p w:rsidR="001D079E" w:rsidRPr="00E56183" w:rsidRDefault="001D079E" w:rsidP="009F5037">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sidRPr="00E56183">
              <w:rPr>
                <w:rFonts w:ascii="Arial" w:hAnsi="Arial" w:cs="Arial"/>
                <w:bCs w:val="0"/>
                <w:color w:val="000000" w:themeColor="text1"/>
                <w:sz w:val="20"/>
                <w:szCs w:val="20"/>
              </w:rPr>
              <w:t>Result</w:t>
            </w:r>
          </w:p>
        </w:tc>
      </w:tr>
      <w:tr w:rsidR="001D079E" w:rsidRPr="0039607D" w:rsidTr="00E5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Prediction Accuracy</w:t>
            </w:r>
          </w:p>
        </w:tc>
        <w:tc>
          <w:tcPr>
            <w:tcW w:w="296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84.6%</w:t>
            </w:r>
          </w:p>
        </w:tc>
      </w:tr>
      <w:tr w:rsidR="001D079E" w:rsidRPr="0039607D" w:rsidTr="00E56183">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False Positive Rate</w:t>
            </w:r>
          </w:p>
        </w:tc>
        <w:tc>
          <w:tcPr>
            <w:tcW w:w="296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8.2%</w:t>
            </w:r>
          </w:p>
        </w:tc>
      </w:tr>
      <w:tr w:rsidR="001D079E" w:rsidRPr="0039607D" w:rsidTr="00E5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Alert Delivery Rate</w:t>
            </w:r>
          </w:p>
        </w:tc>
        <w:tc>
          <w:tcPr>
            <w:tcW w:w="296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94.8%</w:t>
            </w:r>
          </w:p>
        </w:tc>
      </w:tr>
      <w:tr w:rsidR="001D079E" w:rsidRPr="0039607D" w:rsidTr="00E56183">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Average Latency</w:t>
            </w:r>
          </w:p>
        </w:tc>
        <w:tc>
          <w:tcPr>
            <w:tcW w:w="2968" w:type="dxa"/>
            <w:shd w:val="clear" w:color="auto" w:fill="FFFFFF" w:themeFill="background1"/>
            <w:hideMark/>
          </w:tcPr>
          <w:p w:rsidR="001D079E" w:rsidRPr="0039607D" w:rsidRDefault="001D079E" w:rsidP="009F503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2.4 minutes</w:t>
            </w:r>
          </w:p>
        </w:tc>
      </w:tr>
      <w:tr w:rsidR="001D079E" w:rsidRPr="0039607D" w:rsidTr="00E5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5" w:type="dxa"/>
            <w:shd w:val="clear" w:color="auto" w:fill="FFFFFF" w:themeFill="background1"/>
            <w:hideMark/>
          </w:tcPr>
          <w:p w:rsidR="001D079E" w:rsidRPr="00E56183" w:rsidRDefault="001D079E" w:rsidP="009F5037">
            <w:pPr>
              <w:jc w:val="both"/>
              <w:rPr>
                <w:rFonts w:ascii="Arial" w:hAnsi="Arial" w:cs="Arial"/>
                <w:b w:val="0"/>
                <w:color w:val="000000" w:themeColor="text1"/>
                <w:sz w:val="20"/>
                <w:szCs w:val="20"/>
              </w:rPr>
            </w:pPr>
            <w:r w:rsidRPr="00E56183">
              <w:rPr>
                <w:rFonts w:ascii="Arial" w:hAnsi="Arial" w:cs="Arial"/>
                <w:b w:val="0"/>
                <w:color w:val="000000" w:themeColor="text1"/>
                <w:sz w:val="20"/>
                <w:szCs w:val="20"/>
              </w:rPr>
              <w:t>Community Adoption Rate</w:t>
            </w:r>
          </w:p>
        </w:tc>
        <w:tc>
          <w:tcPr>
            <w:tcW w:w="2968" w:type="dxa"/>
            <w:shd w:val="clear" w:color="auto" w:fill="FFFFFF" w:themeFill="background1"/>
            <w:hideMark/>
          </w:tcPr>
          <w:p w:rsidR="001D079E" w:rsidRPr="0039607D" w:rsidRDefault="001D079E" w:rsidP="009F503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9607D">
              <w:rPr>
                <w:rFonts w:ascii="Arial" w:hAnsi="Arial" w:cs="Arial"/>
                <w:color w:val="000000" w:themeColor="text1"/>
                <w:sz w:val="20"/>
                <w:szCs w:val="20"/>
              </w:rPr>
              <w:t>87%</w:t>
            </w:r>
          </w:p>
        </w:tc>
      </w:tr>
    </w:tbl>
    <w:p w:rsidR="00E56183" w:rsidRDefault="00E56183" w:rsidP="00E56183">
      <w:pPr>
        <w:spacing w:after="100" w:afterAutospacing="1" w:line="240" w:lineRule="auto"/>
        <w:jc w:val="both"/>
        <w:rPr>
          <w:rFonts w:ascii="Arial" w:hAnsi="Arial" w:cs="Arial"/>
          <w:b/>
          <w:i/>
          <w:color w:val="000000" w:themeColor="text1"/>
          <w:sz w:val="20"/>
          <w:szCs w:val="20"/>
        </w:rPr>
      </w:pPr>
      <w:r>
        <w:rPr>
          <w:rFonts w:ascii="Arial" w:hAnsi="Arial" w:cs="Arial"/>
          <w:b/>
          <w:i/>
          <w:color w:val="000000" w:themeColor="text1"/>
          <w:sz w:val="20"/>
          <w:szCs w:val="20"/>
        </w:rPr>
        <w:t>Field Record</w:t>
      </w:r>
      <w:r w:rsidRPr="0039607D">
        <w:rPr>
          <w:rFonts w:ascii="Arial" w:hAnsi="Arial" w:cs="Arial"/>
          <w:b/>
          <w:i/>
          <w:color w:val="000000" w:themeColor="text1"/>
          <w:sz w:val="20"/>
          <w:szCs w:val="20"/>
        </w:rPr>
        <w:t xml:space="preserve"> (2026)</w:t>
      </w:r>
    </w:p>
    <w:p w:rsidR="006E6130" w:rsidRDefault="006E6130" w:rsidP="009F5037">
      <w:pPr>
        <w:spacing w:before="100" w:beforeAutospacing="1" w:after="100" w:afterAutospacing="1" w:line="240" w:lineRule="auto"/>
        <w:jc w:val="both"/>
        <w:rPr>
          <w:rFonts w:ascii="Arial" w:eastAsia="Times New Roman" w:hAnsi="Arial" w:cs="Arial"/>
          <w:color w:val="000000" w:themeColor="text1"/>
          <w:sz w:val="20"/>
          <w:szCs w:val="20"/>
        </w:rPr>
        <w:sectPr w:rsidR="006E6130" w:rsidSect="001C0C9B">
          <w:type w:val="continuous"/>
          <w:pgSz w:w="11907" w:h="16839" w:code="9"/>
          <w:pgMar w:top="1440" w:right="1440" w:bottom="1440" w:left="1440" w:header="720" w:footer="720" w:gutter="0"/>
          <w:cols w:space="720"/>
          <w:docGrid w:linePitch="360"/>
        </w:sectPr>
      </w:pPr>
    </w:p>
    <w:p w:rsidR="00D94A2A" w:rsidRPr="0039607D" w:rsidRDefault="00DC7591" w:rsidP="009F5037">
      <w:pPr>
        <w:spacing w:before="100" w:beforeAutospacing="1" w:after="100" w:afterAutospacing="1" w:line="240" w:lineRule="auto"/>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The system demonstrates strong operational performance with 84.6% prediction accuracy and a low false positive rate (8.2%), indicating reliable flood forecasting. The alert delivery rate of 94.8% and average latency of 2.4 </w:t>
      </w:r>
      <w:r w:rsidRPr="0039607D">
        <w:rPr>
          <w:rFonts w:ascii="Arial" w:eastAsia="Times New Roman" w:hAnsi="Arial" w:cs="Arial"/>
          <w:color w:val="000000" w:themeColor="text1"/>
          <w:sz w:val="20"/>
          <w:szCs w:val="20"/>
        </w:rPr>
        <w:lastRenderedPageBreak/>
        <w:t>minutes confirm rapid and effective communication. A community adoption rate of 87% reflects high usability and acceptance of the mobile-based early warning platform.</w:t>
      </w:r>
    </w:p>
    <w:p w:rsidR="006E6130" w:rsidRDefault="006E6130" w:rsidP="0061416B">
      <w:pPr>
        <w:pStyle w:val="ListParagraph"/>
        <w:numPr>
          <w:ilvl w:val="0"/>
          <w:numId w:val="26"/>
        </w:numPr>
        <w:spacing w:before="100" w:beforeAutospacing="1" w:after="100" w:afterAutospacing="1" w:line="240" w:lineRule="auto"/>
        <w:rPr>
          <w:rStyle w:val="Strong"/>
          <w:rFonts w:ascii="Arial" w:hAnsi="Arial" w:cs="Arial"/>
          <w:bCs w:val="0"/>
          <w:color w:val="000000" w:themeColor="text1"/>
          <w:sz w:val="20"/>
          <w:szCs w:val="20"/>
        </w:rPr>
        <w:sectPr w:rsidR="006E6130" w:rsidSect="006E6130">
          <w:type w:val="continuous"/>
          <w:pgSz w:w="11907" w:h="16839" w:code="9"/>
          <w:pgMar w:top="1440" w:right="1440" w:bottom="1440" w:left="1440" w:header="720" w:footer="720" w:gutter="0"/>
          <w:cols w:num="2" w:space="720"/>
          <w:docGrid w:linePitch="360"/>
        </w:sectPr>
      </w:pPr>
    </w:p>
    <w:p w:rsidR="002733BF" w:rsidRPr="0061416B" w:rsidRDefault="0061416B" w:rsidP="0061416B">
      <w:pPr>
        <w:pStyle w:val="ListParagraph"/>
        <w:numPr>
          <w:ilvl w:val="0"/>
          <w:numId w:val="26"/>
        </w:numPr>
        <w:spacing w:before="100" w:beforeAutospacing="1" w:after="100" w:afterAutospacing="1" w:line="240" w:lineRule="auto"/>
        <w:rPr>
          <w:rFonts w:ascii="Arial" w:eastAsia="Times New Roman" w:hAnsi="Arial" w:cs="Arial"/>
          <w:color w:val="000000" w:themeColor="text1"/>
          <w:sz w:val="20"/>
          <w:szCs w:val="20"/>
        </w:rPr>
      </w:pPr>
      <w:r w:rsidRPr="0061416B">
        <w:rPr>
          <w:rStyle w:val="Strong"/>
          <w:rFonts w:ascii="Arial" w:hAnsi="Arial" w:cs="Arial"/>
          <w:bCs w:val="0"/>
          <w:color w:val="000000" w:themeColor="text1"/>
          <w:sz w:val="20"/>
          <w:szCs w:val="20"/>
        </w:rPr>
        <w:lastRenderedPageBreak/>
        <w:t>DISCUSSION OF FINDINGS</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 xml:space="preserve">The study reveals a clear intensification of flood risk in Akwa Ibom State driven by both climatic and socio-environmental factors. The Mann–Kendall trend test and Sen’s slope estimator confirmed a statistically significant increase in annual rainfall over the past two decades, consistent with global patterns of </w:t>
      </w:r>
      <w:r w:rsidRPr="0039607D">
        <w:rPr>
          <w:rFonts w:ascii="Arial" w:hAnsi="Arial" w:cs="Arial"/>
          <w:color w:val="000000" w:themeColor="text1"/>
          <w:sz w:val="20"/>
          <w:szCs w:val="20"/>
        </w:rPr>
        <w:lastRenderedPageBreak/>
        <w:t>climate variability. The very strong correlation (r = 0.87) between rainfall and flood events underscores rainfall intensity as a primary driver of flooding, confirming the urgency for predictive early warning mechanisms.</w:t>
      </w:r>
      <w:r w:rsidR="0061416B">
        <w:rPr>
          <w:rFonts w:ascii="Arial" w:hAnsi="Arial" w:cs="Arial"/>
          <w:color w:val="000000" w:themeColor="text1"/>
          <w:sz w:val="20"/>
          <w:szCs w:val="20"/>
        </w:rPr>
        <w:t xml:space="preserve"> </w:t>
      </w:r>
      <w:r w:rsidRPr="0039607D">
        <w:rPr>
          <w:rFonts w:ascii="Arial" w:hAnsi="Arial" w:cs="Arial"/>
          <w:color w:val="000000" w:themeColor="text1"/>
          <w:sz w:val="20"/>
          <w:szCs w:val="20"/>
        </w:rPr>
        <w:t xml:space="preserve">Chi-square analyses highlighted that flood experience alone does not guarantee preparedness, as many previously affected households remained poorly prepared. This </w:t>
      </w:r>
      <w:r w:rsidRPr="0039607D">
        <w:rPr>
          <w:rFonts w:ascii="Arial" w:hAnsi="Arial" w:cs="Arial"/>
          <w:color w:val="000000" w:themeColor="text1"/>
          <w:sz w:val="20"/>
          <w:szCs w:val="20"/>
        </w:rPr>
        <w:lastRenderedPageBreak/>
        <w:t>suggests that economic constraints, limited access to information, and inadequate institutional support impede effective disaster readiness. Conversely, access to early warning alerts showed a strong positive association with preparedness levels, demonstrating the critical role of timely and inclusive communication channels in enhancing community resilience.</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The development of a mobile-based early warning system demonstrated the feasibility of integrating real-time sensor data, satellite-derived precipitation information, and community-sourced reports to generate accurate and rapid alerts. Multi-channel dissemination (SMS, USSD, mobile app, IVR) ensured broad accessibility, while the feedback loop allowed communities to validate and respond to flood threats effectively. Prototype testing indicated high system accuracy and adoption potential, affirming the value of participatory, technology-driven approaches to flood disaster management.</w:t>
      </w:r>
    </w:p>
    <w:p w:rsidR="002733BF" w:rsidRPr="0039607D" w:rsidRDefault="00B76F95" w:rsidP="00AC365D">
      <w:pPr>
        <w:pStyle w:val="Heading1"/>
        <w:numPr>
          <w:ilvl w:val="0"/>
          <w:numId w:val="26"/>
        </w:numPr>
        <w:spacing w:line="240" w:lineRule="auto"/>
        <w:rPr>
          <w:rFonts w:ascii="Arial" w:hAnsi="Arial" w:cs="Arial"/>
          <w:color w:val="000000" w:themeColor="text1"/>
          <w:sz w:val="20"/>
          <w:szCs w:val="20"/>
        </w:rPr>
      </w:pPr>
      <w:r w:rsidRPr="0039607D">
        <w:rPr>
          <w:rStyle w:val="Strong"/>
          <w:rFonts w:ascii="Arial" w:hAnsi="Arial" w:cs="Arial"/>
          <w:b/>
          <w:bCs/>
          <w:color w:val="000000" w:themeColor="text1"/>
          <w:sz w:val="20"/>
          <w:szCs w:val="20"/>
        </w:rPr>
        <w:t>RECOMMENDATIONS</w:t>
      </w:r>
      <w:r>
        <w:rPr>
          <w:rStyle w:val="Strong"/>
          <w:rFonts w:ascii="Arial" w:hAnsi="Arial" w:cs="Arial"/>
          <w:b/>
          <w:bCs/>
          <w:color w:val="000000" w:themeColor="text1"/>
          <w:sz w:val="20"/>
          <w:szCs w:val="20"/>
        </w:rPr>
        <w:t xml:space="preserve"> AND</w:t>
      </w:r>
      <w:r w:rsidRPr="00B76F95">
        <w:rPr>
          <w:rStyle w:val="Strong"/>
          <w:rFonts w:ascii="Arial" w:hAnsi="Arial" w:cs="Arial"/>
          <w:b/>
          <w:bCs/>
          <w:color w:val="000000" w:themeColor="text1"/>
          <w:sz w:val="20"/>
          <w:szCs w:val="20"/>
        </w:rPr>
        <w:t xml:space="preserve"> </w:t>
      </w:r>
      <w:r w:rsidRPr="0039607D">
        <w:rPr>
          <w:rStyle w:val="Strong"/>
          <w:rFonts w:ascii="Arial" w:hAnsi="Arial" w:cs="Arial"/>
          <w:b/>
          <w:bCs/>
          <w:color w:val="000000" w:themeColor="text1"/>
          <w:sz w:val="20"/>
          <w:szCs w:val="20"/>
        </w:rPr>
        <w:t>CONCLUSION</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Government and disaster management agencies should implement the developed mobile early warning system across all flood-prone LGAs in Akwa Ibom State to improve early detection and response.</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Continuous training and awareness campaigns should be conducted to enhance community understanding of flood risks, proper response protocols, and effective use of mobile-based alert platforms.</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Agencies such as NiMet, NEMA, and AKSEMA should integrate the mobile system with existing disaster management frameworks to ensure synchronized real-time data sharing, rapid decision-making, and coordinated emergency response.</w:t>
      </w:r>
    </w:p>
    <w:p w:rsidR="002733BF" w:rsidRPr="0039607D" w:rsidRDefault="002733BF" w:rsidP="00514721">
      <w:pPr>
        <w:pStyle w:val="NormalWeb"/>
        <w:numPr>
          <w:ilvl w:val="0"/>
          <w:numId w:val="31"/>
        </w:numPr>
        <w:jc w:val="both"/>
        <w:rPr>
          <w:rFonts w:ascii="Arial" w:hAnsi="Arial" w:cs="Arial"/>
          <w:color w:val="000000" w:themeColor="text1"/>
          <w:sz w:val="20"/>
          <w:szCs w:val="20"/>
        </w:rPr>
      </w:pPr>
      <w:r w:rsidRPr="0039607D">
        <w:rPr>
          <w:rFonts w:ascii="Arial" w:hAnsi="Arial" w:cs="Arial"/>
          <w:color w:val="000000" w:themeColor="text1"/>
          <w:sz w:val="20"/>
          <w:szCs w:val="20"/>
        </w:rPr>
        <w:t>Provision should be made for the long-term technical maintenance, sensor calibration, software updates, and community engagement to ensure the system remains operational, accurate, and widely adopted.</w:t>
      </w:r>
    </w:p>
    <w:p w:rsidR="002733BF" w:rsidRPr="0039607D" w:rsidRDefault="002733BF" w:rsidP="009F5037">
      <w:pPr>
        <w:pStyle w:val="NormalWeb"/>
        <w:jc w:val="both"/>
        <w:rPr>
          <w:rFonts w:ascii="Arial" w:hAnsi="Arial" w:cs="Arial"/>
          <w:color w:val="000000" w:themeColor="text1"/>
          <w:sz w:val="20"/>
          <w:szCs w:val="20"/>
        </w:rPr>
      </w:pPr>
      <w:r w:rsidRPr="0039607D">
        <w:rPr>
          <w:rFonts w:ascii="Arial" w:hAnsi="Arial" w:cs="Arial"/>
          <w:color w:val="000000" w:themeColor="text1"/>
          <w:sz w:val="20"/>
          <w:szCs w:val="20"/>
        </w:rPr>
        <w:t xml:space="preserve">Flood disasters in Akwa Ibom State are increasing in frequency and intensity due to rising rainfall and changing climatic conditions. This study successfully developed a </w:t>
      </w:r>
      <w:r w:rsidRPr="0039607D">
        <w:rPr>
          <w:rFonts w:ascii="Arial" w:hAnsi="Arial" w:cs="Arial"/>
          <w:color w:val="000000" w:themeColor="text1"/>
          <w:sz w:val="20"/>
          <w:szCs w:val="20"/>
        </w:rPr>
        <w:lastRenderedPageBreak/>
        <w:t>community-based mobile early warning system that integrates IoT sensor networks, satellite data, community reports, and predictive analytics to enhance preparedness and response. Statistical analyses demonstrated that access to timely flood alerts significantly improves community readiness, while experiential knowledge alone is insufficient. The mobile-based system proved effective in rapid alert dissemination and participatory feedback, highlighting the potential for scalable, technology-driven interventions in flood-prone regions. Implementing such systems, alongside capacity-building and institutional integration, offers a sustainable pathway to mitigate the adverse impacts of floods and strengthen community resilience.</w:t>
      </w:r>
    </w:p>
    <w:p w:rsidR="00F21766" w:rsidRPr="0039607D" w:rsidRDefault="0060568B" w:rsidP="00AA3FB5">
      <w:pPr>
        <w:spacing w:before="240" w:after="0" w:line="240" w:lineRule="auto"/>
        <w:jc w:val="both"/>
        <w:rPr>
          <w:rFonts w:ascii="Arial" w:eastAsia="Times New Roman" w:hAnsi="Arial" w:cs="Arial"/>
          <w:color w:val="000000" w:themeColor="text1"/>
          <w:sz w:val="20"/>
          <w:szCs w:val="20"/>
        </w:rPr>
      </w:pPr>
      <w:r w:rsidRPr="0039607D">
        <w:rPr>
          <w:rFonts w:ascii="Arial" w:eastAsia="Times New Roman" w:hAnsi="Arial" w:cs="Arial"/>
          <w:b/>
          <w:bCs/>
          <w:color w:val="000000" w:themeColor="text1"/>
          <w:sz w:val="20"/>
          <w:szCs w:val="20"/>
        </w:rPr>
        <w:t xml:space="preserve"> REFERENCES</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Adelekan, I. (2016). </w:t>
      </w:r>
      <w:proofErr w:type="gramStart"/>
      <w:r w:rsidRPr="0039607D">
        <w:rPr>
          <w:rFonts w:ascii="Arial" w:eastAsia="Times New Roman" w:hAnsi="Arial" w:cs="Arial"/>
          <w:color w:val="000000" w:themeColor="text1"/>
          <w:sz w:val="20"/>
          <w:szCs w:val="20"/>
        </w:rPr>
        <w:t>Vulnerability of poor urban coastal communities to flooding in Lagos, Nigeria.</w:t>
      </w:r>
      <w:proofErr w:type="gramEnd"/>
      <w:r w:rsidRPr="0039607D">
        <w:rPr>
          <w:rFonts w:ascii="Arial" w:eastAsia="Times New Roman" w:hAnsi="Arial" w:cs="Arial"/>
          <w:color w:val="000000" w:themeColor="text1"/>
          <w:sz w:val="20"/>
          <w:szCs w:val="20"/>
        </w:rPr>
        <w:t xml:space="preserve"> </w:t>
      </w:r>
      <w:r w:rsidRPr="0039607D">
        <w:rPr>
          <w:rFonts w:ascii="Arial" w:eastAsia="Times New Roman" w:hAnsi="Arial" w:cs="Arial"/>
          <w:i/>
          <w:iCs/>
          <w:color w:val="000000" w:themeColor="text1"/>
          <w:sz w:val="20"/>
          <w:szCs w:val="20"/>
        </w:rPr>
        <w:t>Environment and Urbanization, 28</w:t>
      </w:r>
      <w:r w:rsidRPr="0039607D">
        <w:rPr>
          <w:rFonts w:ascii="Arial" w:eastAsia="Times New Roman" w:hAnsi="Arial" w:cs="Arial"/>
          <w:color w:val="000000" w:themeColor="text1"/>
          <w:sz w:val="20"/>
          <w:szCs w:val="20"/>
        </w:rPr>
        <w:t>(2), 611–630. https://doi.org/10.1177/0956247816651931</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Adelekan, I., Johnson, C., &amp; Shittu, O. (2015).</w:t>
      </w:r>
      <w:proofErr w:type="gramEnd"/>
      <w:r w:rsidRPr="0039607D">
        <w:rPr>
          <w:rFonts w:ascii="Arial" w:eastAsia="Times New Roman" w:hAnsi="Arial" w:cs="Arial"/>
          <w:color w:val="000000" w:themeColor="text1"/>
          <w:sz w:val="20"/>
          <w:szCs w:val="20"/>
        </w:rPr>
        <w:t xml:space="preserve"> Disaster risk reduction in African cities: Case studies from Nigeria. </w:t>
      </w:r>
      <w:r w:rsidRPr="0039607D">
        <w:rPr>
          <w:rFonts w:ascii="Arial" w:eastAsia="Times New Roman" w:hAnsi="Arial" w:cs="Arial"/>
          <w:i/>
          <w:iCs/>
          <w:color w:val="000000" w:themeColor="text1"/>
          <w:sz w:val="20"/>
          <w:szCs w:val="20"/>
        </w:rPr>
        <w:t>International Journal of Disaster Risk Science, 6</w:t>
      </w:r>
      <w:r w:rsidRPr="0039607D">
        <w:rPr>
          <w:rFonts w:ascii="Arial" w:eastAsia="Times New Roman" w:hAnsi="Arial" w:cs="Arial"/>
          <w:color w:val="000000" w:themeColor="text1"/>
          <w:sz w:val="20"/>
          <w:szCs w:val="20"/>
        </w:rPr>
        <w:t>(3), 225–237. https://doi.org/10.1007/s13753-015-0062-4</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Akwa Ibom State Emergency Management Agency (AKSEMA). </w:t>
      </w:r>
      <w:proofErr w:type="gramStart"/>
      <w:r w:rsidRPr="0039607D">
        <w:rPr>
          <w:rFonts w:ascii="Arial" w:eastAsia="Times New Roman" w:hAnsi="Arial" w:cs="Arial"/>
          <w:color w:val="000000" w:themeColor="text1"/>
          <w:sz w:val="20"/>
          <w:szCs w:val="20"/>
        </w:rPr>
        <w:t xml:space="preserve">(2023). </w:t>
      </w:r>
      <w:r w:rsidRPr="0039607D">
        <w:rPr>
          <w:rFonts w:ascii="Arial" w:eastAsia="Times New Roman" w:hAnsi="Arial" w:cs="Arial"/>
          <w:i/>
          <w:iCs/>
          <w:color w:val="000000" w:themeColor="text1"/>
          <w:sz w:val="20"/>
          <w:szCs w:val="20"/>
        </w:rPr>
        <w:t>Annual report on disaster management activities</w:t>
      </w:r>
      <w:r w:rsidRPr="0039607D">
        <w:rPr>
          <w:rFonts w:ascii="Arial" w:eastAsia="Times New Roman" w:hAnsi="Arial" w:cs="Arial"/>
          <w:color w:val="000000" w:themeColor="text1"/>
          <w:sz w:val="20"/>
          <w:szCs w:val="20"/>
        </w:rPr>
        <w:t>.</w:t>
      </w:r>
      <w:proofErr w:type="gramEnd"/>
      <w:r w:rsidRPr="0039607D">
        <w:rPr>
          <w:rFonts w:ascii="Arial" w:eastAsia="Times New Roman" w:hAnsi="Arial" w:cs="Arial"/>
          <w:color w:val="000000" w:themeColor="text1"/>
          <w:sz w:val="20"/>
          <w:szCs w:val="20"/>
        </w:rPr>
        <w:t xml:space="preserve"> Uyo, Nigeria: Author.</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Ekwere, P., Etim, J., &amp; Udo, R. (2021).</w:t>
      </w:r>
      <w:proofErr w:type="gramEnd"/>
      <w:r w:rsidRPr="0039607D">
        <w:rPr>
          <w:rFonts w:ascii="Arial" w:eastAsia="Times New Roman" w:hAnsi="Arial" w:cs="Arial"/>
          <w:color w:val="000000" w:themeColor="text1"/>
          <w:sz w:val="20"/>
          <w:szCs w:val="20"/>
        </w:rPr>
        <w:t xml:space="preserve"> </w:t>
      </w:r>
      <w:proofErr w:type="gramStart"/>
      <w:r w:rsidRPr="0039607D">
        <w:rPr>
          <w:rFonts w:ascii="Arial" w:eastAsia="Times New Roman" w:hAnsi="Arial" w:cs="Arial"/>
          <w:color w:val="000000" w:themeColor="text1"/>
          <w:sz w:val="20"/>
          <w:szCs w:val="20"/>
        </w:rPr>
        <w:t>Flood vulnerability and resilience in Akwa Ibom State, Nigeria.</w:t>
      </w:r>
      <w:proofErr w:type="gramEnd"/>
      <w:r w:rsidRPr="0039607D">
        <w:rPr>
          <w:rFonts w:ascii="Arial" w:eastAsia="Times New Roman" w:hAnsi="Arial" w:cs="Arial"/>
          <w:color w:val="000000" w:themeColor="text1"/>
          <w:sz w:val="20"/>
          <w:szCs w:val="20"/>
        </w:rPr>
        <w:t xml:space="preserve"> </w:t>
      </w:r>
      <w:r w:rsidRPr="0039607D">
        <w:rPr>
          <w:rFonts w:ascii="Arial" w:eastAsia="Times New Roman" w:hAnsi="Arial" w:cs="Arial"/>
          <w:i/>
          <w:iCs/>
          <w:color w:val="000000" w:themeColor="text1"/>
          <w:sz w:val="20"/>
          <w:szCs w:val="20"/>
        </w:rPr>
        <w:t>Journal of Environmental Management, 280</w:t>
      </w:r>
      <w:r w:rsidRPr="0039607D">
        <w:rPr>
          <w:rFonts w:ascii="Arial" w:eastAsia="Times New Roman" w:hAnsi="Arial" w:cs="Arial"/>
          <w:color w:val="000000" w:themeColor="text1"/>
          <w:sz w:val="20"/>
          <w:szCs w:val="20"/>
        </w:rPr>
        <w:t>, 111–122. https://doi.org/10.1016/j.jenvman.2020.111122</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Intergovernmental Panel on Climate Change (IPCC).</w:t>
      </w:r>
      <w:proofErr w:type="gramEnd"/>
      <w:r w:rsidRPr="0039607D">
        <w:rPr>
          <w:rFonts w:ascii="Arial" w:eastAsia="Times New Roman" w:hAnsi="Arial" w:cs="Arial"/>
          <w:color w:val="000000" w:themeColor="text1"/>
          <w:sz w:val="20"/>
          <w:szCs w:val="20"/>
        </w:rPr>
        <w:t xml:space="preserve"> (2023). </w:t>
      </w:r>
      <w:r w:rsidRPr="0039607D">
        <w:rPr>
          <w:rFonts w:ascii="Arial" w:eastAsia="Times New Roman" w:hAnsi="Arial" w:cs="Arial"/>
          <w:i/>
          <w:iCs/>
          <w:color w:val="000000" w:themeColor="text1"/>
          <w:sz w:val="20"/>
          <w:szCs w:val="20"/>
        </w:rPr>
        <w:t>Sixth assessment report: Climate change 2023</w:t>
      </w:r>
      <w:r w:rsidRPr="0039607D">
        <w:rPr>
          <w:rFonts w:ascii="Arial" w:eastAsia="Times New Roman" w:hAnsi="Arial" w:cs="Arial"/>
          <w:color w:val="000000" w:themeColor="text1"/>
          <w:sz w:val="20"/>
          <w:szCs w:val="20"/>
        </w:rPr>
        <w:t>. Geneva, Switzerland: IPCC.</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Musa, H., Bello, T., &amp; Okoye, A. (2022).</w:t>
      </w:r>
      <w:proofErr w:type="gramEnd"/>
      <w:r w:rsidRPr="0039607D">
        <w:rPr>
          <w:rFonts w:ascii="Arial" w:eastAsia="Times New Roman" w:hAnsi="Arial" w:cs="Arial"/>
          <w:color w:val="000000" w:themeColor="text1"/>
          <w:sz w:val="20"/>
          <w:szCs w:val="20"/>
        </w:rPr>
        <w:t xml:space="preserve"> Mobile-based early warning systems for disaster risk reduction in sub-Saharan Africa. </w:t>
      </w:r>
      <w:r w:rsidRPr="0039607D">
        <w:rPr>
          <w:rFonts w:ascii="Arial" w:eastAsia="Times New Roman" w:hAnsi="Arial" w:cs="Arial"/>
          <w:i/>
          <w:iCs/>
          <w:color w:val="000000" w:themeColor="text1"/>
          <w:sz w:val="20"/>
          <w:szCs w:val="20"/>
        </w:rPr>
        <w:t>Natural Hazards, 110</w:t>
      </w:r>
      <w:r w:rsidRPr="0039607D">
        <w:rPr>
          <w:rFonts w:ascii="Arial" w:eastAsia="Times New Roman" w:hAnsi="Arial" w:cs="Arial"/>
          <w:color w:val="000000" w:themeColor="text1"/>
          <w:sz w:val="20"/>
          <w:szCs w:val="20"/>
        </w:rPr>
        <w:t>, 1543–1564. https://doi.org/10.1007/s11069-021-05125-8</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t xml:space="preserve">National Emergency Management Agency (NEMA). </w:t>
      </w:r>
      <w:proofErr w:type="gramStart"/>
      <w:r w:rsidRPr="0039607D">
        <w:rPr>
          <w:rFonts w:ascii="Arial" w:eastAsia="Times New Roman" w:hAnsi="Arial" w:cs="Arial"/>
          <w:color w:val="000000" w:themeColor="text1"/>
          <w:sz w:val="20"/>
          <w:szCs w:val="20"/>
        </w:rPr>
        <w:t xml:space="preserve">(2022). </w:t>
      </w:r>
      <w:r w:rsidRPr="0039607D">
        <w:rPr>
          <w:rFonts w:ascii="Arial" w:eastAsia="Times New Roman" w:hAnsi="Arial" w:cs="Arial"/>
          <w:i/>
          <w:iCs/>
          <w:color w:val="000000" w:themeColor="text1"/>
          <w:sz w:val="20"/>
          <w:szCs w:val="20"/>
        </w:rPr>
        <w:t>Nigeria disaster report 2022</w:t>
      </w:r>
      <w:r w:rsidRPr="0039607D">
        <w:rPr>
          <w:rFonts w:ascii="Arial" w:eastAsia="Times New Roman" w:hAnsi="Arial" w:cs="Arial"/>
          <w:color w:val="000000" w:themeColor="text1"/>
          <w:sz w:val="20"/>
          <w:szCs w:val="20"/>
        </w:rPr>
        <w:t>.</w:t>
      </w:r>
      <w:proofErr w:type="gramEnd"/>
      <w:r w:rsidRPr="0039607D">
        <w:rPr>
          <w:rFonts w:ascii="Arial" w:eastAsia="Times New Roman" w:hAnsi="Arial" w:cs="Arial"/>
          <w:color w:val="000000" w:themeColor="text1"/>
          <w:sz w:val="20"/>
          <w:szCs w:val="20"/>
        </w:rPr>
        <w:t xml:space="preserve"> Abuja, Nigeria: Author.</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Nwokoro, C., Olatunji, K., &amp; Akinyemi, F. (2021).</w:t>
      </w:r>
      <w:proofErr w:type="gramEnd"/>
      <w:r w:rsidRPr="0039607D">
        <w:rPr>
          <w:rFonts w:ascii="Arial" w:eastAsia="Times New Roman" w:hAnsi="Arial" w:cs="Arial"/>
          <w:color w:val="000000" w:themeColor="text1"/>
          <w:sz w:val="20"/>
          <w:szCs w:val="20"/>
        </w:rPr>
        <w:t xml:space="preserve"> Flood disasters in Nigeria: </w:t>
      </w:r>
      <w:r w:rsidRPr="0039607D">
        <w:rPr>
          <w:rFonts w:ascii="Arial" w:eastAsia="Times New Roman" w:hAnsi="Arial" w:cs="Arial"/>
          <w:color w:val="000000" w:themeColor="text1"/>
          <w:sz w:val="20"/>
          <w:szCs w:val="20"/>
        </w:rPr>
        <w:lastRenderedPageBreak/>
        <w:t xml:space="preserve">Causes, impacts, and mitigation strategies. </w:t>
      </w:r>
      <w:r w:rsidRPr="0039607D">
        <w:rPr>
          <w:rFonts w:ascii="Arial" w:eastAsia="Times New Roman" w:hAnsi="Arial" w:cs="Arial"/>
          <w:i/>
          <w:iCs/>
          <w:color w:val="000000" w:themeColor="text1"/>
          <w:sz w:val="20"/>
          <w:szCs w:val="20"/>
        </w:rPr>
        <w:t>Journal of Disaster Risk Studies, 13</w:t>
      </w:r>
      <w:r w:rsidRPr="0039607D">
        <w:rPr>
          <w:rFonts w:ascii="Arial" w:eastAsia="Times New Roman" w:hAnsi="Arial" w:cs="Arial"/>
          <w:color w:val="000000" w:themeColor="text1"/>
          <w:sz w:val="20"/>
          <w:szCs w:val="20"/>
        </w:rPr>
        <w:t>(1), 1–12. https://doi.org/10.4102/jamba.v13i1.1011</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Olorunfemi, F., Adewumi, J., &amp; Onuk, E. (2020).</w:t>
      </w:r>
      <w:proofErr w:type="gramEnd"/>
      <w:r w:rsidRPr="0039607D">
        <w:rPr>
          <w:rFonts w:ascii="Arial" w:eastAsia="Times New Roman" w:hAnsi="Arial" w:cs="Arial"/>
          <w:color w:val="000000" w:themeColor="text1"/>
          <w:sz w:val="20"/>
          <w:szCs w:val="20"/>
        </w:rPr>
        <w:t xml:space="preserve"> Urban flooding in Nigerian cities: Trends, causes, and solutions. </w:t>
      </w:r>
      <w:r w:rsidRPr="0039607D">
        <w:rPr>
          <w:rFonts w:ascii="Arial" w:eastAsia="Times New Roman" w:hAnsi="Arial" w:cs="Arial"/>
          <w:i/>
          <w:iCs/>
          <w:color w:val="000000" w:themeColor="text1"/>
          <w:sz w:val="20"/>
          <w:szCs w:val="20"/>
        </w:rPr>
        <w:t>Water Resources Management, 34</w:t>
      </w:r>
      <w:r w:rsidRPr="0039607D">
        <w:rPr>
          <w:rFonts w:ascii="Arial" w:eastAsia="Times New Roman" w:hAnsi="Arial" w:cs="Arial"/>
          <w:color w:val="000000" w:themeColor="text1"/>
          <w:sz w:val="20"/>
          <w:szCs w:val="20"/>
        </w:rPr>
        <w:t>, 589–604. https://doi.org/10.1007/s11269-019-02412-8</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Paul, B. K., Rahman, M., &amp; Alam, M. (2021).</w:t>
      </w:r>
      <w:proofErr w:type="gramEnd"/>
      <w:r w:rsidRPr="0039607D">
        <w:rPr>
          <w:rFonts w:ascii="Arial" w:eastAsia="Times New Roman" w:hAnsi="Arial" w:cs="Arial"/>
          <w:color w:val="000000" w:themeColor="text1"/>
          <w:sz w:val="20"/>
          <w:szCs w:val="20"/>
        </w:rPr>
        <w:t xml:space="preserve"> Community participation in early warning systems: Lessons from flood-prone regions. </w:t>
      </w:r>
      <w:r w:rsidRPr="0039607D">
        <w:rPr>
          <w:rFonts w:ascii="Arial" w:eastAsia="Times New Roman" w:hAnsi="Arial" w:cs="Arial"/>
          <w:i/>
          <w:iCs/>
          <w:color w:val="000000" w:themeColor="text1"/>
          <w:sz w:val="20"/>
          <w:szCs w:val="20"/>
        </w:rPr>
        <w:t>International Journal of Disaster Risk Reduction, 56</w:t>
      </w:r>
      <w:r w:rsidRPr="0039607D">
        <w:rPr>
          <w:rFonts w:ascii="Arial" w:eastAsia="Times New Roman" w:hAnsi="Arial" w:cs="Arial"/>
          <w:color w:val="000000" w:themeColor="text1"/>
          <w:sz w:val="20"/>
          <w:szCs w:val="20"/>
        </w:rPr>
        <w:t>, 102–110. https://doi.org/10.1016/j.ijdrr.2021.102110</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r w:rsidRPr="0039607D">
        <w:rPr>
          <w:rFonts w:ascii="Arial" w:eastAsia="Times New Roman" w:hAnsi="Arial" w:cs="Arial"/>
          <w:color w:val="000000" w:themeColor="text1"/>
          <w:sz w:val="20"/>
          <w:szCs w:val="20"/>
        </w:rPr>
        <w:lastRenderedPageBreak/>
        <w:t xml:space="preserve">Shrestha, R., Adhikari, B., &amp; Khanal, S. (2020). Mobile-based early warning systems: Advances, challenges, and applications. </w:t>
      </w:r>
      <w:proofErr w:type="gramStart"/>
      <w:r w:rsidRPr="0039607D">
        <w:rPr>
          <w:rFonts w:ascii="Arial" w:eastAsia="Times New Roman" w:hAnsi="Arial" w:cs="Arial"/>
          <w:i/>
          <w:iCs/>
          <w:color w:val="000000" w:themeColor="text1"/>
          <w:sz w:val="20"/>
          <w:szCs w:val="20"/>
        </w:rPr>
        <w:t>Sensors, 20</w:t>
      </w:r>
      <w:r w:rsidRPr="0039607D">
        <w:rPr>
          <w:rFonts w:ascii="Arial" w:eastAsia="Times New Roman" w:hAnsi="Arial" w:cs="Arial"/>
          <w:color w:val="000000" w:themeColor="text1"/>
          <w:sz w:val="20"/>
          <w:szCs w:val="20"/>
        </w:rPr>
        <w:t>(8), 2320.</w:t>
      </w:r>
      <w:proofErr w:type="gramEnd"/>
      <w:r w:rsidRPr="0039607D">
        <w:rPr>
          <w:rFonts w:ascii="Arial" w:eastAsia="Times New Roman" w:hAnsi="Arial" w:cs="Arial"/>
          <w:color w:val="000000" w:themeColor="text1"/>
          <w:sz w:val="20"/>
          <w:szCs w:val="20"/>
        </w:rPr>
        <w:t xml:space="preserve"> https://doi.org/10.3390/s20082320</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Udoh, R., &amp; Akpan, M. (2019).</w:t>
      </w:r>
      <w:proofErr w:type="gramEnd"/>
      <w:r w:rsidRPr="0039607D">
        <w:rPr>
          <w:rFonts w:ascii="Arial" w:eastAsia="Times New Roman" w:hAnsi="Arial" w:cs="Arial"/>
          <w:color w:val="000000" w:themeColor="text1"/>
          <w:sz w:val="20"/>
          <w:szCs w:val="20"/>
        </w:rPr>
        <w:t xml:space="preserve"> </w:t>
      </w:r>
      <w:proofErr w:type="gramStart"/>
      <w:r w:rsidRPr="0039607D">
        <w:rPr>
          <w:rFonts w:ascii="Arial" w:eastAsia="Times New Roman" w:hAnsi="Arial" w:cs="Arial"/>
          <w:color w:val="000000" w:themeColor="text1"/>
          <w:sz w:val="20"/>
          <w:szCs w:val="20"/>
        </w:rPr>
        <w:t>Flood disaster vulnerability assessment in Akwa Ibom State, Nigeria.</w:t>
      </w:r>
      <w:proofErr w:type="gramEnd"/>
      <w:r w:rsidRPr="0039607D">
        <w:rPr>
          <w:rFonts w:ascii="Arial" w:eastAsia="Times New Roman" w:hAnsi="Arial" w:cs="Arial"/>
          <w:color w:val="000000" w:themeColor="text1"/>
          <w:sz w:val="20"/>
          <w:szCs w:val="20"/>
        </w:rPr>
        <w:t xml:space="preserve"> </w:t>
      </w:r>
      <w:r w:rsidRPr="0039607D">
        <w:rPr>
          <w:rFonts w:ascii="Arial" w:eastAsia="Times New Roman" w:hAnsi="Arial" w:cs="Arial"/>
          <w:i/>
          <w:iCs/>
          <w:color w:val="000000" w:themeColor="text1"/>
          <w:sz w:val="20"/>
          <w:szCs w:val="20"/>
        </w:rPr>
        <w:t>Geojournal, 84</w:t>
      </w:r>
      <w:r w:rsidRPr="0039607D">
        <w:rPr>
          <w:rFonts w:ascii="Arial" w:eastAsia="Times New Roman" w:hAnsi="Arial" w:cs="Arial"/>
          <w:color w:val="000000" w:themeColor="text1"/>
          <w:sz w:val="20"/>
          <w:szCs w:val="20"/>
        </w:rPr>
        <w:t>, 1343–1358. https://doi.org/10.1007/s10708-018-9876-3</w:t>
      </w:r>
    </w:p>
    <w:p w:rsidR="00F21766" w:rsidRPr="0039607D" w:rsidRDefault="00F21766" w:rsidP="00AA3FB5">
      <w:pPr>
        <w:spacing w:after="0" w:line="240" w:lineRule="auto"/>
        <w:ind w:left="810" w:hanging="810"/>
        <w:jc w:val="both"/>
        <w:rPr>
          <w:rFonts w:ascii="Arial" w:eastAsia="Times New Roman" w:hAnsi="Arial" w:cs="Arial"/>
          <w:color w:val="000000" w:themeColor="text1"/>
          <w:sz w:val="20"/>
          <w:szCs w:val="20"/>
        </w:rPr>
      </w:pPr>
      <w:proofErr w:type="gramStart"/>
      <w:r w:rsidRPr="0039607D">
        <w:rPr>
          <w:rFonts w:ascii="Arial" w:eastAsia="Times New Roman" w:hAnsi="Arial" w:cs="Arial"/>
          <w:color w:val="000000" w:themeColor="text1"/>
          <w:sz w:val="20"/>
          <w:szCs w:val="20"/>
        </w:rPr>
        <w:t>Udo, E., &amp; Etim, P. (2018).</w:t>
      </w:r>
      <w:proofErr w:type="gramEnd"/>
      <w:r w:rsidRPr="0039607D">
        <w:rPr>
          <w:rFonts w:ascii="Arial" w:eastAsia="Times New Roman" w:hAnsi="Arial" w:cs="Arial"/>
          <w:color w:val="000000" w:themeColor="text1"/>
          <w:sz w:val="20"/>
          <w:szCs w:val="20"/>
        </w:rPr>
        <w:t xml:space="preserve"> Socio-economic impacts of flood hazards in Akwa Ibom State. </w:t>
      </w:r>
      <w:r w:rsidRPr="0039607D">
        <w:rPr>
          <w:rFonts w:ascii="Arial" w:eastAsia="Times New Roman" w:hAnsi="Arial" w:cs="Arial"/>
          <w:i/>
          <w:iCs/>
          <w:color w:val="000000" w:themeColor="text1"/>
          <w:sz w:val="20"/>
          <w:szCs w:val="20"/>
        </w:rPr>
        <w:t>Journal of Environmental Science and Policy, 82</w:t>
      </w:r>
      <w:r w:rsidRPr="0039607D">
        <w:rPr>
          <w:rFonts w:ascii="Arial" w:eastAsia="Times New Roman" w:hAnsi="Arial" w:cs="Arial"/>
          <w:color w:val="000000" w:themeColor="text1"/>
          <w:sz w:val="20"/>
          <w:szCs w:val="20"/>
        </w:rPr>
        <w:t>, 45–56. https://doi.org/10.1016/j.envsci.2018.03.004</w:t>
      </w:r>
    </w:p>
    <w:p w:rsidR="001D079E" w:rsidRPr="0039607D" w:rsidRDefault="001D079E" w:rsidP="00AC365D">
      <w:pPr>
        <w:pStyle w:val="NormalWeb"/>
        <w:spacing w:before="0" w:beforeAutospacing="0" w:after="0" w:afterAutospacing="0"/>
        <w:jc w:val="both"/>
        <w:rPr>
          <w:rFonts w:ascii="Arial" w:hAnsi="Arial" w:cs="Arial"/>
          <w:color w:val="000000" w:themeColor="text1"/>
          <w:sz w:val="20"/>
          <w:szCs w:val="20"/>
        </w:rPr>
      </w:pPr>
    </w:p>
    <w:p w:rsidR="002E5F50" w:rsidRPr="0039607D" w:rsidRDefault="002E5F50" w:rsidP="009F5037">
      <w:pPr>
        <w:spacing w:after="100" w:afterAutospacing="1" w:line="240" w:lineRule="auto"/>
        <w:jc w:val="both"/>
        <w:rPr>
          <w:rFonts w:ascii="Arial" w:eastAsia="Times New Roman" w:hAnsi="Arial" w:cs="Arial"/>
          <w:color w:val="000000" w:themeColor="text1"/>
          <w:sz w:val="20"/>
          <w:szCs w:val="20"/>
        </w:rPr>
      </w:pPr>
    </w:p>
    <w:p w:rsidR="006E6130" w:rsidRDefault="006E6130" w:rsidP="009F5037">
      <w:pPr>
        <w:spacing w:line="240" w:lineRule="auto"/>
        <w:jc w:val="both"/>
        <w:rPr>
          <w:rFonts w:ascii="Arial" w:hAnsi="Arial" w:cs="Arial"/>
          <w:color w:val="000000" w:themeColor="text1"/>
          <w:sz w:val="20"/>
          <w:szCs w:val="20"/>
        </w:rPr>
        <w:sectPr w:rsidR="006E6130" w:rsidSect="006E6130">
          <w:type w:val="continuous"/>
          <w:pgSz w:w="11907" w:h="16839" w:code="9"/>
          <w:pgMar w:top="1440" w:right="1440" w:bottom="1440" w:left="1440" w:header="720" w:footer="720" w:gutter="0"/>
          <w:cols w:num="2" w:space="720"/>
          <w:docGrid w:linePitch="360"/>
        </w:sectPr>
      </w:pPr>
    </w:p>
    <w:p w:rsidR="00286D9C" w:rsidRPr="0039607D" w:rsidRDefault="00286D9C" w:rsidP="009F5037">
      <w:pPr>
        <w:spacing w:line="240" w:lineRule="auto"/>
        <w:jc w:val="both"/>
        <w:rPr>
          <w:rFonts w:ascii="Arial" w:hAnsi="Arial" w:cs="Arial"/>
          <w:color w:val="000000" w:themeColor="text1"/>
          <w:sz w:val="20"/>
          <w:szCs w:val="20"/>
        </w:rPr>
      </w:pPr>
    </w:p>
    <w:sectPr w:rsidR="00286D9C" w:rsidRPr="0039607D" w:rsidSect="001C0C9B">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5E4" w:rsidRDefault="006B45E4" w:rsidP="000B5B62">
      <w:pPr>
        <w:spacing w:after="0" w:line="240" w:lineRule="auto"/>
      </w:pPr>
      <w:r>
        <w:separator/>
      </w:r>
    </w:p>
  </w:endnote>
  <w:endnote w:type="continuationSeparator" w:id="0">
    <w:p w:rsidR="006B45E4" w:rsidRDefault="006B45E4" w:rsidP="000B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8411"/>
      <w:docPartObj>
        <w:docPartGallery w:val="Page Numbers (Bottom of Page)"/>
        <w:docPartUnique/>
      </w:docPartObj>
    </w:sdtPr>
    <w:sdtEndPr/>
    <w:sdtContent>
      <w:p w:rsidR="002B3A2B" w:rsidRDefault="006B45E4">
        <w:pPr>
          <w:pStyle w:val="Footer"/>
          <w:jc w:val="center"/>
        </w:pPr>
        <w:r>
          <w:fldChar w:fldCharType="begin"/>
        </w:r>
        <w:r>
          <w:instrText xml:space="preserve"> PAGE   \* MERGEFORMAT </w:instrText>
        </w:r>
        <w:r>
          <w:fldChar w:fldCharType="separate"/>
        </w:r>
        <w:r w:rsidR="004D199A">
          <w:rPr>
            <w:noProof/>
          </w:rPr>
          <w:t>1</w:t>
        </w:r>
        <w:r>
          <w:rPr>
            <w:noProof/>
          </w:rPr>
          <w:fldChar w:fldCharType="end"/>
        </w:r>
      </w:p>
    </w:sdtContent>
  </w:sdt>
  <w:p w:rsidR="002B3A2B" w:rsidRDefault="002B3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5E4" w:rsidRDefault="006B45E4" w:rsidP="000B5B62">
      <w:pPr>
        <w:spacing w:after="0" w:line="240" w:lineRule="auto"/>
      </w:pPr>
      <w:r>
        <w:separator/>
      </w:r>
    </w:p>
  </w:footnote>
  <w:footnote w:type="continuationSeparator" w:id="0">
    <w:p w:rsidR="006B45E4" w:rsidRDefault="006B45E4" w:rsidP="000B5B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7B1"/>
    <w:multiLevelType w:val="multilevel"/>
    <w:tmpl w:val="BF4E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97B33"/>
    <w:multiLevelType w:val="multilevel"/>
    <w:tmpl w:val="72A6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47F3E"/>
    <w:multiLevelType w:val="multilevel"/>
    <w:tmpl w:val="6AAE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D5C26"/>
    <w:multiLevelType w:val="multilevel"/>
    <w:tmpl w:val="C3B2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3524E"/>
    <w:multiLevelType w:val="multilevel"/>
    <w:tmpl w:val="7828F1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CD18BB"/>
    <w:multiLevelType w:val="multilevel"/>
    <w:tmpl w:val="EF12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C0C99"/>
    <w:multiLevelType w:val="multilevel"/>
    <w:tmpl w:val="FE0C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2B4A97"/>
    <w:multiLevelType w:val="multilevel"/>
    <w:tmpl w:val="7016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B66E1"/>
    <w:multiLevelType w:val="multilevel"/>
    <w:tmpl w:val="3DF4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E26152"/>
    <w:multiLevelType w:val="multilevel"/>
    <w:tmpl w:val="AD66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53A6F"/>
    <w:multiLevelType w:val="multilevel"/>
    <w:tmpl w:val="037E4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2C3BD1"/>
    <w:multiLevelType w:val="multilevel"/>
    <w:tmpl w:val="0DBE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1D5240"/>
    <w:multiLevelType w:val="multilevel"/>
    <w:tmpl w:val="8A9C1800"/>
    <w:lvl w:ilvl="0">
      <w:start w:val="1"/>
      <w:numFmt w:val="lowerRoman"/>
      <w:lvlText w:val="%1."/>
      <w:lvlJc w:val="right"/>
      <w:pPr>
        <w:ind w:left="900" w:hanging="360"/>
      </w:pPr>
      <w:rPr>
        <w:color w:val="auto"/>
      </w:rPr>
    </w:lvl>
    <w:lvl w:ilvl="1">
      <w:start w:val="2"/>
      <w:numFmt w:val="decimal"/>
      <w:lvlText w:val="%1.%2"/>
      <w:lvlJc w:val="left"/>
      <w:pPr>
        <w:ind w:left="900" w:hanging="360"/>
      </w:pPr>
      <w:rPr>
        <w:rFonts w:hint="default"/>
        <w:color w:val="FFFFFF"/>
      </w:rPr>
    </w:lvl>
    <w:lvl w:ilvl="2">
      <w:start w:val="1"/>
      <w:numFmt w:val="decimal"/>
      <w:lvlText w:val="%1.%2.%3"/>
      <w:lvlJc w:val="left"/>
      <w:pPr>
        <w:ind w:left="1260" w:hanging="720"/>
      </w:pPr>
      <w:rPr>
        <w:rFonts w:hint="default"/>
        <w:color w:val="FFFFFF"/>
      </w:rPr>
    </w:lvl>
    <w:lvl w:ilvl="3">
      <w:start w:val="1"/>
      <w:numFmt w:val="decimal"/>
      <w:lvlText w:val="%1.%2.%3.%4"/>
      <w:lvlJc w:val="left"/>
      <w:pPr>
        <w:ind w:left="1260" w:hanging="720"/>
      </w:pPr>
      <w:rPr>
        <w:rFonts w:hint="default"/>
        <w:color w:val="FFFFFF"/>
      </w:rPr>
    </w:lvl>
    <w:lvl w:ilvl="4">
      <w:start w:val="1"/>
      <w:numFmt w:val="decimal"/>
      <w:lvlText w:val="%1.%2.%3.%4.%5"/>
      <w:lvlJc w:val="left"/>
      <w:pPr>
        <w:ind w:left="1620" w:hanging="1080"/>
      </w:pPr>
      <w:rPr>
        <w:rFonts w:hint="default"/>
        <w:color w:val="FFFFFF"/>
      </w:rPr>
    </w:lvl>
    <w:lvl w:ilvl="5">
      <w:start w:val="1"/>
      <w:numFmt w:val="decimal"/>
      <w:lvlText w:val="%1.%2.%3.%4.%5.%6"/>
      <w:lvlJc w:val="left"/>
      <w:pPr>
        <w:ind w:left="1620" w:hanging="1080"/>
      </w:pPr>
      <w:rPr>
        <w:rFonts w:hint="default"/>
        <w:color w:val="FFFFFF"/>
      </w:rPr>
    </w:lvl>
    <w:lvl w:ilvl="6">
      <w:start w:val="1"/>
      <w:numFmt w:val="decimal"/>
      <w:lvlText w:val="%1.%2.%3.%4.%5.%6.%7"/>
      <w:lvlJc w:val="left"/>
      <w:pPr>
        <w:ind w:left="1980" w:hanging="1440"/>
      </w:pPr>
      <w:rPr>
        <w:rFonts w:hint="default"/>
        <w:color w:val="FFFFFF"/>
      </w:rPr>
    </w:lvl>
    <w:lvl w:ilvl="7">
      <w:start w:val="1"/>
      <w:numFmt w:val="decimal"/>
      <w:lvlText w:val="%1.%2.%3.%4.%5.%6.%7.%8"/>
      <w:lvlJc w:val="left"/>
      <w:pPr>
        <w:ind w:left="1980" w:hanging="1440"/>
      </w:pPr>
      <w:rPr>
        <w:rFonts w:hint="default"/>
        <w:color w:val="FFFFFF"/>
      </w:rPr>
    </w:lvl>
    <w:lvl w:ilvl="8">
      <w:start w:val="1"/>
      <w:numFmt w:val="decimal"/>
      <w:lvlText w:val="%1.%2.%3.%4.%5.%6.%7.%8.%9"/>
      <w:lvlJc w:val="left"/>
      <w:pPr>
        <w:ind w:left="2340" w:hanging="1800"/>
      </w:pPr>
      <w:rPr>
        <w:rFonts w:hint="default"/>
        <w:color w:val="FFFFFF"/>
      </w:rPr>
    </w:lvl>
  </w:abstractNum>
  <w:abstractNum w:abstractNumId="13">
    <w:nsid w:val="48A11542"/>
    <w:multiLevelType w:val="multilevel"/>
    <w:tmpl w:val="62F4BF6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6515E6"/>
    <w:multiLevelType w:val="multilevel"/>
    <w:tmpl w:val="843E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0D0A31"/>
    <w:multiLevelType w:val="multilevel"/>
    <w:tmpl w:val="31FA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24F89"/>
    <w:multiLevelType w:val="multilevel"/>
    <w:tmpl w:val="F770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AB4FDD"/>
    <w:multiLevelType w:val="multilevel"/>
    <w:tmpl w:val="3198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B85297"/>
    <w:multiLevelType w:val="multilevel"/>
    <w:tmpl w:val="501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5412D"/>
    <w:multiLevelType w:val="multilevel"/>
    <w:tmpl w:val="1832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A31404"/>
    <w:multiLevelType w:val="multilevel"/>
    <w:tmpl w:val="0030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7B4DC2"/>
    <w:multiLevelType w:val="multilevel"/>
    <w:tmpl w:val="8A9C1800"/>
    <w:lvl w:ilvl="0">
      <w:start w:val="1"/>
      <w:numFmt w:val="lowerRoman"/>
      <w:lvlText w:val="%1."/>
      <w:lvlJc w:val="right"/>
      <w:pPr>
        <w:ind w:left="900" w:hanging="360"/>
      </w:pPr>
      <w:rPr>
        <w:color w:val="auto"/>
      </w:rPr>
    </w:lvl>
    <w:lvl w:ilvl="1">
      <w:start w:val="2"/>
      <w:numFmt w:val="decimal"/>
      <w:lvlText w:val="%1.%2"/>
      <w:lvlJc w:val="left"/>
      <w:pPr>
        <w:ind w:left="900" w:hanging="360"/>
      </w:pPr>
      <w:rPr>
        <w:rFonts w:hint="default"/>
        <w:color w:val="FFFFFF"/>
      </w:rPr>
    </w:lvl>
    <w:lvl w:ilvl="2">
      <w:start w:val="1"/>
      <w:numFmt w:val="decimal"/>
      <w:lvlText w:val="%1.%2.%3"/>
      <w:lvlJc w:val="left"/>
      <w:pPr>
        <w:ind w:left="1260" w:hanging="720"/>
      </w:pPr>
      <w:rPr>
        <w:rFonts w:hint="default"/>
        <w:color w:val="FFFFFF"/>
      </w:rPr>
    </w:lvl>
    <w:lvl w:ilvl="3">
      <w:start w:val="1"/>
      <w:numFmt w:val="decimal"/>
      <w:lvlText w:val="%1.%2.%3.%4"/>
      <w:lvlJc w:val="left"/>
      <w:pPr>
        <w:ind w:left="1260" w:hanging="720"/>
      </w:pPr>
      <w:rPr>
        <w:rFonts w:hint="default"/>
        <w:color w:val="FFFFFF"/>
      </w:rPr>
    </w:lvl>
    <w:lvl w:ilvl="4">
      <w:start w:val="1"/>
      <w:numFmt w:val="decimal"/>
      <w:lvlText w:val="%1.%2.%3.%4.%5"/>
      <w:lvlJc w:val="left"/>
      <w:pPr>
        <w:ind w:left="1620" w:hanging="1080"/>
      </w:pPr>
      <w:rPr>
        <w:rFonts w:hint="default"/>
        <w:color w:val="FFFFFF"/>
      </w:rPr>
    </w:lvl>
    <w:lvl w:ilvl="5">
      <w:start w:val="1"/>
      <w:numFmt w:val="decimal"/>
      <w:lvlText w:val="%1.%2.%3.%4.%5.%6"/>
      <w:lvlJc w:val="left"/>
      <w:pPr>
        <w:ind w:left="1620" w:hanging="1080"/>
      </w:pPr>
      <w:rPr>
        <w:rFonts w:hint="default"/>
        <w:color w:val="FFFFFF"/>
      </w:rPr>
    </w:lvl>
    <w:lvl w:ilvl="6">
      <w:start w:val="1"/>
      <w:numFmt w:val="decimal"/>
      <w:lvlText w:val="%1.%2.%3.%4.%5.%6.%7"/>
      <w:lvlJc w:val="left"/>
      <w:pPr>
        <w:ind w:left="1980" w:hanging="1440"/>
      </w:pPr>
      <w:rPr>
        <w:rFonts w:hint="default"/>
        <w:color w:val="FFFFFF"/>
      </w:rPr>
    </w:lvl>
    <w:lvl w:ilvl="7">
      <w:start w:val="1"/>
      <w:numFmt w:val="decimal"/>
      <w:lvlText w:val="%1.%2.%3.%4.%5.%6.%7.%8"/>
      <w:lvlJc w:val="left"/>
      <w:pPr>
        <w:ind w:left="1980" w:hanging="1440"/>
      </w:pPr>
      <w:rPr>
        <w:rFonts w:hint="default"/>
        <w:color w:val="FFFFFF"/>
      </w:rPr>
    </w:lvl>
    <w:lvl w:ilvl="8">
      <w:start w:val="1"/>
      <w:numFmt w:val="decimal"/>
      <w:lvlText w:val="%1.%2.%3.%4.%5.%6.%7.%8.%9"/>
      <w:lvlJc w:val="left"/>
      <w:pPr>
        <w:ind w:left="2340" w:hanging="1800"/>
      </w:pPr>
      <w:rPr>
        <w:rFonts w:hint="default"/>
        <w:color w:val="FFFFFF"/>
      </w:rPr>
    </w:lvl>
  </w:abstractNum>
  <w:abstractNum w:abstractNumId="22">
    <w:nsid w:val="6EA927F1"/>
    <w:multiLevelType w:val="multilevel"/>
    <w:tmpl w:val="E2D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FE322E"/>
    <w:multiLevelType w:val="multilevel"/>
    <w:tmpl w:val="898C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E8491F"/>
    <w:multiLevelType w:val="multilevel"/>
    <w:tmpl w:val="E9E2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6177AF"/>
    <w:multiLevelType w:val="multilevel"/>
    <w:tmpl w:val="A742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3C3472"/>
    <w:multiLevelType w:val="multilevel"/>
    <w:tmpl w:val="883A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7F42BC"/>
    <w:multiLevelType w:val="multilevel"/>
    <w:tmpl w:val="DD48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3157ED"/>
    <w:multiLevelType w:val="hybridMultilevel"/>
    <w:tmpl w:val="1810A4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0920D9"/>
    <w:multiLevelType w:val="multilevel"/>
    <w:tmpl w:val="BDDC3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E7B7F59"/>
    <w:multiLevelType w:val="multilevel"/>
    <w:tmpl w:val="8AEA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16"/>
  </w:num>
  <w:num w:numId="4">
    <w:abstractNumId w:val="11"/>
  </w:num>
  <w:num w:numId="5">
    <w:abstractNumId w:val="15"/>
  </w:num>
  <w:num w:numId="6">
    <w:abstractNumId w:val="0"/>
  </w:num>
  <w:num w:numId="7">
    <w:abstractNumId w:val="8"/>
  </w:num>
  <w:num w:numId="8">
    <w:abstractNumId w:val="5"/>
  </w:num>
  <w:num w:numId="9">
    <w:abstractNumId w:val="17"/>
  </w:num>
  <w:num w:numId="10">
    <w:abstractNumId w:val="26"/>
  </w:num>
  <w:num w:numId="11">
    <w:abstractNumId w:val="7"/>
  </w:num>
  <w:num w:numId="12">
    <w:abstractNumId w:val="23"/>
  </w:num>
  <w:num w:numId="13">
    <w:abstractNumId w:val="25"/>
  </w:num>
  <w:num w:numId="14">
    <w:abstractNumId w:val="18"/>
  </w:num>
  <w:num w:numId="15">
    <w:abstractNumId w:val="2"/>
  </w:num>
  <w:num w:numId="16">
    <w:abstractNumId w:val="19"/>
  </w:num>
  <w:num w:numId="17">
    <w:abstractNumId w:val="30"/>
  </w:num>
  <w:num w:numId="18">
    <w:abstractNumId w:val="6"/>
  </w:num>
  <w:num w:numId="19">
    <w:abstractNumId w:val="24"/>
  </w:num>
  <w:num w:numId="20">
    <w:abstractNumId w:val="20"/>
  </w:num>
  <w:num w:numId="21">
    <w:abstractNumId w:val="9"/>
  </w:num>
  <w:num w:numId="22">
    <w:abstractNumId w:val="1"/>
  </w:num>
  <w:num w:numId="23">
    <w:abstractNumId w:val="3"/>
  </w:num>
  <w:num w:numId="24">
    <w:abstractNumId w:val="10"/>
  </w:num>
  <w:num w:numId="25">
    <w:abstractNumId w:val="14"/>
  </w:num>
  <w:num w:numId="26">
    <w:abstractNumId w:val="28"/>
  </w:num>
  <w:num w:numId="27">
    <w:abstractNumId w:val="29"/>
  </w:num>
  <w:num w:numId="28">
    <w:abstractNumId w:val="4"/>
  </w:num>
  <w:num w:numId="29">
    <w:abstractNumId w:val="22"/>
  </w:num>
  <w:num w:numId="30">
    <w:abstractNumId w:val="12"/>
  </w:num>
  <w:num w:numId="3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622F"/>
    <w:rsid w:val="0003550C"/>
    <w:rsid w:val="0005134B"/>
    <w:rsid w:val="000745FA"/>
    <w:rsid w:val="00075D61"/>
    <w:rsid w:val="000A0AE8"/>
    <w:rsid w:val="000B18C6"/>
    <w:rsid w:val="000B5B62"/>
    <w:rsid w:val="000E6177"/>
    <w:rsid w:val="000F3512"/>
    <w:rsid w:val="000F4753"/>
    <w:rsid w:val="00102426"/>
    <w:rsid w:val="00125F8C"/>
    <w:rsid w:val="0014795A"/>
    <w:rsid w:val="00163A53"/>
    <w:rsid w:val="001815D4"/>
    <w:rsid w:val="001A4E58"/>
    <w:rsid w:val="001C0C9B"/>
    <w:rsid w:val="001D079E"/>
    <w:rsid w:val="001E0E09"/>
    <w:rsid w:val="001F3444"/>
    <w:rsid w:val="00213653"/>
    <w:rsid w:val="00240C05"/>
    <w:rsid w:val="002469B2"/>
    <w:rsid w:val="00253D21"/>
    <w:rsid w:val="00262B6A"/>
    <w:rsid w:val="002711DE"/>
    <w:rsid w:val="002733BF"/>
    <w:rsid w:val="00286D9C"/>
    <w:rsid w:val="002B3A2B"/>
    <w:rsid w:val="002B67E9"/>
    <w:rsid w:val="002C57AA"/>
    <w:rsid w:val="002E5F50"/>
    <w:rsid w:val="0031616C"/>
    <w:rsid w:val="00327C33"/>
    <w:rsid w:val="003452CF"/>
    <w:rsid w:val="00351A59"/>
    <w:rsid w:val="003520BD"/>
    <w:rsid w:val="00365AE9"/>
    <w:rsid w:val="0039607D"/>
    <w:rsid w:val="003A0185"/>
    <w:rsid w:val="003B3612"/>
    <w:rsid w:val="003B6271"/>
    <w:rsid w:val="003D01EA"/>
    <w:rsid w:val="003F0531"/>
    <w:rsid w:val="003F35FD"/>
    <w:rsid w:val="004243CC"/>
    <w:rsid w:val="0046435F"/>
    <w:rsid w:val="00475533"/>
    <w:rsid w:val="00475821"/>
    <w:rsid w:val="00483E14"/>
    <w:rsid w:val="004D199A"/>
    <w:rsid w:val="004E076D"/>
    <w:rsid w:val="004E3D04"/>
    <w:rsid w:val="005051ED"/>
    <w:rsid w:val="00512996"/>
    <w:rsid w:val="00514721"/>
    <w:rsid w:val="005238E6"/>
    <w:rsid w:val="0055027C"/>
    <w:rsid w:val="00550A4D"/>
    <w:rsid w:val="00561187"/>
    <w:rsid w:val="00570116"/>
    <w:rsid w:val="00586F8F"/>
    <w:rsid w:val="005E2617"/>
    <w:rsid w:val="005F323C"/>
    <w:rsid w:val="005F7C60"/>
    <w:rsid w:val="0060568B"/>
    <w:rsid w:val="0061416B"/>
    <w:rsid w:val="00625DA4"/>
    <w:rsid w:val="00627435"/>
    <w:rsid w:val="006451FC"/>
    <w:rsid w:val="00655D02"/>
    <w:rsid w:val="00656191"/>
    <w:rsid w:val="00656812"/>
    <w:rsid w:val="00677DA0"/>
    <w:rsid w:val="006B45E4"/>
    <w:rsid w:val="006C08D4"/>
    <w:rsid w:val="006C3669"/>
    <w:rsid w:val="006C53EF"/>
    <w:rsid w:val="006E6130"/>
    <w:rsid w:val="007047EE"/>
    <w:rsid w:val="00724AAA"/>
    <w:rsid w:val="007269CE"/>
    <w:rsid w:val="00760DD2"/>
    <w:rsid w:val="007A1837"/>
    <w:rsid w:val="007A3A33"/>
    <w:rsid w:val="007B39D2"/>
    <w:rsid w:val="007D3A0E"/>
    <w:rsid w:val="007D652E"/>
    <w:rsid w:val="007D6768"/>
    <w:rsid w:val="00814F20"/>
    <w:rsid w:val="00827EAE"/>
    <w:rsid w:val="008779FE"/>
    <w:rsid w:val="00886BE8"/>
    <w:rsid w:val="00886D50"/>
    <w:rsid w:val="008A497A"/>
    <w:rsid w:val="008E59A8"/>
    <w:rsid w:val="008F197B"/>
    <w:rsid w:val="008F21C7"/>
    <w:rsid w:val="008F3706"/>
    <w:rsid w:val="00906592"/>
    <w:rsid w:val="0091105C"/>
    <w:rsid w:val="00915E05"/>
    <w:rsid w:val="00924ED6"/>
    <w:rsid w:val="009673BF"/>
    <w:rsid w:val="00971C7E"/>
    <w:rsid w:val="00985678"/>
    <w:rsid w:val="00990DA4"/>
    <w:rsid w:val="009A3EE0"/>
    <w:rsid w:val="009E2B2F"/>
    <w:rsid w:val="009F5037"/>
    <w:rsid w:val="009F582A"/>
    <w:rsid w:val="00A00BBE"/>
    <w:rsid w:val="00A429F6"/>
    <w:rsid w:val="00A51EA6"/>
    <w:rsid w:val="00A72F90"/>
    <w:rsid w:val="00A96B38"/>
    <w:rsid w:val="00AA3FB5"/>
    <w:rsid w:val="00AC365D"/>
    <w:rsid w:val="00AF307A"/>
    <w:rsid w:val="00AF7600"/>
    <w:rsid w:val="00B23C78"/>
    <w:rsid w:val="00B44F40"/>
    <w:rsid w:val="00B46E73"/>
    <w:rsid w:val="00B62AA9"/>
    <w:rsid w:val="00B76F95"/>
    <w:rsid w:val="00B800DC"/>
    <w:rsid w:val="00B848BE"/>
    <w:rsid w:val="00B92684"/>
    <w:rsid w:val="00BA1ED9"/>
    <w:rsid w:val="00BA7DC5"/>
    <w:rsid w:val="00BC2089"/>
    <w:rsid w:val="00BC3E78"/>
    <w:rsid w:val="00BD3408"/>
    <w:rsid w:val="00BD439B"/>
    <w:rsid w:val="00BE285F"/>
    <w:rsid w:val="00C13B7B"/>
    <w:rsid w:val="00C764A5"/>
    <w:rsid w:val="00C96248"/>
    <w:rsid w:val="00CA7C26"/>
    <w:rsid w:val="00CB33DC"/>
    <w:rsid w:val="00CC0649"/>
    <w:rsid w:val="00D02584"/>
    <w:rsid w:val="00D12550"/>
    <w:rsid w:val="00D1622F"/>
    <w:rsid w:val="00D3125D"/>
    <w:rsid w:val="00D538FD"/>
    <w:rsid w:val="00D84719"/>
    <w:rsid w:val="00D877CB"/>
    <w:rsid w:val="00D904B1"/>
    <w:rsid w:val="00D94A2A"/>
    <w:rsid w:val="00D979FC"/>
    <w:rsid w:val="00DB0266"/>
    <w:rsid w:val="00DC7368"/>
    <w:rsid w:val="00DC7591"/>
    <w:rsid w:val="00DD5E86"/>
    <w:rsid w:val="00DE1646"/>
    <w:rsid w:val="00DE2DAE"/>
    <w:rsid w:val="00DE6A69"/>
    <w:rsid w:val="00DF7FC4"/>
    <w:rsid w:val="00E02C3C"/>
    <w:rsid w:val="00E31EC6"/>
    <w:rsid w:val="00E54AC4"/>
    <w:rsid w:val="00E54F95"/>
    <w:rsid w:val="00E56183"/>
    <w:rsid w:val="00E62C0E"/>
    <w:rsid w:val="00E82553"/>
    <w:rsid w:val="00E87679"/>
    <w:rsid w:val="00E9284A"/>
    <w:rsid w:val="00EA6CE7"/>
    <w:rsid w:val="00EC7014"/>
    <w:rsid w:val="00ED4310"/>
    <w:rsid w:val="00ED614B"/>
    <w:rsid w:val="00EE5480"/>
    <w:rsid w:val="00F114FC"/>
    <w:rsid w:val="00F21766"/>
    <w:rsid w:val="00F24BFD"/>
    <w:rsid w:val="00F37B9B"/>
    <w:rsid w:val="00F44ABF"/>
    <w:rsid w:val="00F52F9B"/>
    <w:rsid w:val="00F63941"/>
    <w:rsid w:val="00F90CF2"/>
    <w:rsid w:val="00FA2BAB"/>
    <w:rsid w:val="00FB1577"/>
    <w:rsid w:val="00FC0392"/>
    <w:rsid w:val="00FC427A"/>
    <w:rsid w:val="00FD0277"/>
    <w:rsid w:val="00FD1E1D"/>
    <w:rsid w:val="00FD70AD"/>
    <w:rsid w:val="00FF3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1FC"/>
  </w:style>
  <w:style w:type="paragraph" w:styleId="Heading1">
    <w:name w:val="heading 1"/>
    <w:basedOn w:val="Normal"/>
    <w:next w:val="Normal"/>
    <w:link w:val="Heading1Char"/>
    <w:uiPriority w:val="9"/>
    <w:qFormat/>
    <w:rsid w:val="00286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162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22F"/>
    <w:rPr>
      <w:rFonts w:ascii="Times New Roman" w:eastAsia="Times New Roman" w:hAnsi="Times New Roman" w:cs="Times New Roman"/>
      <w:b/>
      <w:bCs/>
      <w:sz w:val="27"/>
      <w:szCs w:val="27"/>
    </w:rPr>
  </w:style>
  <w:style w:type="paragraph" w:styleId="NormalWeb">
    <w:name w:val="Normal (Web)"/>
    <w:basedOn w:val="Normal"/>
    <w:uiPriority w:val="99"/>
    <w:unhideWhenUsed/>
    <w:rsid w:val="00D162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622F"/>
    <w:rPr>
      <w:b/>
      <w:bCs/>
    </w:rPr>
  </w:style>
  <w:style w:type="paragraph" w:styleId="ListParagraph">
    <w:name w:val="List Paragraph"/>
    <w:basedOn w:val="Normal"/>
    <w:link w:val="ListParagraphChar"/>
    <w:qFormat/>
    <w:rsid w:val="00D1622F"/>
    <w:pPr>
      <w:spacing w:after="23" w:line="248" w:lineRule="auto"/>
      <w:ind w:left="720" w:right="6" w:hanging="10"/>
      <w:contextualSpacing/>
      <w:jc w:val="both"/>
    </w:pPr>
    <w:rPr>
      <w:rFonts w:ascii="Calibri" w:eastAsia="Calibri" w:hAnsi="Calibri" w:cs="Calibri"/>
      <w:color w:val="000000"/>
      <w:sz w:val="21"/>
    </w:rPr>
  </w:style>
  <w:style w:type="character" w:customStyle="1" w:styleId="ListParagraphChar">
    <w:name w:val="List Paragraph Char"/>
    <w:link w:val="ListParagraph"/>
    <w:rsid w:val="00D1622F"/>
    <w:rPr>
      <w:rFonts w:ascii="Calibri" w:eastAsia="Calibri" w:hAnsi="Calibri" w:cs="Calibri"/>
      <w:color w:val="000000"/>
      <w:sz w:val="21"/>
    </w:rPr>
  </w:style>
  <w:style w:type="character" w:customStyle="1" w:styleId="Heading1Char">
    <w:name w:val="Heading 1 Char"/>
    <w:basedOn w:val="DefaultParagraphFont"/>
    <w:link w:val="Heading1"/>
    <w:uiPriority w:val="9"/>
    <w:rsid w:val="00286D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D9C"/>
    <w:rPr>
      <w:rFonts w:asciiTheme="majorHAnsi" w:eastAsiaTheme="majorEastAsia" w:hAnsiTheme="majorHAnsi" w:cstheme="majorBidi"/>
      <w:b/>
      <w:bCs/>
      <w:color w:val="4F81BD" w:themeColor="accent1"/>
      <w:sz w:val="26"/>
      <w:szCs w:val="26"/>
    </w:rPr>
  </w:style>
  <w:style w:type="character" w:customStyle="1" w:styleId="katex-mathml">
    <w:name w:val="katex-mathml"/>
    <w:basedOn w:val="DefaultParagraphFont"/>
    <w:rsid w:val="00286D9C"/>
  </w:style>
  <w:style w:type="character" w:customStyle="1" w:styleId="mord">
    <w:name w:val="mord"/>
    <w:basedOn w:val="DefaultParagraphFont"/>
    <w:rsid w:val="00286D9C"/>
  </w:style>
  <w:style w:type="character" w:customStyle="1" w:styleId="mspace">
    <w:name w:val="mspace"/>
    <w:basedOn w:val="DefaultParagraphFont"/>
    <w:rsid w:val="00286D9C"/>
  </w:style>
  <w:style w:type="character" w:customStyle="1" w:styleId="mrel">
    <w:name w:val="mrel"/>
    <w:basedOn w:val="DefaultParagraphFont"/>
    <w:rsid w:val="00286D9C"/>
  </w:style>
  <w:style w:type="character" w:customStyle="1" w:styleId="mopen">
    <w:name w:val="mopen"/>
    <w:basedOn w:val="DefaultParagraphFont"/>
    <w:rsid w:val="00286D9C"/>
  </w:style>
  <w:style w:type="character" w:customStyle="1" w:styleId="vlist-s">
    <w:name w:val="vlist-s"/>
    <w:basedOn w:val="DefaultParagraphFont"/>
    <w:rsid w:val="00286D9C"/>
  </w:style>
  <w:style w:type="character" w:customStyle="1" w:styleId="mclose">
    <w:name w:val="mclose"/>
    <w:basedOn w:val="DefaultParagraphFont"/>
    <w:rsid w:val="00286D9C"/>
  </w:style>
  <w:style w:type="character" w:customStyle="1" w:styleId="mpunct">
    <w:name w:val="mpunct"/>
    <w:basedOn w:val="DefaultParagraphFont"/>
    <w:rsid w:val="00286D9C"/>
  </w:style>
  <w:style w:type="table" w:styleId="TableGrid">
    <w:name w:val="Table Grid"/>
    <w:basedOn w:val="TableNormal"/>
    <w:uiPriority w:val="59"/>
    <w:qFormat/>
    <w:rsid w:val="001E0E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bin">
    <w:name w:val="mbin"/>
    <w:basedOn w:val="DefaultParagraphFont"/>
    <w:rsid w:val="001D079E"/>
  </w:style>
  <w:style w:type="paragraph" w:styleId="BalloonText">
    <w:name w:val="Balloon Text"/>
    <w:basedOn w:val="Normal"/>
    <w:link w:val="BalloonTextChar"/>
    <w:uiPriority w:val="99"/>
    <w:semiHidden/>
    <w:unhideWhenUsed/>
    <w:rsid w:val="00704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7EE"/>
    <w:rPr>
      <w:rFonts w:ascii="Tahoma" w:hAnsi="Tahoma" w:cs="Tahoma"/>
      <w:sz w:val="16"/>
      <w:szCs w:val="16"/>
    </w:rPr>
  </w:style>
  <w:style w:type="character" w:styleId="Emphasis">
    <w:name w:val="Emphasis"/>
    <w:basedOn w:val="DefaultParagraphFont"/>
    <w:uiPriority w:val="20"/>
    <w:qFormat/>
    <w:rsid w:val="000745FA"/>
    <w:rPr>
      <w:i/>
      <w:iCs/>
    </w:rPr>
  </w:style>
  <w:style w:type="paragraph" w:styleId="Header">
    <w:name w:val="header"/>
    <w:basedOn w:val="Normal"/>
    <w:link w:val="HeaderChar"/>
    <w:uiPriority w:val="99"/>
    <w:semiHidden/>
    <w:unhideWhenUsed/>
    <w:rsid w:val="000B5B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5B62"/>
  </w:style>
  <w:style w:type="paragraph" w:styleId="Footer">
    <w:name w:val="footer"/>
    <w:basedOn w:val="Normal"/>
    <w:link w:val="FooterChar"/>
    <w:uiPriority w:val="99"/>
    <w:unhideWhenUsed/>
    <w:rsid w:val="000B5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B62"/>
  </w:style>
  <w:style w:type="table" w:customStyle="1" w:styleId="LightShading1">
    <w:name w:val="Light Shading1"/>
    <w:basedOn w:val="TableNormal"/>
    <w:uiPriority w:val="60"/>
    <w:rsid w:val="003B62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62C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whitespace-normal">
    <w:name w:val="whitespace-normal"/>
    <w:basedOn w:val="DefaultParagraphFont"/>
    <w:rsid w:val="00BA1ED9"/>
  </w:style>
  <w:style w:type="character" w:styleId="Hyperlink">
    <w:name w:val="Hyperlink"/>
    <w:basedOn w:val="DefaultParagraphFont"/>
    <w:uiPriority w:val="99"/>
    <w:unhideWhenUsed/>
    <w:qFormat/>
    <w:rsid w:val="00677D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03918">
      <w:bodyDiv w:val="1"/>
      <w:marLeft w:val="0"/>
      <w:marRight w:val="0"/>
      <w:marTop w:val="0"/>
      <w:marBottom w:val="0"/>
      <w:divBdr>
        <w:top w:val="none" w:sz="0" w:space="0" w:color="auto"/>
        <w:left w:val="none" w:sz="0" w:space="0" w:color="auto"/>
        <w:bottom w:val="none" w:sz="0" w:space="0" w:color="auto"/>
        <w:right w:val="none" w:sz="0" w:space="0" w:color="auto"/>
      </w:divBdr>
      <w:divsChild>
        <w:div w:id="930695469">
          <w:marLeft w:val="0"/>
          <w:marRight w:val="0"/>
          <w:marTop w:val="0"/>
          <w:marBottom w:val="0"/>
          <w:divBdr>
            <w:top w:val="none" w:sz="0" w:space="0" w:color="auto"/>
            <w:left w:val="none" w:sz="0" w:space="0" w:color="auto"/>
            <w:bottom w:val="none" w:sz="0" w:space="0" w:color="auto"/>
            <w:right w:val="none" w:sz="0" w:space="0" w:color="auto"/>
          </w:divBdr>
          <w:divsChild>
            <w:div w:id="275793853">
              <w:marLeft w:val="0"/>
              <w:marRight w:val="0"/>
              <w:marTop w:val="0"/>
              <w:marBottom w:val="0"/>
              <w:divBdr>
                <w:top w:val="none" w:sz="0" w:space="0" w:color="auto"/>
                <w:left w:val="none" w:sz="0" w:space="0" w:color="auto"/>
                <w:bottom w:val="none" w:sz="0" w:space="0" w:color="auto"/>
                <w:right w:val="none" w:sz="0" w:space="0" w:color="auto"/>
              </w:divBdr>
            </w:div>
          </w:divsChild>
        </w:div>
        <w:div w:id="1296449713">
          <w:marLeft w:val="0"/>
          <w:marRight w:val="0"/>
          <w:marTop w:val="0"/>
          <w:marBottom w:val="0"/>
          <w:divBdr>
            <w:top w:val="none" w:sz="0" w:space="0" w:color="auto"/>
            <w:left w:val="none" w:sz="0" w:space="0" w:color="auto"/>
            <w:bottom w:val="none" w:sz="0" w:space="0" w:color="auto"/>
            <w:right w:val="none" w:sz="0" w:space="0" w:color="auto"/>
          </w:divBdr>
          <w:divsChild>
            <w:div w:id="15714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756">
      <w:bodyDiv w:val="1"/>
      <w:marLeft w:val="0"/>
      <w:marRight w:val="0"/>
      <w:marTop w:val="0"/>
      <w:marBottom w:val="0"/>
      <w:divBdr>
        <w:top w:val="none" w:sz="0" w:space="0" w:color="auto"/>
        <w:left w:val="none" w:sz="0" w:space="0" w:color="auto"/>
        <w:bottom w:val="none" w:sz="0" w:space="0" w:color="auto"/>
        <w:right w:val="none" w:sz="0" w:space="0" w:color="auto"/>
      </w:divBdr>
      <w:divsChild>
        <w:div w:id="1666201106">
          <w:marLeft w:val="0"/>
          <w:marRight w:val="0"/>
          <w:marTop w:val="0"/>
          <w:marBottom w:val="0"/>
          <w:divBdr>
            <w:top w:val="none" w:sz="0" w:space="0" w:color="auto"/>
            <w:left w:val="none" w:sz="0" w:space="0" w:color="auto"/>
            <w:bottom w:val="none" w:sz="0" w:space="0" w:color="auto"/>
            <w:right w:val="none" w:sz="0" w:space="0" w:color="auto"/>
          </w:divBdr>
          <w:divsChild>
            <w:div w:id="1882089682">
              <w:marLeft w:val="0"/>
              <w:marRight w:val="0"/>
              <w:marTop w:val="0"/>
              <w:marBottom w:val="0"/>
              <w:divBdr>
                <w:top w:val="none" w:sz="0" w:space="0" w:color="auto"/>
                <w:left w:val="none" w:sz="0" w:space="0" w:color="auto"/>
                <w:bottom w:val="none" w:sz="0" w:space="0" w:color="auto"/>
                <w:right w:val="none" w:sz="0" w:space="0" w:color="auto"/>
              </w:divBdr>
            </w:div>
          </w:divsChild>
        </w:div>
        <w:div w:id="1592422673">
          <w:marLeft w:val="0"/>
          <w:marRight w:val="0"/>
          <w:marTop w:val="0"/>
          <w:marBottom w:val="0"/>
          <w:divBdr>
            <w:top w:val="none" w:sz="0" w:space="0" w:color="auto"/>
            <w:left w:val="none" w:sz="0" w:space="0" w:color="auto"/>
            <w:bottom w:val="none" w:sz="0" w:space="0" w:color="auto"/>
            <w:right w:val="none" w:sz="0" w:space="0" w:color="auto"/>
          </w:divBdr>
          <w:divsChild>
            <w:div w:id="1549993493">
              <w:marLeft w:val="0"/>
              <w:marRight w:val="0"/>
              <w:marTop w:val="0"/>
              <w:marBottom w:val="0"/>
              <w:divBdr>
                <w:top w:val="none" w:sz="0" w:space="0" w:color="auto"/>
                <w:left w:val="none" w:sz="0" w:space="0" w:color="auto"/>
                <w:bottom w:val="none" w:sz="0" w:space="0" w:color="auto"/>
                <w:right w:val="none" w:sz="0" w:space="0" w:color="auto"/>
              </w:divBdr>
            </w:div>
          </w:divsChild>
        </w:div>
        <w:div w:id="1515875559">
          <w:marLeft w:val="0"/>
          <w:marRight w:val="0"/>
          <w:marTop w:val="0"/>
          <w:marBottom w:val="0"/>
          <w:divBdr>
            <w:top w:val="none" w:sz="0" w:space="0" w:color="auto"/>
            <w:left w:val="none" w:sz="0" w:space="0" w:color="auto"/>
            <w:bottom w:val="none" w:sz="0" w:space="0" w:color="auto"/>
            <w:right w:val="none" w:sz="0" w:space="0" w:color="auto"/>
          </w:divBdr>
          <w:divsChild>
            <w:div w:id="1091700172">
              <w:marLeft w:val="0"/>
              <w:marRight w:val="0"/>
              <w:marTop w:val="0"/>
              <w:marBottom w:val="0"/>
              <w:divBdr>
                <w:top w:val="none" w:sz="0" w:space="0" w:color="auto"/>
                <w:left w:val="none" w:sz="0" w:space="0" w:color="auto"/>
                <w:bottom w:val="none" w:sz="0" w:space="0" w:color="auto"/>
                <w:right w:val="none" w:sz="0" w:space="0" w:color="auto"/>
              </w:divBdr>
            </w:div>
          </w:divsChild>
        </w:div>
        <w:div w:id="1550413676">
          <w:marLeft w:val="0"/>
          <w:marRight w:val="0"/>
          <w:marTop w:val="0"/>
          <w:marBottom w:val="0"/>
          <w:divBdr>
            <w:top w:val="none" w:sz="0" w:space="0" w:color="auto"/>
            <w:left w:val="none" w:sz="0" w:space="0" w:color="auto"/>
            <w:bottom w:val="none" w:sz="0" w:space="0" w:color="auto"/>
            <w:right w:val="none" w:sz="0" w:space="0" w:color="auto"/>
          </w:divBdr>
          <w:divsChild>
            <w:div w:id="2030061715">
              <w:marLeft w:val="0"/>
              <w:marRight w:val="0"/>
              <w:marTop w:val="0"/>
              <w:marBottom w:val="0"/>
              <w:divBdr>
                <w:top w:val="none" w:sz="0" w:space="0" w:color="auto"/>
                <w:left w:val="none" w:sz="0" w:space="0" w:color="auto"/>
                <w:bottom w:val="none" w:sz="0" w:space="0" w:color="auto"/>
                <w:right w:val="none" w:sz="0" w:space="0" w:color="auto"/>
              </w:divBdr>
            </w:div>
          </w:divsChild>
        </w:div>
        <w:div w:id="487946069">
          <w:marLeft w:val="0"/>
          <w:marRight w:val="0"/>
          <w:marTop w:val="0"/>
          <w:marBottom w:val="0"/>
          <w:divBdr>
            <w:top w:val="none" w:sz="0" w:space="0" w:color="auto"/>
            <w:left w:val="none" w:sz="0" w:space="0" w:color="auto"/>
            <w:bottom w:val="none" w:sz="0" w:space="0" w:color="auto"/>
            <w:right w:val="none" w:sz="0" w:space="0" w:color="auto"/>
          </w:divBdr>
          <w:divsChild>
            <w:div w:id="634531807">
              <w:marLeft w:val="0"/>
              <w:marRight w:val="0"/>
              <w:marTop w:val="0"/>
              <w:marBottom w:val="0"/>
              <w:divBdr>
                <w:top w:val="none" w:sz="0" w:space="0" w:color="auto"/>
                <w:left w:val="none" w:sz="0" w:space="0" w:color="auto"/>
                <w:bottom w:val="none" w:sz="0" w:space="0" w:color="auto"/>
                <w:right w:val="none" w:sz="0" w:space="0" w:color="auto"/>
              </w:divBdr>
            </w:div>
          </w:divsChild>
        </w:div>
        <w:div w:id="1551070454">
          <w:marLeft w:val="0"/>
          <w:marRight w:val="0"/>
          <w:marTop w:val="0"/>
          <w:marBottom w:val="0"/>
          <w:divBdr>
            <w:top w:val="none" w:sz="0" w:space="0" w:color="auto"/>
            <w:left w:val="none" w:sz="0" w:space="0" w:color="auto"/>
            <w:bottom w:val="none" w:sz="0" w:space="0" w:color="auto"/>
            <w:right w:val="none" w:sz="0" w:space="0" w:color="auto"/>
          </w:divBdr>
          <w:divsChild>
            <w:div w:id="565117251">
              <w:marLeft w:val="0"/>
              <w:marRight w:val="0"/>
              <w:marTop w:val="0"/>
              <w:marBottom w:val="0"/>
              <w:divBdr>
                <w:top w:val="none" w:sz="0" w:space="0" w:color="auto"/>
                <w:left w:val="none" w:sz="0" w:space="0" w:color="auto"/>
                <w:bottom w:val="none" w:sz="0" w:space="0" w:color="auto"/>
                <w:right w:val="none" w:sz="0" w:space="0" w:color="auto"/>
              </w:divBdr>
            </w:div>
          </w:divsChild>
        </w:div>
        <w:div w:id="1650288117">
          <w:marLeft w:val="0"/>
          <w:marRight w:val="0"/>
          <w:marTop w:val="0"/>
          <w:marBottom w:val="0"/>
          <w:divBdr>
            <w:top w:val="none" w:sz="0" w:space="0" w:color="auto"/>
            <w:left w:val="none" w:sz="0" w:space="0" w:color="auto"/>
            <w:bottom w:val="none" w:sz="0" w:space="0" w:color="auto"/>
            <w:right w:val="none" w:sz="0" w:space="0" w:color="auto"/>
          </w:divBdr>
          <w:divsChild>
            <w:div w:id="524944010">
              <w:marLeft w:val="0"/>
              <w:marRight w:val="0"/>
              <w:marTop w:val="0"/>
              <w:marBottom w:val="0"/>
              <w:divBdr>
                <w:top w:val="none" w:sz="0" w:space="0" w:color="auto"/>
                <w:left w:val="none" w:sz="0" w:space="0" w:color="auto"/>
                <w:bottom w:val="none" w:sz="0" w:space="0" w:color="auto"/>
                <w:right w:val="none" w:sz="0" w:space="0" w:color="auto"/>
              </w:divBdr>
            </w:div>
          </w:divsChild>
        </w:div>
        <w:div w:id="1926373411">
          <w:marLeft w:val="0"/>
          <w:marRight w:val="0"/>
          <w:marTop w:val="0"/>
          <w:marBottom w:val="0"/>
          <w:divBdr>
            <w:top w:val="none" w:sz="0" w:space="0" w:color="auto"/>
            <w:left w:val="none" w:sz="0" w:space="0" w:color="auto"/>
            <w:bottom w:val="none" w:sz="0" w:space="0" w:color="auto"/>
            <w:right w:val="none" w:sz="0" w:space="0" w:color="auto"/>
          </w:divBdr>
          <w:divsChild>
            <w:div w:id="289752395">
              <w:marLeft w:val="0"/>
              <w:marRight w:val="0"/>
              <w:marTop w:val="0"/>
              <w:marBottom w:val="0"/>
              <w:divBdr>
                <w:top w:val="none" w:sz="0" w:space="0" w:color="auto"/>
                <w:left w:val="none" w:sz="0" w:space="0" w:color="auto"/>
                <w:bottom w:val="none" w:sz="0" w:space="0" w:color="auto"/>
                <w:right w:val="none" w:sz="0" w:space="0" w:color="auto"/>
              </w:divBdr>
            </w:div>
          </w:divsChild>
        </w:div>
        <w:div w:id="1815828761">
          <w:marLeft w:val="0"/>
          <w:marRight w:val="0"/>
          <w:marTop w:val="0"/>
          <w:marBottom w:val="0"/>
          <w:divBdr>
            <w:top w:val="none" w:sz="0" w:space="0" w:color="auto"/>
            <w:left w:val="none" w:sz="0" w:space="0" w:color="auto"/>
            <w:bottom w:val="none" w:sz="0" w:space="0" w:color="auto"/>
            <w:right w:val="none" w:sz="0" w:space="0" w:color="auto"/>
          </w:divBdr>
          <w:divsChild>
            <w:div w:id="2088309714">
              <w:marLeft w:val="0"/>
              <w:marRight w:val="0"/>
              <w:marTop w:val="0"/>
              <w:marBottom w:val="0"/>
              <w:divBdr>
                <w:top w:val="none" w:sz="0" w:space="0" w:color="auto"/>
                <w:left w:val="none" w:sz="0" w:space="0" w:color="auto"/>
                <w:bottom w:val="none" w:sz="0" w:space="0" w:color="auto"/>
                <w:right w:val="none" w:sz="0" w:space="0" w:color="auto"/>
              </w:divBdr>
            </w:div>
          </w:divsChild>
        </w:div>
        <w:div w:id="1138767963">
          <w:marLeft w:val="0"/>
          <w:marRight w:val="0"/>
          <w:marTop w:val="0"/>
          <w:marBottom w:val="0"/>
          <w:divBdr>
            <w:top w:val="none" w:sz="0" w:space="0" w:color="auto"/>
            <w:left w:val="none" w:sz="0" w:space="0" w:color="auto"/>
            <w:bottom w:val="none" w:sz="0" w:space="0" w:color="auto"/>
            <w:right w:val="none" w:sz="0" w:space="0" w:color="auto"/>
          </w:divBdr>
          <w:divsChild>
            <w:div w:id="7848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7273">
      <w:bodyDiv w:val="1"/>
      <w:marLeft w:val="0"/>
      <w:marRight w:val="0"/>
      <w:marTop w:val="0"/>
      <w:marBottom w:val="0"/>
      <w:divBdr>
        <w:top w:val="none" w:sz="0" w:space="0" w:color="auto"/>
        <w:left w:val="none" w:sz="0" w:space="0" w:color="auto"/>
        <w:bottom w:val="none" w:sz="0" w:space="0" w:color="auto"/>
        <w:right w:val="none" w:sz="0" w:space="0" w:color="auto"/>
      </w:divBdr>
      <w:divsChild>
        <w:div w:id="624166071">
          <w:marLeft w:val="0"/>
          <w:marRight w:val="0"/>
          <w:marTop w:val="0"/>
          <w:marBottom w:val="0"/>
          <w:divBdr>
            <w:top w:val="none" w:sz="0" w:space="0" w:color="auto"/>
            <w:left w:val="none" w:sz="0" w:space="0" w:color="auto"/>
            <w:bottom w:val="none" w:sz="0" w:space="0" w:color="auto"/>
            <w:right w:val="none" w:sz="0" w:space="0" w:color="auto"/>
          </w:divBdr>
          <w:divsChild>
            <w:div w:id="4761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3403">
      <w:bodyDiv w:val="1"/>
      <w:marLeft w:val="0"/>
      <w:marRight w:val="0"/>
      <w:marTop w:val="0"/>
      <w:marBottom w:val="0"/>
      <w:divBdr>
        <w:top w:val="none" w:sz="0" w:space="0" w:color="auto"/>
        <w:left w:val="none" w:sz="0" w:space="0" w:color="auto"/>
        <w:bottom w:val="none" w:sz="0" w:space="0" w:color="auto"/>
        <w:right w:val="none" w:sz="0" w:space="0" w:color="auto"/>
      </w:divBdr>
    </w:div>
    <w:div w:id="542182895">
      <w:bodyDiv w:val="1"/>
      <w:marLeft w:val="0"/>
      <w:marRight w:val="0"/>
      <w:marTop w:val="0"/>
      <w:marBottom w:val="0"/>
      <w:divBdr>
        <w:top w:val="none" w:sz="0" w:space="0" w:color="auto"/>
        <w:left w:val="none" w:sz="0" w:space="0" w:color="auto"/>
        <w:bottom w:val="none" w:sz="0" w:space="0" w:color="auto"/>
        <w:right w:val="none" w:sz="0" w:space="0" w:color="auto"/>
      </w:divBdr>
      <w:divsChild>
        <w:div w:id="1891112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483732">
      <w:bodyDiv w:val="1"/>
      <w:marLeft w:val="0"/>
      <w:marRight w:val="0"/>
      <w:marTop w:val="0"/>
      <w:marBottom w:val="0"/>
      <w:divBdr>
        <w:top w:val="none" w:sz="0" w:space="0" w:color="auto"/>
        <w:left w:val="none" w:sz="0" w:space="0" w:color="auto"/>
        <w:bottom w:val="none" w:sz="0" w:space="0" w:color="auto"/>
        <w:right w:val="none" w:sz="0" w:space="0" w:color="auto"/>
      </w:divBdr>
    </w:div>
    <w:div w:id="757946076">
      <w:bodyDiv w:val="1"/>
      <w:marLeft w:val="0"/>
      <w:marRight w:val="0"/>
      <w:marTop w:val="0"/>
      <w:marBottom w:val="0"/>
      <w:divBdr>
        <w:top w:val="none" w:sz="0" w:space="0" w:color="auto"/>
        <w:left w:val="none" w:sz="0" w:space="0" w:color="auto"/>
        <w:bottom w:val="none" w:sz="0" w:space="0" w:color="auto"/>
        <w:right w:val="none" w:sz="0" w:space="0" w:color="auto"/>
      </w:divBdr>
    </w:div>
    <w:div w:id="912473547">
      <w:bodyDiv w:val="1"/>
      <w:marLeft w:val="0"/>
      <w:marRight w:val="0"/>
      <w:marTop w:val="0"/>
      <w:marBottom w:val="0"/>
      <w:divBdr>
        <w:top w:val="none" w:sz="0" w:space="0" w:color="auto"/>
        <w:left w:val="none" w:sz="0" w:space="0" w:color="auto"/>
        <w:bottom w:val="none" w:sz="0" w:space="0" w:color="auto"/>
        <w:right w:val="none" w:sz="0" w:space="0" w:color="auto"/>
      </w:divBdr>
    </w:div>
    <w:div w:id="950821111">
      <w:bodyDiv w:val="1"/>
      <w:marLeft w:val="0"/>
      <w:marRight w:val="0"/>
      <w:marTop w:val="0"/>
      <w:marBottom w:val="0"/>
      <w:divBdr>
        <w:top w:val="none" w:sz="0" w:space="0" w:color="auto"/>
        <w:left w:val="none" w:sz="0" w:space="0" w:color="auto"/>
        <w:bottom w:val="none" w:sz="0" w:space="0" w:color="auto"/>
        <w:right w:val="none" w:sz="0" w:space="0" w:color="auto"/>
      </w:divBdr>
    </w:div>
    <w:div w:id="1002899803">
      <w:bodyDiv w:val="1"/>
      <w:marLeft w:val="0"/>
      <w:marRight w:val="0"/>
      <w:marTop w:val="0"/>
      <w:marBottom w:val="0"/>
      <w:divBdr>
        <w:top w:val="none" w:sz="0" w:space="0" w:color="auto"/>
        <w:left w:val="none" w:sz="0" w:space="0" w:color="auto"/>
        <w:bottom w:val="none" w:sz="0" w:space="0" w:color="auto"/>
        <w:right w:val="none" w:sz="0" w:space="0" w:color="auto"/>
      </w:divBdr>
      <w:divsChild>
        <w:div w:id="454982166">
          <w:marLeft w:val="0"/>
          <w:marRight w:val="0"/>
          <w:marTop w:val="0"/>
          <w:marBottom w:val="0"/>
          <w:divBdr>
            <w:top w:val="none" w:sz="0" w:space="0" w:color="auto"/>
            <w:left w:val="none" w:sz="0" w:space="0" w:color="auto"/>
            <w:bottom w:val="none" w:sz="0" w:space="0" w:color="auto"/>
            <w:right w:val="none" w:sz="0" w:space="0" w:color="auto"/>
          </w:divBdr>
          <w:divsChild>
            <w:div w:id="1913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7421">
      <w:bodyDiv w:val="1"/>
      <w:marLeft w:val="0"/>
      <w:marRight w:val="0"/>
      <w:marTop w:val="0"/>
      <w:marBottom w:val="0"/>
      <w:divBdr>
        <w:top w:val="none" w:sz="0" w:space="0" w:color="auto"/>
        <w:left w:val="none" w:sz="0" w:space="0" w:color="auto"/>
        <w:bottom w:val="none" w:sz="0" w:space="0" w:color="auto"/>
        <w:right w:val="none" w:sz="0" w:space="0" w:color="auto"/>
      </w:divBdr>
    </w:div>
    <w:div w:id="1327590470">
      <w:bodyDiv w:val="1"/>
      <w:marLeft w:val="0"/>
      <w:marRight w:val="0"/>
      <w:marTop w:val="0"/>
      <w:marBottom w:val="0"/>
      <w:divBdr>
        <w:top w:val="none" w:sz="0" w:space="0" w:color="auto"/>
        <w:left w:val="none" w:sz="0" w:space="0" w:color="auto"/>
        <w:bottom w:val="none" w:sz="0" w:space="0" w:color="auto"/>
        <w:right w:val="none" w:sz="0" w:space="0" w:color="auto"/>
      </w:divBdr>
    </w:div>
    <w:div w:id="1805001599">
      <w:bodyDiv w:val="1"/>
      <w:marLeft w:val="0"/>
      <w:marRight w:val="0"/>
      <w:marTop w:val="0"/>
      <w:marBottom w:val="0"/>
      <w:divBdr>
        <w:top w:val="none" w:sz="0" w:space="0" w:color="auto"/>
        <w:left w:val="none" w:sz="0" w:space="0" w:color="auto"/>
        <w:bottom w:val="none" w:sz="0" w:space="0" w:color="auto"/>
        <w:right w:val="none" w:sz="0" w:space="0" w:color="auto"/>
      </w:divBdr>
      <w:divsChild>
        <w:div w:id="830947516">
          <w:marLeft w:val="0"/>
          <w:marRight w:val="0"/>
          <w:marTop w:val="0"/>
          <w:marBottom w:val="0"/>
          <w:divBdr>
            <w:top w:val="none" w:sz="0" w:space="0" w:color="auto"/>
            <w:left w:val="none" w:sz="0" w:space="0" w:color="auto"/>
            <w:bottom w:val="none" w:sz="0" w:space="0" w:color="auto"/>
            <w:right w:val="none" w:sz="0" w:space="0" w:color="auto"/>
          </w:divBdr>
          <w:divsChild>
            <w:div w:id="2138602973">
              <w:marLeft w:val="0"/>
              <w:marRight w:val="0"/>
              <w:marTop w:val="0"/>
              <w:marBottom w:val="0"/>
              <w:divBdr>
                <w:top w:val="none" w:sz="0" w:space="0" w:color="auto"/>
                <w:left w:val="none" w:sz="0" w:space="0" w:color="auto"/>
                <w:bottom w:val="none" w:sz="0" w:space="0" w:color="auto"/>
                <w:right w:val="none" w:sz="0" w:space="0" w:color="auto"/>
              </w:divBdr>
            </w:div>
          </w:divsChild>
        </w:div>
        <w:div w:id="1120370149">
          <w:marLeft w:val="0"/>
          <w:marRight w:val="0"/>
          <w:marTop w:val="0"/>
          <w:marBottom w:val="0"/>
          <w:divBdr>
            <w:top w:val="none" w:sz="0" w:space="0" w:color="auto"/>
            <w:left w:val="none" w:sz="0" w:space="0" w:color="auto"/>
            <w:bottom w:val="none" w:sz="0" w:space="0" w:color="auto"/>
            <w:right w:val="none" w:sz="0" w:space="0" w:color="auto"/>
          </w:divBdr>
          <w:divsChild>
            <w:div w:id="370233178">
              <w:marLeft w:val="0"/>
              <w:marRight w:val="0"/>
              <w:marTop w:val="0"/>
              <w:marBottom w:val="0"/>
              <w:divBdr>
                <w:top w:val="none" w:sz="0" w:space="0" w:color="auto"/>
                <w:left w:val="none" w:sz="0" w:space="0" w:color="auto"/>
                <w:bottom w:val="none" w:sz="0" w:space="0" w:color="auto"/>
                <w:right w:val="none" w:sz="0" w:space="0" w:color="auto"/>
              </w:divBdr>
            </w:div>
          </w:divsChild>
        </w:div>
        <w:div w:id="852301189">
          <w:marLeft w:val="0"/>
          <w:marRight w:val="0"/>
          <w:marTop w:val="0"/>
          <w:marBottom w:val="0"/>
          <w:divBdr>
            <w:top w:val="none" w:sz="0" w:space="0" w:color="auto"/>
            <w:left w:val="none" w:sz="0" w:space="0" w:color="auto"/>
            <w:bottom w:val="none" w:sz="0" w:space="0" w:color="auto"/>
            <w:right w:val="none" w:sz="0" w:space="0" w:color="auto"/>
          </w:divBdr>
          <w:divsChild>
            <w:div w:id="2133939347">
              <w:marLeft w:val="0"/>
              <w:marRight w:val="0"/>
              <w:marTop w:val="0"/>
              <w:marBottom w:val="0"/>
              <w:divBdr>
                <w:top w:val="none" w:sz="0" w:space="0" w:color="auto"/>
                <w:left w:val="none" w:sz="0" w:space="0" w:color="auto"/>
                <w:bottom w:val="none" w:sz="0" w:space="0" w:color="auto"/>
                <w:right w:val="none" w:sz="0" w:space="0" w:color="auto"/>
              </w:divBdr>
            </w:div>
          </w:divsChild>
        </w:div>
        <w:div w:id="49153843">
          <w:marLeft w:val="0"/>
          <w:marRight w:val="0"/>
          <w:marTop w:val="0"/>
          <w:marBottom w:val="0"/>
          <w:divBdr>
            <w:top w:val="none" w:sz="0" w:space="0" w:color="auto"/>
            <w:left w:val="none" w:sz="0" w:space="0" w:color="auto"/>
            <w:bottom w:val="none" w:sz="0" w:space="0" w:color="auto"/>
            <w:right w:val="none" w:sz="0" w:space="0" w:color="auto"/>
          </w:divBdr>
          <w:divsChild>
            <w:div w:id="493304589">
              <w:marLeft w:val="0"/>
              <w:marRight w:val="0"/>
              <w:marTop w:val="0"/>
              <w:marBottom w:val="0"/>
              <w:divBdr>
                <w:top w:val="none" w:sz="0" w:space="0" w:color="auto"/>
                <w:left w:val="none" w:sz="0" w:space="0" w:color="auto"/>
                <w:bottom w:val="none" w:sz="0" w:space="0" w:color="auto"/>
                <w:right w:val="none" w:sz="0" w:space="0" w:color="auto"/>
              </w:divBdr>
            </w:div>
          </w:divsChild>
        </w:div>
        <w:div w:id="606814967">
          <w:marLeft w:val="0"/>
          <w:marRight w:val="0"/>
          <w:marTop w:val="0"/>
          <w:marBottom w:val="0"/>
          <w:divBdr>
            <w:top w:val="none" w:sz="0" w:space="0" w:color="auto"/>
            <w:left w:val="none" w:sz="0" w:space="0" w:color="auto"/>
            <w:bottom w:val="none" w:sz="0" w:space="0" w:color="auto"/>
            <w:right w:val="none" w:sz="0" w:space="0" w:color="auto"/>
          </w:divBdr>
          <w:divsChild>
            <w:div w:id="2050836639">
              <w:marLeft w:val="0"/>
              <w:marRight w:val="0"/>
              <w:marTop w:val="0"/>
              <w:marBottom w:val="0"/>
              <w:divBdr>
                <w:top w:val="none" w:sz="0" w:space="0" w:color="auto"/>
                <w:left w:val="none" w:sz="0" w:space="0" w:color="auto"/>
                <w:bottom w:val="none" w:sz="0" w:space="0" w:color="auto"/>
                <w:right w:val="none" w:sz="0" w:space="0" w:color="auto"/>
              </w:divBdr>
            </w:div>
          </w:divsChild>
        </w:div>
        <w:div w:id="567770744">
          <w:marLeft w:val="0"/>
          <w:marRight w:val="0"/>
          <w:marTop w:val="0"/>
          <w:marBottom w:val="0"/>
          <w:divBdr>
            <w:top w:val="none" w:sz="0" w:space="0" w:color="auto"/>
            <w:left w:val="none" w:sz="0" w:space="0" w:color="auto"/>
            <w:bottom w:val="none" w:sz="0" w:space="0" w:color="auto"/>
            <w:right w:val="none" w:sz="0" w:space="0" w:color="auto"/>
          </w:divBdr>
          <w:divsChild>
            <w:div w:id="346255162">
              <w:marLeft w:val="0"/>
              <w:marRight w:val="0"/>
              <w:marTop w:val="0"/>
              <w:marBottom w:val="0"/>
              <w:divBdr>
                <w:top w:val="none" w:sz="0" w:space="0" w:color="auto"/>
                <w:left w:val="none" w:sz="0" w:space="0" w:color="auto"/>
                <w:bottom w:val="none" w:sz="0" w:space="0" w:color="auto"/>
                <w:right w:val="none" w:sz="0" w:space="0" w:color="auto"/>
              </w:divBdr>
            </w:div>
          </w:divsChild>
        </w:div>
        <w:div w:id="523173898">
          <w:marLeft w:val="0"/>
          <w:marRight w:val="0"/>
          <w:marTop w:val="0"/>
          <w:marBottom w:val="0"/>
          <w:divBdr>
            <w:top w:val="none" w:sz="0" w:space="0" w:color="auto"/>
            <w:left w:val="none" w:sz="0" w:space="0" w:color="auto"/>
            <w:bottom w:val="none" w:sz="0" w:space="0" w:color="auto"/>
            <w:right w:val="none" w:sz="0" w:space="0" w:color="auto"/>
          </w:divBdr>
          <w:divsChild>
            <w:div w:id="2028369168">
              <w:marLeft w:val="0"/>
              <w:marRight w:val="0"/>
              <w:marTop w:val="0"/>
              <w:marBottom w:val="0"/>
              <w:divBdr>
                <w:top w:val="none" w:sz="0" w:space="0" w:color="auto"/>
                <w:left w:val="none" w:sz="0" w:space="0" w:color="auto"/>
                <w:bottom w:val="none" w:sz="0" w:space="0" w:color="auto"/>
                <w:right w:val="none" w:sz="0" w:space="0" w:color="auto"/>
              </w:divBdr>
            </w:div>
          </w:divsChild>
        </w:div>
        <w:div w:id="666632445">
          <w:marLeft w:val="0"/>
          <w:marRight w:val="0"/>
          <w:marTop w:val="0"/>
          <w:marBottom w:val="0"/>
          <w:divBdr>
            <w:top w:val="none" w:sz="0" w:space="0" w:color="auto"/>
            <w:left w:val="none" w:sz="0" w:space="0" w:color="auto"/>
            <w:bottom w:val="none" w:sz="0" w:space="0" w:color="auto"/>
            <w:right w:val="none" w:sz="0" w:space="0" w:color="auto"/>
          </w:divBdr>
          <w:divsChild>
            <w:div w:id="2119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705CA-4D42-4D3C-8504-40EFDAFF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4183</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Anietie</dc:creator>
  <cp:lastModifiedBy>qwert</cp:lastModifiedBy>
  <cp:revision>6</cp:revision>
  <dcterms:created xsi:type="dcterms:W3CDTF">2026-02-19T15:56:00Z</dcterms:created>
  <dcterms:modified xsi:type="dcterms:W3CDTF">2026-02-22T10:19:00Z</dcterms:modified>
</cp:coreProperties>
</file>