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CA3A" w14:textId="77777777" w:rsidR="004A3A3E" w:rsidRDefault="00000000">
      <w:pPr>
        <w:spacing w:after="200"/>
        <w:jc w:val="center"/>
        <w:rPr>
          <w:rFonts w:ascii="Times" w:eastAsia="Times" w:hAnsi="Times" w:cs="Times"/>
          <w:b/>
          <w:bCs/>
          <w:sz w:val="28"/>
          <w:szCs w:val="28"/>
        </w:rPr>
      </w:pPr>
      <w:r>
        <w:rPr>
          <w:rFonts w:ascii="Times" w:eastAsia="Times" w:hAnsi="Times" w:cs="Times"/>
          <w:b/>
          <w:bCs/>
          <w:sz w:val="28"/>
          <w:szCs w:val="28"/>
        </w:rPr>
        <w:t>Intracranial Aneurysm Detection Using AI: A Review</w:t>
      </w:r>
    </w:p>
    <w:p w14:paraId="2264CCD8" w14:textId="77777777" w:rsidR="004A3A3E" w:rsidRDefault="004A3A3E">
      <w:pPr>
        <w:spacing w:after="200"/>
        <w:jc w:val="center"/>
        <w:rPr>
          <w:rFonts w:ascii="Times" w:eastAsia="Times" w:hAnsi="Times" w:cs="Times"/>
          <w:b/>
          <w:bCs/>
          <w:sz w:val="28"/>
          <w:szCs w:val="28"/>
        </w:rPr>
      </w:pPr>
    </w:p>
    <w:p w14:paraId="24C365FE" w14:textId="77777777" w:rsidR="004A3A3E" w:rsidRDefault="00000000">
      <w:pPr>
        <w:spacing w:after="200"/>
        <w:jc w:val="both"/>
        <w:rPr>
          <w:rFonts w:ascii="Times" w:eastAsia="Times" w:hAnsi="Times" w:cs="Times"/>
          <w:sz w:val="18"/>
          <w:szCs w:val="18"/>
        </w:rPr>
      </w:pPr>
      <w:r>
        <w:rPr>
          <w:rFonts w:ascii="Times" w:eastAsia="Times" w:hAnsi="Times" w:cs="Times"/>
          <w:b/>
          <w:bCs/>
          <w:sz w:val="18"/>
          <w:szCs w:val="18"/>
        </w:rPr>
        <w:t>Abstract.</w:t>
      </w:r>
      <w:r>
        <w:rPr>
          <w:rFonts w:ascii="Times" w:eastAsia="Times" w:hAnsi="Times" w:cs="Times"/>
          <w:sz w:val="18"/>
          <w:szCs w:val="18"/>
        </w:rPr>
        <w:t xml:space="preserve"> Intracranial aneurysms are dangerous cerebrovascular anomalies that, upon rupture, may lead to subarachnoid hemorrhage and severe neurological outcomes; therefore, their early and correct diagnosis is of clinical interest. Recently, artificial intelligence-based approaches have appeared in the literature in the last few years for automatically detecting, segmenting intracranial aneurysms, and related risk analysis on multimodal neuroimaging. This review offers a comprehensive overview of the IA-related literature published between June 2022 and October 2025, which systematically analyzed AI approaches on various levels: definition, imaging modality, model architecture, dataset, and evaluation strategy. A task-oriented and modality-aware taxonomy is proposed to categorize the recent advances and trends. Although there are some encouraging results reported in the literature, the lack of publicly available datasets, class imbalance, diversity in evaluation settings, and the absence of prospective clinical studies are all obstacles to real-world applications. The review summarizes current progress and presents key research directions needed for the robust clinical translation of AI-assisted intracranial aneurysm analysis systems.</w:t>
      </w:r>
    </w:p>
    <w:p w14:paraId="772C88C1" w14:textId="77777777" w:rsidR="004A3A3E" w:rsidRDefault="00000000">
      <w:pPr>
        <w:spacing w:after="200"/>
        <w:jc w:val="both"/>
        <w:rPr>
          <w:rFonts w:ascii="Times" w:eastAsia="Times" w:hAnsi="Times" w:cs="Times"/>
          <w:sz w:val="18"/>
          <w:szCs w:val="18"/>
        </w:rPr>
      </w:pPr>
      <w:r>
        <w:rPr>
          <w:rFonts w:ascii="Times" w:eastAsia="Times" w:hAnsi="Times" w:cs="Times"/>
          <w:b/>
          <w:bCs/>
          <w:sz w:val="18"/>
          <w:szCs w:val="18"/>
        </w:rPr>
        <w:t>Keywords:</w:t>
      </w:r>
      <w:r>
        <w:rPr>
          <w:rFonts w:ascii="Times" w:eastAsia="Times" w:hAnsi="Times" w:cs="Times"/>
          <w:sz w:val="18"/>
          <w:szCs w:val="18"/>
        </w:rPr>
        <w:t xml:space="preserve"> Intracranial aneurysm; deep learning; computer-aided diagnosis; medical image analysis; image segmentation; multimodal neuroimaging;</w:t>
      </w:r>
    </w:p>
    <w:p w14:paraId="028738E5" w14:textId="77777777" w:rsidR="004A3A3E" w:rsidRDefault="00000000">
      <w:pPr>
        <w:numPr>
          <w:ilvl w:val="0"/>
          <w:numId w:val="2"/>
        </w:numPr>
        <w:spacing w:after="200"/>
        <w:jc w:val="both"/>
        <w:rPr>
          <w:rFonts w:ascii="Times" w:eastAsia="Times" w:hAnsi="Times" w:cs="Times"/>
          <w:b/>
          <w:bCs/>
          <w:sz w:val="24"/>
          <w:szCs w:val="24"/>
        </w:rPr>
      </w:pPr>
      <w:r>
        <w:rPr>
          <w:rFonts w:ascii="Times" w:eastAsia="Times" w:hAnsi="Times" w:cs="Times"/>
          <w:b/>
          <w:bCs/>
          <w:sz w:val="24"/>
          <w:szCs w:val="24"/>
        </w:rPr>
        <w:t>Introduction</w:t>
      </w:r>
    </w:p>
    <w:p w14:paraId="189E6882"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Intracranial aneurysms (IAs) are considered to be abnormal dilations of arteries in the brain, which may rupture and lead to subarachnoid hemorrhage (SAH) due to potentially life-threatening conditions. The prognosis for ruptures is determined by the severity of the condition, which has a high mortality rate and disability [1], [2]. The prognosis is dependent on the early diagnosis of aneurysm rupture, which emphasizes the importance of early and accurate diagnosis of IAs [3]. The accurate diagnosis of IAs is difficult in clinical settings, particularly in cases with small aneurysm sizes, complex vascular anatomical structures, and multiple IAs [4].</w:t>
      </w:r>
    </w:p>
    <w:p w14:paraId="101C095D"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CTA (Computed Tomography Angiography), MRA (Magnetic Resonance Angiography), TOF-MRA (Time-Of-Flight MRA), and DSA (Digital Subtraction Angiography) have greatly improved the visualization of intracranial vasculature [5]. Of these techniques, DSA is the clinical standard since it has the best spatial resolution; however, it also involves invasiveness and radiation exposure [6]. Despite such advances in imaging quality, the interpretation of cerebrovascular scans highly relies on expertise from radiologists and remains time-consuming, as well as prone to inter-observer variability, especially in high-volume clinical settings [7].</w:t>
      </w:r>
    </w:p>
    <w:p w14:paraId="1E9FFFDE"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Recently, artificial intelligence (AI), specifically machine learning (ML) and deep learning (DL), has been identified as a promising method for computer-aided diagnosis (CAD) in medical imaging, including the analysis of intracranial aneurysms [8], [9]. Various methods have been proposed using AI for the detection, segmentation, and risk of rupture of aneurysms, mainly based on convolutional neural networks, encoder-decoder networks such as U-Net, and object detection models [10], [12]. More recent studies have explored transformer-based, graph-based, and hybrid models to better capture vascular geometry and contextual information [13], [14].</w:t>
      </w:r>
    </w:p>
    <w:p w14:paraId="7B279B45"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Some review studies conducted in 2022 and 2024 presented a comprehensive overview of early achievements in AI-related tasks in the detection and segmentation of intracranial aneurysms [15]–[18]. Nevertheless, in recent times, particularly after mid-2022, there have been tremendous developments in AI model creation and formulation of multimodal learning strategies, dataset sizes, as well as clinical validation studies, including multi-reader and workflow studies [19]–[21]. As such, there is a need to carry out an overall synthesis of the latest developments with regard to emerging trends, as well as the challenges involved.</w:t>
      </w:r>
    </w:p>
    <w:p w14:paraId="397CAC0A"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 xml:space="preserve">This review presents a selection of articles published between June 2022 and October 2025 on AI-related IA analysis. The objectives of the review articles include providing a systematic review of the AI-related studies by clinical tasks, </w:t>
      </w:r>
      <w:r>
        <w:rPr>
          <w:rFonts w:ascii="Times" w:eastAsia="Times" w:hAnsi="Times" w:cs="Times"/>
          <w:sz w:val="20"/>
          <w:szCs w:val="20"/>
        </w:rPr>
        <w:lastRenderedPageBreak/>
        <w:t>image modalities, and model architectures, presenting a task-oriented and modality-aware theory of grouping the recent studies, and outlining the challenges for future research that will ensure the translation of AI-related intracranial aneurysm analysis systems into clinical practice with success.</w:t>
      </w:r>
    </w:p>
    <w:p w14:paraId="7EE0CCC7" w14:textId="77777777" w:rsidR="004A3A3E" w:rsidRDefault="00000000">
      <w:pPr>
        <w:numPr>
          <w:ilvl w:val="0"/>
          <w:numId w:val="2"/>
        </w:numPr>
        <w:spacing w:after="200"/>
        <w:jc w:val="both"/>
        <w:rPr>
          <w:rFonts w:ascii="Times" w:eastAsia="Times" w:hAnsi="Times" w:cs="Times"/>
          <w:b/>
          <w:bCs/>
          <w:sz w:val="24"/>
          <w:szCs w:val="24"/>
        </w:rPr>
      </w:pPr>
      <w:r>
        <w:rPr>
          <w:rFonts w:ascii="Times" w:eastAsia="Times" w:hAnsi="Times" w:cs="Times"/>
          <w:b/>
          <w:bCs/>
          <w:sz w:val="24"/>
          <w:szCs w:val="24"/>
        </w:rPr>
        <w:t>Related Works</w:t>
      </w:r>
    </w:p>
    <w:p w14:paraId="111CE3A2" w14:textId="77777777" w:rsidR="004A3A3E" w:rsidRDefault="00000000">
      <w:pPr>
        <w:jc w:val="both"/>
        <w:rPr>
          <w:rFonts w:ascii="Times" w:eastAsia="Times" w:hAnsi="Times" w:cs="Times"/>
          <w:sz w:val="20"/>
          <w:szCs w:val="20"/>
        </w:rPr>
      </w:pPr>
      <w:r>
        <w:rPr>
          <w:rFonts w:ascii="Times" w:eastAsia="Times" w:hAnsi="Times" w:cs="Times"/>
          <w:sz w:val="20"/>
          <w:szCs w:val="20"/>
        </w:rPr>
        <w:t>Recent years have seen a lot of progress in using artificial intelligence to help with intracranial aneurysm analysis. This is because of developments in deep learning and better computers. Doctors are also getting more interested in using computers to help them diagnose problems. Now people are working on more than finding intracranial aneurysms early. They are also trying to figure out the shape and size of the aneurysms and how likely they are to rupture. They are using different kinds of imaging tests to do this, like intracranial aneurysm analysis, with artificial intelligence. Artificial intelligence is helping with IA analysis in various ways.</w:t>
      </w:r>
    </w:p>
    <w:p w14:paraId="1C5582B7" w14:textId="77777777" w:rsidR="004A3A3E" w:rsidRDefault="004A3A3E">
      <w:pPr>
        <w:jc w:val="both"/>
        <w:rPr>
          <w:rFonts w:ascii="Times" w:eastAsia="Times" w:hAnsi="Times" w:cs="Times"/>
          <w:sz w:val="20"/>
          <w:szCs w:val="20"/>
        </w:rPr>
      </w:pPr>
    </w:p>
    <w:p w14:paraId="17845730" w14:textId="77777777" w:rsidR="004A3A3E" w:rsidRDefault="00000000">
      <w:pPr>
        <w:ind w:left="360"/>
        <w:jc w:val="both"/>
        <w:rPr>
          <w:rFonts w:ascii="Times" w:eastAsia="Times" w:hAnsi="Times" w:cs="Times"/>
          <w:b/>
          <w:bCs/>
          <w:sz w:val="20"/>
          <w:szCs w:val="20"/>
        </w:rPr>
      </w:pPr>
      <w:r>
        <w:rPr>
          <w:rFonts w:ascii="Times" w:eastAsia="Times" w:hAnsi="Times" w:cs="Times"/>
          <w:b/>
          <w:bCs/>
          <w:sz w:val="20"/>
          <w:szCs w:val="20"/>
        </w:rPr>
        <w:t>2.1 AI-Based Intracranial Aneurysm Detection</w:t>
      </w:r>
    </w:p>
    <w:p w14:paraId="4B118276" w14:textId="77777777" w:rsidR="004A3A3E" w:rsidRDefault="004A3A3E">
      <w:pPr>
        <w:jc w:val="both"/>
        <w:rPr>
          <w:rFonts w:ascii="Times" w:eastAsia="Times" w:hAnsi="Times" w:cs="Times"/>
          <w:sz w:val="20"/>
          <w:szCs w:val="20"/>
        </w:rPr>
      </w:pPr>
    </w:p>
    <w:p w14:paraId="79C6C148" w14:textId="77777777" w:rsidR="004A3A3E" w:rsidRDefault="00000000">
      <w:pPr>
        <w:spacing w:after="200"/>
        <w:jc w:val="both"/>
        <w:rPr>
          <w:rFonts w:ascii="Times" w:eastAsia="Times" w:hAnsi="Times" w:cs="Times"/>
          <w:sz w:val="20"/>
          <w:szCs w:val="20"/>
        </w:rPr>
      </w:pPr>
      <w:r>
        <w:rPr>
          <w:rFonts w:ascii="Times" w:eastAsia="Times" w:hAnsi="Times" w:cs="Times"/>
          <w:sz w:val="20"/>
          <w:szCs w:val="20"/>
        </w:rPr>
        <w:t>Automated detection of intracranial aneurysms has been most extensively studied using computed tomography angiography (CTA), owing to its high spatial resolution and routine clinical use. Deep learning models based on convolutional neural networks have demonstrated strong detection performance by learning discriminative vascular features directly from volumetric CTA data [10], [11]. However, these early CNN-based systems often suffered from high false-positive rates due to complex vascular anatomy and severe class imbalance.</w:t>
      </w:r>
    </w:p>
    <w:p w14:paraId="58F1CDE2" w14:textId="77777777" w:rsidR="004A3A3E" w:rsidRDefault="00000000">
      <w:pPr>
        <w:jc w:val="center"/>
        <w:rPr>
          <w:rFonts w:ascii="Times" w:eastAsia="Times" w:hAnsi="Times" w:cs="Times"/>
          <w:sz w:val="18"/>
          <w:szCs w:val="18"/>
        </w:rPr>
      </w:pPr>
      <w:r>
        <w:rPr>
          <w:rFonts w:ascii="Times" w:eastAsia="Times" w:hAnsi="Times" w:cs="Times"/>
          <w:b/>
          <w:bCs/>
          <w:sz w:val="18"/>
          <w:szCs w:val="18"/>
        </w:rPr>
        <w:t>Table 1:</w:t>
      </w:r>
      <w:r>
        <w:rPr>
          <w:rFonts w:ascii="Times" w:eastAsia="Times" w:hAnsi="Times" w:cs="Times"/>
          <w:sz w:val="18"/>
          <w:szCs w:val="18"/>
        </w:rPr>
        <w:t xml:space="preserve"> Detection-focused AI methods for IA analysis with modality as CTA</w:t>
      </w:r>
    </w:p>
    <w:p w14:paraId="4F743224" w14:textId="77777777" w:rsidR="004A3A3E" w:rsidRDefault="004A3A3E">
      <w:pPr>
        <w:spacing w:line="240" w:lineRule="auto"/>
        <w:jc w:val="center"/>
        <w:rPr>
          <w:rFonts w:ascii="Times" w:eastAsia="Times" w:hAnsi="Times" w:cs="Times"/>
          <w:sz w:val="18"/>
          <w:szCs w:val="18"/>
        </w:rPr>
      </w:pPr>
    </w:p>
    <w:tbl>
      <w:tblPr>
        <w:tblStyle w:val="a"/>
        <w:tblW w:w="9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675"/>
        <w:gridCol w:w="2475"/>
        <w:gridCol w:w="1665"/>
        <w:gridCol w:w="2115"/>
        <w:gridCol w:w="1830"/>
      </w:tblGrid>
      <w:tr w:rsidR="004A3A3E" w14:paraId="7DC52B28" w14:textId="77777777">
        <w:tc>
          <w:tcPr>
            <w:tcW w:w="705" w:type="dxa"/>
            <w:tcMar>
              <w:top w:w="100" w:type="dxa"/>
              <w:left w:w="100" w:type="dxa"/>
              <w:bottom w:w="100" w:type="dxa"/>
              <w:right w:w="100" w:type="dxa"/>
            </w:tcMar>
          </w:tcPr>
          <w:p w14:paraId="37B45D27"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Ref.</w:t>
            </w:r>
          </w:p>
        </w:tc>
        <w:tc>
          <w:tcPr>
            <w:tcW w:w="675" w:type="dxa"/>
            <w:tcMar>
              <w:top w:w="100" w:type="dxa"/>
              <w:left w:w="100" w:type="dxa"/>
              <w:bottom w:w="100" w:type="dxa"/>
              <w:right w:w="100" w:type="dxa"/>
            </w:tcMar>
          </w:tcPr>
          <w:p w14:paraId="1D668559"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Year</w:t>
            </w:r>
          </w:p>
        </w:tc>
        <w:tc>
          <w:tcPr>
            <w:tcW w:w="2475" w:type="dxa"/>
            <w:tcMar>
              <w:top w:w="100" w:type="dxa"/>
              <w:left w:w="100" w:type="dxa"/>
              <w:bottom w:w="100" w:type="dxa"/>
              <w:right w:w="100" w:type="dxa"/>
            </w:tcMar>
          </w:tcPr>
          <w:p w14:paraId="01167B8E"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Model/approach</w:t>
            </w:r>
          </w:p>
        </w:tc>
        <w:tc>
          <w:tcPr>
            <w:tcW w:w="1665" w:type="dxa"/>
            <w:tcMar>
              <w:top w:w="100" w:type="dxa"/>
              <w:left w:w="100" w:type="dxa"/>
              <w:bottom w:w="100" w:type="dxa"/>
              <w:right w:w="100" w:type="dxa"/>
            </w:tcMar>
          </w:tcPr>
          <w:p w14:paraId="568EB05B"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Dataset</w:t>
            </w:r>
          </w:p>
        </w:tc>
        <w:tc>
          <w:tcPr>
            <w:tcW w:w="2115" w:type="dxa"/>
            <w:tcMar>
              <w:top w:w="100" w:type="dxa"/>
              <w:left w:w="100" w:type="dxa"/>
              <w:bottom w:w="100" w:type="dxa"/>
              <w:right w:w="100" w:type="dxa"/>
            </w:tcMar>
          </w:tcPr>
          <w:p w14:paraId="3B106E9F"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Key strengths</w:t>
            </w:r>
          </w:p>
        </w:tc>
        <w:tc>
          <w:tcPr>
            <w:tcW w:w="1830" w:type="dxa"/>
            <w:tcMar>
              <w:top w:w="100" w:type="dxa"/>
              <w:left w:w="100" w:type="dxa"/>
              <w:bottom w:w="100" w:type="dxa"/>
              <w:right w:w="100" w:type="dxa"/>
            </w:tcMar>
          </w:tcPr>
          <w:p w14:paraId="0070ADB8"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Limitations</w:t>
            </w:r>
          </w:p>
        </w:tc>
      </w:tr>
      <w:tr w:rsidR="004A3A3E" w14:paraId="1A3D7078" w14:textId="77777777">
        <w:tc>
          <w:tcPr>
            <w:tcW w:w="705" w:type="dxa"/>
            <w:tcMar>
              <w:top w:w="100" w:type="dxa"/>
              <w:left w:w="100" w:type="dxa"/>
              <w:bottom w:w="100" w:type="dxa"/>
              <w:right w:w="100" w:type="dxa"/>
            </w:tcMar>
          </w:tcPr>
          <w:p w14:paraId="10158A08"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[10]</w:t>
            </w:r>
          </w:p>
        </w:tc>
        <w:tc>
          <w:tcPr>
            <w:tcW w:w="675" w:type="dxa"/>
            <w:tcMar>
              <w:top w:w="100" w:type="dxa"/>
              <w:left w:w="100" w:type="dxa"/>
              <w:bottom w:w="100" w:type="dxa"/>
              <w:right w:w="100" w:type="dxa"/>
            </w:tcMar>
          </w:tcPr>
          <w:p w14:paraId="255D1486"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2024</w:t>
            </w:r>
          </w:p>
        </w:tc>
        <w:tc>
          <w:tcPr>
            <w:tcW w:w="2475" w:type="dxa"/>
            <w:tcBorders>
              <w:bottom w:val="single" w:sz="4" w:space="0" w:color="000000"/>
            </w:tcBorders>
            <w:tcMar>
              <w:top w:w="100" w:type="dxa"/>
              <w:left w:w="100" w:type="dxa"/>
              <w:bottom w:w="100" w:type="dxa"/>
              <w:right w:w="100" w:type="dxa"/>
            </w:tcMar>
          </w:tcPr>
          <w:p w14:paraId="7EE91452"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CNN-based CAD</w:t>
            </w:r>
          </w:p>
        </w:tc>
        <w:tc>
          <w:tcPr>
            <w:tcW w:w="1665" w:type="dxa"/>
            <w:tcBorders>
              <w:bottom w:val="single" w:sz="4" w:space="0" w:color="000000"/>
            </w:tcBorders>
            <w:tcMar>
              <w:top w:w="100" w:type="dxa"/>
              <w:left w:w="100" w:type="dxa"/>
              <w:bottom w:w="100" w:type="dxa"/>
              <w:right w:w="100" w:type="dxa"/>
            </w:tcMar>
          </w:tcPr>
          <w:p w14:paraId="4EBD7E1B"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Multi-center CTA</w:t>
            </w:r>
          </w:p>
        </w:tc>
        <w:tc>
          <w:tcPr>
            <w:tcW w:w="2115" w:type="dxa"/>
            <w:tcBorders>
              <w:bottom w:val="single" w:sz="4" w:space="0" w:color="000000"/>
            </w:tcBorders>
            <w:tcMar>
              <w:top w:w="100" w:type="dxa"/>
              <w:left w:w="100" w:type="dxa"/>
              <w:bottom w:w="100" w:type="dxa"/>
              <w:right w:w="100" w:type="dxa"/>
            </w:tcMar>
          </w:tcPr>
          <w:p w14:paraId="569BB670"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High sensitivity on clinical CTA</w:t>
            </w:r>
          </w:p>
        </w:tc>
        <w:tc>
          <w:tcPr>
            <w:tcW w:w="1830" w:type="dxa"/>
            <w:tcBorders>
              <w:bottom w:val="single" w:sz="4" w:space="0" w:color="000000"/>
            </w:tcBorders>
            <w:tcMar>
              <w:top w:w="100" w:type="dxa"/>
              <w:left w:w="100" w:type="dxa"/>
              <w:bottom w:w="100" w:type="dxa"/>
              <w:right w:w="100" w:type="dxa"/>
            </w:tcMar>
          </w:tcPr>
          <w:p w14:paraId="2EB2BE5B"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Elevated false positives for small IAs</w:t>
            </w:r>
          </w:p>
        </w:tc>
      </w:tr>
      <w:tr w:rsidR="004A3A3E" w14:paraId="2450B931" w14:textId="77777777">
        <w:tc>
          <w:tcPr>
            <w:tcW w:w="705" w:type="dxa"/>
            <w:tcMar>
              <w:top w:w="100" w:type="dxa"/>
              <w:left w:w="100" w:type="dxa"/>
              <w:bottom w:w="100" w:type="dxa"/>
              <w:right w:w="100" w:type="dxa"/>
            </w:tcMar>
          </w:tcPr>
          <w:p w14:paraId="4210630A"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[11]</w:t>
            </w:r>
          </w:p>
        </w:tc>
        <w:tc>
          <w:tcPr>
            <w:tcW w:w="675" w:type="dxa"/>
            <w:tcMar>
              <w:top w:w="100" w:type="dxa"/>
              <w:left w:w="100" w:type="dxa"/>
              <w:bottom w:w="100" w:type="dxa"/>
              <w:right w:w="100" w:type="dxa"/>
            </w:tcMar>
          </w:tcPr>
          <w:p w14:paraId="09B4605C"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2023</w:t>
            </w:r>
          </w:p>
        </w:tc>
        <w:tc>
          <w:tcPr>
            <w:tcW w:w="24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E16836"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3D CNN</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67C1B3"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Institutional CTA</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7EC0F4"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Robust volumetric learning</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BD0AB6"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Limited generalization</w:t>
            </w:r>
          </w:p>
        </w:tc>
      </w:tr>
      <w:tr w:rsidR="004A3A3E" w14:paraId="06505D28" w14:textId="77777777">
        <w:tc>
          <w:tcPr>
            <w:tcW w:w="705" w:type="dxa"/>
            <w:tcMar>
              <w:top w:w="100" w:type="dxa"/>
              <w:left w:w="100" w:type="dxa"/>
              <w:bottom w:w="100" w:type="dxa"/>
              <w:right w:w="100" w:type="dxa"/>
            </w:tcMar>
          </w:tcPr>
          <w:p w14:paraId="47DD54CF"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[4]</w:t>
            </w:r>
          </w:p>
        </w:tc>
        <w:tc>
          <w:tcPr>
            <w:tcW w:w="675" w:type="dxa"/>
            <w:tcBorders>
              <w:right w:val="single" w:sz="4" w:space="0" w:color="000000"/>
            </w:tcBorders>
            <w:tcMar>
              <w:top w:w="100" w:type="dxa"/>
              <w:left w:w="100" w:type="dxa"/>
              <w:bottom w:w="100" w:type="dxa"/>
              <w:right w:w="100" w:type="dxa"/>
            </w:tcMar>
          </w:tcPr>
          <w:p w14:paraId="110B5208"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2024</w:t>
            </w:r>
          </w:p>
        </w:tc>
        <w:tc>
          <w:tcPr>
            <w:tcW w:w="24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56C5A9"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Object detection framework</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E9CC8B"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Mixed CTA</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58DCEB"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End-to-end localization</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1FF6EB"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Small aneurysm sensitivity</w:t>
            </w:r>
          </w:p>
        </w:tc>
      </w:tr>
      <w:tr w:rsidR="004A3A3E" w14:paraId="481C0C50" w14:textId="77777777">
        <w:tc>
          <w:tcPr>
            <w:tcW w:w="705" w:type="dxa"/>
            <w:tcMar>
              <w:top w:w="100" w:type="dxa"/>
              <w:left w:w="100" w:type="dxa"/>
              <w:bottom w:w="100" w:type="dxa"/>
              <w:right w:w="100" w:type="dxa"/>
            </w:tcMar>
          </w:tcPr>
          <w:p w14:paraId="54127B75"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[22]</w:t>
            </w:r>
          </w:p>
        </w:tc>
        <w:tc>
          <w:tcPr>
            <w:tcW w:w="675" w:type="dxa"/>
            <w:tcBorders>
              <w:right w:val="single" w:sz="4" w:space="0" w:color="000000"/>
            </w:tcBorders>
            <w:tcMar>
              <w:top w:w="100" w:type="dxa"/>
              <w:left w:w="100" w:type="dxa"/>
              <w:bottom w:w="100" w:type="dxa"/>
              <w:right w:w="100" w:type="dxa"/>
            </w:tcMar>
          </w:tcPr>
          <w:p w14:paraId="64170C9F"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2022</w:t>
            </w:r>
          </w:p>
        </w:tc>
        <w:tc>
          <w:tcPr>
            <w:tcW w:w="24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C16C9"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Cascade detection network</w:t>
            </w:r>
          </w:p>
        </w:tc>
        <w:tc>
          <w:tcPr>
            <w:tcW w:w="1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313DA"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CTA cohort</w:t>
            </w:r>
          </w:p>
        </w:tc>
        <w:tc>
          <w:tcPr>
            <w:tcW w:w="21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ED958B"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Reduced FP rate</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8EDF5F"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Multi-stage complexity</w:t>
            </w:r>
          </w:p>
        </w:tc>
      </w:tr>
    </w:tbl>
    <w:p w14:paraId="771139DE" w14:textId="77777777" w:rsidR="004A3A3E" w:rsidRDefault="004A3A3E">
      <w:pPr>
        <w:jc w:val="both"/>
        <w:rPr>
          <w:rFonts w:ascii="Times" w:eastAsia="Times" w:hAnsi="Times" w:cs="Times"/>
          <w:sz w:val="20"/>
          <w:szCs w:val="20"/>
        </w:rPr>
      </w:pPr>
    </w:p>
    <w:p w14:paraId="6AE5ED8F" w14:textId="77777777" w:rsidR="004A3A3E" w:rsidRDefault="00000000">
      <w:pPr>
        <w:jc w:val="both"/>
        <w:rPr>
          <w:rFonts w:ascii="Times" w:eastAsia="Times" w:hAnsi="Times" w:cs="Times"/>
          <w:sz w:val="20"/>
          <w:szCs w:val="20"/>
        </w:rPr>
      </w:pPr>
      <w:r>
        <w:rPr>
          <w:rFonts w:ascii="Times" w:eastAsia="Times" w:hAnsi="Times" w:cs="Times"/>
          <w:sz w:val="20"/>
          <w:szCs w:val="20"/>
        </w:rPr>
        <w:t>To solve such problems, multi-stage detection frameworks were proposed, combining candidate generation and false positive reduction networks [22]. Object detection–oriented approaches later reframed aneurysm detection as a localization problem, enabling end-to-end learning without handcrafted candidate extraction and improving robustness in anatomically complex regions [4]. In spite of these improvements, detection of very small aneurysms, especially smaller than 3 mm in diameter, is still a challenge [5], [21].</w:t>
      </w:r>
    </w:p>
    <w:p w14:paraId="11D78728" w14:textId="77777777" w:rsidR="004A3A3E" w:rsidRDefault="00000000">
      <w:pPr>
        <w:spacing w:after="200"/>
        <w:jc w:val="both"/>
        <w:rPr>
          <w:rFonts w:ascii="Times" w:eastAsia="Times" w:hAnsi="Times" w:cs="Times"/>
          <w:sz w:val="20"/>
          <w:szCs w:val="20"/>
        </w:rPr>
      </w:pPr>
      <w:r>
        <w:rPr>
          <w:rFonts w:ascii="Times" w:eastAsia="Times" w:hAnsi="Times" w:cs="Times"/>
          <w:sz w:val="20"/>
          <w:szCs w:val="20"/>
        </w:rPr>
        <w:t>Magnetic resonance angiography (MRA) and time-of-flight magnetic resonance angiography (TOF-MRA) have additionally been investigated for automated detection, especially in situations where screening and longitudinal follow-up are needed, and radiation exposure is an issue [6]. In comparison to CTA, MRA-based approaches have to deal with the lower signal-to-noise ratio and flow-related artifacts, motivating modality-specific preprocessing and augmentation approaches [7].</w:t>
      </w:r>
    </w:p>
    <w:p w14:paraId="1468B4EB"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2.2 Segmentation-Based Approaches</w:t>
      </w:r>
    </w:p>
    <w:p w14:paraId="0FF1555E"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lastRenderedPageBreak/>
        <w:t>Accurate segmentation of aneurysm boundaries is necessary for its morphological analysis and treatment planning. Encoder-decoder architectures, notably U-Net and all its variants, have become the prevailing architectures for aneurysm segmentation in both CTA and MRA modals [8], [9]. These architectures are effective in the context of integrating multiscale contextual information and maintaining spatial details using skip connections.</w:t>
      </w:r>
    </w:p>
    <w:p w14:paraId="3864C141"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Subsequent studies added attention mechanisms, residual connections, and deep supervision to improve the delineation of boundaries and the segmentation stability on small datasets [23]. Vessel-aware modeling strategies such as centerline-guided learning and topology-preserving constraints have further increased the segmentation accuracy in the case of close connections between aneurysms with parent vessels [11], [24]. However, segmentation performance is still sensitive to the quality of the annotation and the inter-observer variability, especially for irregularly shaped aneurysms.</w:t>
      </w:r>
    </w:p>
    <w:p w14:paraId="0C56A6BE" w14:textId="77777777" w:rsidR="004A3A3E" w:rsidRDefault="00000000">
      <w:pPr>
        <w:jc w:val="center"/>
        <w:rPr>
          <w:rFonts w:ascii="Times" w:eastAsia="Times" w:hAnsi="Times" w:cs="Times"/>
          <w:sz w:val="18"/>
          <w:szCs w:val="18"/>
        </w:rPr>
      </w:pPr>
      <w:r>
        <w:rPr>
          <w:rFonts w:ascii="Times" w:eastAsia="Times" w:hAnsi="Times" w:cs="Times"/>
          <w:b/>
          <w:bCs/>
          <w:sz w:val="18"/>
          <w:szCs w:val="18"/>
        </w:rPr>
        <w:t>Table 2:</w:t>
      </w:r>
      <w:r>
        <w:rPr>
          <w:rFonts w:ascii="Times" w:eastAsia="Times" w:hAnsi="Times" w:cs="Times"/>
          <w:sz w:val="18"/>
          <w:szCs w:val="18"/>
        </w:rPr>
        <w:t xml:space="preserve"> Segmentation-based AI methods for modalities CTA/MRA</w:t>
      </w:r>
    </w:p>
    <w:p w14:paraId="73478F7A" w14:textId="77777777" w:rsidR="004A3A3E" w:rsidRDefault="004A3A3E">
      <w:pPr>
        <w:spacing w:line="240" w:lineRule="auto"/>
        <w:jc w:val="center"/>
        <w:rPr>
          <w:rFonts w:ascii="Times" w:eastAsia="Times" w:hAnsi="Times" w:cs="Times"/>
          <w:sz w:val="20"/>
          <w:szCs w:val="20"/>
        </w:rPr>
      </w:pPr>
    </w:p>
    <w:tbl>
      <w:tblPr>
        <w:tblStyle w:val="a0"/>
        <w:tblW w:w="9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720"/>
        <w:gridCol w:w="2160"/>
        <w:gridCol w:w="1650"/>
        <w:gridCol w:w="2280"/>
        <w:gridCol w:w="1965"/>
      </w:tblGrid>
      <w:tr w:rsidR="004A3A3E" w14:paraId="49459E56" w14:textId="77777777">
        <w:tc>
          <w:tcPr>
            <w:tcW w:w="690" w:type="dxa"/>
            <w:tcBorders>
              <w:bottom w:val="single" w:sz="4" w:space="0" w:color="000000"/>
            </w:tcBorders>
            <w:tcMar>
              <w:top w:w="100" w:type="dxa"/>
              <w:left w:w="100" w:type="dxa"/>
              <w:bottom w:w="100" w:type="dxa"/>
              <w:right w:w="100" w:type="dxa"/>
            </w:tcMar>
          </w:tcPr>
          <w:p w14:paraId="1B582DF7"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Ref.</w:t>
            </w:r>
          </w:p>
        </w:tc>
        <w:tc>
          <w:tcPr>
            <w:tcW w:w="720" w:type="dxa"/>
            <w:tcBorders>
              <w:bottom w:val="single" w:sz="4" w:space="0" w:color="000000"/>
            </w:tcBorders>
            <w:tcMar>
              <w:top w:w="100" w:type="dxa"/>
              <w:left w:w="100" w:type="dxa"/>
              <w:bottom w:w="100" w:type="dxa"/>
              <w:right w:w="100" w:type="dxa"/>
            </w:tcMar>
          </w:tcPr>
          <w:p w14:paraId="20E80CE9"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Year</w:t>
            </w:r>
          </w:p>
        </w:tc>
        <w:tc>
          <w:tcPr>
            <w:tcW w:w="2160" w:type="dxa"/>
            <w:tcBorders>
              <w:bottom w:val="single" w:sz="4" w:space="0" w:color="000000"/>
            </w:tcBorders>
            <w:tcMar>
              <w:top w:w="100" w:type="dxa"/>
              <w:left w:w="100" w:type="dxa"/>
              <w:bottom w:w="100" w:type="dxa"/>
              <w:right w:w="100" w:type="dxa"/>
            </w:tcMar>
          </w:tcPr>
          <w:p w14:paraId="0144189F"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Model/Approach</w:t>
            </w:r>
          </w:p>
        </w:tc>
        <w:tc>
          <w:tcPr>
            <w:tcW w:w="1650" w:type="dxa"/>
            <w:tcBorders>
              <w:bottom w:val="single" w:sz="4" w:space="0" w:color="000000"/>
            </w:tcBorders>
            <w:tcMar>
              <w:top w:w="100" w:type="dxa"/>
              <w:left w:w="100" w:type="dxa"/>
              <w:bottom w:w="100" w:type="dxa"/>
              <w:right w:w="100" w:type="dxa"/>
            </w:tcMar>
          </w:tcPr>
          <w:p w14:paraId="2C71344D"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Dataset</w:t>
            </w:r>
          </w:p>
        </w:tc>
        <w:tc>
          <w:tcPr>
            <w:tcW w:w="2280" w:type="dxa"/>
            <w:tcBorders>
              <w:bottom w:val="single" w:sz="4" w:space="0" w:color="000000"/>
            </w:tcBorders>
            <w:tcMar>
              <w:top w:w="100" w:type="dxa"/>
              <w:left w:w="100" w:type="dxa"/>
              <w:bottom w:w="100" w:type="dxa"/>
              <w:right w:w="100" w:type="dxa"/>
            </w:tcMar>
          </w:tcPr>
          <w:p w14:paraId="0DF02BB8"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Key strengths</w:t>
            </w:r>
          </w:p>
        </w:tc>
        <w:tc>
          <w:tcPr>
            <w:tcW w:w="1965" w:type="dxa"/>
            <w:tcBorders>
              <w:bottom w:val="single" w:sz="4" w:space="0" w:color="000000"/>
            </w:tcBorders>
            <w:tcMar>
              <w:top w:w="100" w:type="dxa"/>
              <w:left w:w="100" w:type="dxa"/>
              <w:bottom w:w="100" w:type="dxa"/>
              <w:right w:w="100" w:type="dxa"/>
            </w:tcMar>
          </w:tcPr>
          <w:p w14:paraId="51C9E43B" w14:textId="77777777" w:rsidR="004A3A3E" w:rsidRDefault="00000000">
            <w:pPr>
              <w:widowControl w:val="0"/>
              <w:spacing w:line="240" w:lineRule="auto"/>
              <w:jc w:val="center"/>
              <w:rPr>
                <w:rFonts w:ascii="Times" w:eastAsia="Times" w:hAnsi="Times" w:cs="Times"/>
                <w:b/>
                <w:bCs/>
                <w:sz w:val="20"/>
                <w:szCs w:val="20"/>
              </w:rPr>
            </w:pPr>
            <w:r>
              <w:rPr>
                <w:rFonts w:ascii="Times" w:eastAsia="Times" w:hAnsi="Times" w:cs="Times"/>
                <w:b/>
                <w:bCs/>
                <w:sz w:val="20"/>
                <w:szCs w:val="20"/>
              </w:rPr>
              <w:t>Limitations</w:t>
            </w:r>
          </w:p>
        </w:tc>
      </w:tr>
      <w:tr w:rsidR="004A3A3E" w14:paraId="4035C8D9" w14:textId="77777777">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D824CF"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[8]</w:t>
            </w:r>
          </w:p>
        </w:tc>
        <w:tc>
          <w:tcPr>
            <w:tcW w:w="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08CB54"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2025</w:t>
            </w:r>
          </w:p>
        </w:tc>
        <w:tc>
          <w:tcPr>
            <w:tcW w:w="2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D1CDA"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U-Net variants</w:t>
            </w:r>
          </w:p>
        </w:tc>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F887AD"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Multi-institution</w:t>
            </w:r>
          </w:p>
        </w:tc>
        <w:tc>
          <w:tcPr>
            <w:tcW w:w="2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79BF55"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Strong boundary accuracy</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DDE4C"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Annotation dependency</w:t>
            </w:r>
          </w:p>
        </w:tc>
      </w:tr>
      <w:tr w:rsidR="004A3A3E" w14:paraId="4D526702" w14:textId="77777777">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67125C"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[9]</w:t>
            </w:r>
          </w:p>
        </w:tc>
        <w:tc>
          <w:tcPr>
            <w:tcW w:w="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831FC"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2024</w:t>
            </w:r>
          </w:p>
        </w:tc>
        <w:tc>
          <w:tcPr>
            <w:tcW w:w="2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E24CDC"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Encoder–decoder DL</w:t>
            </w:r>
          </w:p>
        </w:tc>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AB9C96"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CTA cohort</w:t>
            </w:r>
          </w:p>
        </w:tc>
        <w:tc>
          <w:tcPr>
            <w:tcW w:w="2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332AF"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Consistent Dice scores</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DC37B8"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Irregular shape errors</w:t>
            </w:r>
          </w:p>
        </w:tc>
      </w:tr>
      <w:tr w:rsidR="004A3A3E" w14:paraId="5AA49B74" w14:textId="77777777">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469768"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[23]</w:t>
            </w:r>
          </w:p>
        </w:tc>
        <w:tc>
          <w:tcPr>
            <w:tcW w:w="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2B6F43"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2023</w:t>
            </w:r>
          </w:p>
        </w:tc>
        <w:tc>
          <w:tcPr>
            <w:tcW w:w="2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582831"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Attention U-Net</w:t>
            </w:r>
          </w:p>
        </w:tc>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0ACB3F"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Single-center</w:t>
            </w:r>
          </w:p>
        </w:tc>
        <w:tc>
          <w:tcPr>
            <w:tcW w:w="2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41BDC"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Improved vessel separation</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D96F2"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Limited dataset</w:t>
            </w:r>
          </w:p>
        </w:tc>
      </w:tr>
      <w:tr w:rsidR="004A3A3E" w14:paraId="3963A6EA" w14:textId="77777777">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EC8D4D"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[24]</w:t>
            </w:r>
          </w:p>
        </w:tc>
        <w:tc>
          <w:tcPr>
            <w:tcW w:w="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5ACD9"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2023</w:t>
            </w:r>
          </w:p>
        </w:tc>
        <w:tc>
          <w:tcPr>
            <w:tcW w:w="21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F4CDA3"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Topology-aware DL</w:t>
            </w:r>
          </w:p>
        </w:tc>
        <w:tc>
          <w:tcPr>
            <w:tcW w:w="16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81A0A9"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Research dataset</w:t>
            </w:r>
          </w:p>
        </w:tc>
        <w:tc>
          <w:tcPr>
            <w:tcW w:w="2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FD40F2"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Preserves vascular structure</w:t>
            </w:r>
          </w:p>
        </w:tc>
        <w:tc>
          <w:tcPr>
            <w:tcW w:w="19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B15DAE" w14:textId="77777777" w:rsidR="004A3A3E" w:rsidRDefault="00000000">
            <w:pPr>
              <w:widowControl w:val="0"/>
              <w:spacing w:line="240" w:lineRule="auto"/>
              <w:rPr>
                <w:rFonts w:ascii="Times" w:eastAsia="Times" w:hAnsi="Times" w:cs="Times"/>
                <w:sz w:val="20"/>
                <w:szCs w:val="20"/>
              </w:rPr>
            </w:pPr>
            <w:r>
              <w:rPr>
                <w:rFonts w:ascii="Times" w:eastAsia="Times" w:hAnsi="Times" w:cs="Times"/>
                <w:sz w:val="20"/>
                <w:szCs w:val="20"/>
              </w:rPr>
              <w:t>Requires vessel extraction</w:t>
            </w:r>
          </w:p>
        </w:tc>
      </w:tr>
    </w:tbl>
    <w:p w14:paraId="3F073C85" w14:textId="77777777" w:rsidR="004A3A3E" w:rsidRDefault="004A3A3E">
      <w:pPr>
        <w:rPr>
          <w:rFonts w:ascii="Times" w:eastAsia="Times" w:hAnsi="Times" w:cs="Times"/>
          <w:sz w:val="20"/>
          <w:szCs w:val="20"/>
        </w:rPr>
      </w:pPr>
    </w:p>
    <w:p w14:paraId="13A9882C" w14:textId="77777777" w:rsidR="004A3A3E" w:rsidRDefault="00000000">
      <w:pPr>
        <w:ind w:left="360"/>
        <w:jc w:val="both"/>
        <w:rPr>
          <w:rFonts w:ascii="Times" w:eastAsia="Times" w:hAnsi="Times" w:cs="Times"/>
          <w:b/>
          <w:bCs/>
          <w:sz w:val="20"/>
          <w:szCs w:val="20"/>
        </w:rPr>
      </w:pPr>
      <w:r>
        <w:rPr>
          <w:rFonts w:ascii="Times" w:eastAsia="Times" w:hAnsi="Times" w:cs="Times"/>
          <w:b/>
          <w:bCs/>
          <w:sz w:val="20"/>
          <w:szCs w:val="20"/>
        </w:rPr>
        <w:t>2.3 Joint Detection–Segmentation Frameworks</w:t>
      </w:r>
    </w:p>
    <w:p w14:paraId="69D9A8E5" w14:textId="77777777" w:rsidR="004A3A3E" w:rsidRDefault="00000000">
      <w:pPr>
        <w:spacing w:before="280"/>
        <w:jc w:val="both"/>
        <w:rPr>
          <w:rFonts w:ascii="Times" w:eastAsia="Times" w:hAnsi="Times" w:cs="Times"/>
          <w:sz w:val="20"/>
          <w:szCs w:val="20"/>
        </w:rPr>
      </w:pPr>
      <w:r>
        <w:rPr>
          <w:rFonts w:ascii="Times" w:eastAsia="Times" w:hAnsi="Times" w:cs="Times"/>
          <w:sz w:val="20"/>
          <w:szCs w:val="20"/>
        </w:rPr>
        <w:t>Recognizing the complementary nature of detection and segmentation, several recent works have proposed unified frameworks that perform both tasks within a single pipeline. Joint learning approaches typically employ a shared backbone with task-specific heads, enabling feature reuse and improved consistency between localization and boundary estimation [12].</w:t>
      </w:r>
    </w:p>
    <w:p w14:paraId="5E3139C6" w14:textId="77777777" w:rsidR="004A3A3E" w:rsidRDefault="004A3A3E">
      <w:pPr>
        <w:jc w:val="both"/>
        <w:rPr>
          <w:rFonts w:ascii="Times" w:eastAsia="Times" w:hAnsi="Times" w:cs="Times"/>
          <w:sz w:val="20"/>
          <w:szCs w:val="20"/>
        </w:rPr>
      </w:pPr>
    </w:p>
    <w:p w14:paraId="21823FF1" w14:textId="77777777" w:rsidR="004A3A3E" w:rsidRDefault="00000000">
      <w:pPr>
        <w:jc w:val="both"/>
        <w:rPr>
          <w:rFonts w:ascii="Times" w:eastAsia="Times" w:hAnsi="Times" w:cs="Times"/>
          <w:sz w:val="20"/>
          <w:szCs w:val="20"/>
        </w:rPr>
      </w:pPr>
      <w:r>
        <w:rPr>
          <w:rFonts w:ascii="Times" w:eastAsia="Times" w:hAnsi="Times" w:cs="Times"/>
          <w:sz w:val="20"/>
          <w:szCs w:val="20"/>
        </w:rPr>
        <w:t>Cascade-based designs, where the detection results are used to inform further segmentation networks, have also shown an improved efficiency and reduced false positives [13], [25]. While such integrated systems for clinical deployment are promising, they need to be balanced optimally for loss and have huge datasets so as not to degrade performance due to task interference [14].</w:t>
      </w:r>
    </w:p>
    <w:p w14:paraId="1CDBC051" w14:textId="77777777" w:rsidR="004A3A3E" w:rsidRDefault="004A3A3E">
      <w:pPr>
        <w:jc w:val="both"/>
        <w:rPr>
          <w:rFonts w:ascii="Times" w:eastAsia="Times" w:hAnsi="Times" w:cs="Times"/>
          <w:sz w:val="20"/>
          <w:szCs w:val="20"/>
        </w:rPr>
      </w:pPr>
    </w:p>
    <w:p w14:paraId="356DAD02" w14:textId="77777777" w:rsidR="004A3A3E" w:rsidRDefault="00000000">
      <w:pPr>
        <w:spacing w:before="280" w:after="200"/>
        <w:ind w:left="360"/>
        <w:jc w:val="both"/>
        <w:rPr>
          <w:rFonts w:ascii="Times" w:eastAsia="Times" w:hAnsi="Times" w:cs="Times"/>
          <w:sz w:val="20"/>
          <w:szCs w:val="20"/>
        </w:rPr>
      </w:pPr>
      <w:r>
        <w:rPr>
          <w:rFonts w:ascii="Times" w:eastAsia="Times" w:hAnsi="Times" w:cs="Times"/>
          <w:b/>
          <w:bCs/>
          <w:sz w:val="20"/>
          <w:szCs w:val="20"/>
        </w:rPr>
        <w:t>2.4 Emerging Model Paradigms</w:t>
      </w:r>
    </w:p>
    <w:p w14:paraId="4B92E770" w14:textId="77777777" w:rsidR="004A3A3E" w:rsidRDefault="00000000">
      <w:pPr>
        <w:jc w:val="both"/>
        <w:rPr>
          <w:rFonts w:ascii="Times" w:eastAsia="Times" w:hAnsi="Times" w:cs="Times"/>
          <w:sz w:val="20"/>
          <w:szCs w:val="20"/>
        </w:rPr>
      </w:pPr>
      <w:r>
        <w:rPr>
          <w:rFonts w:ascii="Times" w:eastAsia="Times" w:hAnsi="Times" w:cs="Times"/>
          <w:sz w:val="20"/>
          <w:szCs w:val="20"/>
        </w:rPr>
        <w:t>Transformer-based architectures have been recently proposed for intracranial aneurysm analysis, in order to better represent long-range spatial dependencies in volumetric data [15]. Hybrid CNN-transformer models are used to extract local features as well as to model global context and have demonstrated better performance in preliminary works, although their requirements are high.</w:t>
      </w:r>
    </w:p>
    <w:p w14:paraId="5DC598FD" w14:textId="77777777" w:rsidR="004A3A3E" w:rsidRDefault="004A3A3E">
      <w:pPr>
        <w:jc w:val="both"/>
        <w:rPr>
          <w:rFonts w:ascii="Times" w:eastAsia="Times" w:hAnsi="Times" w:cs="Times"/>
          <w:sz w:val="20"/>
          <w:szCs w:val="20"/>
        </w:rPr>
      </w:pPr>
    </w:p>
    <w:p w14:paraId="008B11EF" w14:textId="77777777" w:rsidR="004A3A3E" w:rsidRDefault="00000000">
      <w:pPr>
        <w:jc w:val="both"/>
        <w:rPr>
          <w:rFonts w:ascii="Times" w:eastAsia="Times" w:hAnsi="Times" w:cs="Times"/>
          <w:sz w:val="20"/>
          <w:szCs w:val="20"/>
        </w:rPr>
      </w:pPr>
      <w:r>
        <w:rPr>
          <w:rFonts w:ascii="Times" w:eastAsia="Times" w:hAnsi="Times" w:cs="Times"/>
          <w:sz w:val="20"/>
          <w:szCs w:val="20"/>
        </w:rPr>
        <w:t xml:space="preserve">Graph-based and point-based learning approaches are another rising direction, whereby the vascular topology is explicitly modeled via meshes, graphs, or point clouds [16], [17]. These methods are especially effective in </w:t>
      </w:r>
      <w:r>
        <w:rPr>
          <w:rFonts w:ascii="Times" w:eastAsia="Times" w:hAnsi="Times" w:cs="Times"/>
          <w:sz w:val="20"/>
          <w:szCs w:val="20"/>
        </w:rPr>
        <w:lastRenderedPageBreak/>
        <w:t>representing a complex vascular geometry, yet often rely on accurate vessel extraction and are often tested on smaller and selected data sets.</w:t>
      </w:r>
    </w:p>
    <w:p w14:paraId="723BA023"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2.5 Rupture Risk Assessment and Clinical Outcome Prediction</w:t>
      </w:r>
    </w:p>
    <w:p w14:paraId="747B6642" w14:textId="77777777" w:rsidR="004A3A3E" w:rsidRDefault="004A3A3E">
      <w:pPr>
        <w:jc w:val="both"/>
        <w:rPr>
          <w:rFonts w:ascii="Times" w:eastAsia="Times" w:hAnsi="Times" w:cs="Times"/>
          <w:sz w:val="20"/>
          <w:szCs w:val="20"/>
        </w:rPr>
      </w:pPr>
    </w:p>
    <w:p w14:paraId="3D0EEDFC" w14:textId="77777777" w:rsidR="004A3A3E" w:rsidRDefault="00000000">
      <w:pPr>
        <w:jc w:val="both"/>
        <w:rPr>
          <w:rFonts w:ascii="Times" w:eastAsia="Times" w:hAnsi="Times" w:cs="Times"/>
          <w:sz w:val="20"/>
          <w:szCs w:val="20"/>
        </w:rPr>
      </w:pPr>
      <w:r>
        <w:rPr>
          <w:rFonts w:ascii="Times" w:eastAsia="Times" w:hAnsi="Times" w:cs="Times"/>
          <w:sz w:val="20"/>
          <w:szCs w:val="20"/>
        </w:rPr>
        <w:t>Beyond detection and segmentation, there is a growing subset of studies that deal with rupture risk studies and clinical outcome prediction. These approaches usually combine morphological features extracted from segmentation with radiomic features or deep features to discriminate ruptured and unruptured aneurysms [18]. Some of the studies further add clinical variables to improve the power of prediction [19]. However, the scarcity of longitudinal data sets and standardized outcome labels continues to limit the generalizability and clinical translation.</w:t>
      </w:r>
    </w:p>
    <w:p w14:paraId="00CCA7B4" w14:textId="77777777" w:rsidR="004A3A3E" w:rsidRDefault="004A3A3E">
      <w:pPr>
        <w:spacing w:after="200"/>
        <w:jc w:val="both"/>
        <w:rPr>
          <w:rFonts w:ascii="Times" w:eastAsia="Times" w:hAnsi="Times" w:cs="Times"/>
          <w:sz w:val="20"/>
          <w:szCs w:val="20"/>
        </w:rPr>
      </w:pPr>
    </w:p>
    <w:p w14:paraId="464A5EFC" w14:textId="77777777" w:rsidR="004A3A3E" w:rsidRDefault="00000000">
      <w:pPr>
        <w:jc w:val="center"/>
        <w:rPr>
          <w:rFonts w:ascii="Times" w:eastAsia="Times" w:hAnsi="Times" w:cs="Times"/>
          <w:sz w:val="18"/>
          <w:szCs w:val="18"/>
        </w:rPr>
      </w:pPr>
      <w:r>
        <w:rPr>
          <w:rFonts w:ascii="Times" w:eastAsia="Times" w:hAnsi="Times" w:cs="Times"/>
          <w:b/>
          <w:bCs/>
          <w:sz w:val="18"/>
          <w:szCs w:val="18"/>
        </w:rPr>
        <w:t>Table 3:</w:t>
      </w:r>
      <w:r>
        <w:rPr>
          <w:rFonts w:ascii="Times" w:eastAsia="Times" w:hAnsi="Times" w:cs="Times"/>
          <w:sz w:val="18"/>
          <w:szCs w:val="18"/>
        </w:rPr>
        <w:t xml:space="preserve"> Qualitative comparison of representative AI-based IA studies</w:t>
      </w:r>
    </w:p>
    <w:p w14:paraId="2E2AC509" w14:textId="77777777" w:rsidR="004A3A3E" w:rsidRDefault="00000000">
      <w:pPr>
        <w:jc w:val="center"/>
        <w:rPr>
          <w:rFonts w:ascii="Times" w:eastAsia="Times" w:hAnsi="Times" w:cs="Times"/>
          <w:sz w:val="18"/>
          <w:szCs w:val="18"/>
        </w:rPr>
      </w:pPr>
      <w:r>
        <w:rPr>
          <w:rFonts w:ascii="Times" w:eastAsia="Times" w:hAnsi="Times" w:cs="Times"/>
          <w:sz w:val="18"/>
          <w:szCs w:val="18"/>
        </w:rPr>
        <w:t>Symbols: ✓ = addressed ◐ = partially addressed ✗ = not addressed</w:t>
      </w:r>
    </w:p>
    <w:p w14:paraId="39D5C742" w14:textId="77777777" w:rsidR="004A3A3E" w:rsidRDefault="004A3A3E">
      <w:pPr>
        <w:spacing w:line="240" w:lineRule="auto"/>
        <w:jc w:val="center"/>
        <w:rPr>
          <w:rFonts w:ascii="Times" w:eastAsia="Times" w:hAnsi="Times" w:cs="Times"/>
          <w:sz w:val="18"/>
          <w:szCs w:val="18"/>
        </w:rPr>
      </w:pPr>
    </w:p>
    <w:tbl>
      <w:tblPr>
        <w:tblStyle w:val="a1"/>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
        <w:gridCol w:w="615"/>
        <w:gridCol w:w="1065"/>
        <w:gridCol w:w="1380"/>
        <w:gridCol w:w="1290"/>
        <w:gridCol w:w="990"/>
        <w:gridCol w:w="900"/>
        <w:gridCol w:w="1395"/>
        <w:gridCol w:w="1260"/>
      </w:tblGrid>
      <w:tr w:rsidR="004A3A3E" w14:paraId="179316E1" w14:textId="77777777">
        <w:trPr>
          <w:trHeight w:val="785"/>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9F269" w14:textId="77777777" w:rsidR="004A3A3E" w:rsidRDefault="00000000">
            <w:pPr>
              <w:jc w:val="center"/>
              <w:rPr>
                <w:rFonts w:ascii="Times" w:eastAsia="Times" w:hAnsi="Times" w:cs="Times"/>
                <w:sz w:val="20"/>
                <w:szCs w:val="20"/>
              </w:rPr>
            </w:pPr>
            <w:r>
              <w:rPr>
                <w:rFonts w:ascii="Times" w:eastAsia="Times" w:hAnsi="Times" w:cs="Times"/>
                <w:b/>
                <w:bCs/>
                <w:sz w:val="20"/>
                <w:szCs w:val="20"/>
              </w:rPr>
              <w:t>Ref.</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59245" w14:textId="77777777" w:rsidR="004A3A3E" w:rsidRDefault="00000000">
            <w:pPr>
              <w:jc w:val="center"/>
              <w:rPr>
                <w:rFonts w:ascii="Times" w:eastAsia="Times" w:hAnsi="Times" w:cs="Times"/>
                <w:sz w:val="20"/>
                <w:szCs w:val="20"/>
              </w:rPr>
            </w:pPr>
            <w:r>
              <w:rPr>
                <w:rFonts w:ascii="Times" w:eastAsia="Times" w:hAnsi="Times" w:cs="Times"/>
                <w:b/>
                <w:bCs/>
                <w:sz w:val="20"/>
                <w:szCs w:val="20"/>
              </w:rPr>
              <w:t>Year</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2918A9" w14:textId="77777777" w:rsidR="004A3A3E" w:rsidRDefault="00000000">
            <w:pPr>
              <w:jc w:val="center"/>
              <w:rPr>
                <w:rFonts w:ascii="Times" w:eastAsia="Times" w:hAnsi="Times" w:cs="Times"/>
                <w:sz w:val="20"/>
                <w:szCs w:val="20"/>
              </w:rPr>
            </w:pPr>
            <w:r>
              <w:rPr>
                <w:rFonts w:ascii="Times" w:eastAsia="Times" w:hAnsi="Times" w:cs="Times"/>
                <w:b/>
                <w:bCs/>
                <w:sz w:val="20"/>
                <w:szCs w:val="20"/>
              </w:rPr>
              <w:t>Detection</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4030F" w14:textId="77777777" w:rsidR="004A3A3E" w:rsidRDefault="00000000">
            <w:pPr>
              <w:jc w:val="center"/>
              <w:rPr>
                <w:rFonts w:ascii="Times" w:eastAsia="Times" w:hAnsi="Times" w:cs="Times"/>
                <w:sz w:val="20"/>
                <w:szCs w:val="20"/>
              </w:rPr>
            </w:pPr>
            <w:r>
              <w:rPr>
                <w:rFonts w:ascii="Times" w:eastAsia="Times" w:hAnsi="Times" w:cs="Times"/>
                <w:b/>
                <w:bCs/>
                <w:sz w:val="20"/>
                <w:szCs w:val="20"/>
              </w:rPr>
              <w:t>Segmentation</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160D13" w14:textId="77777777" w:rsidR="004A3A3E" w:rsidRDefault="00000000">
            <w:pPr>
              <w:jc w:val="center"/>
              <w:rPr>
                <w:rFonts w:ascii="Times" w:eastAsia="Times" w:hAnsi="Times" w:cs="Times"/>
                <w:sz w:val="20"/>
                <w:szCs w:val="20"/>
              </w:rPr>
            </w:pPr>
            <w:r>
              <w:rPr>
                <w:rFonts w:ascii="Times" w:eastAsia="Times" w:hAnsi="Times" w:cs="Times"/>
                <w:b/>
                <w:bCs/>
                <w:sz w:val="20"/>
                <w:szCs w:val="20"/>
              </w:rPr>
              <w:t>Joint Framework</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005556" w14:textId="77777777" w:rsidR="004A3A3E" w:rsidRDefault="00000000">
            <w:pPr>
              <w:jc w:val="center"/>
              <w:rPr>
                <w:rFonts w:ascii="Times" w:eastAsia="Times" w:hAnsi="Times" w:cs="Times"/>
                <w:sz w:val="20"/>
                <w:szCs w:val="20"/>
              </w:rPr>
            </w:pPr>
            <w:r>
              <w:rPr>
                <w:rFonts w:ascii="Times" w:eastAsia="Times" w:hAnsi="Times" w:cs="Times"/>
                <w:b/>
                <w:bCs/>
                <w:sz w:val="20"/>
                <w:szCs w:val="20"/>
              </w:rPr>
              <w:t>Risk Analysis</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D6B05D" w14:textId="77777777" w:rsidR="004A3A3E" w:rsidRDefault="00000000">
            <w:pPr>
              <w:jc w:val="center"/>
              <w:rPr>
                <w:rFonts w:ascii="Times" w:eastAsia="Times" w:hAnsi="Times" w:cs="Times"/>
                <w:sz w:val="20"/>
                <w:szCs w:val="20"/>
              </w:rPr>
            </w:pPr>
            <w:r>
              <w:rPr>
                <w:rFonts w:ascii="Times" w:eastAsia="Times" w:hAnsi="Times" w:cs="Times"/>
                <w:b/>
                <w:bCs/>
                <w:sz w:val="20"/>
                <w:szCs w:val="20"/>
              </w:rPr>
              <w:t>3D Context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38BDBF" w14:textId="77777777" w:rsidR="004A3A3E" w:rsidRDefault="00000000">
            <w:pPr>
              <w:jc w:val="center"/>
              <w:rPr>
                <w:rFonts w:ascii="Times" w:eastAsia="Times" w:hAnsi="Times" w:cs="Times"/>
                <w:b/>
                <w:bCs/>
                <w:sz w:val="20"/>
                <w:szCs w:val="20"/>
              </w:rPr>
            </w:pPr>
            <w:r>
              <w:rPr>
                <w:rFonts w:ascii="Times" w:eastAsia="Times" w:hAnsi="Times" w:cs="Times"/>
                <w:b/>
                <w:bCs/>
                <w:sz w:val="20"/>
                <w:szCs w:val="20"/>
              </w:rPr>
              <w:t>Multi-</w:t>
            </w:r>
          </w:p>
          <w:p w14:paraId="7ED419AE" w14:textId="77777777" w:rsidR="004A3A3E" w:rsidRDefault="00000000">
            <w:pPr>
              <w:jc w:val="center"/>
              <w:rPr>
                <w:rFonts w:ascii="Times" w:eastAsia="Times" w:hAnsi="Times" w:cs="Times"/>
                <w:sz w:val="20"/>
                <w:szCs w:val="20"/>
              </w:rPr>
            </w:pPr>
            <w:r>
              <w:rPr>
                <w:rFonts w:ascii="Times" w:eastAsia="Times" w:hAnsi="Times" w:cs="Times"/>
                <w:b/>
                <w:bCs/>
                <w:sz w:val="20"/>
                <w:szCs w:val="20"/>
              </w:rPr>
              <w:t>modality</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EA2B7D" w14:textId="77777777" w:rsidR="004A3A3E" w:rsidRDefault="00000000">
            <w:pPr>
              <w:jc w:val="center"/>
              <w:rPr>
                <w:rFonts w:ascii="Times" w:eastAsia="Times" w:hAnsi="Times" w:cs="Times"/>
                <w:sz w:val="20"/>
                <w:szCs w:val="20"/>
              </w:rPr>
            </w:pPr>
            <w:r>
              <w:rPr>
                <w:rFonts w:ascii="Times" w:eastAsia="Times" w:hAnsi="Times" w:cs="Times"/>
                <w:b/>
                <w:bCs/>
                <w:sz w:val="20"/>
                <w:szCs w:val="20"/>
              </w:rPr>
              <w:t>External Validation</w:t>
            </w:r>
          </w:p>
        </w:tc>
      </w:tr>
      <w:tr w:rsidR="004A3A3E" w14:paraId="11630650"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17F9F" w14:textId="77777777" w:rsidR="004A3A3E" w:rsidRDefault="00000000">
            <w:pPr>
              <w:rPr>
                <w:rFonts w:ascii="Times" w:eastAsia="Times" w:hAnsi="Times" w:cs="Times"/>
                <w:sz w:val="20"/>
                <w:szCs w:val="20"/>
              </w:rPr>
            </w:pPr>
            <w:r>
              <w:rPr>
                <w:rFonts w:ascii="Times" w:eastAsia="Times" w:hAnsi="Times" w:cs="Times"/>
                <w:sz w:val="20"/>
                <w:szCs w:val="20"/>
              </w:rPr>
              <w:t>[4]</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E9ADFB" w14:textId="77777777" w:rsidR="004A3A3E" w:rsidRDefault="00000000">
            <w:pPr>
              <w:rPr>
                <w:rFonts w:ascii="Times" w:eastAsia="Times" w:hAnsi="Times" w:cs="Times"/>
                <w:sz w:val="20"/>
                <w:szCs w:val="20"/>
              </w:rPr>
            </w:pPr>
            <w:r>
              <w:rPr>
                <w:rFonts w:ascii="Times" w:eastAsia="Times" w:hAnsi="Times" w:cs="Times"/>
                <w:sz w:val="20"/>
                <w:szCs w:val="20"/>
              </w:rPr>
              <w:t>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C4715E"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DF9C5"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3AD25"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62F39"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BE5BD3"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57763"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51BA41" w14:textId="77777777" w:rsidR="004A3A3E" w:rsidRDefault="00000000">
            <w:pPr>
              <w:rPr>
                <w:rFonts w:ascii="Times" w:eastAsia="Times" w:hAnsi="Times" w:cs="Times"/>
                <w:sz w:val="20"/>
                <w:szCs w:val="20"/>
              </w:rPr>
            </w:pPr>
            <w:r>
              <w:rPr>
                <w:rFonts w:ascii="Times" w:eastAsia="Times" w:hAnsi="Times" w:cs="Times"/>
                <w:sz w:val="20"/>
                <w:szCs w:val="20"/>
              </w:rPr>
              <w:t>◐</w:t>
            </w:r>
          </w:p>
        </w:tc>
      </w:tr>
      <w:tr w:rsidR="004A3A3E" w14:paraId="44BCC16D"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F5F578" w14:textId="77777777" w:rsidR="004A3A3E" w:rsidRDefault="00000000">
            <w:pPr>
              <w:rPr>
                <w:rFonts w:ascii="Times" w:eastAsia="Times" w:hAnsi="Times" w:cs="Times"/>
                <w:sz w:val="20"/>
                <w:szCs w:val="20"/>
              </w:rPr>
            </w:pPr>
            <w:r>
              <w:rPr>
                <w:rFonts w:ascii="Times" w:eastAsia="Times" w:hAnsi="Times" w:cs="Times"/>
                <w:sz w:val="20"/>
                <w:szCs w:val="20"/>
              </w:rPr>
              <w:t>[10]</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D6BE3B" w14:textId="77777777" w:rsidR="004A3A3E" w:rsidRDefault="00000000">
            <w:pPr>
              <w:rPr>
                <w:rFonts w:ascii="Times" w:eastAsia="Times" w:hAnsi="Times" w:cs="Times"/>
                <w:sz w:val="20"/>
                <w:szCs w:val="20"/>
              </w:rPr>
            </w:pPr>
            <w:r>
              <w:rPr>
                <w:rFonts w:ascii="Times" w:eastAsia="Times" w:hAnsi="Times" w:cs="Times"/>
                <w:sz w:val="20"/>
                <w:szCs w:val="20"/>
              </w:rPr>
              <w:t>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4CBBC5"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CC4257"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19F246"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704C22"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2592FD"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84B745"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77B739" w14:textId="77777777" w:rsidR="004A3A3E" w:rsidRDefault="00000000">
            <w:pPr>
              <w:rPr>
                <w:rFonts w:ascii="Times" w:eastAsia="Times" w:hAnsi="Times" w:cs="Times"/>
                <w:sz w:val="20"/>
                <w:szCs w:val="20"/>
              </w:rPr>
            </w:pPr>
            <w:r>
              <w:rPr>
                <w:rFonts w:ascii="Times" w:eastAsia="Times" w:hAnsi="Times" w:cs="Times"/>
                <w:sz w:val="20"/>
                <w:szCs w:val="20"/>
              </w:rPr>
              <w:t>✗</w:t>
            </w:r>
          </w:p>
        </w:tc>
      </w:tr>
      <w:tr w:rsidR="004A3A3E" w14:paraId="7EE06422"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554386" w14:textId="77777777" w:rsidR="004A3A3E" w:rsidRDefault="00000000">
            <w:pPr>
              <w:rPr>
                <w:rFonts w:ascii="Times" w:eastAsia="Times" w:hAnsi="Times" w:cs="Times"/>
                <w:sz w:val="20"/>
                <w:szCs w:val="20"/>
              </w:rPr>
            </w:pPr>
            <w:r>
              <w:rPr>
                <w:rFonts w:ascii="Times" w:eastAsia="Times" w:hAnsi="Times" w:cs="Times"/>
                <w:sz w:val="20"/>
                <w:szCs w:val="20"/>
              </w:rPr>
              <w:t>[11]</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0C25C0" w14:textId="77777777" w:rsidR="004A3A3E" w:rsidRDefault="00000000">
            <w:pPr>
              <w:rPr>
                <w:rFonts w:ascii="Times" w:eastAsia="Times" w:hAnsi="Times" w:cs="Times"/>
                <w:sz w:val="20"/>
                <w:szCs w:val="20"/>
              </w:rPr>
            </w:pPr>
            <w:r>
              <w:rPr>
                <w:rFonts w:ascii="Times" w:eastAsia="Times" w:hAnsi="Times" w:cs="Times"/>
                <w:sz w:val="20"/>
                <w:szCs w:val="20"/>
              </w:rPr>
              <w:t>2023</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1107D2"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65F1A9"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F4A93B"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CDED3"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D2CCE"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CAC35"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A75123" w14:textId="77777777" w:rsidR="004A3A3E" w:rsidRDefault="00000000">
            <w:pPr>
              <w:rPr>
                <w:rFonts w:ascii="Times" w:eastAsia="Times" w:hAnsi="Times" w:cs="Times"/>
                <w:sz w:val="20"/>
                <w:szCs w:val="20"/>
              </w:rPr>
            </w:pPr>
            <w:r>
              <w:rPr>
                <w:rFonts w:ascii="Times" w:eastAsia="Times" w:hAnsi="Times" w:cs="Times"/>
                <w:sz w:val="20"/>
                <w:szCs w:val="20"/>
              </w:rPr>
              <w:t>✗</w:t>
            </w:r>
          </w:p>
        </w:tc>
      </w:tr>
      <w:tr w:rsidR="004A3A3E" w14:paraId="26E2A7F8"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E63F1" w14:textId="77777777" w:rsidR="004A3A3E" w:rsidRDefault="00000000">
            <w:pPr>
              <w:rPr>
                <w:rFonts w:ascii="Times" w:eastAsia="Times" w:hAnsi="Times" w:cs="Times"/>
                <w:sz w:val="20"/>
                <w:szCs w:val="20"/>
              </w:rPr>
            </w:pPr>
            <w:r>
              <w:rPr>
                <w:rFonts w:ascii="Times" w:eastAsia="Times" w:hAnsi="Times" w:cs="Times"/>
                <w:sz w:val="20"/>
                <w:szCs w:val="20"/>
              </w:rPr>
              <w:t>[8]</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FCC422" w14:textId="77777777" w:rsidR="004A3A3E" w:rsidRDefault="00000000">
            <w:pPr>
              <w:rPr>
                <w:rFonts w:ascii="Times" w:eastAsia="Times" w:hAnsi="Times" w:cs="Times"/>
                <w:sz w:val="20"/>
                <w:szCs w:val="20"/>
              </w:rPr>
            </w:pPr>
            <w:r>
              <w:rPr>
                <w:rFonts w:ascii="Times" w:eastAsia="Times" w:hAnsi="Times" w:cs="Times"/>
                <w:sz w:val="20"/>
                <w:szCs w:val="20"/>
              </w:rPr>
              <w:t>2025</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FD0CF1"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E64E8E"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607660"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AA2415"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36FFFC"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755E5"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76E2AB" w14:textId="77777777" w:rsidR="004A3A3E" w:rsidRDefault="00000000">
            <w:pPr>
              <w:rPr>
                <w:rFonts w:ascii="Times" w:eastAsia="Times" w:hAnsi="Times" w:cs="Times"/>
                <w:sz w:val="20"/>
                <w:szCs w:val="20"/>
              </w:rPr>
            </w:pPr>
            <w:r>
              <w:rPr>
                <w:rFonts w:ascii="Times" w:eastAsia="Times" w:hAnsi="Times" w:cs="Times"/>
                <w:sz w:val="20"/>
                <w:szCs w:val="20"/>
              </w:rPr>
              <w:t>✗</w:t>
            </w:r>
          </w:p>
        </w:tc>
      </w:tr>
      <w:tr w:rsidR="004A3A3E" w14:paraId="34DE1893"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5293A8" w14:textId="77777777" w:rsidR="004A3A3E" w:rsidRDefault="00000000">
            <w:pPr>
              <w:rPr>
                <w:rFonts w:ascii="Times" w:eastAsia="Times" w:hAnsi="Times" w:cs="Times"/>
                <w:sz w:val="20"/>
                <w:szCs w:val="20"/>
              </w:rPr>
            </w:pPr>
            <w:r>
              <w:rPr>
                <w:rFonts w:ascii="Times" w:eastAsia="Times" w:hAnsi="Times" w:cs="Times"/>
                <w:sz w:val="20"/>
                <w:szCs w:val="20"/>
              </w:rPr>
              <w:t>[9]</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F78792" w14:textId="77777777" w:rsidR="004A3A3E" w:rsidRDefault="00000000">
            <w:pPr>
              <w:rPr>
                <w:rFonts w:ascii="Times" w:eastAsia="Times" w:hAnsi="Times" w:cs="Times"/>
                <w:sz w:val="20"/>
                <w:szCs w:val="20"/>
              </w:rPr>
            </w:pPr>
            <w:r>
              <w:rPr>
                <w:rFonts w:ascii="Times" w:eastAsia="Times" w:hAnsi="Times" w:cs="Times"/>
                <w:sz w:val="20"/>
                <w:szCs w:val="20"/>
              </w:rPr>
              <w:t>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18C953"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F05477"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50E81"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6A4A52"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B22C5E"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5CE04C"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15AEC2" w14:textId="77777777" w:rsidR="004A3A3E" w:rsidRDefault="00000000">
            <w:pPr>
              <w:rPr>
                <w:rFonts w:ascii="Times" w:eastAsia="Times" w:hAnsi="Times" w:cs="Times"/>
                <w:sz w:val="20"/>
                <w:szCs w:val="20"/>
              </w:rPr>
            </w:pPr>
            <w:r>
              <w:rPr>
                <w:rFonts w:ascii="Times" w:eastAsia="Times" w:hAnsi="Times" w:cs="Times"/>
                <w:sz w:val="20"/>
                <w:szCs w:val="20"/>
              </w:rPr>
              <w:t>✗</w:t>
            </w:r>
          </w:p>
        </w:tc>
      </w:tr>
      <w:tr w:rsidR="004A3A3E" w14:paraId="45570E43"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19FE9" w14:textId="77777777" w:rsidR="004A3A3E" w:rsidRDefault="00000000">
            <w:pPr>
              <w:rPr>
                <w:rFonts w:ascii="Times" w:eastAsia="Times" w:hAnsi="Times" w:cs="Times"/>
                <w:sz w:val="20"/>
                <w:szCs w:val="20"/>
              </w:rPr>
            </w:pPr>
            <w:r>
              <w:rPr>
                <w:rFonts w:ascii="Times" w:eastAsia="Times" w:hAnsi="Times" w:cs="Times"/>
                <w:sz w:val="20"/>
                <w:szCs w:val="20"/>
              </w:rPr>
              <w:t>[12]</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085B0" w14:textId="77777777" w:rsidR="004A3A3E" w:rsidRDefault="00000000">
            <w:pPr>
              <w:rPr>
                <w:rFonts w:ascii="Times" w:eastAsia="Times" w:hAnsi="Times" w:cs="Times"/>
                <w:sz w:val="20"/>
                <w:szCs w:val="20"/>
              </w:rPr>
            </w:pPr>
            <w:r>
              <w:rPr>
                <w:rFonts w:ascii="Times" w:eastAsia="Times" w:hAnsi="Times" w:cs="Times"/>
                <w:sz w:val="20"/>
                <w:szCs w:val="20"/>
              </w:rPr>
              <w:t>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574D2"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6F8BDB"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553C29"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19E14"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4A2D0C"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AEFFA5"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2586C" w14:textId="77777777" w:rsidR="004A3A3E" w:rsidRDefault="00000000">
            <w:pPr>
              <w:rPr>
                <w:rFonts w:ascii="Times" w:eastAsia="Times" w:hAnsi="Times" w:cs="Times"/>
                <w:sz w:val="20"/>
                <w:szCs w:val="20"/>
              </w:rPr>
            </w:pPr>
            <w:r>
              <w:rPr>
                <w:rFonts w:ascii="Times" w:eastAsia="Times" w:hAnsi="Times" w:cs="Times"/>
                <w:sz w:val="20"/>
                <w:szCs w:val="20"/>
              </w:rPr>
              <w:t>✗</w:t>
            </w:r>
          </w:p>
        </w:tc>
      </w:tr>
      <w:tr w:rsidR="004A3A3E" w14:paraId="2DDD8257"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CAF0E3" w14:textId="77777777" w:rsidR="004A3A3E" w:rsidRDefault="00000000">
            <w:pPr>
              <w:rPr>
                <w:rFonts w:ascii="Times" w:eastAsia="Times" w:hAnsi="Times" w:cs="Times"/>
                <w:sz w:val="20"/>
                <w:szCs w:val="20"/>
              </w:rPr>
            </w:pPr>
            <w:r>
              <w:rPr>
                <w:rFonts w:ascii="Times" w:eastAsia="Times" w:hAnsi="Times" w:cs="Times"/>
                <w:sz w:val="20"/>
                <w:szCs w:val="20"/>
              </w:rPr>
              <w:t>[13]</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88186A" w14:textId="77777777" w:rsidR="004A3A3E" w:rsidRDefault="00000000">
            <w:pPr>
              <w:rPr>
                <w:rFonts w:ascii="Times" w:eastAsia="Times" w:hAnsi="Times" w:cs="Times"/>
                <w:sz w:val="20"/>
                <w:szCs w:val="20"/>
              </w:rPr>
            </w:pPr>
            <w:r>
              <w:rPr>
                <w:rFonts w:ascii="Times" w:eastAsia="Times" w:hAnsi="Times" w:cs="Times"/>
                <w:sz w:val="20"/>
                <w:szCs w:val="20"/>
              </w:rPr>
              <w:t>2023</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1DA68D"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B356E"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8D9E5E"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015B16"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1013CB"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3FA16"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DDF54" w14:textId="77777777" w:rsidR="004A3A3E" w:rsidRDefault="00000000">
            <w:pPr>
              <w:rPr>
                <w:rFonts w:ascii="Times" w:eastAsia="Times" w:hAnsi="Times" w:cs="Times"/>
                <w:sz w:val="20"/>
                <w:szCs w:val="20"/>
              </w:rPr>
            </w:pPr>
            <w:r>
              <w:rPr>
                <w:rFonts w:ascii="Times" w:eastAsia="Times" w:hAnsi="Times" w:cs="Times"/>
                <w:sz w:val="20"/>
                <w:szCs w:val="20"/>
              </w:rPr>
              <w:t>✗</w:t>
            </w:r>
          </w:p>
        </w:tc>
      </w:tr>
      <w:tr w:rsidR="004A3A3E" w14:paraId="195E3421"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E21DE" w14:textId="77777777" w:rsidR="004A3A3E" w:rsidRDefault="00000000">
            <w:pPr>
              <w:rPr>
                <w:rFonts w:ascii="Times" w:eastAsia="Times" w:hAnsi="Times" w:cs="Times"/>
                <w:sz w:val="20"/>
                <w:szCs w:val="20"/>
              </w:rPr>
            </w:pPr>
            <w:r>
              <w:rPr>
                <w:rFonts w:ascii="Times" w:eastAsia="Times" w:hAnsi="Times" w:cs="Times"/>
                <w:sz w:val="20"/>
                <w:szCs w:val="20"/>
              </w:rPr>
              <w:t>[18]</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60874" w14:textId="77777777" w:rsidR="004A3A3E" w:rsidRDefault="00000000">
            <w:pPr>
              <w:rPr>
                <w:rFonts w:ascii="Times" w:eastAsia="Times" w:hAnsi="Times" w:cs="Times"/>
                <w:sz w:val="20"/>
                <w:szCs w:val="20"/>
              </w:rPr>
            </w:pPr>
            <w:r>
              <w:rPr>
                <w:rFonts w:ascii="Times" w:eastAsia="Times" w:hAnsi="Times" w:cs="Times"/>
                <w:sz w:val="20"/>
                <w:szCs w:val="20"/>
              </w:rPr>
              <w:t>2023</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F3CEF"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15AC9"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D4D98B"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AA5B2D"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78913B"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687401"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370F99" w14:textId="77777777" w:rsidR="004A3A3E" w:rsidRDefault="00000000">
            <w:pPr>
              <w:rPr>
                <w:rFonts w:ascii="Times" w:eastAsia="Times" w:hAnsi="Times" w:cs="Times"/>
                <w:sz w:val="20"/>
                <w:szCs w:val="20"/>
              </w:rPr>
            </w:pPr>
            <w:r>
              <w:rPr>
                <w:rFonts w:ascii="Times" w:eastAsia="Times" w:hAnsi="Times" w:cs="Times"/>
                <w:sz w:val="20"/>
                <w:szCs w:val="20"/>
              </w:rPr>
              <w:t>✓</w:t>
            </w:r>
          </w:p>
        </w:tc>
      </w:tr>
      <w:tr w:rsidR="004A3A3E" w14:paraId="4050E0D2" w14:textId="77777777">
        <w:trPr>
          <w:trHeight w:val="560"/>
        </w:trPr>
        <w:tc>
          <w:tcPr>
            <w:tcW w:w="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029DC5" w14:textId="77777777" w:rsidR="004A3A3E" w:rsidRDefault="00000000">
            <w:pPr>
              <w:rPr>
                <w:rFonts w:ascii="Times" w:eastAsia="Times" w:hAnsi="Times" w:cs="Times"/>
                <w:sz w:val="20"/>
                <w:szCs w:val="20"/>
              </w:rPr>
            </w:pPr>
            <w:r>
              <w:rPr>
                <w:rFonts w:ascii="Times" w:eastAsia="Times" w:hAnsi="Times" w:cs="Times"/>
                <w:sz w:val="20"/>
                <w:szCs w:val="20"/>
              </w:rPr>
              <w:t>[19]</w:t>
            </w:r>
          </w:p>
        </w:tc>
        <w:tc>
          <w:tcPr>
            <w:tcW w:w="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6B68DB" w14:textId="77777777" w:rsidR="004A3A3E" w:rsidRDefault="00000000">
            <w:pPr>
              <w:rPr>
                <w:rFonts w:ascii="Times" w:eastAsia="Times" w:hAnsi="Times" w:cs="Times"/>
                <w:sz w:val="20"/>
                <w:szCs w:val="20"/>
              </w:rPr>
            </w:pPr>
            <w:r>
              <w:rPr>
                <w:rFonts w:ascii="Times" w:eastAsia="Times" w:hAnsi="Times" w:cs="Times"/>
                <w:sz w:val="20"/>
                <w:szCs w:val="20"/>
              </w:rPr>
              <w:t>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26EAE"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CC9E0"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966D8"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CB6FD2"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D8ECC"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AC1B33" w14:textId="77777777" w:rsidR="004A3A3E" w:rsidRDefault="00000000">
            <w:pPr>
              <w:rPr>
                <w:rFonts w:ascii="Times" w:eastAsia="Times" w:hAnsi="Times" w:cs="Times"/>
                <w:sz w:val="20"/>
                <w:szCs w:val="20"/>
              </w:rPr>
            </w:pPr>
            <w:r>
              <w:rPr>
                <w:rFonts w:ascii="Times" w:eastAsia="Times" w:hAnsi="Times" w:cs="Times"/>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9C4D5F" w14:textId="77777777" w:rsidR="004A3A3E" w:rsidRDefault="00000000">
            <w:pPr>
              <w:rPr>
                <w:rFonts w:ascii="Times" w:eastAsia="Times" w:hAnsi="Times" w:cs="Times"/>
                <w:sz w:val="20"/>
                <w:szCs w:val="20"/>
              </w:rPr>
            </w:pPr>
            <w:r>
              <w:rPr>
                <w:rFonts w:ascii="Times" w:eastAsia="Times" w:hAnsi="Times" w:cs="Times"/>
                <w:sz w:val="20"/>
                <w:szCs w:val="20"/>
              </w:rPr>
              <w:t>◐</w:t>
            </w:r>
          </w:p>
        </w:tc>
      </w:tr>
    </w:tbl>
    <w:p w14:paraId="79CDB1AD" w14:textId="77777777" w:rsidR="004A3A3E" w:rsidRDefault="004A3A3E">
      <w:pPr>
        <w:jc w:val="both"/>
        <w:rPr>
          <w:rFonts w:ascii="Times" w:eastAsia="Times" w:hAnsi="Times" w:cs="Times"/>
          <w:sz w:val="20"/>
          <w:szCs w:val="20"/>
        </w:rPr>
      </w:pPr>
    </w:p>
    <w:p w14:paraId="63262E6F" w14:textId="77777777" w:rsidR="004A3A3E" w:rsidRDefault="00000000">
      <w:pPr>
        <w:spacing w:before="280" w:after="200"/>
        <w:ind w:left="360"/>
        <w:jc w:val="both"/>
        <w:rPr>
          <w:rFonts w:ascii="Times" w:eastAsia="Times" w:hAnsi="Times" w:cs="Times"/>
          <w:sz w:val="20"/>
          <w:szCs w:val="20"/>
        </w:rPr>
      </w:pPr>
      <w:r>
        <w:rPr>
          <w:rFonts w:ascii="Times" w:eastAsia="Times" w:hAnsi="Times" w:cs="Times"/>
          <w:b/>
          <w:bCs/>
          <w:sz w:val="20"/>
          <w:szCs w:val="20"/>
        </w:rPr>
        <w:t>2.6 Datasets and Evaluation Practices</w:t>
      </w:r>
    </w:p>
    <w:p w14:paraId="4AD04A71" w14:textId="77777777" w:rsidR="004A3A3E" w:rsidRDefault="00000000">
      <w:pPr>
        <w:spacing w:after="200"/>
        <w:jc w:val="both"/>
        <w:rPr>
          <w:rFonts w:ascii="Times" w:eastAsia="Times" w:hAnsi="Times" w:cs="Times"/>
          <w:sz w:val="20"/>
          <w:szCs w:val="20"/>
        </w:rPr>
      </w:pPr>
      <w:r>
        <w:rPr>
          <w:rFonts w:ascii="Times" w:eastAsia="Times" w:hAnsi="Times" w:cs="Times"/>
          <w:sz w:val="20"/>
          <w:szCs w:val="20"/>
        </w:rPr>
        <w:lastRenderedPageBreak/>
        <w:t>Across the literature, there are large variations in the composition of the datasets, annotation protocols, and evaluation metrics. Many studies are based on single-center data or proprietary data, which makes it difficult to reproduce the results and compare them across studies [20]. While generally reported metrics include sensitivity, false positive per scan, Dice similarity coefficient, and the area under the ROC curve, inconsistent reporting practices, and heterogeneous evaluation settings pose problems to the objective benchmarking [21]. These limitations point to the importance of standardized datasets and evaluation frameworks.</w:t>
      </w:r>
    </w:p>
    <w:p w14:paraId="33C49D07" w14:textId="77777777" w:rsidR="004A3A3E" w:rsidRDefault="00000000">
      <w:pPr>
        <w:numPr>
          <w:ilvl w:val="0"/>
          <w:numId w:val="2"/>
        </w:numPr>
        <w:spacing w:after="200"/>
        <w:jc w:val="both"/>
        <w:rPr>
          <w:rFonts w:ascii="Times" w:eastAsia="Times" w:hAnsi="Times" w:cs="Times"/>
          <w:b/>
          <w:bCs/>
          <w:sz w:val="24"/>
          <w:szCs w:val="24"/>
        </w:rPr>
      </w:pPr>
      <w:r>
        <w:rPr>
          <w:rFonts w:ascii="Times" w:eastAsia="Times" w:hAnsi="Times" w:cs="Times"/>
          <w:b/>
          <w:bCs/>
          <w:sz w:val="24"/>
          <w:szCs w:val="24"/>
        </w:rPr>
        <w:t>Taxonomy of AI-based IA Analysis</w:t>
      </w:r>
    </w:p>
    <w:p w14:paraId="18C8F66E" w14:textId="77777777" w:rsidR="004A3A3E" w:rsidRDefault="00000000">
      <w:pPr>
        <w:spacing w:after="200"/>
        <w:jc w:val="both"/>
        <w:rPr>
          <w:rFonts w:ascii="Times" w:eastAsia="Times" w:hAnsi="Times" w:cs="Times"/>
          <w:sz w:val="20"/>
          <w:szCs w:val="20"/>
        </w:rPr>
      </w:pPr>
      <w:r>
        <w:rPr>
          <w:rFonts w:ascii="Times" w:eastAsia="Times" w:hAnsi="Times" w:cs="Times"/>
          <w:sz w:val="20"/>
          <w:szCs w:val="20"/>
        </w:rPr>
        <w:t>Given the rapid increase in the number of methods and the wide variation in research methodologies employed to study intracranial aneurysms with artificial intelligence-based methods, there is a need for a structured taxonomy to systematically organize current work and to reveal underlying trends. Based on a thorough analysis of the reviewed articles, this review proposes a task-oriented modality-aware taxonomy in which studies using artificial intelligence (AI) for intracranial aneurysm are classified into 3 main dimensions: clinical task, imaging modality, and AI methodology. This hierarchical organization is shown in Figure 1.</w:t>
      </w:r>
    </w:p>
    <w:p w14:paraId="70A2881D" w14:textId="77777777" w:rsidR="004A3A3E" w:rsidRDefault="00000000">
      <w:pPr>
        <w:spacing w:after="200"/>
        <w:ind w:left="360"/>
        <w:jc w:val="both"/>
        <w:rPr>
          <w:rFonts w:ascii="Times" w:eastAsia="Times" w:hAnsi="Times" w:cs="Times"/>
          <w:b/>
          <w:bCs/>
          <w:sz w:val="20"/>
          <w:szCs w:val="20"/>
        </w:rPr>
      </w:pPr>
      <w:r>
        <w:rPr>
          <w:rFonts w:ascii="Times" w:eastAsia="Times" w:hAnsi="Times" w:cs="Times"/>
          <w:b/>
          <w:bCs/>
          <w:sz w:val="20"/>
          <w:szCs w:val="20"/>
        </w:rPr>
        <w:t>3.1 Task-based Categorization</w:t>
      </w:r>
    </w:p>
    <w:p w14:paraId="264CBC8B"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At the highest level, studies into intracranial aneurysms based on artificial intelligence can be divided by the clinical task they are intended to solve. This task-centric view is based on real-world clinical working practices and is the basis of the proposed taxonomy.</w:t>
      </w:r>
    </w:p>
    <w:p w14:paraId="68E9EBA6"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Detection is the most widely studied task where the goal is to localize the aneurysms in volumetric neurovascular images. Detection-oriented models usually provide candidate locations or bounding regions and are assessed with sensitivity and false positive/scan. Because of the routine use of this modality in acute clinical settings, a large proportion of CT studies fall under this category [4], [10], [11].</w:t>
      </w:r>
    </w:p>
    <w:p w14:paraId="71022042"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Segmentation allows the boundaries of an aneurysm to be clearly delineated and is fundamental for the morphological analysis of the aneurysm, the determination of its treatment, and the assessment of the risk of rupture. Segmentation-based studies generally use encoder-decoder architectures and focus on the spatial accuracy metrics using, e.g., the Dice similarity coefficient [8], [9]. These methods are of particular relevance in pre-interventional planning and longitudinal monitoring.</w:t>
      </w:r>
    </w:p>
    <w:p w14:paraId="799C85D3"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 xml:space="preserve">Joint detection-segmentation frameworks have the objective of combining both tasks in one pipeline. Such approaches are indicative of a growing trend towards end-to-end CAD systems that are able to deliver comprehensive outputs from one model [12], [13]. </w:t>
      </w:r>
    </w:p>
    <w:p w14:paraId="04C6E79E"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A smaller but growing body of work considers the assessment of the risk of ruptures and the prediction of outcomes, the extension of analysis based on artificial intelligence beyond structural identification. These studies often take advantage of features from the outputs of detection or segmentation procedures and use models based on machine learning or deep learning to estimate the state of rupture or indicators of risk [18], [19].</w:t>
      </w:r>
    </w:p>
    <w:p w14:paraId="5DB04488" w14:textId="77777777" w:rsidR="004A3A3E" w:rsidRDefault="00000000">
      <w:pPr>
        <w:spacing w:before="240"/>
        <w:ind w:left="360"/>
        <w:jc w:val="both"/>
        <w:rPr>
          <w:rFonts w:ascii="Times" w:eastAsia="Times" w:hAnsi="Times" w:cs="Times"/>
          <w:b/>
          <w:bCs/>
          <w:sz w:val="20"/>
          <w:szCs w:val="20"/>
        </w:rPr>
      </w:pPr>
      <w:r>
        <w:rPr>
          <w:rFonts w:ascii="Times" w:eastAsia="Times" w:hAnsi="Times" w:cs="Times"/>
          <w:b/>
          <w:bCs/>
          <w:sz w:val="20"/>
          <w:szCs w:val="20"/>
        </w:rPr>
        <w:t>3.2 Imaging Modality-based Organization</w:t>
      </w:r>
    </w:p>
    <w:p w14:paraId="4E41EEB8" w14:textId="77777777" w:rsidR="004A3A3E" w:rsidRDefault="00000000">
      <w:pPr>
        <w:spacing w:before="240"/>
        <w:jc w:val="both"/>
        <w:rPr>
          <w:rFonts w:ascii="Times" w:eastAsia="Times" w:hAnsi="Times" w:cs="Times"/>
          <w:sz w:val="20"/>
          <w:szCs w:val="20"/>
        </w:rPr>
      </w:pPr>
      <w:r>
        <w:rPr>
          <w:rFonts w:ascii="Times" w:eastAsia="Times" w:hAnsi="Times" w:cs="Times"/>
          <w:sz w:val="20"/>
          <w:szCs w:val="20"/>
        </w:rPr>
        <w:t>Within each clinical task, studies can be further organised according to the modality of imaging. Imaging modality is an important axis in the taxonomy as it has a direct effect on the data characteristics, attainable resolution and clinical applicability.</w:t>
      </w:r>
    </w:p>
    <w:p w14:paraId="526FF677"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 xml:space="preserve">Computed tomography angiography (CTA) is the major modality for all detection and joint frameworks, as a result of its high thickness and accessibility in the emergency and screening setting [5]. CTA-based models typically have the </w:t>
      </w:r>
      <w:r>
        <w:rPr>
          <w:rFonts w:ascii="Times" w:eastAsia="Times" w:hAnsi="Times" w:cs="Times"/>
          <w:sz w:val="20"/>
          <w:szCs w:val="20"/>
        </w:rPr>
        <w:lastRenderedPageBreak/>
        <w:t>advantage of having a better vessel contrast but have to cope with the radiation-related constraints and inter-scanner variability.</w:t>
      </w:r>
    </w:p>
    <w:p w14:paraId="2C4F031B"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Magnetic resonance-based modalities such as MRA and TOF-MRA are also being investigated with the increasing use, especially in non-emergency and follow-up settings [6], [7]. AI models developed for these modalities are often tailored to include request-specific preprocessing and augmentation mechanisms that are effective in removing flow-related artefacts and reducing signal-to-noise ratios.</w:t>
      </w:r>
    </w:p>
    <w:p w14:paraId="6E36EE69"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Digital subtraction angiography (DSA) and 3D rotational angiography (3DRA), even though not extensively used in large-scale AI studies, play an important role in high-precision segmentation and validation, because of their superior spatial resolution [6]. However, the invasive nature of these modalities restricts the availability of datasets and large-scale model training.</w:t>
      </w:r>
    </w:p>
    <w:p w14:paraId="4C65168C"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Emerging and supplementary modalities such as vessel wall imaging, 4D-MRI, transcranial Doppler sonography, and optical coherence tomography lie on the peripheral branches of the taxonomy and are yet to be explored in depth in AI-driven analysis of aneurysms.</w:t>
      </w:r>
    </w:p>
    <w:p w14:paraId="5D1EE1FB" w14:textId="77777777" w:rsidR="004A3A3E" w:rsidRDefault="00000000">
      <w:pPr>
        <w:pStyle w:val="Heading3"/>
        <w:keepNext w:val="0"/>
        <w:keepLines w:val="0"/>
        <w:spacing w:before="280"/>
        <w:ind w:left="360"/>
        <w:jc w:val="both"/>
        <w:rPr>
          <w:rFonts w:ascii="Times" w:eastAsia="Times" w:hAnsi="Times" w:cs="Times"/>
          <w:b/>
          <w:bCs/>
          <w:color w:val="000000"/>
          <w:sz w:val="20"/>
          <w:szCs w:val="20"/>
        </w:rPr>
      </w:pPr>
      <w:bookmarkStart w:id="0" w:name="_ogzrt4m8mtlr" w:colFirst="0" w:colLast="0"/>
      <w:bookmarkEnd w:id="0"/>
      <w:r>
        <w:rPr>
          <w:rFonts w:ascii="Times" w:eastAsia="Times" w:hAnsi="Times" w:cs="Times"/>
          <w:b/>
          <w:bCs/>
          <w:color w:val="000000"/>
          <w:sz w:val="20"/>
          <w:szCs w:val="20"/>
        </w:rPr>
        <w:t>3.3 AI Methodology-Based Classification</w:t>
      </w:r>
    </w:p>
    <w:p w14:paraId="04D05452" w14:textId="77777777" w:rsidR="004A3A3E" w:rsidRDefault="00000000">
      <w:pPr>
        <w:spacing w:after="200"/>
        <w:jc w:val="both"/>
        <w:rPr>
          <w:rFonts w:ascii="Times" w:eastAsia="Times" w:hAnsi="Times" w:cs="Times"/>
          <w:sz w:val="24"/>
          <w:szCs w:val="24"/>
        </w:rPr>
      </w:pPr>
      <w:r>
        <w:rPr>
          <w:rFonts w:ascii="Times" w:eastAsia="Times" w:hAnsi="Times" w:cs="Times"/>
          <w:sz w:val="20"/>
          <w:szCs w:val="20"/>
        </w:rPr>
        <w:t>At the third level, the taxonomy classifies studies according to the methodologies for AI that were used. Conventional CNN-based architecture is the backbone of most of the currently existing architectures, especially for detection and segmentation tasks [10], [11]. Encoder-decoder architectures like U-Net and its variants are the focus of segmentation-oriented studies because of their capacity to capture multiscale spatial context [8], [9].</w:t>
      </w:r>
    </w:p>
    <w:p w14:paraId="473F841D" w14:textId="77777777" w:rsidR="004A3A3E" w:rsidRDefault="00000000">
      <w:pPr>
        <w:jc w:val="both"/>
        <w:rPr>
          <w:rFonts w:ascii="Times" w:eastAsia="Times" w:hAnsi="Times" w:cs="Times"/>
          <w:sz w:val="20"/>
          <w:szCs w:val="20"/>
        </w:rPr>
      </w:pPr>
      <w:r>
        <w:rPr>
          <w:rFonts w:ascii="Times" w:eastAsia="Times" w:hAnsi="Times" w:cs="Times"/>
          <w:sz w:val="20"/>
          <w:szCs w:val="20"/>
        </w:rPr>
        <w:t>More recent works have proposed transformer-based and hybrid CNN-transformer models to tackle the limitation of long-range dependency modeling [15]. These approaches constitute a move towards more expressive architectures and are at present limited by data and computational demands.</w:t>
      </w:r>
    </w:p>
    <w:p w14:paraId="6ABC1A75" w14:textId="77777777" w:rsidR="004A3A3E" w:rsidRDefault="004A3A3E">
      <w:pPr>
        <w:jc w:val="both"/>
        <w:rPr>
          <w:rFonts w:ascii="Times" w:eastAsia="Times" w:hAnsi="Times" w:cs="Times"/>
          <w:sz w:val="20"/>
          <w:szCs w:val="20"/>
        </w:rPr>
      </w:pPr>
    </w:p>
    <w:p w14:paraId="4D4FF71C" w14:textId="77777777" w:rsidR="004A3A3E" w:rsidRDefault="00000000">
      <w:pPr>
        <w:jc w:val="both"/>
        <w:rPr>
          <w:rFonts w:ascii="Times" w:eastAsia="Times" w:hAnsi="Times" w:cs="Times"/>
          <w:sz w:val="20"/>
          <w:szCs w:val="20"/>
        </w:rPr>
      </w:pPr>
      <w:r>
        <w:rPr>
          <w:rFonts w:ascii="Times" w:eastAsia="Times" w:hAnsi="Times" w:cs="Times"/>
          <w:sz w:val="20"/>
          <w:szCs w:val="20"/>
        </w:rPr>
        <w:t>Graph-based, mesh-based, and point-based models are another emerging branch of methodology that explicitly encodes vascular topology and geometry [16], [17]. While promising in terms of capturing complex vascular structures, those methods often depend on accurate extraction of vessels and are less standardized than methods based on voxels.</w:t>
      </w:r>
    </w:p>
    <w:p w14:paraId="0FC7C9A3" w14:textId="77777777" w:rsidR="004A3A3E" w:rsidRDefault="004A3A3E">
      <w:pPr>
        <w:jc w:val="both"/>
        <w:rPr>
          <w:rFonts w:ascii="Times" w:eastAsia="Times" w:hAnsi="Times" w:cs="Times"/>
          <w:sz w:val="20"/>
          <w:szCs w:val="20"/>
        </w:rPr>
      </w:pPr>
    </w:p>
    <w:p w14:paraId="7E8F2B3B" w14:textId="77777777" w:rsidR="004A3A3E" w:rsidRDefault="00000000">
      <w:pPr>
        <w:jc w:val="both"/>
        <w:rPr>
          <w:rFonts w:ascii="Times" w:eastAsia="Times" w:hAnsi="Times" w:cs="Times"/>
          <w:sz w:val="20"/>
          <w:szCs w:val="20"/>
        </w:rPr>
      </w:pPr>
      <w:r>
        <w:rPr>
          <w:rFonts w:ascii="Times" w:eastAsia="Times" w:hAnsi="Times" w:cs="Times"/>
          <w:sz w:val="20"/>
          <w:szCs w:val="20"/>
        </w:rPr>
        <w:t>Finally, radiomics as well as hybrid ML-DL pipelines are still being used, especially in the evaluation of risk for rupture, where interpretability and feature-level analysis are of clinical value [18].</w:t>
      </w:r>
    </w:p>
    <w:p w14:paraId="557A7F67" w14:textId="77777777" w:rsidR="004A3A3E" w:rsidRDefault="00000000">
      <w:pPr>
        <w:pStyle w:val="Heading3"/>
        <w:keepNext w:val="0"/>
        <w:keepLines w:val="0"/>
        <w:spacing w:before="280"/>
        <w:ind w:left="360"/>
        <w:jc w:val="both"/>
        <w:rPr>
          <w:rFonts w:ascii="Times" w:eastAsia="Times" w:hAnsi="Times" w:cs="Times"/>
          <w:b/>
          <w:bCs/>
          <w:color w:val="000000"/>
          <w:sz w:val="20"/>
          <w:szCs w:val="20"/>
        </w:rPr>
      </w:pPr>
      <w:bookmarkStart w:id="1" w:name="_tv2m4ih2zskb" w:colFirst="0" w:colLast="0"/>
      <w:bookmarkEnd w:id="1"/>
      <w:r>
        <w:rPr>
          <w:rFonts w:ascii="Times" w:eastAsia="Times" w:hAnsi="Times" w:cs="Times"/>
          <w:b/>
          <w:bCs/>
          <w:color w:val="000000"/>
          <w:sz w:val="20"/>
          <w:szCs w:val="20"/>
        </w:rPr>
        <w:t>3.4 Summary of the Taxonomy</w:t>
      </w:r>
    </w:p>
    <w:p w14:paraId="57766DC1" w14:textId="77777777" w:rsidR="004A3A3E" w:rsidRDefault="00000000">
      <w:pPr>
        <w:spacing w:after="200"/>
        <w:jc w:val="both"/>
        <w:rPr>
          <w:rFonts w:ascii="Times" w:eastAsia="Times" w:hAnsi="Times" w:cs="Times"/>
          <w:sz w:val="20"/>
          <w:szCs w:val="20"/>
        </w:rPr>
      </w:pPr>
      <w:r>
        <w:rPr>
          <w:rFonts w:ascii="Times" w:eastAsia="Times" w:hAnsi="Times" w:cs="Times"/>
          <w:sz w:val="20"/>
          <w:szCs w:val="20"/>
        </w:rPr>
        <w:t>The proposed taxonomy offers a common platform for understanding the relationships between AI-based studies of intracranial aneurysms in terms of tasks, modalities, and methodologies. By organizing the literature in a hierarchical fashion, the taxonomy reveals research directions, combinations of research areas that have been underexplored, and emerging trends. Importantly, this structure is also a basis of the comparative analysis presented in subsequent sections and makes it easier to identify gaps that need to be addressed for effective clinical translation.</w:t>
      </w:r>
    </w:p>
    <w:p w14:paraId="755D6F0F" w14:textId="77777777" w:rsidR="004A3A3E" w:rsidRDefault="00000000">
      <w:pPr>
        <w:rPr>
          <w:rFonts w:ascii="Times" w:eastAsia="Times" w:hAnsi="Times" w:cs="Times"/>
          <w:sz w:val="18"/>
          <w:szCs w:val="18"/>
        </w:rPr>
      </w:pPr>
      <w:r>
        <w:rPr>
          <w:rFonts w:ascii="Times" w:eastAsia="Times" w:hAnsi="Times" w:cs="Times"/>
          <w:b/>
          <w:bCs/>
          <w:sz w:val="18"/>
          <w:szCs w:val="18"/>
        </w:rPr>
        <w:t>Fig. 1.</w:t>
      </w:r>
      <w:r>
        <w:rPr>
          <w:rFonts w:ascii="Times" w:eastAsia="Times" w:hAnsi="Times" w:cs="Times"/>
          <w:sz w:val="18"/>
          <w:szCs w:val="18"/>
        </w:rPr>
        <w:t xml:space="preserve"> Horizontal taxonomy of AI-based IA analysis illustrating the hierarchical organization of studies reviewed between 2022 and 2025</w:t>
      </w:r>
    </w:p>
    <w:p w14:paraId="1C7A8C83" w14:textId="77777777" w:rsidR="004A3A3E" w:rsidRDefault="004A3A3E">
      <w:pPr>
        <w:spacing w:line="240" w:lineRule="auto"/>
        <w:jc w:val="center"/>
        <w:rPr>
          <w:rFonts w:ascii="Times" w:eastAsia="Times" w:hAnsi="Times" w:cs="Times"/>
          <w:sz w:val="20"/>
          <w:szCs w:val="20"/>
        </w:rPr>
      </w:pPr>
    </w:p>
    <w:p w14:paraId="246D2D05" w14:textId="77777777" w:rsidR="004A3A3E" w:rsidRDefault="00000000">
      <w:pPr>
        <w:jc w:val="both"/>
        <w:rPr>
          <w:rFonts w:ascii="Times" w:eastAsia="Times" w:hAnsi="Times" w:cs="Times"/>
          <w:sz w:val="20"/>
          <w:szCs w:val="20"/>
        </w:rPr>
      </w:pPr>
      <w:r>
        <w:rPr>
          <w:rFonts w:ascii="Times" w:eastAsia="Times" w:hAnsi="Times" w:cs="Times"/>
          <w:noProof/>
          <w:sz w:val="20"/>
          <w:szCs w:val="20"/>
        </w:rPr>
        <w:lastRenderedPageBreak/>
        <w:drawing>
          <wp:inline distT="114300" distB="114300" distL="114300" distR="114300" wp14:anchorId="555DF39D" wp14:editId="1057B8D0">
            <wp:extent cx="5734050" cy="7605713"/>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4050" cy="7605713"/>
                    </a:xfrm>
                    <a:prstGeom prst="rect">
                      <a:avLst/>
                    </a:prstGeom>
                    <a:ln w="12700">
                      <a:solidFill>
                        <a:srgbClr val="000000"/>
                      </a:solidFill>
                      <a:prstDash val="solid"/>
                    </a:ln>
                  </pic:spPr>
                </pic:pic>
              </a:graphicData>
            </a:graphic>
          </wp:inline>
        </w:drawing>
      </w:r>
    </w:p>
    <w:p w14:paraId="0B64F1D6" w14:textId="77777777" w:rsidR="004A3A3E" w:rsidRDefault="00000000">
      <w:pPr>
        <w:numPr>
          <w:ilvl w:val="0"/>
          <w:numId w:val="2"/>
        </w:numPr>
        <w:spacing w:after="200"/>
        <w:jc w:val="both"/>
        <w:rPr>
          <w:rFonts w:ascii="Times" w:eastAsia="Times" w:hAnsi="Times" w:cs="Times"/>
          <w:b/>
          <w:bCs/>
          <w:sz w:val="24"/>
          <w:szCs w:val="24"/>
        </w:rPr>
      </w:pPr>
      <w:r>
        <w:rPr>
          <w:rFonts w:ascii="Times" w:eastAsia="Times" w:hAnsi="Times" w:cs="Times"/>
          <w:b/>
          <w:bCs/>
          <w:sz w:val="24"/>
          <w:szCs w:val="24"/>
        </w:rPr>
        <w:t>Clinical Integration and Practical Considerations</w:t>
      </w:r>
    </w:p>
    <w:p w14:paraId="3A9E4A20"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lastRenderedPageBreak/>
        <w:t>Despite the fast pace of methodological progress in AI-based intracranial aneurysm analysis, successful clinical translation also relies on factors that go well beyond algorithmic performance. This section will address important practical considerations that impact real-world translation, such as workflow integration, human-AI interaction, interpretability, validation, and regulatory limitations.</w:t>
      </w:r>
    </w:p>
    <w:p w14:paraId="658E8DFB" w14:textId="77777777" w:rsidR="004A3A3E" w:rsidRDefault="00000000">
      <w:pPr>
        <w:spacing w:before="240" w:after="240"/>
        <w:ind w:left="360"/>
        <w:rPr>
          <w:rFonts w:ascii="Times" w:eastAsia="Times" w:hAnsi="Times" w:cs="Times"/>
          <w:b/>
          <w:bCs/>
          <w:sz w:val="20"/>
          <w:szCs w:val="20"/>
        </w:rPr>
      </w:pPr>
      <w:r>
        <w:rPr>
          <w:rFonts w:ascii="Times" w:eastAsia="Times" w:hAnsi="Times" w:cs="Times"/>
          <w:b/>
          <w:bCs/>
          <w:sz w:val="20"/>
          <w:szCs w:val="20"/>
        </w:rPr>
        <w:t>4.1 Role of AI in Clinical Workflow</w:t>
      </w:r>
    </w:p>
    <w:p w14:paraId="28E9C6A7"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The current state of AI technology in intracranial aneurysm analysis is mainly focused on the role of AI as a CAD system, not as an independent decision-support system. In practical clinical workflow, AI is most useful as a pre-reading or concurrent reading assistant that points out potential aneurysm areas to the radiologist. Detection models, in particular, can help mitigate oversight errors in high-volume CTA analysis, while segmentation results are used for morphological analysis and treatment planning.</w:t>
      </w:r>
    </w:p>
    <w:p w14:paraId="2B76C0CC"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For successful end-to-end implementation, however, seamless PACS and radiology workstation integration is necessary. AI models that require significant preprocessing, human interaction, or software execution in a non-standard environment are highly unlikely to be successfully translated into clinical practice, irrespective of their algorithmic performance.</w:t>
      </w:r>
    </w:p>
    <w:p w14:paraId="05CF1A92" w14:textId="77777777" w:rsidR="004A3A3E" w:rsidRDefault="00000000">
      <w:pPr>
        <w:spacing w:before="240" w:after="240"/>
        <w:ind w:left="360"/>
        <w:rPr>
          <w:rFonts w:ascii="Times" w:eastAsia="Times" w:hAnsi="Times" w:cs="Times"/>
          <w:b/>
          <w:bCs/>
          <w:sz w:val="20"/>
          <w:szCs w:val="20"/>
        </w:rPr>
      </w:pPr>
      <w:r>
        <w:rPr>
          <w:rFonts w:ascii="Times" w:eastAsia="Times" w:hAnsi="Times" w:cs="Times"/>
          <w:b/>
          <w:bCs/>
          <w:sz w:val="20"/>
          <w:szCs w:val="20"/>
        </w:rPr>
        <w:t>4.2 Interpretability and Explainability</w:t>
      </w:r>
    </w:p>
    <w:p w14:paraId="753AF8F3" w14:textId="77777777" w:rsidR="004A3A3E" w:rsidRDefault="00000000">
      <w:pPr>
        <w:jc w:val="both"/>
        <w:rPr>
          <w:rFonts w:ascii="Times" w:eastAsia="Times" w:hAnsi="Times" w:cs="Times"/>
          <w:sz w:val="20"/>
          <w:szCs w:val="20"/>
        </w:rPr>
      </w:pPr>
      <w:r>
        <w:rPr>
          <w:rFonts w:ascii="Times" w:eastAsia="Times" w:hAnsi="Times" w:cs="Times"/>
          <w:sz w:val="20"/>
          <w:szCs w:val="20"/>
        </w:rPr>
        <w:t>There is a growing recognition of the importance of interpretability in practical applications. While radiomics-based models are able to provide explicit explanations at the feature level, deep learning models in general need the use of post-hoc interpretability techniques. Visualization-based explanations, such as saliency or attention maps, provide a partial explanation that may not necessarily be connected to clinical practice.</w:t>
      </w:r>
    </w:p>
    <w:p w14:paraId="726D7F08" w14:textId="77777777" w:rsidR="004A3A3E" w:rsidRDefault="004A3A3E">
      <w:pPr>
        <w:jc w:val="both"/>
        <w:rPr>
          <w:rFonts w:ascii="Times" w:eastAsia="Times" w:hAnsi="Times" w:cs="Times"/>
          <w:sz w:val="20"/>
          <w:szCs w:val="20"/>
        </w:rPr>
      </w:pPr>
    </w:p>
    <w:p w14:paraId="6DAF4060" w14:textId="77777777" w:rsidR="004A3A3E" w:rsidRDefault="00000000">
      <w:pPr>
        <w:jc w:val="both"/>
        <w:rPr>
          <w:rFonts w:ascii="Times" w:eastAsia="Times" w:hAnsi="Times" w:cs="Times"/>
          <w:sz w:val="20"/>
          <w:szCs w:val="20"/>
        </w:rPr>
      </w:pPr>
      <w:r>
        <w:rPr>
          <w:rFonts w:ascii="Times" w:eastAsia="Times" w:hAnsi="Times" w:cs="Times"/>
          <w:sz w:val="20"/>
          <w:szCs w:val="20"/>
        </w:rPr>
        <w:t>In the context of rupture risk assessment and outcome prediction, the importance of interpretability is even more significant, as the outcome of such predictions may have a direct bearing on long-term management plans. Hybrid models that combine deep learning-derived representations with significant clinical features offer a promising direction that balances model performance and interpretability.</w:t>
      </w:r>
    </w:p>
    <w:p w14:paraId="7745A76C" w14:textId="77777777" w:rsidR="004A3A3E" w:rsidRDefault="00000000">
      <w:pPr>
        <w:spacing w:before="240" w:after="240"/>
        <w:ind w:left="360"/>
        <w:jc w:val="both"/>
        <w:rPr>
          <w:rFonts w:ascii="Times" w:eastAsia="Times" w:hAnsi="Times" w:cs="Times"/>
          <w:b/>
          <w:bCs/>
          <w:sz w:val="20"/>
          <w:szCs w:val="20"/>
        </w:rPr>
      </w:pPr>
      <w:r>
        <w:rPr>
          <w:rFonts w:ascii="Times" w:eastAsia="Times" w:hAnsi="Times" w:cs="Times"/>
          <w:b/>
          <w:bCs/>
          <w:sz w:val="20"/>
          <w:szCs w:val="20"/>
        </w:rPr>
        <w:t>4.3 Regulatory and Ethical Considerations</w:t>
      </w:r>
    </w:p>
    <w:p w14:paraId="4634C083"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Obtaining regulatory approval is a crucial step toward clinical translation. AI systems designed for diagnostic purposes must meet very stringent criteria with respect to safety, performance consistency, and monitoring after deployment. Model updating, dataset drift, and interpretability are challenging issues within the current regulatory framework.</w:t>
      </w:r>
    </w:p>
    <w:p w14:paraId="70CA392E"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Ethical issues, such as bias, transparency, and accountability, are especially relevant in the context of intracranial aneurysm analysis, where incorrect or missed diagnoses can have catastrophic consequences.</w:t>
      </w:r>
    </w:p>
    <w:p w14:paraId="19008084" w14:textId="77777777" w:rsidR="004A3A3E" w:rsidRDefault="00000000">
      <w:pPr>
        <w:numPr>
          <w:ilvl w:val="0"/>
          <w:numId w:val="2"/>
        </w:numPr>
        <w:spacing w:after="200"/>
        <w:jc w:val="both"/>
        <w:rPr>
          <w:rFonts w:ascii="Times" w:eastAsia="Times" w:hAnsi="Times" w:cs="Times"/>
          <w:b/>
          <w:bCs/>
          <w:sz w:val="24"/>
          <w:szCs w:val="24"/>
        </w:rPr>
      </w:pPr>
      <w:r>
        <w:rPr>
          <w:rFonts w:ascii="Times" w:eastAsia="Times" w:hAnsi="Times" w:cs="Times"/>
          <w:b/>
          <w:bCs/>
          <w:sz w:val="24"/>
          <w:szCs w:val="24"/>
        </w:rPr>
        <w:t>Open Challenges and Future Directions</w:t>
      </w:r>
    </w:p>
    <w:p w14:paraId="434F0385"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Despite the progress made in AI-based intracranial aneurysm analysis, there are still some challenges that need to be addressed. These challenges are discussed below.</w:t>
      </w:r>
    </w:p>
    <w:p w14:paraId="4946EEAA" w14:textId="77777777" w:rsidR="004A3A3E" w:rsidRDefault="004A3A3E">
      <w:pPr>
        <w:spacing w:before="240" w:after="240"/>
        <w:jc w:val="both"/>
        <w:rPr>
          <w:rFonts w:ascii="Times" w:eastAsia="Times" w:hAnsi="Times" w:cs="Times"/>
          <w:sz w:val="20"/>
          <w:szCs w:val="20"/>
        </w:rPr>
      </w:pPr>
    </w:p>
    <w:p w14:paraId="413ED86F"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5.1 Data Availability, Diversity, and Standardization</w:t>
      </w:r>
    </w:p>
    <w:p w14:paraId="2301EAA6"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lastRenderedPageBreak/>
        <w:t>One of the biggest challenges in the literature is the lack of large-scale, diverse, and well-annotated datasets. Most of the existing literature is based on single-center or institution-specific datasets, which are mostly limited in terms of demographic and scanner diversity. This is a big challenge in terms of the generalization of the models. Future research should focus on multi-center data sharing initiatives, standardized annotation protocols, and the development of publicly available benchmark datasets for intracranial aneurysm analysis.</w:t>
      </w:r>
    </w:p>
    <w:p w14:paraId="1B93B15B"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5.2 Generalization and Domain Robustness</w:t>
      </w:r>
    </w:p>
    <w:p w14:paraId="0C07BBBD"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Most of the models are not robust and perform poorly on external datasets or unseen imaging conditions. There is a lot of variability in acquisition parameters, contrast timing, reconstruction kernels, and scanner vendors, which causes domain shifts that are not well handled by the current training paradigms. Future research should focus on domain adaptation, self-supervised learning, and robust training paradigms that can handle dataset bias and improve cross-domain generalization.</w:t>
      </w:r>
    </w:p>
    <w:p w14:paraId="1FBA06AC"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5.3 Small Aneurysm Detection and Rare Case Representation</w:t>
      </w:r>
    </w:p>
    <w:p w14:paraId="3E9EB320"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Small aneurysm detection and rare case representation are one of the most difficult and important tasks. These cases are underrepresented in existing datasets and are often the cause of false negatives in the detection pipeline. To overcome this problem, it is necessary to use specific data curation, learning strategies for class imbalance, and evaluation protocols that specifically evaluate performance on small and rare aneurysms.</w:t>
      </w:r>
    </w:p>
    <w:p w14:paraId="694AA6C4"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5.4 Multimodal and Longitudinal Analysis</w:t>
      </w:r>
    </w:p>
    <w:p w14:paraId="6FECACBA"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Most existing AI models are designed to process single-modality inputs and perform cross-sectional analysis. However, in real-world clinical practice, multimodal imaging and longitudinal analysis are often required. Future models should be designed to combine complementary information from multiple imaging modalities and temporal sequences to better model aneurysm dynamics, growth patterns, and treatment response. Multimodal fusion and temporal modeling are promising but under-explored directions.</w:t>
      </w:r>
    </w:p>
    <w:p w14:paraId="65AB619D"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5.5 Integration of Advanced Model Architectures</w:t>
      </w:r>
    </w:p>
    <w:p w14:paraId="7ACCC296"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New architectures, such as transformer models, graph models, and foundation models, provide new opportunities for modeling complex vascular structures and long-range dependencies. However, their practical application in clinical practice is currently limited by data requirements, computational complexity, and interpretability issues. Future work should be focused on hybrid architectures that strike a balance between representational capacity and efficiency.</w:t>
      </w:r>
    </w:p>
    <w:p w14:paraId="1C51ECAE"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5.6 Explainability and Clinically Meaningful Outputs</w:t>
      </w:r>
    </w:p>
    <w:p w14:paraId="0DF1902D"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Explainability is still a key requirement for trust and adoption, especially for rupture risk evaluation and outcome prediction tasks. The state-of-the-art interpretability methods tend to offer little to no clear understanding of the model’s behavior. The development of explanation methods that are more aligned with clinical reasoning, such as feature relevance, anatomical plausibility, or uncertainty estimation, will be crucial for effective human-AI collaboration.</w:t>
      </w:r>
    </w:p>
    <w:p w14:paraId="0734D456" w14:textId="77777777" w:rsidR="004A3A3E" w:rsidRDefault="004A3A3E">
      <w:pPr>
        <w:spacing w:before="240" w:after="240"/>
        <w:jc w:val="both"/>
        <w:rPr>
          <w:rFonts w:ascii="Times" w:eastAsia="Times" w:hAnsi="Times" w:cs="Times"/>
          <w:sz w:val="20"/>
          <w:szCs w:val="20"/>
        </w:rPr>
      </w:pPr>
    </w:p>
    <w:p w14:paraId="10C28D62"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5.7 Prospective Validation and Real-World Evaluation</w:t>
      </w:r>
    </w:p>
    <w:p w14:paraId="12B6AD8A"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lastRenderedPageBreak/>
        <w:t>One of the areas where the literature is lacking is in prospective and real-world validation. While retrospective validation is important and helpful, it does not reflect the full complexity of real-world clinical use. Future work should include prospective trials, reader studies, and workflow-level validation to assess not only the diagnostic accuracy but also the clinical utility, efficiency, and acceptance.</w:t>
      </w:r>
    </w:p>
    <w:p w14:paraId="052C3ECF" w14:textId="77777777" w:rsidR="004A3A3E" w:rsidRDefault="00000000">
      <w:pPr>
        <w:spacing w:before="280"/>
        <w:ind w:left="360"/>
        <w:jc w:val="both"/>
        <w:rPr>
          <w:rFonts w:ascii="Times" w:eastAsia="Times" w:hAnsi="Times" w:cs="Times"/>
          <w:b/>
          <w:bCs/>
          <w:sz w:val="20"/>
          <w:szCs w:val="20"/>
        </w:rPr>
      </w:pPr>
      <w:r>
        <w:rPr>
          <w:rFonts w:ascii="Times" w:eastAsia="Times" w:hAnsi="Times" w:cs="Times"/>
          <w:b/>
          <w:bCs/>
          <w:sz w:val="20"/>
          <w:szCs w:val="20"/>
        </w:rPr>
        <w:t>5.8 Ethical, Regulatory, and Deployment Considerations</w:t>
      </w:r>
    </w:p>
    <w:p w14:paraId="0D723D1B"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As AI systems approach the point of clinical utility, ethical and regulatory considerations are becoming increasingly important. Questions of bias, transparency, accountability, and model updating will need to be addressed within the existing regulatory framework. Future work should include fairness analysis, monitoring, and governance to ensure safe and fair deployment.</w:t>
      </w:r>
    </w:p>
    <w:p w14:paraId="729EE73C" w14:textId="77777777" w:rsidR="004A3A3E" w:rsidRDefault="00000000">
      <w:pPr>
        <w:numPr>
          <w:ilvl w:val="0"/>
          <w:numId w:val="2"/>
        </w:numPr>
        <w:spacing w:after="200"/>
        <w:jc w:val="both"/>
        <w:rPr>
          <w:rFonts w:ascii="Times" w:eastAsia="Times" w:hAnsi="Times" w:cs="Times"/>
          <w:b/>
          <w:bCs/>
          <w:sz w:val="24"/>
          <w:szCs w:val="24"/>
        </w:rPr>
      </w:pPr>
      <w:r>
        <w:rPr>
          <w:rFonts w:ascii="Times" w:eastAsia="Times" w:hAnsi="Times" w:cs="Times"/>
          <w:b/>
          <w:bCs/>
          <w:sz w:val="24"/>
          <w:szCs w:val="24"/>
        </w:rPr>
        <w:t>Conclusion</w:t>
      </w:r>
    </w:p>
    <w:p w14:paraId="5519CC00"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This review offered a thorough and organized discussion of the latest developments in AI-based intracranial aneurysm studies published between June 2022 and October 2025. By systematically reviewing the state-of-the-art in detection, segmentation, joint detection and segmentation, and risk assessment tasks using various imaging modalities and AI approaches, this review revealed both the prevailing trends and the deficiencies in the literature. A task-modality taxonomy was introduced to systematically categorize the burgeoning literature and facilitate a comparative analysis.</w:t>
      </w:r>
    </w:p>
    <w:p w14:paraId="59B408B8"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By qualitative and quantitative analysis, this review has shown that, although promising results have been obtained in controlled experiments using AI approaches, specifically deep learning-based models, there are still challenges in real-world applications. Problems of data diversity, generalizability, interpretability, and external validation remain in most categories of existing studies. Moreover, the fact that there are few integrated multi-task models and prospective studies indicates the existing gap between innovation and readiness.</w:t>
      </w:r>
    </w:p>
    <w:p w14:paraId="6ABF6A2F" w14:textId="77777777" w:rsidR="004A3A3E" w:rsidRDefault="00000000">
      <w:pPr>
        <w:spacing w:before="240" w:after="240"/>
        <w:jc w:val="both"/>
        <w:rPr>
          <w:rFonts w:ascii="Times" w:eastAsia="Times" w:hAnsi="Times" w:cs="Times"/>
          <w:sz w:val="20"/>
          <w:szCs w:val="20"/>
        </w:rPr>
      </w:pPr>
      <w:r>
        <w:rPr>
          <w:rFonts w:ascii="Times" w:eastAsia="Times" w:hAnsi="Times" w:cs="Times"/>
          <w:sz w:val="20"/>
          <w:szCs w:val="20"/>
        </w:rPr>
        <w:t>Looking ahead, in order to make significant progress in the area of AI-based analysis of intracranial aneurysms, there will be a need for greater synergy between the development of AI models and clinical practice. The focus on multi-center datasets, harmonized assessment protocols, interpretable and stable models, and prospective validation studies will be critical in ensuring that advances in research are translated into effective clinical solutions. In this manner, this review hopes to contribute to the development of clinically useful AI solutions for intracranial aneurysm analysis.</w:t>
      </w:r>
    </w:p>
    <w:p w14:paraId="4C598A21" w14:textId="77777777" w:rsidR="004A3A3E" w:rsidRDefault="00000000">
      <w:pPr>
        <w:spacing w:before="240" w:after="240"/>
        <w:jc w:val="both"/>
        <w:rPr>
          <w:rFonts w:ascii="Times" w:eastAsia="Times" w:hAnsi="Times" w:cs="Times"/>
          <w:b/>
          <w:bCs/>
          <w:sz w:val="24"/>
          <w:szCs w:val="24"/>
        </w:rPr>
      </w:pPr>
      <w:r>
        <w:rPr>
          <w:rFonts w:ascii="Times" w:eastAsia="Times" w:hAnsi="Times" w:cs="Times"/>
          <w:b/>
          <w:bCs/>
          <w:sz w:val="24"/>
          <w:szCs w:val="24"/>
        </w:rPr>
        <w:t>References</w:t>
      </w:r>
    </w:p>
    <w:p w14:paraId="2214F3E6"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D. J. Nieuwkamp et al., “Changes in case fatality of aneurysmal subarachnoid haemorrhage over time,” Lancet Neurol., vol. 8, no. 7, pp. 635–642, 2009.</w:t>
      </w:r>
    </w:p>
    <w:p w14:paraId="18DD8537"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J. van Gijn, R. S. Kerr, and G. J. Rinkel, “Subarachnoid haemorrhage,” Lancet, vol. 369, no. 9558, pp. 306–318, 2007.</w:t>
      </w:r>
    </w:p>
    <w:p w14:paraId="054C4D79"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R. L. Macdonald and T. A. Schweizer, “Spontaneous subarachnoid haemorrhage,” Lancet, vol. 389, no. 10069, pp. 655–666, 2017.</w:t>
      </w:r>
    </w:p>
    <w:p w14:paraId="5B44E12A"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T. Di Noto et al., “Survey of intracranial aneurysm detection and segmentation,” Med. Image Anal., vol. 91, 2025.</w:t>
      </w:r>
    </w:p>
    <w:p w14:paraId="7C7EE9A9"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H. Brinjikji et al., “Imaging of intracranial aneurysms,” Stroke, vol. 46, no. 5, pp. 1404–1412, 2015.</w:t>
      </w:r>
    </w:p>
    <w:p w14:paraId="2BD6FDB2"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M. Söderman et al., “3D rotational angiography in intracranial aneurysms,” AJNR, vol. 26, no. 6, pp. 1419–1426, 2005.</w:t>
      </w:r>
    </w:p>
    <w:p w14:paraId="71CF4E88"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A. G. van der Schaaf et al., “Observer variability in aneurysm detection,” Neuroradiology, vol. 48, no. 7, pp. 477–482, 2006.</w:t>
      </w:r>
    </w:p>
    <w:p w14:paraId="3904B270"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G. Litjens et al., “A survey on deep learning in medical image analysis,” Med. Image Anal., vol. 42, pp. 60–88, 2017.</w:t>
      </w:r>
    </w:p>
    <w:p w14:paraId="043E566C"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J. Ker et al., “Deep learning applications in medical image analysis,” IEEE Access, vol. 6, pp. 9375–9389, 2018.</w:t>
      </w:r>
    </w:p>
    <w:p w14:paraId="668617A4"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Y. Assis et al., “Deep learning for intracranial aneurysm detection on CTA,” BMC Med. Imaging, vol. 24, 2024.</w:t>
      </w:r>
    </w:p>
    <w:p w14:paraId="4145E770"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W.-C. Hsu et al., “Automated detection of intracranial aneurysms using deep neural networks,” Sci. Rep., vol. 13, 2023.</w:t>
      </w:r>
    </w:p>
    <w:p w14:paraId="31CC8D01"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T. Di Noto et al., “Classification, detection, and segmentation performance of image-based AI in intracranial aneurysms,” BMC Med. Imaging, 2024.</w:t>
      </w:r>
    </w:p>
    <w:p w14:paraId="0F4A26A0"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S. Chen et al., “Graph-based deep learning for intracranial aneurysm analysis,” NeuroImage: Clinical, vol. 39, 2023.</w:t>
      </w:r>
    </w:p>
    <w:p w14:paraId="2AB871A3"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lastRenderedPageBreak/>
        <w:t>Z. Liu et al., “Transformer-based models for medical image analysis,” Med. Image Anal., vol. 82, 2022.</w:t>
      </w:r>
    </w:p>
    <w:p w14:paraId="00EC45D2"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S. Park et al., “Deep learning in the management of intracranial aneurysms,” Clin. Neurol. Neurosurg., vol. 215, 2022.</w:t>
      </w:r>
    </w:p>
    <w:p w14:paraId="033F4755"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A. Rahman et al., “Artificial intelligence applications in intracranial aneurysm,” Neurosurg. Rev., vol. 45, 2022.</w:t>
      </w:r>
    </w:p>
    <w:p w14:paraId="2DA04AA5"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J. Wang et al., “Systematic review of deep learning for intracranial aneurysm detection,” Diagnostics, vol. 11, no. 11, 2023.</w:t>
      </w:r>
    </w:p>
    <w:p w14:paraId="795C54D8"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T. Di Noto et al., “Intracranial aneurysm detection: an object detection perspective,” Int. J. Comput. Assist. Radiol. Surg., 2024.</w:t>
      </w:r>
    </w:p>
    <w:p w14:paraId="662FDD29"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J. Qian et al., “Multicenter validation of AI-based intracranial aneurysm detection,” Lancet Digit. Health, vol. 6, 2024.</w:t>
      </w:r>
    </w:p>
    <w:p w14:paraId="55446BB3"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H. Yang et al., “Workflow impact of AI-assisted aneurysm detection,” Eur. Radiol., 2025.</w:t>
      </w:r>
    </w:p>
    <w:p w14:paraId="3CE48AE5"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Y. Assis et al., “Advancing intracranial aneurysm detection: a systematic review and meta-analysis,” Med. Image Anal., 2025.</w:t>
      </w:r>
    </w:p>
    <w:p w14:paraId="26B13701"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J. Qian et al., “Evaluation of an automated intracranial aneurysm detection approach using cascade detection networks,” Comput. Med. Imaging Graph., 2022.</w:t>
      </w:r>
    </w:p>
    <w:p w14:paraId="7797E399"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J. Chen et al., “Attention-guided U-Net for intracranial aneurysm segmentation,” Comput. Biol. Med., 2023.</w:t>
      </w:r>
    </w:p>
    <w:p w14:paraId="1903544E"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S. Chen et al., “Topology-aware deep learning for cerebral aneurysm segmentation,” NeuroImage: Clinical, 2023.</w:t>
      </w:r>
    </w:p>
    <w:p w14:paraId="2FC5E138" w14:textId="77777777" w:rsidR="004A3A3E" w:rsidRDefault="00000000">
      <w:pPr>
        <w:numPr>
          <w:ilvl w:val="0"/>
          <w:numId w:val="1"/>
        </w:numPr>
        <w:jc w:val="both"/>
        <w:rPr>
          <w:rFonts w:ascii="Times" w:eastAsia="Times" w:hAnsi="Times" w:cs="Times"/>
          <w:sz w:val="18"/>
          <w:szCs w:val="18"/>
        </w:rPr>
      </w:pPr>
      <w:r>
        <w:rPr>
          <w:rFonts w:ascii="Times" w:eastAsia="Times" w:hAnsi="Times" w:cs="Times"/>
          <w:sz w:val="18"/>
          <w:szCs w:val="18"/>
        </w:rPr>
        <w:t>J. Qian et al., “Cascade detection and classification networks for intracranial aneurysm analysis,” Med. Phys., 2023.</w:t>
      </w:r>
    </w:p>
    <w:sectPr w:rsidR="004A3A3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FBBCEC93-E2DC-40C5-BC68-664B7EE2402F}"/>
    <w:embedBold r:id="rId2" w:fontKey="{3230FE25-24E3-45EE-B221-4E85FD3732D6}"/>
  </w:font>
  <w:font w:name="Calibri">
    <w:panose1 w:val="020F0502020204030204"/>
    <w:charset w:val="00"/>
    <w:family w:val="swiss"/>
    <w:pitch w:val="variable"/>
    <w:sig w:usb0="E4002EFF" w:usb1="C000247B" w:usb2="00000009" w:usb3="00000000" w:csb0="000001FF" w:csb1="00000000"/>
    <w:embedRegular r:id="rId3" w:fontKey="{46F49D1E-E214-446C-B723-0CDE3E6BE77F}"/>
  </w:font>
  <w:font w:name="Cambria">
    <w:panose1 w:val="02040503050406030204"/>
    <w:charset w:val="00"/>
    <w:family w:val="roman"/>
    <w:pitch w:val="variable"/>
    <w:sig w:usb0="E00006FF" w:usb1="420024FF" w:usb2="02000000" w:usb3="00000000" w:csb0="0000019F" w:csb1="00000000"/>
    <w:embedRegular r:id="rId4" w:fontKey="{A71843F2-570D-4016-A135-F0021A0610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B77D8"/>
    <w:multiLevelType w:val="multilevel"/>
    <w:tmpl w:val="E3ACC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A671D3"/>
    <w:multiLevelType w:val="multilevel"/>
    <w:tmpl w:val="50C86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87384162">
    <w:abstractNumId w:val="1"/>
  </w:num>
  <w:num w:numId="2" w16cid:durableId="1173183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A3E"/>
    <w:rsid w:val="004A3A3E"/>
    <w:rsid w:val="008F0472"/>
    <w:rsid w:val="00BF57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9DF8"/>
  <w15:docId w15:val="{5A733B99-01F3-482F-BDC2-9741ACD8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4542</Words>
  <Characters>25890</Characters>
  <Application>Microsoft Office Word</Application>
  <DocSecurity>0</DocSecurity>
  <Lines>215</Lines>
  <Paragraphs>60</Paragraphs>
  <ScaleCrop>false</ScaleCrop>
  <Company/>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2026-02-27T07:58:00Z</dcterms:created>
  <dcterms:modified xsi:type="dcterms:W3CDTF">2026-02-27T07:59:00Z</dcterms:modified>
</cp:coreProperties>
</file>