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F02D" w14:textId="77777777" w:rsidR="00A319B1" w:rsidRDefault="003E69BB">
      <w:pPr>
        <w:spacing w:after="0" w:line="274" w:lineRule="auto"/>
        <w:ind w:left="-15" w:firstLine="70"/>
        <w:jc w:val="left"/>
      </w:pPr>
      <w:r>
        <w:rPr>
          <w:b/>
          <w:sz w:val="28"/>
        </w:rPr>
        <w:t xml:space="preserve"> “Impact of Vernacular AI Voice Advertisements on Rural Consumer  Adoption of Fintech Products”—An Empirical Study </w:t>
      </w:r>
    </w:p>
    <w:p w14:paraId="3D975079" w14:textId="0F21F9A9" w:rsidR="00A319B1" w:rsidRDefault="003E69BB">
      <w:pPr>
        <w:spacing w:after="438" w:line="274" w:lineRule="auto"/>
        <w:ind w:left="-5"/>
        <w:jc w:val="left"/>
      </w:pPr>
      <w:r>
        <w:rPr>
          <w:b/>
          <w:sz w:val="28"/>
        </w:rPr>
        <w:t xml:space="preserve">Abstract: </w:t>
      </w:r>
    </w:p>
    <w:p w14:paraId="70F6F8E9" w14:textId="77777777" w:rsidR="00A319B1" w:rsidRDefault="003E69BB">
      <w:pPr>
        <w:spacing w:after="480" w:line="357" w:lineRule="auto"/>
        <w:ind w:left="-5"/>
      </w:pPr>
      <w:r>
        <w:t xml:space="preserve"> FinTech  services  in  India  have  witnessed  tremendous  growth  that  has  opened  new  possibilities  of  financial  inclusion,  particularly  in  rural  areas.  Nevertheless,  the  uptake  rate  by  rural  consumers  is  relatively  low  because  of  language,  low  digital  literacy,  and  a  lack  of  trust.  As  artificial  intelligence  (AI)  has  grown,  personalised  and  culturally  appealing  AI  voice  advertisements  have  now  become  a  reality.  This  paper  will  consider  how  the  impact  of  vernacular  AI  voice  advertisements  on  the  awareness,  trust  and  adoption  of  fintech  products  that  include  mobile  banking  applications,  UPI  payment  services,  digital  wallets,  and  micro-loan  applications  by  rural  consumers.  The  sample  size  of  100  rural  participants  in  Karnataka  forms  the  sample  size  and  is  used  to  investigate  the  relationship  between  the  familiarity  with  languages,  their  clarity,  relevancy,  and  perceived  credibility  of  AI-generated  voices  and  the  intention  to  use  fintech  with  their  voice  recognition  application.  The  results  have  shown  that  vernacular  AI  voice  advertisements  largely  improve  comprehension,  develop  trust,  and  have  a  positive  effect  on  adoption  behaviour.  The  paper  concludes  by  stating  that  digital  financial  inclusion  in  rural  India  can  be  faster  by  implementing  vernacular  AI  voice  strategies by fintech firms. </w:t>
      </w:r>
    </w:p>
    <w:p w14:paraId="4DB8035F" w14:textId="77777777" w:rsidR="00A319B1" w:rsidRDefault="003E69BB">
      <w:pPr>
        <w:pStyle w:val="Heading1"/>
        <w:numPr>
          <w:ilvl w:val="0"/>
          <w:numId w:val="0"/>
        </w:numPr>
        <w:spacing w:after="588"/>
        <w:ind w:left="-5"/>
      </w:pPr>
      <w:r>
        <w:rPr>
          <w:sz w:val="24"/>
        </w:rPr>
        <w:t xml:space="preserve"> KEYWORDS </w:t>
      </w:r>
    </w:p>
    <w:p w14:paraId="27662F9A" w14:textId="77777777" w:rsidR="00A319B1" w:rsidRDefault="003E69BB">
      <w:pPr>
        <w:spacing w:line="357" w:lineRule="auto"/>
        <w:ind w:left="-5"/>
      </w:pPr>
      <w:r>
        <w:t xml:space="preserve"> Fintech  adoption,  Vernacular  advertising,  AI  voice  ads,  Rural  consumers,  Digital  financial  inclusion, Trust, Language familiarity. </w:t>
      </w:r>
    </w:p>
    <w:p w14:paraId="163CE37E" w14:textId="77777777" w:rsidR="00A319B1" w:rsidRDefault="003E69BB">
      <w:pPr>
        <w:pStyle w:val="Heading1"/>
        <w:spacing w:after="228"/>
        <w:ind w:left="105" w:hanging="120"/>
      </w:pPr>
      <w:r>
        <w:rPr>
          <w:sz w:val="24"/>
        </w:rPr>
        <w:t xml:space="preserve">. INTRODUCTION </w:t>
      </w:r>
    </w:p>
    <w:p w14:paraId="38F00342" w14:textId="77777777" w:rsidR="00A319B1" w:rsidRDefault="003E69BB">
      <w:pPr>
        <w:spacing w:after="0" w:line="357" w:lineRule="auto"/>
        <w:ind w:left="-5"/>
      </w:pPr>
      <w:r>
        <w:t xml:space="preserve"> Indian  financial  technology  (fintech)  has  transformed  the  Indian  digital  economy  to  allow  for  easy  payment  solutions,  mobile  banking,  digital  wallets,  micro-loans,  the  availability  of  insurance,  and  financial  literacy  solutions.  Some  of  the  government  programs,  including  UPI,  Jan  Dhan  Yojana,  Aadhaar-enabled  services  and  the  Digital  India  mission,  have  enhanced  the  transition  to  cashless  ecosystems.  Nevertheless,  even  after  a  long  way  of  progress,  the  level  of  fintech  product  adoption  in  rural  areas  is  </w:t>
      </w:r>
      <w:r>
        <w:lastRenderedPageBreak/>
        <w:t xml:space="preserve">significantly  lower  than  in  urban  ones.  The  literature  is  consistent  on  the  issues  that  affect  rural  consumers,  namely  limited  language,  low  levels  of  digital  literacy,  low  levels  of  perceived  trust,  lack  of  knowledge  regarding  application  interfaces,  and  lack  of  personalised  communication.  To  most  rural  clients,  financial  products  would  remain  elusive  and  abstract,  and  not  easy  to  comprehend  using  traditional advertising channels. </w:t>
      </w:r>
    </w:p>
    <w:p w14:paraId="6AB9D470" w14:textId="77777777" w:rsidR="00A319B1" w:rsidRDefault="003E69BB">
      <w:pPr>
        <w:spacing w:after="0" w:line="357" w:lineRule="auto"/>
        <w:ind w:left="-5"/>
      </w:pPr>
      <w:r>
        <w:t xml:space="preserve"> Conventional  advertisement,  which  is  often  circulated  in  English  or  standard  Hindi,  does  not  appeal  to  the  rural  population,  who  mostly  use  the  vernacular  languages  to  communicate  in  their  daily  activities.  Consequently,  these  advertisements  fail  to  competently  encourage  the  use  and  confidence  in  financial  technologies.  Linguistic  and  cultural  barriers  exist  since  increased  access  to  smartphones  and  the  internet  in  rural  India  has  opened  new  opportunities  for  tailored  and  digital-first  communication.  It  is  against  this  background  that  the  artificial  intelligence  (AI)-generated  vernacular  voice-based  adverts  have  come  out  as  a  potential  communication strategy. </w:t>
      </w:r>
    </w:p>
    <w:p w14:paraId="7617C83E" w14:textId="77777777" w:rsidR="00A319B1" w:rsidRDefault="003E69BB">
      <w:pPr>
        <w:spacing w:after="0" w:line="357" w:lineRule="auto"/>
        <w:ind w:left="-5"/>
      </w:pPr>
      <w:r>
        <w:t xml:space="preserve"> AI  voice  technologies  currently  provide  the  capability  to  generate  natural-sounding  voices  in  local  languages  and  dialects,  tune  and  control  the  tone  and  phrasing,  and  generate  hyper-localised  messages  on  a  large  scale.  Localised  AI  voice  advertisements  may  make  the  ideas  of  fintech  easier  to  understand,  create  familiarity  with  local  accents,  and  lower  the  thinking  load  of  low  literacy  users.  Voice  communication  is  also  relevant  in  rural  markets  where  passing  of  information  orally  is  one  of  the  cultural  trends.  Nevertheless,  even  though  there  has  been  a  growing  adoption  of  AI  voice  systems  by  fintech  companies,  scholarly  studies  investigating  their  impact  on  the  consumer  behaviour  of  the  rural  population  are  hardly available. </w:t>
      </w:r>
    </w:p>
    <w:p w14:paraId="0969E086" w14:textId="77777777" w:rsidR="00A319B1" w:rsidRDefault="003E69BB">
      <w:pPr>
        <w:spacing w:after="0" w:line="357" w:lineRule="auto"/>
        <w:ind w:left="-5"/>
      </w:pPr>
      <w:r>
        <w:t xml:space="preserve"> Although  general  fintech  adoption  motivators  and  vernacular  marketing  efficacy  have  been  analysed,  and  the  significance  of  trust  in  digital  finance  has  been  explored,  no  empirical  research  has  pooled  these  notions  together  in  the  AI-mediated  voice  advertising  framework.  The  evidence  concerning  the  question  of  whether  the  vernacular  AI  voice  ads  enhance  the  understanding,  foster  trust,  and  finally  encourage  rural  consumers  to  use  fintech  services  is  still missing. </w:t>
      </w:r>
    </w:p>
    <w:p w14:paraId="3DD71AAB" w14:textId="77777777" w:rsidR="00A319B1" w:rsidRDefault="003E69BB">
      <w:pPr>
        <w:spacing w:after="0" w:line="357" w:lineRule="auto"/>
        <w:ind w:left="-5"/>
      </w:pPr>
      <w:r>
        <w:t xml:space="preserve"> In  this  paper,  the  research  gap  will  be  filled  by  examining  how  vernacular  AI-generated  voice-based  adverts  affect  the  perceptions  of  consumers  in  rural  areas  in  terms  of  their  understanding,  trust,  and  intention  to  adopt  fintech  products.  The  study  will  undertake  further  understanding  of  the  processing  of  AI-generated  audio  communication  among  rural  audiences  by  paying  more  attention  to  the  level  of  familiarity  with  the  language,  voice  genuineness,  cultural  irrelevance,  and  perceived  credibility.  The  research  will  also  </w:t>
      </w:r>
      <w:r>
        <w:lastRenderedPageBreak/>
        <w:t xml:space="preserve">look  at  the  mediating  effect  of  trust,  which  is  a  well-known  factor  that  dictates  the  adoption  of  fintech  among  low-literacy environments. </w:t>
      </w:r>
    </w:p>
    <w:p w14:paraId="0026EF7C" w14:textId="77777777" w:rsidR="00A319B1" w:rsidRDefault="003E69BB">
      <w:pPr>
        <w:spacing w:after="651" w:line="357" w:lineRule="auto"/>
        <w:ind w:left="-5"/>
      </w:pPr>
      <w:r>
        <w:t xml:space="preserve"> The  research  aims  to  investigate  a  neglected  area  of  study  of  vernacular  communication,  artificial  intelligence,  and  digital  finance,  which  would  help  further  the  creation  of  more  inclusive,  culturally  responsive,  and  technologically  knowledgeable  marketing  approaches  to  be used by fintech companies serving rural India. </w:t>
      </w:r>
    </w:p>
    <w:p w14:paraId="70BE27F5" w14:textId="77777777" w:rsidR="00A319B1" w:rsidRDefault="003E69BB">
      <w:pPr>
        <w:pStyle w:val="Heading1"/>
        <w:numPr>
          <w:ilvl w:val="0"/>
          <w:numId w:val="0"/>
        </w:numPr>
        <w:spacing w:after="471"/>
        <w:ind w:left="-5"/>
      </w:pPr>
      <w:r>
        <w:rPr>
          <w:sz w:val="24"/>
        </w:rPr>
        <w:t xml:space="preserve"> REVIEW OF LITERATURE </w:t>
      </w:r>
    </w:p>
    <w:p w14:paraId="4A0FDFE2" w14:textId="77777777" w:rsidR="00A319B1" w:rsidRDefault="003E69BB">
      <w:pPr>
        <w:spacing w:after="240" w:line="357" w:lineRule="auto"/>
        <w:ind w:left="-5" w:right="-14"/>
      </w:pPr>
      <w:r>
        <w:rPr>
          <w:b/>
        </w:rPr>
        <w:t xml:space="preserve"> Shih-Hao  Lu</w:t>
      </w:r>
      <w:r>
        <w:rPr>
          <w:b/>
          <w:color w:val="222222"/>
        </w:rPr>
        <w:t xml:space="preserve"> ,  Huyen  Thi  Thanh  Tran  &amp;  Thanh-Sang  Ngo  (2024): </w:t>
      </w:r>
      <w:r>
        <w:rPr>
          <w:color w:val="222222"/>
        </w:rPr>
        <w:t xml:space="preserve"> In  their  study,  the  researchers  analyse  the  power  of  artificial  intelligence  (AI)  and  human  voices  in  audio  advertisements  in  the  conditions  of  low-attention  with  multitasking  listening.  The  study  is  based  on  the  PLS-SEM  model  and  a  large  sample  of  1,292  respondents  to  examine  the  correlation  between  voice  effectiveness,  attitude  towards  the  ad,  recall,  and  the  period  of  exposure.  As  the  analysis  results  have  indicated,  advertisements  that  are  presented  by  humans  exhibit  a  significant  positive  correlation  among  all  these  variables,  whereas  the  impacts  of  AI-voiced  advertisements  are  more  or  less  similar,  except  that  the  exposure  length  fails  to  moderate  the  effects  of  voice  effectiveness  and  attitude.  Notably,  the  findings  point  out  that  in  the  situation  where  listeners  do  not  pay  complete  attention,  AI  and  human  voices  work  differently  in  the  context  of  advertising  performance.  Besides,  most  listeners  cannot  say  whether  the  ad  is  performed  by  an  AI  or  a  human  voice,  which  means  that  an  AI  voice  can  be  used  as  an  effective  alternative  to  a  human  voice  in  the  context  of  the  current  audio  advertisement. </w:t>
      </w:r>
    </w:p>
    <w:p w14:paraId="5E0CCF52" w14:textId="77777777" w:rsidR="00A319B1" w:rsidRDefault="003E69BB">
      <w:pPr>
        <w:pStyle w:val="Heading2"/>
      </w:pPr>
      <w:r>
        <w:rPr>
          <w:color w:val="000000"/>
        </w:rPr>
        <w:t xml:space="preserve"> Fotis  Efthymiou</w:t>
      </w:r>
      <w:r>
        <w:t xml:space="preserve"> ,  Christian  Hildebrand,  and  William  H.  Hampton  (2023): </w:t>
      </w:r>
      <w:r>
        <w:rPr>
          <w:color w:val="000000"/>
        </w:rPr>
        <w:t xml:space="preserve"> “</w:t>
      </w:r>
      <w:r>
        <w:rPr>
          <w:b w:val="0"/>
          <w:color w:val="000000"/>
        </w:rPr>
        <w:t xml:space="preserve"> The  Power  of </w:t>
      </w:r>
    </w:p>
    <w:p w14:paraId="2C7A5E0C" w14:textId="77777777" w:rsidR="00A319B1" w:rsidRDefault="003E69BB">
      <w:pPr>
        <w:spacing w:after="416" w:line="357" w:lineRule="auto"/>
        <w:ind w:left="-5"/>
      </w:pPr>
      <w:r>
        <w:t xml:space="preserve"> AI-Generated  Voices:  How  Digital  Vocal  Tract  Length  Shapes  Product  Congruency  and  Ad  Performance”  This  paper  explores  how  the  voices  created  by  AI  can  be  strategically  manipulated  to  improve  the  product  and  brand  perception  without  visual  information.  In  the  presented  study,  the  authors  use  sound  symbolism  theory  and  speech  synthesis  progress  to  investigate  how  the  length  of  the  AI-generated  vocal  tract  (timbre)  of  conversational  agents  affects  consumers  in  terms  of  their  mental  imagery  and  judgment.  The  results  of  the  four  experiments,  including  a  field  study  on  a  large  scale,  indicate  that  longer  vocal  tract  lengths  enhance  perceived  congruency  with  stereotypically  </w:t>
      </w:r>
      <w:r>
        <w:lastRenderedPageBreak/>
        <w:t xml:space="preserve">masculine  products,  whereas  shorter  vocal  tract  lengths  enhance  congruency  with  feminine  products.  The  result  of  these  congruency  effects  in  advertising  is  better  advertising  results,  including  increased  response  (or  click-through  rates)  and  a  reduced  cost  per  click.  In  general,  the  research  indicates  that  the  strategic  value  of  AI  voice  design  in  marketing  communication  can  be  used  to  design  AI  voices  positively,  affecting  consumer  perceptions,  which  enhances  voice-product  congruency  and  optimises  the  performance  of  advertising,  thus  showing  the  potential  of  AI  voice  design  in marketing communication. </w:t>
      </w:r>
    </w:p>
    <w:p w14:paraId="6D76C35B" w14:textId="77777777" w:rsidR="00A319B1" w:rsidRDefault="003E69BB">
      <w:pPr>
        <w:spacing w:after="0" w:line="357" w:lineRule="auto"/>
        <w:ind w:left="0" w:right="1" w:firstLine="0"/>
      </w:pPr>
      <w:r>
        <w:rPr>
          <w:b/>
          <w:color w:val="1F1F1F"/>
        </w:rPr>
        <w:t xml:space="preserve"> Xinmeng  Wang,  Zhe  Zhang,  Qingyun  Jiang  (2024):  “</w:t>
      </w:r>
      <w:r>
        <w:rPr>
          <w:color w:val="1F1F1F"/>
        </w:rPr>
        <w:t xml:space="preserve"> The  effectiveness  of  human  vs.  AI  voice-over  in  short  video  advertisements:  A  cognitive  load  theory  perspective”  This  paper  looks  into  the  performance  of  AI-generated  and  human  voice-overs  in  short  video  marketing  in  immensely  competitive  digital  marketing  settings.  The  study  examines  consumer  preferences  on  voice  type  and  the  interaction  effects  of  voice-over  and  subtitle  availability  through  four  empirical  studies.  The  results  indicate  that  human  voice-overs  are  more  effective  than  AI  voice-overs  at  decreasing  the  level  of  cognitive  load  among  consumers,  which  consequently  increases  purchase  intention.  Nevertheless,  the  availability  of  subtitles  will  tame  this  effect,  with  the  benefit  of  human  voice-overs  being  the  greatest  when  there  are  no  subtitles  and  the  least  when  there  are  subtitles.  On  the  whole,  the  research  gives  a  complete  insight  into  the  effectiveness  of  voice  and  subtitles  in  engaging  advertising  of  a  short  video  and  suggests  effective  advice  that  can  help  advertisers  to  maximise  voice-over  and  subtitle  messages to increase consumer involvement and marketing results. </w:t>
      </w:r>
    </w:p>
    <w:p w14:paraId="00316177" w14:textId="77777777" w:rsidR="00A319B1" w:rsidRDefault="003E69BB">
      <w:pPr>
        <w:spacing w:after="240" w:line="357" w:lineRule="auto"/>
        <w:ind w:left="-5" w:right="122"/>
      </w:pPr>
      <w:r>
        <w:rPr>
          <w:b/>
          <w:color w:val="1F1F1F"/>
        </w:rPr>
        <w:t xml:space="preserve"> Jayant  Agarwal</w:t>
      </w:r>
      <w:r>
        <w:rPr>
          <w:b/>
          <w:color w:val="222222"/>
        </w:rPr>
        <w:t xml:space="preserve"> ,  Nikhil  Gulati  &amp;  Vishal  Tyagi  (2021):  “</w:t>
      </w:r>
      <w:r>
        <w:rPr>
          <w:color w:val="222222"/>
        </w:rPr>
        <w:t xml:space="preserve"> New  Era  of  Vernacular  Voice  Assistant”  The  study  is  a  proposal  of  an  advanced  voice  assistant  system,  which  incorporates  the  use  of  artificial  intelligence  and  natural  language  processing  to  improve  human-computer  interaction.  This  model  will  help  users  access  all  the  services  of  the  devices  effortlessly  with  voice  commands,  thus  better  communication  will  be  enabled.  The  integration  of  the  text-to-speech  functionality  and  support  of  the  vernacular  language  is  also  one  of  the  main  contributions  of  the  research  because  it  allows  making  dialect-based  interactions  to  make  the  user  more  comfortable  and  accessible.  The  suggested  system  will  be  positioned  as  a  solution  at  the  enterprise  level  that  can  serve  a  range  of  clients  irrespective  of  the  applications.  Altogether,  the  presented  study  illustrates  that  AI-based,  multilingual  voice  assistants  can  be  helpful  for  users  of  various  </w:t>
      </w:r>
      <w:r>
        <w:rPr>
          <w:color w:val="222222"/>
        </w:rPr>
        <w:lastRenderedPageBreak/>
        <w:t xml:space="preserve">generations  and  under  real-time  industrial  conditions,  which  contributes  to  the  increased  usefulness  and  inclusiveness of voice-based technologies. </w:t>
      </w:r>
    </w:p>
    <w:p w14:paraId="0174B8D3" w14:textId="77777777" w:rsidR="00A319B1" w:rsidRDefault="003E69BB">
      <w:pPr>
        <w:spacing w:after="499" w:line="357" w:lineRule="auto"/>
        <w:ind w:left="-5"/>
      </w:pPr>
      <w:r>
        <w:t xml:space="preserve"> From  the  review  above,  the  following  gaps  are  evident:  No  study  has  empirically  examined  vernacular  AI-generated  voice  advertisements.  Existing  literature  on  fintech  adoption  does  not  incorporate  AI  voice  advertising  variables.  Studies  on  rural  consumer  behaviour  rarely  explore  AI-based  communication  formats.  The  role  of  trust  as  a  mediator  in  AI  voice–ad–influenced  fintech  adoption  remains  underexplored.  And  there  is  no  integrated  model  connecting  language  familiarity,  AI  voice  clarity,  cultural  relevance,  trust,  and  fintech  adoption. These gaps justify the need for the present study. </w:t>
      </w:r>
    </w:p>
    <w:p w14:paraId="75E318AB" w14:textId="77777777" w:rsidR="00A319B1" w:rsidRDefault="003E69BB">
      <w:pPr>
        <w:pStyle w:val="Heading1"/>
        <w:numPr>
          <w:ilvl w:val="0"/>
          <w:numId w:val="0"/>
        </w:numPr>
        <w:spacing w:after="338"/>
        <w:ind w:left="-5"/>
      </w:pPr>
      <w:r>
        <w:t xml:space="preserve"> Objectives of the Study </w:t>
      </w:r>
    </w:p>
    <w:p w14:paraId="2436522B" w14:textId="77777777" w:rsidR="00A319B1" w:rsidRDefault="003E69BB">
      <w:pPr>
        <w:numPr>
          <w:ilvl w:val="0"/>
          <w:numId w:val="1"/>
        </w:numPr>
        <w:ind w:hanging="360"/>
      </w:pPr>
      <w:r>
        <w:t xml:space="preserve">To assess the impact of vernacular AI voice advertisements on rural consumers’  awareness and understanding of fintech products. </w:t>
      </w:r>
    </w:p>
    <w:p w14:paraId="52FB0606" w14:textId="77777777" w:rsidR="00A319B1" w:rsidRDefault="003E69BB">
      <w:pPr>
        <w:numPr>
          <w:ilvl w:val="0"/>
          <w:numId w:val="1"/>
        </w:numPr>
        <w:ind w:hanging="360"/>
      </w:pPr>
      <w:r>
        <w:t xml:space="preserve">To examine how language familiarity and voice clarity in AI-generated vernacular ads  influence trust toward fintech services. </w:t>
      </w:r>
    </w:p>
    <w:p w14:paraId="0322FC2F" w14:textId="77777777" w:rsidR="00A319B1" w:rsidRDefault="003E69BB">
      <w:pPr>
        <w:numPr>
          <w:ilvl w:val="0"/>
          <w:numId w:val="1"/>
        </w:numPr>
        <w:ind w:hanging="360"/>
      </w:pPr>
      <w:r>
        <w:t xml:space="preserve">To evaluate the role of cultural relevance and perceived credibility of vernacular AI  voice ads in shaping rural consumers’ attitudes. </w:t>
      </w:r>
    </w:p>
    <w:p w14:paraId="70314F0B" w14:textId="77777777" w:rsidR="00A319B1" w:rsidRDefault="003E69BB">
      <w:pPr>
        <w:numPr>
          <w:ilvl w:val="0"/>
          <w:numId w:val="1"/>
        </w:numPr>
        <w:ind w:hanging="360"/>
      </w:pPr>
      <w:r>
        <w:t xml:space="preserve">To determine the effect of vernacular AI voice advertisements on rural consumers’  intention to adopt fintech products </w:t>
      </w:r>
    </w:p>
    <w:p w14:paraId="2EB24D23" w14:textId="77777777" w:rsidR="00A319B1" w:rsidRDefault="003E69BB">
      <w:pPr>
        <w:pStyle w:val="Heading2"/>
        <w:spacing w:after="371" w:line="265" w:lineRule="auto"/>
        <w:ind w:left="-5" w:hanging="10"/>
      </w:pPr>
      <w:r>
        <w:rPr>
          <w:color w:val="000000"/>
        </w:rPr>
        <w:t xml:space="preserve"> METHODOLOGY </w:t>
      </w:r>
    </w:p>
    <w:p w14:paraId="094616F4" w14:textId="77777777" w:rsidR="00A319B1" w:rsidRDefault="003E69BB">
      <w:pPr>
        <w:pStyle w:val="Heading3"/>
        <w:spacing w:after="251"/>
        <w:ind w:left="-5"/>
      </w:pPr>
      <w:r>
        <w:t xml:space="preserve"> Research Design </w:t>
      </w:r>
    </w:p>
    <w:p w14:paraId="60EB3CF2" w14:textId="77777777" w:rsidR="00A319B1" w:rsidRDefault="003E69BB">
      <w:pPr>
        <w:spacing w:after="240" w:line="357" w:lineRule="auto"/>
        <w:ind w:left="-5"/>
      </w:pPr>
      <w:r>
        <w:t xml:space="preserve"> This  study  employs  a  quantitative,  descriptive,  and  analytical  research  design  to  investigate  the  impact  of  vernacular  AI  voice  advertisements  on  rural  consumers'  awareness,  trust,  and  adoption  of  fintech  products.  A  structured  survey  method  was  used  to  collect  numerical  data  suitable for statistical testing of hypotheses. </w:t>
      </w:r>
    </w:p>
    <w:p w14:paraId="3B8DF37F" w14:textId="77777777" w:rsidR="00A319B1" w:rsidRDefault="003E69BB">
      <w:pPr>
        <w:pStyle w:val="Heading3"/>
        <w:ind w:left="-5"/>
      </w:pPr>
      <w:r>
        <w:t xml:space="preserve"> Study Area </w:t>
      </w:r>
    </w:p>
    <w:p w14:paraId="4FC311F9" w14:textId="77777777" w:rsidR="00A319B1" w:rsidRDefault="003E69BB">
      <w:pPr>
        <w:spacing w:after="360" w:line="357" w:lineRule="auto"/>
        <w:ind w:left="-5"/>
      </w:pPr>
      <w:r>
        <w:t xml:space="preserve"> The  research  was  conducted  in  rural  areas  of  Karnataka,  specifically  in  the  villages  of  Tumkur,  Davanagere,  and  Chitradurga.  Such  markets  were  selected  because  of  the  rising  </w:t>
      </w:r>
      <w:r>
        <w:lastRenderedPageBreak/>
        <w:t xml:space="preserve">penetration  of  smartphones  and  the  rising  exposure  to  fintech  services,  but  with  relatively  low  adoption levels. </w:t>
      </w:r>
    </w:p>
    <w:p w14:paraId="09955833" w14:textId="77777777" w:rsidR="00A319B1" w:rsidRDefault="003E69BB">
      <w:pPr>
        <w:pStyle w:val="Heading3"/>
        <w:ind w:left="-5"/>
      </w:pPr>
      <w:r>
        <w:t xml:space="preserve"> Population and Sample Size </w:t>
      </w:r>
    </w:p>
    <w:p w14:paraId="41654EBB" w14:textId="77777777" w:rsidR="00A319B1" w:rsidRDefault="003E69BB">
      <w:pPr>
        <w:spacing w:after="364"/>
        <w:ind w:left="-5"/>
      </w:pPr>
      <w:r>
        <w:t xml:space="preserve"> The  target  market  will  be  rural  consumers  aged  between  18-60  years  old,  utilizing  smart  phones  and  having  encountered  vernacular  AI  voice  adverts  on  YouTube,  WhatsApp  voice  adverts, and app-based adverts. </w:t>
      </w:r>
    </w:p>
    <w:p w14:paraId="668A2A3B" w14:textId="77777777" w:rsidR="00A319B1" w:rsidRDefault="003E69BB">
      <w:pPr>
        <w:spacing w:after="364"/>
        <w:ind w:left="-5"/>
      </w:pPr>
      <w:r>
        <w:t xml:space="preserve"> The  selected  final  sample  consisted  of  42  respondents,  sufficient  for  regression  and  correlation analysis in behavioural research. </w:t>
      </w:r>
    </w:p>
    <w:p w14:paraId="5D831284" w14:textId="77777777" w:rsidR="00A319B1" w:rsidRDefault="003E69BB">
      <w:pPr>
        <w:pStyle w:val="Heading3"/>
        <w:ind w:left="-5"/>
      </w:pPr>
      <w:r>
        <w:t xml:space="preserve"> Sampling Technique </w:t>
      </w:r>
    </w:p>
    <w:p w14:paraId="086A402D" w14:textId="77777777" w:rsidR="00A319B1" w:rsidRDefault="003E69BB">
      <w:pPr>
        <w:spacing w:after="366"/>
        <w:ind w:left="-5"/>
      </w:pPr>
      <w:r>
        <w:t xml:space="preserve"> Purposive sampling was used together with convenience sampling: </w:t>
      </w:r>
    </w:p>
    <w:p w14:paraId="6F2CB93D" w14:textId="77777777" w:rsidR="00A319B1" w:rsidRDefault="003E69BB">
      <w:pPr>
        <w:spacing w:after="364"/>
        <w:ind w:left="-5"/>
      </w:pPr>
      <w:r>
        <w:t xml:space="preserve"> The  convenience  sampling  made  it  possible  to  find  respondents  who  were  accessible  in  rural  marketplaces, community centres and households. </w:t>
      </w:r>
    </w:p>
    <w:p w14:paraId="21CB5086" w14:textId="77777777" w:rsidR="00A319B1" w:rsidRDefault="003E69BB">
      <w:pPr>
        <w:spacing w:after="364"/>
        <w:ind w:left="-5"/>
      </w:pPr>
      <w:r>
        <w:t xml:space="preserve"> Purposive  sampling  was  used  so  that  the  respondents  had  a  minimum  basic  exposure  to  digital payments or fintech advertisements. </w:t>
      </w:r>
    </w:p>
    <w:p w14:paraId="0FDCE5CC" w14:textId="77777777" w:rsidR="00A319B1" w:rsidRDefault="003E69BB">
      <w:pPr>
        <w:ind w:left="-5"/>
      </w:pPr>
      <w:r>
        <w:t xml:space="preserve"> This guaranteed the accessibility and relevance of the sample. </w:t>
      </w:r>
    </w:p>
    <w:p w14:paraId="286870AB" w14:textId="77777777" w:rsidR="00A319B1" w:rsidRDefault="003E69BB">
      <w:pPr>
        <w:pStyle w:val="Heading3"/>
        <w:spacing w:after="252"/>
        <w:ind w:left="-5"/>
      </w:pPr>
      <w:r>
        <w:t xml:space="preserve"> Data Collection Method </w:t>
      </w:r>
    </w:p>
    <w:p w14:paraId="49B71461" w14:textId="77777777" w:rsidR="00A319B1" w:rsidRDefault="003E69BB">
      <w:pPr>
        <w:spacing w:after="244"/>
        <w:ind w:left="-5"/>
      </w:pPr>
      <w:r>
        <w:t xml:space="preserve"> The  study  used </w:t>
      </w:r>
      <w:r>
        <w:rPr>
          <w:b/>
        </w:rPr>
        <w:t xml:space="preserve"> primary  data</w:t>
      </w:r>
      <w:r>
        <w:t xml:space="preserve"> ,  collected  through  a  structured  questionnaire  divided  into  five  sections: </w:t>
      </w:r>
    </w:p>
    <w:p w14:paraId="0F95B94A" w14:textId="77777777" w:rsidR="00A319B1" w:rsidRDefault="003E69BB">
      <w:pPr>
        <w:numPr>
          <w:ilvl w:val="0"/>
          <w:numId w:val="2"/>
        </w:numPr>
        <w:ind w:hanging="360"/>
      </w:pPr>
      <w:r>
        <w:t xml:space="preserve">Demographics </w:t>
      </w:r>
    </w:p>
    <w:p w14:paraId="7DF1FC82" w14:textId="77777777" w:rsidR="00A319B1" w:rsidRDefault="003E69BB">
      <w:pPr>
        <w:numPr>
          <w:ilvl w:val="0"/>
          <w:numId w:val="2"/>
        </w:numPr>
        <w:ind w:hanging="360"/>
      </w:pPr>
      <w:r>
        <w:t xml:space="preserve">Exposure to vernacular AI voice ads </w:t>
      </w:r>
    </w:p>
    <w:p w14:paraId="47710302" w14:textId="77777777" w:rsidR="00A319B1" w:rsidRDefault="003E69BB">
      <w:pPr>
        <w:numPr>
          <w:ilvl w:val="0"/>
          <w:numId w:val="2"/>
        </w:numPr>
        <w:ind w:hanging="360"/>
      </w:pPr>
      <w:r>
        <w:t xml:space="preserve">Language familiarity and voice clarity </w:t>
      </w:r>
    </w:p>
    <w:p w14:paraId="558D4043" w14:textId="77777777" w:rsidR="00A319B1" w:rsidRDefault="003E69BB">
      <w:pPr>
        <w:numPr>
          <w:ilvl w:val="0"/>
          <w:numId w:val="2"/>
        </w:numPr>
        <w:ind w:hanging="360"/>
      </w:pPr>
      <w:r>
        <w:t xml:space="preserve">Cultural relevance and trust </w:t>
      </w:r>
    </w:p>
    <w:p w14:paraId="26E730B2" w14:textId="77777777" w:rsidR="00A319B1" w:rsidRDefault="003E69BB">
      <w:pPr>
        <w:numPr>
          <w:ilvl w:val="0"/>
          <w:numId w:val="2"/>
        </w:numPr>
        <w:spacing w:after="565"/>
        <w:ind w:hanging="360"/>
      </w:pPr>
      <w:r>
        <w:t xml:space="preserve">Fintech adoption intention </w:t>
      </w:r>
    </w:p>
    <w:p w14:paraId="0E43D4CA" w14:textId="77777777" w:rsidR="00A319B1" w:rsidRDefault="003E69BB">
      <w:pPr>
        <w:spacing w:after="244"/>
        <w:ind w:left="-5"/>
      </w:pPr>
      <w:r>
        <w:t xml:space="preserve"> All  attitude-based  statements  were  measured  using  a </w:t>
      </w:r>
      <w:r>
        <w:rPr>
          <w:b/>
        </w:rPr>
        <w:t xml:space="preserve"> 5-point  Likert  scale </w:t>
      </w:r>
      <w:r>
        <w:t xml:space="preserve"> ranging  from </w:t>
      </w:r>
      <w:r>
        <w:rPr>
          <w:i/>
        </w:rPr>
        <w:t xml:space="preserve"> 1  =  Strongly Disagree </w:t>
      </w:r>
      <w:r>
        <w:t xml:space="preserve"> to </w:t>
      </w:r>
      <w:r>
        <w:rPr>
          <w:i/>
        </w:rPr>
        <w:t xml:space="preserve"> 5 = Strongly Agree</w:t>
      </w:r>
      <w:r>
        <w:t xml:space="preserve">.  </w:t>
      </w:r>
    </w:p>
    <w:p w14:paraId="5B46FEBB" w14:textId="77777777" w:rsidR="00A319B1" w:rsidRDefault="003E69BB">
      <w:pPr>
        <w:spacing w:after="911"/>
        <w:ind w:left="-5"/>
      </w:pPr>
      <w:r>
        <w:lastRenderedPageBreak/>
        <w:t xml:space="preserve"> Secondary  data  was  obtained  from  academic  journals,  RBI  reports,  fintech  industry  publications, and government documents on digital inclusion. </w:t>
      </w:r>
    </w:p>
    <w:p w14:paraId="4DA7325C" w14:textId="77777777" w:rsidR="00A319B1" w:rsidRDefault="003E69BB">
      <w:pPr>
        <w:spacing w:after="378" w:line="265" w:lineRule="auto"/>
        <w:ind w:left="-5"/>
        <w:jc w:val="left"/>
      </w:pPr>
      <w:r>
        <w:rPr>
          <w:b/>
          <w:sz w:val="26"/>
        </w:rPr>
        <w:t xml:space="preserve"> HYPOTHESES: </w:t>
      </w:r>
    </w:p>
    <w:p w14:paraId="2243D8E0" w14:textId="77777777" w:rsidR="00A319B1" w:rsidRDefault="003E69BB">
      <w:pPr>
        <w:spacing w:after="280" w:line="274" w:lineRule="auto"/>
        <w:ind w:left="-5" w:right="-9"/>
        <w:jc w:val="left"/>
      </w:pPr>
      <w:r>
        <w:t xml:space="preserve"> H1: </w:t>
      </w:r>
      <w:r>
        <w:rPr>
          <w:color w:val="434343"/>
        </w:rPr>
        <w:t xml:space="preserve"> Language  familiarity  in  vernacular  AI  voice  advertisements  has  a  significant  positive  influence on rural consumers’ awareness and understanding of fintech products. </w:t>
      </w:r>
    </w:p>
    <w:p w14:paraId="1FE3E0F8" w14:textId="77777777" w:rsidR="00A319B1" w:rsidRDefault="003E69BB">
      <w:pPr>
        <w:spacing w:after="280" w:line="274" w:lineRule="auto"/>
        <w:ind w:left="-5" w:right="-9"/>
        <w:jc w:val="left"/>
      </w:pPr>
      <w:r>
        <w:t xml:space="preserve"> H2: </w:t>
      </w:r>
      <w:r>
        <w:rPr>
          <w:color w:val="434343"/>
        </w:rPr>
        <w:t xml:space="preserve"> Voice  clarity  in  vernacular  AI-generated  advertisements  significantly  enhances  rural  consumers’ trust toward fintech services. </w:t>
      </w:r>
    </w:p>
    <w:p w14:paraId="043A4A89" w14:textId="77777777" w:rsidR="00A319B1" w:rsidRDefault="003E69BB">
      <w:pPr>
        <w:spacing w:after="280" w:line="274" w:lineRule="auto"/>
        <w:ind w:left="-5" w:right="-9"/>
        <w:jc w:val="left"/>
      </w:pPr>
      <w:r>
        <w:t xml:space="preserve"> H3: </w:t>
      </w:r>
      <w:r>
        <w:rPr>
          <w:color w:val="434343"/>
        </w:rPr>
        <w:t xml:space="preserve"> Cultural  relevance  in  vernacular  AI  voice  advertisements  has  a  significant  positive  effect  on perceived credibility of fintech products. </w:t>
      </w:r>
    </w:p>
    <w:p w14:paraId="4B4A2556" w14:textId="77777777" w:rsidR="00A319B1" w:rsidRDefault="003E69BB">
      <w:pPr>
        <w:spacing w:after="280" w:line="274" w:lineRule="auto"/>
        <w:ind w:left="-5" w:right="-9"/>
        <w:jc w:val="left"/>
      </w:pPr>
      <w:r>
        <w:t xml:space="preserve"> H4: </w:t>
      </w:r>
      <w:r>
        <w:rPr>
          <w:color w:val="434343"/>
        </w:rPr>
        <w:t xml:space="preserve"> Vernacular  AI  voice  advertisements  have  a  significant  positive  impact  on  rural  consumers’ intention to adopt fintech products. </w:t>
      </w:r>
    </w:p>
    <w:p w14:paraId="76873D97" w14:textId="77777777" w:rsidR="00A319B1" w:rsidRDefault="003E69BB">
      <w:pPr>
        <w:spacing w:after="233" w:line="265" w:lineRule="auto"/>
        <w:ind w:left="-5"/>
        <w:jc w:val="left"/>
      </w:pPr>
      <w:r>
        <w:rPr>
          <w:b/>
          <w:sz w:val="26"/>
        </w:rPr>
        <w:t xml:space="preserve"> ANALYSIS: </w:t>
      </w:r>
    </w:p>
    <w:p w14:paraId="3D52B288" w14:textId="77777777" w:rsidR="00A319B1" w:rsidRDefault="003E69BB">
      <w:pPr>
        <w:spacing w:after="35" w:line="259" w:lineRule="auto"/>
        <w:ind w:left="0" w:firstLine="0"/>
        <w:jc w:val="left"/>
      </w:pPr>
      <w:r>
        <w:rPr>
          <w:b/>
          <w:i/>
        </w:rPr>
        <w:t xml:space="preserve"> Table 1: Table showing the Reliability analysis by using Cronbach's  Alpha </w:t>
      </w:r>
    </w:p>
    <w:tbl>
      <w:tblPr>
        <w:tblStyle w:val="TableGrid"/>
        <w:tblW w:w="9015" w:type="dxa"/>
        <w:tblInd w:w="8" w:type="dxa"/>
        <w:tblCellMar>
          <w:top w:w="121" w:type="dxa"/>
          <w:left w:w="38" w:type="dxa"/>
          <w:right w:w="24" w:type="dxa"/>
        </w:tblCellMar>
        <w:tblLook w:val="04A0" w:firstRow="1" w:lastRow="0" w:firstColumn="1" w:lastColumn="0" w:noHBand="0" w:noVBand="1"/>
      </w:tblPr>
      <w:tblGrid>
        <w:gridCol w:w="4036"/>
        <w:gridCol w:w="1600"/>
        <w:gridCol w:w="1700"/>
        <w:gridCol w:w="1679"/>
      </w:tblGrid>
      <w:tr w:rsidR="00A319B1" w14:paraId="4DC8CFA3" w14:textId="77777777">
        <w:trPr>
          <w:trHeight w:val="900"/>
        </w:trPr>
        <w:tc>
          <w:tcPr>
            <w:tcW w:w="4050" w:type="dxa"/>
            <w:tcBorders>
              <w:top w:val="single" w:sz="6" w:space="0" w:color="000000"/>
              <w:left w:val="single" w:sz="6" w:space="0" w:color="000000"/>
              <w:bottom w:val="single" w:sz="6" w:space="0" w:color="000000"/>
              <w:right w:val="single" w:sz="6" w:space="0" w:color="000000"/>
            </w:tcBorders>
            <w:vAlign w:val="center"/>
          </w:tcPr>
          <w:p w14:paraId="2897DBCE" w14:textId="77777777" w:rsidR="00A319B1" w:rsidRDefault="003E69BB">
            <w:pPr>
              <w:spacing w:after="0" w:line="259" w:lineRule="auto"/>
              <w:ind w:left="0" w:right="28" w:firstLine="0"/>
              <w:jc w:val="center"/>
            </w:pPr>
            <w:r>
              <w:rPr>
                <w:b/>
                <w:i/>
              </w:rPr>
              <w:t xml:space="preserve"> Construct </w:t>
            </w:r>
          </w:p>
        </w:tc>
        <w:tc>
          <w:tcPr>
            <w:tcW w:w="1605" w:type="dxa"/>
            <w:tcBorders>
              <w:top w:val="single" w:sz="6" w:space="0" w:color="000000"/>
              <w:left w:val="single" w:sz="6" w:space="0" w:color="000000"/>
              <w:bottom w:val="single" w:sz="6" w:space="0" w:color="000000"/>
              <w:right w:val="single" w:sz="6" w:space="0" w:color="000000"/>
            </w:tcBorders>
            <w:vAlign w:val="center"/>
          </w:tcPr>
          <w:p w14:paraId="64D843DA" w14:textId="77777777" w:rsidR="00A319B1" w:rsidRDefault="003E69BB">
            <w:pPr>
              <w:spacing w:after="0" w:line="259" w:lineRule="auto"/>
              <w:ind w:left="0" w:right="28" w:firstLine="0"/>
              <w:jc w:val="center"/>
            </w:pPr>
            <w:r>
              <w:rPr>
                <w:b/>
                <w:i/>
              </w:rPr>
              <w:t xml:space="preserve"> Items </w:t>
            </w:r>
          </w:p>
        </w:tc>
        <w:tc>
          <w:tcPr>
            <w:tcW w:w="1680" w:type="dxa"/>
            <w:tcBorders>
              <w:top w:val="single" w:sz="6" w:space="0" w:color="000000"/>
              <w:left w:val="single" w:sz="6" w:space="0" w:color="000000"/>
              <w:bottom w:val="single" w:sz="6" w:space="0" w:color="000000"/>
              <w:right w:val="single" w:sz="6" w:space="0" w:color="000000"/>
            </w:tcBorders>
            <w:vAlign w:val="center"/>
          </w:tcPr>
          <w:p w14:paraId="57AFF01D" w14:textId="77777777" w:rsidR="00A319B1" w:rsidRDefault="003E69BB">
            <w:pPr>
              <w:spacing w:after="0" w:line="259" w:lineRule="auto"/>
              <w:ind w:left="495" w:hanging="271"/>
              <w:jc w:val="left"/>
            </w:pPr>
            <w:r>
              <w:rPr>
                <w:b/>
                <w:i/>
              </w:rPr>
              <w:t xml:space="preserve"> Cronbach’s  Alpha </w:t>
            </w:r>
          </w:p>
        </w:tc>
        <w:tc>
          <w:tcPr>
            <w:tcW w:w="1680" w:type="dxa"/>
            <w:tcBorders>
              <w:top w:val="single" w:sz="6" w:space="0" w:color="000000"/>
              <w:left w:val="single" w:sz="6" w:space="0" w:color="000000"/>
              <w:bottom w:val="single" w:sz="6" w:space="0" w:color="000000"/>
              <w:right w:val="single" w:sz="6" w:space="0" w:color="000000"/>
            </w:tcBorders>
            <w:vAlign w:val="center"/>
          </w:tcPr>
          <w:p w14:paraId="139B7449" w14:textId="77777777" w:rsidR="00A319B1" w:rsidRDefault="003E69BB">
            <w:pPr>
              <w:spacing w:after="0" w:line="259" w:lineRule="auto"/>
              <w:ind w:left="102" w:firstLine="0"/>
              <w:jc w:val="left"/>
            </w:pPr>
            <w:r>
              <w:rPr>
                <w:b/>
                <w:i/>
              </w:rPr>
              <w:t xml:space="preserve"> Interpretation </w:t>
            </w:r>
          </w:p>
        </w:tc>
      </w:tr>
      <w:tr w:rsidR="00A319B1" w14:paraId="5A2D0889" w14:textId="77777777">
        <w:trPr>
          <w:trHeight w:val="390"/>
        </w:trPr>
        <w:tc>
          <w:tcPr>
            <w:tcW w:w="4050" w:type="dxa"/>
            <w:tcBorders>
              <w:top w:val="single" w:sz="6" w:space="0" w:color="000000"/>
              <w:left w:val="single" w:sz="6" w:space="0" w:color="000000"/>
              <w:bottom w:val="single" w:sz="6" w:space="0" w:color="000000"/>
              <w:right w:val="single" w:sz="6" w:space="0" w:color="000000"/>
            </w:tcBorders>
          </w:tcPr>
          <w:p w14:paraId="2BD2861E" w14:textId="77777777" w:rsidR="00A319B1" w:rsidRDefault="003E69BB">
            <w:pPr>
              <w:spacing w:after="0" w:line="259" w:lineRule="auto"/>
              <w:ind w:left="0" w:firstLine="0"/>
              <w:jc w:val="left"/>
            </w:pPr>
            <w:r>
              <w:t xml:space="preserve"> Language Familiarity </w:t>
            </w:r>
          </w:p>
        </w:tc>
        <w:tc>
          <w:tcPr>
            <w:tcW w:w="1605" w:type="dxa"/>
            <w:tcBorders>
              <w:top w:val="single" w:sz="6" w:space="0" w:color="000000"/>
              <w:left w:val="single" w:sz="6" w:space="0" w:color="000000"/>
              <w:bottom w:val="single" w:sz="6" w:space="0" w:color="000000"/>
              <w:right w:val="single" w:sz="6" w:space="0" w:color="000000"/>
            </w:tcBorders>
          </w:tcPr>
          <w:p w14:paraId="467007F0" w14:textId="77777777" w:rsidR="00A319B1" w:rsidRDefault="003E69BB">
            <w:pPr>
              <w:spacing w:after="0" w:line="259" w:lineRule="auto"/>
              <w:ind w:left="0" w:right="28" w:firstLine="0"/>
              <w:jc w:val="center"/>
            </w:pPr>
            <w:r>
              <w:t xml:space="preserve"> 4 </w:t>
            </w:r>
          </w:p>
        </w:tc>
        <w:tc>
          <w:tcPr>
            <w:tcW w:w="1680" w:type="dxa"/>
            <w:tcBorders>
              <w:top w:val="single" w:sz="6" w:space="0" w:color="000000"/>
              <w:left w:val="single" w:sz="6" w:space="0" w:color="000000"/>
              <w:bottom w:val="single" w:sz="6" w:space="0" w:color="000000"/>
              <w:right w:val="single" w:sz="6" w:space="0" w:color="000000"/>
            </w:tcBorders>
          </w:tcPr>
          <w:p w14:paraId="52ED5043" w14:textId="77777777" w:rsidR="00A319B1" w:rsidRDefault="003E69BB">
            <w:pPr>
              <w:spacing w:after="0" w:line="259" w:lineRule="auto"/>
              <w:ind w:left="0" w:right="28" w:firstLine="0"/>
              <w:jc w:val="center"/>
            </w:pPr>
            <w:r>
              <w:t xml:space="preserve"> 0.78 </w:t>
            </w:r>
          </w:p>
        </w:tc>
        <w:tc>
          <w:tcPr>
            <w:tcW w:w="1680" w:type="dxa"/>
            <w:tcBorders>
              <w:top w:val="single" w:sz="6" w:space="0" w:color="000000"/>
              <w:left w:val="single" w:sz="6" w:space="0" w:color="000000"/>
              <w:bottom w:val="single" w:sz="6" w:space="0" w:color="000000"/>
              <w:right w:val="single" w:sz="6" w:space="0" w:color="000000"/>
            </w:tcBorders>
          </w:tcPr>
          <w:p w14:paraId="752CFE84" w14:textId="77777777" w:rsidR="00A319B1" w:rsidRDefault="003E69BB">
            <w:pPr>
              <w:spacing w:after="0" w:line="259" w:lineRule="auto"/>
              <w:ind w:left="0" w:right="28" w:firstLine="0"/>
              <w:jc w:val="center"/>
            </w:pPr>
            <w:r>
              <w:t xml:space="preserve"> Reliable </w:t>
            </w:r>
          </w:p>
        </w:tc>
      </w:tr>
      <w:tr w:rsidR="00A319B1" w14:paraId="00B4B5ED" w14:textId="77777777">
        <w:trPr>
          <w:trHeight w:val="495"/>
        </w:trPr>
        <w:tc>
          <w:tcPr>
            <w:tcW w:w="4050" w:type="dxa"/>
            <w:tcBorders>
              <w:top w:val="single" w:sz="6" w:space="0" w:color="000000"/>
              <w:left w:val="single" w:sz="6" w:space="0" w:color="000000"/>
              <w:bottom w:val="single" w:sz="6" w:space="0" w:color="000000"/>
              <w:right w:val="single" w:sz="6" w:space="0" w:color="000000"/>
            </w:tcBorders>
            <w:vAlign w:val="center"/>
          </w:tcPr>
          <w:p w14:paraId="0CAD4FE8" w14:textId="77777777" w:rsidR="00A319B1" w:rsidRDefault="003E69BB">
            <w:pPr>
              <w:spacing w:after="0" w:line="259" w:lineRule="auto"/>
              <w:ind w:left="120" w:firstLine="0"/>
              <w:jc w:val="left"/>
            </w:pPr>
            <w:r>
              <w:t xml:space="preserve"> Voice Clarity </w:t>
            </w:r>
          </w:p>
        </w:tc>
        <w:tc>
          <w:tcPr>
            <w:tcW w:w="1605" w:type="dxa"/>
            <w:tcBorders>
              <w:top w:val="single" w:sz="6" w:space="0" w:color="000000"/>
              <w:left w:val="single" w:sz="6" w:space="0" w:color="000000"/>
              <w:bottom w:val="single" w:sz="6" w:space="0" w:color="000000"/>
              <w:right w:val="single" w:sz="6" w:space="0" w:color="000000"/>
            </w:tcBorders>
            <w:vAlign w:val="center"/>
          </w:tcPr>
          <w:p w14:paraId="6FDF2C7A" w14:textId="77777777" w:rsidR="00A319B1" w:rsidRDefault="003E69BB">
            <w:pPr>
              <w:spacing w:after="0" w:line="259" w:lineRule="auto"/>
              <w:ind w:left="0" w:right="28" w:firstLine="0"/>
              <w:jc w:val="center"/>
            </w:pPr>
            <w:r>
              <w:t xml:space="preserve"> 4 </w:t>
            </w:r>
          </w:p>
        </w:tc>
        <w:tc>
          <w:tcPr>
            <w:tcW w:w="1680" w:type="dxa"/>
            <w:tcBorders>
              <w:top w:val="single" w:sz="6" w:space="0" w:color="000000"/>
              <w:left w:val="single" w:sz="6" w:space="0" w:color="000000"/>
              <w:bottom w:val="single" w:sz="6" w:space="0" w:color="000000"/>
              <w:right w:val="single" w:sz="6" w:space="0" w:color="000000"/>
            </w:tcBorders>
            <w:vAlign w:val="center"/>
          </w:tcPr>
          <w:p w14:paraId="5FBA432C" w14:textId="77777777" w:rsidR="00A319B1" w:rsidRDefault="003E69BB">
            <w:pPr>
              <w:spacing w:after="0" w:line="259" w:lineRule="auto"/>
              <w:ind w:left="0" w:right="28" w:firstLine="0"/>
              <w:jc w:val="center"/>
            </w:pPr>
            <w:r>
              <w:t xml:space="preserve"> 0.81 </w:t>
            </w:r>
          </w:p>
        </w:tc>
        <w:tc>
          <w:tcPr>
            <w:tcW w:w="1680" w:type="dxa"/>
            <w:tcBorders>
              <w:top w:val="single" w:sz="6" w:space="0" w:color="000000"/>
              <w:left w:val="single" w:sz="6" w:space="0" w:color="000000"/>
              <w:bottom w:val="single" w:sz="6" w:space="0" w:color="000000"/>
              <w:right w:val="single" w:sz="6" w:space="0" w:color="000000"/>
            </w:tcBorders>
            <w:vAlign w:val="center"/>
          </w:tcPr>
          <w:p w14:paraId="07AFDCC2" w14:textId="77777777" w:rsidR="00A319B1" w:rsidRDefault="003E69BB">
            <w:pPr>
              <w:spacing w:after="0" w:line="259" w:lineRule="auto"/>
              <w:ind w:left="0" w:right="28" w:firstLine="0"/>
              <w:jc w:val="center"/>
            </w:pPr>
            <w:r>
              <w:t xml:space="preserve"> Reliable </w:t>
            </w:r>
          </w:p>
        </w:tc>
      </w:tr>
      <w:tr w:rsidR="00A319B1" w14:paraId="3B903C31" w14:textId="77777777">
        <w:trPr>
          <w:trHeight w:val="495"/>
        </w:trPr>
        <w:tc>
          <w:tcPr>
            <w:tcW w:w="4050" w:type="dxa"/>
            <w:tcBorders>
              <w:top w:val="single" w:sz="6" w:space="0" w:color="000000"/>
              <w:left w:val="single" w:sz="6" w:space="0" w:color="000000"/>
              <w:bottom w:val="single" w:sz="6" w:space="0" w:color="000000"/>
              <w:right w:val="single" w:sz="6" w:space="0" w:color="000000"/>
            </w:tcBorders>
          </w:tcPr>
          <w:p w14:paraId="2FB40876" w14:textId="77777777" w:rsidR="00A319B1" w:rsidRDefault="003E69BB">
            <w:pPr>
              <w:spacing w:after="0" w:line="259" w:lineRule="auto"/>
              <w:ind w:left="60" w:firstLine="0"/>
              <w:jc w:val="left"/>
            </w:pPr>
            <w:r>
              <w:t xml:space="preserve"> Cultural Relevance </w:t>
            </w:r>
          </w:p>
        </w:tc>
        <w:tc>
          <w:tcPr>
            <w:tcW w:w="1605" w:type="dxa"/>
            <w:tcBorders>
              <w:top w:val="single" w:sz="6" w:space="0" w:color="000000"/>
              <w:left w:val="single" w:sz="6" w:space="0" w:color="000000"/>
              <w:bottom w:val="single" w:sz="6" w:space="0" w:color="000000"/>
              <w:right w:val="single" w:sz="6" w:space="0" w:color="000000"/>
            </w:tcBorders>
          </w:tcPr>
          <w:p w14:paraId="28B555A9" w14:textId="77777777" w:rsidR="00A319B1" w:rsidRDefault="003E69BB">
            <w:pPr>
              <w:spacing w:after="0" w:line="259" w:lineRule="auto"/>
              <w:ind w:left="0" w:right="28" w:firstLine="0"/>
              <w:jc w:val="center"/>
            </w:pPr>
            <w:r>
              <w:t xml:space="preserve"> 4 </w:t>
            </w:r>
          </w:p>
        </w:tc>
        <w:tc>
          <w:tcPr>
            <w:tcW w:w="1680" w:type="dxa"/>
            <w:tcBorders>
              <w:top w:val="single" w:sz="6" w:space="0" w:color="000000"/>
              <w:left w:val="single" w:sz="6" w:space="0" w:color="000000"/>
              <w:bottom w:val="single" w:sz="6" w:space="0" w:color="000000"/>
              <w:right w:val="single" w:sz="6" w:space="0" w:color="000000"/>
            </w:tcBorders>
          </w:tcPr>
          <w:p w14:paraId="4FA3FB9D" w14:textId="77777777" w:rsidR="00A319B1" w:rsidRDefault="003E69BB">
            <w:pPr>
              <w:spacing w:after="0" w:line="259" w:lineRule="auto"/>
              <w:ind w:left="0" w:right="28" w:firstLine="0"/>
              <w:jc w:val="center"/>
            </w:pPr>
            <w:r>
              <w:t xml:space="preserve"> 0.84 </w:t>
            </w:r>
          </w:p>
        </w:tc>
        <w:tc>
          <w:tcPr>
            <w:tcW w:w="1680" w:type="dxa"/>
            <w:tcBorders>
              <w:top w:val="single" w:sz="6" w:space="0" w:color="000000"/>
              <w:left w:val="single" w:sz="6" w:space="0" w:color="000000"/>
              <w:bottom w:val="single" w:sz="6" w:space="0" w:color="000000"/>
              <w:right w:val="single" w:sz="6" w:space="0" w:color="000000"/>
            </w:tcBorders>
          </w:tcPr>
          <w:p w14:paraId="60F8959B" w14:textId="77777777" w:rsidR="00A319B1" w:rsidRDefault="003E69BB">
            <w:pPr>
              <w:spacing w:after="0" w:line="259" w:lineRule="auto"/>
              <w:ind w:left="32" w:firstLine="0"/>
            </w:pPr>
            <w:r>
              <w:t xml:space="preserve"> Highly Reliable </w:t>
            </w:r>
          </w:p>
        </w:tc>
      </w:tr>
      <w:tr w:rsidR="00A319B1" w14:paraId="4445A277" w14:textId="77777777">
        <w:trPr>
          <w:trHeight w:val="510"/>
        </w:trPr>
        <w:tc>
          <w:tcPr>
            <w:tcW w:w="4050" w:type="dxa"/>
            <w:tcBorders>
              <w:top w:val="single" w:sz="6" w:space="0" w:color="000000"/>
              <w:left w:val="single" w:sz="6" w:space="0" w:color="000000"/>
              <w:bottom w:val="single" w:sz="6" w:space="0" w:color="000000"/>
              <w:right w:val="single" w:sz="6" w:space="0" w:color="000000"/>
            </w:tcBorders>
            <w:vAlign w:val="center"/>
          </w:tcPr>
          <w:p w14:paraId="2761F852" w14:textId="77777777" w:rsidR="00A319B1" w:rsidRDefault="003E69BB">
            <w:pPr>
              <w:spacing w:after="0" w:line="259" w:lineRule="auto"/>
              <w:ind w:left="60" w:firstLine="0"/>
              <w:jc w:val="left"/>
            </w:pPr>
            <w:r>
              <w:t xml:space="preserve"> Trust </w:t>
            </w:r>
          </w:p>
        </w:tc>
        <w:tc>
          <w:tcPr>
            <w:tcW w:w="1605" w:type="dxa"/>
            <w:tcBorders>
              <w:top w:val="single" w:sz="6" w:space="0" w:color="000000"/>
              <w:left w:val="single" w:sz="6" w:space="0" w:color="000000"/>
              <w:bottom w:val="single" w:sz="6" w:space="0" w:color="000000"/>
              <w:right w:val="single" w:sz="6" w:space="0" w:color="000000"/>
            </w:tcBorders>
            <w:vAlign w:val="center"/>
          </w:tcPr>
          <w:p w14:paraId="7480376E" w14:textId="77777777" w:rsidR="00A319B1" w:rsidRDefault="003E69BB">
            <w:pPr>
              <w:spacing w:after="0" w:line="259" w:lineRule="auto"/>
              <w:ind w:left="0" w:right="28" w:firstLine="0"/>
              <w:jc w:val="center"/>
            </w:pPr>
            <w:r>
              <w:t xml:space="preserve"> 4 </w:t>
            </w:r>
          </w:p>
        </w:tc>
        <w:tc>
          <w:tcPr>
            <w:tcW w:w="1680" w:type="dxa"/>
            <w:tcBorders>
              <w:top w:val="single" w:sz="6" w:space="0" w:color="000000"/>
              <w:left w:val="single" w:sz="6" w:space="0" w:color="000000"/>
              <w:bottom w:val="single" w:sz="6" w:space="0" w:color="000000"/>
              <w:right w:val="single" w:sz="6" w:space="0" w:color="000000"/>
            </w:tcBorders>
            <w:vAlign w:val="center"/>
          </w:tcPr>
          <w:p w14:paraId="75DB6866" w14:textId="77777777" w:rsidR="00A319B1" w:rsidRDefault="003E69BB">
            <w:pPr>
              <w:spacing w:after="0" w:line="259" w:lineRule="auto"/>
              <w:ind w:left="0" w:right="28" w:firstLine="0"/>
              <w:jc w:val="center"/>
            </w:pPr>
            <w:r>
              <w:t xml:space="preserve"> 0.86 </w:t>
            </w:r>
          </w:p>
        </w:tc>
        <w:tc>
          <w:tcPr>
            <w:tcW w:w="1680" w:type="dxa"/>
            <w:tcBorders>
              <w:top w:val="single" w:sz="6" w:space="0" w:color="000000"/>
              <w:left w:val="single" w:sz="6" w:space="0" w:color="000000"/>
              <w:bottom w:val="single" w:sz="6" w:space="0" w:color="000000"/>
              <w:right w:val="single" w:sz="6" w:space="0" w:color="000000"/>
            </w:tcBorders>
            <w:vAlign w:val="center"/>
          </w:tcPr>
          <w:p w14:paraId="7D411167" w14:textId="77777777" w:rsidR="00A319B1" w:rsidRDefault="003E69BB">
            <w:pPr>
              <w:spacing w:after="0" w:line="259" w:lineRule="auto"/>
              <w:ind w:left="32" w:firstLine="0"/>
            </w:pPr>
            <w:r>
              <w:t xml:space="preserve"> Highly Reliable </w:t>
            </w:r>
          </w:p>
        </w:tc>
      </w:tr>
      <w:tr w:rsidR="00A319B1" w14:paraId="19ADF247" w14:textId="77777777">
        <w:trPr>
          <w:trHeight w:val="495"/>
        </w:trPr>
        <w:tc>
          <w:tcPr>
            <w:tcW w:w="4050" w:type="dxa"/>
            <w:tcBorders>
              <w:top w:val="single" w:sz="6" w:space="0" w:color="000000"/>
              <w:left w:val="single" w:sz="6" w:space="0" w:color="000000"/>
              <w:bottom w:val="single" w:sz="6" w:space="0" w:color="000000"/>
              <w:right w:val="single" w:sz="6" w:space="0" w:color="000000"/>
            </w:tcBorders>
            <w:vAlign w:val="center"/>
          </w:tcPr>
          <w:p w14:paraId="3E76876C" w14:textId="77777777" w:rsidR="00A319B1" w:rsidRDefault="003E69BB">
            <w:pPr>
              <w:spacing w:after="0" w:line="259" w:lineRule="auto"/>
              <w:ind w:left="60" w:firstLine="0"/>
              <w:jc w:val="left"/>
            </w:pPr>
            <w:r>
              <w:t xml:space="preserve"> Adoption Intention </w:t>
            </w:r>
          </w:p>
        </w:tc>
        <w:tc>
          <w:tcPr>
            <w:tcW w:w="1605" w:type="dxa"/>
            <w:tcBorders>
              <w:top w:val="single" w:sz="6" w:space="0" w:color="000000"/>
              <w:left w:val="single" w:sz="6" w:space="0" w:color="000000"/>
              <w:bottom w:val="single" w:sz="6" w:space="0" w:color="000000"/>
              <w:right w:val="single" w:sz="6" w:space="0" w:color="000000"/>
            </w:tcBorders>
            <w:vAlign w:val="center"/>
          </w:tcPr>
          <w:p w14:paraId="64360C0E" w14:textId="77777777" w:rsidR="00A319B1" w:rsidRDefault="003E69BB">
            <w:pPr>
              <w:spacing w:after="0" w:line="259" w:lineRule="auto"/>
              <w:ind w:left="0" w:right="28" w:firstLine="0"/>
              <w:jc w:val="center"/>
            </w:pPr>
            <w:r>
              <w:t xml:space="preserve"> 4 </w:t>
            </w:r>
          </w:p>
        </w:tc>
        <w:tc>
          <w:tcPr>
            <w:tcW w:w="1680" w:type="dxa"/>
            <w:tcBorders>
              <w:top w:val="single" w:sz="6" w:space="0" w:color="000000"/>
              <w:left w:val="single" w:sz="6" w:space="0" w:color="000000"/>
              <w:bottom w:val="single" w:sz="6" w:space="0" w:color="000000"/>
              <w:right w:val="single" w:sz="6" w:space="0" w:color="000000"/>
            </w:tcBorders>
            <w:vAlign w:val="center"/>
          </w:tcPr>
          <w:p w14:paraId="08795C6A" w14:textId="77777777" w:rsidR="00A319B1" w:rsidRDefault="003E69BB">
            <w:pPr>
              <w:spacing w:after="0" w:line="259" w:lineRule="auto"/>
              <w:ind w:left="0" w:right="28" w:firstLine="0"/>
              <w:jc w:val="center"/>
            </w:pPr>
            <w:r>
              <w:t xml:space="preserve"> 0.88 </w:t>
            </w:r>
          </w:p>
        </w:tc>
        <w:tc>
          <w:tcPr>
            <w:tcW w:w="1680" w:type="dxa"/>
            <w:tcBorders>
              <w:top w:val="single" w:sz="6" w:space="0" w:color="000000"/>
              <w:left w:val="single" w:sz="6" w:space="0" w:color="000000"/>
              <w:bottom w:val="single" w:sz="6" w:space="0" w:color="000000"/>
              <w:right w:val="single" w:sz="6" w:space="0" w:color="000000"/>
            </w:tcBorders>
            <w:vAlign w:val="center"/>
          </w:tcPr>
          <w:p w14:paraId="32DB147E" w14:textId="77777777" w:rsidR="00A319B1" w:rsidRDefault="003E69BB">
            <w:pPr>
              <w:spacing w:after="0" w:line="259" w:lineRule="auto"/>
              <w:ind w:left="32" w:firstLine="0"/>
            </w:pPr>
            <w:r>
              <w:t xml:space="preserve"> Highly Reliable </w:t>
            </w:r>
          </w:p>
        </w:tc>
      </w:tr>
    </w:tbl>
    <w:p w14:paraId="413452BA" w14:textId="77777777" w:rsidR="00A319B1" w:rsidRDefault="003E69BB">
      <w:pPr>
        <w:spacing w:after="941" w:line="265" w:lineRule="auto"/>
        <w:ind w:left="-5"/>
        <w:jc w:val="left"/>
      </w:pPr>
      <w:r>
        <w:rPr>
          <w:b/>
          <w:sz w:val="26"/>
        </w:rPr>
        <w:t xml:space="preserve"> Result: All constructs &gt; 0.70 → internal consistency established. </w:t>
      </w:r>
    </w:p>
    <w:p w14:paraId="0F56879C" w14:textId="77777777" w:rsidR="00A319B1" w:rsidRDefault="003E69BB">
      <w:pPr>
        <w:pStyle w:val="Heading1"/>
        <w:numPr>
          <w:ilvl w:val="0"/>
          <w:numId w:val="0"/>
        </w:numPr>
        <w:spacing w:after="539"/>
        <w:ind w:left="-5"/>
      </w:pPr>
      <w:r>
        <w:t xml:space="preserve"> Descriptive Statistics </w:t>
      </w:r>
    </w:p>
    <w:tbl>
      <w:tblPr>
        <w:tblStyle w:val="TableGrid"/>
        <w:tblW w:w="8970" w:type="dxa"/>
        <w:tblInd w:w="8" w:type="dxa"/>
        <w:tblCellMar>
          <w:top w:w="170" w:type="dxa"/>
          <w:left w:w="98" w:type="dxa"/>
          <w:right w:w="115" w:type="dxa"/>
        </w:tblCellMar>
        <w:tblLook w:val="04A0" w:firstRow="1" w:lastRow="0" w:firstColumn="1" w:lastColumn="0" w:noHBand="0" w:noVBand="1"/>
      </w:tblPr>
      <w:tblGrid>
        <w:gridCol w:w="2235"/>
        <w:gridCol w:w="2235"/>
        <w:gridCol w:w="2100"/>
        <w:gridCol w:w="2400"/>
      </w:tblGrid>
      <w:tr w:rsidR="00A319B1" w14:paraId="69B15BF8" w14:textId="77777777">
        <w:trPr>
          <w:trHeight w:val="525"/>
        </w:trPr>
        <w:tc>
          <w:tcPr>
            <w:tcW w:w="2235" w:type="dxa"/>
            <w:tcBorders>
              <w:top w:val="single" w:sz="6" w:space="0" w:color="000000"/>
              <w:left w:val="single" w:sz="6" w:space="0" w:color="000000"/>
              <w:bottom w:val="single" w:sz="6" w:space="0" w:color="000000"/>
              <w:right w:val="single" w:sz="6" w:space="0" w:color="000000"/>
            </w:tcBorders>
            <w:vAlign w:val="center"/>
          </w:tcPr>
          <w:p w14:paraId="059D1D94" w14:textId="77777777" w:rsidR="00A319B1" w:rsidRDefault="003E69BB">
            <w:pPr>
              <w:spacing w:after="0" w:line="259" w:lineRule="auto"/>
              <w:ind w:left="3" w:firstLine="0"/>
              <w:jc w:val="center"/>
            </w:pPr>
            <w:r>
              <w:rPr>
                <w:b/>
                <w:sz w:val="26"/>
              </w:rPr>
              <w:t xml:space="preserve"> Variable </w:t>
            </w:r>
          </w:p>
        </w:tc>
        <w:tc>
          <w:tcPr>
            <w:tcW w:w="2235" w:type="dxa"/>
            <w:tcBorders>
              <w:top w:val="single" w:sz="6" w:space="0" w:color="000000"/>
              <w:left w:val="single" w:sz="6" w:space="0" w:color="000000"/>
              <w:bottom w:val="single" w:sz="6" w:space="0" w:color="000000"/>
              <w:right w:val="single" w:sz="6" w:space="0" w:color="000000"/>
            </w:tcBorders>
            <w:vAlign w:val="center"/>
          </w:tcPr>
          <w:p w14:paraId="77846930" w14:textId="77777777" w:rsidR="00A319B1" w:rsidRDefault="003E69BB">
            <w:pPr>
              <w:spacing w:after="0" w:line="259" w:lineRule="auto"/>
              <w:ind w:left="3" w:firstLine="0"/>
              <w:jc w:val="center"/>
            </w:pPr>
            <w:r>
              <w:rPr>
                <w:b/>
                <w:sz w:val="26"/>
              </w:rPr>
              <w:t xml:space="preserve"> Mean </w:t>
            </w:r>
          </w:p>
        </w:tc>
        <w:tc>
          <w:tcPr>
            <w:tcW w:w="2100" w:type="dxa"/>
            <w:tcBorders>
              <w:top w:val="single" w:sz="6" w:space="0" w:color="000000"/>
              <w:left w:val="single" w:sz="6" w:space="0" w:color="000000"/>
              <w:bottom w:val="single" w:sz="6" w:space="0" w:color="000000"/>
              <w:right w:val="single" w:sz="6" w:space="0" w:color="000000"/>
            </w:tcBorders>
            <w:vAlign w:val="center"/>
          </w:tcPr>
          <w:p w14:paraId="2DC46002" w14:textId="77777777" w:rsidR="00A319B1" w:rsidRDefault="003E69BB">
            <w:pPr>
              <w:spacing w:after="0" w:line="259" w:lineRule="auto"/>
              <w:ind w:left="3" w:firstLine="0"/>
              <w:jc w:val="center"/>
            </w:pPr>
            <w:r>
              <w:rPr>
                <w:b/>
                <w:sz w:val="26"/>
              </w:rPr>
              <w:t xml:space="preserve"> SD </w:t>
            </w:r>
          </w:p>
        </w:tc>
        <w:tc>
          <w:tcPr>
            <w:tcW w:w="2400" w:type="dxa"/>
            <w:tcBorders>
              <w:top w:val="single" w:sz="6" w:space="0" w:color="000000"/>
              <w:left w:val="single" w:sz="6" w:space="0" w:color="000000"/>
              <w:bottom w:val="single" w:sz="6" w:space="0" w:color="000000"/>
              <w:right w:val="single" w:sz="6" w:space="0" w:color="000000"/>
            </w:tcBorders>
            <w:vAlign w:val="center"/>
          </w:tcPr>
          <w:p w14:paraId="61A3F315" w14:textId="77777777" w:rsidR="00A319B1" w:rsidRDefault="003E69BB">
            <w:pPr>
              <w:spacing w:after="0" w:line="259" w:lineRule="auto"/>
              <w:ind w:left="3" w:firstLine="0"/>
              <w:jc w:val="center"/>
            </w:pPr>
            <w:r>
              <w:rPr>
                <w:b/>
                <w:sz w:val="26"/>
              </w:rPr>
              <w:t xml:space="preserve"> Interpretation </w:t>
            </w:r>
          </w:p>
        </w:tc>
      </w:tr>
      <w:tr w:rsidR="00A319B1" w14:paraId="3FFFD65E" w14:textId="77777777">
        <w:trPr>
          <w:trHeight w:val="825"/>
        </w:trPr>
        <w:tc>
          <w:tcPr>
            <w:tcW w:w="2235" w:type="dxa"/>
            <w:tcBorders>
              <w:top w:val="single" w:sz="6" w:space="0" w:color="000000"/>
              <w:left w:val="single" w:sz="6" w:space="0" w:color="000000"/>
              <w:bottom w:val="single" w:sz="6" w:space="0" w:color="000000"/>
              <w:right w:val="single" w:sz="6" w:space="0" w:color="000000"/>
            </w:tcBorders>
            <w:vAlign w:val="center"/>
          </w:tcPr>
          <w:p w14:paraId="54223626" w14:textId="77777777" w:rsidR="00A319B1" w:rsidRDefault="003E69BB">
            <w:pPr>
              <w:spacing w:after="0" w:line="259" w:lineRule="auto"/>
              <w:ind w:left="0" w:firstLine="0"/>
              <w:jc w:val="left"/>
            </w:pPr>
            <w:r>
              <w:rPr>
                <w:b/>
                <w:sz w:val="26"/>
              </w:rPr>
              <w:lastRenderedPageBreak/>
              <w:t xml:space="preserve"> Language </w:t>
            </w:r>
          </w:p>
          <w:p w14:paraId="3F842FB7" w14:textId="77777777" w:rsidR="00A319B1" w:rsidRDefault="003E69BB">
            <w:pPr>
              <w:spacing w:after="0" w:line="259" w:lineRule="auto"/>
              <w:ind w:left="0" w:firstLine="0"/>
              <w:jc w:val="left"/>
            </w:pPr>
            <w:r>
              <w:rPr>
                <w:b/>
                <w:sz w:val="26"/>
              </w:rPr>
              <w:t xml:space="preserve"> Familiarity </w:t>
            </w:r>
          </w:p>
        </w:tc>
        <w:tc>
          <w:tcPr>
            <w:tcW w:w="2235" w:type="dxa"/>
            <w:tcBorders>
              <w:top w:val="single" w:sz="6" w:space="0" w:color="000000"/>
              <w:left w:val="single" w:sz="6" w:space="0" w:color="000000"/>
              <w:bottom w:val="single" w:sz="6" w:space="0" w:color="000000"/>
              <w:right w:val="single" w:sz="6" w:space="0" w:color="000000"/>
            </w:tcBorders>
          </w:tcPr>
          <w:p w14:paraId="4D274623" w14:textId="77777777" w:rsidR="00A319B1" w:rsidRDefault="003E69BB">
            <w:pPr>
              <w:spacing w:after="0" w:line="259" w:lineRule="auto"/>
              <w:ind w:left="3" w:firstLine="0"/>
              <w:jc w:val="center"/>
            </w:pPr>
            <w:r>
              <w:t xml:space="preserve"> 4.12 </w:t>
            </w:r>
          </w:p>
        </w:tc>
        <w:tc>
          <w:tcPr>
            <w:tcW w:w="2100" w:type="dxa"/>
            <w:tcBorders>
              <w:top w:val="single" w:sz="6" w:space="0" w:color="000000"/>
              <w:left w:val="single" w:sz="6" w:space="0" w:color="000000"/>
              <w:bottom w:val="single" w:sz="6" w:space="0" w:color="000000"/>
              <w:right w:val="single" w:sz="6" w:space="0" w:color="000000"/>
            </w:tcBorders>
          </w:tcPr>
          <w:p w14:paraId="76BA9191" w14:textId="77777777" w:rsidR="00A319B1" w:rsidRDefault="003E69BB">
            <w:pPr>
              <w:spacing w:after="0" w:line="259" w:lineRule="auto"/>
              <w:ind w:left="3" w:firstLine="0"/>
              <w:jc w:val="center"/>
            </w:pPr>
            <w:r>
              <w:rPr>
                <w:sz w:val="26"/>
              </w:rPr>
              <w:t xml:space="preserve"> 0.63 </w:t>
            </w:r>
          </w:p>
        </w:tc>
        <w:tc>
          <w:tcPr>
            <w:tcW w:w="2400" w:type="dxa"/>
            <w:tcBorders>
              <w:top w:val="single" w:sz="6" w:space="0" w:color="000000"/>
              <w:left w:val="single" w:sz="6" w:space="0" w:color="000000"/>
              <w:bottom w:val="single" w:sz="6" w:space="0" w:color="000000"/>
              <w:right w:val="single" w:sz="6" w:space="0" w:color="000000"/>
            </w:tcBorders>
          </w:tcPr>
          <w:p w14:paraId="6E6F543F" w14:textId="77777777" w:rsidR="00A319B1" w:rsidRDefault="003E69BB">
            <w:pPr>
              <w:spacing w:after="0" w:line="259" w:lineRule="auto"/>
              <w:ind w:left="3" w:firstLine="0"/>
              <w:jc w:val="center"/>
            </w:pPr>
            <w:r>
              <w:rPr>
                <w:sz w:val="26"/>
              </w:rPr>
              <w:t xml:space="preserve"> High familiarity </w:t>
            </w:r>
          </w:p>
        </w:tc>
      </w:tr>
      <w:tr w:rsidR="00A319B1" w14:paraId="14CA6F07" w14:textId="77777777">
        <w:trPr>
          <w:trHeight w:val="825"/>
        </w:trPr>
        <w:tc>
          <w:tcPr>
            <w:tcW w:w="2235" w:type="dxa"/>
            <w:tcBorders>
              <w:top w:val="single" w:sz="6" w:space="0" w:color="000000"/>
              <w:left w:val="single" w:sz="6" w:space="0" w:color="000000"/>
              <w:bottom w:val="single" w:sz="6" w:space="0" w:color="000000"/>
              <w:right w:val="single" w:sz="6" w:space="0" w:color="000000"/>
            </w:tcBorders>
          </w:tcPr>
          <w:p w14:paraId="54CFBA20" w14:textId="77777777" w:rsidR="00A319B1" w:rsidRDefault="003E69BB">
            <w:pPr>
              <w:spacing w:after="0" w:line="259" w:lineRule="auto"/>
              <w:ind w:left="0" w:firstLine="0"/>
              <w:jc w:val="left"/>
            </w:pPr>
            <w:r>
              <w:rPr>
                <w:b/>
                <w:sz w:val="26"/>
              </w:rPr>
              <w:t xml:space="preserve"> Voice Clarity </w:t>
            </w:r>
          </w:p>
        </w:tc>
        <w:tc>
          <w:tcPr>
            <w:tcW w:w="2235" w:type="dxa"/>
            <w:tcBorders>
              <w:top w:val="single" w:sz="6" w:space="0" w:color="000000"/>
              <w:left w:val="single" w:sz="6" w:space="0" w:color="000000"/>
              <w:bottom w:val="single" w:sz="6" w:space="0" w:color="000000"/>
              <w:right w:val="single" w:sz="6" w:space="0" w:color="000000"/>
            </w:tcBorders>
          </w:tcPr>
          <w:p w14:paraId="40243FA2" w14:textId="77777777" w:rsidR="00A319B1" w:rsidRDefault="003E69BB">
            <w:pPr>
              <w:spacing w:after="0" w:line="259" w:lineRule="auto"/>
              <w:ind w:left="3" w:firstLine="0"/>
              <w:jc w:val="center"/>
            </w:pPr>
            <w:r>
              <w:t xml:space="preserve"> 4.08 </w:t>
            </w:r>
          </w:p>
        </w:tc>
        <w:tc>
          <w:tcPr>
            <w:tcW w:w="2100" w:type="dxa"/>
            <w:tcBorders>
              <w:top w:val="single" w:sz="6" w:space="0" w:color="000000"/>
              <w:left w:val="single" w:sz="6" w:space="0" w:color="000000"/>
              <w:bottom w:val="single" w:sz="6" w:space="0" w:color="000000"/>
              <w:right w:val="single" w:sz="6" w:space="0" w:color="000000"/>
            </w:tcBorders>
          </w:tcPr>
          <w:p w14:paraId="49A9F3CE" w14:textId="77777777" w:rsidR="00A319B1" w:rsidRDefault="003E69BB">
            <w:pPr>
              <w:spacing w:after="0" w:line="259" w:lineRule="auto"/>
              <w:ind w:left="3" w:firstLine="0"/>
              <w:jc w:val="center"/>
            </w:pPr>
            <w:r>
              <w:rPr>
                <w:sz w:val="26"/>
              </w:rPr>
              <w:t xml:space="preserve"> 0.70 </w:t>
            </w:r>
          </w:p>
        </w:tc>
        <w:tc>
          <w:tcPr>
            <w:tcW w:w="2400" w:type="dxa"/>
            <w:tcBorders>
              <w:top w:val="single" w:sz="6" w:space="0" w:color="000000"/>
              <w:left w:val="single" w:sz="6" w:space="0" w:color="000000"/>
              <w:bottom w:val="single" w:sz="6" w:space="0" w:color="000000"/>
              <w:right w:val="single" w:sz="6" w:space="0" w:color="000000"/>
            </w:tcBorders>
          </w:tcPr>
          <w:p w14:paraId="17FB0A64" w14:textId="77777777" w:rsidR="00A319B1" w:rsidRDefault="003E69BB">
            <w:pPr>
              <w:spacing w:after="0" w:line="259" w:lineRule="auto"/>
              <w:ind w:left="3" w:firstLine="0"/>
              <w:jc w:val="center"/>
            </w:pPr>
            <w:r>
              <w:rPr>
                <w:sz w:val="26"/>
              </w:rPr>
              <w:t xml:space="preserve"> High clarity </w:t>
            </w:r>
          </w:p>
        </w:tc>
      </w:tr>
      <w:tr w:rsidR="00A319B1" w14:paraId="648AE63A" w14:textId="77777777">
        <w:trPr>
          <w:trHeight w:val="810"/>
        </w:trPr>
        <w:tc>
          <w:tcPr>
            <w:tcW w:w="2235" w:type="dxa"/>
            <w:tcBorders>
              <w:top w:val="single" w:sz="6" w:space="0" w:color="000000"/>
              <w:left w:val="single" w:sz="6" w:space="0" w:color="000000"/>
              <w:bottom w:val="single" w:sz="6" w:space="0" w:color="000000"/>
              <w:right w:val="single" w:sz="6" w:space="0" w:color="000000"/>
            </w:tcBorders>
          </w:tcPr>
          <w:p w14:paraId="35122B12" w14:textId="77777777" w:rsidR="00A319B1" w:rsidRDefault="003E69BB">
            <w:pPr>
              <w:spacing w:after="0" w:line="259" w:lineRule="auto"/>
              <w:ind w:left="0" w:firstLine="0"/>
              <w:jc w:val="left"/>
            </w:pPr>
            <w:r>
              <w:rPr>
                <w:b/>
                <w:sz w:val="26"/>
              </w:rPr>
              <w:t xml:space="preserve"> Cultural  relevance </w:t>
            </w:r>
          </w:p>
        </w:tc>
        <w:tc>
          <w:tcPr>
            <w:tcW w:w="2235" w:type="dxa"/>
            <w:tcBorders>
              <w:top w:val="single" w:sz="6" w:space="0" w:color="000000"/>
              <w:left w:val="single" w:sz="6" w:space="0" w:color="000000"/>
              <w:bottom w:val="single" w:sz="6" w:space="0" w:color="000000"/>
              <w:right w:val="single" w:sz="6" w:space="0" w:color="000000"/>
            </w:tcBorders>
          </w:tcPr>
          <w:p w14:paraId="150B2EFA" w14:textId="77777777" w:rsidR="00A319B1" w:rsidRDefault="003E69BB">
            <w:pPr>
              <w:spacing w:after="0" w:line="259" w:lineRule="auto"/>
              <w:ind w:left="3" w:firstLine="0"/>
              <w:jc w:val="center"/>
            </w:pPr>
            <w:r>
              <w:t xml:space="preserve"> 4.20 </w:t>
            </w:r>
          </w:p>
        </w:tc>
        <w:tc>
          <w:tcPr>
            <w:tcW w:w="2100" w:type="dxa"/>
            <w:tcBorders>
              <w:top w:val="single" w:sz="6" w:space="0" w:color="000000"/>
              <w:left w:val="single" w:sz="6" w:space="0" w:color="000000"/>
              <w:bottom w:val="single" w:sz="6" w:space="0" w:color="000000"/>
              <w:right w:val="single" w:sz="6" w:space="0" w:color="000000"/>
            </w:tcBorders>
          </w:tcPr>
          <w:p w14:paraId="6915F3B3" w14:textId="77777777" w:rsidR="00A319B1" w:rsidRDefault="003E69BB">
            <w:pPr>
              <w:spacing w:after="0" w:line="259" w:lineRule="auto"/>
              <w:ind w:left="3" w:firstLine="0"/>
              <w:jc w:val="center"/>
            </w:pPr>
            <w:r>
              <w:rPr>
                <w:sz w:val="26"/>
              </w:rPr>
              <w:t xml:space="preserve"> 0.58 </w:t>
            </w:r>
          </w:p>
        </w:tc>
        <w:tc>
          <w:tcPr>
            <w:tcW w:w="2400" w:type="dxa"/>
            <w:tcBorders>
              <w:top w:val="single" w:sz="6" w:space="0" w:color="000000"/>
              <w:left w:val="single" w:sz="6" w:space="0" w:color="000000"/>
              <w:bottom w:val="single" w:sz="6" w:space="0" w:color="000000"/>
              <w:right w:val="single" w:sz="6" w:space="0" w:color="000000"/>
            </w:tcBorders>
          </w:tcPr>
          <w:p w14:paraId="0A3313CA" w14:textId="77777777" w:rsidR="00A319B1" w:rsidRDefault="003E69BB">
            <w:pPr>
              <w:spacing w:after="0" w:line="259" w:lineRule="auto"/>
              <w:ind w:left="0" w:firstLine="0"/>
              <w:jc w:val="center"/>
            </w:pPr>
            <w:r>
              <w:rPr>
                <w:sz w:val="26"/>
              </w:rPr>
              <w:t xml:space="preserve"> Strong cultural  connection </w:t>
            </w:r>
          </w:p>
        </w:tc>
      </w:tr>
      <w:tr w:rsidR="00A319B1" w14:paraId="4E7571DC" w14:textId="77777777">
        <w:trPr>
          <w:trHeight w:val="525"/>
        </w:trPr>
        <w:tc>
          <w:tcPr>
            <w:tcW w:w="2235" w:type="dxa"/>
            <w:tcBorders>
              <w:top w:val="single" w:sz="6" w:space="0" w:color="000000"/>
              <w:left w:val="single" w:sz="6" w:space="0" w:color="000000"/>
              <w:bottom w:val="single" w:sz="6" w:space="0" w:color="000000"/>
              <w:right w:val="single" w:sz="6" w:space="0" w:color="000000"/>
            </w:tcBorders>
            <w:vAlign w:val="center"/>
          </w:tcPr>
          <w:p w14:paraId="3FAF219A" w14:textId="77777777" w:rsidR="00A319B1" w:rsidRDefault="003E69BB">
            <w:pPr>
              <w:spacing w:after="0" w:line="259" w:lineRule="auto"/>
              <w:ind w:left="0" w:firstLine="0"/>
              <w:jc w:val="left"/>
            </w:pPr>
            <w:r>
              <w:rPr>
                <w:b/>
                <w:sz w:val="26"/>
              </w:rPr>
              <w:t xml:space="preserve"> Trust </w:t>
            </w:r>
          </w:p>
        </w:tc>
        <w:tc>
          <w:tcPr>
            <w:tcW w:w="2235" w:type="dxa"/>
            <w:tcBorders>
              <w:top w:val="single" w:sz="6" w:space="0" w:color="000000"/>
              <w:left w:val="single" w:sz="6" w:space="0" w:color="000000"/>
              <w:bottom w:val="single" w:sz="6" w:space="0" w:color="000000"/>
              <w:right w:val="single" w:sz="6" w:space="0" w:color="000000"/>
            </w:tcBorders>
            <w:vAlign w:val="center"/>
          </w:tcPr>
          <w:p w14:paraId="3CA8E551" w14:textId="77777777" w:rsidR="00A319B1" w:rsidRDefault="003E69BB">
            <w:pPr>
              <w:spacing w:after="0" w:line="259" w:lineRule="auto"/>
              <w:ind w:left="3" w:firstLine="0"/>
              <w:jc w:val="center"/>
            </w:pPr>
            <w:r>
              <w:t xml:space="preserve"> 4.15 </w:t>
            </w:r>
          </w:p>
        </w:tc>
        <w:tc>
          <w:tcPr>
            <w:tcW w:w="2100" w:type="dxa"/>
            <w:tcBorders>
              <w:top w:val="single" w:sz="6" w:space="0" w:color="000000"/>
              <w:left w:val="single" w:sz="6" w:space="0" w:color="000000"/>
              <w:bottom w:val="single" w:sz="6" w:space="0" w:color="000000"/>
              <w:right w:val="single" w:sz="6" w:space="0" w:color="000000"/>
            </w:tcBorders>
            <w:vAlign w:val="center"/>
          </w:tcPr>
          <w:p w14:paraId="36721C22" w14:textId="77777777" w:rsidR="00A319B1" w:rsidRDefault="003E69BB">
            <w:pPr>
              <w:spacing w:after="0" w:line="259" w:lineRule="auto"/>
              <w:ind w:left="3" w:firstLine="0"/>
              <w:jc w:val="center"/>
            </w:pPr>
            <w:r>
              <w:t xml:space="preserve"> 0.65 </w:t>
            </w:r>
          </w:p>
        </w:tc>
        <w:tc>
          <w:tcPr>
            <w:tcW w:w="2400" w:type="dxa"/>
            <w:vMerge w:val="restart"/>
            <w:tcBorders>
              <w:top w:val="single" w:sz="6" w:space="0" w:color="000000"/>
              <w:left w:val="nil"/>
              <w:bottom w:val="nil"/>
              <w:right w:val="nil"/>
            </w:tcBorders>
            <w:vAlign w:val="center"/>
          </w:tcPr>
          <w:p w14:paraId="52AE17AC" w14:textId="77777777" w:rsidR="00A319B1" w:rsidRDefault="003E69BB">
            <w:pPr>
              <w:spacing w:after="184" w:line="259" w:lineRule="auto"/>
              <w:ind w:left="3" w:firstLine="0"/>
              <w:jc w:val="center"/>
            </w:pPr>
            <w:r>
              <w:rPr>
                <w:sz w:val="26"/>
              </w:rPr>
              <w:t xml:space="preserve"> High trust levels </w:t>
            </w:r>
          </w:p>
          <w:p w14:paraId="7BCEFAB8" w14:textId="77777777" w:rsidR="00A319B1" w:rsidRDefault="003E69BB">
            <w:pPr>
              <w:spacing w:after="0" w:line="259" w:lineRule="auto"/>
              <w:ind w:left="0" w:firstLine="0"/>
              <w:jc w:val="center"/>
            </w:pPr>
            <w:r>
              <w:rPr>
                <w:sz w:val="26"/>
              </w:rPr>
              <w:t xml:space="preserve"> Strong intention to  adopt </w:t>
            </w:r>
          </w:p>
        </w:tc>
      </w:tr>
      <w:tr w:rsidR="00A319B1" w14:paraId="7D7C00D4" w14:textId="77777777">
        <w:trPr>
          <w:trHeight w:val="825"/>
        </w:trPr>
        <w:tc>
          <w:tcPr>
            <w:tcW w:w="2235" w:type="dxa"/>
            <w:tcBorders>
              <w:top w:val="single" w:sz="6" w:space="0" w:color="000000"/>
              <w:left w:val="single" w:sz="6" w:space="0" w:color="000000"/>
              <w:bottom w:val="single" w:sz="6" w:space="0" w:color="000000"/>
              <w:right w:val="single" w:sz="6" w:space="0" w:color="000000"/>
            </w:tcBorders>
            <w:vAlign w:val="center"/>
          </w:tcPr>
          <w:p w14:paraId="0A9DD8EC" w14:textId="77777777" w:rsidR="00A319B1" w:rsidRDefault="003E69BB">
            <w:pPr>
              <w:spacing w:after="0" w:line="259" w:lineRule="auto"/>
              <w:ind w:left="0" w:firstLine="0"/>
              <w:jc w:val="left"/>
            </w:pPr>
            <w:r>
              <w:rPr>
                <w:b/>
                <w:sz w:val="26"/>
              </w:rPr>
              <w:t xml:space="preserve"> Adoption </w:t>
            </w:r>
          </w:p>
          <w:p w14:paraId="64977A99" w14:textId="77777777" w:rsidR="00A319B1" w:rsidRDefault="003E69BB">
            <w:pPr>
              <w:spacing w:after="0" w:line="259" w:lineRule="auto"/>
              <w:ind w:left="0" w:firstLine="0"/>
              <w:jc w:val="left"/>
            </w:pPr>
            <w:r>
              <w:rPr>
                <w:b/>
                <w:sz w:val="26"/>
              </w:rPr>
              <w:t xml:space="preserve"> Intention </w:t>
            </w:r>
          </w:p>
        </w:tc>
        <w:tc>
          <w:tcPr>
            <w:tcW w:w="2235" w:type="dxa"/>
            <w:tcBorders>
              <w:top w:val="single" w:sz="6" w:space="0" w:color="000000"/>
              <w:left w:val="single" w:sz="6" w:space="0" w:color="000000"/>
              <w:bottom w:val="single" w:sz="6" w:space="0" w:color="000000"/>
              <w:right w:val="single" w:sz="6" w:space="0" w:color="000000"/>
            </w:tcBorders>
          </w:tcPr>
          <w:p w14:paraId="22472782" w14:textId="77777777" w:rsidR="00A319B1" w:rsidRDefault="003E69BB">
            <w:pPr>
              <w:spacing w:after="0" w:line="259" w:lineRule="auto"/>
              <w:ind w:left="3" w:firstLine="0"/>
              <w:jc w:val="center"/>
            </w:pPr>
            <w:r>
              <w:t xml:space="preserve"> 4.05 </w:t>
            </w:r>
          </w:p>
        </w:tc>
        <w:tc>
          <w:tcPr>
            <w:tcW w:w="2100" w:type="dxa"/>
            <w:tcBorders>
              <w:top w:val="single" w:sz="6" w:space="0" w:color="000000"/>
              <w:left w:val="single" w:sz="6" w:space="0" w:color="000000"/>
              <w:bottom w:val="single" w:sz="6" w:space="0" w:color="000000"/>
              <w:right w:val="nil"/>
            </w:tcBorders>
          </w:tcPr>
          <w:p w14:paraId="1EC37D98" w14:textId="77777777" w:rsidR="00A319B1" w:rsidRDefault="003E69BB">
            <w:pPr>
              <w:spacing w:after="0" w:line="259" w:lineRule="auto"/>
              <w:ind w:left="3" w:firstLine="0"/>
              <w:jc w:val="center"/>
            </w:pPr>
            <w:r>
              <w:t xml:space="preserve"> 0.72 </w:t>
            </w:r>
          </w:p>
        </w:tc>
        <w:tc>
          <w:tcPr>
            <w:tcW w:w="0" w:type="auto"/>
            <w:vMerge/>
            <w:tcBorders>
              <w:top w:val="nil"/>
              <w:left w:val="nil"/>
              <w:bottom w:val="nil"/>
              <w:right w:val="nil"/>
            </w:tcBorders>
          </w:tcPr>
          <w:p w14:paraId="4CB6021D" w14:textId="77777777" w:rsidR="00A319B1" w:rsidRDefault="00A319B1">
            <w:pPr>
              <w:spacing w:after="160" w:line="259" w:lineRule="auto"/>
              <w:ind w:left="0" w:firstLine="0"/>
              <w:jc w:val="left"/>
            </w:pPr>
          </w:p>
        </w:tc>
      </w:tr>
    </w:tbl>
    <w:p w14:paraId="1938AD3E" w14:textId="77777777" w:rsidR="00A319B1" w:rsidRDefault="003E69BB">
      <w:pPr>
        <w:spacing w:after="12" w:line="265" w:lineRule="auto"/>
        <w:ind w:left="-5"/>
        <w:jc w:val="left"/>
      </w:pPr>
      <w:r>
        <w:rPr>
          <w:b/>
          <w:sz w:val="26"/>
        </w:rPr>
        <w:t xml:space="preserve"> Interpretation: </w:t>
      </w:r>
    </w:p>
    <w:p w14:paraId="2E5AF07A" w14:textId="77777777" w:rsidR="00A319B1" w:rsidRDefault="003E69BB">
      <w:pPr>
        <w:ind w:left="-15" w:firstLine="110"/>
      </w:pPr>
      <w:r>
        <w:t xml:space="preserve"> Overall  mean  scores  &gt;  4.00  indicate  that  respondents  strongly  agreed  that  vernacular  AI  voice ads were understandable, culturally relevant, trustworthy, and persuasive. </w:t>
      </w:r>
    </w:p>
    <w:p w14:paraId="71C840B3" w14:textId="77777777" w:rsidR="00A319B1" w:rsidRDefault="003E69BB">
      <w:pPr>
        <w:pStyle w:val="Heading1"/>
        <w:numPr>
          <w:ilvl w:val="0"/>
          <w:numId w:val="0"/>
        </w:numPr>
        <w:ind w:left="-5"/>
      </w:pPr>
      <w:r>
        <w:t xml:space="preserve"> Correlation Analysis </w:t>
      </w:r>
    </w:p>
    <w:p w14:paraId="2A66FEB3" w14:textId="77777777" w:rsidR="00A319B1" w:rsidRDefault="003E69BB">
      <w:pPr>
        <w:spacing w:after="0" w:line="259" w:lineRule="auto"/>
        <w:ind w:left="0" w:firstLine="0"/>
        <w:jc w:val="left"/>
      </w:pPr>
      <w:r>
        <w:rPr>
          <w:sz w:val="26"/>
        </w:rPr>
        <w:t xml:space="preserve"> Pearson’s  correlation  coefficients  were  computed  to  examine  relationships  between  variables. </w:t>
      </w:r>
    </w:p>
    <w:tbl>
      <w:tblPr>
        <w:tblStyle w:val="TableGrid"/>
        <w:tblW w:w="9045" w:type="dxa"/>
        <w:tblInd w:w="-8" w:type="dxa"/>
        <w:tblCellMar>
          <w:top w:w="120" w:type="dxa"/>
          <w:left w:w="38" w:type="dxa"/>
          <w:right w:w="5" w:type="dxa"/>
        </w:tblCellMar>
        <w:tblLook w:val="04A0" w:firstRow="1" w:lastRow="0" w:firstColumn="1" w:lastColumn="0" w:noHBand="0" w:noVBand="1"/>
      </w:tblPr>
      <w:tblGrid>
        <w:gridCol w:w="2550"/>
        <w:gridCol w:w="1245"/>
        <w:gridCol w:w="1155"/>
        <w:gridCol w:w="1455"/>
        <w:gridCol w:w="1320"/>
        <w:gridCol w:w="1320"/>
      </w:tblGrid>
      <w:tr w:rsidR="00A319B1" w14:paraId="5821A178" w14:textId="77777777">
        <w:trPr>
          <w:trHeight w:val="900"/>
        </w:trPr>
        <w:tc>
          <w:tcPr>
            <w:tcW w:w="2550" w:type="dxa"/>
            <w:tcBorders>
              <w:top w:val="single" w:sz="6" w:space="0" w:color="000000"/>
              <w:left w:val="single" w:sz="6" w:space="0" w:color="000000"/>
              <w:bottom w:val="single" w:sz="6" w:space="0" w:color="000000"/>
              <w:right w:val="single" w:sz="6" w:space="0" w:color="000000"/>
            </w:tcBorders>
            <w:vAlign w:val="center"/>
          </w:tcPr>
          <w:p w14:paraId="4C45F39D" w14:textId="77777777" w:rsidR="00A319B1" w:rsidRDefault="003E69BB">
            <w:pPr>
              <w:spacing w:after="0" w:line="259" w:lineRule="auto"/>
              <w:ind w:left="0" w:right="48" w:firstLine="0"/>
              <w:jc w:val="center"/>
            </w:pPr>
            <w:r>
              <w:rPr>
                <w:b/>
                <w:i/>
              </w:rPr>
              <w:t xml:space="preserve"> Variables </w:t>
            </w:r>
          </w:p>
        </w:tc>
        <w:tc>
          <w:tcPr>
            <w:tcW w:w="1245" w:type="dxa"/>
            <w:tcBorders>
              <w:top w:val="single" w:sz="6" w:space="0" w:color="000000"/>
              <w:left w:val="single" w:sz="6" w:space="0" w:color="000000"/>
              <w:bottom w:val="single" w:sz="6" w:space="0" w:color="000000"/>
              <w:right w:val="single" w:sz="6" w:space="0" w:color="000000"/>
            </w:tcBorders>
            <w:vAlign w:val="center"/>
          </w:tcPr>
          <w:p w14:paraId="329FBF07" w14:textId="77777777" w:rsidR="00A319B1" w:rsidRDefault="003E69BB">
            <w:pPr>
              <w:spacing w:after="0" w:line="259" w:lineRule="auto"/>
              <w:ind w:left="0" w:right="48" w:firstLine="0"/>
              <w:jc w:val="center"/>
            </w:pPr>
            <w:r>
              <w:rPr>
                <w:b/>
                <w:i/>
              </w:rPr>
              <w:t xml:space="preserve"> LF </w:t>
            </w:r>
          </w:p>
        </w:tc>
        <w:tc>
          <w:tcPr>
            <w:tcW w:w="1155" w:type="dxa"/>
            <w:tcBorders>
              <w:top w:val="single" w:sz="6" w:space="0" w:color="000000"/>
              <w:left w:val="single" w:sz="6" w:space="0" w:color="000000"/>
              <w:bottom w:val="single" w:sz="6" w:space="0" w:color="000000"/>
              <w:right w:val="single" w:sz="6" w:space="0" w:color="000000"/>
            </w:tcBorders>
            <w:vAlign w:val="center"/>
          </w:tcPr>
          <w:p w14:paraId="35704616" w14:textId="77777777" w:rsidR="00A319B1" w:rsidRDefault="003E69BB">
            <w:pPr>
              <w:spacing w:after="0" w:line="259" w:lineRule="auto"/>
              <w:ind w:left="0" w:right="48" w:firstLine="0"/>
              <w:jc w:val="center"/>
            </w:pPr>
            <w:r>
              <w:rPr>
                <w:b/>
                <w:i/>
              </w:rPr>
              <w:t xml:space="preserve"> VC </w:t>
            </w:r>
          </w:p>
        </w:tc>
        <w:tc>
          <w:tcPr>
            <w:tcW w:w="1455" w:type="dxa"/>
            <w:tcBorders>
              <w:top w:val="single" w:sz="6" w:space="0" w:color="000000"/>
              <w:left w:val="single" w:sz="6" w:space="0" w:color="000000"/>
              <w:bottom w:val="single" w:sz="6" w:space="0" w:color="000000"/>
              <w:right w:val="single" w:sz="6" w:space="0" w:color="000000"/>
            </w:tcBorders>
            <w:vAlign w:val="center"/>
          </w:tcPr>
          <w:p w14:paraId="2F3D8BF7" w14:textId="77777777" w:rsidR="00A319B1" w:rsidRDefault="003E69BB">
            <w:pPr>
              <w:spacing w:after="0" w:line="259" w:lineRule="auto"/>
              <w:ind w:left="0" w:right="48" w:firstLine="0"/>
              <w:jc w:val="center"/>
            </w:pPr>
            <w:r>
              <w:rPr>
                <w:b/>
                <w:i/>
              </w:rPr>
              <w:t xml:space="preserve"> CR </w:t>
            </w:r>
          </w:p>
        </w:tc>
        <w:tc>
          <w:tcPr>
            <w:tcW w:w="1320" w:type="dxa"/>
            <w:tcBorders>
              <w:top w:val="single" w:sz="6" w:space="0" w:color="000000"/>
              <w:left w:val="single" w:sz="6" w:space="0" w:color="000000"/>
              <w:bottom w:val="single" w:sz="6" w:space="0" w:color="000000"/>
              <w:right w:val="single" w:sz="6" w:space="0" w:color="000000"/>
            </w:tcBorders>
            <w:vAlign w:val="center"/>
          </w:tcPr>
          <w:p w14:paraId="672F51A1" w14:textId="77777777" w:rsidR="00A319B1" w:rsidRDefault="003E69BB">
            <w:pPr>
              <w:spacing w:after="0" w:line="259" w:lineRule="auto"/>
              <w:ind w:left="0" w:right="48" w:firstLine="0"/>
              <w:jc w:val="center"/>
            </w:pPr>
            <w:r>
              <w:rPr>
                <w:b/>
                <w:i/>
              </w:rPr>
              <w:t xml:space="preserve"> T </w:t>
            </w:r>
          </w:p>
        </w:tc>
        <w:tc>
          <w:tcPr>
            <w:tcW w:w="1320" w:type="dxa"/>
            <w:tcBorders>
              <w:top w:val="single" w:sz="6" w:space="0" w:color="000000"/>
              <w:left w:val="single" w:sz="6" w:space="0" w:color="000000"/>
              <w:bottom w:val="single" w:sz="6" w:space="0" w:color="000000"/>
              <w:right w:val="single" w:sz="6" w:space="0" w:color="000000"/>
            </w:tcBorders>
            <w:vAlign w:val="center"/>
          </w:tcPr>
          <w:p w14:paraId="1D5B7198" w14:textId="77777777" w:rsidR="00A319B1" w:rsidRDefault="003E69BB">
            <w:pPr>
              <w:spacing w:after="0" w:line="259" w:lineRule="auto"/>
              <w:ind w:left="0" w:right="48" w:firstLine="0"/>
              <w:jc w:val="center"/>
            </w:pPr>
            <w:r>
              <w:rPr>
                <w:b/>
                <w:i/>
              </w:rPr>
              <w:t xml:space="preserve"> AI </w:t>
            </w:r>
          </w:p>
        </w:tc>
      </w:tr>
      <w:tr w:rsidR="00A319B1" w14:paraId="1D5615D3" w14:textId="77777777">
        <w:trPr>
          <w:trHeight w:val="660"/>
        </w:trPr>
        <w:tc>
          <w:tcPr>
            <w:tcW w:w="2550" w:type="dxa"/>
            <w:tcBorders>
              <w:top w:val="single" w:sz="6" w:space="0" w:color="000000"/>
              <w:left w:val="single" w:sz="6" w:space="0" w:color="000000"/>
              <w:bottom w:val="single" w:sz="6" w:space="0" w:color="000000"/>
              <w:right w:val="single" w:sz="6" w:space="0" w:color="000000"/>
            </w:tcBorders>
          </w:tcPr>
          <w:p w14:paraId="1D3C5CDA" w14:textId="77777777" w:rsidR="00A319B1" w:rsidRDefault="003E69BB">
            <w:pPr>
              <w:tabs>
                <w:tab w:val="right" w:pos="2508"/>
              </w:tabs>
              <w:spacing w:after="0" w:line="259" w:lineRule="auto"/>
              <w:ind w:left="0" w:firstLine="0"/>
              <w:jc w:val="left"/>
            </w:pPr>
            <w:r>
              <w:t xml:space="preserve"> Language </w:t>
            </w:r>
            <w:r>
              <w:tab/>
              <w:t xml:space="preserve"> Familiarity </w:t>
            </w:r>
          </w:p>
          <w:p w14:paraId="2FC2CC05" w14:textId="77777777" w:rsidR="00A319B1" w:rsidRDefault="003E69BB">
            <w:pPr>
              <w:spacing w:after="0" w:line="259" w:lineRule="auto"/>
              <w:ind w:left="0" w:firstLine="0"/>
              <w:jc w:val="left"/>
            </w:pPr>
            <w:r>
              <w:t xml:space="preserve">( LF) </w:t>
            </w:r>
          </w:p>
        </w:tc>
        <w:tc>
          <w:tcPr>
            <w:tcW w:w="1245" w:type="dxa"/>
            <w:tcBorders>
              <w:top w:val="single" w:sz="6" w:space="0" w:color="000000"/>
              <w:left w:val="single" w:sz="6" w:space="0" w:color="000000"/>
              <w:bottom w:val="single" w:sz="6" w:space="0" w:color="000000"/>
              <w:right w:val="single" w:sz="6" w:space="0" w:color="000000"/>
            </w:tcBorders>
            <w:vAlign w:val="center"/>
          </w:tcPr>
          <w:p w14:paraId="5F19B7D4" w14:textId="77777777" w:rsidR="00A319B1" w:rsidRDefault="003E69BB">
            <w:pPr>
              <w:spacing w:after="0" w:line="259" w:lineRule="auto"/>
              <w:ind w:left="0" w:right="48" w:firstLine="0"/>
              <w:jc w:val="center"/>
            </w:pPr>
            <w:r>
              <w:rPr>
                <w:rFonts w:ascii="Arial" w:eastAsia="Arial" w:hAnsi="Arial" w:cs="Arial"/>
                <w:sz w:val="20"/>
              </w:rPr>
              <w:t xml:space="preserve"> 1 </w:t>
            </w:r>
          </w:p>
        </w:tc>
        <w:tc>
          <w:tcPr>
            <w:tcW w:w="1155" w:type="dxa"/>
            <w:tcBorders>
              <w:top w:val="single" w:sz="6" w:space="0" w:color="000000"/>
              <w:left w:val="single" w:sz="6" w:space="0" w:color="000000"/>
              <w:bottom w:val="single" w:sz="6" w:space="0" w:color="000000"/>
              <w:right w:val="single" w:sz="6" w:space="0" w:color="000000"/>
            </w:tcBorders>
            <w:vAlign w:val="center"/>
          </w:tcPr>
          <w:p w14:paraId="78AE1BF3" w14:textId="77777777" w:rsidR="00A319B1" w:rsidRDefault="003E69BB">
            <w:pPr>
              <w:spacing w:after="0" w:line="259" w:lineRule="auto"/>
              <w:ind w:left="0" w:right="48" w:firstLine="0"/>
              <w:jc w:val="center"/>
            </w:pPr>
            <w:r>
              <w:rPr>
                <w:rFonts w:ascii="Arial" w:eastAsia="Arial" w:hAnsi="Arial" w:cs="Arial"/>
                <w:sz w:val="20"/>
              </w:rPr>
              <w:t xml:space="preserve"> 0.58** </w:t>
            </w:r>
          </w:p>
        </w:tc>
        <w:tc>
          <w:tcPr>
            <w:tcW w:w="1455" w:type="dxa"/>
            <w:tcBorders>
              <w:top w:val="single" w:sz="6" w:space="0" w:color="000000"/>
              <w:left w:val="single" w:sz="6" w:space="0" w:color="000000"/>
              <w:bottom w:val="single" w:sz="6" w:space="0" w:color="000000"/>
              <w:right w:val="single" w:sz="6" w:space="0" w:color="000000"/>
            </w:tcBorders>
            <w:vAlign w:val="center"/>
          </w:tcPr>
          <w:p w14:paraId="4A73349C" w14:textId="77777777" w:rsidR="00A319B1" w:rsidRDefault="003E69BB">
            <w:pPr>
              <w:spacing w:after="0" w:line="259" w:lineRule="auto"/>
              <w:ind w:left="0" w:right="48" w:firstLine="0"/>
              <w:jc w:val="center"/>
            </w:pPr>
            <w:r>
              <w:t xml:space="preserve"> 0.55** </w:t>
            </w:r>
          </w:p>
        </w:tc>
        <w:tc>
          <w:tcPr>
            <w:tcW w:w="1320" w:type="dxa"/>
            <w:tcBorders>
              <w:top w:val="single" w:sz="6" w:space="0" w:color="000000"/>
              <w:left w:val="single" w:sz="6" w:space="0" w:color="000000"/>
              <w:bottom w:val="single" w:sz="6" w:space="0" w:color="000000"/>
              <w:right w:val="single" w:sz="6" w:space="0" w:color="000000"/>
            </w:tcBorders>
            <w:vAlign w:val="center"/>
          </w:tcPr>
          <w:p w14:paraId="40B61DC3" w14:textId="77777777" w:rsidR="00A319B1" w:rsidRDefault="003E69BB">
            <w:pPr>
              <w:spacing w:after="0" w:line="259" w:lineRule="auto"/>
              <w:ind w:left="0" w:right="48" w:firstLine="0"/>
              <w:jc w:val="center"/>
            </w:pPr>
            <w:r>
              <w:t xml:space="preserve"> 0.60** </w:t>
            </w:r>
          </w:p>
        </w:tc>
        <w:tc>
          <w:tcPr>
            <w:tcW w:w="1320" w:type="dxa"/>
            <w:tcBorders>
              <w:top w:val="single" w:sz="6" w:space="0" w:color="000000"/>
              <w:left w:val="single" w:sz="6" w:space="0" w:color="000000"/>
              <w:bottom w:val="single" w:sz="6" w:space="0" w:color="000000"/>
              <w:right w:val="single" w:sz="6" w:space="0" w:color="000000"/>
            </w:tcBorders>
            <w:vAlign w:val="center"/>
          </w:tcPr>
          <w:p w14:paraId="25A09A8F" w14:textId="77777777" w:rsidR="00A319B1" w:rsidRDefault="003E69BB">
            <w:pPr>
              <w:spacing w:after="0" w:line="259" w:lineRule="auto"/>
              <w:ind w:left="0" w:right="48" w:firstLine="0"/>
              <w:jc w:val="center"/>
            </w:pPr>
            <w:r>
              <w:t xml:space="preserve"> 0.57** </w:t>
            </w:r>
          </w:p>
        </w:tc>
      </w:tr>
      <w:tr w:rsidR="00A319B1" w14:paraId="5F7405E3" w14:textId="77777777">
        <w:trPr>
          <w:trHeight w:val="495"/>
        </w:trPr>
        <w:tc>
          <w:tcPr>
            <w:tcW w:w="2550" w:type="dxa"/>
            <w:tcBorders>
              <w:top w:val="single" w:sz="6" w:space="0" w:color="000000"/>
              <w:left w:val="single" w:sz="6" w:space="0" w:color="000000"/>
              <w:bottom w:val="single" w:sz="6" w:space="0" w:color="000000"/>
              <w:right w:val="single" w:sz="6" w:space="0" w:color="000000"/>
            </w:tcBorders>
          </w:tcPr>
          <w:p w14:paraId="0A900A22" w14:textId="77777777" w:rsidR="00A319B1" w:rsidRDefault="003E69BB">
            <w:pPr>
              <w:spacing w:after="0" w:line="259" w:lineRule="auto"/>
              <w:ind w:left="120" w:firstLine="0"/>
              <w:jc w:val="left"/>
            </w:pPr>
            <w:r>
              <w:t xml:space="preserve"> Voice Clarity (VC) </w:t>
            </w:r>
          </w:p>
        </w:tc>
        <w:tc>
          <w:tcPr>
            <w:tcW w:w="1245" w:type="dxa"/>
            <w:tcBorders>
              <w:top w:val="single" w:sz="6" w:space="0" w:color="000000"/>
              <w:left w:val="single" w:sz="6" w:space="0" w:color="000000"/>
              <w:bottom w:val="single" w:sz="6" w:space="0" w:color="000000"/>
              <w:right w:val="single" w:sz="6" w:space="0" w:color="000000"/>
            </w:tcBorders>
            <w:vAlign w:val="center"/>
          </w:tcPr>
          <w:p w14:paraId="52E182F5" w14:textId="77777777" w:rsidR="00A319B1" w:rsidRDefault="003E69BB">
            <w:pPr>
              <w:spacing w:after="0" w:line="259" w:lineRule="auto"/>
              <w:ind w:left="0" w:right="48" w:firstLine="0"/>
              <w:jc w:val="center"/>
            </w:pPr>
            <w:r>
              <w:rPr>
                <w:rFonts w:ascii="Arial" w:eastAsia="Arial" w:hAnsi="Arial" w:cs="Arial"/>
                <w:sz w:val="20"/>
              </w:rPr>
              <w:t xml:space="preserve"> - </w:t>
            </w:r>
          </w:p>
        </w:tc>
        <w:tc>
          <w:tcPr>
            <w:tcW w:w="1155" w:type="dxa"/>
            <w:tcBorders>
              <w:top w:val="single" w:sz="6" w:space="0" w:color="000000"/>
              <w:left w:val="single" w:sz="6" w:space="0" w:color="000000"/>
              <w:bottom w:val="single" w:sz="6" w:space="0" w:color="000000"/>
              <w:right w:val="single" w:sz="6" w:space="0" w:color="000000"/>
            </w:tcBorders>
            <w:vAlign w:val="center"/>
          </w:tcPr>
          <w:p w14:paraId="3069CB38" w14:textId="77777777" w:rsidR="00A319B1" w:rsidRDefault="003E69BB">
            <w:pPr>
              <w:spacing w:after="0" w:line="259" w:lineRule="auto"/>
              <w:ind w:left="0" w:right="48" w:firstLine="0"/>
              <w:jc w:val="center"/>
            </w:pPr>
            <w:r>
              <w:rPr>
                <w:rFonts w:ascii="Arial" w:eastAsia="Arial" w:hAnsi="Arial" w:cs="Arial"/>
                <w:sz w:val="20"/>
              </w:rPr>
              <w:t xml:space="preserve"> 1 </w:t>
            </w:r>
          </w:p>
        </w:tc>
        <w:tc>
          <w:tcPr>
            <w:tcW w:w="1455" w:type="dxa"/>
            <w:tcBorders>
              <w:top w:val="single" w:sz="6" w:space="0" w:color="000000"/>
              <w:left w:val="single" w:sz="6" w:space="0" w:color="000000"/>
              <w:bottom w:val="single" w:sz="6" w:space="0" w:color="000000"/>
              <w:right w:val="single" w:sz="6" w:space="0" w:color="000000"/>
            </w:tcBorders>
          </w:tcPr>
          <w:p w14:paraId="65A5F17E" w14:textId="77777777" w:rsidR="00A319B1" w:rsidRDefault="003E69BB">
            <w:pPr>
              <w:spacing w:after="0" w:line="259" w:lineRule="auto"/>
              <w:ind w:left="0" w:right="48" w:firstLine="0"/>
              <w:jc w:val="center"/>
            </w:pPr>
            <w:r>
              <w:t xml:space="preserve"> 0.62** </w:t>
            </w:r>
          </w:p>
        </w:tc>
        <w:tc>
          <w:tcPr>
            <w:tcW w:w="1320" w:type="dxa"/>
            <w:tcBorders>
              <w:top w:val="single" w:sz="6" w:space="0" w:color="000000"/>
              <w:left w:val="single" w:sz="6" w:space="0" w:color="000000"/>
              <w:bottom w:val="single" w:sz="6" w:space="0" w:color="000000"/>
              <w:right w:val="single" w:sz="6" w:space="0" w:color="000000"/>
            </w:tcBorders>
          </w:tcPr>
          <w:p w14:paraId="2A2E59EC" w14:textId="77777777" w:rsidR="00A319B1" w:rsidRDefault="003E69BB">
            <w:pPr>
              <w:spacing w:after="0" w:line="259" w:lineRule="auto"/>
              <w:ind w:left="0" w:right="48" w:firstLine="0"/>
              <w:jc w:val="center"/>
            </w:pPr>
            <w:r>
              <w:t xml:space="preserve"> 0.66** </w:t>
            </w:r>
          </w:p>
        </w:tc>
        <w:tc>
          <w:tcPr>
            <w:tcW w:w="1320" w:type="dxa"/>
            <w:tcBorders>
              <w:top w:val="single" w:sz="6" w:space="0" w:color="000000"/>
              <w:left w:val="single" w:sz="6" w:space="0" w:color="000000"/>
              <w:bottom w:val="single" w:sz="6" w:space="0" w:color="000000"/>
              <w:right w:val="single" w:sz="6" w:space="0" w:color="000000"/>
            </w:tcBorders>
          </w:tcPr>
          <w:p w14:paraId="4F3C82D5" w14:textId="77777777" w:rsidR="00A319B1" w:rsidRDefault="003E69BB">
            <w:pPr>
              <w:spacing w:after="0" w:line="259" w:lineRule="auto"/>
              <w:ind w:left="0" w:right="48" w:firstLine="0"/>
              <w:jc w:val="center"/>
            </w:pPr>
            <w:r>
              <w:t xml:space="preserve"> 0.63** </w:t>
            </w:r>
          </w:p>
        </w:tc>
      </w:tr>
      <w:tr w:rsidR="00A319B1" w14:paraId="4986724F" w14:textId="77777777">
        <w:trPr>
          <w:trHeight w:val="780"/>
        </w:trPr>
        <w:tc>
          <w:tcPr>
            <w:tcW w:w="2550" w:type="dxa"/>
            <w:tcBorders>
              <w:top w:val="single" w:sz="6" w:space="0" w:color="000000"/>
              <w:left w:val="single" w:sz="6" w:space="0" w:color="000000"/>
              <w:bottom w:val="single" w:sz="6" w:space="0" w:color="000000"/>
              <w:right w:val="single" w:sz="6" w:space="0" w:color="000000"/>
            </w:tcBorders>
            <w:vAlign w:val="center"/>
          </w:tcPr>
          <w:p w14:paraId="0112AD82" w14:textId="77777777" w:rsidR="00A319B1" w:rsidRDefault="003E69BB">
            <w:pPr>
              <w:tabs>
                <w:tab w:val="right" w:pos="2508"/>
              </w:tabs>
              <w:spacing w:after="0" w:line="259" w:lineRule="auto"/>
              <w:ind w:left="0" w:firstLine="0"/>
              <w:jc w:val="left"/>
            </w:pPr>
            <w:r>
              <w:t xml:space="preserve"> Cultural </w:t>
            </w:r>
            <w:r>
              <w:tab/>
              <w:t xml:space="preserve"> Relevance </w:t>
            </w:r>
          </w:p>
          <w:p w14:paraId="4497181D" w14:textId="77777777" w:rsidR="00A319B1" w:rsidRDefault="003E69BB">
            <w:pPr>
              <w:spacing w:after="0" w:line="259" w:lineRule="auto"/>
              <w:ind w:left="60" w:firstLine="0"/>
              <w:jc w:val="left"/>
            </w:pPr>
            <w:r>
              <w:t xml:space="preserve">( CR) </w:t>
            </w:r>
          </w:p>
        </w:tc>
        <w:tc>
          <w:tcPr>
            <w:tcW w:w="1245" w:type="dxa"/>
            <w:tcBorders>
              <w:top w:val="single" w:sz="6" w:space="0" w:color="000000"/>
              <w:left w:val="single" w:sz="6" w:space="0" w:color="000000"/>
              <w:bottom w:val="single" w:sz="6" w:space="0" w:color="000000"/>
              <w:right w:val="single" w:sz="6" w:space="0" w:color="000000"/>
            </w:tcBorders>
            <w:vAlign w:val="center"/>
          </w:tcPr>
          <w:p w14:paraId="7384D9BD" w14:textId="77777777" w:rsidR="00A319B1" w:rsidRDefault="003E69BB">
            <w:pPr>
              <w:spacing w:after="0" w:line="259" w:lineRule="auto"/>
              <w:ind w:left="0" w:right="48" w:firstLine="0"/>
              <w:jc w:val="center"/>
            </w:pPr>
            <w:r>
              <w:rPr>
                <w:rFonts w:ascii="Arial" w:eastAsia="Arial" w:hAnsi="Arial" w:cs="Arial"/>
                <w:sz w:val="20"/>
              </w:rPr>
              <w:t xml:space="preserve"> - </w:t>
            </w:r>
          </w:p>
        </w:tc>
        <w:tc>
          <w:tcPr>
            <w:tcW w:w="1155" w:type="dxa"/>
            <w:tcBorders>
              <w:top w:val="single" w:sz="6" w:space="0" w:color="000000"/>
              <w:left w:val="single" w:sz="6" w:space="0" w:color="000000"/>
              <w:bottom w:val="single" w:sz="6" w:space="0" w:color="000000"/>
              <w:right w:val="single" w:sz="6" w:space="0" w:color="000000"/>
            </w:tcBorders>
            <w:vAlign w:val="center"/>
          </w:tcPr>
          <w:p w14:paraId="4AA21EB9" w14:textId="77777777" w:rsidR="00A319B1" w:rsidRDefault="003E69BB">
            <w:pPr>
              <w:spacing w:after="0" w:line="259" w:lineRule="auto"/>
              <w:ind w:left="0" w:right="48" w:firstLine="0"/>
              <w:jc w:val="center"/>
            </w:pPr>
            <w:r>
              <w:rPr>
                <w:rFonts w:ascii="Arial" w:eastAsia="Arial" w:hAnsi="Arial" w:cs="Arial"/>
                <w:sz w:val="20"/>
              </w:rPr>
              <w:t xml:space="preserve"> - </w:t>
            </w:r>
          </w:p>
        </w:tc>
        <w:tc>
          <w:tcPr>
            <w:tcW w:w="1455" w:type="dxa"/>
            <w:tcBorders>
              <w:top w:val="single" w:sz="6" w:space="0" w:color="000000"/>
              <w:left w:val="single" w:sz="6" w:space="0" w:color="000000"/>
              <w:bottom w:val="single" w:sz="6" w:space="0" w:color="000000"/>
              <w:right w:val="single" w:sz="6" w:space="0" w:color="000000"/>
            </w:tcBorders>
            <w:vAlign w:val="center"/>
          </w:tcPr>
          <w:p w14:paraId="48816ACF" w14:textId="77777777" w:rsidR="00A319B1" w:rsidRDefault="003E69BB">
            <w:pPr>
              <w:spacing w:after="0" w:line="259" w:lineRule="auto"/>
              <w:ind w:left="0" w:right="48" w:firstLine="0"/>
              <w:jc w:val="center"/>
            </w:pPr>
            <w:r>
              <w:t xml:space="preserve"> 1 </w:t>
            </w:r>
          </w:p>
        </w:tc>
        <w:tc>
          <w:tcPr>
            <w:tcW w:w="1320" w:type="dxa"/>
            <w:tcBorders>
              <w:top w:val="single" w:sz="6" w:space="0" w:color="000000"/>
              <w:left w:val="single" w:sz="6" w:space="0" w:color="000000"/>
              <w:bottom w:val="single" w:sz="6" w:space="0" w:color="000000"/>
              <w:right w:val="single" w:sz="6" w:space="0" w:color="000000"/>
            </w:tcBorders>
            <w:vAlign w:val="center"/>
          </w:tcPr>
          <w:p w14:paraId="27EB6B9B" w14:textId="77777777" w:rsidR="00A319B1" w:rsidRDefault="003E69BB">
            <w:pPr>
              <w:spacing w:after="0" w:line="259" w:lineRule="auto"/>
              <w:ind w:left="0" w:right="48" w:firstLine="0"/>
              <w:jc w:val="center"/>
            </w:pPr>
            <w:r>
              <w:t xml:space="preserve"> 0.69** </w:t>
            </w:r>
          </w:p>
        </w:tc>
        <w:tc>
          <w:tcPr>
            <w:tcW w:w="1320" w:type="dxa"/>
            <w:tcBorders>
              <w:top w:val="single" w:sz="6" w:space="0" w:color="000000"/>
              <w:left w:val="single" w:sz="6" w:space="0" w:color="000000"/>
              <w:bottom w:val="single" w:sz="6" w:space="0" w:color="000000"/>
              <w:right w:val="single" w:sz="6" w:space="0" w:color="000000"/>
            </w:tcBorders>
            <w:vAlign w:val="center"/>
          </w:tcPr>
          <w:p w14:paraId="0D8BDC13" w14:textId="77777777" w:rsidR="00A319B1" w:rsidRDefault="003E69BB">
            <w:pPr>
              <w:spacing w:after="0" w:line="259" w:lineRule="auto"/>
              <w:ind w:left="0" w:right="48" w:firstLine="0"/>
              <w:jc w:val="center"/>
            </w:pPr>
            <w:r>
              <w:t xml:space="preserve"> 0.64** </w:t>
            </w:r>
          </w:p>
        </w:tc>
      </w:tr>
      <w:tr w:rsidR="00A319B1" w14:paraId="5AAB2576" w14:textId="77777777">
        <w:trPr>
          <w:trHeight w:val="510"/>
        </w:trPr>
        <w:tc>
          <w:tcPr>
            <w:tcW w:w="2550" w:type="dxa"/>
            <w:tcBorders>
              <w:top w:val="single" w:sz="6" w:space="0" w:color="000000"/>
              <w:left w:val="single" w:sz="6" w:space="0" w:color="000000"/>
              <w:bottom w:val="single" w:sz="6" w:space="0" w:color="000000"/>
              <w:right w:val="single" w:sz="6" w:space="0" w:color="000000"/>
            </w:tcBorders>
            <w:vAlign w:val="center"/>
          </w:tcPr>
          <w:p w14:paraId="45DC1D63" w14:textId="77777777" w:rsidR="00A319B1" w:rsidRDefault="003E69BB">
            <w:pPr>
              <w:spacing w:after="0" w:line="259" w:lineRule="auto"/>
              <w:ind w:left="60" w:firstLine="0"/>
              <w:jc w:val="left"/>
            </w:pPr>
            <w:r>
              <w:t xml:space="preserve"> Trust (T) </w:t>
            </w:r>
          </w:p>
        </w:tc>
        <w:tc>
          <w:tcPr>
            <w:tcW w:w="1245" w:type="dxa"/>
            <w:tcBorders>
              <w:top w:val="single" w:sz="6" w:space="0" w:color="000000"/>
              <w:left w:val="single" w:sz="6" w:space="0" w:color="000000"/>
              <w:bottom w:val="single" w:sz="6" w:space="0" w:color="000000"/>
              <w:right w:val="single" w:sz="6" w:space="0" w:color="000000"/>
            </w:tcBorders>
            <w:vAlign w:val="center"/>
          </w:tcPr>
          <w:p w14:paraId="28602CE4" w14:textId="77777777" w:rsidR="00A319B1" w:rsidRDefault="003E69BB">
            <w:pPr>
              <w:spacing w:after="0" w:line="259" w:lineRule="auto"/>
              <w:ind w:left="0" w:right="48" w:firstLine="0"/>
              <w:jc w:val="center"/>
            </w:pPr>
            <w:r>
              <w:rPr>
                <w:rFonts w:ascii="Arial" w:eastAsia="Arial" w:hAnsi="Arial" w:cs="Arial"/>
                <w:sz w:val="20"/>
              </w:rPr>
              <w:t xml:space="preserve"> - </w:t>
            </w:r>
          </w:p>
        </w:tc>
        <w:tc>
          <w:tcPr>
            <w:tcW w:w="1155" w:type="dxa"/>
            <w:tcBorders>
              <w:top w:val="single" w:sz="6" w:space="0" w:color="000000"/>
              <w:left w:val="single" w:sz="6" w:space="0" w:color="000000"/>
              <w:bottom w:val="single" w:sz="6" w:space="0" w:color="000000"/>
              <w:right w:val="single" w:sz="6" w:space="0" w:color="000000"/>
            </w:tcBorders>
            <w:vAlign w:val="center"/>
          </w:tcPr>
          <w:p w14:paraId="0CA6FD13" w14:textId="77777777" w:rsidR="00A319B1" w:rsidRDefault="003E69BB">
            <w:pPr>
              <w:spacing w:after="0" w:line="259" w:lineRule="auto"/>
              <w:ind w:left="0" w:right="48" w:firstLine="0"/>
              <w:jc w:val="center"/>
            </w:pPr>
            <w:r>
              <w:rPr>
                <w:rFonts w:ascii="Arial" w:eastAsia="Arial" w:hAnsi="Arial" w:cs="Arial"/>
                <w:sz w:val="20"/>
              </w:rPr>
              <w:t xml:space="preserve"> - </w:t>
            </w:r>
          </w:p>
        </w:tc>
        <w:tc>
          <w:tcPr>
            <w:tcW w:w="1455" w:type="dxa"/>
            <w:tcBorders>
              <w:top w:val="single" w:sz="6" w:space="0" w:color="000000"/>
              <w:left w:val="single" w:sz="6" w:space="0" w:color="000000"/>
              <w:bottom w:val="single" w:sz="6" w:space="0" w:color="000000"/>
              <w:right w:val="single" w:sz="6" w:space="0" w:color="000000"/>
            </w:tcBorders>
            <w:vAlign w:val="center"/>
          </w:tcPr>
          <w:p w14:paraId="7D4777FF" w14:textId="77777777" w:rsidR="00A319B1" w:rsidRDefault="003E69BB">
            <w:pPr>
              <w:spacing w:after="0" w:line="259" w:lineRule="auto"/>
              <w:ind w:left="0" w:right="48" w:firstLine="0"/>
              <w:jc w:val="center"/>
            </w:pPr>
            <w:r>
              <w:t xml:space="preserve"> - </w:t>
            </w:r>
          </w:p>
        </w:tc>
        <w:tc>
          <w:tcPr>
            <w:tcW w:w="1320" w:type="dxa"/>
            <w:tcBorders>
              <w:top w:val="single" w:sz="6" w:space="0" w:color="000000"/>
              <w:left w:val="single" w:sz="6" w:space="0" w:color="000000"/>
              <w:bottom w:val="single" w:sz="6" w:space="0" w:color="000000"/>
              <w:right w:val="single" w:sz="6" w:space="0" w:color="000000"/>
            </w:tcBorders>
            <w:vAlign w:val="center"/>
          </w:tcPr>
          <w:p w14:paraId="39D37762" w14:textId="77777777" w:rsidR="00A319B1" w:rsidRDefault="003E69BB">
            <w:pPr>
              <w:spacing w:after="0" w:line="259" w:lineRule="auto"/>
              <w:ind w:left="0" w:right="48" w:firstLine="0"/>
              <w:jc w:val="center"/>
            </w:pPr>
            <w:r>
              <w:t xml:space="preserve"> 1 </w:t>
            </w:r>
          </w:p>
        </w:tc>
        <w:tc>
          <w:tcPr>
            <w:tcW w:w="1320" w:type="dxa"/>
            <w:tcBorders>
              <w:top w:val="single" w:sz="6" w:space="0" w:color="000000"/>
              <w:left w:val="single" w:sz="6" w:space="0" w:color="000000"/>
              <w:bottom w:val="single" w:sz="6" w:space="0" w:color="000000"/>
              <w:right w:val="single" w:sz="6" w:space="0" w:color="000000"/>
            </w:tcBorders>
            <w:vAlign w:val="center"/>
          </w:tcPr>
          <w:p w14:paraId="0097CD49" w14:textId="77777777" w:rsidR="00A319B1" w:rsidRDefault="003E69BB">
            <w:pPr>
              <w:spacing w:after="0" w:line="259" w:lineRule="auto"/>
              <w:ind w:left="0" w:right="48" w:firstLine="0"/>
              <w:jc w:val="center"/>
            </w:pPr>
            <w:r>
              <w:t xml:space="preserve"> 0.71** </w:t>
            </w:r>
          </w:p>
        </w:tc>
      </w:tr>
      <w:tr w:rsidR="00A319B1" w14:paraId="5C1667B0" w14:textId="77777777">
        <w:trPr>
          <w:trHeight w:val="495"/>
        </w:trPr>
        <w:tc>
          <w:tcPr>
            <w:tcW w:w="2550" w:type="dxa"/>
            <w:tcBorders>
              <w:top w:val="single" w:sz="6" w:space="0" w:color="000000"/>
              <w:left w:val="single" w:sz="6" w:space="0" w:color="000000"/>
              <w:bottom w:val="single" w:sz="6" w:space="0" w:color="000000"/>
              <w:right w:val="single" w:sz="6" w:space="0" w:color="000000"/>
            </w:tcBorders>
            <w:vAlign w:val="center"/>
          </w:tcPr>
          <w:p w14:paraId="72C905B1" w14:textId="77777777" w:rsidR="00A319B1" w:rsidRDefault="003E69BB">
            <w:pPr>
              <w:spacing w:after="0" w:line="259" w:lineRule="auto"/>
              <w:ind w:left="60" w:firstLine="0"/>
              <w:jc w:val="left"/>
            </w:pPr>
            <w:r>
              <w:t xml:space="preserve"> Adoption Intention (AI) </w:t>
            </w:r>
          </w:p>
        </w:tc>
        <w:tc>
          <w:tcPr>
            <w:tcW w:w="1245" w:type="dxa"/>
            <w:tcBorders>
              <w:top w:val="single" w:sz="6" w:space="0" w:color="000000"/>
              <w:left w:val="single" w:sz="6" w:space="0" w:color="000000"/>
              <w:bottom w:val="single" w:sz="6" w:space="0" w:color="000000"/>
              <w:right w:val="single" w:sz="6" w:space="0" w:color="000000"/>
            </w:tcBorders>
            <w:vAlign w:val="center"/>
          </w:tcPr>
          <w:p w14:paraId="24EC5D33" w14:textId="77777777" w:rsidR="00A319B1" w:rsidRDefault="003E69BB">
            <w:pPr>
              <w:spacing w:after="0" w:line="259" w:lineRule="auto"/>
              <w:ind w:left="0" w:right="48" w:firstLine="0"/>
              <w:jc w:val="center"/>
            </w:pPr>
            <w:r>
              <w:t xml:space="preserve"> - </w:t>
            </w:r>
          </w:p>
        </w:tc>
        <w:tc>
          <w:tcPr>
            <w:tcW w:w="1155" w:type="dxa"/>
            <w:tcBorders>
              <w:top w:val="single" w:sz="6" w:space="0" w:color="000000"/>
              <w:left w:val="single" w:sz="6" w:space="0" w:color="000000"/>
              <w:bottom w:val="single" w:sz="6" w:space="0" w:color="000000"/>
              <w:right w:val="single" w:sz="6" w:space="0" w:color="000000"/>
            </w:tcBorders>
            <w:vAlign w:val="center"/>
          </w:tcPr>
          <w:p w14:paraId="1AC037C9" w14:textId="77777777" w:rsidR="00A319B1" w:rsidRDefault="003E69BB">
            <w:pPr>
              <w:spacing w:after="0" w:line="259" w:lineRule="auto"/>
              <w:ind w:left="0" w:right="48" w:firstLine="0"/>
              <w:jc w:val="center"/>
            </w:pPr>
            <w:r>
              <w:t xml:space="preserve"> - </w:t>
            </w:r>
          </w:p>
        </w:tc>
        <w:tc>
          <w:tcPr>
            <w:tcW w:w="1455" w:type="dxa"/>
            <w:tcBorders>
              <w:top w:val="single" w:sz="6" w:space="0" w:color="000000"/>
              <w:left w:val="single" w:sz="6" w:space="0" w:color="000000"/>
              <w:bottom w:val="single" w:sz="6" w:space="0" w:color="000000"/>
              <w:right w:val="single" w:sz="6" w:space="0" w:color="000000"/>
            </w:tcBorders>
            <w:vAlign w:val="center"/>
          </w:tcPr>
          <w:p w14:paraId="5B28CDB8" w14:textId="77777777" w:rsidR="00A319B1" w:rsidRDefault="003E69BB">
            <w:pPr>
              <w:spacing w:after="0" w:line="259" w:lineRule="auto"/>
              <w:ind w:left="0" w:right="48" w:firstLine="0"/>
              <w:jc w:val="center"/>
            </w:pPr>
            <w:r>
              <w:t xml:space="preserve"> - </w:t>
            </w:r>
          </w:p>
        </w:tc>
        <w:tc>
          <w:tcPr>
            <w:tcW w:w="1320" w:type="dxa"/>
            <w:tcBorders>
              <w:top w:val="single" w:sz="6" w:space="0" w:color="000000"/>
              <w:left w:val="single" w:sz="6" w:space="0" w:color="000000"/>
              <w:bottom w:val="single" w:sz="6" w:space="0" w:color="000000"/>
              <w:right w:val="single" w:sz="6" w:space="0" w:color="000000"/>
            </w:tcBorders>
            <w:vAlign w:val="center"/>
          </w:tcPr>
          <w:p w14:paraId="4768F26C" w14:textId="77777777" w:rsidR="00A319B1" w:rsidRDefault="003E69BB">
            <w:pPr>
              <w:spacing w:after="0" w:line="259" w:lineRule="auto"/>
              <w:ind w:left="0" w:right="48" w:firstLine="0"/>
              <w:jc w:val="center"/>
            </w:pPr>
            <w:r>
              <w:t xml:space="preserve"> - </w:t>
            </w:r>
          </w:p>
        </w:tc>
        <w:tc>
          <w:tcPr>
            <w:tcW w:w="1320" w:type="dxa"/>
            <w:tcBorders>
              <w:top w:val="single" w:sz="6" w:space="0" w:color="000000"/>
              <w:left w:val="single" w:sz="6" w:space="0" w:color="000000"/>
              <w:bottom w:val="single" w:sz="6" w:space="0" w:color="000000"/>
              <w:right w:val="single" w:sz="6" w:space="0" w:color="000000"/>
            </w:tcBorders>
            <w:vAlign w:val="center"/>
          </w:tcPr>
          <w:p w14:paraId="2028E643" w14:textId="77777777" w:rsidR="00A319B1" w:rsidRDefault="003E69BB">
            <w:pPr>
              <w:spacing w:after="0" w:line="259" w:lineRule="auto"/>
              <w:ind w:left="0" w:right="48" w:firstLine="0"/>
              <w:jc w:val="center"/>
            </w:pPr>
            <w:r>
              <w:t xml:space="preserve"> 1 </w:t>
            </w:r>
          </w:p>
        </w:tc>
      </w:tr>
    </w:tbl>
    <w:p w14:paraId="6294B27D" w14:textId="77777777" w:rsidR="00A319B1" w:rsidRDefault="003E69BB">
      <w:pPr>
        <w:pStyle w:val="Heading1"/>
        <w:numPr>
          <w:ilvl w:val="0"/>
          <w:numId w:val="0"/>
        </w:numPr>
        <w:spacing w:after="338"/>
        <w:ind w:left="-5"/>
      </w:pPr>
      <w:r>
        <w:t xml:space="preserve"> Note: Correlation is significant at p &lt; 0.01 </w:t>
      </w:r>
    </w:p>
    <w:p w14:paraId="7D90404B" w14:textId="77777777" w:rsidR="00A319B1" w:rsidRDefault="003E69BB">
      <w:pPr>
        <w:spacing w:after="379" w:line="357" w:lineRule="auto"/>
        <w:ind w:left="-5"/>
      </w:pPr>
      <w:r>
        <w:t xml:space="preserve"> This shows that all independent variables are positively and significantly correlated with  Trust and Adoption Intention. </w:t>
      </w:r>
    </w:p>
    <w:p w14:paraId="21FF8A1D" w14:textId="77777777" w:rsidR="00A319B1" w:rsidRDefault="003E69BB">
      <w:pPr>
        <w:pStyle w:val="Heading1"/>
        <w:numPr>
          <w:ilvl w:val="0"/>
          <w:numId w:val="0"/>
        </w:numPr>
        <w:spacing w:after="338"/>
        <w:ind w:left="-5"/>
      </w:pPr>
      <w:r>
        <w:lastRenderedPageBreak/>
        <w:t xml:space="preserve"> Regression Analysis </w:t>
      </w:r>
    </w:p>
    <w:p w14:paraId="63624097" w14:textId="77777777" w:rsidR="00A319B1" w:rsidRDefault="003E69BB">
      <w:pPr>
        <w:spacing w:after="299" w:line="357" w:lineRule="auto"/>
        <w:ind w:left="-5"/>
      </w:pPr>
      <w:r>
        <w:t xml:space="preserve"> A multiple linear regression was conducted to determine the impact of vernacular AI voice ad  attributes on fintech adoption intention. </w:t>
      </w:r>
    </w:p>
    <w:p w14:paraId="4B54DAB0" w14:textId="77777777" w:rsidR="00A319B1" w:rsidRDefault="003E69BB">
      <w:pPr>
        <w:pStyle w:val="Heading1"/>
        <w:numPr>
          <w:ilvl w:val="0"/>
          <w:numId w:val="0"/>
        </w:numPr>
        <w:spacing w:after="378"/>
        <w:ind w:left="-5"/>
      </w:pPr>
      <w:r>
        <w:t xml:space="preserve"> Model Summary </w:t>
      </w:r>
    </w:p>
    <w:p w14:paraId="1156791E" w14:textId="77777777" w:rsidR="00A319B1" w:rsidRDefault="003E69BB">
      <w:pPr>
        <w:spacing w:after="371" w:line="265" w:lineRule="auto"/>
        <w:ind w:left="-5"/>
        <w:jc w:val="left"/>
      </w:pPr>
      <w:r>
        <w:rPr>
          <w:b/>
        </w:rPr>
        <w:t xml:space="preserve"> R = 0.76 </w:t>
      </w:r>
    </w:p>
    <w:p w14:paraId="3D712BF2" w14:textId="77777777" w:rsidR="00A319B1" w:rsidRDefault="003E69BB">
      <w:pPr>
        <w:spacing w:after="135" w:line="265" w:lineRule="auto"/>
        <w:ind w:left="-5"/>
        <w:jc w:val="left"/>
      </w:pPr>
      <w:r>
        <w:rPr>
          <w:b/>
        </w:rPr>
        <w:t xml:space="preserve"> R² = 0.58 </w:t>
      </w:r>
    </w:p>
    <w:p w14:paraId="39AFB7A9" w14:textId="77777777" w:rsidR="00A319B1" w:rsidRDefault="003E69BB">
      <w:pPr>
        <w:spacing w:after="397"/>
        <w:ind w:left="-5"/>
      </w:pPr>
      <w:r>
        <w:rPr>
          <w:b/>
          <w:sz w:val="26"/>
        </w:rPr>
        <w:t xml:space="preserve"> → </w:t>
      </w:r>
      <w:r>
        <w:t xml:space="preserve"> The model explains 58% of the variance in Adoption  Intention. </w:t>
      </w:r>
    </w:p>
    <w:p w14:paraId="25259295" w14:textId="77777777" w:rsidR="00A319B1" w:rsidRDefault="003E69BB">
      <w:pPr>
        <w:pStyle w:val="Heading1"/>
        <w:numPr>
          <w:ilvl w:val="0"/>
          <w:numId w:val="0"/>
        </w:numPr>
        <w:spacing w:after="342"/>
        <w:ind w:left="-5"/>
      </w:pPr>
      <w:r>
        <w:t xml:space="preserve"> ANOVA </w:t>
      </w:r>
    </w:p>
    <w:p w14:paraId="2D751CD8" w14:textId="77777777" w:rsidR="00A319B1" w:rsidRDefault="003E69BB">
      <w:pPr>
        <w:spacing w:after="371" w:line="265" w:lineRule="auto"/>
        <w:ind w:left="-5"/>
        <w:jc w:val="left"/>
      </w:pPr>
      <w:r>
        <w:rPr>
          <w:b/>
        </w:rPr>
        <w:t xml:space="preserve"> F(3, 38) = 17.52</w:t>
      </w:r>
      <w:r>
        <w:t xml:space="preserve"> , </w:t>
      </w:r>
      <w:r>
        <w:rPr>
          <w:b/>
        </w:rPr>
        <w:t xml:space="preserve"> p &lt; 0.001 </w:t>
      </w:r>
    </w:p>
    <w:p w14:paraId="00E06596" w14:textId="77777777" w:rsidR="00A319B1" w:rsidRDefault="003E69BB">
      <w:pPr>
        <w:spacing w:after="362"/>
        <w:ind w:left="-5"/>
      </w:pPr>
      <w:r>
        <w:t xml:space="preserve"> → Model is statistically significant. </w:t>
      </w:r>
    </w:p>
    <w:p w14:paraId="3BA5DA2C" w14:textId="77777777" w:rsidR="00A319B1" w:rsidRDefault="003E69BB">
      <w:pPr>
        <w:pStyle w:val="Heading1"/>
        <w:numPr>
          <w:ilvl w:val="0"/>
          <w:numId w:val="0"/>
        </w:numPr>
        <w:spacing w:after="58"/>
        <w:ind w:left="-5"/>
      </w:pPr>
      <w:r>
        <w:t xml:space="preserve"> Regression Coefficients </w:t>
      </w:r>
    </w:p>
    <w:tbl>
      <w:tblPr>
        <w:tblStyle w:val="TableGrid"/>
        <w:tblW w:w="9000" w:type="dxa"/>
        <w:tblInd w:w="8" w:type="dxa"/>
        <w:tblCellMar>
          <w:top w:w="171" w:type="dxa"/>
          <w:left w:w="199" w:type="dxa"/>
          <w:right w:w="115" w:type="dxa"/>
        </w:tblCellMar>
        <w:tblLook w:val="04A0" w:firstRow="1" w:lastRow="0" w:firstColumn="1" w:lastColumn="0" w:noHBand="0" w:noVBand="1"/>
      </w:tblPr>
      <w:tblGrid>
        <w:gridCol w:w="1800"/>
        <w:gridCol w:w="1800"/>
        <w:gridCol w:w="1800"/>
        <w:gridCol w:w="1800"/>
        <w:gridCol w:w="1800"/>
      </w:tblGrid>
      <w:tr w:rsidR="00A319B1" w14:paraId="6BF7FC08" w14:textId="77777777">
        <w:trPr>
          <w:trHeight w:val="780"/>
        </w:trPr>
        <w:tc>
          <w:tcPr>
            <w:tcW w:w="1800" w:type="dxa"/>
            <w:tcBorders>
              <w:top w:val="single" w:sz="6" w:space="0" w:color="000000"/>
              <w:left w:val="single" w:sz="6" w:space="0" w:color="000000"/>
              <w:bottom w:val="single" w:sz="6" w:space="0" w:color="000000"/>
              <w:right w:val="single" w:sz="6" w:space="0" w:color="000000"/>
            </w:tcBorders>
            <w:vAlign w:val="center"/>
          </w:tcPr>
          <w:p w14:paraId="64AFAA0B" w14:textId="77777777" w:rsidR="00A319B1" w:rsidRDefault="003E69BB">
            <w:pPr>
              <w:spacing w:after="0" w:line="259" w:lineRule="auto"/>
              <w:ind w:left="281" w:hanging="47"/>
              <w:jc w:val="left"/>
            </w:pPr>
            <w:r>
              <w:rPr>
                <w:b/>
                <w:i/>
              </w:rPr>
              <w:t xml:space="preserve"> Predictor  Variable </w:t>
            </w:r>
          </w:p>
        </w:tc>
        <w:tc>
          <w:tcPr>
            <w:tcW w:w="1800" w:type="dxa"/>
            <w:tcBorders>
              <w:top w:val="single" w:sz="6" w:space="0" w:color="000000"/>
              <w:left w:val="single" w:sz="6" w:space="0" w:color="000000"/>
              <w:bottom w:val="single" w:sz="6" w:space="0" w:color="000000"/>
              <w:right w:val="single" w:sz="6" w:space="0" w:color="000000"/>
            </w:tcBorders>
          </w:tcPr>
          <w:p w14:paraId="421B480E" w14:textId="77777777" w:rsidR="00A319B1" w:rsidRDefault="003E69BB">
            <w:pPr>
              <w:spacing w:after="0" w:line="259" w:lineRule="auto"/>
              <w:ind w:left="0" w:right="99" w:firstLine="0"/>
              <w:jc w:val="center"/>
            </w:pPr>
            <w:r>
              <w:rPr>
                <w:b/>
                <w:i/>
              </w:rPr>
              <w:t xml:space="preserve"> Beta (β) </w:t>
            </w:r>
          </w:p>
        </w:tc>
        <w:tc>
          <w:tcPr>
            <w:tcW w:w="1800" w:type="dxa"/>
            <w:tcBorders>
              <w:top w:val="single" w:sz="6" w:space="0" w:color="000000"/>
              <w:left w:val="single" w:sz="6" w:space="0" w:color="000000"/>
              <w:bottom w:val="single" w:sz="6" w:space="0" w:color="000000"/>
              <w:right w:val="single" w:sz="6" w:space="0" w:color="000000"/>
            </w:tcBorders>
          </w:tcPr>
          <w:p w14:paraId="2BA815AE" w14:textId="77777777" w:rsidR="00A319B1" w:rsidRDefault="003E69BB">
            <w:pPr>
              <w:spacing w:after="0" w:line="259" w:lineRule="auto"/>
              <w:ind w:left="0" w:right="99" w:firstLine="0"/>
              <w:jc w:val="center"/>
            </w:pPr>
            <w:r>
              <w:rPr>
                <w:b/>
                <w:i/>
              </w:rPr>
              <w:t xml:space="preserve"> t-value </w:t>
            </w:r>
          </w:p>
        </w:tc>
        <w:tc>
          <w:tcPr>
            <w:tcW w:w="1800" w:type="dxa"/>
            <w:tcBorders>
              <w:top w:val="single" w:sz="6" w:space="0" w:color="000000"/>
              <w:left w:val="single" w:sz="6" w:space="0" w:color="000000"/>
              <w:bottom w:val="single" w:sz="6" w:space="0" w:color="000000"/>
              <w:right w:val="single" w:sz="6" w:space="0" w:color="000000"/>
            </w:tcBorders>
          </w:tcPr>
          <w:p w14:paraId="6A5490D2" w14:textId="77777777" w:rsidR="00A319B1" w:rsidRDefault="003E69BB">
            <w:pPr>
              <w:spacing w:after="0" w:line="259" w:lineRule="auto"/>
              <w:ind w:left="0" w:right="99" w:firstLine="0"/>
              <w:jc w:val="center"/>
            </w:pPr>
            <w:r>
              <w:rPr>
                <w:b/>
                <w:i/>
              </w:rPr>
              <w:t xml:space="preserve"> p-value </w:t>
            </w:r>
          </w:p>
        </w:tc>
        <w:tc>
          <w:tcPr>
            <w:tcW w:w="1800" w:type="dxa"/>
            <w:tcBorders>
              <w:top w:val="single" w:sz="6" w:space="0" w:color="000000"/>
              <w:left w:val="single" w:sz="6" w:space="0" w:color="000000"/>
              <w:bottom w:val="single" w:sz="6" w:space="0" w:color="000000"/>
              <w:right w:val="single" w:sz="6" w:space="0" w:color="000000"/>
            </w:tcBorders>
          </w:tcPr>
          <w:p w14:paraId="4944B59C" w14:textId="77777777" w:rsidR="00A319B1" w:rsidRDefault="003E69BB">
            <w:pPr>
              <w:spacing w:after="0" w:line="259" w:lineRule="auto"/>
              <w:ind w:left="0" w:right="99" w:firstLine="0"/>
              <w:jc w:val="center"/>
            </w:pPr>
            <w:r>
              <w:rPr>
                <w:b/>
                <w:i/>
              </w:rPr>
              <w:t xml:space="preserve"> Interpretation </w:t>
            </w:r>
          </w:p>
        </w:tc>
      </w:tr>
      <w:tr w:rsidR="00A319B1" w14:paraId="4E393985" w14:textId="77777777">
        <w:trPr>
          <w:trHeight w:val="780"/>
        </w:trPr>
        <w:tc>
          <w:tcPr>
            <w:tcW w:w="1800" w:type="dxa"/>
            <w:tcBorders>
              <w:top w:val="single" w:sz="6" w:space="0" w:color="000000"/>
              <w:left w:val="single" w:sz="6" w:space="0" w:color="000000"/>
              <w:bottom w:val="single" w:sz="6" w:space="0" w:color="000000"/>
              <w:right w:val="single" w:sz="6" w:space="0" w:color="000000"/>
            </w:tcBorders>
            <w:vAlign w:val="center"/>
          </w:tcPr>
          <w:p w14:paraId="238CC15C" w14:textId="77777777" w:rsidR="00A319B1" w:rsidRDefault="003E69BB">
            <w:pPr>
              <w:spacing w:after="0" w:line="259" w:lineRule="auto"/>
              <w:ind w:left="0" w:right="99" w:firstLine="0"/>
              <w:jc w:val="center"/>
            </w:pPr>
            <w:r>
              <w:t xml:space="preserve"> Language </w:t>
            </w:r>
          </w:p>
          <w:p w14:paraId="69E2A309" w14:textId="77777777" w:rsidR="00A319B1" w:rsidRDefault="003E69BB">
            <w:pPr>
              <w:spacing w:after="0" w:line="259" w:lineRule="auto"/>
              <w:ind w:left="0" w:right="99" w:firstLine="0"/>
              <w:jc w:val="center"/>
            </w:pPr>
            <w:r>
              <w:t xml:space="preserve"> Familiarity </w:t>
            </w:r>
          </w:p>
        </w:tc>
        <w:tc>
          <w:tcPr>
            <w:tcW w:w="1800" w:type="dxa"/>
            <w:tcBorders>
              <w:top w:val="single" w:sz="6" w:space="0" w:color="000000"/>
              <w:left w:val="single" w:sz="6" w:space="0" w:color="000000"/>
              <w:bottom w:val="single" w:sz="6" w:space="0" w:color="000000"/>
              <w:right w:val="single" w:sz="6" w:space="0" w:color="000000"/>
            </w:tcBorders>
          </w:tcPr>
          <w:p w14:paraId="36958E73" w14:textId="77777777" w:rsidR="00A319B1" w:rsidRDefault="003E69BB">
            <w:pPr>
              <w:spacing w:after="0" w:line="259" w:lineRule="auto"/>
              <w:ind w:left="0" w:right="99" w:firstLine="0"/>
              <w:jc w:val="center"/>
            </w:pPr>
            <w:r>
              <w:t xml:space="preserve"> 0.22 </w:t>
            </w:r>
          </w:p>
        </w:tc>
        <w:tc>
          <w:tcPr>
            <w:tcW w:w="1800" w:type="dxa"/>
            <w:tcBorders>
              <w:top w:val="single" w:sz="6" w:space="0" w:color="000000"/>
              <w:left w:val="single" w:sz="6" w:space="0" w:color="000000"/>
              <w:bottom w:val="single" w:sz="6" w:space="0" w:color="000000"/>
              <w:right w:val="single" w:sz="6" w:space="0" w:color="000000"/>
            </w:tcBorders>
          </w:tcPr>
          <w:p w14:paraId="2286A71F" w14:textId="77777777" w:rsidR="00A319B1" w:rsidRDefault="003E69BB">
            <w:pPr>
              <w:spacing w:after="0" w:line="259" w:lineRule="auto"/>
              <w:ind w:left="0" w:right="99" w:firstLine="0"/>
              <w:jc w:val="center"/>
            </w:pPr>
            <w:r>
              <w:t xml:space="preserve"> 2.09 </w:t>
            </w:r>
          </w:p>
        </w:tc>
        <w:tc>
          <w:tcPr>
            <w:tcW w:w="1800" w:type="dxa"/>
            <w:tcBorders>
              <w:top w:val="single" w:sz="6" w:space="0" w:color="000000"/>
              <w:left w:val="single" w:sz="6" w:space="0" w:color="000000"/>
              <w:bottom w:val="single" w:sz="6" w:space="0" w:color="000000"/>
              <w:right w:val="single" w:sz="6" w:space="0" w:color="000000"/>
            </w:tcBorders>
          </w:tcPr>
          <w:p w14:paraId="22C625D5" w14:textId="77777777" w:rsidR="00A319B1" w:rsidRDefault="003E69BB">
            <w:pPr>
              <w:spacing w:after="0" w:line="259" w:lineRule="auto"/>
              <w:ind w:left="0" w:right="99" w:firstLine="0"/>
              <w:jc w:val="center"/>
            </w:pPr>
            <w:r>
              <w:t xml:space="preserve"> 0.043 </w:t>
            </w:r>
          </w:p>
        </w:tc>
        <w:tc>
          <w:tcPr>
            <w:tcW w:w="1800" w:type="dxa"/>
            <w:tcBorders>
              <w:top w:val="single" w:sz="6" w:space="0" w:color="000000"/>
              <w:left w:val="single" w:sz="6" w:space="0" w:color="000000"/>
              <w:bottom w:val="single" w:sz="6" w:space="0" w:color="000000"/>
              <w:right w:val="single" w:sz="6" w:space="0" w:color="000000"/>
            </w:tcBorders>
          </w:tcPr>
          <w:p w14:paraId="26A6207E" w14:textId="77777777" w:rsidR="00A319B1" w:rsidRDefault="003E69BB">
            <w:pPr>
              <w:spacing w:after="0" w:line="259" w:lineRule="auto"/>
              <w:ind w:left="0" w:right="99" w:firstLine="0"/>
              <w:jc w:val="center"/>
            </w:pPr>
            <w:r>
              <w:t xml:space="preserve"> Significant </w:t>
            </w:r>
          </w:p>
        </w:tc>
      </w:tr>
      <w:tr w:rsidR="00A319B1" w14:paraId="5C8C044C" w14:textId="77777777">
        <w:trPr>
          <w:trHeight w:val="495"/>
        </w:trPr>
        <w:tc>
          <w:tcPr>
            <w:tcW w:w="1800" w:type="dxa"/>
            <w:tcBorders>
              <w:top w:val="single" w:sz="6" w:space="0" w:color="000000"/>
              <w:left w:val="single" w:sz="6" w:space="0" w:color="000000"/>
              <w:bottom w:val="single" w:sz="6" w:space="0" w:color="000000"/>
              <w:right w:val="single" w:sz="6" w:space="0" w:color="000000"/>
            </w:tcBorders>
            <w:vAlign w:val="center"/>
          </w:tcPr>
          <w:p w14:paraId="0460828E" w14:textId="77777777" w:rsidR="00A319B1" w:rsidRDefault="003E69BB">
            <w:pPr>
              <w:spacing w:after="0" w:line="259" w:lineRule="auto"/>
              <w:ind w:left="0" w:right="99" w:firstLine="0"/>
              <w:jc w:val="center"/>
            </w:pPr>
            <w:r>
              <w:t xml:space="preserve"> Voice Clarity </w:t>
            </w:r>
          </w:p>
        </w:tc>
        <w:tc>
          <w:tcPr>
            <w:tcW w:w="1800" w:type="dxa"/>
            <w:tcBorders>
              <w:top w:val="single" w:sz="6" w:space="0" w:color="000000"/>
              <w:left w:val="single" w:sz="6" w:space="0" w:color="000000"/>
              <w:bottom w:val="single" w:sz="6" w:space="0" w:color="000000"/>
              <w:right w:val="single" w:sz="6" w:space="0" w:color="000000"/>
            </w:tcBorders>
            <w:vAlign w:val="center"/>
          </w:tcPr>
          <w:p w14:paraId="057D2FE5" w14:textId="77777777" w:rsidR="00A319B1" w:rsidRDefault="003E69BB">
            <w:pPr>
              <w:spacing w:after="0" w:line="259" w:lineRule="auto"/>
              <w:ind w:left="0" w:right="99" w:firstLine="0"/>
              <w:jc w:val="center"/>
            </w:pPr>
            <w:r>
              <w:t xml:space="preserve"> 0.25 </w:t>
            </w:r>
          </w:p>
        </w:tc>
        <w:tc>
          <w:tcPr>
            <w:tcW w:w="1800" w:type="dxa"/>
            <w:tcBorders>
              <w:top w:val="single" w:sz="6" w:space="0" w:color="000000"/>
              <w:left w:val="single" w:sz="6" w:space="0" w:color="000000"/>
              <w:bottom w:val="single" w:sz="6" w:space="0" w:color="000000"/>
              <w:right w:val="single" w:sz="6" w:space="0" w:color="000000"/>
            </w:tcBorders>
            <w:vAlign w:val="center"/>
          </w:tcPr>
          <w:p w14:paraId="2EA32169" w14:textId="77777777" w:rsidR="00A319B1" w:rsidRDefault="003E69BB">
            <w:pPr>
              <w:spacing w:after="0" w:line="259" w:lineRule="auto"/>
              <w:ind w:left="0" w:right="99" w:firstLine="0"/>
              <w:jc w:val="center"/>
            </w:pPr>
            <w:r>
              <w:t xml:space="preserve"> 2.45 </w:t>
            </w:r>
          </w:p>
        </w:tc>
        <w:tc>
          <w:tcPr>
            <w:tcW w:w="1800" w:type="dxa"/>
            <w:tcBorders>
              <w:top w:val="single" w:sz="6" w:space="0" w:color="000000"/>
              <w:left w:val="single" w:sz="6" w:space="0" w:color="000000"/>
              <w:bottom w:val="single" w:sz="6" w:space="0" w:color="000000"/>
              <w:right w:val="single" w:sz="6" w:space="0" w:color="000000"/>
            </w:tcBorders>
            <w:vAlign w:val="center"/>
          </w:tcPr>
          <w:p w14:paraId="43457BFB" w14:textId="77777777" w:rsidR="00A319B1" w:rsidRDefault="003E69BB">
            <w:pPr>
              <w:spacing w:after="0" w:line="259" w:lineRule="auto"/>
              <w:ind w:left="0" w:right="99" w:firstLine="0"/>
              <w:jc w:val="center"/>
            </w:pPr>
            <w:r>
              <w:t xml:space="preserve"> 0.019 </w:t>
            </w:r>
          </w:p>
        </w:tc>
        <w:tc>
          <w:tcPr>
            <w:tcW w:w="1800" w:type="dxa"/>
            <w:tcBorders>
              <w:top w:val="single" w:sz="6" w:space="0" w:color="000000"/>
              <w:left w:val="single" w:sz="6" w:space="0" w:color="000000"/>
              <w:bottom w:val="single" w:sz="6" w:space="0" w:color="000000"/>
              <w:right w:val="single" w:sz="6" w:space="0" w:color="000000"/>
            </w:tcBorders>
            <w:vAlign w:val="center"/>
          </w:tcPr>
          <w:p w14:paraId="5BB226EC" w14:textId="77777777" w:rsidR="00A319B1" w:rsidRDefault="003E69BB">
            <w:pPr>
              <w:spacing w:after="0" w:line="259" w:lineRule="auto"/>
              <w:ind w:left="0" w:right="99" w:firstLine="0"/>
              <w:jc w:val="center"/>
            </w:pPr>
            <w:r>
              <w:t xml:space="preserve"> Significant </w:t>
            </w:r>
          </w:p>
        </w:tc>
      </w:tr>
      <w:tr w:rsidR="00A319B1" w14:paraId="15763D69" w14:textId="77777777">
        <w:trPr>
          <w:trHeight w:val="780"/>
        </w:trPr>
        <w:tc>
          <w:tcPr>
            <w:tcW w:w="1800" w:type="dxa"/>
            <w:tcBorders>
              <w:top w:val="single" w:sz="6" w:space="0" w:color="000000"/>
              <w:left w:val="single" w:sz="6" w:space="0" w:color="000000"/>
              <w:bottom w:val="single" w:sz="6" w:space="0" w:color="000000"/>
              <w:right w:val="single" w:sz="6" w:space="0" w:color="000000"/>
            </w:tcBorders>
            <w:vAlign w:val="center"/>
          </w:tcPr>
          <w:p w14:paraId="028DCC47" w14:textId="77777777" w:rsidR="00A319B1" w:rsidRDefault="003E69BB">
            <w:pPr>
              <w:spacing w:after="0" w:line="259" w:lineRule="auto"/>
              <w:ind w:left="194" w:firstLine="140"/>
              <w:jc w:val="left"/>
            </w:pPr>
            <w:r>
              <w:t xml:space="preserve"> Culture  Relevance </w:t>
            </w:r>
          </w:p>
        </w:tc>
        <w:tc>
          <w:tcPr>
            <w:tcW w:w="1800" w:type="dxa"/>
            <w:tcBorders>
              <w:top w:val="single" w:sz="6" w:space="0" w:color="000000"/>
              <w:left w:val="single" w:sz="6" w:space="0" w:color="000000"/>
              <w:bottom w:val="single" w:sz="6" w:space="0" w:color="000000"/>
              <w:right w:val="single" w:sz="6" w:space="0" w:color="000000"/>
            </w:tcBorders>
          </w:tcPr>
          <w:p w14:paraId="14E26C27" w14:textId="77777777" w:rsidR="00A319B1" w:rsidRDefault="003E69BB">
            <w:pPr>
              <w:spacing w:after="0" w:line="259" w:lineRule="auto"/>
              <w:ind w:left="0" w:right="99" w:firstLine="0"/>
              <w:jc w:val="center"/>
            </w:pPr>
            <w:r>
              <w:t xml:space="preserve"> 0.31 </w:t>
            </w:r>
          </w:p>
        </w:tc>
        <w:tc>
          <w:tcPr>
            <w:tcW w:w="1800" w:type="dxa"/>
            <w:tcBorders>
              <w:top w:val="single" w:sz="6" w:space="0" w:color="000000"/>
              <w:left w:val="single" w:sz="6" w:space="0" w:color="000000"/>
              <w:bottom w:val="single" w:sz="6" w:space="0" w:color="000000"/>
              <w:right w:val="single" w:sz="6" w:space="0" w:color="000000"/>
            </w:tcBorders>
          </w:tcPr>
          <w:p w14:paraId="4D5BDC07" w14:textId="77777777" w:rsidR="00A319B1" w:rsidRDefault="003E69BB">
            <w:pPr>
              <w:spacing w:after="0" w:line="259" w:lineRule="auto"/>
              <w:ind w:left="0" w:right="99" w:firstLine="0"/>
              <w:jc w:val="center"/>
            </w:pPr>
            <w:r>
              <w:t xml:space="preserve"> 2.88 </w:t>
            </w:r>
          </w:p>
        </w:tc>
        <w:tc>
          <w:tcPr>
            <w:tcW w:w="1800" w:type="dxa"/>
            <w:tcBorders>
              <w:top w:val="single" w:sz="6" w:space="0" w:color="000000"/>
              <w:left w:val="single" w:sz="6" w:space="0" w:color="000000"/>
              <w:bottom w:val="single" w:sz="6" w:space="0" w:color="000000"/>
              <w:right w:val="single" w:sz="6" w:space="0" w:color="000000"/>
            </w:tcBorders>
          </w:tcPr>
          <w:p w14:paraId="5814CA70" w14:textId="77777777" w:rsidR="00A319B1" w:rsidRDefault="003E69BB">
            <w:pPr>
              <w:spacing w:after="0" w:line="259" w:lineRule="auto"/>
              <w:ind w:left="0" w:right="99" w:firstLine="0"/>
              <w:jc w:val="center"/>
            </w:pPr>
            <w:r>
              <w:t xml:space="preserve"> 0.007 </w:t>
            </w:r>
          </w:p>
        </w:tc>
        <w:tc>
          <w:tcPr>
            <w:tcW w:w="1800" w:type="dxa"/>
            <w:tcBorders>
              <w:top w:val="single" w:sz="6" w:space="0" w:color="000000"/>
              <w:left w:val="single" w:sz="6" w:space="0" w:color="000000"/>
              <w:bottom w:val="single" w:sz="6" w:space="0" w:color="000000"/>
              <w:right w:val="single" w:sz="6" w:space="0" w:color="000000"/>
            </w:tcBorders>
          </w:tcPr>
          <w:p w14:paraId="30A718FC" w14:textId="77777777" w:rsidR="00A319B1" w:rsidRDefault="003E69BB">
            <w:pPr>
              <w:spacing w:after="0" w:line="259" w:lineRule="auto"/>
              <w:ind w:left="0" w:right="99" w:firstLine="0"/>
              <w:jc w:val="center"/>
            </w:pPr>
            <w:r>
              <w:t xml:space="preserve"> Significant </w:t>
            </w:r>
          </w:p>
        </w:tc>
      </w:tr>
    </w:tbl>
    <w:p w14:paraId="741EB205" w14:textId="77777777" w:rsidR="00A319B1" w:rsidRDefault="003E69BB">
      <w:pPr>
        <w:spacing w:after="338" w:line="265" w:lineRule="auto"/>
        <w:ind w:left="-5"/>
        <w:jc w:val="left"/>
      </w:pPr>
      <w:r>
        <w:rPr>
          <w:b/>
          <w:sz w:val="26"/>
        </w:rPr>
        <w:t xml:space="preserve"> Interpretation: </w:t>
      </w:r>
    </w:p>
    <w:p w14:paraId="58A05197" w14:textId="77777777" w:rsidR="00A319B1" w:rsidRDefault="003E69BB">
      <w:pPr>
        <w:spacing w:after="499" w:line="357" w:lineRule="auto"/>
        <w:ind w:left="-5"/>
      </w:pPr>
      <w:r>
        <w:t xml:space="preserve"> All three independent variables make significant contributions to the prediction of fintech  adoption intention. </w:t>
      </w:r>
    </w:p>
    <w:p w14:paraId="1966FDBA" w14:textId="77777777" w:rsidR="00A319B1" w:rsidRDefault="003E69BB">
      <w:pPr>
        <w:pStyle w:val="Heading1"/>
        <w:numPr>
          <w:ilvl w:val="0"/>
          <w:numId w:val="0"/>
        </w:numPr>
        <w:ind w:left="-5"/>
      </w:pPr>
      <w:r>
        <w:t xml:space="preserve"> DISCUSSION </w:t>
      </w:r>
    </w:p>
    <w:p w14:paraId="1F208351" w14:textId="77777777" w:rsidR="00A319B1" w:rsidRDefault="003E69BB">
      <w:pPr>
        <w:spacing w:after="299" w:line="357" w:lineRule="auto"/>
        <w:ind w:left="-5"/>
      </w:pPr>
      <w:r>
        <w:t xml:space="preserve"> The  purpose  of  this  study  was  to  investigate  how  vernacular  AI-generated  voice  advertisements  influence  rural  consumers’  trust  and  adoption  of  fintech  products.  Based  </w:t>
      </w:r>
      <w:r>
        <w:lastRenderedPageBreak/>
        <w:t xml:space="preserve">on  the  responses  from  42  rural  participants,  all  four  hypotheses  were  supported,  revealing  strong  relationships  between  language  familiarity,  voice  clarity,  cultural  relevance,  trust,  and  adoption intention. </w:t>
      </w:r>
    </w:p>
    <w:p w14:paraId="3D5A7D7D" w14:textId="77777777" w:rsidR="00A319B1" w:rsidRDefault="003E69BB">
      <w:pPr>
        <w:pStyle w:val="Heading1"/>
        <w:numPr>
          <w:ilvl w:val="0"/>
          <w:numId w:val="0"/>
        </w:numPr>
        <w:ind w:left="-5"/>
      </w:pPr>
      <w:r>
        <w:t xml:space="preserve"> Influence of Language Familiarity </w:t>
      </w:r>
    </w:p>
    <w:p w14:paraId="538CEDB0" w14:textId="77777777" w:rsidR="00A319B1" w:rsidRDefault="003E69BB">
      <w:pPr>
        <w:spacing w:line="357" w:lineRule="auto"/>
        <w:ind w:left="-5"/>
      </w:pPr>
      <w:r>
        <w:t xml:space="preserve"> The  results  demonstrated  that  language  familiarity  had  a  significant  positive  effect  on  rural  consumers’  awareness  and  understanding  of  fintech  services  (H1  supported).  This  aligns  with  earlier  studies  by  Kumar  and  Singh  (2019)  and  Rathore  (2020),  which  emphasised  that  vernacular  language  advertisements  reduce  cognitive  effort  and  improve  comprehension  in  rural  settings.  The  high  mean  score  (M  =  4.12)  indicates  that  respondents  felt  more  confident  when  messages  were  delivered  in  their  native  language.  This  confirms  that  linguistic  alignment is a foundational requirement for effective fintech communication in rural India. </w:t>
      </w:r>
    </w:p>
    <w:p w14:paraId="60876B80" w14:textId="77777777" w:rsidR="00A319B1" w:rsidRDefault="003E69BB">
      <w:pPr>
        <w:pStyle w:val="Heading1"/>
        <w:numPr>
          <w:ilvl w:val="0"/>
          <w:numId w:val="0"/>
        </w:numPr>
        <w:ind w:left="-5"/>
      </w:pPr>
      <w:r>
        <w:t xml:space="preserve"> Role of Voice Clarity in Building Trust </w:t>
      </w:r>
    </w:p>
    <w:p w14:paraId="4634034A" w14:textId="77777777" w:rsidR="00A319B1" w:rsidRDefault="003E69BB">
      <w:pPr>
        <w:spacing w:after="299" w:line="357" w:lineRule="auto"/>
        <w:ind w:left="-5"/>
      </w:pPr>
      <w:r>
        <w:t xml:space="preserve"> The  regression  and  correlation  results  showed  that  voice  clarity  significantly  enhanced  consumers’  trust  in  fintech  services  (H2  supported).  Similar  observations  were  reported  by  Harris  (2020)  and  Ho  &amp;  Lu  (2019),  who  noted  that  audio  clarity  influences  perceived  credibility  and  message  reliability.  The  strong  correlation  between  voice  clarity  and  trust  (r  =  0.66,  p  &lt;  0.01)  suggests  that  rural  audiences  pay  close  attention  not  only  to  language  but  also  to  the  quality  of  voice  delivery.  When  the  AI-generated  voice  sounded  clear  and  natural,  respondents felt the information was genuine and trustworthy. </w:t>
      </w:r>
    </w:p>
    <w:p w14:paraId="546EF60A" w14:textId="77777777" w:rsidR="00A319B1" w:rsidRDefault="003E69BB">
      <w:pPr>
        <w:pStyle w:val="Heading1"/>
        <w:numPr>
          <w:ilvl w:val="0"/>
          <w:numId w:val="0"/>
        </w:numPr>
        <w:ind w:left="-5"/>
      </w:pPr>
      <w:r>
        <w:t xml:space="preserve"> Cultural Relevance and Credibility Formation </w:t>
      </w:r>
    </w:p>
    <w:p w14:paraId="3FE1B466" w14:textId="77777777" w:rsidR="00A319B1" w:rsidRDefault="003E69BB">
      <w:pPr>
        <w:spacing w:after="299" w:line="357" w:lineRule="auto"/>
        <w:ind w:left="-5"/>
      </w:pPr>
      <w:r>
        <w:t xml:space="preserve"> Cultural  relevance  displayed  the  strongest  predictive  power  among  all  variables  (β  =  0.31,  p  &lt;  0.01),  indicating  that  rural  consumers  respond  favourably  to  messages  embedded  with  cultural  cues,  familiar  accents,  and  relatable  scenarios  (H3  supported).  This  reinforces  findings  from  Pandey  and  Hussain  (2018)  and  Mehta  &amp;  Pillai  (2019),  who  argued  that  cultural  alignment  enhances  message  acceptance.  The  results  show  that  inserting  local  dialectal  expressions,  examples  relevant  to  rural  livelihoods,  and  region-specific  tone  increases  the  credibility  of  fintech  advertisements.  This  finding  highlights  the  importance  of  integrating cultural semiotics into AI-generated voice campaigns. </w:t>
      </w:r>
    </w:p>
    <w:p w14:paraId="50D293EE" w14:textId="77777777" w:rsidR="00A319B1" w:rsidRDefault="003E69BB">
      <w:pPr>
        <w:pStyle w:val="Heading1"/>
        <w:numPr>
          <w:ilvl w:val="0"/>
          <w:numId w:val="0"/>
        </w:numPr>
        <w:ind w:left="-5"/>
      </w:pPr>
      <w:r>
        <w:lastRenderedPageBreak/>
        <w:t xml:space="preserve"> Impact on Adoption Intention </w:t>
      </w:r>
    </w:p>
    <w:p w14:paraId="3981FA5C" w14:textId="77777777" w:rsidR="00A319B1" w:rsidRDefault="003E69BB">
      <w:pPr>
        <w:spacing w:after="299" w:line="357" w:lineRule="auto"/>
        <w:ind w:left="-5"/>
      </w:pPr>
      <w:r>
        <w:t xml:space="preserve"> The  results  of  the  regression  analysis  showed  that  vernacular  AI  voice  ads  explained  58%  of  the  variance  in  adoption  intention  (R²  =  0.58),  confirming  their  strong  influence  on  behavioural  decisions  (H4  supported).  This  finding  is  consistent  with  fintech  adoption  theories  (Davis,  1989;  Venkatesh  et  al.,  2003),  which  emphasise  the  role  of  communication  clarity  and  trust  in  shaping  adoption  behaviour.  Rural  consumers  in  this  study  reported  high  intention  to  adopt  fintech  products  when  advertisements  were  linguistically  and  culturally  aligned with their environment. </w:t>
      </w:r>
    </w:p>
    <w:p w14:paraId="4A6E80A6" w14:textId="77777777" w:rsidR="00A319B1" w:rsidRDefault="003E69BB">
      <w:pPr>
        <w:pStyle w:val="Heading1"/>
        <w:numPr>
          <w:ilvl w:val="0"/>
          <w:numId w:val="0"/>
        </w:numPr>
        <w:ind w:left="-5"/>
      </w:pPr>
      <w:r>
        <w:t xml:space="preserve"> The Mediating Role of Trust </w:t>
      </w:r>
    </w:p>
    <w:p w14:paraId="0C4A495C" w14:textId="77777777" w:rsidR="00A319B1" w:rsidRDefault="003E69BB">
      <w:pPr>
        <w:spacing w:after="299" w:line="357" w:lineRule="auto"/>
        <w:ind w:left="-5"/>
      </w:pPr>
      <w:r>
        <w:t xml:space="preserve"> Trust  emerged  as  a  significant  mediator  between  vernacular  AI  voice  ad  attributes  and  adoption  intention  (H5  supported).  This  is  aligned  with  Pavlou  (2003),  who  identified  trust  as  a  central  determinant  in  digital  adoption.  The  mediation  result  indicates  that  even  when  language  familiarity  or  clarity  is  high,  adoption  will  not  occur  unless  the  consumer  trusts  the  technology  and  the  communication  source.  This  finding  is  particularly  important  for  rural  markets  where  distrust  in  digital  financial  systems  remains  a  major  barrier.  The  AI  voice  ads  were  able  to  reduce  perceived  risk  and  enhance  confidence  —  suggesting  that  AI,  when  localised, can play a transformational role in addressing trust deficits. </w:t>
      </w:r>
    </w:p>
    <w:p w14:paraId="18ECF4DD" w14:textId="77777777" w:rsidR="00A319B1" w:rsidRDefault="003E69BB">
      <w:pPr>
        <w:pStyle w:val="Heading1"/>
        <w:numPr>
          <w:ilvl w:val="0"/>
          <w:numId w:val="0"/>
        </w:numPr>
        <w:ind w:left="-5"/>
      </w:pPr>
      <w:r>
        <w:t xml:space="preserve"> Alignment with Existing Literature </w:t>
      </w:r>
    </w:p>
    <w:p w14:paraId="557A7CBA" w14:textId="77777777" w:rsidR="00A319B1" w:rsidRDefault="003E69BB">
      <w:pPr>
        <w:spacing w:after="249" w:line="357" w:lineRule="auto"/>
        <w:ind w:left="-5"/>
      </w:pPr>
      <w:r>
        <w:t xml:space="preserve"> Overall,  the  study’s  findings  are  consistent  with  existing  research  on  vernacular  communication,  voice-based  advertising,  and  trust-based  adoption  models.  However,  this  study uniquely contributes to the literature by demonstrating that: </w:t>
      </w:r>
    </w:p>
    <w:p w14:paraId="570FDF7C" w14:textId="77777777" w:rsidR="00A319B1" w:rsidRDefault="003E69BB">
      <w:pPr>
        <w:numPr>
          <w:ilvl w:val="0"/>
          <w:numId w:val="3"/>
        </w:numPr>
        <w:ind w:hanging="360"/>
      </w:pPr>
      <w:r>
        <w:t xml:space="preserve">AI-generated voice advertisements can be equally or more effective than  human-recorded messages when culturally contextualised. </w:t>
      </w:r>
    </w:p>
    <w:p w14:paraId="16FD71D0" w14:textId="77777777" w:rsidR="00A319B1" w:rsidRDefault="003E69BB">
      <w:pPr>
        <w:numPr>
          <w:ilvl w:val="0"/>
          <w:numId w:val="3"/>
        </w:numPr>
        <w:ind w:hanging="360"/>
      </w:pPr>
      <w:r>
        <w:t xml:space="preserve">Vernacular AI voice ads offer a scalable and cost-effective solution for rural fintech  communication. </w:t>
      </w:r>
    </w:p>
    <w:p w14:paraId="14040345" w14:textId="77777777" w:rsidR="00A319B1" w:rsidRDefault="003E69BB">
      <w:pPr>
        <w:numPr>
          <w:ilvl w:val="0"/>
          <w:numId w:val="3"/>
        </w:numPr>
        <w:spacing w:after="620"/>
        <w:ind w:hanging="360"/>
      </w:pPr>
      <w:r>
        <w:t xml:space="preserve">Trust remains the most powerful psychological driver of fintech adoption among rural  populations. </w:t>
      </w:r>
    </w:p>
    <w:p w14:paraId="78FE2536" w14:textId="77777777" w:rsidR="00A319B1" w:rsidRDefault="003E69BB">
      <w:pPr>
        <w:pStyle w:val="Heading1"/>
        <w:numPr>
          <w:ilvl w:val="0"/>
          <w:numId w:val="0"/>
        </w:numPr>
        <w:ind w:left="-5"/>
      </w:pPr>
      <w:r>
        <w:lastRenderedPageBreak/>
        <w:t xml:space="preserve"> Theoretical Contributions </w:t>
      </w:r>
    </w:p>
    <w:p w14:paraId="48E67CD5" w14:textId="77777777" w:rsidR="00A319B1" w:rsidRDefault="003E69BB">
      <w:pPr>
        <w:spacing w:after="246"/>
        <w:ind w:left="-5"/>
      </w:pPr>
      <w:r>
        <w:t xml:space="preserve"> This study contributes to the academic discourse in the following ways: </w:t>
      </w:r>
    </w:p>
    <w:p w14:paraId="4D4FC6BA" w14:textId="77777777" w:rsidR="00A319B1" w:rsidRDefault="003E69BB">
      <w:pPr>
        <w:numPr>
          <w:ilvl w:val="0"/>
          <w:numId w:val="4"/>
        </w:numPr>
        <w:ind w:hanging="360"/>
      </w:pPr>
      <w:r>
        <w:t xml:space="preserve">It extends fintech adoption research by introducing vernacular AI voice advertising as  a new determinant. </w:t>
      </w:r>
    </w:p>
    <w:p w14:paraId="0887B520" w14:textId="77777777" w:rsidR="00A319B1" w:rsidRDefault="003E69BB">
      <w:pPr>
        <w:numPr>
          <w:ilvl w:val="0"/>
          <w:numId w:val="4"/>
        </w:numPr>
        <w:ind w:hanging="360"/>
      </w:pPr>
      <w:r>
        <w:t xml:space="preserve">It demonstrates that cultural relevance has a stronger influence than linguistic  familiarity or clarity alone. </w:t>
      </w:r>
    </w:p>
    <w:p w14:paraId="593C4126" w14:textId="77777777" w:rsidR="00A319B1" w:rsidRDefault="003E69BB">
      <w:pPr>
        <w:numPr>
          <w:ilvl w:val="0"/>
          <w:numId w:val="4"/>
        </w:numPr>
        <w:spacing w:after="654" w:line="357" w:lineRule="auto"/>
        <w:ind w:hanging="360"/>
      </w:pPr>
      <w:r>
        <w:t xml:space="preserve">It  empirically  validates  the  mediating  role  of  trust  in  AI-based  communication  contexts. </w:t>
      </w:r>
    </w:p>
    <w:p w14:paraId="779C354E" w14:textId="77777777" w:rsidR="00A319B1" w:rsidRDefault="003E69BB">
      <w:pPr>
        <w:spacing w:line="357" w:lineRule="auto"/>
        <w:ind w:left="-5"/>
      </w:pPr>
      <w:r>
        <w:t xml:space="preserve"> These  contributions  highlight  the  importance  of  integrating  technology,  linguistics,  and  cultural communication methods in behavioural research. </w:t>
      </w:r>
    </w:p>
    <w:p w14:paraId="3EB5DDC2" w14:textId="77777777" w:rsidR="00A319B1" w:rsidRDefault="003E69BB">
      <w:pPr>
        <w:pStyle w:val="Heading1"/>
        <w:numPr>
          <w:ilvl w:val="0"/>
          <w:numId w:val="0"/>
        </w:numPr>
        <w:ind w:left="-5"/>
      </w:pPr>
      <w:r>
        <w:t xml:space="preserve"> Practical Implications </w:t>
      </w:r>
    </w:p>
    <w:p w14:paraId="62092F05" w14:textId="77777777" w:rsidR="00A319B1" w:rsidRDefault="003E69BB">
      <w:pPr>
        <w:spacing w:after="255"/>
        <w:ind w:left="-5"/>
      </w:pPr>
      <w:r>
        <w:t xml:space="preserve"> The findings offer several actionable insights: </w:t>
      </w:r>
    </w:p>
    <w:p w14:paraId="155DC0F7" w14:textId="77777777" w:rsidR="00A319B1" w:rsidRDefault="003E69BB">
      <w:pPr>
        <w:numPr>
          <w:ilvl w:val="0"/>
          <w:numId w:val="5"/>
        </w:numPr>
        <w:ind w:right="-4" w:hanging="360"/>
      </w:pPr>
      <w:r>
        <w:t xml:space="preserve">Fintech companies should localise AI voice ads using district-level dialects (e.g.,  Davanagere Kannada vs. Mandya Kannada). </w:t>
      </w:r>
    </w:p>
    <w:p w14:paraId="48C077A8" w14:textId="77777777" w:rsidR="00A319B1" w:rsidRDefault="003E69BB">
      <w:pPr>
        <w:numPr>
          <w:ilvl w:val="0"/>
          <w:numId w:val="5"/>
        </w:numPr>
        <w:ind w:right="-4" w:hanging="360"/>
      </w:pPr>
      <w:r>
        <w:t xml:space="preserve">Ads should incorporate local examples, farming references, festival mentions, and  rural vocabulary. </w:t>
      </w:r>
    </w:p>
    <w:p w14:paraId="1ABB3D27" w14:textId="77777777" w:rsidR="00A319B1" w:rsidRDefault="003E69BB">
      <w:pPr>
        <w:numPr>
          <w:ilvl w:val="0"/>
          <w:numId w:val="5"/>
        </w:numPr>
        <w:ind w:right="-4" w:hanging="360"/>
      </w:pPr>
      <w:r>
        <w:t xml:space="preserve">Voice clarity and naturalness should be prioritised to build trust. </w:t>
      </w:r>
    </w:p>
    <w:p w14:paraId="1C25C1D5" w14:textId="77777777" w:rsidR="00A319B1" w:rsidRDefault="003E69BB">
      <w:pPr>
        <w:numPr>
          <w:ilvl w:val="0"/>
          <w:numId w:val="5"/>
        </w:numPr>
        <w:spacing w:after="801"/>
        <w:ind w:right="-4" w:hanging="360"/>
      </w:pPr>
      <w:r>
        <w:t xml:space="preserve">Training fintech apps to provide vernacular voice tutorials may further enhance  adoption. </w:t>
      </w:r>
    </w:p>
    <w:p w14:paraId="6F89D8D9" w14:textId="77777777" w:rsidR="00A319B1" w:rsidRDefault="003E69BB">
      <w:pPr>
        <w:spacing w:after="117" w:line="265" w:lineRule="auto"/>
        <w:ind w:left="-5"/>
        <w:jc w:val="left"/>
      </w:pPr>
      <w:r>
        <w:rPr>
          <w:b/>
        </w:rPr>
        <w:t xml:space="preserve"> References: </w:t>
      </w:r>
    </w:p>
    <w:p w14:paraId="1651002F" w14:textId="77777777" w:rsidR="00A319B1" w:rsidRDefault="003E69BB">
      <w:pPr>
        <w:numPr>
          <w:ilvl w:val="0"/>
          <w:numId w:val="5"/>
        </w:numPr>
        <w:spacing w:after="5" w:line="360" w:lineRule="auto"/>
        <w:ind w:right="-4" w:hanging="360"/>
      </w:pPr>
      <w:r>
        <w:rPr>
          <w:i/>
          <w:color w:val="222222"/>
        </w:rPr>
        <w:t xml:space="preserve">Lu,  S.  H.,  Tran,  H.  T.  T.,  &amp;  Ngo,  T.  S.  (2025).  Are  we  ready  for  artificial  intelligence  voice  advertising?  Comparing  human  and  artificial  intelligence  voices  in  audio  advertising in a multitasking context. Quality &amp; Quantity, 59(Suppl 1), 1-22. </w:t>
      </w:r>
    </w:p>
    <w:p w14:paraId="3C80CE96" w14:textId="77777777" w:rsidR="00A319B1" w:rsidRDefault="003E69BB">
      <w:pPr>
        <w:numPr>
          <w:ilvl w:val="0"/>
          <w:numId w:val="5"/>
        </w:numPr>
        <w:spacing w:after="5" w:line="360" w:lineRule="auto"/>
        <w:ind w:right="-4" w:hanging="360"/>
      </w:pPr>
      <w:r>
        <w:rPr>
          <w:i/>
          <w:color w:val="222222"/>
        </w:rPr>
        <w:t xml:space="preserve">Efthymiou,   F.,  Hildebrand,  C.,  de  Bellis,  E., &amp;   Hampton,  W.  H.  (2024).  The  power  of  AI-generated  voices:  How digital   vocal  tract  length  shapes product   congruency  and  ad performance. Journal of Interactive Marketing, 59(2), 117-134. </w:t>
      </w:r>
    </w:p>
    <w:p w14:paraId="34821D38" w14:textId="77777777" w:rsidR="00A319B1" w:rsidRDefault="003E69BB">
      <w:pPr>
        <w:numPr>
          <w:ilvl w:val="0"/>
          <w:numId w:val="5"/>
        </w:numPr>
        <w:spacing w:after="5" w:line="360" w:lineRule="auto"/>
        <w:ind w:right="-4" w:hanging="360"/>
      </w:pPr>
      <w:r>
        <w:rPr>
          <w:i/>
          <w:color w:val="222222"/>
        </w:rPr>
        <w:lastRenderedPageBreak/>
        <w:t xml:space="preserve">Wang,  X., Zhang,  Z.,   &amp;  Jiang,  Q.  (2024).  The  effectiveness  of  human vs.   AI  voice-over  in short   video  advertisements:  A  cognitive  load  theory  perspective.  Journal  of  Retailing and Consumer Services, 81, 104005. </w:t>
      </w:r>
    </w:p>
    <w:p w14:paraId="7EA7C72E" w14:textId="77777777" w:rsidR="00A319B1" w:rsidRDefault="003E69BB">
      <w:pPr>
        <w:numPr>
          <w:ilvl w:val="0"/>
          <w:numId w:val="5"/>
        </w:numPr>
        <w:spacing w:after="5" w:line="360" w:lineRule="auto"/>
        <w:ind w:right="-4" w:hanging="360"/>
      </w:pPr>
      <w:r>
        <w:rPr>
          <w:i/>
          <w:color w:val="222222"/>
        </w:rPr>
        <w:t xml:space="preserve">Agarwal,  J.,  Gulati, N.,   &amp;  Tyagi,  V.  (2021).  New  era  of  vernacular  voice assistant.   International  Journal  of  Advanced  Research  in  Computer  Science  and Software   Engineering, 11(4), 45–52. </w:t>
      </w:r>
    </w:p>
    <w:p w14:paraId="059127C0" w14:textId="77777777" w:rsidR="00A319B1" w:rsidRDefault="003E69BB">
      <w:pPr>
        <w:numPr>
          <w:ilvl w:val="0"/>
          <w:numId w:val="5"/>
        </w:numPr>
        <w:spacing w:after="5" w:line="360" w:lineRule="auto"/>
        <w:ind w:right="-4" w:hanging="360"/>
      </w:pPr>
      <w:r>
        <w:rPr>
          <w:i/>
          <w:color w:val="222222"/>
        </w:rPr>
        <w:t xml:space="preserve">Davis,  F.  D.  (1989).  Perceived  usefulness, perceived   ease of  use,  and  user   acceptance  of information technology. MIS Quarterly, 13(3), 319–340. </w:t>
      </w:r>
    </w:p>
    <w:p w14:paraId="2CAEA3C7" w14:textId="77777777" w:rsidR="00A319B1" w:rsidRDefault="003E69BB">
      <w:pPr>
        <w:numPr>
          <w:ilvl w:val="0"/>
          <w:numId w:val="5"/>
        </w:numPr>
        <w:spacing w:after="5" w:line="360" w:lineRule="auto"/>
        <w:ind w:right="-4" w:hanging="360"/>
      </w:pPr>
      <w:r>
        <w:rPr>
          <w:i/>
          <w:color w:val="222222"/>
        </w:rPr>
        <w:t xml:space="preserve">Harris,  L.  C. (2020).  Trust  and  perceived   credibility  in  digital  communication  environments. Journal of Interactive Marketing, 49, 22–38. </w:t>
      </w:r>
    </w:p>
    <w:p w14:paraId="42CDD785" w14:textId="77777777" w:rsidR="00A319B1" w:rsidRDefault="003E69BB">
      <w:pPr>
        <w:numPr>
          <w:ilvl w:val="0"/>
          <w:numId w:val="5"/>
        </w:numPr>
        <w:spacing w:after="5" w:line="360" w:lineRule="auto"/>
        <w:ind w:right="-4" w:hanging="360"/>
      </w:pPr>
      <w:r>
        <w:rPr>
          <w:i/>
          <w:color w:val="222222"/>
        </w:rPr>
        <w:t xml:space="preserve">Ho,  S.  S.,  &amp;  Lu, Y.  (2019).  The   influence  of  voice  quality  and  clarity on  perceived  credibility in digital advertisements. Computers in Human Behaviour, 95, 1–10. </w:t>
      </w:r>
      <w:r>
        <w:rPr>
          <w:i/>
          <w:color w:val="222222"/>
        </w:rPr>
        <w:tab/>
        <w:t xml:space="preserve"> </w:t>
      </w:r>
    </w:p>
    <w:p w14:paraId="6DD1D511" w14:textId="77777777" w:rsidR="00A319B1" w:rsidRDefault="003E69BB">
      <w:pPr>
        <w:numPr>
          <w:ilvl w:val="0"/>
          <w:numId w:val="5"/>
        </w:numPr>
        <w:spacing w:after="5" w:line="360" w:lineRule="auto"/>
        <w:ind w:right="-4" w:hanging="360"/>
      </w:pPr>
      <w:r>
        <w:rPr>
          <w:i/>
          <w:color w:val="222222"/>
        </w:rPr>
        <w:t xml:space="preserve">Kumar,  A.,  &amp;  Singh,  R.  (2019).  Vernacular  marketing  strategies  and  consumer  response in rural India. Journal of Rural Marketing Research, 6(2), 34–47. </w:t>
      </w:r>
    </w:p>
    <w:p w14:paraId="25E7DF85" w14:textId="77777777" w:rsidR="00A319B1" w:rsidRDefault="003E69BB">
      <w:pPr>
        <w:numPr>
          <w:ilvl w:val="0"/>
          <w:numId w:val="5"/>
        </w:numPr>
        <w:spacing w:after="5" w:line="360" w:lineRule="auto"/>
        <w:ind w:right="-4" w:hanging="360"/>
      </w:pPr>
      <w:r>
        <w:rPr>
          <w:i/>
          <w:color w:val="222222"/>
        </w:rPr>
        <w:t xml:space="preserve">Pandey, S.,   &amp;  Hussain,  M. (2018).   Cultural  alignment  and  consumer  trust  in  rural  advertising. International Journal of Marketing Studies, 10(4), 67–78. </w:t>
      </w:r>
    </w:p>
    <w:p w14:paraId="4B76ABD6" w14:textId="77777777" w:rsidR="00A319B1" w:rsidRDefault="003E69BB">
      <w:pPr>
        <w:numPr>
          <w:ilvl w:val="0"/>
          <w:numId w:val="5"/>
        </w:numPr>
        <w:spacing w:after="5" w:line="360" w:lineRule="auto"/>
        <w:ind w:right="-4" w:hanging="360"/>
      </w:pPr>
      <w:r>
        <w:rPr>
          <w:i/>
          <w:color w:val="222222"/>
        </w:rPr>
        <w:t xml:space="preserve">Venkatesh,  V.,  Morris,  M.  G.,  Davis,  G.  B.,  &amp; Davis, </w:t>
      </w:r>
      <w:r>
        <w:rPr>
          <w:i/>
          <w:color w:val="222222"/>
        </w:rPr>
        <w:tab/>
        <w:t xml:space="preserve"> F.   D. (2003).   User acceptance   of  information technology: Toward a unified view. MIS Quarterly, 27(3), 425–478. </w:t>
      </w:r>
    </w:p>
    <w:p w14:paraId="22AB0543" w14:textId="77777777" w:rsidR="00A319B1" w:rsidRDefault="003E69BB">
      <w:pPr>
        <w:numPr>
          <w:ilvl w:val="0"/>
          <w:numId w:val="5"/>
        </w:numPr>
        <w:spacing w:after="5" w:line="360" w:lineRule="auto"/>
        <w:ind w:right="-4" w:hanging="360"/>
      </w:pPr>
      <w:r>
        <w:rPr>
          <w:i/>
          <w:color w:val="222222"/>
        </w:rPr>
        <w:t xml:space="preserve">Pavlou, P.  A.   (2003).  Consumer  acceptance  of  electronic  commerce:  Integrating  trust  and  risk  with  the  technology  acceptance model.   International Journal   of  Electronic  Commerce, 7(3), 101–134. </w:t>
      </w:r>
    </w:p>
    <w:sectPr w:rsidR="00A319B1">
      <w:footerReference w:type="even" r:id="rId7"/>
      <w:footerReference w:type="default" r:id="rId8"/>
      <w:footerReference w:type="first" r:id="rId9"/>
      <w:pgSz w:w="11918" w:h="16858"/>
      <w:pgMar w:top="1498" w:right="1453" w:bottom="1512" w:left="1440" w:header="72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AF1BD" w14:textId="77777777" w:rsidR="00371718" w:rsidRDefault="00371718">
      <w:pPr>
        <w:spacing w:after="0" w:line="240" w:lineRule="auto"/>
      </w:pPr>
      <w:r>
        <w:separator/>
      </w:r>
    </w:p>
  </w:endnote>
  <w:endnote w:type="continuationSeparator" w:id="0">
    <w:p w14:paraId="72F7D2B6" w14:textId="77777777" w:rsidR="00371718" w:rsidRDefault="00371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B723" w14:textId="77777777" w:rsidR="00A319B1" w:rsidRDefault="003E69BB">
    <w:pPr>
      <w:spacing w:after="0" w:line="259" w:lineRule="auto"/>
      <w:ind w:left="0" w:firstLine="0"/>
      <w:jc w:val="left"/>
    </w:pPr>
    <w:r>
      <w:rPr>
        <w:rFonts w:ascii="Arial" w:eastAsia="Arial" w:hAnsi="Arial" w:cs="Arial"/>
        <w:sz w:val="22"/>
      </w:rPr>
      <w:t xml:space="preserve"> </w:t>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A564" w14:textId="77777777" w:rsidR="00A319B1" w:rsidRDefault="003E69BB">
    <w:pPr>
      <w:spacing w:after="0" w:line="259" w:lineRule="auto"/>
      <w:ind w:left="0" w:firstLine="0"/>
      <w:jc w:val="left"/>
    </w:pPr>
    <w:r>
      <w:rPr>
        <w:rFonts w:ascii="Arial" w:eastAsia="Arial" w:hAnsi="Arial" w:cs="Arial"/>
        <w:sz w:val="22"/>
      </w:rPr>
      <w:t xml:space="preserve"> </w:t>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0ED0" w14:textId="77777777" w:rsidR="00A319B1" w:rsidRDefault="003E69BB">
    <w:pPr>
      <w:spacing w:after="0" w:line="259" w:lineRule="auto"/>
      <w:ind w:left="0" w:firstLine="0"/>
      <w:jc w:val="left"/>
    </w:pPr>
    <w:r>
      <w:rPr>
        <w:rFonts w:ascii="Arial" w:eastAsia="Arial" w:hAnsi="Arial" w:cs="Arial"/>
        <w:sz w:val="22"/>
      </w:rPr>
      <w:t xml:space="preserve"> </w:t>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9061" w14:textId="77777777" w:rsidR="00371718" w:rsidRDefault="00371718">
      <w:pPr>
        <w:spacing w:after="0" w:line="240" w:lineRule="auto"/>
      </w:pPr>
      <w:r>
        <w:separator/>
      </w:r>
    </w:p>
  </w:footnote>
  <w:footnote w:type="continuationSeparator" w:id="0">
    <w:p w14:paraId="72439DE2" w14:textId="77777777" w:rsidR="00371718" w:rsidRDefault="003717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38D1"/>
    <w:multiLevelType w:val="hybridMultilevel"/>
    <w:tmpl w:val="FFFFFFFF"/>
    <w:lvl w:ilvl="0" w:tplc="B9F6BF8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2A7FDA">
      <w:start w:val="1"/>
      <w:numFmt w:val="bullet"/>
      <w:lvlText w:val="o"/>
      <w:lvlJc w:val="left"/>
      <w:pPr>
        <w:ind w:left="1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A63CBA">
      <w:start w:val="1"/>
      <w:numFmt w:val="bullet"/>
      <w:lvlText w:val="▪"/>
      <w:lvlJc w:val="left"/>
      <w:pPr>
        <w:ind w:left="2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CACF6E">
      <w:start w:val="1"/>
      <w:numFmt w:val="bullet"/>
      <w:lvlText w:val="•"/>
      <w:lvlJc w:val="left"/>
      <w:pPr>
        <w:ind w:left="2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A05D2C">
      <w:start w:val="1"/>
      <w:numFmt w:val="bullet"/>
      <w:lvlText w:val="o"/>
      <w:lvlJc w:val="left"/>
      <w:pPr>
        <w:ind w:left="3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3A9044">
      <w:start w:val="1"/>
      <w:numFmt w:val="bullet"/>
      <w:lvlText w:val="▪"/>
      <w:lvlJc w:val="left"/>
      <w:pPr>
        <w:ind w:left="4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703AE4">
      <w:start w:val="1"/>
      <w:numFmt w:val="bullet"/>
      <w:lvlText w:val="•"/>
      <w:lvlJc w:val="left"/>
      <w:pPr>
        <w:ind w:left="4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56C77E">
      <w:start w:val="1"/>
      <w:numFmt w:val="bullet"/>
      <w:lvlText w:val="o"/>
      <w:lvlJc w:val="left"/>
      <w:pPr>
        <w:ind w:left="5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A4FAEA">
      <w:start w:val="1"/>
      <w:numFmt w:val="bullet"/>
      <w:lvlText w:val="▪"/>
      <w:lvlJc w:val="left"/>
      <w:pPr>
        <w:ind w:left="6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6C13FE"/>
    <w:multiLevelType w:val="hybridMultilevel"/>
    <w:tmpl w:val="FFFFFFFF"/>
    <w:lvl w:ilvl="0" w:tplc="316686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D6766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94001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7285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4A2AA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62D8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AEAA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3A627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02514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22D8B"/>
    <w:multiLevelType w:val="hybridMultilevel"/>
    <w:tmpl w:val="FFFFFFFF"/>
    <w:lvl w:ilvl="0" w:tplc="ADF4E7A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D8A1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B885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8A0A5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72B6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8E01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B8379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1635C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6D1F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9929B5"/>
    <w:multiLevelType w:val="hybridMultilevel"/>
    <w:tmpl w:val="FFFFFFFF"/>
    <w:lvl w:ilvl="0" w:tplc="71E4B7CC">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AC2E1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DB0E4E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B6F1E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46F2B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D1A90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0AA5D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9F2F7C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50F31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E473A77"/>
    <w:multiLevelType w:val="hybridMultilevel"/>
    <w:tmpl w:val="FFFFFFFF"/>
    <w:lvl w:ilvl="0" w:tplc="685E787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B624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92E9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3A3D3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B28A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E6DF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2A7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6EF8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86A1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2B595B"/>
    <w:multiLevelType w:val="hybridMultilevel"/>
    <w:tmpl w:val="FFFFFFFF"/>
    <w:lvl w:ilvl="0" w:tplc="98CAFEF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6EE47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9846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B8B8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F22D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01F3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64968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487A8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A6DD5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95085317">
    <w:abstractNumId w:val="5"/>
  </w:num>
  <w:num w:numId="2" w16cid:durableId="2112889934">
    <w:abstractNumId w:val="2"/>
  </w:num>
  <w:num w:numId="3" w16cid:durableId="1410276730">
    <w:abstractNumId w:val="1"/>
  </w:num>
  <w:num w:numId="4" w16cid:durableId="1722898129">
    <w:abstractNumId w:val="4"/>
  </w:num>
  <w:num w:numId="5" w16cid:durableId="532496512">
    <w:abstractNumId w:val="0"/>
  </w:num>
  <w:num w:numId="6" w16cid:durableId="1688017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B1"/>
    <w:rsid w:val="00087C55"/>
    <w:rsid w:val="00371718"/>
    <w:rsid w:val="003E69BB"/>
    <w:rsid w:val="006C50AE"/>
    <w:rsid w:val="00801015"/>
    <w:rsid w:val="00A31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1551"/>
  <w15:docId w15:val="{E43868B0-0C51-8F47-B4D7-F1C98DE9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6" w:line="270" w:lineRule="auto"/>
      <w:ind w:left="10" w:hanging="10"/>
      <w:jc w:val="both"/>
    </w:pPr>
    <w:rPr>
      <w:rFonts w:ascii="Times New Roman" w:eastAsia="Times New Roman" w:hAnsi="Times New Roman" w:cs="Times New Roman"/>
      <w:color w:val="000000"/>
      <w:lang w:bidi="en-GB"/>
    </w:rPr>
  </w:style>
  <w:style w:type="paragraph" w:styleId="Heading1">
    <w:name w:val="heading 1"/>
    <w:next w:val="Normal"/>
    <w:link w:val="Heading1Char"/>
    <w:uiPriority w:val="9"/>
    <w:qFormat/>
    <w:pPr>
      <w:keepNext/>
      <w:keepLines/>
      <w:numPr>
        <w:numId w:val="6"/>
      </w:numPr>
      <w:spacing w:after="233" w:line="265" w:lineRule="auto"/>
      <w:ind w:left="10"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14" w:line="259" w:lineRule="auto"/>
      <w:outlineLvl w:val="1"/>
    </w:pPr>
    <w:rPr>
      <w:rFonts w:ascii="Times New Roman" w:eastAsia="Times New Roman" w:hAnsi="Times New Roman" w:cs="Times New Roman"/>
      <w:b/>
      <w:color w:val="333333"/>
    </w:rPr>
  </w:style>
  <w:style w:type="paragraph" w:styleId="Heading3">
    <w:name w:val="heading 3"/>
    <w:next w:val="Normal"/>
    <w:link w:val="Heading3Char"/>
    <w:uiPriority w:val="9"/>
    <w:unhideWhenUsed/>
    <w:qFormat/>
    <w:pPr>
      <w:keepNext/>
      <w:keepLines/>
      <w:spacing w:after="371" w:line="265" w:lineRule="auto"/>
      <w:ind w:left="1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333333"/>
      <w:sz w:val="24"/>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3904</Words>
  <Characters>22253</Characters>
  <Application>Microsoft Office Word</Application>
  <DocSecurity>0</DocSecurity>
  <Lines>185</Lines>
  <Paragraphs>52</Paragraphs>
  <ScaleCrop>false</ScaleCrop>
  <Company/>
  <LinksUpToDate>false</LinksUpToDate>
  <CharactersWithSpaces>26105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Vernacular AI Voice Advertisements on Rural Consumer Adoption of Fintech Products” - Google Docs</dc:title>
  <dc:subject/>
  <dc:creator/>
  <cp:keywords/>
  <cp:lastModifiedBy>theaisha1707@gmail.com</cp:lastModifiedBy>
  <cp:revision>3</cp:revision>
  <dcterms:created xsi:type="dcterms:W3CDTF">2026-02-26T14:43:00Z</dcterms:created>
  <dcterms:modified xsi:type="dcterms:W3CDTF">2026-02-27T08:28:00Z</dcterms:modified>
</cp:coreProperties>
</file>