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020E" w14:textId="77777777" w:rsidR="00C2718A" w:rsidRPr="00C2718A" w:rsidRDefault="00C2718A" w:rsidP="00C2718A">
      <w:pPr>
        <w:rPr>
          <w:b/>
          <w:bCs/>
          <w:sz w:val="28"/>
          <w:szCs w:val="28"/>
        </w:rPr>
      </w:pPr>
      <w:r w:rsidRPr="00C2718A">
        <w:rPr>
          <w:b/>
          <w:bCs/>
          <w:sz w:val="28"/>
          <w:szCs w:val="28"/>
        </w:rPr>
        <w:t>MEDICAL COPILOT: A SYSTEMATIC LITERATURE REVIEW OF AUTOMATED MEDICAL CODING AND CLINICAL DOCUMENTATION AUTOMATION</w:t>
      </w:r>
    </w:p>
    <w:p w14:paraId="67A8CD93" w14:textId="77777777" w:rsidR="00C2718A" w:rsidRPr="00C2718A" w:rsidRDefault="00000000" w:rsidP="00C2718A">
      <w:r>
        <w:pict w14:anchorId="5DE9ACF6">
          <v:rect id="_x0000_i1025" style="width:0;height:1.5pt" o:hralign="center" o:hrstd="t" o:hr="t" fillcolor="#a0a0a0" stroked="f"/>
        </w:pict>
      </w:r>
    </w:p>
    <w:p w14:paraId="51E35D8A" w14:textId="77777777" w:rsidR="00C2718A" w:rsidRPr="00C2718A" w:rsidRDefault="00C2718A" w:rsidP="00C2718A">
      <w:pPr>
        <w:rPr>
          <w:b/>
          <w:bCs/>
        </w:rPr>
      </w:pPr>
      <w:r w:rsidRPr="00C2718A">
        <w:rPr>
          <w:b/>
          <w:bCs/>
        </w:rPr>
        <w:t>ABSTRACT</w:t>
      </w:r>
    </w:p>
    <w:p w14:paraId="1A884882" w14:textId="77777777" w:rsidR="00C2718A" w:rsidRPr="00C2718A" w:rsidRDefault="00C2718A" w:rsidP="00C2718A">
      <w:r w:rsidRPr="00C2718A">
        <w:t>The burden of clinical documentation has become one of the most pressing challenges in modern healthcare. Physicians now spend nearly half of their working hours interacting with electronic health records (EHRs), often at the expense of direct patient care. This imbalance has been strongly associated with physician burnout, which currently affects approximately 62% of practitioners, and has also been linked to delayed diagnoses and incomplete medical records that compromise patient safety.</w:t>
      </w:r>
    </w:p>
    <w:p w14:paraId="795260BD" w14:textId="77777777" w:rsidR="00C2718A" w:rsidRPr="00C2718A" w:rsidRDefault="00C2718A" w:rsidP="00C2718A">
      <w:r w:rsidRPr="00C2718A">
        <w:t>Artificial intelligence–powered medical copilot systems have emerged as a promising response to this crisis. These systems support automated medical coding and intelligent documentation workflows using advanced natural language processing and deep learning techniques.</w:t>
      </w:r>
    </w:p>
    <w:p w14:paraId="685637BB" w14:textId="77777777" w:rsidR="00C2718A" w:rsidRPr="00C2718A" w:rsidRDefault="00C2718A" w:rsidP="00C2718A">
      <w:r w:rsidRPr="00C2718A">
        <w:t>This systematic literature review synthesizes research across six key dimensions:</w:t>
      </w:r>
    </w:p>
    <w:p w14:paraId="4EA4F18D" w14:textId="77777777" w:rsidR="00C2718A" w:rsidRPr="00C2718A" w:rsidRDefault="00C2718A" w:rsidP="00C2718A">
      <w:pPr>
        <w:numPr>
          <w:ilvl w:val="0"/>
          <w:numId w:val="1"/>
        </w:numPr>
      </w:pPr>
      <w:r w:rsidRPr="00C2718A">
        <w:t>The scope and consequences of the clinical documentation burden.</w:t>
      </w:r>
    </w:p>
    <w:p w14:paraId="28D3884A" w14:textId="77777777" w:rsidR="00C2718A" w:rsidRPr="00C2718A" w:rsidRDefault="00C2718A" w:rsidP="00C2718A">
      <w:pPr>
        <w:numPr>
          <w:ilvl w:val="0"/>
          <w:numId w:val="1"/>
        </w:numPr>
      </w:pPr>
      <w:r w:rsidRPr="00C2718A">
        <w:t>The impact of delayed or incomplete medical records on patient outcomes.</w:t>
      </w:r>
    </w:p>
    <w:p w14:paraId="56203F18" w14:textId="77777777" w:rsidR="00C2718A" w:rsidRPr="00C2718A" w:rsidRDefault="00C2718A" w:rsidP="00C2718A">
      <w:pPr>
        <w:numPr>
          <w:ilvl w:val="0"/>
          <w:numId w:val="1"/>
        </w:numPr>
      </w:pPr>
      <w:r w:rsidRPr="00C2718A">
        <w:t>State-of-the-art deep learning approaches for automated ICD coding.</w:t>
      </w:r>
    </w:p>
    <w:p w14:paraId="2E216F1C" w14:textId="77777777" w:rsidR="00C2718A" w:rsidRPr="00C2718A" w:rsidRDefault="00C2718A" w:rsidP="00C2718A">
      <w:pPr>
        <w:numPr>
          <w:ilvl w:val="0"/>
          <w:numId w:val="1"/>
        </w:numPr>
      </w:pPr>
      <w:r w:rsidRPr="00C2718A">
        <w:t>Benchmark datasets and evaluation frameworks.</w:t>
      </w:r>
    </w:p>
    <w:p w14:paraId="53B05485" w14:textId="77777777" w:rsidR="00C2718A" w:rsidRPr="00C2718A" w:rsidRDefault="00C2718A" w:rsidP="00C2718A">
      <w:pPr>
        <w:numPr>
          <w:ilvl w:val="0"/>
          <w:numId w:val="1"/>
        </w:numPr>
      </w:pPr>
      <w:r w:rsidRPr="00C2718A">
        <w:t>Real-world deployment considerations, including ambient documentation and human-in-the-loop systems.</w:t>
      </w:r>
    </w:p>
    <w:p w14:paraId="2EA759DE" w14:textId="77777777" w:rsidR="00C2718A" w:rsidRPr="00C2718A" w:rsidRDefault="00C2718A" w:rsidP="00C2718A">
      <w:pPr>
        <w:numPr>
          <w:ilvl w:val="0"/>
          <w:numId w:val="1"/>
        </w:numPr>
      </w:pPr>
      <w:r w:rsidRPr="00C2718A">
        <w:t>Critical research gaps and future directions.</w:t>
      </w:r>
    </w:p>
    <w:p w14:paraId="652F7489" w14:textId="77777777" w:rsidR="00C2718A" w:rsidRPr="00C2718A" w:rsidRDefault="00C2718A" w:rsidP="00C2718A">
      <w:r w:rsidRPr="00C2718A">
        <w:t>Current state-of-the-art systems achieve micro-F1 scores between 0.60 and 0.65 on full MIMIC-III datasets. However, significant barriers remain, including limited multi-institutional validation, regulatory and privacy concerns, and challenges in workflow integration.</w:t>
      </w:r>
    </w:p>
    <w:p w14:paraId="68969245" w14:textId="77777777" w:rsidR="00C2718A" w:rsidRPr="00C2718A" w:rsidRDefault="00C2718A" w:rsidP="00C2718A">
      <w:r w:rsidRPr="00C2718A">
        <w:rPr>
          <w:b/>
          <w:bCs/>
        </w:rPr>
        <w:t>Keywords:</w:t>
      </w:r>
      <w:r w:rsidRPr="00C2718A">
        <w:t xml:space="preserve"> Medical copilot, automated medical coding, ICD coding, clinical documentation, deep learning, natural language processing, artificial intelligence in healthcare</w:t>
      </w:r>
    </w:p>
    <w:p w14:paraId="73764D7C" w14:textId="77777777" w:rsidR="00C2718A" w:rsidRPr="00C2718A" w:rsidRDefault="00000000" w:rsidP="00C2718A">
      <w:r>
        <w:pict w14:anchorId="689D44AA">
          <v:rect id="_x0000_i1026" style="width:0;height:1.5pt" o:hralign="center" o:hrstd="t" o:hr="t" fillcolor="#a0a0a0" stroked="f"/>
        </w:pict>
      </w:r>
    </w:p>
    <w:p w14:paraId="1C8787E2" w14:textId="77777777" w:rsidR="00C2718A" w:rsidRPr="00C2718A" w:rsidRDefault="00C2718A" w:rsidP="00C2718A">
      <w:pPr>
        <w:rPr>
          <w:b/>
          <w:bCs/>
        </w:rPr>
      </w:pPr>
      <w:r w:rsidRPr="00C2718A">
        <w:rPr>
          <w:b/>
          <w:bCs/>
        </w:rPr>
        <w:t>1. INTRODUCTION</w:t>
      </w:r>
    </w:p>
    <w:p w14:paraId="1674AA11" w14:textId="77777777" w:rsidR="00C2718A" w:rsidRPr="00C2718A" w:rsidRDefault="00C2718A" w:rsidP="00C2718A">
      <w:pPr>
        <w:rPr>
          <w:b/>
          <w:bCs/>
        </w:rPr>
      </w:pPr>
      <w:r w:rsidRPr="00C2718A">
        <w:rPr>
          <w:b/>
          <w:bCs/>
        </w:rPr>
        <w:t>1.1 Background and Motivation</w:t>
      </w:r>
    </w:p>
    <w:p w14:paraId="14AD1429" w14:textId="77777777" w:rsidR="00C2718A" w:rsidRPr="00C2718A" w:rsidRDefault="00C2718A" w:rsidP="00C2718A">
      <w:r w:rsidRPr="00C2718A">
        <w:t xml:space="preserve">Medical coding involves translating clinical narratives into standardized diagnostic and procedural codes. This process forms the foundation of billing, reimbursement, analytics, </w:t>
      </w:r>
      <w:r w:rsidRPr="00C2718A">
        <w:lastRenderedPageBreak/>
        <w:t>and quality reporting within modern healthcare systems. The transition from ICD-9 to ICD-10 significantly increased complexity, expanding from roughly 14,000 codes to more than 70,000 diagnostic codes. As a result, both healthcare providers and professional coders face substantially increased documentation and classification demands.</w:t>
      </w:r>
    </w:p>
    <w:p w14:paraId="4EEB3565" w14:textId="77777777" w:rsidR="00C2718A" w:rsidRPr="00C2718A" w:rsidRDefault="00C2718A" w:rsidP="00C2718A">
      <w:r w:rsidRPr="00C2718A">
        <w:t>At the same time, the burden of clinical documentation has reached critical levels. Studies show that physicians now spend approximately 49% of their clinic day on EHR-related tasks, compared to only 27% on direct patient interaction. In practical terms, physicians often spend nearly two hours documenting for every hour spent with patients.</w:t>
      </w:r>
    </w:p>
    <w:p w14:paraId="306C4EFD" w14:textId="77777777" w:rsidR="00C2718A" w:rsidRPr="00C2718A" w:rsidRDefault="00C2718A" w:rsidP="00C2718A">
      <w:r w:rsidRPr="00C2718A">
        <w:t>This imbalance has serious consequences. Documentation overload contributes directly to physician burnout, reduces care quality, and increases the likelihood of diagnostic delays. The documentation crisis is therefore not merely administrative — it is deeply connected to clinical performance and patient safety.</w:t>
      </w:r>
    </w:p>
    <w:p w14:paraId="461F1DF2" w14:textId="77777777" w:rsidR="00C2718A" w:rsidRPr="00C2718A" w:rsidRDefault="00000000" w:rsidP="00C2718A">
      <w:r>
        <w:pict w14:anchorId="74600BCA">
          <v:rect id="_x0000_i1027" style="width:0;height:1.5pt" o:hralign="center" o:hrstd="t" o:hr="t" fillcolor="#a0a0a0" stroked="f"/>
        </w:pict>
      </w:r>
    </w:p>
    <w:p w14:paraId="32CCA52E" w14:textId="77777777" w:rsidR="00C2718A" w:rsidRPr="00C2718A" w:rsidRDefault="00C2718A" w:rsidP="00C2718A">
      <w:pPr>
        <w:rPr>
          <w:b/>
          <w:bCs/>
        </w:rPr>
      </w:pPr>
      <w:r w:rsidRPr="00C2718A">
        <w:rPr>
          <w:b/>
          <w:bCs/>
        </w:rPr>
        <w:t>1.2 Problem Statement and Research Gap</w:t>
      </w:r>
    </w:p>
    <w:p w14:paraId="6FE9AE80" w14:textId="77777777" w:rsidR="00C2718A" w:rsidRPr="00C2718A" w:rsidRDefault="00C2718A" w:rsidP="00C2718A">
      <w:r w:rsidRPr="00C2718A">
        <w:t>Manual medical coding remains labor-intensive, time-consuming, and prone to human error. The process diverts valuable clinical resources away from patient-centered care. Moreover, incomplete or delayed documentation can lead to diagnostic inaccuracies, medication errors, fragmented care coordination, and financial inefficiencies.</w:t>
      </w:r>
    </w:p>
    <w:p w14:paraId="72D847B4" w14:textId="77777777" w:rsidR="00C2718A" w:rsidRPr="00C2718A" w:rsidRDefault="00C2718A" w:rsidP="00C2718A">
      <w:r w:rsidRPr="00C2718A">
        <w:t>Although automated medical coding systems have advanced significantly over the past decade, they have not yet achieved the reliability, interpretability, and seamless clinical integration required for large-scale adoption. There remains a clear gap between technical innovation and real-world implementation.</w:t>
      </w:r>
    </w:p>
    <w:p w14:paraId="6E43B11C" w14:textId="77777777" w:rsidR="00C2718A" w:rsidRPr="00C2718A" w:rsidRDefault="00C2718A" w:rsidP="00C2718A">
      <w:r w:rsidRPr="00C2718A">
        <w:t>Addressing this gap presents a critical opportunity for interdisciplinary research combining clinical expertise, artificial intelligence, and health systems engineering.</w:t>
      </w:r>
    </w:p>
    <w:p w14:paraId="35EE6E97" w14:textId="77777777" w:rsidR="00C2718A" w:rsidRPr="00C2718A" w:rsidRDefault="00000000" w:rsidP="00C2718A">
      <w:r>
        <w:pict w14:anchorId="23B14304">
          <v:rect id="_x0000_i1028" style="width:0;height:1.5pt" o:hralign="center" o:hrstd="t" o:hr="t" fillcolor="#a0a0a0" stroked="f"/>
        </w:pict>
      </w:r>
    </w:p>
    <w:p w14:paraId="17157498" w14:textId="77777777" w:rsidR="00C2718A" w:rsidRPr="00C2718A" w:rsidRDefault="00C2718A" w:rsidP="00C2718A">
      <w:pPr>
        <w:rPr>
          <w:b/>
          <w:bCs/>
        </w:rPr>
      </w:pPr>
      <w:r w:rsidRPr="00C2718A">
        <w:rPr>
          <w:b/>
          <w:bCs/>
        </w:rPr>
        <w:t>1.3 Medical Copilot Systems</w:t>
      </w:r>
    </w:p>
    <w:p w14:paraId="2D26A79D" w14:textId="77777777" w:rsidR="00C2718A" w:rsidRPr="00C2718A" w:rsidRDefault="00C2718A" w:rsidP="00C2718A">
      <w:r w:rsidRPr="00C2718A">
        <w:t>Artificial intelligence–based medical copilot systems have emerged as a potential solution to the documentation crisis. These systems use natural language processing (NLP), machine learning, and deep learning to assist clinicians in generating documentation and assigning appropriate ICD codes.</w:t>
      </w:r>
    </w:p>
    <w:p w14:paraId="3EF8F4F2" w14:textId="77777777" w:rsidR="00C2718A" w:rsidRPr="00C2718A" w:rsidRDefault="00C2718A" w:rsidP="00C2718A">
      <w:r w:rsidRPr="00C2718A">
        <w:t>Medical copilot technologies operate in several ways:</w:t>
      </w:r>
    </w:p>
    <w:p w14:paraId="6FD9C99E" w14:textId="77777777" w:rsidR="00C2718A" w:rsidRPr="00C2718A" w:rsidRDefault="00C2718A" w:rsidP="00C2718A">
      <w:pPr>
        <w:numPr>
          <w:ilvl w:val="0"/>
          <w:numId w:val="2"/>
        </w:numPr>
      </w:pPr>
      <w:r w:rsidRPr="00C2718A">
        <w:rPr>
          <w:b/>
          <w:bCs/>
        </w:rPr>
        <w:t>Ambient documentation systems</w:t>
      </w:r>
      <w:r w:rsidRPr="00C2718A">
        <w:t xml:space="preserve"> capture real-time clinician–patient conversations and automatically generate structured clinical notes.</w:t>
      </w:r>
    </w:p>
    <w:p w14:paraId="1118AD36" w14:textId="77777777" w:rsidR="00C2718A" w:rsidRPr="00C2718A" w:rsidRDefault="00C2718A" w:rsidP="00C2718A">
      <w:pPr>
        <w:numPr>
          <w:ilvl w:val="0"/>
          <w:numId w:val="2"/>
        </w:numPr>
      </w:pPr>
      <w:r w:rsidRPr="00C2718A">
        <w:rPr>
          <w:b/>
          <w:bCs/>
        </w:rPr>
        <w:t>Computer-assisted coding tools</w:t>
      </w:r>
      <w:r w:rsidRPr="00C2718A">
        <w:t xml:space="preserve"> analyze free-text clinical documents and recommend ICD codes.</w:t>
      </w:r>
    </w:p>
    <w:p w14:paraId="7AB99900" w14:textId="77777777" w:rsidR="00C2718A" w:rsidRPr="00C2718A" w:rsidRDefault="00C2718A" w:rsidP="00C2718A">
      <w:pPr>
        <w:numPr>
          <w:ilvl w:val="0"/>
          <w:numId w:val="2"/>
        </w:numPr>
      </w:pPr>
      <w:r w:rsidRPr="00C2718A">
        <w:rPr>
          <w:b/>
          <w:bCs/>
        </w:rPr>
        <w:lastRenderedPageBreak/>
        <w:t>Retrieval-augmented systems</w:t>
      </w:r>
      <w:r w:rsidRPr="00C2718A">
        <w:t xml:space="preserve"> incorporate medical knowledge bases and clinical guidelines to enhance accuracy and contextual understanding.</w:t>
      </w:r>
    </w:p>
    <w:p w14:paraId="3D2F9188" w14:textId="77777777" w:rsidR="00C2718A" w:rsidRPr="00C2718A" w:rsidRDefault="00C2718A" w:rsidP="00C2718A">
      <w:r w:rsidRPr="00C2718A">
        <w:t>Rather than replacing clinicians, these systems aim to augment their workflow, reduce administrative burden, and improve documentation accuracy.</w:t>
      </w:r>
    </w:p>
    <w:p w14:paraId="64EEE40C" w14:textId="77777777" w:rsidR="00C2718A" w:rsidRPr="00C2718A" w:rsidRDefault="00000000" w:rsidP="00C2718A">
      <w:r>
        <w:pict w14:anchorId="6264A307">
          <v:rect id="_x0000_i1029" style="width:0;height:1.5pt" o:hralign="center" o:hrstd="t" o:hr="t" fillcolor="#a0a0a0" stroked="f"/>
        </w:pict>
      </w:r>
    </w:p>
    <w:p w14:paraId="3BAF91CD" w14:textId="77777777" w:rsidR="00C2718A" w:rsidRPr="00C2718A" w:rsidRDefault="00C2718A" w:rsidP="00C2718A">
      <w:pPr>
        <w:rPr>
          <w:b/>
          <w:bCs/>
        </w:rPr>
      </w:pPr>
      <w:r w:rsidRPr="00C2718A">
        <w:rPr>
          <w:b/>
          <w:bCs/>
        </w:rPr>
        <w:t>1.4 Scope and Research Questions</w:t>
      </w:r>
    </w:p>
    <w:p w14:paraId="59793F76" w14:textId="77777777" w:rsidR="00C2718A" w:rsidRPr="00C2718A" w:rsidRDefault="00C2718A" w:rsidP="00C2718A">
      <w:r w:rsidRPr="00C2718A">
        <w:t>This systematic literature review investigates automated medical coding and medical copilot systems through the following research questions:</w:t>
      </w:r>
    </w:p>
    <w:p w14:paraId="1B84717A" w14:textId="77777777" w:rsidR="00C2718A" w:rsidRPr="00C2718A" w:rsidRDefault="00C2718A" w:rsidP="00C2718A">
      <w:pPr>
        <w:numPr>
          <w:ilvl w:val="0"/>
          <w:numId w:val="3"/>
        </w:numPr>
      </w:pPr>
      <w:r w:rsidRPr="00C2718A">
        <w:t>RQ1: What is the magnitude of the clinical documentation burden, and how does it affect physician burnout and care quality?</w:t>
      </w:r>
    </w:p>
    <w:p w14:paraId="43022678" w14:textId="77777777" w:rsidR="00C2718A" w:rsidRPr="00C2718A" w:rsidRDefault="00C2718A" w:rsidP="00C2718A">
      <w:pPr>
        <w:numPr>
          <w:ilvl w:val="0"/>
          <w:numId w:val="3"/>
        </w:numPr>
      </w:pPr>
      <w:r w:rsidRPr="00C2718A">
        <w:t>RQ2: What are the consequences of delayed or incomplete medical records on patient safety and diagnostic accuracy?</w:t>
      </w:r>
    </w:p>
    <w:p w14:paraId="448A9891" w14:textId="77777777" w:rsidR="00C2718A" w:rsidRPr="00C2718A" w:rsidRDefault="00C2718A" w:rsidP="00C2718A">
      <w:pPr>
        <w:numPr>
          <w:ilvl w:val="0"/>
          <w:numId w:val="3"/>
        </w:numPr>
      </w:pPr>
      <w:r w:rsidRPr="00C2718A">
        <w:t>RQ3: What deep learning approaches currently define the state of the art in automated ICD coding?</w:t>
      </w:r>
    </w:p>
    <w:p w14:paraId="140BDDC0" w14:textId="77777777" w:rsidR="00C2718A" w:rsidRPr="00C2718A" w:rsidRDefault="00C2718A" w:rsidP="00C2718A">
      <w:pPr>
        <w:numPr>
          <w:ilvl w:val="0"/>
          <w:numId w:val="3"/>
        </w:numPr>
      </w:pPr>
      <w:r w:rsidRPr="00C2718A">
        <w:t>RQ4: Which benchmark datasets and evaluation frameworks support this research area?</w:t>
      </w:r>
    </w:p>
    <w:p w14:paraId="2646D7E2" w14:textId="77777777" w:rsidR="00C2718A" w:rsidRPr="00C2718A" w:rsidRDefault="00C2718A" w:rsidP="00C2718A">
      <w:pPr>
        <w:numPr>
          <w:ilvl w:val="0"/>
          <w:numId w:val="3"/>
        </w:numPr>
      </w:pPr>
      <w:r w:rsidRPr="00C2718A">
        <w:t>RQ5: What barriers limit real-world clinical deployment?</w:t>
      </w:r>
    </w:p>
    <w:p w14:paraId="06D4B75F" w14:textId="77777777" w:rsidR="00C2718A" w:rsidRPr="00C2718A" w:rsidRDefault="00C2718A" w:rsidP="00C2718A">
      <w:pPr>
        <w:numPr>
          <w:ilvl w:val="0"/>
          <w:numId w:val="3"/>
        </w:numPr>
      </w:pPr>
      <w:r w:rsidRPr="00C2718A">
        <w:t>RQ6: What future research directions are necessary to advance medical copilot systems toward clinical viability?</w:t>
      </w:r>
    </w:p>
    <w:p w14:paraId="298B68D1" w14:textId="77777777" w:rsidR="00C2718A" w:rsidRPr="00C2718A" w:rsidRDefault="00000000" w:rsidP="00C2718A">
      <w:r>
        <w:pict w14:anchorId="49CF34AF">
          <v:rect id="_x0000_i1030" style="width:0;height:1.5pt" o:hralign="center" o:hrstd="t" o:hr="t" fillcolor="#a0a0a0" stroked="f"/>
        </w:pict>
      </w:r>
    </w:p>
    <w:p w14:paraId="6440E155" w14:textId="77777777" w:rsidR="00C2718A" w:rsidRPr="00C2718A" w:rsidRDefault="00C2718A" w:rsidP="00C2718A">
      <w:pPr>
        <w:rPr>
          <w:b/>
          <w:bCs/>
        </w:rPr>
      </w:pPr>
      <w:r w:rsidRPr="00C2718A">
        <w:rPr>
          <w:b/>
          <w:bCs/>
        </w:rPr>
        <w:t>1.5 Review Methodology</w:t>
      </w:r>
    </w:p>
    <w:p w14:paraId="281157B1" w14:textId="77777777" w:rsidR="00C2718A" w:rsidRPr="00C2718A" w:rsidRDefault="00C2718A" w:rsidP="00C2718A">
      <w:r w:rsidRPr="00C2718A">
        <w:t>A systematic search was conducted across PubMed, IEEE Xplore, ACL Anthology, arXiv, and Google Scholar using keywords such as “medical copilot,” “automated ICD coding,” “clinical documentation burden,” and “NLP in healthcare.” The review includes literature published between 2015 and November 2025.</w:t>
      </w:r>
    </w:p>
    <w:p w14:paraId="3C5DE4A9" w14:textId="7606F0C5" w:rsidR="00C2718A" w:rsidRDefault="00C2718A" w:rsidP="00C2718A">
      <w:r w:rsidRPr="00C2718A">
        <w:t>Inclusion criteria consisted of peer-reviewed articles and significant preprints addressing automated coding or documentation automation with empirical evaluation. Opinion pieces and studies unrelated to clinical documentation were excluded.</w:t>
      </w:r>
    </w:p>
    <w:p w14:paraId="034FB480" w14:textId="77777777" w:rsidR="00C2718A" w:rsidRDefault="00C2718A">
      <w:r>
        <w:br w:type="page"/>
      </w:r>
    </w:p>
    <w:p w14:paraId="3F45DB9D" w14:textId="77777777" w:rsidR="00C2718A" w:rsidRDefault="00C2718A" w:rsidP="00C2718A"/>
    <w:p w14:paraId="74ED0F1B" w14:textId="77777777" w:rsidR="00C2718A" w:rsidRPr="00C2718A" w:rsidRDefault="00C2718A" w:rsidP="00C2718A">
      <w:pPr>
        <w:rPr>
          <w:b/>
          <w:bCs/>
        </w:rPr>
      </w:pPr>
      <w:r w:rsidRPr="00C2718A">
        <w:rPr>
          <w:b/>
          <w:bCs/>
        </w:rPr>
        <w:t>2. THE CLINICAL DOCUMENTATION CRISIS</w:t>
      </w:r>
    </w:p>
    <w:p w14:paraId="45696F20" w14:textId="77777777" w:rsidR="00C2718A" w:rsidRPr="00C2718A" w:rsidRDefault="00C2718A" w:rsidP="00C2718A">
      <w:pPr>
        <w:rPr>
          <w:b/>
          <w:bCs/>
        </w:rPr>
      </w:pPr>
      <w:r w:rsidRPr="00C2718A">
        <w:rPr>
          <w:b/>
          <w:bCs/>
        </w:rPr>
        <w:t>2.1 Quantifying the Documentation Burden</w:t>
      </w:r>
    </w:p>
    <w:p w14:paraId="78D90340" w14:textId="77777777" w:rsidR="00C2718A" w:rsidRPr="00C2718A" w:rsidRDefault="00C2718A" w:rsidP="00C2718A">
      <w:r w:rsidRPr="00C2718A">
        <w:t>The magnitude of the clinical documentation burden has been consistently demonstrated in empirical research. Large-scale studies show that physicians devote a substantial portion of their professional time to administrative tasks related to electronic health records (EHRs).</w:t>
      </w:r>
    </w:p>
    <w:p w14:paraId="385EAC48" w14:textId="77777777" w:rsidR="00C2718A" w:rsidRPr="00C2718A" w:rsidRDefault="00C2718A" w:rsidP="00C2718A">
      <w:r w:rsidRPr="00C2718A">
        <w:t>In a cross-sectional study involving 1,524 U.S. office-based physicians, more than half (58.1%) reported that documentation time was excessive, while 84.7% agreed that billing-related requirements significantly increased overall documentation workload. On average, physicians complete approximately 1.77 hours of documentation outside regular office hours each day.</w:t>
      </w:r>
    </w:p>
    <w:p w14:paraId="23040DB7" w14:textId="77777777" w:rsidR="00C2718A" w:rsidRPr="00C2718A" w:rsidRDefault="00C2718A" w:rsidP="00C2718A">
      <w:r w:rsidRPr="00C2718A">
        <w:t>During scheduled clinic hours, EHR-related activities consume nearly 49.2% of physician time. These activities include chart review (32.1%), documentation (23.7%), and billing or coding tasks (3.9%). Even during patient encounters, physicians spend up to 37% of visit time interacting with the EHR. This persistent digital engagement fragments patient-provider interaction and reduces meaningful communication.</w:t>
      </w:r>
    </w:p>
    <w:p w14:paraId="6D8EEADD" w14:textId="77777777" w:rsidR="00C2718A" w:rsidRPr="00C2718A" w:rsidRDefault="00C2718A" w:rsidP="00C2718A">
      <w:r w:rsidRPr="00C2718A">
        <w:t>The data clearly indicate that documentation has shifted from being a supportive function to a dominant component of clinical work.</w:t>
      </w:r>
    </w:p>
    <w:p w14:paraId="1ED501C5" w14:textId="77777777" w:rsidR="00C2718A" w:rsidRPr="00C2718A" w:rsidRDefault="00000000" w:rsidP="00C2718A">
      <w:r>
        <w:pict w14:anchorId="3A925F08">
          <v:rect id="_x0000_i1031" style="width:0;height:1.5pt" o:hralign="center" o:hrstd="t" o:hr="t" fillcolor="#a0a0a0" stroked="f"/>
        </w:pict>
      </w:r>
    </w:p>
    <w:p w14:paraId="6CB1A22E" w14:textId="77777777" w:rsidR="00C2718A" w:rsidRPr="00C2718A" w:rsidRDefault="00C2718A" w:rsidP="00C2718A">
      <w:pPr>
        <w:rPr>
          <w:b/>
          <w:bCs/>
        </w:rPr>
      </w:pPr>
      <w:r w:rsidRPr="00C2718A">
        <w:rPr>
          <w:b/>
          <w:bCs/>
        </w:rPr>
        <w:t>2.2 EHR Burden and Physician Burnout</w:t>
      </w:r>
    </w:p>
    <w:p w14:paraId="75A7A0B7" w14:textId="77777777" w:rsidR="00C2718A" w:rsidRPr="00C2718A" w:rsidRDefault="00C2718A" w:rsidP="00C2718A">
      <w:r w:rsidRPr="00C2718A">
        <w:t>Multiple studies have established a strong association between excessive documentation demands and physician burnout. Burnout is characterized by emotional exhaustion, depersonalization, and a diminished sense of professional accomplishment. Current estimates suggest that approximately 62% of physicians experience symptoms of burnout.</w:t>
      </w:r>
    </w:p>
    <w:p w14:paraId="3ACD7CCC" w14:textId="77777777" w:rsidR="00C2718A" w:rsidRPr="00C2718A" w:rsidRDefault="00C2718A" w:rsidP="00C2718A">
      <w:r w:rsidRPr="00C2718A">
        <w:t>Documentation burden contributes to burnout through several pathways:</w:t>
      </w:r>
    </w:p>
    <w:p w14:paraId="783982BC" w14:textId="77777777" w:rsidR="00C2718A" w:rsidRPr="00C2718A" w:rsidRDefault="00C2718A" w:rsidP="00C2718A">
      <w:pPr>
        <w:numPr>
          <w:ilvl w:val="0"/>
          <w:numId w:val="4"/>
        </w:numPr>
      </w:pPr>
      <w:r w:rsidRPr="00C2718A">
        <w:t>Persistent time pressure and extended work hours</w:t>
      </w:r>
    </w:p>
    <w:p w14:paraId="51596453" w14:textId="77777777" w:rsidR="00C2718A" w:rsidRPr="00C2718A" w:rsidRDefault="00C2718A" w:rsidP="00C2718A">
      <w:pPr>
        <w:numPr>
          <w:ilvl w:val="0"/>
          <w:numId w:val="4"/>
        </w:numPr>
      </w:pPr>
      <w:r w:rsidRPr="00C2718A">
        <w:t>Chronic stress due to administrative overload</w:t>
      </w:r>
    </w:p>
    <w:p w14:paraId="6D6AB212" w14:textId="77777777" w:rsidR="00C2718A" w:rsidRPr="00C2718A" w:rsidRDefault="00C2718A" w:rsidP="00C2718A">
      <w:pPr>
        <w:numPr>
          <w:ilvl w:val="0"/>
          <w:numId w:val="4"/>
        </w:numPr>
      </w:pPr>
      <w:r w:rsidRPr="00C2718A">
        <w:t>Moral distress from prioritizing documentation over patient care</w:t>
      </w:r>
    </w:p>
    <w:p w14:paraId="313E484A" w14:textId="77777777" w:rsidR="00C2718A" w:rsidRPr="00C2718A" w:rsidRDefault="00C2718A" w:rsidP="00C2718A">
      <w:pPr>
        <w:numPr>
          <w:ilvl w:val="0"/>
          <w:numId w:val="4"/>
        </w:numPr>
      </w:pPr>
      <w:r w:rsidRPr="00C2718A">
        <w:t>Reduced professional autonomy imposed by rigid EHR structures</w:t>
      </w:r>
    </w:p>
    <w:p w14:paraId="3D67FA27" w14:textId="77777777" w:rsidR="00C2718A" w:rsidRPr="00C2718A" w:rsidRDefault="00C2718A" w:rsidP="00C2718A">
      <w:pPr>
        <w:numPr>
          <w:ilvl w:val="0"/>
          <w:numId w:val="4"/>
        </w:numPr>
      </w:pPr>
      <w:r w:rsidRPr="00C2718A">
        <w:t>Frustration with poor usability and inefficient system design</w:t>
      </w:r>
    </w:p>
    <w:p w14:paraId="58F477A5" w14:textId="77777777" w:rsidR="00C2718A" w:rsidRPr="00C2718A" w:rsidRDefault="00C2718A" w:rsidP="00C2718A">
      <w:r w:rsidRPr="00C2718A">
        <w:t>Quantitative analyses reinforce this relationship. Physicians who perceive insufficient time for documentation are nearly three times more likely to report burnout (odds ratio 2.8). Extended after-hours documentation nearly doubles burnout risk.</w:t>
      </w:r>
    </w:p>
    <w:p w14:paraId="359EC7BD" w14:textId="77777777" w:rsidR="00C2718A" w:rsidRPr="00C2718A" w:rsidRDefault="00C2718A" w:rsidP="00C2718A">
      <w:r w:rsidRPr="00C2718A">
        <w:lastRenderedPageBreak/>
        <w:t>These findings suggest that documentation overload is not simply inconvenient — it is a significant occupational health concern with system-wide implications.</w:t>
      </w:r>
    </w:p>
    <w:p w14:paraId="27616C7D" w14:textId="77777777" w:rsidR="00C2718A" w:rsidRPr="00C2718A" w:rsidRDefault="00000000" w:rsidP="00C2718A">
      <w:r>
        <w:pict w14:anchorId="1C549BE3">
          <v:rect id="_x0000_i1032" style="width:0;height:1.5pt" o:hralign="center" o:hrstd="t" o:hr="t" fillcolor="#a0a0a0" stroked="f"/>
        </w:pict>
      </w:r>
    </w:p>
    <w:p w14:paraId="5F8BAE2E" w14:textId="77777777" w:rsidR="00C2718A" w:rsidRPr="00C2718A" w:rsidRDefault="00C2718A" w:rsidP="00C2718A">
      <w:pPr>
        <w:rPr>
          <w:b/>
          <w:bCs/>
        </w:rPr>
      </w:pPr>
      <w:r w:rsidRPr="00C2718A">
        <w:rPr>
          <w:b/>
          <w:bCs/>
        </w:rPr>
        <w:t>2.3 Impact on Patient Care Quality</w:t>
      </w:r>
    </w:p>
    <w:p w14:paraId="0CA61273" w14:textId="77777777" w:rsidR="00C2718A" w:rsidRPr="00C2718A" w:rsidRDefault="00C2718A" w:rsidP="00C2718A">
      <w:r w:rsidRPr="00C2718A">
        <w:t>The documentation crisis directly affects patient care quality in several ways.</w:t>
      </w:r>
    </w:p>
    <w:p w14:paraId="5A1E834B" w14:textId="77777777" w:rsidR="00C2718A" w:rsidRPr="00C2718A" w:rsidRDefault="00C2718A" w:rsidP="00C2718A">
      <w:r w:rsidRPr="00C2718A">
        <w:t>First, excessive administrative demands reduce direct patient interaction time. Shortened encounters limit opportunities for thorough history-taking, relationship building, and patient education.</w:t>
      </w:r>
    </w:p>
    <w:p w14:paraId="5F9FB2F4" w14:textId="77777777" w:rsidR="00C2718A" w:rsidRPr="00C2718A" w:rsidRDefault="00C2718A" w:rsidP="00C2718A">
      <w:r w:rsidRPr="00C2718A">
        <w:t>Second, rushed documentation increases the risk of medical errors. Cognitive overload, multitasking, and frequent interruptions from EHR alerts can impair clinical reasoning and decision-making.</w:t>
      </w:r>
    </w:p>
    <w:p w14:paraId="0CA12B43" w14:textId="77777777" w:rsidR="00C2718A" w:rsidRPr="00C2718A" w:rsidRDefault="00C2718A" w:rsidP="00C2718A">
      <w:r w:rsidRPr="00C2718A">
        <w:t>Third, heavy EHR usage during consultations may negatively influence the therapeutic relationship. Patients often perceive physicians as distracted when attention is focused on computer screens rather than face-to-face engagement.</w:t>
      </w:r>
    </w:p>
    <w:p w14:paraId="1E055D0B" w14:textId="77777777" w:rsidR="00C2718A" w:rsidRPr="00C2718A" w:rsidRDefault="00C2718A" w:rsidP="00C2718A">
      <w:r w:rsidRPr="00C2718A">
        <w:t>Finally, inadequate documentation can lead to incomplete medical records. Gaps in documentation compromise continuity of care, hinder coordination across providers, and create additional downstream administrative burdens.</w:t>
      </w:r>
    </w:p>
    <w:p w14:paraId="4ECF2F36" w14:textId="77777777" w:rsidR="00C2718A" w:rsidRPr="00C2718A" w:rsidRDefault="00C2718A" w:rsidP="00C2718A">
      <w:r w:rsidRPr="00C2718A">
        <w:t>Taken together, the clinical documentation crisis represents both a workforce sustainability issue and a patient safety concern.</w:t>
      </w:r>
    </w:p>
    <w:p w14:paraId="6A61A7F5" w14:textId="77777777" w:rsidR="00C2718A" w:rsidRPr="00C2718A" w:rsidRDefault="00C2718A" w:rsidP="00C2718A"/>
    <w:p w14:paraId="2AEBFBC0" w14:textId="77777777" w:rsidR="00C2718A" w:rsidRPr="00C2718A" w:rsidRDefault="00C2718A" w:rsidP="00C2718A">
      <w:pPr>
        <w:rPr>
          <w:b/>
          <w:bCs/>
        </w:rPr>
      </w:pPr>
      <w:r w:rsidRPr="00C2718A">
        <w:rPr>
          <w:b/>
          <w:bCs/>
        </w:rPr>
        <w:t>3. CONSEQUENCES OF DELAYED OR INCOMPLETE MEDICAL RECORDS</w:t>
      </w:r>
    </w:p>
    <w:p w14:paraId="3A25C886" w14:textId="77777777" w:rsidR="00C2718A" w:rsidRPr="00C2718A" w:rsidRDefault="00C2718A" w:rsidP="00C2718A">
      <w:pPr>
        <w:rPr>
          <w:b/>
          <w:bCs/>
        </w:rPr>
      </w:pPr>
      <w:r w:rsidRPr="00C2718A">
        <w:rPr>
          <w:b/>
          <w:bCs/>
        </w:rPr>
        <w:t>3.1 Epidemiology and Clinical Consequences</w:t>
      </w:r>
    </w:p>
    <w:p w14:paraId="568A8A01" w14:textId="77777777" w:rsidR="00C2718A" w:rsidRPr="00C2718A" w:rsidRDefault="00C2718A" w:rsidP="00C2718A">
      <w:r w:rsidRPr="00C2718A">
        <w:t>Delayed diagnosis—defined as the accurate identification of a medical condition occurring significantly later than clinically appropriate—represents a major patient safety challenge. In the United States alone, diagnostic errors affect an estimated 12 million adults annually. The consequences are particularly severe in time-sensitive conditions such as cancer, cardiovascular disease, and stroke, where early intervention is critical for favorable outcomes.</w:t>
      </w:r>
    </w:p>
    <w:p w14:paraId="1BDD3397" w14:textId="77777777" w:rsidR="00C2718A" w:rsidRPr="00C2718A" w:rsidRDefault="00C2718A" w:rsidP="00C2718A">
      <w:r w:rsidRPr="00C2718A">
        <w:t>Incomplete medical documentation plays a direct role in diagnostic delays. When clinical histories, laboratory results, imaging interpretations, or prior treatment information are missing or inadequately recorded, physicians may lack the context necessary for accurate differential diagnosis. These informational gaps can lead to misinterpretation, repeated testing, or missed warning signs.</w:t>
      </w:r>
    </w:p>
    <w:p w14:paraId="1010D890" w14:textId="77777777" w:rsidR="00C2718A" w:rsidRPr="00C2718A" w:rsidRDefault="00C2718A" w:rsidP="00C2718A">
      <w:r w:rsidRPr="00C2718A">
        <w:t>For example:</w:t>
      </w:r>
    </w:p>
    <w:p w14:paraId="7150C255" w14:textId="77777777" w:rsidR="00C2718A" w:rsidRPr="00C2718A" w:rsidRDefault="00C2718A" w:rsidP="00C2718A">
      <w:pPr>
        <w:numPr>
          <w:ilvl w:val="0"/>
          <w:numId w:val="5"/>
        </w:numPr>
      </w:pPr>
      <w:r w:rsidRPr="00C2718A">
        <w:lastRenderedPageBreak/>
        <w:t>Delayed cancer diagnosis often allows disease progression to advanced stages, reducing therapeutic options and significantly lowering survival rates.</w:t>
      </w:r>
    </w:p>
    <w:p w14:paraId="423C35A8" w14:textId="77777777" w:rsidR="00C2718A" w:rsidRPr="00C2718A" w:rsidRDefault="00C2718A" w:rsidP="00C2718A">
      <w:pPr>
        <w:numPr>
          <w:ilvl w:val="0"/>
          <w:numId w:val="5"/>
        </w:numPr>
      </w:pPr>
      <w:r w:rsidRPr="00C2718A">
        <w:t>Delayed diagnosis of myocardial infarction or stroke can result in irreversible tissue damage, permanent disability, or death.</w:t>
      </w:r>
    </w:p>
    <w:p w14:paraId="1AE354C3" w14:textId="77777777" w:rsidR="00C2718A" w:rsidRPr="00C2718A" w:rsidRDefault="00C2718A" w:rsidP="00C2718A">
      <w:r w:rsidRPr="00C2718A">
        <w:t>Thus, documentation quality is closely linked to diagnostic accuracy and patient survival.</w:t>
      </w:r>
    </w:p>
    <w:p w14:paraId="1E377171" w14:textId="77777777" w:rsidR="00C2718A" w:rsidRPr="00C2718A" w:rsidRDefault="00000000" w:rsidP="00C2718A">
      <w:r>
        <w:pict w14:anchorId="760D6F35">
          <v:rect id="_x0000_i1033" style="width:0;height:1.5pt" o:hralign="center" o:hrstd="t" o:hr="t" fillcolor="#a0a0a0" stroked="f"/>
        </w:pict>
      </w:r>
    </w:p>
    <w:p w14:paraId="5007C328" w14:textId="77777777" w:rsidR="00C2718A" w:rsidRPr="00C2718A" w:rsidRDefault="00C2718A" w:rsidP="00C2718A">
      <w:pPr>
        <w:rPr>
          <w:b/>
          <w:bCs/>
        </w:rPr>
      </w:pPr>
      <w:r w:rsidRPr="00C2718A">
        <w:rPr>
          <w:b/>
          <w:bCs/>
        </w:rPr>
        <w:t>3.2 Medical Errors and System-Level Consequences</w:t>
      </w:r>
    </w:p>
    <w:p w14:paraId="54D6BDD5" w14:textId="77777777" w:rsidR="00C2718A" w:rsidRPr="00C2718A" w:rsidRDefault="00C2718A" w:rsidP="00C2718A">
      <w:r w:rsidRPr="00C2718A">
        <w:t>Incomplete patient records pose a systemic threat to patient safety. The implications extend beyond delayed diagnoses and affect multiple dimensions of care delivery:</w:t>
      </w:r>
    </w:p>
    <w:p w14:paraId="4D3D6839" w14:textId="77777777" w:rsidR="00C2718A" w:rsidRPr="00C2718A" w:rsidRDefault="00C2718A" w:rsidP="00C2718A">
      <w:pPr>
        <w:numPr>
          <w:ilvl w:val="0"/>
          <w:numId w:val="6"/>
        </w:numPr>
      </w:pPr>
      <w:r w:rsidRPr="00C2718A">
        <w:rPr>
          <w:b/>
          <w:bCs/>
        </w:rPr>
        <w:t>Misdiagnosis:</w:t>
      </w:r>
      <w:r w:rsidRPr="00C2718A">
        <w:t xml:space="preserve"> Missing clinical history may obscure relevant patterns, leading to incorrect conclusions.</w:t>
      </w:r>
    </w:p>
    <w:p w14:paraId="47D4365D" w14:textId="77777777" w:rsidR="00C2718A" w:rsidRPr="00C2718A" w:rsidRDefault="00C2718A" w:rsidP="00C2718A">
      <w:pPr>
        <w:numPr>
          <w:ilvl w:val="0"/>
          <w:numId w:val="6"/>
        </w:numPr>
      </w:pPr>
      <w:r w:rsidRPr="00C2718A">
        <w:rPr>
          <w:b/>
          <w:bCs/>
        </w:rPr>
        <w:t>Medication errors:</w:t>
      </w:r>
      <w:r w:rsidRPr="00C2718A">
        <w:t xml:space="preserve"> Incomplete medication lists can hide potential drug interactions or contraindications.</w:t>
      </w:r>
    </w:p>
    <w:p w14:paraId="33365797" w14:textId="77777777" w:rsidR="00C2718A" w:rsidRPr="00C2718A" w:rsidRDefault="00C2718A" w:rsidP="00C2718A">
      <w:pPr>
        <w:numPr>
          <w:ilvl w:val="0"/>
          <w:numId w:val="6"/>
        </w:numPr>
      </w:pPr>
      <w:r w:rsidRPr="00C2718A">
        <w:rPr>
          <w:b/>
          <w:bCs/>
        </w:rPr>
        <w:t>Delayed treatment:</w:t>
      </w:r>
      <w:r w:rsidRPr="00C2718A">
        <w:t xml:space="preserve"> Clinicians may need to reconstruct patient history, delaying urgent interventions.</w:t>
      </w:r>
    </w:p>
    <w:p w14:paraId="46CB1279" w14:textId="77777777" w:rsidR="00C2718A" w:rsidRPr="00C2718A" w:rsidRDefault="00C2718A" w:rsidP="00C2718A">
      <w:pPr>
        <w:numPr>
          <w:ilvl w:val="0"/>
          <w:numId w:val="6"/>
        </w:numPr>
      </w:pPr>
      <w:r w:rsidRPr="00C2718A">
        <w:rPr>
          <w:b/>
          <w:bCs/>
        </w:rPr>
        <w:t>Fragmented care:</w:t>
      </w:r>
      <w:r w:rsidRPr="00C2718A">
        <w:t xml:space="preserve"> Poor documentation disrupts coordination between primary care providers, specialists, and hospital systems.</w:t>
      </w:r>
    </w:p>
    <w:p w14:paraId="779084E5" w14:textId="77777777" w:rsidR="00C2718A" w:rsidRPr="00C2718A" w:rsidRDefault="00C2718A" w:rsidP="00C2718A">
      <w:r w:rsidRPr="00C2718A">
        <w:t>The legal and financial implications are also substantial. Delayed diagnosis constitutes a significant proportion of medical malpractice litigation. In addition, coding inaccuracies and incomplete documentation result in claim denials, reimbursement delays, revenue losses, and reputational harm for healthcare institutions.</w:t>
      </w:r>
    </w:p>
    <w:p w14:paraId="7E473654" w14:textId="77777777" w:rsidR="00C2718A" w:rsidRPr="00C2718A" w:rsidRDefault="00C2718A" w:rsidP="00C2718A">
      <w:r w:rsidRPr="00C2718A">
        <w:t>Furthermore, incomplete documentation undermines regulatory compliance and quality reporting metrics, which are increasingly tied to reimbursement and accreditation standards.</w:t>
      </w:r>
    </w:p>
    <w:p w14:paraId="0CFC3F83" w14:textId="77777777" w:rsidR="00C2718A" w:rsidRPr="00C2718A" w:rsidRDefault="00C2718A" w:rsidP="00C2718A">
      <w:r w:rsidRPr="00C2718A">
        <w:t>The evidence clearly demonstrates that documentation integrity is not merely administrative—it is foundational to patient safety, clinical efficiency, and institutional sustainability.</w:t>
      </w:r>
    </w:p>
    <w:p w14:paraId="441D35F8" w14:textId="77777777" w:rsidR="00C2718A" w:rsidRPr="00C2718A" w:rsidRDefault="00000000" w:rsidP="00C2718A">
      <w:r>
        <w:pict w14:anchorId="7C70450D">
          <v:rect id="_x0000_i1034" style="width:0;height:1.5pt" o:hralign="center" o:hrstd="t" o:hr="t" fillcolor="#a0a0a0" stroked="f"/>
        </w:pict>
      </w:r>
    </w:p>
    <w:p w14:paraId="2FAC3978" w14:textId="77777777" w:rsidR="00C2718A" w:rsidRPr="00C2718A" w:rsidRDefault="00C2718A" w:rsidP="00C2718A">
      <w:pPr>
        <w:rPr>
          <w:b/>
          <w:bCs/>
        </w:rPr>
      </w:pPr>
      <w:r w:rsidRPr="00C2718A">
        <w:rPr>
          <w:b/>
          <w:bCs/>
        </w:rPr>
        <w:t>4. AUTOMATED MEDICAL CODING: STATE OF THE ART</w:t>
      </w:r>
    </w:p>
    <w:p w14:paraId="7D258A48" w14:textId="77777777" w:rsidR="00C2718A" w:rsidRPr="00C2718A" w:rsidRDefault="00C2718A" w:rsidP="00C2718A">
      <w:pPr>
        <w:rPr>
          <w:b/>
          <w:bCs/>
        </w:rPr>
      </w:pPr>
      <w:r w:rsidRPr="00C2718A">
        <w:rPr>
          <w:b/>
          <w:bCs/>
        </w:rPr>
        <w:t>4.1 Problem Formulation and Technical Challenges</w:t>
      </w:r>
    </w:p>
    <w:p w14:paraId="2436D642" w14:textId="77777777" w:rsidR="00C2718A" w:rsidRPr="00C2718A" w:rsidRDefault="00C2718A" w:rsidP="00C2718A">
      <w:r w:rsidRPr="00C2718A">
        <w:t>Automated ICD coding is formally framed as an extreme multi-label text classification problem. Given a clinical document—such as a discharge summary—the objective is to predict a subset of relevant diagnostic codes from a vocabulary containing tens of thousands of possible labels.</w:t>
      </w:r>
    </w:p>
    <w:p w14:paraId="66C65D3E" w14:textId="77777777" w:rsidR="00C2718A" w:rsidRPr="00C2718A" w:rsidRDefault="00C2718A" w:rsidP="00C2718A">
      <w:r w:rsidRPr="00C2718A">
        <w:lastRenderedPageBreak/>
        <w:t>ICD-10 includes more than 70,000 codes, creating a highly complex prediction space. Several technical challenges define this problem:</w:t>
      </w:r>
    </w:p>
    <w:p w14:paraId="62F4075C" w14:textId="77777777" w:rsidR="00C2718A" w:rsidRPr="00C2718A" w:rsidRDefault="00C2718A" w:rsidP="00C2718A">
      <w:pPr>
        <w:numPr>
          <w:ilvl w:val="0"/>
          <w:numId w:val="7"/>
        </w:numPr>
      </w:pPr>
      <w:r w:rsidRPr="00C2718A">
        <w:rPr>
          <w:b/>
          <w:bCs/>
        </w:rPr>
        <w:t>Extreme label space:</w:t>
      </w:r>
      <w:r w:rsidRPr="00C2718A">
        <w:t xml:space="preserve"> Thousands of possible codes must be considered simultaneously.</w:t>
      </w:r>
    </w:p>
    <w:p w14:paraId="46CB4D95" w14:textId="77777777" w:rsidR="00C2718A" w:rsidRPr="00C2718A" w:rsidRDefault="00C2718A" w:rsidP="00C2718A">
      <w:pPr>
        <w:numPr>
          <w:ilvl w:val="0"/>
          <w:numId w:val="7"/>
        </w:numPr>
      </w:pPr>
      <w:r w:rsidRPr="00C2718A">
        <w:rPr>
          <w:b/>
          <w:bCs/>
        </w:rPr>
        <w:t>Long input sequences:</w:t>
      </w:r>
      <w:r w:rsidRPr="00C2718A">
        <w:t xml:space="preserve"> Clinical documents frequently exceed 2,000 tokens, surpassing the limits of standard transformer models.</w:t>
      </w:r>
    </w:p>
    <w:p w14:paraId="006C1BF5" w14:textId="77777777" w:rsidR="00C2718A" w:rsidRPr="00C2718A" w:rsidRDefault="00C2718A" w:rsidP="00C2718A">
      <w:pPr>
        <w:numPr>
          <w:ilvl w:val="0"/>
          <w:numId w:val="7"/>
        </w:numPr>
      </w:pPr>
      <w:r w:rsidRPr="00C2718A">
        <w:rPr>
          <w:b/>
          <w:bCs/>
        </w:rPr>
        <w:t>Unstructured medical language:</w:t>
      </w:r>
      <w:r w:rsidRPr="00C2718A">
        <w:t xml:space="preserve"> Clinical notes contain abbreviations, domain-specific terminology, and inconsistent formatting.</w:t>
      </w:r>
    </w:p>
    <w:p w14:paraId="4E793CC7" w14:textId="77777777" w:rsidR="00C2718A" w:rsidRPr="00C2718A" w:rsidRDefault="00C2718A" w:rsidP="00C2718A">
      <w:pPr>
        <w:numPr>
          <w:ilvl w:val="0"/>
          <w:numId w:val="7"/>
        </w:numPr>
      </w:pPr>
      <w:r w:rsidRPr="00C2718A">
        <w:rPr>
          <w:b/>
          <w:bCs/>
        </w:rPr>
        <w:t>Severe label imbalance:</w:t>
      </w:r>
      <w:r w:rsidRPr="00C2718A">
        <w:t xml:space="preserve"> Over half of ICD codes appear fewer than ten times in training datasets.</w:t>
      </w:r>
    </w:p>
    <w:p w14:paraId="1C1D6FAB" w14:textId="77777777" w:rsidR="00C2718A" w:rsidRPr="00C2718A" w:rsidRDefault="00C2718A" w:rsidP="00C2718A">
      <w:pPr>
        <w:numPr>
          <w:ilvl w:val="0"/>
          <w:numId w:val="7"/>
        </w:numPr>
      </w:pPr>
      <w:r w:rsidRPr="00C2718A">
        <w:rPr>
          <w:b/>
          <w:bCs/>
        </w:rPr>
        <w:t>Hierarchical structure:</w:t>
      </w:r>
      <w:r w:rsidRPr="00C2718A">
        <w:t xml:space="preserve"> ICD codes follow parent–child relationships that must be modeled appropriately.</w:t>
      </w:r>
    </w:p>
    <w:p w14:paraId="3051BC1A" w14:textId="77777777" w:rsidR="00C2718A" w:rsidRPr="00C2718A" w:rsidRDefault="00C2718A" w:rsidP="00C2718A">
      <w:pPr>
        <w:numPr>
          <w:ilvl w:val="0"/>
          <w:numId w:val="7"/>
        </w:numPr>
      </w:pPr>
      <w:r w:rsidRPr="00C2718A">
        <w:rPr>
          <w:b/>
          <w:bCs/>
        </w:rPr>
        <w:t>Multi-label dependencies:</w:t>
      </w:r>
      <w:r w:rsidRPr="00C2718A">
        <w:t xml:space="preserve"> Comorbidities create interdependent coding patterns.</w:t>
      </w:r>
    </w:p>
    <w:p w14:paraId="4AAA0823" w14:textId="77777777" w:rsidR="00C2718A" w:rsidRPr="00C2718A" w:rsidRDefault="00C2718A" w:rsidP="00C2718A">
      <w:pPr>
        <w:numPr>
          <w:ilvl w:val="0"/>
          <w:numId w:val="7"/>
        </w:numPr>
      </w:pPr>
      <w:r w:rsidRPr="00C2718A">
        <w:rPr>
          <w:b/>
          <w:bCs/>
        </w:rPr>
        <w:t>Domain mismatch:</w:t>
      </w:r>
      <w:r w:rsidRPr="00C2718A">
        <w:t xml:space="preserve"> General-purpose pre-trained language models may not fully capture clinical language nuances.</w:t>
      </w:r>
    </w:p>
    <w:p w14:paraId="7807069F" w14:textId="77777777" w:rsidR="00C2718A" w:rsidRPr="00C2718A" w:rsidRDefault="00C2718A" w:rsidP="00C2718A">
      <w:r w:rsidRPr="00C2718A">
        <w:t>These challenges collectively make automated medical coding one of the most demanding tasks in clinical natural language processing.</w:t>
      </w:r>
    </w:p>
    <w:p w14:paraId="4095EEC8" w14:textId="77777777" w:rsidR="00C2718A" w:rsidRPr="00C2718A" w:rsidRDefault="00000000" w:rsidP="00C2718A">
      <w:r>
        <w:pict w14:anchorId="7A160D36">
          <v:rect id="_x0000_i1035" style="width:0;height:1.5pt" o:hralign="center" o:hrstd="t" o:hr="t" fillcolor="#a0a0a0" stroked="f"/>
        </w:pict>
      </w:r>
    </w:p>
    <w:p w14:paraId="52F65395" w14:textId="77777777" w:rsidR="00C2718A" w:rsidRPr="00C2718A" w:rsidRDefault="00C2718A" w:rsidP="00C2718A">
      <w:pPr>
        <w:rPr>
          <w:b/>
          <w:bCs/>
        </w:rPr>
      </w:pPr>
      <w:r w:rsidRPr="00C2718A">
        <w:rPr>
          <w:b/>
          <w:bCs/>
        </w:rPr>
        <w:t>4.2 Evolution of Deep Learning Approaches</w:t>
      </w:r>
    </w:p>
    <w:p w14:paraId="4EF16EAB" w14:textId="77777777" w:rsidR="00C2718A" w:rsidRPr="00C2718A" w:rsidRDefault="00C2718A" w:rsidP="00C2718A">
      <w:pPr>
        <w:rPr>
          <w:b/>
          <w:bCs/>
        </w:rPr>
      </w:pPr>
      <w:r w:rsidRPr="00C2718A">
        <w:rPr>
          <w:b/>
          <w:bCs/>
        </w:rPr>
        <w:t>Early Deep Learning (2015–2017)</w:t>
      </w:r>
    </w:p>
    <w:p w14:paraId="1F2F7369" w14:textId="77777777" w:rsidR="00C2718A" w:rsidRPr="00C2718A" w:rsidRDefault="00C2718A" w:rsidP="00C2718A">
      <w:r w:rsidRPr="00C2718A">
        <w:t>Initial approaches applied convolutional neural networks (CNNs) and recurrent neural networks (RNNs/LSTMs) to clinical text. These models improved upon traditional machine learning methods but typically treated each ICD label independently, limiting their ability to model label dependencies.</w:t>
      </w:r>
    </w:p>
    <w:p w14:paraId="7A6B3C16" w14:textId="77777777" w:rsidR="00C2718A" w:rsidRPr="00C2718A" w:rsidRDefault="00000000" w:rsidP="00C2718A">
      <w:r>
        <w:pict w14:anchorId="3B05DCCF">
          <v:rect id="_x0000_i1036" style="width:0;height:1.5pt" o:hralign="center" o:hrstd="t" o:hr="t" fillcolor="#a0a0a0" stroked="f"/>
        </w:pict>
      </w:r>
    </w:p>
    <w:p w14:paraId="7EED19FD" w14:textId="77777777" w:rsidR="00C2718A" w:rsidRPr="00C2718A" w:rsidRDefault="00C2718A" w:rsidP="00C2718A">
      <w:pPr>
        <w:rPr>
          <w:b/>
          <w:bCs/>
        </w:rPr>
      </w:pPr>
      <w:r w:rsidRPr="00C2718A">
        <w:rPr>
          <w:b/>
          <w:bCs/>
        </w:rPr>
        <w:t>Attention-Based Models (2017–2019)</w:t>
      </w:r>
    </w:p>
    <w:p w14:paraId="690B04CE" w14:textId="77777777" w:rsidR="00C2718A" w:rsidRPr="00C2718A" w:rsidRDefault="00C2718A" w:rsidP="00C2718A">
      <w:r w:rsidRPr="00C2718A">
        <w:t>The introduction of label-wise attention mechanisms marked a significant breakthrough. The Convolutional Attention for Multi-Label (CAML) model generated label-specific document representations by learning separate attention distributions for each ICD code. This allowed models to focus on text segments most relevant to specific diagnoses.</w:t>
      </w:r>
    </w:p>
    <w:p w14:paraId="66C44373" w14:textId="77777777" w:rsidR="00C2718A" w:rsidRPr="00C2718A" w:rsidRDefault="00C2718A" w:rsidP="00C2718A">
      <w:r w:rsidRPr="00C2718A">
        <w:t>CAML and its variants achieved state-of-the-art performance on the MIMIC-III benchmark and established attention mechanisms as a core architectural component in medical coding models.</w:t>
      </w:r>
    </w:p>
    <w:p w14:paraId="125C9335" w14:textId="77777777" w:rsidR="00C2718A" w:rsidRPr="00C2718A" w:rsidRDefault="00000000" w:rsidP="00C2718A">
      <w:r>
        <w:lastRenderedPageBreak/>
        <w:pict w14:anchorId="6AF4C557">
          <v:rect id="_x0000_i1037" style="width:0;height:1.5pt" o:hralign="center" o:hrstd="t" o:hr="t" fillcolor="#a0a0a0" stroked="f"/>
        </w:pict>
      </w:r>
    </w:p>
    <w:p w14:paraId="04881879" w14:textId="77777777" w:rsidR="00C2718A" w:rsidRPr="00C2718A" w:rsidRDefault="00C2718A" w:rsidP="00C2718A">
      <w:pPr>
        <w:rPr>
          <w:b/>
          <w:bCs/>
        </w:rPr>
      </w:pPr>
      <w:r w:rsidRPr="00C2718A">
        <w:rPr>
          <w:b/>
          <w:bCs/>
        </w:rPr>
        <w:t>Hierarchical Models (2019–2021)</w:t>
      </w:r>
    </w:p>
    <w:p w14:paraId="741F809E" w14:textId="77777777" w:rsidR="00C2718A" w:rsidRPr="00C2718A" w:rsidRDefault="00C2718A" w:rsidP="00C2718A">
      <w:r w:rsidRPr="00C2718A">
        <w:t>Hierarchical Label-wise Attention Networks (HLAN) extended this framework by incorporating multi-level attention mechanisms aligned with the hierarchical structure of ICD codes. These models improved rare code performance and better reflected the human coding workflow.</w:t>
      </w:r>
    </w:p>
    <w:p w14:paraId="7796231C" w14:textId="77777777" w:rsidR="00C2718A" w:rsidRPr="00C2718A" w:rsidRDefault="00000000" w:rsidP="00C2718A">
      <w:r>
        <w:pict w14:anchorId="4B439A22">
          <v:rect id="_x0000_i1038" style="width:0;height:1.5pt" o:hralign="center" o:hrstd="t" o:hr="t" fillcolor="#a0a0a0" stroked="f"/>
        </w:pict>
      </w:r>
    </w:p>
    <w:p w14:paraId="55CDD0CC" w14:textId="77777777" w:rsidR="00C2718A" w:rsidRPr="00C2718A" w:rsidRDefault="00C2718A" w:rsidP="00C2718A">
      <w:pPr>
        <w:rPr>
          <w:b/>
          <w:bCs/>
        </w:rPr>
      </w:pPr>
      <w:r w:rsidRPr="00C2718A">
        <w:rPr>
          <w:b/>
          <w:bCs/>
        </w:rPr>
        <w:t>Pre-trained Language Models (2020–2022)</w:t>
      </w:r>
    </w:p>
    <w:p w14:paraId="53D0040A" w14:textId="77777777" w:rsidR="00C2718A" w:rsidRPr="00C2718A" w:rsidRDefault="00C2718A" w:rsidP="00C2718A">
      <w:r w:rsidRPr="00C2718A">
        <w:t>The integration of transformer-based pre-trained language models (PLMs) represented another major advancement. Models such as PLM-ICD combined label-wise attention, hierarchical processing, and clinical-domain pre-training. These approaches demonstrated that properly adapted transformers could outperform earlier specialized architectures.</w:t>
      </w:r>
    </w:p>
    <w:p w14:paraId="6E37DCFB" w14:textId="77777777" w:rsidR="00C2718A" w:rsidRPr="00C2718A" w:rsidRDefault="00000000" w:rsidP="00C2718A">
      <w:r>
        <w:pict w14:anchorId="7B7CEA2E">
          <v:rect id="_x0000_i1039" style="width:0;height:1.5pt" o:hralign="center" o:hrstd="t" o:hr="t" fillcolor="#a0a0a0" stroked="f"/>
        </w:pict>
      </w:r>
    </w:p>
    <w:p w14:paraId="702571DB" w14:textId="77777777" w:rsidR="00C2718A" w:rsidRPr="00C2718A" w:rsidRDefault="00C2718A" w:rsidP="00C2718A">
      <w:pPr>
        <w:rPr>
          <w:b/>
          <w:bCs/>
        </w:rPr>
      </w:pPr>
      <w:r w:rsidRPr="00C2718A">
        <w:rPr>
          <w:b/>
          <w:bCs/>
        </w:rPr>
        <w:t>Efficient Transformers (2022–2024)</w:t>
      </w:r>
    </w:p>
    <w:p w14:paraId="678DD551" w14:textId="77777777" w:rsidR="00C2718A" w:rsidRPr="00C2718A" w:rsidRDefault="00C2718A" w:rsidP="00C2718A">
      <w:r w:rsidRPr="00C2718A">
        <w:t>To address long-document limitations, models such as ClinicalLongformer and ClinicalBigBird introduced sparse attention mechanisms capable of processing sequences exceeding 4,096 tokens. These architectures significantly reduced truncation-related information loss.</w:t>
      </w:r>
    </w:p>
    <w:p w14:paraId="473D80E2" w14:textId="77777777" w:rsidR="00C2718A" w:rsidRPr="00C2718A" w:rsidRDefault="00000000" w:rsidP="00C2718A">
      <w:r>
        <w:pict w14:anchorId="0230F321">
          <v:rect id="_x0000_i1040" style="width:0;height:1.5pt" o:hralign="center" o:hrstd="t" o:hr="t" fillcolor="#a0a0a0" stroked="f"/>
        </w:pict>
      </w:r>
    </w:p>
    <w:p w14:paraId="1D862CA1" w14:textId="77777777" w:rsidR="00C2718A" w:rsidRPr="00C2718A" w:rsidRDefault="00C2718A" w:rsidP="00C2718A">
      <w:pPr>
        <w:rPr>
          <w:b/>
          <w:bCs/>
        </w:rPr>
      </w:pPr>
      <w:r w:rsidRPr="00C2718A">
        <w:rPr>
          <w:b/>
          <w:bCs/>
        </w:rPr>
        <w:t>Knowledge-Integrated Approaches (2023–2025)</w:t>
      </w:r>
    </w:p>
    <w:p w14:paraId="3F6ADDC0" w14:textId="77777777" w:rsidR="00C2718A" w:rsidRPr="00C2718A" w:rsidRDefault="00C2718A" w:rsidP="00C2718A">
      <w:r w:rsidRPr="00C2718A">
        <w:t>More recent approaches incorporate structured medical knowledge directly into model training. Frameworks such as GKI-ICD integrate ICD descriptions, hierarchical relationships, and synonyms through multi-task learning strategies. These methods show improved performance, particularly for rare and underrepresented codes.</w:t>
      </w:r>
    </w:p>
    <w:p w14:paraId="71F36220" w14:textId="77777777" w:rsidR="00C2718A" w:rsidRPr="00C2718A" w:rsidRDefault="00C2718A" w:rsidP="00C2718A">
      <w:pPr>
        <w:rPr>
          <w:b/>
          <w:bCs/>
        </w:rPr>
      </w:pPr>
      <w:r w:rsidRPr="00C2718A">
        <w:rPr>
          <w:b/>
          <w:bCs/>
        </w:rPr>
        <w:t>4.3 Addressing Rare Codes and Long-Tail Distribution</w:t>
      </w:r>
    </w:p>
    <w:p w14:paraId="21085B90" w14:textId="77777777" w:rsidR="00C2718A" w:rsidRPr="00C2718A" w:rsidRDefault="00C2718A" w:rsidP="00C2718A">
      <w:r w:rsidRPr="00C2718A">
        <w:t>One of the most persistent challenges in automated ICD coding is the extreme imbalance in code frequencies. In most benchmark datasets, thousands of ICD codes appear only a handful of times—or not at all—during training. This long-tail distribution significantly limits model generalization.</w:t>
      </w:r>
    </w:p>
    <w:p w14:paraId="58AD798E" w14:textId="77777777" w:rsidR="00C2718A" w:rsidRPr="00C2718A" w:rsidRDefault="00C2718A" w:rsidP="00C2718A">
      <w:r w:rsidRPr="00C2718A">
        <w:t>Several strategies have been proposed to address this issue.</w:t>
      </w:r>
    </w:p>
    <w:p w14:paraId="121D190D" w14:textId="77777777" w:rsidR="00C2718A" w:rsidRPr="00C2718A" w:rsidRDefault="00C2718A" w:rsidP="00C2718A">
      <w:pPr>
        <w:rPr>
          <w:b/>
          <w:bCs/>
        </w:rPr>
      </w:pPr>
      <w:r w:rsidRPr="00C2718A">
        <w:rPr>
          <w:b/>
          <w:bCs/>
        </w:rPr>
        <w:t>Zero-Shot Learning</w:t>
      </w:r>
    </w:p>
    <w:p w14:paraId="0156C0BF" w14:textId="77777777" w:rsidR="00C2718A" w:rsidRPr="00C2718A" w:rsidRDefault="00C2718A" w:rsidP="00C2718A">
      <w:r w:rsidRPr="00C2718A">
        <w:t>Zero-shot ICD coding aims to predict codes that do not appear in the training data. These approaches leverage semantic information embedded in ICD code descriptions and hierarchical relationships.</w:t>
      </w:r>
    </w:p>
    <w:p w14:paraId="782D1BA0" w14:textId="77777777" w:rsidR="00C2718A" w:rsidRPr="00C2718A" w:rsidRDefault="00C2718A" w:rsidP="00C2718A">
      <w:r w:rsidRPr="00C2718A">
        <w:lastRenderedPageBreak/>
        <w:t>Generalized zero-shot frameworks synthesize latent feature representations using ICD textual descriptions and structural metadata. Some methods incorporate generative adversarial networks to approximate unseen class distributions. Although performance remains lower than frequent-code prediction, reported F1 scores exceeding 20% on zero-shot labels represent meaningful progress in this domain.</w:t>
      </w:r>
    </w:p>
    <w:p w14:paraId="7589CAD3" w14:textId="77777777" w:rsidR="00C2718A" w:rsidRPr="00C2718A" w:rsidRDefault="00000000" w:rsidP="00C2718A">
      <w:r>
        <w:pict w14:anchorId="5873A94B">
          <v:rect id="_x0000_i1041" style="width:0;height:1.5pt" o:hralign="center" o:hrstd="t" o:hr="t" fillcolor="#a0a0a0" stroked="f"/>
        </w:pict>
      </w:r>
    </w:p>
    <w:p w14:paraId="4236F637" w14:textId="77777777" w:rsidR="00C2718A" w:rsidRPr="00C2718A" w:rsidRDefault="00C2718A" w:rsidP="00C2718A">
      <w:pPr>
        <w:rPr>
          <w:b/>
          <w:bCs/>
        </w:rPr>
      </w:pPr>
      <w:r w:rsidRPr="00C2718A">
        <w:rPr>
          <w:b/>
          <w:bCs/>
        </w:rPr>
        <w:t>Synthetic Data Generation</w:t>
      </w:r>
    </w:p>
    <w:p w14:paraId="519075AB" w14:textId="77777777" w:rsidR="00C2718A" w:rsidRPr="00C2718A" w:rsidRDefault="00C2718A" w:rsidP="00C2718A">
      <w:r w:rsidRPr="00C2718A">
        <w:t>Recent studies employ large language models (LLMs) to generate synthetic discharge summaries for underrepresented codes. These synthetic notes incorporate:</w:t>
      </w:r>
    </w:p>
    <w:p w14:paraId="2DFF0B39" w14:textId="77777777" w:rsidR="00C2718A" w:rsidRPr="00C2718A" w:rsidRDefault="00C2718A" w:rsidP="00C2718A">
      <w:pPr>
        <w:numPr>
          <w:ilvl w:val="0"/>
          <w:numId w:val="8"/>
        </w:numPr>
      </w:pPr>
      <w:r w:rsidRPr="00C2718A">
        <w:t>Official ICD descriptions</w:t>
      </w:r>
    </w:p>
    <w:p w14:paraId="2C5E44FA" w14:textId="77777777" w:rsidR="00C2718A" w:rsidRPr="00C2718A" w:rsidRDefault="00C2718A" w:rsidP="00C2718A">
      <w:pPr>
        <w:numPr>
          <w:ilvl w:val="0"/>
          <w:numId w:val="8"/>
        </w:numPr>
      </w:pPr>
      <w:r w:rsidRPr="00C2718A">
        <w:t>Hierarchical context</w:t>
      </w:r>
    </w:p>
    <w:p w14:paraId="3788F84C" w14:textId="77777777" w:rsidR="00C2718A" w:rsidRPr="00C2718A" w:rsidRDefault="00C2718A" w:rsidP="00C2718A">
      <w:pPr>
        <w:numPr>
          <w:ilvl w:val="0"/>
          <w:numId w:val="8"/>
        </w:numPr>
      </w:pPr>
      <w:r w:rsidRPr="00C2718A">
        <w:t>Realistic comorbidity patterns</w:t>
      </w:r>
    </w:p>
    <w:p w14:paraId="1CAA4E68" w14:textId="77777777" w:rsidR="00C2718A" w:rsidRPr="00C2718A" w:rsidRDefault="00C2718A" w:rsidP="00C2718A">
      <w:pPr>
        <w:numPr>
          <w:ilvl w:val="0"/>
          <w:numId w:val="8"/>
        </w:numPr>
      </w:pPr>
      <w:r w:rsidRPr="00C2718A">
        <w:t>Clinically plausible narratives</w:t>
      </w:r>
    </w:p>
    <w:p w14:paraId="4C8EBA9B" w14:textId="77777777" w:rsidR="00C2718A" w:rsidRPr="00C2718A" w:rsidRDefault="00C2718A" w:rsidP="00C2718A">
      <w:r w:rsidRPr="00C2718A">
        <w:t>When carefully validated, synthetic augmentation improves model exposure to rare conditions without requiring additional patient data collection.</w:t>
      </w:r>
    </w:p>
    <w:p w14:paraId="1A99A972" w14:textId="77777777" w:rsidR="00C2718A" w:rsidRPr="00C2718A" w:rsidRDefault="00000000" w:rsidP="00C2718A">
      <w:r>
        <w:pict w14:anchorId="68328E71">
          <v:rect id="_x0000_i1042" style="width:0;height:1.5pt" o:hralign="center" o:hrstd="t" o:hr="t" fillcolor="#a0a0a0" stroked="f"/>
        </w:pict>
      </w:r>
    </w:p>
    <w:p w14:paraId="14064BCA" w14:textId="77777777" w:rsidR="00C2718A" w:rsidRPr="00C2718A" w:rsidRDefault="00C2718A" w:rsidP="00C2718A">
      <w:pPr>
        <w:rPr>
          <w:b/>
          <w:bCs/>
        </w:rPr>
      </w:pPr>
      <w:r w:rsidRPr="00C2718A">
        <w:rPr>
          <w:b/>
          <w:bCs/>
        </w:rPr>
        <w:t>Re-balancing Strategies</w:t>
      </w:r>
    </w:p>
    <w:p w14:paraId="509641E6" w14:textId="77777777" w:rsidR="00C2718A" w:rsidRPr="00C2718A" w:rsidRDefault="00C2718A" w:rsidP="00C2718A">
      <w:r w:rsidRPr="00C2718A">
        <w:t>Traditional class imbalance techniques are also applied in ICD coding, including:</w:t>
      </w:r>
    </w:p>
    <w:p w14:paraId="2F6AF344" w14:textId="77777777" w:rsidR="00C2718A" w:rsidRPr="00C2718A" w:rsidRDefault="00C2718A" w:rsidP="00C2718A">
      <w:pPr>
        <w:numPr>
          <w:ilvl w:val="0"/>
          <w:numId w:val="9"/>
        </w:numPr>
      </w:pPr>
      <w:r w:rsidRPr="00C2718A">
        <w:t>Oversampling minority classes</w:t>
      </w:r>
    </w:p>
    <w:p w14:paraId="350341F5" w14:textId="77777777" w:rsidR="00C2718A" w:rsidRPr="00C2718A" w:rsidRDefault="00C2718A" w:rsidP="00C2718A">
      <w:pPr>
        <w:numPr>
          <w:ilvl w:val="0"/>
          <w:numId w:val="9"/>
        </w:numPr>
      </w:pPr>
      <w:r w:rsidRPr="00C2718A">
        <w:t>Undersampling majority classes</w:t>
      </w:r>
    </w:p>
    <w:p w14:paraId="59062E11" w14:textId="77777777" w:rsidR="00C2718A" w:rsidRPr="00C2718A" w:rsidRDefault="00C2718A" w:rsidP="00C2718A">
      <w:pPr>
        <w:numPr>
          <w:ilvl w:val="0"/>
          <w:numId w:val="9"/>
        </w:numPr>
      </w:pPr>
      <w:r w:rsidRPr="00C2718A">
        <w:t>Weighted loss functions</w:t>
      </w:r>
    </w:p>
    <w:p w14:paraId="5D2228C0" w14:textId="77777777" w:rsidR="00C2718A" w:rsidRPr="00C2718A" w:rsidRDefault="00C2718A" w:rsidP="00C2718A">
      <w:r w:rsidRPr="00C2718A">
        <w:t>However, these methods require careful tuning. Excessive oversampling may lead to overfitting rare codes, while aggressive reweighting can degrade performance on high-frequency codes. Achieving balance remains an open research challenge.</w:t>
      </w:r>
    </w:p>
    <w:p w14:paraId="02824125" w14:textId="77777777" w:rsidR="00C2718A" w:rsidRPr="00C2718A" w:rsidRDefault="00000000" w:rsidP="00C2718A">
      <w:r>
        <w:pict w14:anchorId="768F69FA">
          <v:rect id="_x0000_i1043" style="width:0;height:1.5pt" o:hralign="center" o:hrstd="t" o:hr="t" fillcolor="#a0a0a0" stroked="f"/>
        </w:pict>
      </w:r>
    </w:p>
    <w:p w14:paraId="5A09D16D" w14:textId="77777777" w:rsidR="00C2718A" w:rsidRPr="00C2718A" w:rsidRDefault="00C2718A" w:rsidP="00C2718A">
      <w:pPr>
        <w:rPr>
          <w:b/>
          <w:bCs/>
        </w:rPr>
      </w:pPr>
      <w:r w:rsidRPr="00C2718A">
        <w:rPr>
          <w:b/>
          <w:bCs/>
        </w:rPr>
        <w:t>4.4 Comparative Performance Analysis</w:t>
      </w:r>
    </w:p>
    <w:p w14:paraId="45B42A27" w14:textId="77777777" w:rsidR="00C2718A" w:rsidRPr="00C2718A" w:rsidRDefault="00C2718A" w:rsidP="00C2718A">
      <w:r w:rsidRPr="00C2718A">
        <w:t>The following table summarizes representative state-of-the-art performance results on the MIMIC-III Full dataset.</w:t>
      </w:r>
    </w:p>
    <w:p w14:paraId="2BC1E5B2" w14:textId="77777777" w:rsidR="00C2718A" w:rsidRPr="00C2718A" w:rsidRDefault="00C2718A" w:rsidP="00C2718A">
      <w:r w:rsidRPr="00C2718A">
        <w:t>You can paste this directly into Word and convert it into a table (Insert → Table → Convert Text to Table using tabs).</w:t>
      </w:r>
    </w:p>
    <w:p w14:paraId="4895BB19" w14:textId="77777777" w:rsidR="00C2718A" w:rsidRPr="00C2718A" w:rsidRDefault="00000000" w:rsidP="00C2718A">
      <w:r>
        <w:pict w14:anchorId="76E18F5B">
          <v:rect id="_x0000_i104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547"/>
        <w:gridCol w:w="946"/>
        <w:gridCol w:w="1006"/>
        <w:gridCol w:w="3666"/>
      </w:tblGrid>
      <w:tr w:rsidR="00C2718A" w:rsidRPr="00C2718A" w14:paraId="1D73CB42" w14:textId="77777777">
        <w:trPr>
          <w:tblHeader/>
          <w:tblCellSpacing w:w="15" w:type="dxa"/>
        </w:trPr>
        <w:tc>
          <w:tcPr>
            <w:tcW w:w="0" w:type="auto"/>
            <w:vAlign w:val="center"/>
            <w:hideMark/>
          </w:tcPr>
          <w:p w14:paraId="33379B54" w14:textId="77777777" w:rsidR="00C2718A" w:rsidRPr="00C2718A" w:rsidRDefault="00C2718A" w:rsidP="00C2718A">
            <w:pPr>
              <w:rPr>
                <w:b/>
                <w:bCs/>
              </w:rPr>
            </w:pPr>
            <w:r w:rsidRPr="00C2718A">
              <w:rPr>
                <w:b/>
                <w:bCs/>
              </w:rPr>
              <w:lastRenderedPageBreak/>
              <w:t>Method</w:t>
            </w:r>
          </w:p>
        </w:tc>
        <w:tc>
          <w:tcPr>
            <w:tcW w:w="0" w:type="auto"/>
            <w:vAlign w:val="center"/>
            <w:hideMark/>
          </w:tcPr>
          <w:p w14:paraId="774EB8E8" w14:textId="77777777" w:rsidR="00C2718A" w:rsidRPr="00C2718A" w:rsidRDefault="00C2718A" w:rsidP="00C2718A">
            <w:pPr>
              <w:rPr>
                <w:b/>
                <w:bCs/>
              </w:rPr>
            </w:pPr>
            <w:r w:rsidRPr="00C2718A">
              <w:rPr>
                <w:b/>
                <w:bCs/>
              </w:rPr>
              <w:t>Year</w:t>
            </w:r>
          </w:p>
        </w:tc>
        <w:tc>
          <w:tcPr>
            <w:tcW w:w="0" w:type="auto"/>
            <w:vAlign w:val="center"/>
            <w:hideMark/>
          </w:tcPr>
          <w:p w14:paraId="2218A2DB" w14:textId="77777777" w:rsidR="00C2718A" w:rsidRPr="00C2718A" w:rsidRDefault="00C2718A" w:rsidP="00C2718A">
            <w:pPr>
              <w:rPr>
                <w:b/>
                <w:bCs/>
              </w:rPr>
            </w:pPr>
            <w:r w:rsidRPr="00C2718A">
              <w:rPr>
                <w:b/>
                <w:bCs/>
              </w:rPr>
              <w:t>Micro-F1</w:t>
            </w:r>
          </w:p>
        </w:tc>
        <w:tc>
          <w:tcPr>
            <w:tcW w:w="0" w:type="auto"/>
            <w:vAlign w:val="center"/>
            <w:hideMark/>
          </w:tcPr>
          <w:p w14:paraId="262C67BA" w14:textId="77777777" w:rsidR="00C2718A" w:rsidRPr="00C2718A" w:rsidRDefault="00C2718A" w:rsidP="00C2718A">
            <w:pPr>
              <w:rPr>
                <w:b/>
                <w:bCs/>
              </w:rPr>
            </w:pPr>
            <w:r w:rsidRPr="00C2718A">
              <w:rPr>
                <w:b/>
                <w:bCs/>
              </w:rPr>
              <w:t>Macro-F1</w:t>
            </w:r>
          </w:p>
        </w:tc>
        <w:tc>
          <w:tcPr>
            <w:tcW w:w="0" w:type="auto"/>
            <w:vAlign w:val="center"/>
            <w:hideMark/>
          </w:tcPr>
          <w:p w14:paraId="10941EF1" w14:textId="77777777" w:rsidR="00C2718A" w:rsidRPr="00C2718A" w:rsidRDefault="00C2718A" w:rsidP="00C2718A">
            <w:pPr>
              <w:rPr>
                <w:b/>
                <w:bCs/>
              </w:rPr>
            </w:pPr>
            <w:r w:rsidRPr="00C2718A">
              <w:rPr>
                <w:b/>
                <w:bCs/>
              </w:rPr>
              <w:t>Key Innovation</w:t>
            </w:r>
          </w:p>
        </w:tc>
      </w:tr>
      <w:tr w:rsidR="00C2718A" w:rsidRPr="00C2718A" w14:paraId="0EAD5194" w14:textId="77777777">
        <w:trPr>
          <w:tblCellSpacing w:w="15" w:type="dxa"/>
        </w:trPr>
        <w:tc>
          <w:tcPr>
            <w:tcW w:w="0" w:type="auto"/>
            <w:vAlign w:val="center"/>
            <w:hideMark/>
          </w:tcPr>
          <w:p w14:paraId="7E49764B" w14:textId="77777777" w:rsidR="00C2718A" w:rsidRPr="00C2718A" w:rsidRDefault="00C2718A" w:rsidP="00C2718A">
            <w:r w:rsidRPr="00C2718A">
              <w:t>CAML</w:t>
            </w:r>
          </w:p>
        </w:tc>
        <w:tc>
          <w:tcPr>
            <w:tcW w:w="0" w:type="auto"/>
            <w:vAlign w:val="center"/>
            <w:hideMark/>
          </w:tcPr>
          <w:p w14:paraId="634C1AD9" w14:textId="77777777" w:rsidR="00C2718A" w:rsidRPr="00C2718A" w:rsidRDefault="00C2718A" w:rsidP="00C2718A">
            <w:r w:rsidRPr="00C2718A">
              <w:t>2017</w:t>
            </w:r>
          </w:p>
        </w:tc>
        <w:tc>
          <w:tcPr>
            <w:tcW w:w="0" w:type="auto"/>
            <w:vAlign w:val="center"/>
            <w:hideMark/>
          </w:tcPr>
          <w:p w14:paraId="79AEDD8E" w14:textId="77777777" w:rsidR="00C2718A" w:rsidRPr="00C2718A" w:rsidRDefault="00C2718A" w:rsidP="00C2718A">
            <w:r w:rsidRPr="00C2718A">
              <w:t>0.543</w:t>
            </w:r>
          </w:p>
        </w:tc>
        <w:tc>
          <w:tcPr>
            <w:tcW w:w="0" w:type="auto"/>
            <w:vAlign w:val="center"/>
            <w:hideMark/>
          </w:tcPr>
          <w:p w14:paraId="447691EA" w14:textId="77777777" w:rsidR="00C2718A" w:rsidRPr="00C2718A" w:rsidRDefault="00C2718A" w:rsidP="00C2718A">
            <w:r w:rsidRPr="00C2718A">
              <w:t>0.237</w:t>
            </w:r>
          </w:p>
        </w:tc>
        <w:tc>
          <w:tcPr>
            <w:tcW w:w="0" w:type="auto"/>
            <w:vAlign w:val="center"/>
            <w:hideMark/>
          </w:tcPr>
          <w:p w14:paraId="13C88545" w14:textId="77777777" w:rsidR="00C2718A" w:rsidRPr="00C2718A" w:rsidRDefault="00C2718A" w:rsidP="00C2718A">
            <w:r w:rsidRPr="00C2718A">
              <w:t>Label-wise attention</w:t>
            </w:r>
          </w:p>
        </w:tc>
      </w:tr>
      <w:tr w:rsidR="00C2718A" w:rsidRPr="00C2718A" w14:paraId="56911447" w14:textId="77777777">
        <w:trPr>
          <w:tblCellSpacing w:w="15" w:type="dxa"/>
        </w:trPr>
        <w:tc>
          <w:tcPr>
            <w:tcW w:w="0" w:type="auto"/>
            <w:vAlign w:val="center"/>
            <w:hideMark/>
          </w:tcPr>
          <w:p w14:paraId="2A1F665F" w14:textId="77777777" w:rsidR="00C2718A" w:rsidRPr="00C2718A" w:rsidRDefault="00C2718A" w:rsidP="00C2718A">
            <w:r w:rsidRPr="00C2718A">
              <w:t>HLAN</w:t>
            </w:r>
          </w:p>
        </w:tc>
        <w:tc>
          <w:tcPr>
            <w:tcW w:w="0" w:type="auto"/>
            <w:vAlign w:val="center"/>
            <w:hideMark/>
          </w:tcPr>
          <w:p w14:paraId="11A7088E" w14:textId="77777777" w:rsidR="00C2718A" w:rsidRPr="00C2718A" w:rsidRDefault="00C2718A" w:rsidP="00C2718A">
            <w:r w:rsidRPr="00C2718A">
              <w:t>2020</w:t>
            </w:r>
          </w:p>
        </w:tc>
        <w:tc>
          <w:tcPr>
            <w:tcW w:w="0" w:type="auto"/>
            <w:vAlign w:val="center"/>
            <w:hideMark/>
          </w:tcPr>
          <w:p w14:paraId="4FFFF259" w14:textId="77777777" w:rsidR="00C2718A" w:rsidRPr="00C2718A" w:rsidRDefault="00C2718A" w:rsidP="00C2718A">
            <w:r w:rsidRPr="00C2718A">
              <w:t>0.555</w:t>
            </w:r>
          </w:p>
        </w:tc>
        <w:tc>
          <w:tcPr>
            <w:tcW w:w="0" w:type="auto"/>
            <w:vAlign w:val="center"/>
            <w:hideMark/>
          </w:tcPr>
          <w:p w14:paraId="2901141B" w14:textId="77777777" w:rsidR="00C2718A" w:rsidRPr="00C2718A" w:rsidRDefault="00C2718A" w:rsidP="00C2718A">
            <w:r w:rsidRPr="00C2718A">
              <w:t>0.255</w:t>
            </w:r>
          </w:p>
        </w:tc>
        <w:tc>
          <w:tcPr>
            <w:tcW w:w="0" w:type="auto"/>
            <w:vAlign w:val="center"/>
            <w:hideMark/>
          </w:tcPr>
          <w:p w14:paraId="296D0622" w14:textId="77777777" w:rsidR="00C2718A" w:rsidRPr="00C2718A" w:rsidRDefault="00C2718A" w:rsidP="00C2718A">
            <w:r w:rsidRPr="00C2718A">
              <w:t>Hierarchical attention</w:t>
            </w:r>
          </w:p>
        </w:tc>
      </w:tr>
      <w:tr w:rsidR="00C2718A" w:rsidRPr="00C2718A" w14:paraId="4BFF0E5D" w14:textId="77777777">
        <w:trPr>
          <w:tblCellSpacing w:w="15" w:type="dxa"/>
        </w:trPr>
        <w:tc>
          <w:tcPr>
            <w:tcW w:w="0" w:type="auto"/>
            <w:vAlign w:val="center"/>
            <w:hideMark/>
          </w:tcPr>
          <w:p w14:paraId="16C3BE0A" w14:textId="77777777" w:rsidR="00C2718A" w:rsidRPr="00C2718A" w:rsidRDefault="00C2718A" w:rsidP="00C2718A">
            <w:r w:rsidRPr="00C2718A">
              <w:t>PLM-ICD</w:t>
            </w:r>
          </w:p>
        </w:tc>
        <w:tc>
          <w:tcPr>
            <w:tcW w:w="0" w:type="auto"/>
            <w:vAlign w:val="center"/>
            <w:hideMark/>
          </w:tcPr>
          <w:p w14:paraId="6E5E3BBB" w14:textId="77777777" w:rsidR="00C2718A" w:rsidRPr="00C2718A" w:rsidRDefault="00C2718A" w:rsidP="00C2718A">
            <w:r w:rsidRPr="00C2718A">
              <w:t>2022</w:t>
            </w:r>
          </w:p>
        </w:tc>
        <w:tc>
          <w:tcPr>
            <w:tcW w:w="0" w:type="auto"/>
            <w:vAlign w:val="center"/>
            <w:hideMark/>
          </w:tcPr>
          <w:p w14:paraId="30265452" w14:textId="77777777" w:rsidR="00C2718A" w:rsidRPr="00C2718A" w:rsidRDefault="00C2718A" w:rsidP="00C2718A">
            <w:r w:rsidRPr="00C2718A">
              <w:t>0.604</w:t>
            </w:r>
          </w:p>
        </w:tc>
        <w:tc>
          <w:tcPr>
            <w:tcW w:w="0" w:type="auto"/>
            <w:vAlign w:val="center"/>
            <w:hideMark/>
          </w:tcPr>
          <w:p w14:paraId="497D8A1B" w14:textId="77777777" w:rsidR="00C2718A" w:rsidRPr="00C2718A" w:rsidRDefault="00C2718A" w:rsidP="00C2718A">
            <w:r w:rsidRPr="00C2718A">
              <w:t>0.289</w:t>
            </w:r>
          </w:p>
        </w:tc>
        <w:tc>
          <w:tcPr>
            <w:tcW w:w="0" w:type="auto"/>
            <w:vAlign w:val="center"/>
            <w:hideMark/>
          </w:tcPr>
          <w:p w14:paraId="7028101D" w14:textId="77777777" w:rsidR="00C2718A" w:rsidRPr="00C2718A" w:rsidRDefault="00C2718A" w:rsidP="00C2718A">
            <w:r w:rsidRPr="00C2718A">
              <w:t>Adapted pre-trained language model</w:t>
            </w:r>
          </w:p>
        </w:tc>
      </w:tr>
      <w:tr w:rsidR="00C2718A" w:rsidRPr="00C2718A" w14:paraId="3AE69F3E" w14:textId="77777777">
        <w:trPr>
          <w:tblCellSpacing w:w="15" w:type="dxa"/>
        </w:trPr>
        <w:tc>
          <w:tcPr>
            <w:tcW w:w="0" w:type="auto"/>
            <w:vAlign w:val="center"/>
            <w:hideMark/>
          </w:tcPr>
          <w:p w14:paraId="12D6D9EF" w14:textId="77777777" w:rsidR="00C2718A" w:rsidRPr="00C2718A" w:rsidRDefault="00C2718A" w:rsidP="00C2718A">
            <w:r w:rsidRPr="00C2718A">
              <w:t>GKI-ICD</w:t>
            </w:r>
          </w:p>
        </w:tc>
        <w:tc>
          <w:tcPr>
            <w:tcW w:w="0" w:type="auto"/>
            <w:vAlign w:val="center"/>
            <w:hideMark/>
          </w:tcPr>
          <w:p w14:paraId="577358A0" w14:textId="77777777" w:rsidR="00C2718A" w:rsidRPr="00C2718A" w:rsidRDefault="00C2718A" w:rsidP="00C2718A">
            <w:r w:rsidRPr="00C2718A">
              <w:t>2024</w:t>
            </w:r>
          </w:p>
        </w:tc>
        <w:tc>
          <w:tcPr>
            <w:tcW w:w="0" w:type="auto"/>
            <w:vAlign w:val="center"/>
            <w:hideMark/>
          </w:tcPr>
          <w:p w14:paraId="7F1BD1CE" w14:textId="77777777" w:rsidR="00C2718A" w:rsidRPr="00C2718A" w:rsidRDefault="00C2718A" w:rsidP="00C2718A">
            <w:r w:rsidRPr="00C2718A">
              <w:t>0.615</w:t>
            </w:r>
          </w:p>
        </w:tc>
        <w:tc>
          <w:tcPr>
            <w:tcW w:w="0" w:type="auto"/>
            <w:vAlign w:val="center"/>
            <w:hideMark/>
          </w:tcPr>
          <w:p w14:paraId="694CCA50" w14:textId="77777777" w:rsidR="00C2718A" w:rsidRPr="00C2718A" w:rsidRDefault="00C2718A" w:rsidP="00C2718A">
            <w:r w:rsidRPr="00C2718A">
              <w:t>0.308</w:t>
            </w:r>
          </w:p>
        </w:tc>
        <w:tc>
          <w:tcPr>
            <w:tcW w:w="0" w:type="auto"/>
            <w:vAlign w:val="center"/>
            <w:hideMark/>
          </w:tcPr>
          <w:p w14:paraId="41FA5048" w14:textId="77777777" w:rsidR="00C2718A" w:rsidRPr="00C2718A" w:rsidRDefault="00C2718A" w:rsidP="00C2718A">
            <w:r w:rsidRPr="00C2718A">
              <w:t>Knowledge injection framework</w:t>
            </w:r>
          </w:p>
        </w:tc>
      </w:tr>
    </w:tbl>
    <w:p w14:paraId="3C77D322" w14:textId="77777777" w:rsidR="00C2718A" w:rsidRPr="00C2718A" w:rsidRDefault="00C2718A" w:rsidP="00C2718A">
      <w:r w:rsidRPr="00C2718A">
        <w:rPr>
          <w:b/>
          <w:bCs/>
        </w:rPr>
        <w:t>Table 1. Comparative performance on the MIMIC-III Full dataset.</w:t>
      </w:r>
    </w:p>
    <w:p w14:paraId="5BEB8F60" w14:textId="77777777" w:rsidR="00C2718A" w:rsidRPr="00C2718A" w:rsidRDefault="00C2718A" w:rsidP="00C2718A">
      <w:r w:rsidRPr="00C2718A">
        <w:t>State-of-the-art systems now achieve micro-F1 scores between 0.60 and 0.65. However, macro-F1 scores remain significantly lower, reflecting persistent difficulty in predicting rare codes.</w:t>
      </w:r>
    </w:p>
    <w:p w14:paraId="76E82F69" w14:textId="77777777" w:rsidR="00C2718A" w:rsidRPr="00C2718A" w:rsidRDefault="00000000" w:rsidP="00C2718A">
      <w:r>
        <w:pict w14:anchorId="464599DB">
          <v:rect id="_x0000_i1045" style="width:0;height:1.5pt" o:hralign="center" o:hrstd="t" o:hr="t" fillcolor="#a0a0a0" stroked="f"/>
        </w:pict>
      </w:r>
    </w:p>
    <w:p w14:paraId="446FD1AB" w14:textId="77777777" w:rsidR="00C2718A" w:rsidRPr="00C2718A" w:rsidRDefault="00C2718A" w:rsidP="00C2718A">
      <w:pPr>
        <w:rPr>
          <w:b/>
          <w:bCs/>
        </w:rPr>
      </w:pPr>
      <w:r w:rsidRPr="00C2718A">
        <w:rPr>
          <w:b/>
          <w:bCs/>
        </w:rPr>
        <w:t>5. BENCHMARK DATASETS AND EVALUATION FRAMEWORKS</w:t>
      </w:r>
    </w:p>
    <w:p w14:paraId="10CB7726" w14:textId="77777777" w:rsidR="00C2718A" w:rsidRPr="00C2718A" w:rsidRDefault="00C2718A" w:rsidP="00C2718A">
      <w:pPr>
        <w:rPr>
          <w:b/>
          <w:bCs/>
        </w:rPr>
      </w:pPr>
      <w:r w:rsidRPr="00C2718A">
        <w:rPr>
          <w:b/>
          <w:bCs/>
        </w:rPr>
        <w:t>5.1 MIMIC Databases</w:t>
      </w:r>
    </w:p>
    <w:p w14:paraId="68A6A11A" w14:textId="77777777" w:rsidR="00C2718A" w:rsidRPr="00C2718A" w:rsidRDefault="00C2718A" w:rsidP="00C2718A">
      <w:r w:rsidRPr="00C2718A">
        <w:t>The MIMIC (Medical Information Mart for Intensive Care) databases serve as the primary benchmarks for automated ICD coding research.</w:t>
      </w:r>
    </w:p>
    <w:p w14:paraId="5B7F5A67" w14:textId="77777777" w:rsidR="00C2718A" w:rsidRPr="00C2718A" w:rsidRDefault="00C2718A" w:rsidP="00C2718A">
      <w:pPr>
        <w:rPr>
          <w:b/>
          <w:bCs/>
        </w:rPr>
      </w:pPr>
      <w:r w:rsidRPr="00C2718A">
        <w:rPr>
          <w:b/>
          <w:bCs/>
        </w:rPr>
        <w:t>MIMIC-III</w:t>
      </w:r>
    </w:p>
    <w:p w14:paraId="3FBC1A34" w14:textId="77777777" w:rsidR="00C2718A" w:rsidRPr="00C2718A" w:rsidRDefault="00C2718A" w:rsidP="00C2718A">
      <w:r w:rsidRPr="00C2718A">
        <w:t>MIMIC-III contains de-identified health data from more than 40,000 intensive care unit (ICU) patients. It includes discharge summaries and associated ICD-9 codes (8,921 unique diagnosis codes). The dataset’s extreme imbalance makes it a realistic and challenging benchmark for multi-label classification research.</w:t>
      </w:r>
    </w:p>
    <w:p w14:paraId="2E460F3D" w14:textId="77777777" w:rsidR="00C2718A" w:rsidRPr="00C2718A" w:rsidRDefault="00000000" w:rsidP="00C2718A">
      <w:r>
        <w:pict w14:anchorId="772C53E0">
          <v:rect id="_x0000_i1046" style="width:0;height:1.5pt" o:hralign="center" o:hrstd="t" o:hr="t" fillcolor="#a0a0a0" stroked="f"/>
        </w:pict>
      </w:r>
    </w:p>
    <w:p w14:paraId="50C3628A" w14:textId="77777777" w:rsidR="00C2718A" w:rsidRPr="00C2718A" w:rsidRDefault="00C2718A" w:rsidP="00C2718A">
      <w:pPr>
        <w:rPr>
          <w:b/>
          <w:bCs/>
        </w:rPr>
      </w:pPr>
      <w:r w:rsidRPr="00C2718A">
        <w:rPr>
          <w:b/>
          <w:bCs/>
        </w:rPr>
        <w:t>MIMIC-IV</w:t>
      </w:r>
    </w:p>
    <w:p w14:paraId="72A817A1" w14:textId="77777777" w:rsidR="00C2718A" w:rsidRPr="00C2718A" w:rsidRDefault="00C2718A" w:rsidP="00C2718A">
      <w:r w:rsidRPr="00C2718A">
        <w:t>Released in 2020, MIMIC-IV expands the dataset to include over 65,000 ICU patients and more than 200,000 emergency department patients. Importantly, it adopts ICD-10-CM coding, increasing label complexity to over 70,000 codes. This transition substantially increases task difficulty while aligning research with current U.S. clinical standards.</w:t>
      </w:r>
    </w:p>
    <w:p w14:paraId="359F70FA" w14:textId="77777777" w:rsidR="00C2718A" w:rsidRPr="00C2718A" w:rsidRDefault="00000000" w:rsidP="00C2718A">
      <w:r>
        <w:pict w14:anchorId="7A9AB919">
          <v:rect id="_x0000_i1047" style="width:0;height:1.5pt" o:hralign="center" o:hrstd="t" o:hr="t" fillcolor="#a0a0a0" stroked="f"/>
        </w:pict>
      </w:r>
    </w:p>
    <w:p w14:paraId="40BDF977" w14:textId="77777777" w:rsidR="00C2718A" w:rsidRPr="00C2718A" w:rsidRDefault="00C2718A" w:rsidP="00C2718A">
      <w:pPr>
        <w:rPr>
          <w:b/>
          <w:bCs/>
        </w:rPr>
      </w:pPr>
      <w:r w:rsidRPr="00C2718A">
        <w:rPr>
          <w:b/>
          <w:bCs/>
        </w:rPr>
        <w:t>5.2 Standardized Benchmarks</w:t>
      </w:r>
    </w:p>
    <w:p w14:paraId="5318317B" w14:textId="77777777" w:rsidR="00C2718A" w:rsidRPr="00C2718A" w:rsidRDefault="00C2718A" w:rsidP="00C2718A">
      <w:r w:rsidRPr="00C2718A">
        <w:t>To promote reproducibility and fair comparison, several standardized subsets and frameworks have been introduced.</w:t>
      </w:r>
    </w:p>
    <w:p w14:paraId="622F210F" w14:textId="77777777" w:rsidR="00C2718A" w:rsidRPr="00C2718A" w:rsidRDefault="00C2718A" w:rsidP="00C2718A">
      <w:pPr>
        <w:numPr>
          <w:ilvl w:val="0"/>
          <w:numId w:val="10"/>
        </w:numPr>
      </w:pPr>
      <w:r w:rsidRPr="00C2718A">
        <w:rPr>
          <w:b/>
          <w:bCs/>
        </w:rPr>
        <w:t>MIMIC-III-50:</w:t>
      </w:r>
      <w:r w:rsidRPr="00C2718A">
        <w:t xml:space="preserve"> Focuses on the 50 most frequent diagnosis codes. This subset simplifies experimentation while retaining multi-label complexity.</w:t>
      </w:r>
    </w:p>
    <w:p w14:paraId="4514336F" w14:textId="77777777" w:rsidR="00C2718A" w:rsidRPr="00C2718A" w:rsidRDefault="00C2718A" w:rsidP="00C2718A">
      <w:pPr>
        <w:numPr>
          <w:ilvl w:val="0"/>
          <w:numId w:val="10"/>
        </w:numPr>
      </w:pPr>
      <w:r w:rsidRPr="00C2718A">
        <w:rPr>
          <w:b/>
          <w:bCs/>
        </w:rPr>
        <w:lastRenderedPageBreak/>
        <w:t>MIMIC-IV-ICD:</w:t>
      </w:r>
      <w:r w:rsidRPr="00C2718A">
        <w:t xml:space="preserve"> Provides standardized preprocessing pipelines, predefined train/validation/test splits, and baseline implementations.</w:t>
      </w:r>
    </w:p>
    <w:p w14:paraId="3306143F" w14:textId="77777777" w:rsidR="00C2718A" w:rsidRPr="00C2718A" w:rsidRDefault="00C2718A" w:rsidP="00C2718A">
      <w:pPr>
        <w:numPr>
          <w:ilvl w:val="0"/>
          <w:numId w:val="10"/>
        </w:numPr>
      </w:pPr>
      <w:r w:rsidRPr="00C2718A">
        <w:rPr>
          <w:b/>
          <w:bCs/>
        </w:rPr>
        <w:t>AnEMIC:</w:t>
      </w:r>
      <w:r w:rsidRPr="00C2718A">
        <w:t xml:space="preserve"> Corrects preprocessing inconsistencies found in earlier benchmarks and offers configurable pipelines.</w:t>
      </w:r>
    </w:p>
    <w:p w14:paraId="0B439672" w14:textId="77777777" w:rsidR="00C2718A" w:rsidRPr="00C2718A" w:rsidRDefault="00C2718A" w:rsidP="00C2718A">
      <w:pPr>
        <w:numPr>
          <w:ilvl w:val="0"/>
          <w:numId w:val="10"/>
        </w:numPr>
      </w:pPr>
      <w:r w:rsidRPr="00C2718A">
        <w:rPr>
          <w:b/>
          <w:bCs/>
        </w:rPr>
        <w:t>MDACE:</w:t>
      </w:r>
      <w:r w:rsidRPr="00C2718A">
        <w:t xml:space="preserve"> Annotates discharge summaries with span-level evidence identifying text segments supporting each code assignment. This enables training and evaluation of explainable coding systems.</w:t>
      </w:r>
    </w:p>
    <w:p w14:paraId="3AEF59EC" w14:textId="77777777" w:rsidR="00C2718A" w:rsidRPr="00C2718A" w:rsidRDefault="00C2718A" w:rsidP="00C2718A">
      <w:r w:rsidRPr="00C2718A">
        <w:t>These resources significantly improve research reproducibility and evaluation consistency.</w:t>
      </w:r>
    </w:p>
    <w:p w14:paraId="0B5989A8" w14:textId="77777777" w:rsidR="00C2718A" w:rsidRPr="00C2718A" w:rsidRDefault="00000000" w:rsidP="00C2718A">
      <w:r>
        <w:pict w14:anchorId="1CBBF6AF">
          <v:rect id="_x0000_i1048" style="width:0;height:1.5pt" o:hralign="center" o:hrstd="t" o:hr="t" fillcolor="#a0a0a0" stroked="f"/>
        </w:pict>
      </w:r>
    </w:p>
    <w:p w14:paraId="05029A1F" w14:textId="77777777" w:rsidR="00C2718A" w:rsidRPr="00C2718A" w:rsidRDefault="00C2718A" w:rsidP="00C2718A">
      <w:pPr>
        <w:rPr>
          <w:b/>
          <w:bCs/>
        </w:rPr>
      </w:pPr>
      <w:r w:rsidRPr="00C2718A">
        <w:rPr>
          <w:b/>
          <w:bCs/>
        </w:rPr>
        <w:t>5.3 Evaluation Metrics</w:t>
      </w:r>
    </w:p>
    <w:p w14:paraId="4FDF518E" w14:textId="77777777" w:rsidR="00C2718A" w:rsidRPr="00C2718A" w:rsidRDefault="00C2718A" w:rsidP="00C2718A">
      <w:r w:rsidRPr="00C2718A">
        <w:t>Robust evaluation requires multiple complementary metrics.</w:t>
      </w:r>
    </w:p>
    <w:p w14:paraId="45489A90" w14:textId="77777777" w:rsidR="00C2718A" w:rsidRPr="00C2718A" w:rsidRDefault="00C2718A" w:rsidP="00C2718A">
      <w:pPr>
        <w:numPr>
          <w:ilvl w:val="0"/>
          <w:numId w:val="11"/>
        </w:numPr>
      </w:pPr>
      <w:r w:rsidRPr="00C2718A">
        <w:rPr>
          <w:b/>
          <w:bCs/>
        </w:rPr>
        <w:t>Micro-averaged metrics:</w:t>
      </w:r>
      <w:r w:rsidRPr="00C2718A">
        <w:t xml:space="preserve"> Weighted by label frequency and dominated by common codes.</w:t>
      </w:r>
    </w:p>
    <w:p w14:paraId="0D5E6852" w14:textId="77777777" w:rsidR="00C2718A" w:rsidRPr="00C2718A" w:rsidRDefault="00C2718A" w:rsidP="00C2718A">
      <w:pPr>
        <w:numPr>
          <w:ilvl w:val="0"/>
          <w:numId w:val="11"/>
        </w:numPr>
      </w:pPr>
      <w:r w:rsidRPr="00C2718A">
        <w:rPr>
          <w:b/>
          <w:bCs/>
        </w:rPr>
        <w:t>Macro-averaged metrics:</w:t>
      </w:r>
      <w:r w:rsidRPr="00C2718A">
        <w:t xml:space="preserve"> Treat each label equally, highlighting rare code performance.</w:t>
      </w:r>
    </w:p>
    <w:p w14:paraId="79D4DBBD" w14:textId="77777777" w:rsidR="00C2718A" w:rsidRPr="00C2718A" w:rsidRDefault="00C2718A" w:rsidP="00C2718A">
      <w:pPr>
        <w:numPr>
          <w:ilvl w:val="0"/>
          <w:numId w:val="11"/>
        </w:numPr>
      </w:pPr>
      <w:r w:rsidRPr="00C2718A">
        <w:rPr>
          <w:b/>
          <w:bCs/>
        </w:rPr>
        <w:t>Precision@K (P@K):</w:t>
      </w:r>
      <w:r w:rsidRPr="00C2718A">
        <w:t xml:space="preserve"> Measures the proportion of correct predictions within the top K results, reflecting clinical usability.</w:t>
      </w:r>
    </w:p>
    <w:p w14:paraId="75FEEC93" w14:textId="77777777" w:rsidR="00C2718A" w:rsidRPr="00C2718A" w:rsidRDefault="00C2718A" w:rsidP="00C2718A">
      <w:pPr>
        <w:numPr>
          <w:ilvl w:val="0"/>
          <w:numId w:val="11"/>
        </w:numPr>
      </w:pPr>
      <w:r w:rsidRPr="00C2718A">
        <w:rPr>
          <w:b/>
          <w:bCs/>
        </w:rPr>
        <w:t>Area Under the ROC Curve (AUC):</w:t>
      </w:r>
      <w:r w:rsidRPr="00C2718A">
        <w:t xml:space="preserve"> Evaluates ranking quality independent of threshold selection.</w:t>
      </w:r>
    </w:p>
    <w:p w14:paraId="4FC6BA9D" w14:textId="77777777" w:rsidR="00C2718A" w:rsidRPr="00C2718A" w:rsidRDefault="00C2718A" w:rsidP="00C2718A">
      <w:pPr>
        <w:numPr>
          <w:ilvl w:val="0"/>
          <w:numId w:val="11"/>
        </w:numPr>
      </w:pPr>
      <w:r w:rsidRPr="00C2718A">
        <w:rPr>
          <w:b/>
          <w:bCs/>
        </w:rPr>
        <w:t>F1 Score:</w:t>
      </w:r>
      <w:r w:rsidRPr="00C2718A">
        <w:t xml:space="preserve"> Balances precision and recall.</w:t>
      </w:r>
    </w:p>
    <w:p w14:paraId="4DBF390B" w14:textId="77777777" w:rsidR="00C2718A" w:rsidRPr="00C2718A" w:rsidRDefault="00C2718A" w:rsidP="00C2718A">
      <w:pPr>
        <w:rPr>
          <w:b/>
          <w:bCs/>
        </w:rPr>
      </w:pPr>
      <w:r w:rsidRPr="00C2718A">
        <w:rPr>
          <w:b/>
          <w:bCs/>
        </w:rPr>
        <w:t>6. CLINICAL INTEGRATION AND REAL-WORLD DEPLOYMENT</w:t>
      </w:r>
    </w:p>
    <w:p w14:paraId="3BFC35BC" w14:textId="77777777" w:rsidR="00C2718A" w:rsidRPr="00C2718A" w:rsidRDefault="00C2718A" w:rsidP="00C2718A">
      <w:pPr>
        <w:rPr>
          <w:b/>
          <w:bCs/>
        </w:rPr>
      </w:pPr>
      <w:r w:rsidRPr="00C2718A">
        <w:rPr>
          <w:b/>
          <w:bCs/>
        </w:rPr>
        <w:t>6.1 Ambient Documentation Technologies</w:t>
      </w:r>
    </w:p>
    <w:p w14:paraId="55A645DC" w14:textId="77777777" w:rsidR="00C2718A" w:rsidRPr="00C2718A" w:rsidRDefault="00C2718A" w:rsidP="00C2718A">
      <w:r w:rsidRPr="00C2718A">
        <w:t>Ambient Clinical Intelligence (ACI) and Ambient Documentation Technology (ADT) systems automatically capture clinician–patient conversations using advanced speech recognition, natural language processing, and generative AI. These systems generate structured clinical notes and suggest relevant diagnostic codes in real time.</w:t>
      </w:r>
    </w:p>
    <w:p w14:paraId="66D2FD95" w14:textId="77777777" w:rsidR="00C2718A" w:rsidRPr="00C2718A" w:rsidRDefault="00C2718A" w:rsidP="00C2718A">
      <w:r w:rsidRPr="00C2718A">
        <w:t>Large-scale studies demonstrate measurable improvements in clinician well-being. In a survey of 1,430 clinicians, ADT usage was associated with a 21.2% absolute reduction in burnout at one institution and a 30.7% absolute increase in documentation-related well-being at another. Clinicians reported:</w:t>
      </w:r>
    </w:p>
    <w:p w14:paraId="47573637" w14:textId="77777777" w:rsidR="00C2718A" w:rsidRPr="00C2718A" w:rsidRDefault="00C2718A" w:rsidP="00C2718A">
      <w:pPr>
        <w:numPr>
          <w:ilvl w:val="0"/>
          <w:numId w:val="12"/>
        </w:numPr>
      </w:pPr>
      <w:r w:rsidRPr="00C2718A">
        <w:t>Reduced after-hours documentation</w:t>
      </w:r>
    </w:p>
    <w:p w14:paraId="77C7A3D5" w14:textId="77777777" w:rsidR="00C2718A" w:rsidRPr="00C2718A" w:rsidRDefault="00C2718A" w:rsidP="00C2718A">
      <w:pPr>
        <w:numPr>
          <w:ilvl w:val="0"/>
          <w:numId w:val="12"/>
        </w:numPr>
      </w:pPr>
      <w:r w:rsidRPr="00C2718A">
        <w:t>Lower cognitive load</w:t>
      </w:r>
    </w:p>
    <w:p w14:paraId="40E52A00" w14:textId="77777777" w:rsidR="00C2718A" w:rsidRPr="00C2718A" w:rsidRDefault="00C2718A" w:rsidP="00C2718A">
      <w:pPr>
        <w:numPr>
          <w:ilvl w:val="0"/>
          <w:numId w:val="12"/>
        </w:numPr>
      </w:pPr>
      <w:r w:rsidRPr="00C2718A">
        <w:lastRenderedPageBreak/>
        <w:t>Improved work-life balance</w:t>
      </w:r>
    </w:p>
    <w:p w14:paraId="32891326" w14:textId="77777777" w:rsidR="00C2718A" w:rsidRPr="00C2718A" w:rsidRDefault="00C2718A" w:rsidP="00C2718A">
      <w:r w:rsidRPr="00C2718A">
        <w:t>Despite these benefits, ambient-only systems may fail to capture important contextual data such as historical records, laboratory results, or structured EHR inputs. As a result, hybrid systems that combine ambient capture with structured data integration and knowledge retrieval are likely to be more effective.</w:t>
      </w:r>
    </w:p>
    <w:p w14:paraId="4FB067C7" w14:textId="77777777" w:rsidR="00C2718A" w:rsidRPr="00C2718A" w:rsidRDefault="00000000" w:rsidP="00C2718A">
      <w:r>
        <w:pict w14:anchorId="3A233675">
          <v:rect id="_x0000_i1049" style="width:0;height:1.5pt" o:hralign="center" o:hrstd="t" o:hr="t" fillcolor="#a0a0a0" stroked="f"/>
        </w:pict>
      </w:r>
    </w:p>
    <w:p w14:paraId="3D8A285E" w14:textId="77777777" w:rsidR="00C2718A" w:rsidRPr="00C2718A" w:rsidRDefault="00C2718A" w:rsidP="00C2718A">
      <w:pPr>
        <w:rPr>
          <w:b/>
          <w:bCs/>
        </w:rPr>
      </w:pPr>
      <w:r w:rsidRPr="00C2718A">
        <w:rPr>
          <w:b/>
          <w:bCs/>
        </w:rPr>
        <w:t>6.2 Human-in-the-Loop Frameworks</w:t>
      </w:r>
    </w:p>
    <w:p w14:paraId="783B6746" w14:textId="77777777" w:rsidR="00C2718A" w:rsidRPr="00C2718A" w:rsidRDefault="00C2718A" w:rsidP="00C2718A">
      <w:r w:rsidRPr="00C2718A">
        <w:t>Fully autonomous ICD coding systems have not yet achieved the reliability required for unsupervised deployment in clinical settings. For this reason, human-in-the-loop (HITL) models are widely considered the most practical implementation strategy.</w:t>
      </w:r>
    </w:p>
    <w:p w14:paraId="19F5F36D" w14:textId="77777777" w:rsidR="00C2718A" w:rsidRPr="00C2718A" w:rsidRDefault="00C2718A" w:rsidP="00C2718A">
      <w:r w:rsidRPr="00C2718A">
        <w:t>In HITL systems, artificial intelligence acts as an assistive tool rather than a replacement for professional coders. A common strategy is confidence-based routing:</w:t>
      </w:r>
    </w:p>
    <w:p w14:paraId="0B884DFB" w14:textId="77777777" w:rsidR="00C2718A" w:rsidRPr="00C2718A" w:rsidRDefault="00C2718A" w:rsidP="00C2718A">
      <w:pPr>
        <w:numPr>
          <w:ilvl w:val="0"/>
          <w:numId w:val="13"/>
        </w:numPr>
      </w:pPr>
      <w:r w:rsidRPr="00C2718A">
        <w:t>High-confidence predictions are automatically accepted.</w:t>
      </w:r>
    </w:p>
    <w:p w14:paraId="07243E33" w14:textId="77777777" w:rsidR="00C2718A" w:rsidRPr="00C2718A" w:rsidRDefault="00C2718A" w:rsidP="00C2718A">
      <w:pPr>
        <w:numPr>
          <w:ilvl w:val="0"/>
          <w:numId w:val="13"/>
        </w:numPr>
      </w:pPr>
      <w:r w:rsidRPr="00C2718A">
        <w:t>Low-confidence predictions are forwarded to human coders for review.</w:t>
      </w:r>
    </w:p>
    <w:p w14:paraId="1472DDDB" w14:textId="77777777" w:rsidR="00C2718A" w:rsidRPr="00C2718A" w:rsidRDefault="00C2718A" w:rsidP="00C2718A">
      <w:r w:rsidRPr="00C2718A">
        <w:t>This approach maximizes efficiency for straightforward cases while preserving expert oversight for complex or ambiguous records.</w:t>
      </w:r>
    </w:p>
    <w:p w14:paraId="15B5DE4C" w14:textId="77777777" w:rsidR="00C2718A" w:rsidRPr="00C2718A" w:rsidRDefault="00C2718A" w:rsidP="00C2718A">
      <w:r w:rsidRPr="00C2718A">
        <w:t>Real-world deployment studies show that AI-assisted coding can improve productivity without compromising accuracy when implemented within collaborative frameworks.</w:t>
      </w:r>
    </w:p>
    <w:p w14:paraId="7D1DC4E0" w14:textId="77777777" w:rsidR="00C2718A" w:rsidRPr="00C2718A" w:rsidRDefault="00000000" w:rsidP="00C2718A">
      <w:r>
        <w:pict w14:anchorId="73ED006A">
          <v:rect id="_x0000_i1050" style="width:0;height:1.5pt" o:hralign="center" o:hrstd="t" o:hr="t" fillcolor="#a0a0a0" stroked="f"/>
        </w:pict>
      </w:r>
    </w:p>
    <w:p w14:paraId="7A16B936" w14:textId="77777777" w:rsidR="00C2718A" w:rsidRPr="00C2718A" w:rsidRDefault="00C2718A" w:rsidP="00C2718A">
      <w:pPr>
        <w:rPr>
          <w:b/>
          <w:bCs/>
        </w:rPr>
      </w:pPr>
      <w:r w:rsidRPr="00C2718A">
        <w:rPr>
          <w:b/>
          <w:bCs/>
        </w:rPr>
        <w:t>6.3 Explainability and Trust Requirements</w:t>
      </w:r>
    </w:p>
    <w:p w14:paraId="54CC45ED" w14:textId="77777777" w:rsidR="00C2718A" w:rsidRPr="00C2718A" w:rsidRDefault="00C2718A" w:rsidP="00C2718A">
      <w:r w:rsidRPr="00C2718A">
        <w:t>Explainable AI (XAI) is critical for clinical adoption. Healthcare environments demand transparency, accountability, and traceability in automated decision systems.</w:t>
      </w:r>
    </w:p>
    <w:p w14:paraId="3BA371EF" w14:textId="77777777" w:rsidR="00C2718A" w:rsidRPr="00C2718A" w:rsidRDefault="00C2718A" w:rsidP="00C2718A">
      <w:r w:rsidRPr="00C2718A">
        <w:t>Several interpretability methods are commonly used in automated ICD coding:</w:t>
      </w:r>
    </w:p>
    <w:p w14:paraId="0856B9B1" w14:textId="77777777" w:rsidR="00C2718A" w:rsidRPr="00C2718A" w:rsidRDefault="00C2718A" w:rsidP="00C2718A">
      <w:pPr>
        <w:numPr>
          <w:ilvl w:val="0"/>
          <w:numId w:val="14"/>
        </w:numPr>
      </w:pPr>
      <w:r w:rsidRPr="00C2718A">
        <w:rPr>
          <w:b/>
          <w:bCs/>
        </w:rPr>
        <w:t>Attention visualization:</w:t>
      </w:r>
      <w:r w:rsidRPr="00C2718A">
        <w:t xml:space="preserve"> Highlights text segments influencing predictions.</w:t>
      </w:r>
    </w:p>
    <w:p w14:paraId="021E62F1" w14:textId="77777777" w:rsidR="00C2718A" w:rsidRPr="00C2718A" w:rsidRDefault="00C2718A" w:rsidP="00C2718A">
      <w:pPr>
        <w:numPr>
          <w:ilvl w:val="0"/>
          <w:numId w:val="14"/>
        </w:numPr>
      </w:pPr>
      <w:r w:rsidRPr="00C2718A">
        <w:rPr>
          <w:b/>
          <w:bCs/>
        </w:rPr>
        <w:t>SHAP values:</w:t>
      </w:r>
      <w:r w:rsidRPr="00C2718A">
        <w:t xml:space="preserve"> Quantify the contribution of input features to model outputs.</w:t>
      </w:r>
    </w:p>
    <w:p w14:paraId="62C66E66" w14:textId="77777777" w:rsidR="00C2718A" w:rsidRPr="00C2718A" w:rsidRDefault="00C2718A" w:rsidP="00C2718A">
      <w:pPr>
        <w:numPr>
          <w:ilvl w:val="0"/>
          <w:numId w:val="14"/>
        </w:numPr>
      </w:pPr>
      <w:r w:rsidRPr="00C2718A">
        <w:rPr>
          <w:b/>
          <w:bCs/>
        </w:rPr>
        <w:t>Evidence extraction:</w:t>
      </w:r>
      <w:r w:rsidRPr="00C2718A">
        <w:t xml:space="preserve"> Identifies specific spans of text supporting assigned codes.</w:t>
      </w:r>
    </w:p>
    <w:p w14:paraId="71861765" w14:textId="77777777" w:rsidR="00C2718A" w:rsidRPr="00C2718A" w:rsidRDefault="00C2718A" w:rsidP="00C2718A">
      <w:r w:rsidRPr="00C2718A">
        <w:t>Although attention mechanisms improve interpretability, they do not always guarantee causal explanations. Spurious correlations may influence predictions without reflecting genuine clinical reasoning.</w:t>
      </w:r>
    </w:p>
    <w:p w14:paraId="403C7474" w14:textId="77777777" w:rsidR="00C2718A" w:rsidRPr="00C2718A" w:rsidRDefault="00C2718A" w:rsidP="00C2718A">
      <w:r w:rsidRPr="00C2718A">
        <w:t>Future research must prioritize explanation methods specifically tailored to medical coding workflows to strengthen clinician trust and regulatory compliance.</w:t>
      </w:r>
    </w:p>
    <w:p w14:paraId="6A4C5C3B" w14:textId="77777777" w:rsidR="00C2718A" w:rsidRPr="00C2718A" w:rsidRDefault="00000000" w:rsidP="00C2718A">
      <w:r>
        <w:pict w14:anchorId="6635E182">
          <v:rect id="_x0000_i1051" style="width:0;height:1.5pt" o:hralign="center" o:hrstd="t" o:hr="t" fillcolor="#a0a0a0" stroked="f"/>
        </w:pict>
      </w:r>
    </w:p>
    <w:p w14:paraId="0E7B3853" w14:textId="77777777" w:rsidR="00C2718A" w:rsidRPr="00C2718A" w:rsidRDefault="00C2718A" w:rsidP="00C2718A">
      <w:pPr>
        <w:rPr>
          <w:b/>
          <w:bCs/>
        </w:rPr>
      </w:pPr>
      <w:r w:rsidRPr="00C2718A">
        <w:rPr>
          <w:b/>
          <w:bCs/>
        </w:rPr>
        <w:lastRenderedPageBreak/>
        <w:t>6.4 Workflow Integration Challenges</w:t>
      </w:r>
    </w:p>
    <w:p w14:paraId="282C896B" w14:textId="77777777" w:rsidR="00C2718A" w:rsidRPr="00C2718A" w:rsidRDefault="00C2718A" w:rsidP="00C2718A">
      <w:r w:rsidRPr="00C2718A">
        <w:t>Successful deployment requires seamless integration into existing clinical workflows, EHR systems, and revenue cycle infrastructures.</w:t>
      </w:r>
    </w:p>
    <w:p w14:paraId="4FA0895D" w14:textId="77777777" w:rsidR="00C2718A" w:rsidRPr="00C2718A" w:rsidRDefault="00C2718A" w:rsidP="00C2718A">
      <w:r w:rsidRPr="00C2718A">
        <w:t>Key implementation challenges include:</w:t>
      </w:r>
    </w:p>
    <w:p w14:paraId="5CC2972A" w14:textId="77777777" w:rsidR="00C2718A" w:rsidRPr="00C2718A" w:rsidRDefault="00C2718A" w:rsidP="00C2718A">
      <w:pPr>
        <w:numPr>
          <w:ilvl w:val="0"/>
          <w:numId w:val="15"/>
        </w:numPr>
      </w:pPr>
      <w:r w:rsidRPr="00C2718A">
        <w:t>Technical integration across heterogeneous EHR platforms</w:t>
      </w:r>
    </w:p>
    <w:p w14:paraId="302E130E" w14:textId="77777777" w:rsidR="00C2718A" w:rsidRPr="00C2718A" w:rsidRDefault="00C2718A" w:rsidP="00C2718A">
      <w:pPr>
        <w:numPr>
          <w:ilvl w:val="0"/>
          <w:numId w:val="15"/>
        </w:numPr>
      </w:pPr>
      <w:r w:rsidRPr="00C2718A">
        <w:t>Real-time processing requirements</w:t>
      </w:r>
    </w:p>
    <w:p w14:paraId="729DD008" w14:textId="77777777" w:rsidR="00C2718A" w:rsidRPr="00C2718A" w:rsidRDefault="00C2718A" w:rsidP="00C2718A">
      <w:pPr>
        <w:numPr>
          <w:ilvl w:val="0"/>
          <w:numId w:val="15"/>
        </w:numPr>
      </w:pPr>
      <w:r w:rsidRPr="00C2718A">
        <w:t>Organizational change management</w:t>
      </w:r>
    </w:p>
    <w:p w14:paraId="2B42BBD8" w14:textId="77777777" w:rsidR="00C2718A" w:rsidRPr="00C2718A" w:rsidRDefault="00C2718A" w:rsidP="00C2718A">
      <w:pPr>
        <w:numPr>
          <w:ilvl w:val="0"/>
          <w:numId w:val="15"/>
        </w:numPr>
      </w:pPr>
      <w:r w:rsidRPr="00C2718A">
        <w:t>Compliance with HIPAA and coding regulations</w:t>
      </w:r>
    </w:p>
    <w:p w14:paraId="3A2D078A" w14:textId="77777777" w:rsidR="00C2718A" w:rsidRPr="00C2718A" w:rsidRDefault="00C2718A" w:rsidP="00C2718A">
      <w:pPr>
        <w:numPr>
          <w:ilvl w:val="0"/>
          <w:numId w:val="15"/>
        </w:numPr>
      </w:pPr>
      <w:r w:rsidRPr="00C2718A">
        <w:t>Demonstrating financial return on investment</w:t>
      </w:r>
    </w:p>
    <w:p w14:paraId="6C870A34" w14:textId="77777777" w:rsidR="00C2718A" w:rsidRPr="00C2718A" w:rsidRDefault="00C2718A" w:rsidP="00C2718A">
      <w:r w:rsidRPr="00C2718A">
        <w:t>AI systems must not only perform well in controlled experiments but also integrate smoothly into everyday clinical operations.</w:t>
      </w:r>
    </w:p>
    <w:p w14:paraId="139F5B43" w14:textId="77777777" w:rsidR="00C2718A" w:rsidRPr="00C2718A" w:rsidRDefault="00000000" w:rsidP="00C2718A">
      <w:r>
        <w:pict w14:anchorId="3C1933EF">
          <v:rect id="_x0000_i1052" style="width:0;height:1.5pt" o:hralign="center" o:hrstd="t" o:hr="t" fillcolor="#a0a0a0" stroked="f"/>
        </w:pict>
      </w:r>
    </w:p>
    <w:p w14:paraId="637CE23E" w14:textId="77777777" w:rsidR="00C2718A" w:rsidRPr="00C2718A" w:rsidRDefault="00C2718A" w:rsidP="00C2718A">
      <w:pPr>
        <w:rPr>
          <w:b/>
          <w:bCs/>
        </w:rPr>
      </w:pPr>
      <w:r w:rsidRPr="00C2718A">
        <w:rPr>
          <w:b/>
          <w:bCs/>
        </w:rPr>
        <w:t>7. CRITICAL GAPS AND FUTURE RESEARCH DIRECTIONS</w:t>
      </w:r>
    </w:p>
    <w:p w14:paraId="49005A9C" w14:textId="77777777" w:rsidR="00C2718A" w:rsidRPr="00C2718A" w:rsidRDefault="00C2718A" w:rsidP="00C2718A">
      <w:pPr>
        <w:rPr>
          <w:b/>
          <w:bCs/>
        </w:rPr>
      </w:pPr>
      <w:r w:rsidRPr="00C2718A">
        <w:rPr>
          <w:b/>
          <w:bCs/>
        </w:rPr>
        <w:t>7.1 Multi-Institutional Validation</w:t>
      </w:r>
    </w:p>
    <w:p w14:paraId="2DA0F6B4" w14:textId="77777777" w:rsidR="00C2718A" w:rsidRPr="00C2718A" w:rsidRDefault="00C2718A" w:rsidP="00C2718A">
      <w:r w:rsidRPr="00C2718A">
        <w:t>Most automated coding research relies on single-institution datasets, particularly MIMIC-III. Cross-hospital generalization remains underexplored.</w:t>
      </w:r>
    </w:p>
    <w:p w14:paraId="13251DAD" w14:textId="77777777" w:rsidR="00C2718A" w:rsidRPr="00C2718A" w:rsidRDefault="00C2718A" w:rsidP="00C2718A">
      <w:r w:rsidRPr="00C2718A">
        <w:t>Future research should include:</w:t>
      </w:r>
    </w:p>
    <w:p w14:paraId="11F037DD" w14:textId="77777777" w:rsidR="00C2718A" w:rsidRPr="00C2718A" w:rsidRDefault="00C2718A" w:rsidP="00C2718A">
      <w:pPr>
        <w:numPr>
          <w:ilvl w:val="0"/>
          <w:numId w:val="16"/>
        </w:numPr>
      </w:pPr>
      <w:r w:rsidRPr="00C2718A">
        <w:t>Multi-site validation studies</w:t>
      </w:r>
    </w:p>
    <w:p w14:paraId="479BCDBC" w14:textId="77777777" w:rsidR="00C2718A" w:rsidRPr="00C2718A" w:rsidRDefault="00C2718A" w:rsidP="00C2718A">
      <w:pPr>
        <w:numPr>
          <w:ilvl w:val="0"/>
          <w:numId w:val="16"/>
        </w:numPr>
      </w:pPr>
      <w:r w:rsidRPr="00C2718A">
        <w:t>Evaluation across diverse specialties</w:t>
      </w:r>
    </w:p>
    <w:p w14:paraId="3F3084D5" w14:textId="77777777" w:rsidR="00C2718A" w:rsidRPr="00C2718A" w:rsidRDefault="00C2718A" w:rsidP="00C2718A">
      <w:pPr>
        <w:numPr>
          <w:ilvl w:val="0"/>
          <w:numId w:val="16"/>
        </w:numPr>
      </w:pPr>
      <w:r w:rsidRPr="00C2718A">
        <w:t>Analysis of institution-specific documentation practices</w:t>
      </w:r>
    </w:p>
    <w:p w14:paraId="4364A98F" w14:textId="77777777" w:rsidR="00C2718A" w:rsidRPr="00C2718A" w:rsidRDefault="00C2718A" w:rsidP="00C2718A">
      <w:pPr>
        <w:numPr>
          <w:ilvl w:val="0"/>
          <w:numId w:val="16"/>
        </w:numPr>
      </w:pPr>
      <w:r w:rsidRPr="00C2718A">
        <w:t>Fairness and bias assessment across demographic groups</w:t>
      </w:r>
    </w:p>
    <w:p w14:paraId="07C9A60C" w14:textId="77777777" w:rsidR="00C2718A" w:rsidRPr="00C2718A" w:rsidRDefault="00C2718A" w:rsidP="00C2718A">
      <w:r w:rsidRPr="00C2718A">
        <w:t>Without broader validation, clinical scalability remains uncertain.</w:t>
      </w:r>
    </w:p>
    <w:p w14:paraId="5DF3DEB1" w14:textId="77777777" w:rsidR="00C2718A" w:rsidRPr="00C2718A" w:rsidRDefault="00000000" w:rsidP="00C2718A">
      <w:r>
        <w:pict w14:anchorId="2DEA2D65">
          <v:rect id="_x0000_i1053" style="width:0;height:1.5pt" o:hralign="center" o:hrstd="t" o:hr="t" fillcolor="#a0a0a0" stroked="f"/>
        </w:pict>
      </w:r>
    </w:p>
    <w:p w14:paraId="6FB31F50" w14:textId="77777777" w:rsidR="00C2718A" w:rsidRPr="00C2718A" w:rsidRDefault="00C2718A" w:rsidP="00C2718A">
      <w:pPr>
        <w:rPr>
          <w:b/>
          <w:bCs/>
        </w:rPr>
      </w:pPr>
      <w:r w:rsidRPr="00C2718A">
        <w:rPr>
          <w:b/>
          <w:bCs/>
        </w:rPr>
        <w:t>7.2 Rare Code Performance</w:t>
      </w:r>
    </w:p>
    <w:p w14:paraId="45C5394C" w14:textId="77777777" w:rsidR="00C2718A" w:rsidRPr="00C2718A" w:rsidRDefault="00C2718A" w:rsidP="00C2718A">
      <w:r w:rsidRPr="00C2718A">
        <w:t>Although models achieve competitive micro-F1 scores, performance on rare and zero-shot codes remains limited.</w:t>
      </w:r>
    </w:p>
    <w:p w14:paraId="3A33EE8E" w14:textId="77777777" w:rsidR="00C2718A" w:rsidRPr="00C2718A" w:rsidRDefault="00C2718A" w:rsidP="00C2718A">
      <w:r w:rsidRPr="00C2718A">
        <w:t>Future work should explore:</w:t>
      </w:r>
    </w:p>
    <w:p w14:paraId="75537E2C" w14:textId="77777777" w:rsidR="00C2718A" w:rsidRPr="00C2718A" w:rsidRDefault="00C2718A" w:rsidP="00C2718A">
      <w:pPr>
        <w:numPr>
          <w:ilvl w:val="0"/>
          <w:numId w:val="17"/>
        </w:numPr>
      </w:pPr>
      <w:r w:rsidRPr="00C2718A">
        <w:t>Advanced few-shot learning</w:t>
      </w:r>
    </w:p>
    <w:p w14:paraId="1F1C4DDB" w14:textId="77777777" w:rsidR="00C2718A" w:rsidRPr="00C2718A" w:rsidRDefault="00C2718A" w:rsidP="00C2718A">
      <w:pPr>
        <w:numPr>
          <w:ilvl w:val="0"/>
          <w:numId w:val="17"/>
        </w:numPr>
      </w:pPr>
      <w:r w:rsidRPr="00C2718A">
        <w:t>Hierarchical transfer learning</w:t>
      </w:r>
    </w:p>
    <w:p w14:paraId="1BE38561" w14:textId="77777777" w:rsidR="00C2718A" w:rsidRPr="00C2718A" w:rsidRDefault="00C2718A" w:rsidP="00C2718A">
      <w:pPr>
        <w:numPr>
          <w:ilvl w:val="0"/>
          <w:numId w:val="17"/>
        </w:numPr>
      </w:pPr>
      <w:r w:rsidRPr="00C2718A">
        <w:lastRenderedPageBreak/>
        <w:t>Synthetic data augmentation</w:t>
      </w:r>
    </w:p>
    <w:p w14:paraId="0280A446" w14:textId="77777777" w:rsidR="00C2718A" w:rsidRPr="00C2718A" w:rsidRDefault="00C2718A" w:rsidP="00C2718A">
      <w:pPr>
        <w:numPr>
          <w:ilvl w:val="0"/>
          <w:numId w:val="17"/>
        </w:numPr>
      </w:pPr>
      <w:r w:rsidRPr="00C2718A">
        <w:t>Meta-learning strategies</w:t>
      </w:r>
    </w:p>
    <w:p w14:paraId="1C2AB03A" w14:textId="77777777" w:rsidR="00C2718A" w:rsidRPr="00C2718A" w:rsidRDefault="00C2718A" w:rsidP="00C2718A">
      <w:r w:rsidRPr="00C2718A">
        <w:t>Improving long-tail performance is essential for comprehensive real-world deployment.</w:t>
      </w:r>
    </w:p>
    <w:p w14:paraId="2CB76DA7" w14:textId="77777777" w:rsidR="00C2718A" w:rsidRPr="00C2718A" w:rsidRDefault="00000000" w:rsidP="00C2718A">
      <w:r>
        <w:pict w14:anchorId="0BDC3FCE">
          <v:rect id="_x0000_i1054" style="width:0;height:1.5pt" o:hralign="center" o:hrstd="t" o:hr="t" fillcolor="#a0a0a0" stroked="f"/>
        </w:pict>
      </w:r>
    </w:p>
    <w:p w14:paraId="13F65C37" w14:textId="77777777" w:rsidR="00C2718A" w:rsidRPr="00C2718A" w:rsidRDefault="00C2718A" w:rsidP="00C2718A">
      <w:pPr>
        <w:rPr>
          <w:b/>
          <w:bCs/>
        </w:rPr>
      </w:pPr>
      <w:r w:rsidRPr="00C2718A">
        <w:rPr>
          <w:b/>
          <w:bCs/>
        </w:rPr>
        <w:t>7.3 Temporal and Multi-Modal Modeling</w:t>
      </w:r>
    </w:p>
    <w:p w14:paraId="6D3C5476" w14:textId="77777777" w:rsidR="00C2718A" w:rsidRPr="00C2718A" w:rsidRDefault="00C2718A" w:rsidP="00C2718A">
      <w:r w:rsidRPr="00C2718A">
        <w:t>Most current systems treat coding as a single-encounter task, ignoring longitudinal disease progression.</w:t>
      </w:r>
    </w:p>
    <w:p w14:paraId="3E8132B2" w14:textId="77777777" w:rsidR="00C2718A" w:rsidRPr="00C2718A" w:rsidRDefault="00C2718A" w:rsidP="00C2718A">
      <w:r w:rsidRPr="00C2718A">
        <w:t>Future directions include:</w:t>
      </w:r>
    </w:p>
    <w:p w14:paraId="7D82AC01" w14:textId="77777777" w:rsidR="00C2718A" w:rsidRPr="00C2718A" w:rsidRDefault="00C2718A" w:rsidP="00C2718A">
      <w:pPr>
        <w:numPr>
          <w:ilvl w:val="0"/>
          <w:numId w:val="18"/>
        </w:numPr>
      </w:pPr>
      <w:r w:rsidRPr="00C2718A">
        <w:t>Temporal modeling of diagnostic trajectories</w:t>
      </w:r>
    </w:p>
    <w:p w14:paraId="190D9E4C" w14:textId="77777777" w:rsidR="00C2718A" w:rsidRPr="00C2718A" w:rsidRDefault="00C2718A" w:rsidP="00C2718A">
      <w:pPr>
        <w:numPr>
          <w:ilvl w:val="0"/>
          <w:numId w:val="18"/>
        </w:numPr>
      </w:pPr>
      <w:r w:rsidRPr="00C2718A">
        <w:t>Integration of laboratory results, imaging, vital signs, and structured EHR data</w:t>
      </w:r>
    </w:p>
    <w:p w14:paraId="3A7E8DDF" w14:textId="77777777" w:rsidR="00C2718A" w:rsidRPr="00C2718A" w:rsidRDefault="00C2718A" w:rsidP="00C2718A">
      <w:pPr>
        <w:numPr>
          <w:ilvl w:val="0"/>
          <w:numId w:val="18"/>
        </w:numPr>
      </w:pPr>
      <w:r w:rsidRPr="00C2718A">
        <w:t>Multi-modal transformers</w:t>
      </w:r>
    </w:p>
    <w:p w14:paraId="241569B2" w14:textId="77777777" w:rsidR="00C2718A" w:rsidRPr="00C2718A" w:rsidRDefault="00C2718A" w:rsidP="00C2718A">
      <w:pPr>
        <w:numPr>
          <w:ilvl w:val="0"/>
          <w:numId w:val="18"/>
        </w:numPr>
      </w:pPr>
      <w:r w:rsidRPr="00C2718A">
        <w:t>Graph neural networks representing patient histories</w:t>
      </w:r>
    </w:p>
    <w:p w14:paraId="6484A8A7" w14:textId="77777777" w:rsidR="00C2718A" w:rsidRPr="00C2718A" w:rsidRDefault="00C2718A" w:rsidP="00C2718A">
      <w:r w:rsidRPr="00C2718A">
        <w:t>Incorporating diverse data modalities may significantly improve predictive accuracy.</w:t>
      </w:r>
    </w:p>
    <w:p w14:paraId="50470A73" w14:textId="77777777" w:rsidR="00C2718A" w:rsidRPr="00C2718A" w:rsidRDefault="00000000" w:rsidP="00C2718A">
      <w:r>
        <w:pict w14:anchorId="1B887996">
          <v:rect id="_x0000_i1055" style="width:0;height:1.5pt" o:hralign="center" o:hrstd="t" o:hr="t" fillcolor="#a0a0a0" stroked="f"/>
        </w:pict>
      </w:r>
    </w:p>
    <w:p w14:paraId="5068BA50" w14:textId="77777777" w:rsidR="00C2718A" w:rsidRPr="00C2718A" w:rsidRDefault="00C2718A" w:rsidP="00C2718A">
      <w:pPr>
        <w:rPr>
          <w:b/>
          <w:bCs/>
        </w:rPr>
      </w:pPr>
      <w:r w:rsidRPr="00C2718A">
        <w:rPr>
          <w:b/>
          <w:bCs/>
        </w:rPr>
        <w:t>7.4 Regulatory and Privacy Considerations</w:t>
      </w:r>
    </w:p>
    <w:p w14:paraId="5CC0756A" w14:textId="77777777" w:rsidR="00C2718A" w:rsidRPr="00C2718A" w:rsidRDefault="00C2718A" w:rsidP="00C2718A">
      <w:r w:rsidRPr="00C2718A">
        <w:t>Regulatory frameworks governing AI-based medical coding are still evolving. Clear compliance standards are necessary to ensure safe deployment.</w:t>
      </w:r>
    </w:p>
    <w:p w14:paraId="5E6541FE" w14:textId="77777777" w:rsidR="00C2718A" w:rsidRPr="00C2718A" w:rsidRDefault="00C2718A" w:rsidP="00C2718A">
      <w:r w:rsidRPr="00C2718A">
        <w:t>Federated learning approaches offer promising privacy-preserving solutions by enabling multi-institutional model training without sharing raw patient data.</w:t>
      </w:r>
    </w:p>
    <w:p w14:paraId="6DA188FC" w14:textId="77777777" w:rsidR="00C2718A" w:rsidRPr="00C2718A" w:rsidRDefault="00000000" w:rsidP="00C2718A">
      <w:r>
        <w:pict w14:anchorId="5DAD285C">
          <v:rect id="_x0000_i1056" style="width:0;height:1.5pt" o:hralign="center" o:hrstd="t" o:hr="t" fillcolor="#a0a0a0" stroked="f"/>
        </w:pict>
      </w:r>
    </w:p>
    <w:p w14:paraId="691111F9" w14:textId="77777777" w:rsidR="00C2718A" w:rsidRPr="00C2718A" w:rsidRDefault="00C2718A" w:rsidP="00C2718A">
      <w:pPr>
        <w:rPr>
          <w:b/>
          <w:bCs/>
        </w:rPr>
      </w:pPr>
      <w:r w:rsidRPr="00C2718A">
        <w:rPr>
          <w:b/>
          <w:bCs/>
        </w:rPr>
        <w:t>7.5 Integration with Emerging AI Paradigms</w:t>
      </w:r>
    </w:p>
    <w:p w14:paraId="4EEB62FC" w14:textId="77777777" w:rsidR="00C2718A" w:rsidRPr="00C2718A" w:rsidRDefault="00C2718A" w:rsidP="00C2718A">
      <w:r w:rsidRPr="00C2718A">
        <w:t>Medical copilot systems remain relatively isolated from broader AI advancements.</w:t>
      </w:r>
    </w:p>
    <w:p w14:paraId="37413C1B" w14:textId="77777777" w:rsidR="00C2718A" w:rsidRPr="00C2718A" w:rsidRDefault="00C2718A" w:rsidP="00C2718A">
      <w:r w:rsidRPr="00C2718A">
        <w:t>Promising directions include:</w:t>
      </w:r>
    </w:p>
    <w:p w14:paraId="5CABBA7D" w14:textId="77777777" w:rsidR="00C2718A" w:rsidRPr="00C2718A" w:rsidRDefault="00C2718A" w:rsidP="00C2718A">
      <w:pPr>
        <w:numPr>
          <w:ilvl w:val="0"/>
          <w:numId w:val="19"/>
        </w:numPr>
      </w:pPr>
      <w:r w:rsidRPr="00C2718A">
        <w:t>Retrieval-augmented generation incorporating coding guidelines</w:t>
      </w:r>
    </w:p>
    <w:p w14:paraId="431E2FB7" w14:textId="77777777" w:rsidR="00C2718A" w:rsidRPr="00C2718A" w:rsidRDefault="00C2718A" w:rsidP="00C2718A">
      <w:pPr>
        <w:numPr>
          <w:ilvl w:val="0"/>
          <w:numId w:val="19"/>
        </w:numPr>
      </w:pPr>
      <w:r w:rsidRPr="00C2718A">
        <w:t>Adaptation of large language models for structured code prediction</w:t>
      </w:r>
    </w:p>
    <w:p w14:paraId="7819654E" w14:textId="77777777" w:rsidR="00C2718A" w:rsidRPr="00C2718A" w:rsidRDefault="00C2718A" w:rsidP="00C2718A">
      <w:pPr>
        <w:numPr>
          <w:ilvl w:val="0"/>
          <w:numId w:val="19"/>
        </w:numPr>
      </w:pPr>
      <w:r w:rsidRPr="00C2718A">
        <w:t>Agentic workflows that decompose complex coding into subtasks</w:t>
      </w:r>
    </w:p>
    <w:p w14:paraId="01505BC6" w14:textId="77777777" w:rsidR="00C2718A" w:rsidRPr="00C2718A" w:rsidRDefault="00C2718A" w:rsidP="00C2718A">
      <w:r w:rsidRPr="00C2718A">
        <w:t>These approaches may significantly enhance contextual reasoning and automation capacity.</w:t>
      </w:r>
    </w:p>
    <w:p w14:paraId="02DD66EB" w14:textId="77777777" w:rsidR="00C2718A" w:rsidRPr="00C2718A" w:rsidRDefault="00000000" w:rsidP="00C2718A">
      <w:r>
        <w:pict w14:anchorId="56F24C74">
          <v:rect id="_x0000_i1057" style="width:0;height:1.5pt" o:hralign="center" o:hrstd="t" o:hr="t" fillcolor="#a0a0a0" stroked="f"/>
        </w:pict>
      </w:r>
    </w:p>
    <w:p w14:paraId="02C1EA64" w14:textId="77777777" w:rsidR="00C2718A" w:rsidRPr="00C2718A" w:rsidRDefault="00C2718A" w:rsidP="00C2718A">
      <w:pPr>
        <w:rPr>
          <w:b/>
          <w:bCs/>
        </w:rPr>
      </w:pPr>
      <w:r w:rsidRPr="00C2718A">
        <w:rPr>
          <w:b/>
          <w:bCs/>
        </w:rPr>
        <w:t>7.6 Health Economic Evaluation</w:t>
      </w:r>
    </w:p>
    <w:p w14:paraId="6449B2F6" w14:textId="77777777" w:rsidR="00C2718A" w:rsidRPr="00C2718A" w:rsidRDefault="00C2718A" w:rsidP="00C2718A">
      <w:r w:rsidRPr="00C2718A">
        <w:lastRenderedPageBreak/>
        <w:t>There is limited evidence comparing AI-assisted coding to traditional workflows from an economic perspective.</w:t>
      </w:r>
    </w:p>
    <w:p w14:paraId="7A637482" w14:textId="77777777" w:rsidR="00C2718A" w:rsidRPr="00C2718A" w:rsidRDefault="00C2718A" w:rsidP="00C2718A">
      <w:r w:rsidRPr="00C2718A">
        <w:t>Future studies should assess:</w:t>
      </w:r>
    </w:p>
    <w:p w14:paraId="54798A99" w14:textId="77777777" w:rsidR="00C2718A" w:rsidRPr="00C2718A" w:rsidRDefault="00C2718A" w:rsidP="00C2718A">
      <w:pPr>
        <w:numPr>
          <w:ilvl w:val="0"/>
          <w:numId w:val="20"/>
        </w:numPr>
      </w:pPr>
      <w:r w:rsidRPr="00C2718A">
        <w:t>Return on investment</w:t>
      </w:r>
    </w:p>
    <w:p w14:paraId="55C6F4A9" w14:textId="77777777" w:rsidR="00C2718A" w:rsidRPr="00C2718A" w:rsidRDefault="00C2718A" w:rsidP="00C2718A">
      <w:pPr>
        <w:numPr>
          <w:ilvl w:val="0"/>
          <w:numId w:val="20"/>
        </w:numPr>
      </w:pPr>
      <w:r w:rsidRPr="00C2718A">
        <w:t>Reduced claim denials</w:t>
      </w:r>
    </w:p>
    <w:p w14:paraId="4CA4D282" w14:textId="77777777" w:rsidR="00C2718A" w:rsidRPr="00C2718A" w:rsidRDefault="00C2718A" w:rsidP="00C2718A">
      <w:pPr>
        <w:numPr>
          <w:ilvl w:val="0"/>
          <w:numId w:val="20"/>
        </w:numPr>
      </w:pPr>
      <w:r w:rsidRPr="00C2718A">
        <w:t>Improved coding accuracy</w:t>
      </w:r>
    </w:p>
    <w:p w14:paraId="6A2C9A45" w14:textId="77777777" w:rsidR="00C2718A" w:rsidRPr="00C2718A" w:rsidRDefault="00C2718A" w:rsidP="00C2718A">
      <w:pPr>
        <w:numPr>
          <w:ilvl w:val="0"/>
          <w:numId w:val="20"/>
        </w:numPr>
      </w:pPr>
      <w:r w:rsidRPr="00C2718A">
        <w:t>Productivity gains</w:t>
      </w:r>
    </w:p>
    <w:p w14:paraId="4C272920" w14:textId="77777777" w:rsidR="00C2718A" w:rsidRPr="00C2718A" w:rsidRDefault="00C2718A" w:rsidP="00C2718A">
      <w:pPr>
        <w:numPr>
          <w:ilvl w:val="0"/>
          <w:numId w:val="20"/>
        </w:numPr>
      </w:pPr>
      <w:r w:rsidRPr="00C2718A">
        <w:t>Long-term operational savings</w:t>
      </w:r>
    </w:p>
    <w:p w14:paraId="15618539" w14:textId="77777777" w:rsidR="00C2718A" w:rsidRPr="00C2718A" w:rsidRDefault="00C2718A" w:rsidP="00C2718A">
      <w:r w:rsidRPr="00C2718A">
        <w:t>Economic validation will be critical for widespread institutional adoption.</w:t>
      </w:r>
    </w:p>
    <w:p w14:paraId="594091F4" w14:textId="77777777" w:rsidR="00C2718A" w:rsidRPr="00C2718A" w:rsidRDefault="00000000" w:rsidP="00C2718A">
      <w:r>
        <w:pict w14:anchorId="286BE1B9">
          <v:rect id="_x0000_i1058" style="width:0;height:1.5pt" o:hralign="center" o:hrstd="t" o:hr="t" fillcolor="#a0a0a0" stroked="f"/>
        </w:pict>
      </w:r>
    </w:p>
    <w:p w14:paraId="1D2C2AF7" w14:textId="77777777" w:rsidR="00C2718A" w:rsidRPr="00C2718A" w:rsidRDefault="00C2718A" w:rsidP="00C2718A">
      <w:pPr>
        <w:rPr>
          <w:b/>
          <w:bCs/>
        </w:rPr>
      </w:pPr>
      <w:r w:rsidRPr="00C2718A">
        <w:rPr>
          <w:b/>
          <w:bCs/>
        </w:rPr>
        <w:t>8. CONCLUSION AND SYNTHESIS</w:t>
      </w:r>
    </w:p>
    <w:p w14:paraId="4278F9BB" w14:textId="77777777" w:rsidR="00C2718A" w:rsidRPr="00C2718A" w:rsidRDefault="00C2718A" w:rsidP="00C2718A">
      <w:r w:rsidRPr="00C2718A">
        <w:t>This review examined automated medical coding and medical copilot systems across technical, clinical, and operational dimensions.</w:t>
      </w:r>
    </w:p>
    <w:p w14:paraId="36115705" w14:textId="77777777" w:rsidR="00C2718A" w:rsidRPr="00C2718A" w:rsidRDefault="00C2718A" w:rsidP="00C2718A">
      <w:r w:rsidRPr="00C2718A">
        <w:t>The evidence demonstrates that the clinical documentation burden is severe and contributes significantly to physician burnout and compromised care quality. At the same time, deep learning methods for automated ICD coding have achieved substantial technical progress, with state-of-the-art systems reaching micro-F1 scores above 0.60 on benchmark datasets.</w:t>
      </w:r>
    </w:p>
    <w:p w14:paraId="52443DB9" w14:textId="77777777" w:rsidR="00C2718A" w:rsidRPr="00C2718A" w:rsidRDefault="00C2718A" w:rsidP="00C2718A">
      <w:r w:rsidRPr="00C2718A">
        <w:t>However, significant barriers remain. Rare code prediction, multi-institutional validation, regulatory alignment, explainability, and workflow integration continue to limit real-world scalability.</w:t>
      </w:r>
    </w:p>
    <w:p w14:paraId="1F00B30F" w14:textId="77777777" w:rsidR="00C2718A" w:rsidRPr="00C2718A" w:rsidRDefault="00C2718A" w:rsidP="00C2718A">
      <w:r w:rsidRPr="00C2718A">
        <w:t>The convergence of urgent clinical need and rapid AI advancement presents a pivotal opportunity. With sustained interdisciplinary collaboration, medical copilot systems have the potential to:</w:t>
      </w:r>
    </w:p>
    <w:p w14:paraId="78E1F98C" w14:textId="77777777" w:rsidR="00C2718A" w:rsidRPr="00C2718A" w:rsidRDefault="00C2718A" w:rsidP="00C2718A">
      <w:pPr>
        <w:numPr>
          <w:ilvl w:val="0"/>
          <w:numId w:val="21"/>
        </w:numPr>
      </w:pPr>
      <w:r w:rsidRPr="00C2718A">
        <w:t>Reduce administrative burden</w:t>
      </w:r>
    </w:p>
    <w:p w14:paraId="102F6B6B" w14:textId="77777777" w:rsidR="00C2718A" w:rsidRPr="00C2718A" w:rsidRDefault="00C2718A" w:rsidP="00C2718A">
      <w:pPr>
        <w:numPr>
          <w:ilvl w:val="0"/>
          <w:numId w:val="21"/>
        </w:numPr>
      </w:pPr>
      <w:r w:rsidRPr="00C2718A">
        <w:t>Improve documentation accuracy</w:t>
      </w:r>
    </w:p>
    <w:p w14:paraId="0638AF95" w14:textId="77777777" w:rsidR="00C2718A" w:rsidRPr="00C2718A" w:rsidRDefault="00C2718A" w:rsidP="00C2718A">
      <w:pPr>
        <w:numPr>
          <w:ilvl w:val="0"/>
          <w:numId w:val="21"/>
        </w:numPr>
      </w:pPr>
      <w:r w:rsidRPr="00C2718A">
        <w:t>Enhance physician well-being</w:t>
      </w:r>
    </w:p>
    <w:p w14:paraId="47B49416" w14:textId="77777777" w:rsidR="00C2718A" w:rsidRPr="00C2718A" w:rsidRDefault="00C2718A" w:rsidP="00C2718A">
      <w:pPr>
        <w:numPr>
          <w:ilvl w:val="0"/>
          <w:numId w:val="21"/>
        </w:numPr>
      </w:pPr>
      <w:r w:rsidRPr="00C2718A">
        <w:t>Strengthen patient safety</w:t>
      </w:r>
    </w:p>
    <w:p w14:paraId="75A1E93B" w14:textId="77777777" w:rsidR="00C2718A" w:rsidRPr="00C2718A" w:rsidRDefault="00C2718A" w:rsidP="00C2718A">
      <w:pPr>
        <w:numPr>
          <w:ilvl w:val="0"/>
          <w:numId w:val="21"/>
        </w:numPr>
      </w:pPr>
      <w:r w:rsidRPr="00C2718A">
        <w:t>Improve overall healthcare efficiency</w:t>
      </w:r>
    </w:p>
    <w:p w14:paraId="483E265A" w14:textId="74676C9D" w:rsidR="00C2718A" w:rsidRDefault="00C2718A">
      <w:r w:rsidRPr="00C2718A">
        <w:t>Future research must extend beyond algorithmic refinement toward implementation science, fairness, economic evaluation, and large-scale validation.</w:t>
      </w:r>
    </w:p>
    <w:sectPr w:rsidR="00C2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B2E"/>
    <w:multiLevelType w:val="multilevel"/>
    <w:tmpl w:val="DEF4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05E5F"/>
    <w:multiLevelType w:val="multilevel"/>
    <w:tmpl w:val="490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90EC4"/>
    <w:multiLevelType w:val="multilevel"/>
    <w:tmpl w:val="3F2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B74F7"/>
    <w:multiLevelType w:val="multilevel"/>
    <w:tmpl w:val="DC90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51CB0"/>
    <w:multiLevelType w:val="multilevel"/>
    <w:tmpl w:val="97B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E0430"/>
    <w:multiLevelType w:val="multilevel"/>
    <w:tmpl w:val="9104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EC5"/>
    <w:multiLevelType w:val="multilevel"/>
    <w:tmpl w:val="63DC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F7423"/>
    <w:multiLevelType w:val="multilevel"/>
    <w:tmpl w:val="559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210DA"/>
    <w:multiLevelType w:val="multilevel"/>
    <w:tmpl w:val="74C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85557"/>
    <w:multiLevelType w:val="multilevel"/>
    <w:tmpl w:val="7DDA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378FE"/>
    <w:multiLevelType w:val="multilevel"/>
    <w:tmpl w:val="199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B6741"/>
    <w:multiLevelType w:val="multilevel"/>
    <w:tmpl w:val="E11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A16DC"/>
    <w:multiLevelType w:val="multilevel"/>
    <w:tmpl w:val="649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F1191"/>
    <w:multiLevelType w:val="multilevel"/>
    <w:tmpl w:val="18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C5A3F"/>
    <w:multiLevelType w:val="multilevel"/>
    <w:tmpl w:val="B65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307D5"/>
    <w:multiLevelType w:val="multilevel"/>
    <w:tmpl w:val="724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B5F04"/>
    <w:multiLevelType w:val="multilevel"/>
    <w:tmpl w:val="CAF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31C1B"/>
    <w:multiLevelType w:val="multilevel"/>
    <w:tmpl w:val="F03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47732"/>
    <w:multiLevelType w:val="multilevel"/>
    <w:tmpl w:val="329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643AC"/>
    <w:multiLevelType w:val="multilevel"/>
    <w:tmpl w:val="C7D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92A41"/>
    <w:multiLevelType w:val="multilevel"/>
    <w:tmpl w:val="62C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575342">
    <w:abstractNumId w:val="0"/>
  </w:num>
  <w:num w:numId="2" w16cid:durableId="495271605">
    <w:abstractNumId w:val="3"/>
  </w:num>
  <w:num w:numId="3" w16cid:durableId="136000996">
    <w:abstractNumId w:val="17"/>
  </w:num>
  <w:num w:numId="4" w16cid:durableId="1777360580">
    <w:abstractNumId w:val="5"/>
  </w:num>
  <w:num w:numId="5" w16cid:durableId="920455068">
    <w:abstractNumId w:val="18"/>
  </w:num>
  <w:num w:numId="6" w16cid:durableId="813834846">
    <w:abstractNumId w:val="4"/>
  </w:num>
  <w:num w:numId="7" w16cid:durableId="1011566783">
    <w:abstractNumId w:val="9"/>
  </w:num>
  <w:num w:numId="8" w16cid:durableId="1545294427">
    <w:abstractNumId w:val="12"/>
  </w:num>
  <w:num w:numId="9" w16cid:durableId="1955938463">
    <w:abstractNumId w:val="7"/>
  </w:num>
  <w:num w:numId="10" w16cid:durableId="1959558478">
    <w:abstractNumId w:val="16"/>
  </w:num>
  <w:num w:numId="11" w16cid:durableId="1515680858">
    <w:abstractNumId w:val="19"/>
  </w:num>
  <w:num w:numId="12" w16cid:durableId="1474642202">
    <w:abstractNumId w:val="15"/>
  </w:num>
  <w:num w:numId="13" w16cid:durableId="2113471819">
    <w:abstractNumId w:val="10"/>
  </w:num>
  <w:num w:numId="14" w16cid:durableId="1777945916">
    <w:abstractNumId w:val="11"/>
  </w:num>
  <w:num w:numId="15" w16cid:durableId="37316222">
    <w:abstractNumId w:val="8"/>
  </w:num>
  <w:num w:numId="16" w16cid:durableId="506361236">
    <w:abstractNumId w:val="13"/>
  </w:num>
  <w:num w:numId="17" w16cid:durableId="448666369">
    <w:abstractNumId w:val="20"/>
  </w:num>
  <w:num w:numId="18" w16cid:durableId="722943687">
    <w:abstractNumId w:val="6"/>
  </w:num>
  <w:num w:numId="19" w16cid:durableId="1484657125">
    <w:abstractNumId w:val="1"/>
  </w:num>
  <w:num w:numId="20" w16cid:durableId="1430351510">
    <w:abstractNumId w:val="2"/>
  </w:num>
  <w:num w:numId="21" w16cid:durableId="1261451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8A"/>
    <w:rsid w:val="001C325F"/>
    <w:rsid w:val="005A7293"/>
    <w:rsid w:val="00C2718A"/>
    <w:rsid w:val="00E04F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5478"/>
  <w15:chartTrackingRefBased/>
  <w15:docId w15:val="{B9867ECD-7DD8-49DB-AB80-C0867B2E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8A"/>
    <w:rPr>
      <w:rFonts w:eastAsiaTheme="majorEastAsia" w:cstheme="majorBidi"/>
      <w:color w:val="272727" w:themeColor="text1" w:themeTint="D8"/>
    </w:rPr>
  </w:style>
  <w:style w:type="paragraph" w:styleId="Title">
    <w:name w:val="Title"/>
    <w:basedOn w:val="Normal"/>
    <w:next w:val="Normal"/>
    <w:link w:val="TitleChar"/>
    <w:uiPriority w:val="10"/>
    <w:qFormat/>
    <w:rsid w:val="00C2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8A"/>
    <w:pPr>
      <w:spacing w:before="160"/>
      <w:jc w:val="center"/>
    </w:pPr>
    <w:rPr>
      <w:i/>
      <w:iCs/>
      <w:color w:val="404040" w:themeColor="text1" w:themeTint="BF"/>
    </w:rPr>
  </w:style>
  <w:style w:type="character" w:customStyle="1" w:styleId="QuoteChar">
    <w:name w:val="Quote Char"/>
    <w:basedOn w:val="DefaultParagraphFont"/>
    <w:link w:val="Quote"/>
    <w:uiPriority w:val="29"/>
    <w:rsid w:val="00C2718A"/>
    <w:rPr>
      <w:i/>
      <w:iCs/>
      <w:color w:val="404040" w:themeColor="text1" w:themeTint="BF"/>
    </w:rPr>
  </w:style>
  <w:style w:type="paragraph" w:styleId="ListParagraph">
    <w:name w:val="List Paragraph"/>
    <w:basedOn w:val="Normal"/>
    <w:uiPriority w:val="34"/>
    <w:qFormat/>
    <w:rsid w:val="00C2718A"/>
    <w:pPr>
      <w:ind w:left="720"/>
      <w:contextualSpacing/>
    </w:pPr>
  </w:style>
  <w:style w:type="character" w:styleId="IntenseEmphasis">
    <w:name w:val="Intense Emphasis"/>
    <w:basedOn w:val="DefaultParagraphFont"/>
    <w:uiPriority w:val="21"/>
    <w:qFormat/>
    <w:rsid w:val="00C2718A"/>
    <w:rPr>
      <w:i/>
      <w:iCs/>
      <w:color w:val="2F5496" w:themeColor="accent1" w:themeShade="BF"/>
    </w:rPr>
  </w:style>
  <w:style w:type="paragraph" w:styleId="IntenseQuote">
    <w:name w:val="Intense Quote"/>
    <w:basedOn w:val="Normal"/>
    <w:next w:val="Normal"/>
    <w:link w:val="IntenseQuoteChar"/>
    <w:uiPriority w:val="30"/>
    <w:qFormat/>
    <w:rsid w:val="00C2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18A"/>
    <w:rPr>
      <w:i/>
      <w:iCs/>
      <w:color w:val="2F5496" w:themeColor="accent1" w:themeShade="BF"/>
    </w:rPr>
  </w:style>
  <w:style w:type="character" w:styleId="IntenseReference">
    <w:name w:val="Intense Reference"/>
    <w:basedOn w:val="DefaultParagraphFont"/>
    <w:uiPriority w:val="32"/>
    <w:qFormat/>
    <w:rsid w:val="00C27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4163</Words>
  <Characters>23730</Characters>
  <Application>Microsoft Office Word</Application>
  <DocSecurity>0</DocSecurity>
  <Lines>197</Lines>
  <Paragraphs>55</Paragraphs>
  <ScaleCrop>false</ScaleCrop>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archita singh</dc:creator>
  <cp:keywords/>
  <dc:description/>
  <cp:lastModifiedBy>theaisha1707@gmail.com</cp:lastModifiedBy>
  <cp:revision>2</cp:revision>
  <dcterms:created xsi:type="dcterms:W3CDTF">2026-02-25T17:58:00Z</dcterms:created>
  <dcterms:modified xsi:type="dcterms:W3CDTF">2026-02-28T08:22:00Z</dcterms:modified>
</cp:coreProperties>
</file>