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C900B" w14:textId="77777777" w:rsidR="00235AC5" w:rsidRPr="00AB5900" w:rsidRDefault="00235AC5" w:rsidP="00F15CEC">
      <w:pPr>
        <w:spacing w:line="360" w:lineRule="auto"/>
        <w:jc w:val="center"/>
        <w:rPr>
          <w:rFonts w:ascii="Times New Roman" w:hAnsi="Times New Roman" w:cs="Times New Roman"/>
          <w:b/>
          <w:bCs/>
          <w:sz w:val="28"/>
          <w:szCs w:val="28"/>
        </w:rPr>
      </w:pPr>
      <w:r w:rsidRPr="00AB5900">
        <w:rPr>
          <w:rFonts w:ascii="Times New Roman" w:hAnsi="Times New Roman" w:cs="Times New Roman"/>
          <w:b/>
          <w:bCs/>
          <w:sz w:val="28"/>
          <w:szCs w:val="28"/>
        </w:rPr>
        <w:t>The Impact of Socio-Economic Factors on Student Dropout</w:t>
      </w:r>
    </w:p>
    <w:p w14:paraId="271F5E1D" w14:textId="40733852" w:rsidR="00235AC5" w:rsidRPr="00AB5900" w:rsidRDefault="00F15CEC" w:rsidP="00165068">
      <w:pPr>
        <w:spacing w:after="0" w:line="360" w:lineRule="auto"/>
        <w:jc w:val="center"/>
        <w:rPr>
          <w:rFonts w:ascii="Times New Roman" w:hAnsi="Times New Roman" w:cs="Times New Roman"/>
          <w:b/>
          <w:bCs/>
          <w:sz w:val="28"/>
          <w:szCs w:val="28"/>
        </w:rPr>
      </w:pPr>
      <w:bookmarkStart w:id="0" w:name="_GoBack"/>
      <w:bookmarkEnd w:id="0"/>
      <w:r w:rsidRPr="00AB5900">
        <w:rPr>
          <w:rFonts w:ascii="Times New Roman" w:hAnsi="Times New Roman" w:cs="Times New Roman"/>
          <w:b/>
          <w:bCs/>
          <w:sz w:val="28"/>
          <w:szCs w:val="28"/>
        </w:rPr>
        <w:t>Abstract</w:t>
      </w:r>
    </w:p>
    <w:p w14:paraId="3DD29E71" w14:textId="66FDE822" w:rsidR="00235AC5" w:rsidRPr="00AB5900" w:rsidRDefault="00235AC5" w:rsidP="00235AC5">
      <w:pPr>
        <w:spacing w:line="360" w:lineRule="auto"/>
        <w:jc w:val="both"/>
        <w:rPr>
          <w:rFonts w:ascii="Times New Roman" w:hAnsi="Times New Roman" w:cs="Times New Roman"/>
          <w:bCs/>
          <w:sz w:val="24"/>
          <w:szCs w:val="28"/>
        </w:rPr>
      </w:pPr>
      <w:r w:rsidRPr="00AB5900">
        <w:rPr>
          <w:rFonts w:ascii="Times New Roman" w:hAnsi="Times New Roman" w:cs="Times New Roman"/>
          <w:bCs/>
          <w:sz w:val="24"/>
          <w:szCs w:val="28"/>
        </w:rPr>
        <w:t xml:space="preserve">In recent times, the incidence of students dropping out of school education has been increasing. This situation negatively affects students’ future lives and has also become a factor influencing the educational development trajectory of Sri Lanka. Against this background, this study was conducted to examine the impact of socio-economic factors on student dropout in Tamil-medium secondary schools in Division 01 of the </w:t>
      </w:r>
      <w:proofErr w:type="spellStart"/>
      <w:r w:rsidRPr="00AB5900">
        <w:rPr>
          <w:rFonts w:ascii="Times New Roman" w:hAnsi="Times New Roman" w:cs="Times New Roman"/>
          <w:bCs/>
          <w:sz w:val="24"/>
          <w:szCs w:val="28"/>
        </w:rPr>
        <w:t>Nuwara</w:t>
      </w:r>
      <w:proofErr w:type="spellEnd"/>
      <w:r w:rsidRPr="00AB5900">
        <w:rPr>
          <w:rFonts w:ascii="Times New Roman" w:hAnsi="Times New Roman" w:cs="Times New Roman"/>
          <w:bCs/>
          <w:sz w:val="24"/>
          <w:szCs w:val="28"/>
        </w:rPr>
        <w:t xml:space="preserve"> </w:t>
      </w:r>
      <w:proofErr w:type="spellStart"/>
      <w:r w:rsidRPr="00AB5900">
        <w:rPr>
          <w:rFonts w:ascii="Times New Roman" w:hAnsi="Times New Roman" w:cs="Times New Roman"/>
          <w:bCs/>
          <w:sz w:val="24"/>
          <w:szCs w:val="28"/>
        </w:rPr>
        <w:t>Eli</w:t>
      </w:r>
      <w:r w:rsidR="00F15CEC" w:rsidRPr="00AB5900">
        <w:rPr>
          <w:rFonts w:ascii="Times New Roman" w:hAnsi="Times New Roman" w:cs="Times New Roman"/>
          <w:bCs/>
          <w:sz w:val="24"/>
          <w:szCs w:val="28"/>
        </w:rPr>
        <w:t>ya</w:t>
      </w:r>
      <w:proofErr w:type="spellEnd"/>
      <w:r w:rsidR="00F15CEC" w:rsidRPr="00AB5900">
        <w:rPr>
          <w:rFonts w:ascii="Times New Roman" w:hAnsi="Times New Roman" w:cs="Times New Roman"/>
          <w:bCs/>
          <w:sz w:val="24"/>
          <w:szCs w:val="28"/>
        </w:rPr>
        <w:t xml:space="preserve"> Education Zone in Sri Lanka. </w:t>
      </w:r>
      <w:r w:rsidRPr="00AB5900">
        <w:rPr>
          <w:rFonts w:ascii="Times New Roman" w:hAnsi="Times New Roman" w:cs="Times New Roman"/>
          <w:bCs/>
          <w:sz w:val="24"/>
          <w:szCs w:val="28"/>
        </w:rPr>
        <w:t xml:space="preserve">The objectives of the study were to identify: the current status of student dropout; the economic and social factors influencing dropout; and the measures taken at the school level to reduce student dropout. The study was designed using a descriptive survey method and a mixed-method approach. Eighteen Tamil-medium secondary schools were selected for the study. Using purposive sampling, 54 teachers, 18 principals, 44 parents, and 66 dropout students were selected as the sample. Quantitative and qualitative data were collected through questionnaires, interviews, and document analysis. The data </w:t>
      </w:r>
      <w:r w:rsidR="00DE5CAF">
        <w:rPr>
          <w:rFonts w:ascii="Times New Roman" w:hAnsi="Times New Roman" w:cs="Times New Roman"/>
          <w:bCs/>
          <w:sz w:val="24"/>
          <w:szCs w:val="28"/>
        </w:rPr>
        <w:t xml:space="preserve">were </w:t>
      </w:r>
      <w:proofErr w:type="spellStart"/>
      <w:r w:rsidR="00DE5CAF">
        <w:rPr>
          <w:rFonts w:ascii="Times New Roman" w:hAnsi="Times New Roman" w:cs="Times New Roman"/>
          <w:bCs/>
          <w:sz w:val="24"/>
          <w:szCs w:val="28"/>
        </w:rPr>
        <w:t>analyzed</w:t>
      </w:r>
      <w:proofErr w:type="spellEnd"/>
      <w:r w:rsidR="00DE5CAF">
        <w:rPr>
          <w:rFonts w:ascii="Times New Roman" w:hAnsi="Times New Roman" w:cs="Times New Roman"/>
          <w:bCs/>
          <w:sz w:val="24"/>
          <w:szCs w:val="28"/>
        </w:rPr>
        <w:t xml:space="preserve"> using descriptive </w:t>
      </w:r>
      <w:r w:rsidRPr="00AB5900">
        <w:rPr>
          <w:rFonts w:ascii="Times New Roman" w:hAnsi="Times New Roman" w:cs="Times New Roman"/>
          <w:bCs/>
          <w:sz w:val="24"/>
          <w:szCs w:val="28"/>
        </w:rPr>
        <w:t>statistical methods, including mean and standard deviation, as well as thematic analysis. The findings revealed that the average dropout rate over the past three years was 25%. The dropout rate was higher among male students compared to female students, and higher among students in Grades 9–11 c</w:t>
      </w:r>
      <w:r w:rsidR="00F15CEC" w:rsidRPr="00AB5900">
        <w:rPr>
          <w:rFonts w:ascii="Times New Roman" w:hAnsi="Times New Roman" w:cs="Times New Roman"/>
          <w:bCs/>
          <w:sz w:val="24"/>
          <w:szCs w:val="28"/>
        </w:rPr>
        <w:t xml:space="preserve">ompared to those in Grades 6–8. </w:t>
      </w:r>
      <w:r w:rsidRPr="00AB5900">
        <w:rPr>
          <w:rFonts w:ascii="Times New Roman" w:hAnsi="Times New Roman" w:cs="Times New Roman"/>
          <w:bCs/>
          <w:sz w:val="24"/>
          <w:szCs w:val="28"/>
        </w:rPr>
        <w:t>Among the economic factors, parental poverty (M = 4.8) and living separately from parents (M = 4.7) had a very high level of influence. Additionally, failure to meet basic needs (M = 3.8) and parents’ occupational status (M = 3.7) showed a moderately high level of influence. Among the social factors, early marriage (M = 4.6), engagement in household work or urban employment (M = 4.6), and family problems (M = 4.7) had a very high level of influence. Similarly, association with over-age peers (M = 3.9) and sexual abuse (M = 3.9) were found to have a moderately high impact. Furthermore, the study found that the measures implemented at the school level to reduce student dropout were neither sufficient nor satisfactory. It is suggested that student dropout can be reduced to some extent through the effective and collaborative implementation of activities aimed at promoting</w:t>
      </w:r>
      <w:r w:rsidR="00F15CEC" w:rsidRPr="00AB5900">
        <w:rPr>
          <w:rFonts w:ascii="Times New Roman" w:hAnsi="Times New Roman" w:cs="Times New Roman"/>
          <w:bCs/>
          <w:sz w:val="24"/>
          <w:szCs w:val="28"/>
        </w:rPr>
        <w:t xml:space="preserve"> students’ continuous learning.</w:t>
      </w:r>
    </w:p>
    <w:p w14:paraId="2E866AFD" w14:textId="77777777" w:rsidR="00165068" w:rsidRPr="00AB5900" w:rsidRDefault="00235AC5" w:rsidP="00352967">
      <w:pPr>
        <w:spacing w:line="360" w:lineRule="auto"/>
        <w:jc w:val="both"/>
        <w:rPr>
          <w:rFonts w:ascii="Times New Roman" w:hAnsi="Times New Roman" w:cs="Times New Roman"/>
          <w:bCs/>
          <w:sz w:val="28"/>
          <w:szCs w:val="28"/>
        </w:rPr>
      </w:pPr>
      <w:r w:rsidRPr="00AB5900">
        <w:rPr>
          <w:rFonts w:ascii="Times New Roman" w:hAnsi="Times New Roman" w:cs="Times New Roman"/>
          <w:b/>
          <w:bCs/>
          <w:i/>
          <w:sz w:val="24"/>
          <w:szCs w:val="28"/>
        </w:rPr>
        <w:t>Key Words:</w:t>
      </w:r>
      <w:r w:rsidRPr="00AB5900">
        <w:rPr>
          <w:rFonts w:ascii="Times New Roman" w:hAnsi="Times New Roman" w:cs="Times New Roman"/>
          <w:bCs/>
          <w:sz w:val="24"/>
          <w:szCs w:val="28"/>
        </w:rPr>
        <w:t xml:space="preserve"> Student dropout, School, Socio-economic factors</w:t>
      </w:r>
    </w:p>
    <w:p w14:paraId="4A994275" w14:textId="77777777" w:rsidR="00E74DDE" w:rsidRDefault="00E74DDE" w:rsidP="009C30AB">
      <w:pPr>
        <w:spacing w:after="0" w:line="360" w:lineRule="auto"/>
        <w:jc w:val="both"/>
        <w:rPr>
          <w:rFonts w:ascii="Times New Roman" w:hAnsi="Times New Roman" w:cs="Times New Roman"/>
          <w:b/>
          <w:sz w:val="28"/>
          <w:szCs w:val="24"/>
        </w:rPr>
      </w:pPr>
    </w:p>
    <w:p w14:paraId="6EE0C093" w14:textId="77777777" w:rsidR="00E74DDE" w:rsidRDefault="00E74DDE" w:rsidP="009C30AB">
      <w:pPr>
        <w:spacing w:after="0" w:line="360" w:lineRule="auto"/>
        <w:jc w:val="both"/>
        <w:rPr>
          <w:rFonts w:ascii="Times New Roman" w:hAnsi="Times New Roman" w:cs="Times New Roman"/>
          <w:b/>
          <w:sz w:val="28"/>
          <w:szCs w:val="24"/>
        </w:rPr>
      </w:pPr>
    </w:p>
    <w:p w14:paraId="66ED4DBE" w14:textId="77777777" w:rsidR="00E74DDE" w:rsidRDefault="00E74DDE" w:rsidP="009C30AB">
      <w:pPr>
        <w:spacing w:after="0" w:line="360" w:lineRule="auto"/>
        <w:jc w:val="both"/>
        <w:rPr>
          <w:rFonts w:ascii="Times New Roman" w:hAnsi="Times New Roman" w:cs="Times New Roman"/>
          <w:b/>
          <w:sz w:val="28"/>
          <w:szCs w:val="24"/>
        </w:rPr>
      </w:pPr>
    </w:p>
    <w:p w14:paraId="1308321F" w14:textId="77777777" w:rsidR="00E74DDE" w:rsidRDefault="00E74DDE" w:rsidP="009C30AB">
      <w:pPr>
        <w:spacing w:after="0" w:line="360" w:lineRule="auto"/>
        <w:jc w:val="both"/>
        <w:rPr>
          <w:rFonts w:ascii="Times New Roman" w:hAnsi="Times New Roman" w:cs="Times New Roman"/>
          <w:b/>
          <w:sz w:val="28"/>
          <w:szCs w:val="24"/>
        </w:rPr>
      </w:pPr>
    </w:p>
    <w:p w14:paraId="192634F8" w14:textId="38CC5C92" w:rsidR="009C30AB" w:rsidRPr="00AB5900" w:rsidRDefault="009C30AB" w:rsidP="009C30AB">
      <w:pPr>
        <w:spacing w:after="0" w:line="360" w:lineRule="auto"/>
        <w:jc w:val="both"/>
        <w:rPr>
          <w:rFonts w:ascii="Times New Roman" w:hAnsi="Times New Roman" w:cs="Times New Roman"/>
          <w:b/>
          <w:sz w:val="28"/>
          <w:szCs w:val="24"/>
        </w:rPr>
      </w:pPr>
      <w:r w:rsidRPr="00AB5900">
        <w:rPr>
          <w:rFonts w:ascii="Times New Roman" w:hAnsi="Times New Roman" w:cs="Times New Roman"/>
          <w:b/>
          <w:sz w:val="28"/>
          <w:szCs w:val="24"/>
        </w:rPr>
        <w:t>Introduction</w:t>
      </w:r>
    </w:p>
    <w:p w14:paraId="2536794A" w14:textId="07881AC8" w:rsidR="009C30AB" w:rsidRPr="00AB5900" w:rsidRDefault="009C30AB" w:rsidP="009C30AB">
      <w:pPr>
        <w:spacing w:line="360" w:lineRule="auto"/>
        <w:jc w:val="both"/>
        <w:rPr>
          <w:rFonts w:ascii="Times New Roman" w:hAnsi="Times New Roman" w:cs="Times New Roman"/>
          <w:sz w:val="24"/>
          <w:szCs w:val="24"/>
        </w:rPr>
      </w:pPr>
      <w:r w:rsidRPr="00AB5900">
        <w:rPr>
          <w:rFonts w:ascii="Times New Roman" w:hAnsi="Times New Roman" w:cs="Times New Roman"/>
          <w:sz w:val="24"/>
        </w:rPr>
        <w:t>Education is recognized as a fundamental human right. Accordingly, education should be provided to all in an equitable and quality-oriented manner</w:t>
      </w:r>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Kirubalan</w:t>
      </w:r>
      <w:proofErr w:type="spellEnd"/>
      <w:r w:rsidRPr="00AB5900">
        <w:rPr>
          <w:rFonts w:ascii="Times New Roman" w:hAnsi="Times New Roman" w:cs="Times New Roman"/>
          <w:sz w:val="24"/>
          <w:szCs w:val="24"/>
        </w:rPr>
        <w:t xml:space="preserve"> &amp; </w:t>
      </w:r>
      <w:proofErr w:type="spellStart"/>
      <w:r w:rsidRPr="00AB5900">
        <w:rPr>
          <w:rFonts w:ascii="Times New Roman" w:hAnsi="Times New Roman" w:cs="Times New Roman"/>
          <w:sz w:val="24"/>
          <w:szCs w:val="24"/>
        </w:rPr>
        <w:t>Sivananthan</w:t>
      </w:r>
      <w:proofErr w:type="spellEnd"/>
      <w:r w:rsidRPr="00AB5900">
        <w:rPr>
          <w:rFonts w:ascii="Times New Roman" w:hAnsi="Times New Roman" w:cs="Times New Roman"/>
          <w:sz w:val="24"/>
          <w:szCs w:val="24"/>
        </w:rPr>
        <w:t xml:space="preserve">, 2026). In this context, when children who attend school leave before completing their education, it is defined as student dropout (Janani, 2023). </w:t>
      </w:r>
      <w:r w:rsidRPr="00AB5900">
        <w:rPr>
          <w:rFonts w:ascii="Times New Roman" w:hAnsi="Times New Roman" w:cs="Times New Roman"/>
          <w:sz w:val="24"/>
        </w:rPr>
        <w:t xml:space="preserve">According to the Sri Lankan Ministry of Education Circular </w:t>
      </w:r>
      <w:r w:rsidRPr="00AB5900">
        <w:rPr>
          <w:rFonts w:ascii="Times New Roman" w:hAnsi="Times New Roman" w:cs="Times New Roman"/>
          <w:sz w:val="24"/>
          <w:szCs w:val="24"/>
        </w:rPr>
        <w:t>(2008/39), if a student does not attend school continuously for 41 days, he or she is considered a dropout. Although the policy of compulsory education for all has been implemented, many students still face various obstacles in continuing their education. Maslow’s Theory of Needs emphasizes that students can focus on and engage in learning only when their basic needs are fulfilled. Accordingly, when examining the socio-economic factors influencing student dropout, it becomes evident that there is a relationship between dropout and unmet social and economic needs.</w:t>
      </w:r>
    </w:p>
    <w:p w14:paraId="68B53701" w14:textId="55906368" w:rsidR="00793A7B" w:rsidRPr="00AB5900" w:rsidRDefault="00793A7B" w:rsidP="00793A7B">
      <w:pPr>
        <w:spacing w:line="360" w:lineRule="auto"/>
        <w:jc w:val="both"/>
        <w:rPr>
          <w:rFonts w:ascii="Times New Roman" w:hAnsi="Times New Roman" w:cs="Times New Roman"/>
          <w:sz w:val="24"/>
          <w:szCs w:val="24"/>
        </w:rPr>
      </w:pPr>
      <w:r w:rsidRPr="00AB5900">
        <w:rPr>
          <w:rFonts w:ascii="Times New Roman" w:hAnsi="Times New Roman" w:cs="Times New Roman"/>
          <w:sz w:val="24"/>
          <w:szCs w:val="24"/>
        </w:rPr>
        <w:t>Social, economic, violence-related, and gender-based inequalities contribute to school dropout (UNICEF, 2021). As a result, a large proportion of students from socially and economically disadvantaged families are unable to continue their education to completion (</w:t>
      </w:r>
      <w:proofErr w:type="spellStart"/>
      <w:r w:rsidRPr="00AB5900">
        <w:rPr>
          <w:rFonts w:ascii="Times New Roman" w:hAnsi="Times New Roman" w:cs="Times New Roman"/>
          <w:sz w:val="24"/>
          <w:szCs w:val="24"/>
        </w:rPr>
        <w:t>Vijayasekar</w:t>
      </w:r>
      <w:proofErr w:type="spellEnd"/>
      <w:r w:rsidRPr="00AB5900">
        <w:rPr>
          <w:rFonts w:ascii="Times New Roman" w:hAnsi="Times New Roman" w:cs="Times New Roman"/>
          <w:sz w:val="24"/>
          <w:szCs w:val="24"/>
        </w:rPr>
        <w:t xml:space="preserve">, 2020). In a study conducted by </w:t>
      </w:r>
      <w:proofErr w:type="spellStart"/>
      <w:r w:rsidRPr="00AB5900">
        <w:rPr>
          <w:rFonts w:ascii="Times New Roman" w:hAnsi="Times New Roman" w:cs="Times New Roman"/>
          <w:sz w:val="24"/>
          <w:szCs w:val="24"/>
        </w:rPr>
        <w:t>Geetha</w:t>
      </w:r>
      <w:proofErr w:type="spellEnd"/>
      <w:r w:rsidRPr="00AB5900">
        <w:rPr>
          <w:rFonts w:ascii="Times New Roman" w:hAnsi="Times New Roman" w:cs="Times New Roman"/>
          <w:sz w:val="24"/>
          <w:szCs w:val="24"/>
        </w:rPr>
        <w:t xml:space="preserve"> and </w:t>
      </w:r>
      <w:proofErr w:type="spellStart"/>
      <w:r w:rsidRPr="00AB5900">
        <w:rPr>
          <w:rFonts w:ascii="Times New Roman" w:hAnsi="Times New Roman" w:cs="Times New Roman"/>
          <w:sz w:val="24"/>
          <w:szCs w:val="24"/>
        </w:rPr>
        <w:t>Salana</w:t>
      </w:r>
      <w:proofErr w:type="spellEnd"/>
      <w:r w:rsidRPr="00AB5900">
        <w:rPr>
          <w:rFonts w:ascii="Times New Roman" w:hAnsi="Times New Roman" w:cs="Times New Roman"/>
          <w:sz w:val="24"/>
          <w:szCs w:val="24"/>
        </w:rPr>
        <w:t xml:space="preserve"> (2021), it was revealed that poverty is a major factor contributing to students dropping out of school. Furthermore, economic difficulties, lack of parental interest, and school fees have been identified as additional causes of student dropout (Latif et al., 2015). In the period following the COVID-19 crisis, reduced employment opportunities and increased economic expenses have also influenced student dropout rates (</w:t>
      </w:r>
      <w:proofErr w:type="spellStart"/>
      <w:r w:rsidRPr="00AB5900">
        <w:rPr>
          <w:rFonts w:ascii="Times New Roman" w:hAnsi="Times New Roman" w:cs="Times New Roman"/>
          <w:sz w:val="24"/>
          <w:szCs w:val="24"/>
        </w:rPr>
        <w:t>Atat</w:t>
      </w:r>
      <w:proofErr w:type="spellEnd"/>
      <w:r w:rsidRPr="00AB5900">
        <w:rPr>
          <w:rFonts w:ascii="Times New Roman" w:hAnsi="Times New Roman" w:cs="Times New Roman"/>
          <w:sz w:val="24"/>
          <w:szCs w:val="24"/>
        </w:rPr>
        <w:t xml:space="preserve"> et al., 2023).  </w:t>
      </w:r>
    </w:p>
    <w:p w14:paraId="0B780E67" w14:textId="0B0C1D4C" w:rsidR="00793A7B" w:rsidRPr="00AB5900" w:rsidRDefault="00793A7B" w:rsidP="00793A7B">
      <w:pPr>
        <w:spacing w:line="360" w:lineRule="auto"/>
        <w:jc w:val="both"/>
        <w:rPr>
          <w:rFonts w:ascii="Times New Roman" w:hAnsi="Times New Roman" w:cs="Times New Roman"/>
          <w:sz w:val="24"/>
          <w:szCs w:val="24"/>
        </w:rPr>
      </w:pPr>
      <w:r w:rsidRPr="00AB5900">
        <w:rPr>
          <w:rFonts w:ascii="Times New Roman" w:hAnsi="Times New Roman" w:cs="Times New Roman"/>
          <w:sz w:val="24"/>
          <w:szCs w:val="24"/>
        </w:rPr>
        <w:t xml:space="preserve">In a study conducted by Ana Perez (2021), it was found that in many countries, boys drop out at higher rates than girls at the school level. The study further revealed that male students often leave school due to pressure to work to support family income or due to peer influence. Michael O (2024) found in his study that parental mental health issues or substance abuse frequently lead to financial crises and social isolation within families, which in turn pushes students to leave school in order to support their families. Additionally, </w:t>
      </w:r>
      <w:proofErr w:type="spellStart"/>
      <w:r w:rsidRPr="00AB5900">
        <w:rPr>
          <w:rFonts w:ascii="Times New Roman" w:hAnsi="Times New Roman" w:cs="Times New Roman"/>
          <w:sz w:val="24"/>
          <w:szCs w:val="24"/>
        </w:rPr>
        <w:t>Gunawardhana</w:t>
      </w:r>
      <w:proofErr w:type="spellEnd"/>
      <w:r w:rsidRPr="00AB5900">
        <w:rPr>
          <w:rFonts w:ascii="Times New Roman" w:hAnsi="Times New Roman" w:cs="Times New Roman"/>
          <w:sz w:val="24"/>
          <w:szCs w:val="24"/>
        </w:rPr>
        <w:t xml:space="preserve"> (2019) revealed that discontinuing education midway weakens students’ quality of life, pushes them into economic decline, limits their access to quality employment, and often results in their continued engagement in low-paid wage </w:t>
      </w:r>
      <w:proofErr w:type="spellStart"/>
      <w:r w:rsidRPr="00AB5900">
        <w:rPr>
          <w:rFonts w:ascii="Times New Roman" w:hAnsi="Times New Roman" w:cs="Times New Roman"/>
          <w:sz w:val="24"/>
          <w:szCs w:val="24"/>
        </w:rPr>
        <w:t>labor</w:t>
      </w:r>
      <w:proofErr w:type="spellEnd"/>
      <w:r w:rsidRPr="00AB5900">
        <w:rPr>
          <w:rFonts w:ascii="Times New Roman" w:hAnsi="Times New Roman" w:cs="Times New Roman"/>
          <w:sz w:val="24"/>
          <w:szCs w:val="24"/>
        </w:rPr>
        <w:t>.</w:t>
      </w:r>
    </w:p>
    <w:p w14:paraId="18275815" w14:textId="496B957B" w:rsidR="00DD57C9" w:rsidRPr="00AB5900" w:rsidRDefault="00DD57C9" w:rsidP="00352967">
      <w:pPr>
        <w:spacing w:line="360" w:lineRule="auto"/>
        <w:jc w:val="both"/>
        <w:rPr>
          <w:rFonts w:ascii="Times New Roman" w:hAnsi="Times New Roman" w:cs="Times New Roman"/>
          <w:sz w:val="24"/>
          <w:szCs w:val="24"/>
        </w:rPr>
      </w:pPr>
    </w:p>
    <w:p w14:paraId="6DDF7626" w14:textId="77777777" w:rsidR="00793A7B" w:rsidRPr="00AB5900" w:rsidRDefault="00793A7B" w:rsidP="00793A7B">
      <w:pPr>
        <w:spacing w:after="0" w:line="360" w:lineRule="auto"/>
        <w:jc w:val="both"/>
        <w:rPr>
          <w:rFonts w:ascii="Times New Roman" w:hAnsi="Times New Roman" w:cs="Times New Roman"/>
          <w:sz w:val="24"/>
          <w:szCs w:val="24"/>
        </w:rPr>
      </w:pPr>
      <w:r w:rsidRPr="00AB5900">
        <w:rPr>
          <w:rFonts w:ascii="Times New Roman" w:hAnsi="Times New Roman" w:cs="Times New Roman"/>
          <w:sz w:val="24"/>
          <w:szCs w:val="24"/>
        </w:rPr>
        <w:t xml:space="preserve">In this background, in the Tamil-medium schools in Division I of the </w:t>
      </w:r>
      <w:proofErr w:type="spellStart"/>
      <w:r w:rsidRPr="00AB5900">
        <w:rPr>
          <w:rFonts w:ascii="Times New Roman" w:hAnsi="Times New Roman" w:cs="Times New Roman"/>
          <w:sz w:val="24"/>
          <w:szCs w:val="24"/>
        </w:rPr>
        <w:t>Nuwara</w:t>
      </w:r>
      <w:proofErr w:type="spellEnd"/>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Eliya</w:t>
      </w:r>
      <w:proofErr w:type="spellEnd"/>
      <w:r w:rsidRPr="00AB5900">
        <w:rPr>
          <w:rFonts w:ascii="Times New Roman" w:hAnsi="Times New Roman" w:cs="Times New Roman"/>
          <w:sz w:val="24"/>
          <w:szCs w:val="24"/>
        </w:rPr>
        <w:t xml:space="preserve"> Education Zone in Sri </w:t>
      </w:r>
      <w:proofErr w:type="spellStart"/>
      <w:r w:rsidRPr="00AB5900">
        <w:rPr>
          <w:rFonts w:ascii="Times New Roman" w:hAnsi="Times New Roman" w:cs="Times New Roman"/>
          <w:sz w:val="24"/>
          <w:szCs w:val="24"/>
        </w:rPr>
        <w:t>Lanaka</w:t>
      </w:r>
      <w:proofErr w:type="spellEnd"/>
      <w:r w:rsidRPr="00AB5900">
        <w:rPr>
          <w:rFonts w:ascii="Times New Roman" w:hAnsi="Times New Roman" w:cs="Times New Roman"/>
          <w:sz w:val="24"/>
          <w:szCs w:val="24"/>
        </w:rPr>
        <w:t>, an average of 24 students have dropped out from the secondary section over the past three years. Of these, 66% are male students and 34% are female students (</w:t>
      </w:r>
      <w:proofErr w:type="spellStart"/>
      <w:r w:rsidRPr="00AB5900">
        <w:rPr>
          <w:rFonts w:ascii="Times New Roman" w:hAnsi="Times New Roman" w:cs="Times New Roman"/>
          <w:sz w:val="24"/>
          <w:szCs w:val="24"/>
        </w:rPr>
        <w:t>Nuwara</w:t>
      </w:r>
      <w:proofErr w:type="spellEnd"/>
      <w:r w:rsidRPr="00AB5900">
        <w:rPr>
          <w:rFonts w:ascii="Times New Roman" w:hAnsi="Times New Roman" w:cs="Times New Roman"/>
          <w:sz w:val="24"/>
          <w:szCs w:val="24"/>
        </w:rPr>
        <w:t xml:space="preserve"> </w:t>
      </w:r>
      <w:proofErr w:type="spellStart"/>
      <w:r w:rsidRPr="00AB5900">
        <w:rPr>
          <w:rFonts w:ascii="Times New Roman" w:hAnsi="Times New Roman" w:cs="Times New Roman"/>
          <w:sz w:val="24"/>
          <w:szCs w:val="24"/>
        </w:rPr>
        <w:t>Eliya</w:t>
      </w:r>
      <w:proofErr w:type="spellEnd"/>
      <w:r w:rsidRPr="00AB5900">
        <w:rPr>
          <w:rFonts w:ascii="Times New Roman" w:hAnsi="Times New Roman" w:cs="Times New Roman"/>
          <w:sz w:val="24"/>
          <w:szCs w:val="24"/>
        </w:rPr>
        <w:t xml:space="preserve"> Education Zone Development Division, 2024). Such school dropout adversely affects students’ learning development as well as their opportunities to gain social experiences. Therefore, this study has been undertaken with the aim of identifying how socio-economic factors influence student dropout.</w:t>
      </w:r>
    </w:p>
    <w:p w14:paraId="30C48C1D" w14:textId="77777777" w:rsidR="00793A7B" w:rsidRPr="00703800" w:rsidRDefault="00793A7B" w:rsidP="00793A7B">
      <w:pPr>
        <w:spacing w:after="0" w:line="360" w:lineRule="auto"/>
        <w:jc w:val="both"/>
        <w:rPr>
          <w:rFonts w:ascii="Times New Roman" w:hAnsi="Times New Roman" w:cs="Times New Roman"/>
          <w:sz w:val="14"/>
          <w:szCs w:val="24"/>
        </w:rPr>
      </w:pPr>
    </w:p>
    <w:p w14:paraId="53AE7600" w14:textId="7B08E6E7" w:rsidR="00793A7B" w:rsidRPr="00AB5900" w:rsidRDefault="00FE6B41" w:rsidP="00793A7B">
      <w:pPr>
        <w:spacing w:after="0" w:line="360" w:lineRule="auto"/>
        <w:jc w:val="both"/>
        <w:rPr>
          <w:rFonts w:ascii="Times New Roman" w:hAnsi="Times New Roman" w:cs="Times New Roman"/>
          <w:b/>
          <w:sz w:val="28"/>
          <w:szCs w:val="24"/>
        </w:rPr>
      </w:pPr>
      <w:r w:rsidRPr="00AB5900">
        <w:rPr>
          <w:rFonts w:ascii="Times New Roman" w:hAnsi="Times New Roman" w:cs="Times New Roman"/>
          <w:b/>
          <w:sz w:val="28"/>
          <w:szCs w:val="24"/>
        </w:rPr>
        <w:t>Objectives of the Study</w:t>
      </w:r>
    </w:p>
    <w:p w14:paraId="62A4FF16" w14:textId="13A6B4BB"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identify the current status of student dropout.</w:t>
      </w:r>
    </w:p>
    <w:p w14:paraId="5BD893B8" w14:textId="547230CB"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determine the economic facto</w:t>
      </w:r>
      <w:r w:rsidR="00FE6B41" w:rsidRPr="00AB5900">
        <w:rPr>
          <w:rFonts w:ascii="Times New Roman" w:hAnsi="Times New Roman" w:cs="Times New Roman"/>
          <w:sz w:val="24"/>
          <w:szCs w:val="24"/>
        </w:rPr>
        <w:t>rs influencing student dropout.</w:t>
      </w:r>
    </w:p>
    <w:p w14:paraId="2ADA8AEF" w14:textId="5386F243" w:rsidR="00793A7B"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To identify the social fac</w:t>
      </w:r>
      <w:r w:rsidR="00FE6B41" w:rsidRPr="00AB5900">
        <w:rPr>
          <w:rFonts w:ascii="Times New Roman" w:hAnsi="Times New Roman" w:cs="Times New Roman"/>
          <w:sz w:val="24"/>
          <w:szCs w:val="24"/>
        </w:rPr>
        <w:t>tors affecting student dropout.</w:t>
      </w:r>
    </w:p>
    <w:p w14:paraId="13D96E71" w14:textId="77777777" w:rsidR="00FE6B41" w:rsidRPr="00AB5900" w:rsidRDefault="00793A7B" w:rsidP="00FE6B41">
      <w:pPr>
        <w:pStyle w:val="ListParagraph"/>
        <w:numPr>
          <w:ilvl w:val="0"/>
          <w:numId w:val="9"/>
        </w:numPr>
        <w:spacing w:after="0" w:line="360" w:lineRule="auto"/>
        <w:ind w:left="270" w:hanging="270"/>
        <w:jc w:val="both"/>
        <w:rPr>
          <w:rFonts w:ascii="Times New Roman" w:hAnsi="Times New Roman" w:cs="Times New Roman"/>
          <w:sz w:val="24"/>
          <w:szCs w:val="24"/>
        </w:rPr>
      </w:pPr>
      <w:r w:rsidRPr="00AB5900">
        <w:rPr>
          <w:rFonts w:ascii="Times New Roman" w:hAnsi="Times New Roman" w:cs="Times New Roman"/>
          <w:sz w:val="24"/>
          <w:szCs w:val="24"/>
        </w:rPr>
        <w:t xml:space="preserve">To </w:t>
      </w:r>
      <w:proofErr w:type="spellStart"/>
      <w:r w:rsidRPr="00AB5900">
        <w:rPr>
          <w:rFonts w:ascii="Times New Roman" w:hAnsi="Times New Roman" w:cs="Times New Roman"/>
          <w:sz w:val="24"/>
          <w:szCs w:val="24"/>
        </w:rPr>
        <w:t>analyze</w:t>
      </w:r>
      <w:proofErr w:type="spellEnd"/>
      <w:r w:rsidRPr="00AB5900">
        <w:rPr>
          <w:rFonts w:ascii="Times New Roman" w:hAnsi="Times New Roman" w:cs="Times New Roman"/>
          <w:sz w:val="24"/>
          <w:szCs w:val="24"/>
        </w:rPr>
        <w:t xml:space="preserve"> the measures implemented at the school level to minimize student dropout.</w:t>
      </w:r>
    </w:p>
    <w:p w14:paraId="0CD4F711" w14:textId="77777777" w:rsidR="00FE6B41" w:rsidRPr="00703800" w:rsidRDefault="00FE6B41" w:rsidP="00FE6B41">
      <w:pPr>
        <w:spacing w:after="0" w:line="360" w:lineRule="auto"/>
        <w:ind w:left="270" w:hanging="270"/>
        <w:jc w:val="both"/>
        <w:rPr>
          <w:rFonts w:ascii="Times New Roman" w:hAnsi="Times New Roman" w:cs="Times New Roman"/>
          <w:sz w:val="20"/>
          <w:szCs w:val="24"/>
        </w:rPr>
      </w:pPr>
    </w:p>
    <w:p w14:paraId="0A04DF6E" w14:textId="6191C66E" w:rsidR="00AB5900" w:rsidRPr="00AB5900" w:rsidRDefault="00AB5900" w:rsidP="00793A7B">
      <w:pPr>
        <w:spacing w:after="0" w:line="360" w:lineRule="auto"/>
        <w:jc w:val="both"/>
        <w:rPr>
          <w:rFonts w:ascii="Times New Roman" w:hAnsi="Times New Roman" w:cs="Times New Roman"/>
          <w:b/>
          <w:bCs/>
          <w:sz w:val="28"/>
          <w:szCs w:val="28"/>
        </w:rPr>
      </w:pPr>
      <w:r w:rsidRPr="00AB5900">
        <w:rPr>
          <w:rFonts w:ascii="Times New Roman" w:hAnsi="Times New Roman" w:cs="Times New Roman"/>
          <w:b/>
          <w:bCs/>
          <w:sz w:val="28"/>
          <w:szCs w:val="28"/>
        </w:rPr>
        <w:t>Literature review</w:t>
      </w:r>
    </w:p>
    <w:p w14:paraId="21BA5DC4" w14:textId="72A3569F" w:rsidR="00AB5900" w:rsidRPr="00AB5900" w:rsidRDefault="00AB5900" w:rsidP="00793A7B">
      <w:pPr>
        <w:spacing w:after="0" w:line="360" w:lineRule="auto"/>
        <w:jc w:val="both"/>
        <w:rPr>
          <w:rFonts w:ascii="Times New Roman" w:hAnsi="Times New Roman" w:cs="Times New Roman"/>
          <w:bCs/>
          <w:sz w:val="24"/>
          <w:szCs w:val="28"/>
        </w:rPr>
      </w:pPr>
      <w:r w:rsidRPr="00AB5900">
        <w:rPr>
          <w:rFonts w:ascii="Times New Roman" w:hAnsi="Times New Roman" w:cs="Times New Roman"/>
          <w:bCs/>
          <w:sz w:val="24"/>
          <w:szCs w:val="28"/>
        </w:rPr>
        <w:t>The contribution of parents to the academic achievement of students is essential (</w:t>
      </w:r>
      <w:proofErr w:type="spellStart"/>
      <w:r w:rsidRPr="00AB5900">
        <w:rPr>
          <w:rFonts w:ascii="Times New Roman" w:hAnsi="Times New Roman" w:cs="Times New Roman"/>
          <w:bCs/>
          <w:sz w:val="24"/>
          <w:szCs w:val="28"/>
        </w:rPr>
        <w:t>Sivananthan</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Wedikandage</w:t>
      </w:r>
      <w:proofErr w:type="spellEnd"/>
      <w:r w:rsidRPr="00AB5900">
        <w:rPr>
          <w:rFonts w:ascii="Times New Roman" w:hAnsi="Times New Roman" w:cs="Times New Roman"/>
          <w:bCs/>
          <w:sz w:val="24"/>
          <w:szCs w:val="28"/>
        </w:rPr>
        <w:t>, 2023). Furthermore, extrinsic motivational factors—such as tangible rewards, competitive environments, and parental involvement increase students’ involvement in education (</w:t>
      </w:r>
      <w:proofErr w:type="spellStart"/>
      <w:r w:rsidRPr="00AB5900">
        <w:rPr>
          <w:rFonts w:ascii="Times New Roman" w:hAnsi="Times New Roman" w:cs="Times New Roman"/>
          <w:bCs/>
          <w:sz w:val="24"/>
          <w:szCs w:val="28"/>
        </w:rPr>
        <w:t>Athirathan</w:t>
      </w:r>
      <w:proofErr w:type="spellEnd"/>
      <w:r w:rsidRPr="00AB5900">
        <w:rPr>
          <w:rFonts w:ascii="Times New Roman" w:hAnsi="Times New Roman" w:cs="Times New Roman"/>
          <w:bCs/>
          <w:sz w:val="24"/>
          <w:szCs w:val="28"/>
        </w:rPr>
        <w:t>, 2024). Therefore, Parental separation, whether due to divorce, migration, or financial constraints, poses substantial challenges not only to children’s emotional and psychological well-being but also to their academic progress (</w:t>
      </w:r>
      <w:proofErr w:type="spellStart"/>
      <w:r w:rsidRPr="00AB5900">
        <w:rPr>
          <w:rFonts w:ascii="Times New Roman" w:hAnsi="Times New Roman" w:cs="Times New Roman"/>
          <w:bCs/>
          <w:sz w:val="24"/>
          <w:szCs w:val="28"/>
        </w:rPr>
        <w:t>Luxmanathasan</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Sivananthan</w:t>
      </w:r>
      <w:proofErr w:type="spellEnd"/>
      <w:r w:rsidRPr="00AB5900">
        <w:rPr>
          <w:rFonts w:ascii="Times New Roman" w:hAnsi="Times New Roman" w:cs="Times New Roman"/>
          <w:bCs/>
          <w:sz w:val="24"/>
          <w:szCs w:val="28"/>
        </w:rPr>
        <w:t>, 2026).  Accordingly, lack of parental encouragement, parental death, and separation are identified as factors that contribute to student dropout (</w:t>
      </w:r>
      <w:proofErr w:type="spellStart"/>
      <w:r w:rsidRPr="00AB5900">
        <w:rPr>
          <w:rFonts w:ascii="Times New Roman" w:hAnsi="Times New Roman" w:cs="Times New Roman"/>
          <w:bCs/>
          <w:sz w:val="24"/>
          <w:szCs w:val="28"/>
        </w:rPr>
        <w:t>Geethavini</w:t>
      </w:r>
      <w:proofErr w:type="spellEnd"/>
      <w:r w:rsidRPr="00AB5900">
        <w:rPr>
          <w:rFonts w:ascii="Times New Roman" w:hAnsi="Times New Roman" w:cs="Times New Roman"/>
          <w:bCs/>
          <w:sz w:val="24"/>
          <w:szCs w:val="28"/>
        </w:rPr>
        <w:t xml:space="preserve"> &amp; </w:t>
      </w:r>
      <w:proofErr w:type="spellStart"/>
      <w:r w:rsidRPr="00AB5900">
        <w:rPr>
          <w:rFonts w:ascii="Times New Roman" w:hAnsi="Times New Roman" w:cs="Times New Roman"/>
          <w:bCs/>
          <w:sz w:val="24"/>
          <w:szCs w:val="28"/>
        </w:rPr>
        <w:t>Udayakumar</w:t>
      </w:r>
      <w:proofErr w:type="spellEnd"/>
      <w:r w:rsidRPr="00AB5900">
        <w:rPr>
          <w:rFonts w:ascii="Times New Roman" w:hAnsi="Times New Roman" w:cs="Times New Roman"/>
          <w:bCs/>
          <w:sz w:val="24"/>
          <w:szCs w:val="28"/>
        </w:rPr>
        <w:t>, 2014).</w:t>
      </w:r>
    </w:p>
    <w:p w14:paraId="30089200" w14:textId="77777777" w:rsidR="00AB5900" w:rsidRDefault="00AB5900" w:rsidP="00793A7B">
      <w:pPr>
        <w:spacing w:after="0" w:line="360" w:lineRule="auto"/>
        <w:jc w:val="both"/>
        <w:rPr>
          <w:rFonts w:ascii="Bamini" w:hAnsi="Bamini"/>
          <w:b/>
          <w:bCs/>
          <w:sz w:val="24"/>
          <w:szCs w:val="28"/>
        </w:rPr>
      </w:pPr>
    </w:p>
    <w:p w14:paraId="2C795406" w14:textId="77777777" w:rsidR="00AB5900" w:rsidRPr="00AB5900" w:rsidRDefault="00AB5900" w:rsidP="00AB5900">
      <w:pPr>
        <w:spacing w:after="0" w:line="360" w:lineRule="auto"/>
        <w:jc w:val="both"/>
        <w:rPr>
          <w:rStyle w:val="fontstyle01"/>
          <w:rFonts w:ascii="Times New Roman" w:hAnsi="Times New Roman" w:cs="Times New Roman"/>
        </w:rPr>
      </w:pPr>
      <w:r w:rsidRPr="00AB5900">
        <w:rPr>
          <w:rStyle w:val="fontstyle01"/>
          <w:rFonts w:ascii="Times New Roman" w:hAnsi="Times New Roman" w:cs="Times New Roman"/>
        </w:rPr>
        <w:t xml:space="preserve">In a study conducted by </w:t>
      </w:r>
      <w:proofErr w:type="spellStart"/>
      <w:r w:rsidRPr="00AB5900">
        <w:rPr>
          <w:rStyle w:val="fontstyle01"/>
          <w:rFonts w:ascii="Times New Roman" w:hAnsi="Times New Roman" w:cs="Times New Roman"/>
        </w:rPr>
        <w:t>Subatharsini</w:t>
      </w:r>
      <w:proofErr w:type="spellEnd"/>
      <w:r w:rsidRPr="00AB5900">
        <w:rPr>
          <w:rStyle w:val="fontstyle01"/>
          <w:rFonts w:ascii="Times New Roman" w:hAnsi="Times New Roman" w:cs="Times New Roman"/>
        </w:rPr>
        <w:t xml:space="preserve"> (2016), it was found that factors such as inappropriate teaching methods, long distance to school, lack of interest in learning, inadequate housing facilities, insufficient attention to children, and difficulties in providing necessary learning materials contribute to student dropout. The study also identified the growth of social media and fascination with modern lifestyle trends as additional factors influencing dropout.</w:t>
      </w:r>
    </w:p>
    <w:p w14:paraId="45993316" w14:textId="77777777" w:rsidR="00AB5900" w:rsidRPr="00AB5900" w:rsidRDefault="00AB5900" w:rsidP="00AB5900">
      <w:pPr>
        <w:spacing w:after="0" w:line="360" w:lineRule="auto"/>
        <w:jc w:val="both"/>
        <w:rPr>
          <w:rStyle w:val="fontstyle01"/>
          <w:rFonts w:ascii="Times New Roman" w:hAnsi="Times New Roman" w:cs="Times New Roman"/>
        </w:rPr>
      </w:pPr>
    </w:p>
    <w:p w14:paraId="705288C6" w14:textId="386ACF25" w:rsidR="00AB5900" w:rsidRPr="00AB5900" w:rsidRDefault="00AB5900" w:rsidP="00AB5900">
      <w:pPr>
        <w:spacing w:after="0" w:line="360" w:lineRule="auto"/>
        <w:jc w:val="both"/>
        <w:rPr>
          <w:rStyle w:val="fontstyle01"/>
          <w:rFonts w:ascii="Times New Roman" w:hAnsi="Times New Roman" w:cs="Times New Roman"/>
        </w:rPr>
      </w:pPr>
      <w:r w:rsidRPr="00AB5900">
        <w:rPr>
          <w:rStyle w:val="fontstyle01"/>
          <w:rFonts w:ascii="Times New Roman" w:hAnsi="Times New Roman" w:cs="Times New Roman"/>
        </w:rPr>
        <w:lastRenderedPageBreak/>
        <w:t xml:space="preserve">Although family-related factors are significant, </w:t>
      </w:r>
      <w:proofErr w:type="spellStart"/>
      <w:r w:rsidRPr="00AB5900">
        <w:rPr>
          <w:rStyle w:val="fontstyle01"/>
          <w:rFonts w:ascii="Times New Roman" w:hAnsi="Times New Roman" w:cs="Times New Roman"/>
        </w:rPr>
        <w:t>Seetha</w:t>
      </w:r>
      <w:proofErr w:type="spellEnd"/>
      <w:r w:rsidRPr="00AB5900">
        <w:rPr>
          <w:rStyle w:val="fontstyle01"/>
          <w:rFonts w:ascii="Times New Roman" w:hAnsi="Times New Roman" w:cs="Times New Roman"/>
        </w:rPr>
        <w:t xml:space="preserve"> and </w:t>
      </w:r>
      <w:proofErr w:type="spellStart"/>
      <w:r w:rsidRPr="00AB5900">
        <w:rPr>
          <w:rStyle w:val="fontstyle01"/>
          <w:rFonts w:ascii="Times New Roman" w:hAnsi="Times New Roman" w:cs="Times New Roman"/>
        </w:rPr>
        <w:t>Kalana</w:t>
      </w:r>
      <w:proofErr w:type="spellEnd"/>
      <w:r w:rsidRPr="00AB5900">
        <w:rPr>
          <w:rStyle w:val="fontstyle01"/>
          <w:rFonts w:ascii="Times New Roman" w:hAnsi="Times New Roman" w:cs="Times New Roman"/>
        </w:rPr>
        <w:t xml:space="preserve"> (2021) found that social factors are equally important in contributing to student dropout. Despite the Sri Lankan government providing free education, estate-sector students tend to neglect this opportunity and drop out of school (</w:t>
      </w:r>
      <w:proofErr w:type="spellStart"/>
      <w:r w:rsidRPr="00AB5900">
        <w:rPr>
          <w:rStyle w:val="fontstyle01"/>
          <w:rFonts w:ascii="Times New Roman" w:hAnsi="Times New Roman" w:cs="Times New Roman"/>
        </w:rPr>
        <w:t>Thibakaran</w:t>
      </w:r>
      <w:proofErr w:type="spellEnd"/>
      <w:r w:rsidRPr="00AB5900">
        <w:rPr>
          <w:rStyle w:val="fontstyle01"/>
          <w:rFonts w:ascii="Times New Roman" w:hAnsi="Times New Roman" w:cs="Times New Roman"/>
        </w:rPr>
        <w:t xml:space="preserve">, 2016). It has also been noted that increased academic workload and health issues contribute to student dropout </w:t>
      </w:r>
      <w:r w:rsidRPr="00213849">
        <w:rPr>
          <w:rFonts w:ascii="Times New Roman" w:hAnsi="Times New Roman" w:cs="Times New Roman"/>
          <w:sz w:val="24"/>
          <w:szCs w:val="24"/>
        </w:rPr>
        <w:t>(Gonzalez, 2023</w:t>
      </w:r>
      <w:r w:rsidR="00025EE4">
        <w:rPr>
          <w:rFonts w:ascii="Times New Roman" w:hAnsi="Times New Roman" w:cs="Times New Roman"/>
          <w:sz w:val="24"/>
          <w:szCs w:val="24"/>
        </w:rPr>
        <w:t>).</w:t>
      </w:r>
      <w:r w:rsidR="00025EE4">
        <w:rPr>
          <w:rStyle w:val="fontstyle01"/>
          <w:rFonts w:ascii="Times New Roman" w:hAnsi="Times New Roman" w:cs="Times New Roman"/>
        </w:rPr>
        <w:t xml:space="preserve"> </w:t>
      </w:r>
      <w:r w:rsidRPr="00AB5900">
        <w:rPr>
          <w:rStyle w:val="fontstyle01"/>
          <w:rFonts w:ascii="Times New Roman" w:hAnsi="Times New Roman" w:cs="Times New Roman"/>
        </w:rPr>
        <w:t xml:space="preserve">Furthermore, students who drop out of school face various social problems. In particular, they lose opportunities to gain broad knowledge and may develop narrow perspectives. In the future, they may become dependent on others even to </w:t>
      </w:r>
      <w:proofErr w:type="spellStart"/>
      <w:r w:rsidRPr="00AB5900">
        <w:rPr>
          <w:rStyle w:val="fontstyle01"/>
          <w:rFonts w:ascii="Times New Roman" w:hAnsi="Times New Roman" w:cs="Times New Roman"/>
        </w:rPr>
        <w:t>fulfill</w:t>
      </w:r>
      <w:proofErr w:type="spellEnd"/>
      <w:r w:rsidRPr="00AB5900">
        <w:rPr>
          <w:rStyle w:val="fontstyle01"/>
          <w:rFonts w:ascii="Times New Roman" w:hAnsi="Times New Roman" w:cs="Times New Roman"/>
        </w:rPr>
        <w:t xml:space="preserve"> their basic needs. They are also more vulnerable to deviant </w:t>
      </w:r>
      <w:proofErr w:type="spellStart"/>
      <w:r w:rsidRPr="00AB5900">
        <w:rPr>
          <w:rStyle w:val="fontstyle01"/>
          <w:rFonts w:ascii="Times New Roman" w:hAnsi="Times New Roman" w:cs="Times New Roman"/>
        </w:rPr>
        <w:t>behaviors</w:t>
      </w:r>
      <w:proofErr w:type="spellEnd"/>
      <w:r w:rsidRPr="00AB5900">
        <w:rPr>
          <w:rStyle w:val="fontstyle01"/>
          <w:rFonts w:ascii="Times New Roman" w:hAnsi="Times New Roman" w:cs="Times New Roman"/>
        </w:rPr>
        <w:t xml:space="preserve"> and may fail to adhere to social norms and ethical standards </w:t>
      </w:r>
      <w:r w:rsidRPr="00213849">
        <w:rPr>
          <w:rFonts w:ascii="Times New Roman" w:hAnsi="Times New Roman" w:cs="Times New Roman"/>
          <w:sz w:val="24"/>
          <w:szCs w:val="24"/>
        </w:rPr>
        <w:t>(Smith, 2020</w:t>
      </w:r>
      <w:r w:rsidRPr="00E95D21">
        <w:rPr>
          <w:rFonts w:ascii="Bamini" w:hAnsi="Bamini" w:cs="Times New Roman"/>
          <w:sz w:val="24"/>
          <w:szCs w:val="24"/>
        </w:rPr>
        <w:t>).</w:t>
      </w:r>
    </w:p>
    <w:p w14:paraId="6729A444" w14:textId="3F8006E7" w:rsidR="00AB5900" w:rsidRPr="00703800" w:rsidRDefault="00AB5900" w:rsidP="00AB5900">
      <w:pPr>
        <w:spacing w:after="0" w:line="360" w:lineRule="auto"/>
        <w:jc w:val="both"/>
        <w:rPr>
          <w:rStyle w:val="fontstyle01"/>
          <w:rFonts w:ascii="Bamini" w:hAnsi="Bamini"/>
          <w:sz w:val="18"/>
        </w:rPr>
      </w:pPr>
    </w:p>
    <w:p w14:paraId="4DF3AAFE" w14:textId="7A9D2083" w:rsidR="00025EE4" w:rsidRPr="00025EE4" w:rsidRDefault="00025EE4" w:rsidP="00025EE4">
      <w:pPr>
        <w:pStyle w:val="NormalWeb"/>
        <w:spacing w:after="0" w:afterAutospacing="0" w:line="360" w:lineRule="auto"/>
        <w:jc w:val="both"/>
        <w:rPr>
          <w:b/>
          <w:bCs/>
          <w:sz w:val="28"/>
        </w:rPr>
      </w:pPr>
      <w:r w:rsidRPr="00025EE4">
        <w:rPr>
          <w:rStyle w:val="Strong"/>
          <w:sz w:val="28"/>
        </w:rPr>
        <w:t>Research Methodology</w:t>
      </w:r>
    </w:p>
    <w:p w14:paraId="727EF11E" w14:textId="4CE7DB17" w:rsidR="00025EE4" w:rsidRDefault="00025EE4" w:rsidP="00025EE4">
      <w:pPr>
        <w:pStyle w:val="NormalWeb"/>
        <w:spacing w:before="0" w:beforeAutospacing="0" w:line="360" w:lineRule="auto"/>
        <w:jc w:val="both"/>
      </w:pPr>
      <w:r>
        <w:t xml:space="preserve">This study was conducted using a descriptive survey research design. Eighteen Tamil-medium secondary schools in Education Division–01 of the </w:t>
      </w:r>
      <w:proofErr w:type="spellStart"/>
      <w:r>
        <w:t>Nuwara</w:t>
      </w:r>
      <w:proofErr w:type="spellEnd"/>
      <w:r>
        <w:t xml:space="preserve"> </w:t>
      </w:r>
      <w:proofErr w:type="spellStart"/>
      <w:r>
        <w:t>Eliya</w:t>
      </w:r>
      <w:proofErr w:type="spellEnd"/>
      <w:r>
        <w:t xml:space="preserve"> Education Zone in Sri Lanka were selected for the study. Using purposive sampling, two teachers from each school who teach in the junior secondary section (36 teachers) and one teacher from each school who teaches in the senior secondary section (18 teachers) were selected, making a total sample of 54 teachers. In addition, 18 principals, 44 parents, and 66 dropout students were also selected as part of the sample.</w:t>
      </w:r>
    </w:p>
    <w:p w14:paraId="0AF50B0E" w14:textId="77777777" w:rsidR="00025EE4" w:rsidRDefault="00025EE4" w:rsidP="00025EE4">
      <w:pPr>
        <w:pStyle w:val="NormalWeb"/>
        <w:spacing w:line="360" w:lineRule="auto"/>
        <w:jc w:val="both"/>
      </w:pPr>
      <w:r>
        <w:t>Primary data were collected through questionnaires and interviews, while secondary data were obtained from documents. The data collection instruments were prepared after obtaining appropriate expert consultation. They were pilot tested, necessary revisions were made, and then finalized. The quantitative data obtained were analyzed using descriptive statistical methods such as mean and standard deviation, while qualitative data were analyzed using thematic analysis.</w:t>
      </w:r>
    </w:p>
    <w:p w14:paraId="75B5D500" w14:textId="77777777" w:rsidR="00025EE4" w:rsidRPr="00025EE4" w:rsidRDefault="00025EE4" w:rsidP="00025EE4">
      <w:pPr>
        <w:pStyle w:val="NormalWeb"/>
        <w:spacing w:after="0" w:afterAutospacing="0" w:line="360" w:lineRule="auto"/>
        <w:jc w:val="both"/>
        <w:rPr>
          <w:sz w:val="28"/>
        </w:rPr>
      </w:pPr>
      <w:r w:rsidRPr="00025EE4">
        <w:rPr>
          <w:rStyle w:val="Strong"/>
          <w:sz w:val="28"/>
        </w:rPr>
        <w:t>Data Analysis and Discussion</w:t>
      </w:r>
    </w:p>
    <w:p w14:paraId="5BB954B0" w14:textId="77777777" w:rsidR="00025EE4" w:rsidRDefault="00025EE4" w:rsidP="00025EE4">
      <w:pPr>
        <w:pStyle w:val="NormalWeb"/>
        <w:spacing w:before="0" w:beforeAutospacing="0" w:line="360" w:lineRule="auto"/>
        <w:jc w:val="both"/>
      </w:pPr>
      <w:r>
        <w:t>Based on the objectives of the study, the collected data were analyzed and interpreted as follows.</w:t>
      </w:r>
    </w:p>
    <w:p w14:paraId="6FF2CF28" w14:textId="77777777" w:rsidR="00025EE4" w:rsidRDefault="00025EE4" w:rsidP="00025EE4">
      <w:pPr>
        <w:pStyle w:val="NormalWeb"/>
        <w:spacing w:after="0" w:afterAutospacing="0" w:line="360" w:lineRule="auto"/>
        <w:jc w:val="both"/>
      </w:pPr>
      <w:r>
        <w:rPr>
          <w:rStyle w:val="Strong"/>
        </w:rPr>
        <w:t>Current Status of Student Dropout</w:t>
      </w:r>
    </w:p>
    <w:p w14:paraId="51022EF6" w14:textId="7476A82A" w:rsidR="00025EE4" w:rsidRDefault="00025EE4" w:rsidP="00703800">
      <w:pPr>
        <w:pStyle w:val="NormalWeb"/>
        <w:spacing w:before="0" w:beforeAutospacing="0" w:after="0" w:afterAutospacing="0" w:line="360" w:lineRule="auto"/>
        <w:jc w:val="both"/>
      </w:pPr>
      <w:r>
        <w:t xml:space="preserve">Based on data obtained from the </w:t>
      </w:r>
      <w:proofErr w:type="spellStart"/>
      <w:r>
        <w:t>Nuwara</w:t>
      </w:r>
      <w:proofErr w:type="spellEnd"/>
      <w:r>
        <w:t xml:space="preserve"> </w:t>
      </w:r>
      <w:proofErr w:type="spellStart"/>
      <w:r>
        <w:t>Eliya</w:t>
      </w:r>
      <w:proofErr w:type="spellEnd"/>
      <w:r>
        <w:t xml:space="preserve"> Education Zone and school records, the current status of student dropout has been analyzed and presented in the following table.</w:t>
      </w:r>
    </w:p>
    <w:p w14:paraId="0A40B46D" w14:textId="77777777" w:rsidR="004732C4" w:rsidRDefault="004732C4" w:rsidP="004732C4">
      <w:pPr>
        <w:rPr>
          <w:vanish/>
        </w:rPr>
      </w:pPr>
    </w:p>
    <w:p w14:paraId="041485C5" w14:textId="77777777" w:rsidR="004732C4" w:rsidRDefault="004732C4" w:rsidP="004732C4">
      <w:pPr>
        <w:rPr>
          <w:vanish/>
        </w:rPr>
      </w:pPr>
    </w:p>
    <w:p w14:paraId="10585EC1" w14:textId="77777777" w:rsidR="004732C4" w:rsidRDefault="004732C4" w:rsidP="004732C4">
      <w:pPr>
        <w:rPr>
          <w:vanish/>
        </w:rPr>
      </w:pPr>
    </w:p>
    <w:p w14:paraId="085FD793" w14:textId="77777777" w:rsidR="004732C4" w:rsidRDefault="004732C4" w:rsidP="004732C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32C4" w14:paraId="5BD05101" w14:textId="77777777" w:rsidTr="004732C4">
        <w:trPr>
          <w:tblCellSpacing w:w="15" w:type="dxa"/>
        </w:trPr>
        <w:tc>
          <w:tcPr>
            <w:tcW w:w="0" w:type="auto"/>
            <w:vAlign w:val="center"/>
            <w:hideMark/>
          </w:tcPr>
          <w:p w14:paraId="5FDDD20E" w14:textId="77777777" w:rsidR="004732C4" w:rsidRDefault="004732C4"/>
        </w:tc>
      </w:tr>
    </w:tbl>
    <w:p w14:paraId="64237F5B" w14:textId="77777777" w:rsidR="00703800" w:rsidRDefault="00703800" w:rsidP="00025EE4">
      <w:pPr>
        <w:pStyle w:val="NormalWeb"/>
        <w:spacing w:line="360" w:lineRule="auto"/>
        <w:jc w:val="both"/>
        <w:rPr>
          <w:b/>
        </w:rPr>
      </w:pPr>
    </w:p>
    <w:p w14:paraId="071E5BB5" w14:textId="4FB1695A" w:rsidR="004732C4" w:rsidRPr="004732C4" w:rsidRDefault="004732C4" w:rsidP="00025EE4">
      <w:pPr>
        <w:pStyle w:val="NormalWeb"/>
        <w:spacing w:line="360" w:lineRule="auto"/>
        <w:jc w:val="both"/>
        <w:rPr>
          <w:b/>
        </w:rPr>
      </w:pPr>
      <w:r w:rsidRPr="004732C4">
        <w:rPr>
          <w:b/>
        </w:rPr>
        <w:t>Table 1:</w:t>
      </w:r>
    </w:p>
    <w:p w14:paraId="0CE45A73" w14:textId="46C13563" w:rsidR="006C690F" w:rsidRPr="004732C4" w:rsidRDefault="004732C4" w:rsidP="004732C4">
      <w:pPr>
        <w:pStyle w:val="NormalWeb"/>
        <w:spacing w:line="360" w:lineRule="auto"/>
        <w:jc w:val="both"/>
        <w:rPr>
          <w:i/>
        </w:rPr>
      </w:pPr>
      <w:r w:rsidRPr="004732C4">
        <w:rPr>
          <w:i/>
        </w:rPr>
        <w:t>Detail of Students - Dropout</w:t>
      </w:r>
    </w:p>
    <w:tbl>
      <w:tblPr>
        <w:tblStyle w:val="TableGrid"/>
        <w:tblW w:w="7865" w:type="dxa"/>
        <w:tblInd w:w="392" w:type="dxa"/>
        <w:tblLayout w:type="fixed"/>
        <w:tblLook w:val="04A0" w:firstRow="1" w:lastRow="0" w:firstColumn="1" w:lastColumn="0" w:noHBand="0" w:noVBand="1"/>
      </w:tblPr>
      <w:tblGrid>
        <w:gridCol w:w="782"/>
        <w:gridCol w:w="1279"/>
        <w:gridCol w:w="754"/>
        <w:gridCol w:w="1038"/>
        <w:gridCol w:w="743"/>
        <w:gridCol w:w="743"/>
        <w:gridCol w:w="743"/>
        <w:gridCol w:w="742"/>
        <w:gridCol w:w="1041"/>
      </w:tblGrid>
      <w:tr w:rsidR="004732C4" w:rsidRPr="004732C4" w14:paraId="458A0E5A" w14:textId="77777777" w:rsidTr="00465C0F">
        <w:trPr>
          <w:trHeight w:val="519"/>
        </w:trPr>
        <w:tc>
          <w:tcPr>
            <w:tcW w:w="782" w:type="dxa"/>
            <w:vMerge w:val="restart"/>
            <w:tcBorders>
              <w:left w:val="nil"/>
              <w:right w:val="nil"/>
            </w:tcBorders>
            <w:vAlign w:val="center"/>
          </w:tcPr>
          <w:p w14:paraId="2F6EA6B9" w14:textId="2B067358"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Year</w:t>
            </w:r>
          </w:p>
        </w:tc>
        <w:tc>
          <w:tcPr>
            <w:tcW w:w="1279" w:type="dxa"/>
            <w:vMerge w:val="restart"/>
            <w:tcBorders>
              <w:left w:val="nil"/>
              <w:right w:val="nil"/>
            </w:tcBorders>
            <w:vAlign w:val="center"/>
          </w:tcPr>
          <w:p w14:paraId="475157ED" w14:textId="443BD3C4"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bCs/>
                <w:sz w:val="24"/>
                <w:szCs w:val="24"/>
              </w:rPr>
              <w:t>Dropout</w:t>
            </w:r>
          </w:p>
        </w:tc>
        <w:tc>
          <w:tcPr>
            <w:tcW w:w="1792" w:type="dxa"/>
            <w:gridSpan w:val="2"/>
            <w:vMerge w:val="restart"/>
            <w:tcBorders>
              <w:left w:val="nil"/>
              <w:right w:val="nil"/>
            </w:tcBorders>
            <w:vAlign w:val="center"/>
          </w:tcPr>
          <w:p w14:paraId="16A708AD" w14:textId="326D81D5"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bCs/>
                <w:sz w:val="24"/>
                <w:szCs w:val="24"/>
              </w:rPr>
              <w:t>Gender-wise Dropout</w:t>
            </w:r>
          </w:p>
        </w:tc>
        <w:tc>
          <w:tcPr>
            <w:tcW w:w="4012" w:type="dxa"/>
            <w:gridSpan w:val="5"/>
            <w:tcBorders>
              <w:left w:val="nil"/>
              <w:right w:val="nil"/>
            </w:tcBorders>
            <w:vAlign w:val="center"/>
          </w:tcPr>
          <w:p w14:paraId="210485B4" w14:textId="12629D0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bCs/>
                <w:sz w:val="24"/>
                <w:szCs w:val="24"/>
              </w:rPr>
              <w:t>Grade-wise Dropout</w:t>
            </w:r>
          </w:p>
        </w:tc>
      </w:tr>
      <w:tr w:rsidR="00465C0F" w:rsidRPr="004732C4" w14:paraId="448CE526" w14:textId="77777777" w:rsidTr="00465C0F">
        <w:trPr>
          <w:trHeight w:val="800"/>
        </w:trPr>
        <w:tc>
          <w:tcPr>
            <w:tcW w:w="782" w:type="dxa"/>
            <w:vMerge/>
            <w:tcBorders>
              <w:left w:val="nil"/>
              <w:right w:val="nil"/>
            </w:tcBorders>
            <w:vAlign w:val="center"/>
          </w:tcPr>
          <w:p w14:paraId="5C5562DE" w14:textId="77777777" w:rsidR="004732C4" w:rsidRPr="004732C4" w:rsidRDefault="004732C4" w:rsidP="004732C4">
            <w:pPr>
              <w:spacing w:line="360" w:lineRule="auto"/>
              <w:jc w:val="center"/>
              <w:rPr>
                <w:rFonts w:ascii="Times New Roman" w:hAnsi="Times New Roman" w:cs="Times New Roman"/>
                <w:sz w:val="24"/>
                <w:szCs w:val="24"/>
              </w:rPr>
            </w:pPr>
          </w:p>
        </w:tc>
        <w:tc>
          <w:tcPr>
            <w:tcW w:w="1279" w:type="dxa"/>
            <w:vMerge/>
            <w:tcBorders>
              <w:left w:val="nil"/>
              <w:right w:val="nil"/>
            </w:tcBorders>
          </w:tcPr>
          <w:p w14:paraId="52BEC620" w14:textId="77777777" w:rsidR="004732C4" w:rsidRPr="004732C4" w:rsidRDefault="004732C4" w:rsidP="004732C4">
            <w:pPr>
              <w:spacing w:line="360" w:lineRule="auto"/>
              <w:jc w:val="center"/>
              <w:rPr>
                <w:rFonts w:ascii="Times New Roman" w:hAnsi="Times New Roman" w:cs="Times New Roman"/>
                <w:sz w:val="24"/>
                <w:szCs w:val="24"/>
              </w:rPr>
            </w:pPr>
          </w:p>
        </w:tc>
        <w:tc>
          <w:tcPr>
            <w:tcW w:w="1792" w:type="dxa"/>
            <w:gridSpan w:val="2"/>
            <w:vMerge/>
            <w:tcBorders>
              <w:left w:val="nil"/>
              <w:bottom w:val="single" w:sz="4" w:space="0" w:color="auto"/>
              <w:right w:val="nil"/>
            </w:tcBorders>
            <w:vAlign w:val="center"/>
          </w:tcPr>
          <w:p w14:paraId="7BC38D8B"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tcBorders>
              <w:left w:val="nil"/>
              <w:right w:val="nil"/>
            </w:tcBorders>
            <w:vAlign w:val="center"/>
          </w:tcPr>
          <w:p w14:paraId="1819F81F" w14:textId="3589021E"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06</w:t>
            </w:r>
          </w:p>
        </w:tc>
        <w:tc>
          <w:tcPr>
            <w:tcW w:w="743" w:type="dxa"/>
            <w:tcBorders>
              <w:left w:val="nil"/>
              <w:right w:val="nil"/>
            </w:tcBorders>
            <w:vAlign w:val="center"/>
          </w:tcPr>
          <w:p w14:paraId="37508305" w14:textId="14037D25"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07</w:t>
            </w:r>
          </w:p>
        </w:tc>
        <w:tc>
          <w:tcPr>
            <w:tcW w:w="743" w:type="dxa"/>
            <w:tcBorders>
              <w:left w:val="nil"/>
              <w:right w:val="nil"/>
            </w:tcBorders>
            <w:vAlign w:val="center"/>
          </w:tcPr>
          <w:p w14:paraId="26BF34C7" w14:textId="3699EB0C"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08</w:t>
            </w:r>
          </w:p>
        </w:tc>
        <w:tc>
          <w:tcPr>
            <w:tcW w:w="742" w:type="dxa"/>
            <w:tcBorders>
              <w:left w:val="nil"/>
              <w:right w:val="nil"/>
            </w:tcBorders>
            <w:vAlign w:val="center"/>
          </w:tcPr>
          <w:p w14:paraId="10588798" w14:textId="72046B77"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Gr 09</w:t>
            </w:r>
          </w:p>
        </w:tc>
        <w:tc>
          <w:tcPr>
            <w:tcW w:w="1040" w:type="dxa"/>
            <w:tcBorders>
              <w:left w:val="nil"/>
              <w:right w:val="nil"/>
            </w:tcBorders>
            <w:vAlign w:val="center"/>
          </w:tcPr>
          <w:p w14:paraId="4BA93049" w14:textId="77777777"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 xml:space="preserve">Gr </w:t>
            </w:r>
          </w:p>
          <w:p w14:paraId="25C9AA09" w14:textId="7D29E7A9" w:rsidR="004732C4" w:rsidRPr="004732C4" w:rsidRDefault="004732C4" w:rsidP="00465C0F">
            <w:pPr>
              <w:spacing w:line="276" w:lineRule="auto"/>
              <w:jc w:val="center"/>
              <w:rPr>
                <w:rFonts w:ascii="Times New Roman" w:hAnsi="Times New Roman" w:cs="Times New Roman"/>
                <w:sz w:val="24"/>
                <w:szCs w:val="24"/>
              </w:rPr>
            </w:pPr>
            <w:r w:rsidRPr="004732C4">
              <w:rPr>
                <w:rFonts w:ascii="Times New Roman" w:hAnsi="Times New Roman" w:cs="Times New Roman"/>
                <w:sz w:val="24"/>
                <w:szCs w:val="24"/>
              </w:rPr>
              <w:t>10 - 11</w:t>
            </w:r>
          </w:p>
        </w:tc>
      </w:tr>
      <w:tr w:rsidR="00465C0F" w:rsidRPr="004732C4" w14:paraId="11383095" w14:textId="77777777" w:rsidTr="00465C0F">
        <w:trPr>
          <w:trHeight w:val="417"/>
        </w:trPr>
        <w:tc>
          <w:tcPr>
            <w:tcW w:w="782" w:type="dxa"/>
            <w:vMerge/>
            <w:tcBorders>
              <w:left w:val="nil"/>
              <w:bottom w:val="nil"/>
              <w:right w:val="nil"/>
            </w:tcBorders>
            <w:vAlign w:val="center"/>
          </w:tcPr>
          <w:p w14:paraId="6C3FC063" w14:textId="77777777" w:rsidR="004732C4" w:rsidRPr="004732C4" w:rsidRDefault="004732C4" w:rsidP="004732C4">
            <w:pPr>
              <w:spacing w:line="360" w:lineRule="auto"/>
              <w:jc w:val="center"/>
              <w:rPr>
                <w:rFonts w:ascii="Times New Roman" w:hAnsi="Times New Roman" w:cs="Times New Roman"/>
                <w:sz w:val="24"/>
                <w:szCs w:val="24"/>
              </w:rPr>
            </w:pPr>
          </w:p>
        </w:tc>
        <w:tc>
          <w:tcPr>
            <w:tcW w:w="1279" w:type="dxa"/>
            <w:vMerge/>
            <w:tcBorders>
              <w:left w:val="nil"/>
              <w:bottom w:val="nil"/>
              <w:right w:val="nil"/>
            </w:tcBorders>
          </w:tcPr>
          <w:p w14:paraId="64C49125" w14:textId="77777777" w:rsidR="004732C4" w:rsidRPr="004732C4" w:rsidRDefault="004732C4" w:rsidP="004732C4">
            <w:pPr>
              <w:spacing w:line="360" w:lineRule="auto"/>
              <w:jc w:val="center"/>
              <w:rPr>
                <w:rFonts w:ascii="Times New Roman" w:hAnsi="Times New Roman" w:cs="Times New Roman"/>
                <w:b/>
                <w:sz w:val="24"/>
                <w:szCs w:val="24"/>
              </w:rPr>
            </w:pPr>
          </w:p>
        </w:tc>
        <w:tc>
          <w:tcPr>
            <w:tcW w:w="754" w:type="dxa"/>
            <w:tcBorders>
              <w:left w:val="nil"/>
              <w:bottom w:val="single" w:sz="4" w:space="0" w:color="auto"/>
              <w:right w:val="nil"/>
            </w:tcBorders>
            <w:vAlign w:val="center"/>
          </w:tcPr>
          <w:p w14:paraId="640129F5" w14:textId="0B115C8E"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Male</w:t>
            </w:r>
          </w:p>
        </w:tc>
        <w:tc>
          <w:tcPr>
            <w:tcW w:w="1037" w:type="dxa"/>
            <w:tcBorders>
              <w:left w:val="nil"/>
              <w:bottom w:val="single" w:sz="4" w:space="0" w:color="auto"/>
              <w:right w:val="nil"/>
            </w:tcBorders>
            <w:vAlign w:val="center"/>
          </w:tcPr>
          <w:p w14:paraId="1BB37CF7" w14:textId="59410962"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Female</w:t>
            </w:r>
          </w:p>
        </w:tc>
        <w:tc>
          <w:tcPr>
            <w:tcW w:w="743" w:type="dxa"/>
            <w:vMerge w:val="restart"/>
            <w:tcBorders>
              <w:left w:val="nil"/>
              <w:bottom w:val="nil"/>
              <w:right w:val="nil"/>
            </w:tcBorders>
            <w:vAlign w:val="center"/>
          </w:tcPr>
          <w:p w14:paraId="4FCDC4DB" w14:textId="77777777" w:rsidR="004732C4" w:rsidRPr="004732C4" w:rsidRDefault="004732C4" w:rsidP="004732C4">
            <w:pPr>
              <w:spacing w:line="360" w:lineRule="auto"/>
              <w:jc w:val="center"/>
              <w:rPr>
                <w:rFonts w:ascii="Times New Roman" w:hAnsi="Times New Roman" w:cs="Times New Roman"/>
                <w:sz w:val="24"/>
                <w:szCs w:val="24"/>
              </w:rPr>
            </w:pPr>
          </w:p>
          <w:p w14:paraId="2405D715"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14%</w:t>
            </w:r>
          </w:p>
        </w:tc>
        <w:tc>
          <w:tcPr>
            <w:tcW w:w="743" w:type="dxa"/>
            <w:vMerge w:val="restart"/>
            <w:tcBorders>
              <w:left w:val="nil"/>
              <w:bottom w:val="nil"/>
              <w:right w:val="nil"/>
            </w:tcBorders>
            <w:vAlign w:val="center"/>
          </w:tcPr>
          <w:p w14:paraId="0F190C16" w14:textId="77777777" w:rsidR="004732C4" w:rsidRPr="004732C4" w:rsidRDefault="004732C4" w:rsidP="004732C4">
            <w:pPr>
              <w:spacing w:line="360" w:lineRule="auto"/>
              <w:jc w:val="center"/>
              <w:rPr>
                <w:rFonts w:ascii="Times New Roman" w:hAnsi="Times New Roman" w:cs="Times New Roman"/>
                <w:sz w:val="24"/>
                <w:szCs w:val="24"/>
              </w:rPr>
            </w:pPr>
          </w:p>
          <w:p w14:paraId="4EF15818"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17%</w:t>
            </w:r>
          </w:p>
        </w:tc>
        <w:tc>
          <w:tcPr>
            <w:tcW w:w="743" w:type="dxa"/>
            <w:vMerge w:val="restart"/>
            <w:tcBorders>
              <w:left w:val="nil"/>
              <w:bottom w:val="nil"/>
              <w:right w:val="nil"/>
            </w:tcBorders>
            <w:vAlign w:val="center"/>
          </w:tcPr>
          <w:p w14:paraId="1BCD8216" w14:textId="77777777" w:rsidR="004732C4" w:rsidRPr="004732C4" w:rsidRDefault="004732C4" w:rsidP="004732C4">
            <w:pPr>
              <w:spacing w:line="360" w:lineRule="auto"/>
              <w:jc w:val="center"/>
              <w:rPr>
                <w:rFonts w:ascii="Times New Roman" w:hAnsi="Times New Roman" w:cs="Times New Roman"/>
                <w:sz w:val="24"/>
                <w:szCs w:val="24"/>
              </w:rPr>
            </w:pPr>
          </w:p>
          <w:p w14:paraId="36045903"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18%</w:t>
            </w:r>
          </w:p>
        </w:tc>
        <w:tc>
          <w:tcPr>
            <w:tcW w:w="742" w:type="dxa"/>
            <w:vMerge w:val="restart"/>
            <w:tcBorders>
              <w:left w:val="nil"/>
              <w:bottom w:val="nil"/>
              <w:right w:val="nil"/>
            </w:tcBorders>
            <w:vAlign w:val="center"/>
          </w:tcPr>
          <w:p w14:paraId="5FD7ABD1" w14:textId="77777777" w:rsidR="004732C4" w:rsidRPr="004732C4" w:rsidRDefault="004732C4" w:rsidP="004732C4">
            <w:pPr>
              <w:spacing w:line="360" w:lineRule="auto"/>
              <w:jc w:val="center"/>
              <w:rPr>
                <w:rFonts w:ascii="Times New Roman" w:hAnsi="Times New Roman" w:cs="Times New Roman"/>
                <w:sz w:val="24"/>
                <w:szCs w:val="24"/>
              </w:rPr>
            </w:pPr>
          </w:p>
          <w:p w14:paraId="6FE7680F"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22%</w:t>
            </w:r>
          </w:p>
        </w:tc>
        <w:tc>
          <w:tcPr>
            <w:tcW w:w="1040" w:type="dxa"/>
            <w:vMerge w:val="restart"/>
            <w:tcBorders>
              <w:left w:val="nil"/>
              <w:bottom w:val="nil"/>
              <w:right w:val="nil"/>
            </w:tcBorders>
            <w:vAlign w:val="center"/>
          </w:tcPr>
          <w:p w14:paraId="1B900050" w14:textId="77777777" w:rsidR="004732C4" w:rsidRPr="004732C4" w:rsidRDefault="004732C4" w:rsidP="004732C4">
            <w:pPr>
              <w:spacing w:line="360" w:lineRule="auto"/>
              <w:jc w:val="center"/>
              <w:rPr>
                <w:rFonts w:ascii="Times New Roman" w:hAnsi="Times New Roman" w:cs="Times New Roman"/>
                <w:sz w:val="24"/>
                <w:szCs w:val="24"/>
              </w:rPr>
            </w:pPr>
          </w:p>
          <w:p w14:paraId="7E68B016"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29%</w:t>
            </w:r>
          </w:p>
        </w:tc>
      </w:tr>
      <w:tr w:rsidR="00465C0F" w:rsidRPr="004732C4" w14:paraId="08854D8D" w14:textId="77777777" w:rsidTr="00465C0F">
        <w:trPr>
          <w:trHeight w:val="774"/>
        </w:trPr>
        <w:tc>
          <w:tcPr>
            <w:tcW w:w="782" w:type="dxa"/>
            <w:tcBorders>
              <w:top w:val="nil"/>
              <w:left w:val="nil"/>
              <w:bottom w:val="nil"/>
              <w:right w:val="nil"/>
            </w:tcBorders>
            <w:vAlign w:val="center"/>
          </w:tcPr>
          <w:p w14:paraId="33AC8FE2"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2024</w:t>
            </w:r>
          </w:p>
        </w:tc>
        <w:tc>
          <w:tcPr>
            <w:tcW w:w="1279" w:type="dxa"/>
            <w:tcBorders>
              <w:top w:val="nil"/>
              <w:left w:val="nil"/>
              <w:bottom w:val="nil"/>
              <w:right w:val="nil"/>
            </w:tcBorders>
            <w:vAlign w:val="center"/>
          </w:tcPr>
          <w:p w14:paraId="7E189D13"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25%</w:t>
            </w:r>
          </w:p>
        </w:tc>
        <w:tc>
          <w:tcPr>
            <w:tcW w:w="754" w:type="dxa"/>
            <w:tcBorders>
              <w:top w:val="single" w:sz="4" w:space="0" w:color="auto"/>
              <w:left w:val="nil"/>
              <w:bottom w:val="nil"/>
              <w:right w:val="nil"/>
            </w:tcBorders>
            <w:vAlign w:val="center"/>
          </w:tcPr>
          <w:p w14:paraId="114EE927"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66%</w:t>
            </w:r>
          </w:p>
        </w:tc>
        <w:tc>
          <w:tcPr>
            <w:tcW w:w="1037" w:type="dxa"/>
            <w:tcBorders>
              <w:top w:val="single" w:sz="4" w:space="0" w:color="auto"/>
              <w:left w:val="nil"/>
              <w:bottom w:val="nil"/>
              <w:right w:val="nil"/>
            </w:tcBorders>
            <w:vAlign w:val="center"/>
          </w:tcPr>
          <w:p w14:paraId="1B532B67"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34%</w:t>
            </w:r>
          </w:p>
        </w:tc>
        <w:tc>
          <w:tcPr>
            <w:tcW w:w="743" w:type="dxa"/>
            <w:vMerge/>
            <w:tcBorders>
              <w:top w:val="nil"/>
              <w:left w:val="nil"/>
              <w:bottom w:val="nil"/>
              <w:right w:val="nil"/>
            </w:tcBorders>
            <w:vAlign w:val="center"/>
          </w:tcPr>
          <w:p w14:paraId="60B4C4AA"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vMerge/>
            <w:tcBorders>
              <w:top w:val="nil"/>
              <w:left w:val="nil"/>
              <w:bottom w:val="nil"/>
              <w:right w:val="nil"/>
            </w:tcBorders>
            <w:vAlign w:val="center"/>
          </w:tcPr>
          <w:p w14:paraId="11E99B15" w14:textId="77777777" w:rsidR="004732C4" w:rsidRPr="004732C4" w:rsidRDefault="004732C4" w:rsidP="004732C4">
            <w:pPr>
              <w:spacing w:line="360" w:lineRule="auto"/>
              <w:jc w:val="center"/>
              <w:rPr>
                <w:rFonts w:ascii="Times New Roman" w:hAnsi="Times New Roman" w:cs="Times New Roman"/>
                <w:sz w:val="24"/>
                <w:szCs w:val="24"/>
              </w:rPr>
            </w:pPr>
          </w:p>
        </w:tc>
        <w:tc>
          <w:tcPr>
            <w:tcW w:w="743" w:type="dxa"/>
            <w:vMerge/>
            <w:tcBorders>
              <w:top w:val="nil"/>
              <w:left w:val="nil"/>
              <w:bottom w:val="nil"/>
              <w:right w:val="nil"/>
            </w:tcBorders>
            <w:vAlign w:val="center"/>
          </w:tcPr>
          <w:p w14:paraId="49EF28A1" w14:textId="77777777" w:rsidR="004732C4" w:rsidRPr="004732C4" w:rsidRDefault="004732C4" w:rsidP="004732C4">
            <w:pPr>
              <w:spacing w:line="360" w:lineRule="auto"/>
              <w:jc w:val="center"/>
              <w:rPr>
                <w:rFonts w:ascii="Times New Roman" w:hAnsi="Times New Roman" w:cs="Times New Roman"/>
                <w:sz w:val="24"/>
                <w:szCs w:val="24"/>
              </w:rPr>
            </w:pPr>
          </w:p>
        </w:tc>
        <w:tc>
          <w:tcPr>
            <w:tcW w:w="742" w:type="dxa"/>
            <w:vMerge/>
            <w:tcBorders>
              <w:top w:val="nil"/>
              <w:left w:val="nil"/>
              <w:bottom w:val="nil"/>
              <w:right w:val="nil"/>
            </w:tcBorders>
            <w:vAlign w:val="center"/>
          </w:tcPr>
          <w:p w14:paraId="76F68492" w14:textId="77777777" w:rsidR="004732C4" w:rsidRPr="004732C4" w:rsidRDefault="004732C4" w:rsidP="004732C4">
            <w:pPr>
              <w:spacing w:line="360" w:lineRule="auto"/>
              <w:jc w:val="center"/>
              <w:rPr>
                <w:rFonts w:ascii="Times New Roman" w:hAnsi="Times New Roman" w:cs="Times New Roman"/>
                <w:sz w:val="24"/>
                <w:szCs w:val="24"/>
              </w:rPr>
            </w:pPr>
          </w:p>
        </w:tc>
        <w:tc>
          <w:tcPr>
            <w:tcW w:w="1040" w:type="dxa"/>
            <w:vMerge/>
            <w:tcBorders>
              <w:top w:val="nil"/>
              <w:left w:val="nil"/>
              <w:bottom w:val="nil"/>
              <w:right w:val="nil"/>
            </w:tcBorders>
            <w:vAlign w:val="center"/>
          </w:tcPr>
          <w:p w14:paraId="6A48DE4E" w14:textId="77777777" w:rsidR="004732C4" w:rsidRPr="004732C4" w:rsidRDefault="004732C4" w:rsidP="004732C4">
            <w:pPr>
              <w:spacing w:line="360" w:lineRule="auto"/>
              <w:jc w:val="center"/>
              <w:rPr>
                <w:rFonts w:ascii="Times New Roman" w:hAnsi="Times New Roman" w:cs="Times New Roman"/>
                <w:sz w:val="24"/>
                <w:szCs w:val="24"/>
              </w:rPr>
            </w:pPr>
          </w:p>
        </w:tc>
      </w:tr>
      <w:tr w:rsidR="00465C0F" w:rsidRPr="004732C4" w14:paraId="5F66BBB3" w14:textId="77777777" w:rsidTr="00465C0F">
        <w:trPr>
          <w:trHeight w:val="774"/>
        </w:trPr>
        <w:tc>
          <w:tcPr>
            <w:tcW w:w="782" w:type="dxa"/>
            <w:tcBorders>
              <w:top w:val="nil"/>
              <w:left w:val="nil"/>
              <w:bottom w:val="nil"/>
              <w:right w:val="nil"/>
            </w:tcBorders>
            <w:vAlign w:val="center"/>
          </w:tcPr>
          <w:p w14:paraId="7CFCCD52"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2023</w:t>
            </w:r>
          </w:p>
        </w:tc>
        <w:tc>
          <w:tcPr>
            <w:tcW w:w="1279" w:type="dxa"/>
            <w:tcBorders>
              <w:top w:val="nil"/>
              <w:left w:val="nil"/>
              <w:bottom w:val="nil"/>
              <w:right w:val="nil"/>
            </w:tcBorders>
            <w:vAlign w:val="center"/>
          </w:tcPr>
          <w:p w14:paraId="095DBE59"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23%</w:t>
            </w:r>
          </w:p>
        </w:tc>
        <w:tc>
          <w:tcPr>
            <w:tcW w:w="754" w:type="dxa"/>
            <w:tcBorders>
              <w:top w:val="nil"/>
              <w:left w:val="nil"/>
              <w:bottom w:val="nil"/>
              <w:right w:val="nil"/>
            </w:tcBorders>
            <w:vAlign w:val="center"/>
          </w:tcPr>
          <w:p w14:paraId="6C5C2409"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60%</w:t>
            </w:r>
          </w:p>
        </w:tc>
        <w:tc>
          <w:tcPr>
            <w:tcW w:w="1037" w:type="dxa"/>
            <w:tcBorders>
              <w:top w:val="nil"/>
              <w:left w:val="nil"/>
              <w:bottom w:val="nil"/>
              <w:right w:val="nil"/>
            </w:tcBorders>
            <w:vAlign w:val="center"/>
          </w:tcPr>
          <w:p w14:paraId="25DF66F4"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40%</w:t>
            </w:r>
          </w:p>
        </w:tc>
        <w:tc>
          <w:tcPr>
            <w:tcW w:w="743" w:type="dxa"/>
            <w:tcBorders>
              <w:top w:val="nil"/>
              <w:left w:val="nil"/>
              <w:bottom w:val="nil"/>
              <w:right w:val="nil"/>
            </w:tcBorders>
            <w:vAlign w:val="center"/>
          </w:tcPr>
          <w:p w14:paraId="067D77E2"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13%</w:t>
            </w:r>
          </w:p>
        </w:tc>
        <w:tc>
          <w:tcPr>
            <w:tcW w:w="743" w:type="dxa"/>
            <w:tcBorders>
              <w:top w:val="nil"/>
              <w:left w:val="nil"/>
              <w:bottom w:val="nil"/>
              <w:right w:val="nil"/>
            </w:tcBorders>
            <w:vAlign w:val="center"/>
          </w:tcPr>
          <w:p w14:paraId="166CD965"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17%</w:t>
            </w:r>
          </w:p>
        </w:tc>
        <w:tc>
          <w:tcPr>
            <w:tcW w:w="743" w:type="dxa"/>
            <w:tcBorders>
              <w:top w:val="nil"/>
              <w:left w:val="nil"/>
              <w:bottom w:val="nil"/>
              <w:right w:val="nil"/>
            </w:tcBorders>
            <w:vAlign w:val="center"/>
          </w:tcPr>
          <w:p w14:paraId="68DCA552"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19%</w:t>
            </w:r>
          </w:p>
        </w:tc>
        <w:tc>
          <w:tcPr>
            <w:tcW w:w="742" w:type="dxa"/>
            <w:tcBorders>
              <w:top w:val="nil"/>
              <w:left w:val="nil"/>
              <w:bottom w:val="nil"/>
              <w:right w:val="nil"/>
            </w:tcBorders>
            <w:vAlign w:val="center"/>
          </w:tcPr>
          <w:p w14:paraId="73BF2C6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24%</w:t>
            </w:r>
          </w:p>
        </w:tc>
        <w:tc>
          <w:tcPr>
            <w:tcW w:w="1040" w:type="dxa"/>
            <w:tcBorders>
              <w:top w:val="nil"/>
              <w:left w:val="nil"/>
              <w:bottom w:val="nil"/>
              <w:right w:val="nil"/>
            </w:tcBorders>
            <w:vAlign w:val="center"/>
          </w:tcPr>
          <w:p w14:paraId="08166D2B"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27%</w:t>
            </w:r>
          </w:p>
        </w:tc>
      </w:tr>
      <w:tr w:rsidR="00465C0F" w:rsidRPr="004732C4" w14:paraId="78FA979A" w14:textId="77777777" w:rsidTr="00465C0F">
        <w:trPr>
          <w:trHeight w:val="774"/>
        </w:trPr>
        <w:tc>
          <w:tcPr>
            <w:tcW w:w="782" w:type="dxa"/>
            <w:tcBorders>
              <w:top w:val="nil"/>
              <w:left w:val="nil"/>
              <w:right w:val="nil"/>
            </w:tcBorders>
            <w:vAlign w:val="center"/>
          </w:tcPr>
          <w:p w14:paraId="033B9AE5"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2022</w:t>
            </w:r>
          </w:p>
        </w:tc>
        <w:tc>
          <w:tcPr>
            <w:tcW w:w="1279" w:type="dxa"/>
            <w:tcBorders>
              <w:top w:val="nil"/>
              <w:left w:val="nil"/>
              <w:right w:val="nil"/>
            </w:tcBorders>
            <w:vAlign w:val="center"/>
          </w:tcPr>
          <w:p w14:paraId="20B20701" w14:textId="77777777" w:rsidR="004732C4" w:rsidRPr="004732C4" w:rsidRDefault="004732C4" w:rsidP="004732C4">
            <w:pPr>
              <w:spacing w:line="360" w:lineRule="auto"/>
              <w:jc w:val="center"/>
              <w:rPr>
                <w:rFonts w:ascii="Times New Roman" w:hAnsi="Times New Roman" w:cs="Times New Roman"/>
                <w:sz w:val="24"/>
                <w:szCs w:val="24"/>
              </w:rPr>
            </w:pPr>
            <w:r w:rsidRPr="004732C4">
              <w:rPr>
                <w:rFonts w:ascii="Times New Roman" w:hAnsi="Times New Roman" w:cs="Times New Roman"/>
                <w:sz w:val="24"/>
                <w:szCs w:val="24"/>
              </w:rPr>
              <w:t>26%</w:t>
            </w:r>
          </w:p>
        </w:tc>
        <w:tc>
          <w:tcPr>
            <w:tcW w:w="754" w:type="dxa"/>
            <w:tcBorders>
              <w:top w:val="nil"/>
              <w:left w:val="nil"/>
              <w:right w:val="nil"/>
            </w:tcBorders>
            <w:vAlign w:val="center"/>
          </w:tcPr>
          <w:p w14:paraId="68C3739A"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68%</w:t>
            </w:r>
          </w:p>
        </w:tc>
        <w:tc>
          <w:tcPr>
            <w:tcW w:w="1037" w:type="dxa"/>
            <w:tcBorders>
              <w:top w:val="nil"/>
              <w:left w:val="nil"/>
              <w:right w:val="nil"/>
            </w:tcBorders>
            <w:vAlign w:val="center"/>
          </w:tcPr>
          <w:p w14:paraId="2D36BB4E"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32%</w:t>
            </w:r>
          </w:p>
        </w:tc>
        <w:tc>
          <w:tcPr>
            <w:tcW w:w="743" w:type="dxa"/>
            <w:tcBorders>
              <w:top w:val="nil"/>
              <w:left w:val="nil"/>
              <w:right w:val="nil"/>
            </w:tcBorders>
            <w:vAlign w:val="center"/>
          </w:tcPr>
          <w:p w14:paraId="27BC697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13%</w:t>
            </w:r>
          </w:p>
        </w:tc>
        <w:tc>
          <w:tcPr>
            <w:tcW w:w="743" w:type="dxa"/>
            <w:tcBorders>
              <w:top w:val="nil"/>
              <w:left w:val="nil"/>
              <w:right w:val="nil"/>
            </w:tcBorders>
            <w:vAlign w:val="center"/>
          </w:tcPr>
          <w:p w14:paraId="0225E02F"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16%</w:t>
            </w:r>
          </w:p>
        </w:tc>
        <w:tc>
          <w:tcPr>
            <w:tcW w:w="743" w:type="dxa"/>
            <w:tcBorders>
              <w:top w:val="nil"/>
              <w:left w:val="nil"/>
              <w:right w:val="nil"/>
            </w:tcBorders>
            <w:vAlign w:val="center"/>
          </w:tcPr>
          <w:p w14:paraId="02160D2C"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18%</w:t>
            </w:r>
          </w:p>
        </w:tc>
        <w:tc>
          <w:tcPr>
            <w:tcW w:w="742" w:type="dxa"/>
            <w:tcBorders>
              <w:top w:val="nil"/>
              <w:left w:val="nil"/>
              <w:right w:val="nil"/>
            </w:tcBorders>
            <w:vAlign w:val="center"/>
          </w:tcPr>
          <w:p w14:paraId="2303F6E7"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23%</w:t>
            </w:r>
          </w:p>
        </w:tc>
        <w:tc>
          <w:tcPr>
            <w:tcW w:w="1040" w:type="dxa"/>
            <w:tcBorders>
              <w:top w:val="nil"/>
              <w:left w:val="nil"/>
              <w:right w:val="nil"/>
            </w:tcBorders>
            <w:vAlign w:val="center"/>
          </w:tcPr>
          <w:p w14:paraId="6A23C2F1" w14:textId="77777777" w:rsidR="004732C4" w:rsidRPr="004732C4" w:rsidRDefault="004732C4" w:rsidP="004732C4">
            <w:pPr>
              <w:jc w:val="center"/>
              <w:rPr>
                <w:rFonts w:ascii="Times New Roman" w:hAnsi="Times New Roman" w:cs="Times New Roman"/>
                <w:sz w:val="24"/>
                <w:szCs w:val="24"/>
              </w:rPr>
            </w:pPr>
            <w:r w:rsidRPr="004732C4">
              <w:rPr>
                <w:rFonts w:ascii="Times New Roman" w:hAnsi="Times New Roman" w:cs="Times New Roman"/>
                <w:sz w:val="24"/>
                <w:szCs w:val="24"/>
              </w:rPr>
              <w:t>30%</w:t>
            </w:r>
          </w:p>
        </w:tc>
      </w:tr>
    </w:tbl>
    <w:p w14:paraId="58583784" w14:textId="77777777" w:rsidR="00465C0F" w:rsidRPr="00465C0F" w:rsidRDefault="00465C0F" w:rsidP="00465C0F">
      <w:pPr>
        <w:spacing w:line="360" w:lineRule="auto"/>
        <w:jc w:val="both"/>
        <w:rPr>
          <w:rFonts w:ascii="Times New Roman" w:hAnsi="Times New Roman" w:cs="Times New Roman"/>
          <w:sz w:val="16"/>
          <w:szCs w:val="24"/>
        </w:rPr>
      </w:pPr>
    </w:p>
    <w:p w14:paraId="164B1B9F" w14:textId="253E684D" w:rsidR="001E50EB" w:rsidRPr="00887447" w:rsidRDefault="00465C0F" w:rsidP="002B0826">
      <w:pPr>
        <w:spacing w:line="360" w:lineRule="auto"/>
        <w:jc w:val="both"/>
        <w:rPr>
          <w:rFonts w:ascii="Times New Roman" w:hAnsi="Times New Roman" w:cs="Times New Roman"/>
          <w:sz w:val="24"/>
          <w:szCs w:val="24"/>
        </w:rPr>
      </w:pPr>
      <w:r w:rsidRPr="00465C0F">
        <w:rPr>
          <w:rFonts w:ascii="Times New Roman" w:hAnsi="Times New Roman" w:cs="Times New Roman"/>
          <w:sz w:val="24"/>
          <w:szCs w:val="24"/>
        </w:rPr>
        <w:t>According to the table, the student dropout rate was 26% in 2022, 23% in 2023, and 25% in 2024. Among them, the average dropout rate of male students is above 60%, whereas the average dropout rate o</w:t>
      </w:r>
      <w:r>
        <w:rPr>
          <w:rFonts w:ascii="Times New Roman" w:hAnsi="Times New Roman" w:cs="Times New Roman"/>
          <w:sz w:val="24"/>
          <w:szCs w:val="24"/>
        </w:rPr>
        <w:t xml:space="preserve">f female students is below 40%. </w:t>
      </w:r>
      <w:r w:rsidRPr="00465C0F">
        <w:rPr>
          <w:rFonts w:ascii="Times New Roman" w:hAnsi="Times New Roman" w:cs="Times New Roman"/>
          <w:sz w:val="24"/>
          <w:szCs w:val="24"/>
        </w:rPr>
        <w:t>Based on grade levels, the average dropout rate is approximately 16% between Grades 6–8, about 18% in Grade 9, and a</w:t>
      </w:r>
      <w:r>
        <w:rPr>
          <w:rFonts w:ascii="Times New Roman" w:hAnsi="Times New Roman" w:cs="Times New Roman"/>
          <w:sz w:val="24"/>
          <w:szCs w:val="24"/>
        </w:rPr>
        <w:t xml:space="preserve">round 29% between Grades 10–11. </w:t>
      </w:r>
      <w:r w:rsidRPr="00465C0F">
        <w:rPr>
          <w:rFonts w:ascii="Times New Roman" w:hAnsi="Times New Roman" w:cs="Times New Roman"/>
          <w:sz w:val="24"/>
          <w:szCs w:val="24"/>
        </w:rPr>
        <w:t>Therefore, the dropout rate is higher among male students than female students. Similarly, dropout is higher in Grades 9–11 compared to Grades 6–8.</w:t>
      </w:r>
    </w:p>
    <w:p w14:paraId="118717AE" w14:textId="7B5D9E90" w:rsidR="002B0826" w:rsidRPr="00BF2DE2" w:rsidRDefault="002B0826" w:rsidP="00887447">
      <w:pPr>
        <w:spacing w:after="0" w:line="360" w:lineRule="auto"/>
        <w:jc w:val="both"/>
        <w:rPr>
          <w:rFonts w:ascii="Times New Roman" w:hAnsi="Times New Roman" w:cs="Times New Roman"/>
          <w:b/>
          <w:szCs w:val="24"/>
        </w:rPr>
      </w:pPr>
      <w:r w:rsidRPr="00BF2DE2">
        <w:rPr>
          <w:rFonts w:ascii="Times New Roman" w:hAnsi="Times New Roman" w:cs="Times New Roman"/>
          <w:b/>
          <w:sz w:val="24"/>
          <w:szCs w:val="24"/>
        </w:rPr>
        <w:t>Economic Factors Influencing Student Dropout</w:t>
      </w:r>
    </w:p>
    <w:p w14:paraId="627385AF" w14:textId="7F591787"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t>The economic factors influencing student dropout were measured using 24 variables. These were categorized into seven major factors:</w:t>
      </w:r>
    </w:p>
    <w:p w14:paraId="19550208" w14:textId="518718DE" w:rsidR="002B0826" w:rsidRPr="00BF2DE2" w:rsidRDefault="00BF2DE2" w:rsidP="00BF2DE2">
      <w:pPr>
        <w:pStyle w:val="ListParagraph"/>
        <w:numPr>
          <w:ilvl w:val="0"/>
          <w:numId w:val="13"/>
        </w:numPr>
        <w:spacing w:after="0" w:line="360" w:lineRule="auto"/>
        <w:jc w:val="both"/>
        <w:rPr>
          <w:rFonts w:ascii="Times New Roman" w:hAnsi="Times New Roman" w:cs="Times New Roman"/>
          <w:sz w:val="24"/>
          <w:szCs w:val="24"/>
        </w:rPr>
      </w:pPr>
      <w:r w:rsidRPr="00BF2DE2">
        <w:rPr>
          <w:rFonts w:ascii="Times New Roman" w:hAnsi="Times New Roman" w:cs="Times New Roman"/>
          <w:sz w:val="24"/>
          <w:szCs w:val="24"/>
        </w:rPr>
        <w:t>Insufficient basic needs</w:t>
      </w:r>
    </w:p>
    <w:p w14:paraId="253C6D7D" w14:textId="4C396BEB" w:rsidR="002B0826" w:rsidRPr="001E50EB" w:rsidRDefault="001E50EB"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Parents’ poverty status</w:t>
      </w:r>
    </w:p>
    <w:p w14:paraId="4F08BC68" w14:textId="32587FF1"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Engagemen</w:t>
      </w:r>
      <w:r w:rsidR="001E50EB" w:rsidRPr="001E50EB">
        <w:rPr>
          <w:rFonts w:ascii="Times New Roman" w:hAnsi="Times New Roman" w:cs="Times New Roman"/>
          <w:sz w:val="24"/>
          <w:szCs w:val="24"/>
        </w:rPr>
        <w:t>t in part-time employment</w:t>
      </w:r>
    </w:p>
    <w:p w14:paraId="745DB49E" w14:textId="5E6C8465"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Obtaining</w:t>
      </w:r>
      <w:r w:rsidR="001E50EB" w:rsidRPr="001E50EB">
        <w:rPr>
          <w:rFonts w:ascii="Times New Roman" w:hAnsi="Times New Roman" w:cs="Times New Roman"/>
          <w:sz w:val="24"/>
          <w:szCs w:val="24"/>
        </w:rPr>
        <w:t xml:space="preserve"> loans for educational purposes</w:t>
      </w:r>
    </w:p>
    <w:p w14:paraId="3E172FA9" w14:textId="05F03C51" w:rsidR="002B0826" w:rsidRPr="001E50EB"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Living separately from parents</w:t>
      </w:r>
    </w:p>
    <w:p w14:paraId="3706A4E7" w14:textId="4EB87B46" w:rsidR="002B0826" w:rsidRDefault="002B0826" w:rsidP="00BF2DE2">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Large n</w:t>
      </w:r>
      <w:r w:rsidR="001E50EB" w:rsidRPr="001E50EB">
        <w:rPr>
          <w:rFonts w:ascii="Times New Roman" w:hAnsi="Times New Roman" w:cs="Times New Roman"/>
          <w:sz w:val="24"/>
          <w:szCs w:val="24"/>
        </w:rPr>
        <w:t>umber of siblings in the family</w:t>
      </w:r>
    </w:p>
    <w:p w14:paraId="198B02A6" w14:textId="6BB99427" w:rsidR="00EB0299" w:rsidRPr="001E50EB" w:rsidRDefault="00EB0299" w:rsidP="00EB0299">
      <w:pPr>
        <w:pStyle w:val="ListParagraph"/>
        <w:numPr>
          <w:ilvl w:val="0"/>
          <w:numId w:val="13"/>
        </w:numPr>
        <w:spacing w:after="0" w:line="360" w:lineRule="auto"/>
        <w:jc w:val="both"/>
        <w:rPr>
          <w:rFonts w:ascii="Times New Roman" w:hAnsi="Times New Roman" w:cs="Times New Roman"/>
          <w:sz w:val="24"/>
          <w:szCs w:val="24"/>
        </w:rPr>
      </w:pPr>
      <w:r w:rsidRPr="001E50EB">
        <w:rPr>
          <w:rFonts w:ascii="Times New Roman" w:hAnsi="Times New Roman" w:cs="Times New Roman"/>
          <w:sz w:val="24"/>
          <w:szCs w:val="24"/>
        </w:rPr>
        <w:t>Parents’ occupational status</w:t>
      </w:r>
    </w:p>
    <w:p w14:paraId="165E0D64" w14:textId="31348175" w:rsidR="00EB0299" w:rsidRPr="001E50EB" w:rsidRDefault="00EB0299" w:rsidP="00EB0299">
      <w:pPr>
        <w:pStyle w:val="ListParagraph"/>
        <w:spacing w:after="0" w:line="360" w:lineRule="auto"/>
        <w:jc w:val="both"/>
        <w:rPr>
          <w:rFonts w:ascii="Times New Roman" w:hAnsi="Times New Roman" w:cs="Times New Roman"/>
          <w:sz w:val="24"/>
          <w:szCs w:val="24"/>
        </w:rPr>
      </w:pPr>
    </w:p>
    <w:p w14:paraId="7CB0966A" w14:textId="4AF427CE"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t>Regarding these factors, the mean scores and standard devi</w:t>
      </w:r>
      <w:r w:rsidR="00BF2DE2">
        <w:rPr>
          <w:rFonts w:ascii="Times New Roman" w:hAnsi="Times New Roman" w:cs="Times New Roman"/>
          <w:sz w:val="24"/>
          <w:szCs w:val="24"/>
        </w:rPr>
        <w:t xml:space="preserve">ations were calculated based on </w:t>
      </w:r>
      <w:r w:rsidRPr="002B0826">
        <w:rPr>
          <w:rFonts w:ascii="Times New Roman" w:hAnsi="Times New Roman" w:cs="Times New Roman"/>
          <w:sz w:val="24"/>
          <w:szCs w:val="24"/>
        </w:rPr>
        <w:t>the responses of teachers and principals, and the results are pr</w:t>
      </w:r>
      <w:r w:rsidR="001E50EB">
        <w:rPr>
          <w:rFonts w:ascii="Times New Roman" w:hAnsi="Times New Roman" w:cs="Times New Roman"/>
          <w:sz w:val="24"/>
          <w:szCs w:val="24"/>
        </w:rPr>
        <w:t>esented in the following table.</w:t>
      </w:r>
    </w:p>
    <w:p w14:paraId="6D8D582D" w14:textId="32261393" w:rsidR="002B0826" w:rsidRPr="002B0826" w:rsidRDefault="002B0826" w:rsidP="002B0826">
      <w:pPr>
        <w:spacing w:line="360" w:lineRule="auto"/>
        <w:jc w:val="both"/>
        <w:rPr>
          <w:rFonts w:ascii="Times New Roman" w:hAnsi="Times New Roman" w:cs="Times New Roman"/>
          <w:sz w:val="24"/>
          <w:szCs w:val="24"/>
        </w:rPr>
      </w:pPr>
      <w:r w:rsidRPr="002B0826">
        <w:rPr>
          <w:rFonts w:ascii="Times New Roman" w:hAnsi="Times New Roman" w:cs="Times New Roman"/>
          <w:sz w:val="24"/>
          <w:szCs w:val="24"/>
        </w:rPr>
        <w:t>Here, responses were measured using a Likert scale with the following</w:t>
      </w:r>
      <w:r w:rsidR="001E50EB">
        <w:rPr>
          <w:rFonts w:ascii="Times New Roman" w:hAnsi="Times New Roman" w:cs="Times New Roman"/>
          <w:sz w:val="24"/>
          <w:szCs w:val="24"/>
        </w:rPr>
        <w:t xml:space="preserve"> levels:</w:t>
      </w:r>
    </w:p>
    <w:p w14:paraId="617D5EB2" w14:textId="2DD83446"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Very High – 5 </w:t>
      </w:r>
      <w:r>
        <w:rPr>
          <w:rFonts w:ascii="Times New Roman" w:hAnsi="Times New Roman" w:cs="Times New Roman"/>
          <w:sz w:val="24"/>
          <w:szCs w:val="24"/>
        </w:rPr>
        <w:t xml:space="preserve"> </w:t>
      </w:r>
      <w:r w:rsidRPr="001E50EB">
        <w:rPr>
          <w:rFonts w:ascii="Times New Roman" w:hAnsi="Times New Roman" w:cs="Times New Roman"/>
          <w:sz w:val="24"/>
          <w:szCs w:val="24"/>
        </w:rPr>
        <w:t>(4.5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5.0)</w:t>
      </w:r>
    </w:p>
    <w:p w14:paraId="13C43090" w14:textId="70739512"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High – 4 </w:t>
      </w:r>
      <w:r>
        <w:rPr>
          <w:rFonts w:ascii="Times New Roman" w:hAnsi="Times New Roman" w:cs="Times New Roman"/>
          <w:sz w:val="24"/>
          <w:szCs w:val="24"/>
        </w:rPr>
        <w:t xml:space="preserve"> </w:t>
      </w:r>
      <w:r w:rsidRPr="001E50EB">
        <w:rPr>
          <w:rFonts w:ascii="Times New Roman" w:hAnsi="Times New Roman" w:cs="Times New Roman"/>
          <w:sz w:val="24"/>
          <w:szCs w:val="24"/>
        </w:rPr>
        <w:t>(3.5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4.4)</w:t>
      </w:r>
    </w:p>
    <w:p w14:paraId="39F5EE4E" w14:textId="0B6F3B5D"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Low – 3 (2.5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3.4)</w:t>
      </w:r>
    </w:p>
    <w:p w14:paraId="3B8CB86D" w14:textId="092731C7" w:rsidR="002B0826" w:rsidRPr="001E50EB" w:rsidRDefault="001E50EB"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 xml:space="preserve">Very Low – 2 </w:t>
      </w:r>
      <w:r>
        <w:rPr>
          <w:rFonts w:ascii="Times New Roman" w:hAnsi="Times New Roman" w:cs="Times New Roman"/>
          <w:sz w:val="24"/>
          <w:szCs w:val="24"/>
        </w:rPr>
        <w:t xml:space="preserve"> </w:t>
      </w:r>
      <w:r w:rsidRPr="001E50EB">
        <w:rPr>
          <w:rFonts w:ascii="Times New Roman" w:hAnsi="Times New Roman" w:cs="Times New Roman"/>
          <w:sz w:val="24"/>
          <w:szCs w:val="24"/>
        </w:rPr>
        <w:t>(1.5</w:t>
      </w:r>
      <w:r>
        <w:rPr>
          <w:rFonts w:ascii="Times New Roman" w:hAnsi="Times New Roman" w:cs="Times New Roman"/>
          <w:sz w:val="24"/>
          <w:szCs w:val="24"/>
        </w:rPr>
        <w:t xml:space="preserve"> </w:t>
      </w:r>
      <w:r w:rsidRPr="001E50EB">
        <w:rPr>
          <w:rFonts w:ascii="Times New Roman" w:hAnsi="Times New Roman" w:cs="Times New Roman"/>
          <w:sz w:val="24"/>
          <w:szCs w:val="24"/>
        </w:rPr>
        <w:t>–</w:t>
      </w:r>
      <w:r>
        <w:rPr>
          <w:rFonts w:ascii="Times New Roman" w:hAnsi="Times New Roman" w:cs="Times New Roman"/>
          <w:sz w:val="24"/>
          <w:szCs w:val="24"/>
        </w:rPr>
        <w:t xml:space="preserve"> </w:t>
      </w:r>
      <w:r w:rsidRPr="001E50EB">
        <w:rPr>
          <w:rFonts w:ascii="Times New Roman" w:hAnsi="Times New Roman" w:cs="Times New Roman"/>
          <w:sz w:val="24"/>
          <w:szCs w:val="24"/>
        </w:rPr>
        <w:t>2.4)</w:t>
      </w:r>
    </w:p>
    <w:p w14:paraId="70DC5977" w14:textId="7689AA08" w:rsidR="00465C0F" w:rsidRPr="001E50EB" w:rsidRDefault="002B0826" w:rsidP="001E50EB">
      <w:pPr>
        <w:pStyle w:val="ListParagraph"/>
        <w:numPr>
          <w:ilvl w:val="0"/>
          <w:numId w:val="11"/>
        </w:numPr>
        <w:spacing w:line="360" w:lineRule="auto"/>
        <w:jc w:val="both"/>
        <w:rPr>
          <w:rFonts w:ascii="Times New Roman" w:hAnsi="Times New Roman" w:cs="Times New Roman"/>
          <w:sz w:val="24"/>
          <w:szCs w:val="24"/>
        </w:rPr>
      </w:pPr>
      <w:r w:rsidRPr="001E50EB">
        <w:rPr>
          <w:rFonts w:ascii="Times New Roman" w:hAnsi="Times New Roman" w:cs="Times New Roman"/>
          <w:sz w:val="24"/>
          <w:szCs w:val="24"/>
        </w:rPr>
        <w:t>Not at All – 1 (1.0</w:t>
      </w:r>
      <w:r w:rsidR="001E50EB">
        <w:rPr>
          <w:rFonts w:ascii="Times New Roman" w:hAnsi="Times New Roman" w:cs="Times New Roman"/>
          <w:sz w:val="24"/>
          <w:szCs w:val="24"/>
        </w:rPr>
        <w:t xml:space="preserve"> </w:t>
      </w:r>
      <w:r w:rsidRPr="001E50EB">
        <w:rPr>
          <w:rFonts w:ascii="Times New Roman" w:hAnsi="Times New Roman" w:cs="Times New Roman"/>
          <w:sz w:val="24"/>
          <w:szCs w:val="24"/>
        </w:rPr>
        <w:t>–</w:t>
      </w:r>
      <w:r w:rsidR="001E50EB">
        <w:rPr>
          <w:rFonts w:ascii="Times New Roman" w:hAnsi="Times New Roman" w:cs="Times New Roman"/>
          <w:sz w:val="24"/>
          <w:szCs w:val="24"/>
        </w:rPr>
        <w:t xml:space="preserve"> </w:t>
      </w:r>
      <w:r w:rsidRPr="001E50EB">
        <w:rPr>
          <w:rFonts w:ascii="Times New Roman" w:hAnsi="Times New Roman" w:cs="Times New Roman"/>
          <w:sz w:val="24"/>
          <w:szCs w:val="24"/>
        </w:rPr>
        <w:t>1.4)</w:t>
      </w:r>
    </w:p>
    <w:p w14:paraId="78352830" w14:textId="77777777" w:rsidR="00771767" w:rsidRDefault="00771767" w:rsidP="00771767">
      <w:pPr>
        <w:pStyle w:val="ListParagraph"/>
        <w:spacing w:after="0" w:line="360" w:lineRule="auto"/>
        <w:jc w:val="both"/>
        <w:rPr>
          <w:rFonts w:ascii="Times New Roman" w:hAnsi="Times New Roman" w:cs="Times New Roman"/>
          <w:b/>
          <w:sz w:val="24"/>
          <w:szCs w:val="24"/>
        </w:rPr>
      </w:pPr>
    </w:p>
    <w:p w14:paraId="6802E5F6" w14:textId="36F1F6BB" w:rsidR="00771767" w:rsidRPr="00771767" w:rsidRDefault="00771767" w:rsidP="00771767">
      <w:pPr>
        <w:spacing w:after="0" w:line="360" w:lineRule="auto"/>
        <w:jc w:val="both"/>
        <w:rPr>
          <w:rFonts w:ascii="Times New Roman" w:hAnsi="Times New Roman" w:cs="Times New Roman"/>
          <w:b/>
          <w:sz w:val="24"/>
          <w:szCs w:val="24"/>
        </w:rPr>
      </w:pPr>
      <w:r w:rsidRPr="00771767">
        <w:rPr>
          <w:rFonts w:ascii="Times New Roman" w:hAnsi="Times New Roman" w:cs="Times New Roman"/>
          <w:b/>
          <w:sz w:val="24"/>
          <w:szCs w:val="24"/>
        </w:rPr>
        <w:t>Table 2:</w:t>
      </w:r>
    </w:p>
    <w:p w14:paraId="554C75DF" w14:textId="4B4D9445" w:rsidR="001D6029" w:rsidRPr="00771767" w:rsidRDefault="00771767" w:rsidP="00771767">
      <w:pPr>
        <w:pStyle w:val="ListParagraph"/>
        <w:spacing w:after="0" w:line="360" w:lineRule="auto"/>
        <w:jc w:val="both"/>
        <w:rPr>
          <w:rFonts w:ascii="Times New Roman" w:hAnsi="Times New Roman" w:cs="Times New Roman"/>
          <w:i/>
          <w:szCs w:val="24"/>
        </w:rPr>
      </w:pPr>
      <w:r w:rsidRPr="00771767">
        <w:rPr>
          <w:rFonts w:ascii="Times New Roman" w:hAnsi="Times New Roman" w:cs="Times New Roman"/>
          <w:i/>
          <w:sz w:val="24"/>
          <w:szCs w:val="24"/>
        </w:rPr>
        <w:t>Economic Factors Influencing Student Dropout</w:t>
      </w:r>
    </w:p>
    <w:tbl>
      <w:tblPr>
        <w:tblStyle w:val="TableGrid"/>
        <w:tblW w:w="7281" w:type="dxa"/>
        <w:tblInd w:w="625" w:type="dxa"/>
        <w:tblLayout w:type="fixed"/>
        <w:tblLook w:val="04A0" w:firstRow="1" w:lastRow="0" w:firstColumn="1" w:lastColumn="0" w:noHBand="0" w:noVBand="1"/>
      </w:tblPr>
      <w:tblGrid>
        <w:gridCol w:w="1530"/>
        <w:gridCol w:w="695"/>
        <w:gridCol w:w="892"/>
        <w:gridCol w:w="1203"/>
        <w:gridCol w:w="888"/>
        <w:gridCol w:w="1036"/>
        <w:gridCol w:w="1037"/>
      </w:tblGrid>
      <w:tr w:rsidR="001D6029" w:rsidRPr="00F97420" w14:paraId="38B3F3B3" w14:textId="77777777" w:rsidTr="00DE5CAF">
        <w:trPr>
          <w:trHeight w:val="485"/>
        </w:trPr>
        <w:tc>
          <w:tcPr>
            <w:tcW w:w="1530" w:type="dxa"/>
            <w:vMerge w:val="restart"/>
            <w:tcBorders>
              <w:left w:val="nil"/>
              <w:right w:val="nil"/>
            </w:tcBorders>
            <w:vAlign w:val="center"/>
          </w:tcPr>
          <w:p w14:paraId="7152CFD0"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Variable</w:t>
            </w:r>
          </w:p>
        </w:tc>
        <w:tc>
          <w:tcPr>
            <w:tcW w:w="2790" w:type="dxa"/>
            <w:gridSpan w:val="3"/>
            <w:tcBorders>
              <w:left w:val="nil"/>
              <w:right w:val="nil"/>
            </w:tcBorders>
            <w:vAlign w:val="center"/>
          </w:tcPr>
          <w:p w14:paraId="10FB5CAC"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Teacher Responses</w:t>
            </w:r>
          </w:p>
        </w:tc>
        <w:tc>
          <w:tcPr>
            <w:tcW w:w="2961" w:type="dxa"/>
            <w:gridSpan w:val="3"/>
            <w:tcBorders>
              <w:left w:val="nil"/>
              <w:right w:val="nil"/>
            </w:tcBorders>
            <w:vAlign w:val="center"/>
          </w:tcPr>
          <w:p w14:paraId="161EDA93"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Principal  Responses</w:t>
            </w:r>
          </w:p>
        </w:tc>
      </w:tr>
      <w:tr w:rsidR="001D6029" w:rsidRPr="00F97420" w14:paraId="2FE7E5F1" w14:textId="77777777" w:rsidTr="00DE5CAF">
        <w:trPr>
          <w:trHeight w:val="186"/>
        </w:trPr>
        <w:tc>
          <w:tcPr>
            <w:tcW w:w="1530" w:type="dxa"/>
            <w:vMerge/>
            <w:tcBorders>
              <w:left w:val="nil"/>
              <w:bottom w:val="single" w:sz="4" w:space="0" w:color="auto"/>
              <w:right w:val="nil"/>
            </w:tcBorders>
            <w:vAlign w:val="center"/>
          </w:tcPr>
          <w:p w14:paraId="6A98D9A4" w14:textId="77777777" w:rsidR="001D6029" w:rsidRPr="00DE5CAF" w:rsidRDefault="001D6029" w:rsidP="001D6029">
            <w:pPr>
              <w:spacing w:line="360" w:lineRule="auto"/>
              <w:jc w:val="center"/>
              <w:rPr>
                <w:rFonts w:ascii="Times New Roman" w:hAnsi="Times New Roman" w:cs="Times New Roman"/>
                <w:bCs/>
                <w:sz w:val="24"/>
                <w:szCs w:val="24"/>
              </w:rPr>
            </w:pPr>
          </w:p>
        </w:tc>
        <w:tc>
          <w:tcPr>
            <w:tcW w:w="695" w:type="dxa"/>
            <w:tcBorders>
              <w:left w:val="nil"/>
              <w:bottom w:val="single" w:sz="4" w:space="0" w:color="auto"/>
              <w:right w:val="nil"/>
            </w:tcBorders>
            <w:vAlign w:val="center"/>
          </w:tcPr>
          <w:p w14:paraId="04E24A97"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892" w:type="dxa"/>
            <w:tcBorders>
              <w:left w:val="nil"/>
              <w:bottom w:val="single" w:sz="4" w:space="0" w:color="auto"/>
              <w:right w:val="nil"/>
            </w:tcBorders>
            <w:vAlign w:val="center"/>
          </w:tcPr>
          <w:p w14:paraId="78542671"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1203" w:type="dxa"/>
            <w:tcBorders>
              <w:left w:val="nil"/>
              <w:bottom w:val="single" w:sz="4" w:space="0" w:color="auto"/>
              <w:right w:val="nil"/>
            </w:tcBorders>
            <w:vAlign w:val="center"/>
          </w:tcPr>
          <w:p w14:paraId="4F53C7F8" w14:textId="77777777" w:rsidR="001D6029" w:rsidRPr="00DE5CAF" w:rsidRDefault="001D6029" w:rsidP="001D6029">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c>
          <w:tcPr>
            <w:tcW w:w="888" w:type="dxa"/>
            <w:tcBorders>
              <w:left w:val="nil"/>
              <w:bottom w:val="single" w:sz="4" w:space="0" w:color="auto"/>
              <w:right w:val="nil"/>
            </w:tcBorders>
            <w:vAlign w:val="center"/>
          </w:tcPr>
          <w:p w14:paraId="5C2B45F1"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1036" w:type="dxa"/>
            <w:tcBorders>
              <w:left w:val="nil"/>
              <w:bottom w:val="single" w:sz="4" w:space="0" w:color="auto"/>
              <w:right w:val="nil"/>
            </w:tcBorders>
            <w:vAlign w:val="center"/>
          </w:tcPr>
          <w:p w14:paraId="03270805"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1037" w:type="dxa"/>
            <w:tcBorders>
              <w:left w:val="nil"/>
              <w:bottom w:val="single" w:sz="4" w:space="0" w:color="auto"/>
              <w:right w:val="nil"/>
            </w:tcBorders>
            <w:vAlign w:val="center"/>
          </w:tcPr>
          <w:p w14:paraId="0B6B56A6" w14:textId="77777777" w:rsidR="001D6029" w:rsidRPr="00DE5CAF" w:rsidRDefault="001D6029"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r>
      <w:tr w:rsidR="001D6029" w:rsidRPr="00F97420" w14:paraId="65FC1BB5" w14:textId="77777777" w:rsidTr="00DE5CAF">
        <w:trPr>
          <w:trHeight w:val="309"/>
        </w:trPr>
        <w:tc>
          <w:tcPr>
            <w:tcW w:w="1530" w:type="dxa"/>
            <w:tcBorders>
              <w:left w:val="nil"/>
              <w:bottom w:val="nil"/>
              <w:right w:val="nil"/>
            </w:tcBorders>
            <w:vAlign w:val="center"/>
          </w:tcPr>
          <w:p w14:paraId="6E6D0B88"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V1</w:t>
            </w:r>
          </w:p>
        </w:tc>
        <w:tc>
          <w:tcPr>
            <w:tcW w:w="695" w:type="dxa"/>
            <w:tcBorders>
              <w:left w:val="nil"/>
              <w:bottom w:val="nil"/>
              <w:right w:val="nil"/>
            </w:tcBorders>
            <w:vAlign w:val="center"/>
          </w:tcPr>
          <w:p w14:paraId="68604BD0"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left w:val="nil"/>
              <w:bottom w:val="nil"/>
              <w:right w:val="nil"/>
            </w:tcBorders>
            <w:vAlign w:val="center"/>
          </w:tcPr>
          <w:p w14:paraId="5149664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3.03</w:t>
            </w:r>
          </w:p>
        </w:tc>
        <w:tc>
          <w:tcPr>
            <w:tcW w:w="1203" w:type="dxa"/>
            <w:tcBorders>
              <w:left w:val="nil"/>
              <w:bottom w:val="nil"/>
              <w:right w:val="nil"/>
            </w:tcBorders>
            <w:vAlign w:val="center"/>
          </w:tcPr>
          <w:p w14:paraId="07E53AA3"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1.05</w:t>
            </w:r>
          </w:p>
        </w:tc>
        <w:tc>
          <w:tcPr>
            <w:tcW w:w="888" w:type="dxa"/>
            <w:tcBorders>
              <w:left w:val="nil"/>
              <w:bottom w:val="nil"/>
              <w:right w:val="nil"/>
            </w:tcBorders>
            <w:vAlign w:val="center"/>
          </w:tcPr>
          <w:p w14:paraId="00074354"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left w:val="nil"/>
              <w:bottom w:val="nil"/>
              <w:right w:val="nil"/>
            </w:tcBorders>
            <w:vAlign w:val="center"/>
          </w:tcPr>
          <w:p w14:paraId="31AEA543" w14:textId="77777777" w:rsidR="001D6029" w:rsidRPr="00771767" w:rsidRDefault="00FA6C37"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3.2</w:t>
            </w:r>
            <w:r w:rsidR="001D6029" w:rsidRPr="00771767">
              <w:rPr>
                <w:rFonts w:ascii="Times New Roman" w:hAnsi="Times New Roman" w:cs="Times New Roman"/>
                <w:sz w:val="24"/>
                <w:szCs w:val="24"/>
              </w:rPr>
              <w:t>3</w:t>
            </w:r>
          </w:p>
        </w:tc>
        <w:tc>
          <w:tcPr>
            <w:tcW w:w="1037" w:type="dxa"/>
            <w:tcBorders>
              <w:left w:val="nil"/>
              <w:bottom w:val="nil"/>
              <w:right w:val="nil"/>
            </w:tcBorders>
            <w:vAlign w:val="center"/>
          </w:tcPr>
          <w:p w14:paraId="1406DA94" w14:textId="77777777" w:rsidR="001D6029" w:rsidRPr="00771767" w:rsidRDefault="00FA6C37"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1.2</w:t>
            </w:r>
            <w:r w:rsidR="001D6029" w:rsidRPr="00771767">
              <w:rPr>
                <w:rFonts w:ascii="Times New Roman" w:hAnsi="Times New Roman" w:cs="Times New Roman"/>
                <w:sz w:val="24"/>
                <w:szCs w:val="24"/>
              </w:rPr>
              <w:t>5</w:t>
            </w:r>
          </w:p>
        </w:tc>
      </w:tr>
      <w:tr w:rsidR="001D6029" w:rsidRPr="00F97420" w14:paraId="355E9D92" w14:textId="77777777" w:rsidTr="00DE5CAF">
        <w:trPr>
          <w:trHeight w:val="407"/>
        </w:trPr>
        <w:tc>
          <w:tcPr>
            <w:tcW w:w="1530" w:type="dxa"/>
            <w:tcBorders>
              <w:top w:val="nil"/>
              <w:left w:val="nil"/>
              <w:bottom w:val="nil"/>
              <w:right w:val="nil"/>
            </w:tcBorders>
            <w:vAlign w:val="center"/>
          </w:tcPr>
          <w:p w14:paraId="13BFD49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V2</w:t>
            </w:r>
          </w:p>
        </w:tc>
        <w:tc>
          <w:tcPr>
            <w:tcW w:w="695" w:type="dxa"/>
            <w:tcBorders>
              <w:top w:val="nil"/>
              <w:left w:val="nil"/>
              <w:bottom w:val="nil"/>
              <w:right w:val="nil"/>
            </w:tcBorders>
            <w:vAlign w:val="center"/>
          </w:tcPr>
          <w:p w14:paraId="414B2C33"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7BEB72B8"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4.91</w:t>
            </w:r>
          </w:p>
        </w:tc>
        <w:tc>
          <w:tcPr>
            <w:tcW w:w="1203" w:type="dxa"/>
            <w:tcBorders>
              <w:top w:val="nil"/>
              <w:left w:val="nil"/>
              <w:bottom w:val="nil"/>
              <w:right w:val="nil"/>
            </w:tcBorders>
            <w:vAlign w:val="center"/>
          </w:tcPr>
          <w:p w14:paraId="129D0704"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0.38</w:t>
            </w:r>
          </w:p>
        </w:tc>
        <w:tc>
          <w:tcPr>
            <w:tcW w:w="888" w:type="dxa"/>
            <w:tcBorders>
              <w:top w:val="nil"/>
              <w:left w:val="nil"/>
              <w:bottom w:val="nil"/>
              <w:right w:val="nil"/>
            </w:tcBorders>
            <w:vAlign w:val="center"/>
          </w:tcPr>
          <w:p w14:paraId="2D22D5D5"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2C721AC1"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w:t>
            </w:r>
            <w:r w:rsidR="001D6029" w:rsidRPr="00771767">
              <w:rPr>
                <w:rFonts w:ascii="Times New Roman" w:hAnsi="Times New Roman" w:cs="Times New Roman"/>
                <w:sz w:val="24"/>
                <w:szCs w:val="24"/>
              </w:rPr>
              <w:t>.</w:t>
            </w:r>
            <w:r w:rsidRPr="00771767">
              <w:rPr>
                <w:rFonts w:ascii="Times New Roman" w:hAnsi="Times New Roman" w:cs="Times New Roman"/>
                <w:sz w:val="24"/>
                <w:szCs w:val="24"/>
              </w:rPr>
              <w:t>82</w:t>
            </w:r>
          </w:p>
        </w:tc>
        <w:tc>
          <w:tcPr>
            <w:tcW w:w="1037" w:type="dxa"/>
            <w:tcBorders>
              <w:top w:val="nil"/>
              <w:left w:val="nil"/>
              <w:bottom w:val="nil"/>
              <w:right w:val="nil"/>
            </w:tcBorders>
            <w:vAlign w:val="center"/>
          </w:tcPr>
          <w:p w14:paraId="307937CE"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1.0</w:t>
            </w:r>
            <w:r w:rsidR="001D6029" w:rsidRPr="00771767">
              <w:rPr>
                <w:rFonts w:ascii="Times New Roman" w:hAnsi="Times New Roman" w:cs="Times New Roman"/>
                <w:sz w:val="24"/>
                <w:szCs w:val="24"/>
              </w:rPr>
              <w:t>8</w:t>
            </w:r>
          </w:p>
        </w:tc>
      </w:tr>
      <w:tr w:rsidR="001D6029" w:rsidRPr="00F97420" w14:paraId="3D51AD9C" w14:textId="77777777" w:rsidTr="00DE5CAF">
        <w:trPr>
          <w:trHeight w:val="427"/>
        </w:trPr>
        <w:tc>
          <w:tcPr>
            <w:tcW w:w="1530" w:type="dxa"/>
            <w:tcBorders>
              <w:top w:val="nil"/>
              <w:left w:val="nil"/>
              <w:bottom w:val="nil"/>
              <w:right w:val="nil"/>
            </w:tcBorders>
            <w:vAlign w:val="center"/>
          </w:tcPr>
          <w:p w14:paraId="09CFCBAD"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V3</w:t>
            </w:r>
          </w:p>
        </w:tc>
        <w:tc>
          <w:tcPr>
            <w:tcW w:w="695" w:type="dxa"/>
            <w:tcBorders>
              <w:top w:val="nil"/>
              <w:left w:val="nil"/>
              <w:bottom w:val="nil"/>
              <w:right w:val="nil"/>
            </w:tcBorders>
            <w:vAlign w:val="center"/>
          </w:tcPr>
          <w:p w14:paraId="03C552F7"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440C7A2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3.31</w:t>
            </w:r>
          </w:p>
        </w:tc>
        <w:tc>
          <w:tcPr>
            <w:tcW w:w="1203" w:type="dxa"/>
            <w:tcBorders>
              <w:top w:val="nil"/>
              <w:left w:val="nil"/>
              <w:bottom w:val="nil"/>
              <w:right w:val="nil"/>
            </w:tcBorders>
            <w:vAlign w:val="center"/>
          </w:tcPr>
          <w:p w14:paraId="2DB76C1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0.81</w:t>
            </w:r>
          </w:p>
        </w:tc>
        <w:tc>
          <w:tcPr>
            <w:tcW w:w="888" w:type="dxa"/>
            <w:tcBorders>
              <w:top w:val="nil"/>
              <w:left w:val="nil"/>
              <w:bottom w:val="nil"/>
              <w:right w:val="nil"/>
            </w:tcBorders>
            <w:vAlign w:val="center"/>
          </w:tcPr>
          <w:p w14:paraId="70BA3EC3"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3406B694"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3.23</w:t>
            </w:r>
          </w:p>
        </w:tc>
        <w:tc>
          <w:tcPr>
            <w:tcW w:w="1037" w:type="dxa"/>
            <w:tcBorders>
              <w:top w:val="nil"/>
              <w:left w:val="nil"/>
              <w:bottom w:val="nil"/>
              <w:right w:val="nil"/>
            </w:tcBorders>
            <w:vAlign w:val="center"/>
          </w:tcPr>
          <w:p w14:paraId="00970970"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0.92</w:t>
            </w:r>
          </w:p>
        </w:tc>
      </w:tr>
      <w:tr w:rsidR="001D6029" w:rsidRPr="00F97420" w14:paraId="65DBF5B1" w14:textId="77777777" w:rsidTr="00DE5CAF">
        <w:trPr>
          <w:trHeight w:val="407"/>
        </w:trPr>
        <w:tc>
          <w:tcPr>
            <w:tcW w:w="1530" w:type="dxa"/>
            <w:tcBorders>
              <w:top w:val="nil"/>
              <w:left w:val="nil"/>
              <w:bottom w:val="nil"/>
              <w:right w:val="nil"/>
            </w:tcBorders>
            <w:vAlign w:val="center"/>
          </w:tcPr>
          <w:p w14:paraId="017DFBB0"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V4</w:t>
            </w:r>
          </w:p>
        </w:tc>
        <w:tc>
          <w:tcPr>
            <w:tcW w:w="695" w:type="dxa"/>
            <w:tcBorders>
              <w:top w:val="nil"/>
              <w:left w:val="nil"/>
              <w:bottom w:val="nil"/>
              <w:right w:val="nil"/>
            </w:tcBorders>
            <w:vAlign w:val="center"/>
          </w:tcPr>
          <w:p w14:paraId="592D4EDA"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3A36D8B7"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3.96</w:t>
            </w:r>
          </w:p>
        </w:tc>
        <w:tc>
          <w:tcPr>
            <w:tcW w:w="1203" w:type="dxa"/>
            <w:tcBorders>
              <w:top w:val="nil"/>
              <w:left w:val="nil"/>
              <w:bottom w:val="nil"/>
              <w:right w:val="nil"/>
            </w:tcBorders>
            <w:vAlign w:val="center"/>
          </w:tcPr>
          <w:p w14:paraId="6524A96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0.89</w:t>
            </w:r>
          </w:p>
        </w:tc>
        <w:tc>
          <w:tcPr>
            <w:tcW w:w="888" w:type="dxa"/>
            <w:tcBorders>
              <w:top w:val="nil"/>
              <w:left w:val="nil"/>
              <w:bottom w:val="nil"/>
              <w:right w:val="nil"/>
            </w:tcBorders>
            <w:vAlign w:val="center"/>
          </w:tcPr>
          <w:p w14:paraId="4A84258B"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4AA11DC3"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3.74</w:t>
            </w:r>
          </w:p>
        </w:tc>
        <w:tc>
          <w:tcPr>
            <w:tcW w:w="1037" w:type="dxa"/>
            <w:tcBorders>
              <w:top w:val="nil"/>
              <w:left w:val="nil"/>
              <w:bottom w:val="nil"/>
              <w:right w:val="nil"/>
            </w:tcBorders>
            <w:vAlign w:val="center"/>
          </w:tcPr>
          <w:p w14:paraId="21FF9AA2"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0.95</w:t>
            </w:r>
          </w:p>
        </w:tc>
      </w:tr>
      <w:tr w:rsidR="001D6029" w:rsidRPr="00F97420" w14:paraId="513EA18D" w14:textId="77777777" w:rsidTr="00DE5CAF">
        <w:trPr>
          <w:trHeight w:val="427"/>
        </w:trPr>
        <w:tc>
          <w:tcPr>
            <w:tcW w:w="1530" w:type="dxa"/>
            <w:tcBorders>
              <w:top w:val="nil"/>
              <w:left w:val="nil"/>
              <w:bottom w:val="nil"/>
              <w:right w:val="nil"/>
            </w:tcBorders>
            <w:vAlign w:val="center"/>
          </w:tcPr>
          <w:p w14:paraId="426D740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V5</w:t>
            </w:r>
          </w:p>
        </w:tc>
        <w:tc>
          <w:tcPr>
            <w:tcW w:w="695" w:type="dxa"/>
            <w:tcBorders>
              <w:top w:val="nil"/>
              <w:left w:val="nil"/>
              <w:bottom w:val="nil"/>
              <w:right w:val="nil"/>
            </w:tcBorders>
            <w:vAlign w:val="center"/>
          </w:tcPr>
          <w:p w14:paraId="7C08D328"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7999A295"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w:t>
            </w:r>
            <w:r w:rsidR="00FA6C37" w:rsidRPr="00771767">
              <w:rPr>
                <w:rFonts w:ascii="Times New Roman" w:hAnsi="Times New Roman" w:cs="Times New Roman"/>
                <w:sz w:val="24"/>
                <w:szCs w:val="24"/>
              </w:rPr>
              <w:t>.6</w:t>
            </w:r>
            <w:r w:rsidRPr="00771767">
              <w:rPr>
                <w:rFonts w:ascii="Times New Roman" w:hAnsi="Times New Roman" w:cs="Times New Roman"/>
                <w:sz w:val="24"/>
                <w:szCs w:val="24"/>
              </w:rPr>
              <w:t>7</w:t>
            </w:r>
          </w:p>
        </w:tc>
        <w:tc>
          <w:tcPr>
            <w:tcW w:w="1203" w:type="dxa"/>
            <w:tcBorders>
              <w:top w:val="nil"/>
              <w:left w:val="nil"/>
              <w:bottom w:val="nil"/>
              <w:right w:val="nil"/>
            </w:tcBorders>
            <w:vAlign w:val="center"/>
          </w:tcPr>
          <w:p w14:paraId="15FF347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0.92</w:t>
            </w:r>
          </w:p>
        </w:tc>
        <w:tc>
          <w:tcPr>
            <w:tcW w:w="888" w:type="dxa"/>
            <w:tcBorders>
              <w:top w:val="nil"/>
              <w:left w:val="nil"/>
              <w:bottom w:val="nil"/>
              <w:right w:val="nil"/>
            </w:tcBorders>
            <w:vAlign w:val="center"/>
          </w:tcPr>
          <w:p w14:paraId="7A8CFA05"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0D607985"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4.8</w:t>
            </w:r>
            <w:r w:rsidR="001D6029" w:rsidRPr="00771767">
              <w:rPr>
                <w:rFonts w:ascii="Times New Roman" w:hAnsi="Times New Roman" w:cs="Times New Roman"/>
                <w:sz w:val="24"/>
                <w:szCs w:val="24"/>
              </w:rPr>
              <w:t>7</w:t>
            </w:r>
          </w:p>
        </w:tc>
        <w:tc>
          <w:tcPr>
            <w:tcW w:w="1037" w:type="dxa"/>
            <w:tcBorders>
              <w:top w:val="nil"/>
              <w:left w:val="nil"/>
              <w:bottom w:val="nil"/>
              <w:right w:val="nil"/>
            </w:tcBorders>
            <w:vAlign w:val="center"/>
          </w:tcPr>
          <w:p w14:paraId="4922A5C7" w14:textId="77777777" w:rsidR="001D6029" w:rsidRPr="00771767" w:rsidRDefault="001D6029"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w:t>
            </w:r>
            <w:r w:rsidR="00FA6C37" w:rsidRPr="00771767">
              <w:rPr>
                <w:rFonts w:ascii="Times New Roman" w:hAnsi="Times New Roman" w:cs="Times New Roman"/>
                <w:sz w:val="24"/>
                <w:szCs w:val="24"/>
              </w:rPr>
              <w:t>73</w:t>
            </w:r>
          </w:p>
        </w:tc>
      </w:tr>
      <w:tr w:rsidR="001D6029" w:rsidRPr="00F97420" w14:paraId="373B3CE1" w14:textId="77777777" w:rsidTr="00DE5CAF">
        <w:trPr>
          <w:trHeight w:val="407"/>
        </w:trPr>
        <w:tc>
          <w:tcPr>
            <w:tcW w:w="1530" w:type="dxa"/>
            <w:tcBorders>
              <w:top w:val="nil"/>
              <w:left w:val="nil"/>
              <w:bottom w:val="nil"/>
              <w:right w:val="nil"/>
            </w:tcBorders>
            <w:vAlign w:val="center"/>
          </w:tcPr>
          <w:p w14:paraId="6AC88B64"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V6</w:t>
            </w:r>
          </w:p>
        </w:tc>
        <w:tc>
          <w:tcPr>
            <w:tcW w:w="695" w:type="dxa"/>
            <w:tcBorders>
              <w:top w:val="nil"/>
              <w:left w:val="nil"/>
              <w:bottom w:val="nil"/>
              <w:right w:val="nil"/>
            </w:tcBorders>
            <w:vAlign w:val="center"/>
          </w:tcPr>
          <w:p w14:paraId="2A986E1F"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bottom w:val="nil"/>
              <w:right w:val="nil"/>
            </w:tcBorders>
            <w:vAlign w:val="center"/>
          </w:tcPr>
          <w:p w14:paraId="34C5593A"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3.00</w:t>
            </w:r>
          </w:p>
        </w:tc>
        <w:tc>
          <w:tcPr>
            <w:tcW w:w="1203" w:type="dxa"/>
            <w:tcBorders>
              <w:top w:val="nil"/>
              <w:left w:val="nil"/>
              <w:bottom w:val="nil"/>
              <w:right w:val="nil"/>
            </w:tcBorders>
            <w:vAlign w:val="center"/>
          </w:tcPr>
          <w:p w14:paraId="11FCE83B" w14:textId="77777777" w:rsidR="001D6029" w:rsidRPr="00771767" w:rsidRDefault="001D6029" w:rsidP="001D6029">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0.93</w:t>
            </w:r>
          </w:p>
        </w:tc>
        <w:tc>
          <w:tcPr>
            <w:tcW w:w="888" w:type="dxa"/>
            <w:tcBorders>
              <w:top w:val="nil"/>
              <w:left w:val="nil"/>
              <w:bottom w:val="nil"/>
              <w:right w:val="nil"/>
            </w:tcBorders>
            <w:vAlign w:val="center"/>
          </w:tcPr>
          <w:p w14:paraId="2E65D0F6" w14:textId="77777777" w:rsidR="001D6029" w:rsidRPr="00771767" w:rsidRDefault="001D6029" w:rsidP="001D6029">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bottom w:val="nil"/>
              <w:right w:val="nil"/>
            </w:tcBorders>
            <w:vAlign w:val="center"/>
          </w:tcPr>
          <w:p w14:paraId="130E49AF" w14:textId="77777777" w:rsidR="001D6029" w:rsidRPr="00771767" w:rsidRDefault="00FA6C37"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w:t>
            </w:r>
            <w:r w:rsidR="001D6029" w:rsidRPr="00771767">
              <w:rPr>
                <w:rFonts w:ascii="Times New Roman" w:hAnsi="Times New Roman" w:cs="Times New Roman"/>
                <w:sz w:val="24"/>
                <w:szCs w:val="24"/>
              </w:rPr>
              <w:t>.0</w:t>
            </w:r>
            <w:r w:rsidRPr="00771767">
              <w:rPr>
                <w:rFonts w:ascii="Times New Roman" w:hAnsi="Times New Roman" w:cs="Times New Roman"/>
                <w:sz w:val="24"/>
                <w:szCs w:val="24"/>
              </w:rPr>
              <w:t>6</w:t>
            </w:r>
          </w:p>
        </w:tc>
        <w:tc>
          <w:tcPr>
            <w:tcW w:w="1037" w:type="dxa"/>
            <w:tcBorders>
              <w:top w:val="nil"/>
              <w:left w:val="nil"/>
              <w:bottom w:val="nil"/>
              <w:right w:val="nil"/>
            </w:tcBorders>
            <w:vAlign w:val="center"/>
          </w:tcPr>
          <w:p w14:paraId="262D69A9" w14:textId="77777777" w:rsidR="001D6029" w:rsidRPr="00771767" w:rsidRDefault="001D6029" w:rsidP="001E05FB">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0.</w:t>
            </w:r>
            <w:r w:rsidR="00FA6C37" w:rsidRPr="00771767">
              <w:rPr>
                <w:rFonts w:ascii="Times New Roman" w:hAnsi="Times New Roman" w:cs="Times New Roman"/>
                <w:sz w:val="24"/>
                <w:szCs w:val="24"/>
              </w:rPr>
              <w:t>82</w:t>
            </w:r>
          </w:p>
        </w:tc>
      </w:tr>
      <w:tr w:rsidR="001D6029" w:rsidRPr="00F97420" w14:paraId="732C47C6" w14:textId="77777777" w:rsidTr="00DE5CAF">
        <w:trPr>
          <w:trHeight w:val="447"/>
        </w:trPr>
        <w:tc>
          <w:tcPr>
            <w:tcW w:w="1530" w:type="dxa"/>
            <w:tcBorders>
              <w:top w:val="nil"/>
              <w:left w:val="nil"/>
              <w:right w:val="nil"/>
            </w:tcBorders>
            <w:vAlign w:val="center"/>
          </w:tcPr>
          <w:p w14:paraId="769B5E53"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V7</w:t>
            </w:r>
          </w:p>
        </w:tc>
        <w:tc>
          <w:tcPr>
            <w:tcW w:w="695" w:type="dxa"/>
            <w:tcBorders>
              <w:top w:val="nil"/>
              <w:left w:val="nil"/>
              <w:right w:val="nil"/>
            </w:tcBorders>
            <w:vAlign w:val="center"/>
          </w:tcPr>
          <w:p w14:paraId="417E8725"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54</w:t>
            </w:r>
          </w:p>
        </w:tc>
        <w:tc>
          <w:tcPr>
            <w:tcW w:w="892" w:type="dxa"/>
            <w:tcBorders>
              <w:top w:val="nil"/>
              <w:left w:val="nil"/>
              <w:right w:val="nil"/>
            </w:tcBorders>
            <w:vAlign w:val="center"/>
          </w:tcPr>
          <w:p w14:paraId="2E136CFC"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3.70</w:t>
            </w:r>
          </w:p>
        </w:tc>
        <w:tc>
          <w:tcPr>
            <w:tcW w:w="1203" w:type="dxa"/>
            <w:tcBorders>
              <w:top w:val="nil"/>
              <w:left w:val="nil"/>
              <w:right w:val="nil"/>
            </w:tcBorders>
            <w:vAlign w:val="center"/>
          </w:tcPr>
          <w:p w14:paraId="3A48D185"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1.31</w:t>
            </w:r>
          </w:p>
        </w:tc>
        <w:tc>
          <w:tcPr>
            <w:tcW w:w="888" w:type="dxa"/>
            <w:tcBorders>
              <w:top w:val="nil"/>
              <w:left w:val="nil"/>
              <w:right w:val="nil"/>
            </w:tcBorders>
            <w:vAlign w:val="center"/>
          </w:tcPr>
          <w:p w14:paraId="169AAA38" w14:textId="77777777" w:rsidR="001D6029" w:rsidRPr="00771767" w:rsidRDefault="001D6029" w:rsidP="00FA6C37">
            <w:pPr>
              <w:jc w:val="center"/>
              <w:rPr>
                <w:rFonts w:ascii="Times New Roman" w:hAnsi="Times New Roman" w:cs="Times New Roman"/>
                <w:sz w:val="24"/>
                <w:szCs w:val="24"/>
              </w:rPr>
            </w:pPr>
            <w:r w:rsidRPr="00771767">
              <w:rPr>
                <w:rFonts w:ascii="Times New Roman" w:hAnsi="Times New Roman" w:cs="Times New Roman"/>
                <w:sz w:val="24"/>
                <w:szCs w:val="24"/>
              </w:rPr>
              <w:t>18</w:t>
            </w:r>
          </w:p>
        </w:tc>
        <w:tc>
          <w:tcPr>
            <w:tcW w:w="1036" w:type="dxa"/>
            <w:tcBorders>
              <w:top w:val="nil"/>
              <w:left w:val="nil"/>
              <w:right w:val="nil"/>
            </w:tcBorders>
            <w:vAlign w:val="center"/>
          </w:tcPr>
          <w:p w14:paraId="4680E416" w14:textId="77777777" w:rsidR="001D6029" w:rsidRPr="00771767" w:rsidRDefault="00FA6C37"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3</w:t>
            </w:r>
            <w:r w:rsidR="001D6029" w:rsidRPr="00771767">
              <w:rPr>
                <w:rFonts w:ascii="Times New Roman" w:hAnsi="Times New Roman" w:cs="Times New Roman"/>
                <w:sz w:val="24"/>
                <w:szCs w:val="24"/>
              </w:rPr>
              <w:t>.7</w:t>
            </w:r>
            <w:r w:rsidRPr="00771767">
              <w:rPr>
                <w:rFonts w:ascii="Times New Roman" w:hAnsi="Times New Roman" w:cs="Times New Roman"/>
                <w:sz w:val="24"/>
                <w:szCs w:val="24"/>
              </w:rPr>
              <w:t>2</w:t>
            </w:r>
          </w:p>
        </w:tc>
        <w:tc>
          <w:tcPr>
            <w:tcW w:w="1037" w:type="dxa"/>
            <w:tcBorders>
              <w:top w:val="nil"/>
              <w:left w:val="nil"/>
              <w:right w:val="nil"/>
            </w:tcBorders>
            <w:vAlign w:val="center"/>
          </w:tcPr>
          <w:p w14:paraId="59BAED3E" w14:textId="77777777" w:rsidR="001D6029" w:rsidRPr="00771767" w:rsidRDefault="001D6029" w:rsidP="00FA6C37">
            <w:pPr>
              <w:spacing w:line="360" w:lineRule="auto"/>
              <w:jc w:val="center"/>
              <w:rPr>
                <w:rFonts w:ascii="Times New Roman" w:hAnsi="Times New Roman" w:cs="Times New Roman"/>
                <w:sz w:val="24"/>
                <w:szCs w:val="24"/>
              </w:rPr>
            </w:pPr>
            <w:r w:rsidRPr="00771767">
              <w:rPr>
                <w:rFonts w:ascii="Times New Roman" w:hAnsi="Times New Roman" w:cs="Times New Roman"/>
                <w:sz w:val="24"/>
                <w:szCs w:val="24"/>
              </w:rPr>
              <w:t>1.</w:t>
            </w:r>
            <w:r w:rsidR="00FA6C37" w:rsidRPr="00771767">
              <w:rPr>
                <w:rFonts w:ascii="Times New Roman" w:hAnsi="Times New Roman" w:cs="Times New Roman"/>
                <w:sz w:val="24"/>
                <w:szCs w:val="24"/>
              </w:rPr>
              <w:t>25</w:t>
            </w:r>
          </w:p>
        </w:tc>
      </w:tr>
    </w:tbl>
    <w:p w14:paraId="04CA787C" w14:textId="77777777" w:rsidR="00000AF6" w:rsidRPr="00C92D02" w:rsidRDefault="00000AF6" w:rsidP="00FA6C37">
      <w:pPr>
        <w:spacing w:line="360" w:lineRule="auto"/>
        <w:jc w:val="both"/>
        <w:rPr>
          <w:rFonts w:ascii="Bamini" w:hAnsi="Bamini"/>
          <w:b/>
          <w:bCs/>
          <w:sz w:val="16"/>
          <w:szCs w:val="28"/>
        </w:rPr>
      </w:pPr>
    </w:p>
    <w:p w14:paraId="41183F50" w14:textId="45363914" w:rsidR="00C178DD" w:rsidRPr="00EB2C83" w:rsidRDefault="00C178DD" w:rsidP="00EB2C83">
      <w:pPr>
        <w:spacing w:after="0" w:line="360" w:lineRule="auto"/>
        <w:jc w:val="both"/>
        <w:rPr>
          <w:rFonts w:ascii="Times New Roman" w:hAnsi="Times New Roman" w:cs="Times New Roman"/>
          <w:sz w:val="24"/>
          <w:szCs w:val="24"/>
        </w:rPr>
      </w:pPr>
      <w:r w:rsidRPr="00EB2C83">
        <w:rPr>
          <w:rFonts w:ascii="Times New Roman" w:hAnsi="Times New Roman" w:cs="Times New Roman"/>
          <w:sz w:val="24"/>
          <w:szCs w:val="24"/>
        </w:rPr>
        <w:t>According to Table 2, teachers’ responses indicate that (V2) parents’ pover</w:t>
      </w:r>
      <w:r w:rsidR="00F477F3" w:rsidRPr="00EB2C83">
        <w:rPr>
          <w:rFonts w:ascii="Times New Roman" w:hAnsi="Times New Roman" w:cs="Times New Roman"/>
          <w:sz w:val="24"/>
          <w:szCs w:val="24"/>
        </w:rPr>
        <w:t>ty status (M = 4.91, SD = 0.</w:t>
      </w:r>
      <w:r w:rsidRPr="00EB2C83">
        <w:rPr>
          <w:rFonts w:ascii="Times New Roman" w:hAnsi="Times New Roman" w:cs="Times New Roman"/>
          <w:sz w:val="24"/>
          <w:szCs w:val="24"/>
        </w:rPr>
        <w:t>8</w:t>
      </w:r>
      <w:r w:rsidR="00F477F3" w:rsidRPr="00EB2C83">
        <w:rPr>
          <w:rFonts w:ascii="Times New Roman" w:hAnsi="Times New Roman" w:cs="Times New Roman"/>
          <w:sz w:val="24"/>
          <w:szCs w:val="24"/>
        </w:rPr>
        <w:t>3</w:t>
      </w:r>
      <w:r w:rsidRPr="00EB2C83">
        <w:rPr>
          <w:rFonts w:ascii="Times New Roman" w:hAnsi="Times New Roman" w:cs="Times New Roman"/>
          <w:sz w:val="24"/>
          <w:szCs w:val="24"/>
        </w:rPr>
        <w:t xml:space="preserve">) and (V5) living separately from parents (M = 4.67, SD = 0.92) have exerted a very high level of influence on student dropout. Similarly, principals’ responses also reveal that (V2) (M = 4.82, SD = 1.08) and (V5) (M = 4.87, SD = 0.73) have exerted a very high level of influence. Likewise, teachers’ and principals’ responses indicate that (V4) </w:t>
      </w:r>
      <w:r w:rsidR="00EB2C83" w:rsidRPr="00EB2C83">
        <w:rPr>
          <w:rFonts w:ascii="Times New Roman" w:hAnsi="Times New Roman" w:cs="Times New Roman"/>
          <w:sz w:val="24"/>
          <w:szCs w:val="24"/>
        </w:rPr>
        <w:t>Obtaining loans for educational purposes</w:t>
      </w:r>
      <w:r w:rsidRPr="00EB2C83">
        <w:rPr>
          <w:rFonts w:ascii="Times New Roman" w:hAnsi="Times New Roman" w:cs="Times New Roman"/>
          <w:sz w:val="24"/>
          <w:szCs w:val="24"/>
        </w:rPr>
        <w:t xml:space="preserve"> (Teachers: M = 3.96, SD = 0.89; Principals: M = 3.74, SD = 0.95) and (V7) </w:t>
      </w:r>
      <w:r w:rsidR="00145D0F" w:rsidRPr="00EB2C83">
        <w:rPr>
          <w:rFonts w:ascii="Times New Roman" w:hAnsi="Times New Roman" w:cs="Times New Roman"/>
          <w:sz w:val="24"/>
          <w:szCs w:val="24"/>
        </w:rPr>
        <w:t xml:space="preserve">Parents’ occupational status </w:t>
      </w:r>
      <w:r w:rsidRPr="00EB2C83">
        <w:rPr>
          <w:rFonts w:ascii="Times New Roman" w:hAnsi="Times New Roman" w:cs="Times New Roman"/>
          <w:sz w:val="24"/>
          <w:szCs w:val="24"/>
        </w:rPr>
        <w:t>(3.70, SD = 1.31; Principals: M = 3.72, SD = 1.25) have exe</w:t>
      </w:r>
      <w:r w:rsidR="00AB279B" w:rsidRPr="00EB2C83">
        <w:rPr>
          <w:rFonts w:ascii="Times New Roman" w:hAnsi="Times New Roman" w:cs="Times New Roman"/>
          <w:sz w:val="24"/>
          <w:szCs w:val="24"/>
        </w:rPr>
        <w:t>rted a high level of influence.</w:t>
      </w:r>
    </w:p>
    <w:p w14:paraId="59E4A0DA" w14:textId="77777777" w:rsidR="00145D0F" w:rsidRPr="00C178DD" w:rsidRDefault="00145D0F" w:rsidP="00145D0F">
      <w:pPr>
        <w:spacing w:after="0" w:line="360" w:lineRule="auto"/>
        <w:jc w:val="both"/>
        <w:rPr>
          <w:rFonts w:ascii="Times New Roman" w:hAnsi="Times New Roman" w:cs="Times New Roman"/>
          <w:sz w:val="24"/>
          <w:szCs w:val="24"/>
        </w:rPr>
      </w:pPr>
    </w:p>
    <w:p w14:paraId="1F06BCA5" w14:textId="77777777" w:rsidR="007B0C7C" w:rsidRDefault="007B0C7C" w:rsidP="00EB2C83">
      <w:pPr>
        <w:spacing w:after="0" w:line="360" w:lineRule="auto"/>
        <w:jc w:val="both"/>
        <w:rPr>
          <w:rFonts w:ascii="Times New Roman" w:hAnsi="Times New Roman" w:cs="Times New Roman"/>
          <w:sz w:val="24"/>
          <w:szCs w:val="24"/>
        </w:rPr>
      </w:pPr>
    </w:p>
    <w:p w14:paraId="1EAE52E8" w14:textId="77777777" w:rsidR="007B0C7C" w:rsidRDefault="007B0C7C" w:rsidP="00EB2C83">
      <w:pPr>
        <w:spacing w:after="0" w:line="360" w:lineRule="auto"/>
        <w:jc w:val="both"/>
        <w:rPr>
          <w:rFonts w:ascii="Times New Roman" w:hAnsi="Times New Roman" w:cs="Times New Roman"/>
          <w:sz w:val="24"/>
          <w:szCs w:val="24"/>
        </w:rPr>
      </w:pPr>
    </w:p>
    <w:p w14:paraId="25FE8AAC" w14:textId="0ABEDC77" w:rsidR="00C178DD" w:rsidRDefault="00C178DD" w:rsidP="00EB2C83">
      <w:pPr>
        <w:spacing w:after="0" w:line="360" w:lineRule="auto"/>
        <w:jc w:val="both"/>
        <w:rPr>
          <w:rFonts w:ascii="Times New Roman" w:hAnsi="Times New Roman" w:cs="Times New Roman"/>
          <w:sz w:val="24"/>
          <w:szCs w:val="24"/>
        </w:rPr>
      </w:pPr>
      <w:r w:rsidRPr="00EB2C83">
        <w:rPr>
          <w:rFonts w:ascii="Times New Roman" w:hAnsi="Times New Roman" w:cs="Times New Roman"/>
          <w:sz w:val="24"/>
          <w:szCs w:val="24"/>
        </w:rPr>
        <w:t>However, teachers’ and pri</w:t>
      </w:r>
      <w:r w:rsidR="00145D0F" w:rsidRPr="00EB2C83">
        <w:rPr>
          <w:rFonts w:ascii="Times New Roman" w:hAnsi="Times New Roman" w:cs="Times New Roman"/>
          <w:sz w:val="24"/>
          <w:szCs w:val="24"/>
        </w:rPr>
        <w:t xml:space="preserve">ncipals’ responses show that </w:t>
      </w:r>
      <w:r w:rsidR="00EB2C83">
        <w:rPr>
          <w:rFonts w:ascii="Times New Roman" w:hAnsi="Times New Roman" w:cs="Times New Roman"/>
          <w:sz w:val="24"/>
          <w:szCs w:val="24"/>
        </w:rPr>
        <w:t>(V1)</w:t>
      </w:r>
      <w:r w:rsidRPr="00EB2C83">
        <w:rPr>
          <w:rFonts w:ascii="Times New Roman" w:hAnsi="Times New Roman" w:cs="Times New Roman"/>
          <w:sz w:val="24"/>
          <w:szCs w:val="24"/>
        </w:rPr>
        <w:t xml:space="preserve"> </w:t>
      </w:r>
      <w:r w:rsidR="00EB2C83">
        <w:rPr>
          <w:rFonts w:ascii="Times New Roman" w:hAnsi="Times New Roman" w:cs="Times New Roman"/>
          <w:sz w:val="24"/>
          <w:szCs w:val="24"/>
        </w:rPr>
        <w:t>i</w:t>
      </w:r>
      <w:r w:rsidR="00EB2C83" w:rsidRPr="00EB2C83">
        <w:rPr>
          <w:rFonts w:ascii="Times New Roman" w:hAnsi="Times New Roman" w:cs="Times New Roman"/>
          <w:sz w:val="24"/>
          <w:szCs w:val="24"/>
        </w:rPr>
        <w:t>nsufficient basic needs</w:t>
      </w:r>
      <w:r w:rsidR="007B0C7C">
        <w:rPr>
          <w:rFonts w:ascii="Times New Roman" w:hAnsi="Times New Roman" w:cs="Times New Roman"/>
          <w:sz w:val="24"/>
          <w:szCs w:val="24"/>
        </w:rPr>
        <w:t xml:space="preserve"> </w:t>
      </w:r>
      <w:r w:rsidR="00145D0F" w:rsidRPr="00EB2C83">
        <w:rPr>
          <w:rFonts w:ascii="Times New Roman" w:hAnsi="Times New Roman" w:cs="Times New Roman"/>
          <w:sz w:val="24"/>
          <w:szCs w:val="24"/>
        </w:rPr>
        <w:t>(Teachers: M = 3.</w:t>
      </w:r>
      <w:r w:rsidR="00EB2C83" w:rsidRPr="00EB2C83">
        <w:rPr>
          <w:rFonts w:ascii="Times New Roman" w:hAnsi="Times New Roman" w:cs="Times New Roman"/>
          <w:sz w:val="24"/>
          <w:szCs w:val="24"/>
        </w:rPr>
        <w:t>0</w:t>
      </w:r>
      <w:r w:rsidRPr="00EB2C83">
        <w:rPr>
          <w:rFonts w:ascii="Times New Roman" w:hAnsi="Times New Roman" w:cs="Times New Roman"/>
          <w:sz w:val="24"/>
          <w:szCs w:val="24"/>
        </w:rPr>
        <w:t xml:space="preserve">3, SD = </w:t>
      </w:r>
      <w:r w:rsidR="00EB2C83" w:rsidRPr="00EB2C83">
        <w:rPr>
          <w:rFonts w:ascii="Times New Roman" w:hAnsi="Times New Roman" w:cs="Times New Roman"/>
          <w:sz w:val="24"/>
          <w:szCs w:val="24"/>
        </w:rPr>
        <w:t>1.05</w:t>
      </w:r>
      <w:r w:rsidRPr="00EB2C83">
        <w:rPr>
          <w:rFonts w:ascii="Times New Roman" w:hAnsi="Times New Roman" w:cs="Times New Roman"/>
          <w:sz w:val="24"/>
          <w:szCs w:val="24"/>
        </w:rPr>
        <w:t xml:space="preserve">; Principals: M = 3.23, SD = </w:t>
      </w:r>
      <w:r w:rsidR="00EB2C83" w:rsidRPr="00EB2C83">
        <w:rPr>
          <w:rFonts w:ascii="Times New Roman" w:hAnsi="Times New Roman" w:cs="Times New Roman"/>
          <w:sz w:val="24"/>
          <w:szCs w:val="24"/>
        </w:rPr>
        <w:t>1.25</w:t>
      </w:r>
      <w:r w:rsidRPr="00EB2C83">
        <w:rPr>
          <w:rFonts w:ascii="Times New Roman" w:hAnsi="Times New Roman" w:cs="Times New Roman"/>
          <w:sz w:val="24"/>
          <w:szCs w:val="24"/>
        </w:rPr>
        <w:t xml:space="preserve">), </w:t>
      </w:r>
      <w:r w:rsidR="00EB2C83" w:rsidRPr="00EB2C83">
        <w:rPr>
          <w:rFonts w:ascii="Times New Roman" w:hAnsi="Times New Roman" w:cs="Times New Roman"/>
          <w:sz w:val="24"/>
          <w:szCs w:val="24"/>
        </w:rPr>
        <w:t>(V3) Engagement in part-time employment</w:t>
      </w:r>
      <w:r w:rsidR="00145D0F" w:rsidRPr="00EB2C83">
        <w:rPr>
          <w:rFonts w:ascii="Times New Roman" w:hAnsi="Times New Roman" w:cs="Times New Roman"/>
          <w:sz w:val="24"/>
          <w:szCs w:val="24"/>
        </w:rPr>
        <w:t xml:space="preserve"> (Teach</w:t>
      </w:r>
      <w:r w:rsidR="00EB2C83" w:rsidRPr="00EB2C83">
        <w:rPr>
          <w:rFonts w:ascii="Times New Roman" w:hAnsi="Times New Roman" w:cs="Times New Roman"/>
          <w:sz w:val="24"/>
          <w:szCs w:val="24"/>
        </w:rPr>
        <w:t>ers: M = 3.31, SD = 0.81; Principals: M = 3.23, SD = 0.9</w:t>
      </w:r>
      <w:r w:rsidRPr="00EB2C83">
        <w:rPr>
          <w:rFonts w:ascii="Times New Roman" w:hAnsi="Times New Roman" w:cs="Times New Roman"/>
          <w:sz w:val="24"/>
          <w:szCs w:val="24"/>
        </w:rPr>
        <w:t>2), an</w:t>
      </w:r>
      <w:r w:rsidR="00EB2C83" w:rsidRPr="00EB2C83">
        <w:rPr>
          <w:rFonts w:ascii="Times New Roman" w:hAnsi="Times New Roman" w:cs="Times New Roman"/>
          <w:sz w:val="24"/>
          <w:szCs w:val="24"/>
        </w:rPr>
        <w:t xml:space="preserve">d (V6) </w:t>
      </w:r>
      <w:r w:rsidR="007B0C7C">
        <w:rPr>
          <w:rFonts w:ascii="Times New Roman" w:hAnsi="Times New Roman" w:cs="Times New Roman"/>
          <w:sz w:val="24"/>
          <w:szCs w:val="24"/>
        </w:rPr>
        <w:t>l</w:t>
      </w:r>
      <w:r w:rsidR="00EB2C83" w:rsidRPr="00EB2C83">
        <w:rPr>
          <w:rFonts w:ascii="Times New Roman" w:hAnsi="Times New Roman" w:cs="Times New Roman"/>
          <w:sz w:val="24"/>
          <w:szCs w:val="24"/>
        </w:rPr>
        <w:t>arge number of siblings in the family</w:t>
      </w:r>
      <w:r w:rsidR="00EB2C83">
        <w:rPr>
          <w:rFonts w:ascii="Times New Roman" w:hAnsi="Times New Roman" w:cs="Times New Roman"/>
          <w:sz w:val="24"/>
          <w:szCs w:val="24"/>
        </w:rPr>
        <w:t xml:space="preserve"> (Teachers: M = 3.</w:t>
      </w:r>
      <w:r w:rsidRPr="00C178DD">
        <w:rPr>
          <w:rFonts w:ascii="Times New Roman" w:hAnsi="Times New Roman" w:cs="Times New Roman"/>
          <w:sz w:val="24"/>
          <w:szCs w:val="24"/>
        </w:rPr>
        <w:t xml:space="preserve">0, SD = </w:t>
      </w:r>
      <w:r w:rsidR="00EB2C83">
        <w:rPr>
          <w:rFonts w:ascii="Times New Roman" w:hAnsi="Times New Roman" w:cs="Times New Roman"/>
          <w:sz w:val="24"/>
          <w:szCs w:val="24"/>
        </w:rPr>
        <w:t>0.93; Principals: M = 3.06, SD = 0.82</w:t>
      </w:r>
      <w:r w:rsidRPr="00C178DD">
        <w:rPr>
          <w:rFonts w:ascii="Times New Roman" w:hAnsi="Times New Roman" w:cs="Times New Roman"/>
          <w:sz w:val="24"/>
          <w:szCs w:val="24"/>
        </w:rPr>
        <w:t>) have exerted a low lev</w:t>
      </w:r>
      <w:r>
        <w:rPr>
          <w:rFonts w:ascii="Times New Roman" w:hAnsi="Times New Roman" w:cs="Times New Roman"/>
          <w:sz w:val="24"/>
          <w:szCs w:val="24"/>
        </w:rPr>
        <w:t>el of influence.</w:t>
      </w:r>
    </w:p>
    <w:p w14:paraId="59C32885" w14:textId="77777777" w:rsidR="00EB2C83" w:rsidRPr="00C178DD" w:rsidRDefault="00EB2C83" w:rsidP="00EB2C83">
      <w:pPr>
        <w:spacing w:after="0" w:line="360" w:lineRule="auto"/>
        <w:jc w:val="both"/>
        <w:rPr>
          <w:rFonts w:ascii="Times New Roman" w:hAnsi="Times New Roman" w:cs="Times New Roman"/>
          <w:sz w:val="24"/>
          <w:szCs w:val="24"/>
        </w:rPr>
      </w:pPr>
    </w:p>
    <w:p w14:paraId="33608829" w14:textId="52DDB02C" w:rsidR="007B0C7C" w:rsidRDefault="00C178DD" w:rsidP="007B0C7C">
      <w:pPr>
        <w:spacing w:line="360" w:lineRule="auto"/>
        <w:jc w:val="both"/>
        <w:rPr>
          <w:rFonts w:ascii="Times New Roman" w:hAnsi="Times New Roman" w:cs="Times New Roman"/>
          <w:sz w:val="24"/>
          <w:szCs w:val="24"/>
        </w:rPr>
      </w:pPr>
      <w:r w:rsidRPr="00C178DD">
        <w:rPr>
          <w:rFonts w:ascii="Times New Roman" w:hAnsi="Times New Roman" w:cs="Times New Roman"/>
          <w:sz w:val="24"/>
          <w:szCs w:val="24"/>
        </w:rPr>
        <w:t xml:space="preserve">Furthermore, qualitative data obtained through focus group discussions with parents were subjected to thematic analysis. The findings revealed that poverty, parental separation, </w:t>
      </w:r>
      <w:r w:rsidR="007B0C7C">
        <w:rPr>
          <w:rFonts w:ascii="Times New Roman" w:hAnsi="Times New Roman" w:cs="Times New Roman"/>
          <w:sz w:val="24"/>
          <w:szCs w:val="24"/>
        </w:rPr>
        <w:t>o</w:t>
      </w:r>
      <w:r w:rsidR="007B0C7C" w:rsidRPr="00EB2C83">
        <w:rPr>
          <w:rFonts w:ascii="Times New Roman" w:hAnsi="Times New Roman" w:cs="Times New Roman"/>
          <w:sz w:val="24"/>
          <w:szCs w:val="24"/>
        </w:rPr>
        <w:t>btaining loans for educational purposes</w:t>
      </w:r>
      <w:r w:rsidRPr="00C178DD">
        <w:rPr>
          <w:rFonts w:ascii="Times New Roman" w:hAnsi="Times New Roman" w:cs="Times New Roman"/>
          <w:sz w:val="24"/>
          <w:szCs w:val="24"/>
        </w:rPr>
        <w:t xml:space="preserve">, and parents’ occupational status had a strong influence on student dropout. Similarly, interviews conducted </w:t>
      </w:r>
      <w:r w:rsidR="007B0C7C">
        <w:rPr>
          <w:rFonts w:ascii="Times New Roman" w:hAnsi="Times New Roman" w:cs="Times New Roman"/>
          <w:sz w:val="24"/>
          <w:szCs w:val="24"/>
        </w:rPr>
        <w:t>with dropout students indicated the i</w:t>
      </w:r>
      <w:r w:rsidR="007B0C7C" w:rsidRPr="007B0C7C">
        <w:rPr>
          <w:rFonts w:ascii="Times New Roman" w:hAnsi="Times New Roman" w:cs="Times New Roman"/>
          <w:sz w:val="24"/>
          <w:szCs w:val="24"/>
        </w:rPr>
        <w:t xml:space="preserve">nsufficient basic needs, </w:t>
      </w:r>
      <w:r w:rsidR="007B0C7C">
        <w:rPr>
          <w:rFonts w:ascii="Times New Roman" w:hAnsi="Times New Roman" w:cs="Times New Roman"/>
          <w:sz w:val="24"/>
          <w:szCs w:val="24"/>
        </w:rPr>
        <w:t>e</w:t>
      </w:r>
      <w:r w:rsidR="007B0C7C" w:rsidRPr="007B0C7C">
        <w:rPr>
          <w:rFonts w:ascii="Times New Roman" w:hAnsi="Times New Roman" w:cs="Times New Roman"/>
          <w:sz w:val="24"/>
          <w:szCs w:val="24"/>
        </w:rPr>
        <w:t>ngagement in part-time employment</w:t>
      </w:r>
      <w:r w:rsidR="007B0C7C">
        <w:rPr>
          <w:rFonts w:ascii="Times New Roman" w:hAnsi="Times New Roman" w:cs="Times New Roman"/>
          <w:sz w:val="24"/>
          <w:szCs w:val="24"/>
        </w:rPr>
        <w:t xml:space="preserve"> </w:t>
      </w:r>
      <w:proofErr w:type="spellStart"/>
      <w:r w:rsidR="007B0C7C">
        <w:rPr>
          <w:rFonts w:ascii="Times New Roman" w:hAnsi="Times New Roman" w:cs="Times New Roman"/>
          <w:sz w:val="24"/>
          <w:szCs w:val="24"/>
        </w:rPr>
        <w:t>abd</w:t>
      </w:r>
      <w:proofErr w:type="spellEnd"/>
      <w:r w:rsidR="007B0C7C">
        <w:rPr>
          <w:rFonts w:ascii="Times New Roman" w:hAnsi="Times New Roman" w:cs="Times New Roman"/>
          <w:sz w:val="24"/>
          <w:szCs w:val="24"/>
        </w:rPr>
        <w:t xml:space="preserve"> l</w:t>
      </w:r>
      <w:r w:rsidR="007B0C7C" w:rsidRPr="007B0C7C">
        <w:rPr>
          <w:rFonts w:ascii="Times New Roman" w:hAnsi="Times New Roman" w:cs="Times New Roman"/>
          <w:sz w:val="24"/>
          <w:szCs w:val="24"/>
        </w:rPr>
        <w:t>arge number of siblings in the family</w:t>
      </w:r>
      <w:r w:rsidR="007B0C7C">
        <w:rPr>
          <w:rFonts w:ascii="Times New Roman" w:hAnsi="Times New Roman" w:cs="Times New Roman"/>
          <w:sz w:val="24"/>
          <w:szCs w:val="24"/>
        </w:rPr>
        <w:t xml:space="preserve"> </w:t>
      </w:r>
      <w:r w:rsidR="007B0C7C" w:rsidRPr="00C178DD">
        <w:rPr>
          <w:rFonts w:ascii="Times New Roman" w:hAnsi="Times New Roman" w:cs="Times New Roman"/>
          <w:sz w:val="24"/>
          <w:szCs w:val="24"/>
        </w:rPr>
        <w:t>had a comparatively lower level of influence on dropout.</w:t>
      </w:r>
    </w:p>
    <w:p w14:paraId="1DBC57DC" w14:textId="5D835E86" w:rsidR="00CF4BA7" w:rsidRPr="00703800" w:rsidRDefault="00CF4BA7" w:rsidP="007B0C7C">
      <w:pPr>
        <w:spacing w:line="360" w:lineRule="auto"/>
        <w:jc w:val="both"/>
        <w:rPr>
          <w:rFonts w:ascii="Times New Roman" w:hAnsi="Times New Roman" w:cs="Times New Roman"/>
          <w:sz w:val="8"/>
          <w:szCs w:val="24"/>
        </w:rPr>
      </w:pPr>
    </w:p>
    <w:p w14:paraId="3B5E4835" w14:textId="4D024942" w:rsidR="00CF4BA7" w:rsidRPr="00CF4BA7" w:rsidRDefault="00CF4BA7" w:rsidP="00703800">
      <w:pPr>
        <w:spacing w:after="0" w:line="360" w:lineRule="auto"/>
        <w:jc w:val="both"/>
        <w:rPr>
          <w:rFonts w:ascii="Times New Roman" w:hAnsi="Times New Roman" w:cs="Times New Roman"/>
          <w:b/>
          <w:sz w:val="28"/>
          <w:szCs w:val="24"/>
        </w:rPr>
      </w:pPr>
      <w:r w:rsidRPr="00CF4BA7">
        <w:rPr>
          <w:rFonts w:ascii="Times New Roman" w:hAnsi="Times New Roman" w:cs="Times New Roman"/>
          <w:b/>
          <w:sz w:val="28"/>
          <w:szCs w:val="24"/>
        </w:rPr>
        <w:t>Social Fact</w:t>
      </w:r>
      <w:r>
        <w:rPr>
          <w:rFonts w:ascii="Times New Roman" w:hAnsi="Times New Roman" w:cs="Times New Roman"/>
          <w:b/>
          <w:sz w:val="28"/>
          <w:szCs w:val="24"/>
        </w:rPr>
        <w:t>ors Influencing Student Dropout</w:t>
      </w:r>
    </w:p>
    <w:p w14:paraId="76706297" w14:textId="6E1F1543" w:rsidR="00CF4BA7" w:rsidRPr="00CF4BA7" w:rsidRDefault="00CF4BA7" w:rsidP="00703800">
      <w:pPr>
        <w:spacing w:after="0" w:line="360" w:lineRule="auto"/>
        <w:jc w:val="both"/>
        <w:rPr>
          <w:rFonts w:ascii="Times New Roman" w:hAnsi="Times New Roman" w:cs="Times New Roman"/>
          <w:sz w:val="24"/>
          <w:szCs w:val="24"/>
        </w:rPr>
      </w:pPr>
      <w:r w:rsidRPr="00CF4BA7">
        <w:rPr>
          <w:rFonts w:ascii="Times New Roman" w:hAnsi="Times New Roman" w:cs="Times New Roman"/>
          <w:sz w:val="24"/>
          <w:szCs w:val="24"/>
        </w:rPr>
        <w:t>The social factors influencing student dropout were measured using 32 variables. These were cl</w:t>
      </w:r>
      <w:r>
        <w:rPr>
          <w:rFonts w:ascii="Times New Roman" w:hAnsi="Times New Roman" w:cs="Times New Roman"/>
          <w:sz w:val="24"/>
          <w:szCs w:val="24"/>
        </w:rPr>
        <w:t>assified into 12 major factors:</w:t>
      </w:r>
    </w:p>
    <w:p w14:paraId="5153101A" w14:textId="397F9E0E"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Social pressure and harassment</w:t>
      </w:r>
    </w:p>
    <w:p w14:paraId="08A5DFAC" w14:textId="6FDF5C8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Parents’ educational level</w:t>
      </w:r>
    </w:p>
    <w:p w14:paraId="4D3A8F79" w14:textId="37DF32DC"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Lack of social support</w:t>
      </w:r>
    </w:p>
    <w:p w14:paraId="1E025C5F" w14:textId="08AEE9B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Family problems</w:t>
      </w:r>
    </w:p>
    <w:p w14:paraId="66050187" w14:textId="394878AE"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Sexual abuse</w:t>
      </w:r>
    </w:p>
    <w:p w14:paraId="6C879DBC" w14:textId="2C4A8055"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Drug use</w:t>
      </w:r>
    </w:p>
    <w:p w14:paraId="097135C2" w14:textId="4129FD8B"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Early marriage</w:t>
      </w:r>
    </w:p>
    <w:p w14:paraId="34607EAB" w14:textId="02F08DF9"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Teenage marriage</w:t>
      </w:r>
    </w:p>
    <w:p w14:paraId="0C6937DD" w14:textId="033E2912"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Engagement in domestic work or urban employment</w:t>
      </w:r>
    </w:p>
    <w:p w14:paraId="3C097227" w14:textId="19BE9234" w:rsidR="00CF4BA7" w:rsidRPr="00A93A24" w:rsidRDefault="00CF4BA7" w:rsidP="00CF4BA7">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Stress or psychological problems</w:t>
      </w:r>
    </w:p>
    <w:p w14:paraId="5FDE6128" w14:textId="5B670F6C" w:rsidR="00CF4BA7" w:rsidRPr="00A93A24" w:rsidRDefault="00CF4BA7"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Exposure t</w:t>
      </w:r>
      <w:r w:rsidR="00A93A24" w:rsidRPr="00A93A24">
        <w:rPr>
          <w:rFonts w:ascii="Times New Roman" w:hAnsi="Times New Roman" w:cs="Times New Roman"/>
          <w:sz w:val="24"/>
          <w:szCs w:val="24"/>
        </w:rPr>
        <w:t>o sudden accidents or disasters</w:t>
      </w:r>
    </w:p>
    <w:p w14:paraId="145F33F5" w14:textId="1BC792A1" w:rsidR="00CF4BA7" w:rsidRPr="00A93A24" w:rsidRDefault="00A93A24" w:rsidP="00A93A24">
      <w:pPr>
        <w:pStyle w:val="ListParagraph"/>
        <w:numPr>
          <w:ilvl w:val="0"/>
          <w:numId w:val="24"/>
        </w:numPr>
        <w:spacing w:line="360" w:lineRule="auto"/>
        <w:jc w:val="both"/>
        <w:rPr>
          <w:rFonts w:ascii="Times New Roman" w:hAnsi="Times New Roman" w:cs="Times New Roman"/>
          <w:sz w:val="24"/>
          <w:szCs w:val="24"/>
        </w:rPr>
      </w:pPr>
      <w:r w:rsidRPr="00A93A24">
        <w:rPr>
          <w:rFonts w:ascii="Times New Roman" w:hAnsi="Times New Roman" w:cs="Times New Roman"/>
          <w:sz w:val="24"/>
          <w:szCs w:val="24"/>
        </w:rPr>
        <w:t>Association with over-age peers</w:t>
      </w:r>
    </w:p>
    <w:p w14:paraId="13CE1F16" w14:textId="2358E964" w:rsidR="00CF4BA7" w:rsidRPr="007B0C7C" w:rsidRDefault="00CF4BA7" w:rsidP="00CF4BA7">
      <w:pPr>
        <w:spacing w:line="360" w:lineRule="auto"/>
        <w:jc w:val="both"/>
        <w:rPr>
          <w:rFonts w:ascii="Times New Roman" w:hAnsi="Times New Roman" w:cs="Times New Roman"/>
          <w:sz w:val="24"/>
          <w:szCs w:val="24"/>
        </w:rPr>
      </w:pPr>
      <w:r w:rsidRPr="00CF4BA7">
        <w:rPr>
          <w:rFonts w:ascii="Times New Roman" w:hAnsi="Times New Roman" w:cs="Times New Roman"/>
          <w:sz w:val="24"/>
          <w:szCs w:val="24"/>
        </w:rPr>
        <w:t>Regarding these factors, the mean scores and standard deviations of teachers’ and principals’ responses were calculated, and the results are presented in the following table.</w:t>
      </w:r>
    </w:p>
    <w:p w14:paraId="433676EE" w14:textId="43743B03" w:rsidR="007B0C7C" w:rsidRPr="007B0C7C" w:rsidRDefault="007B0C7C" w:rsidP="007B0C7C">
      <w:pPr>
        <w:spacing w:after="0" w:line="360" w:lineRule="auto"/>
        <w:jc w:val="both"/>
        <w:rPr>
          <w:rFonts w:ascii="Times New Roman" w:hAnsi="Times New Roman" w:cs="Times New Roman"/>
          <w:sz w:val="24"/>
          <w:szCs w:val="24"/>
        </w:rPr>
      </w:pPr>
    </w:p>
    <w:p w14:paraId="2CBD6B14" w14:textId="77777777" w:rsidR="00703800" w:rsidRDefault="00703800" w:rsidP="00A93A24">
      <w:pPr>
        <w:spacing w:after="0" w:line="360" w:lineRule="auto"/>
        <w:jc w:val="both"/>
        <w:rPr>
          <w:rFonts w:ascii="Times New Roman" w:hAnsi="Times New Roman" w:cs="Times New Roman"/>
          <w:b/>
          <w:sz w:val="24"/>
          <w:szCs w:val="24"/>
        </w:rPr>
      </w:pPr>
    </w:p>
    <w:p w14:paraId="73DFCEA9" w14:textId="4BDE5DB3" w:rsidR="00A93A24" w:rsidRPr="00771767" w:rsidRDefault="00A93A24" w:rsidP="00A93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771767">
        <w:rPr>
          <w:rFonts w:ascii="Times New Roman" w:hAnsi="Times New Roman" w:cs="Times New Roman"/>
          <w:b/>
          <w:sz w:val="24"/>
          <w:szCs w:val="24"/>
        </w:rPr>
        <w:t>:</w:t>
      </w:r>
    </w:p>
    <w:p w14:paraId="7E7E59F6" w14:textId="3DD38EA6" w:rsidR="00F93E03" w:rsidRPr="00A93A24" w:rsidRDefault="00A93A24" w:rsidP="00A93A24">
      <w:pPr>
        <w:pStyle w:val="ListParagraph"/>
        <w:spacing w:after="0" w:line="360" w:lineRule="auto"/>
        <w:jc w:val="both"/>
        <w:rPr>
          <w:rFonts w:ascii="Times New Roman" w:hAnsi="Times New Roman" w:cs="Times New Roman"/>
          <w:i/>
          <w:szCs w:val="24"/>
        </w:rPr>
      </w:pPr>
      <w:r>
        <w:rPr>
          <w:rFonts w:ascii="Times New Roman" w:hAnsi="Times New Roman" w:cs="Times New Roman"/>
          <w:i/>
          <w:sz w:val="24"/>
          <w:szCs w:val="24"/>
        </w:rPr>
        <w:t>Social</w:t>
      </w:r>
      <w:r w:rsidRPr="00771767">
        <w:rPr>
          <w:rFonts w:ascii="Times New Roman" w:hAnsi="Times New Roman" w:cs="Times New Roman"/>
          <w:i/>
          <w:sz w:val="24"/>
          <w:szCs w:val="24"/>
        </w:rPr>
        <w:t xml:space="preserve"> Factors Influencing Student Dropout</w:t>
      </w:r>
    </w:p>
    <w:tbl>
      <w:tblPr>
        <w:tblStyle w:val="TableGrid"/>
        <w:tblW w:w="6963" w:type="dxa"/>
        <w:tblInd w:w="445" w:type="dxa"/>
        <w:tblLayout w:type="fixed"/>
        <w:tblLook w:val="04A0" w:firstRow="1" w:lastRow="0" w:firstColumn="1" w:lastColumn="0" w:noHBand="0" w:noVBand="1"/>
      </w:tblPr>
      <w:tblGrid>
        <w:gridCol w:w="1183"/>
        <w:gridCol w:w="910"/>
        <w:gridCol w:w="992"/>
        <w:gridCol w:w="901"/>
        <w:gridCol w:w="992"/>
        <w:gridCol w:w="993"/>
        <w:gridCol w:w="992"/>
      </w:tblGrid>
      <w:tr w:rsidR="0051388A" w:rsidRPr="004356D2" w14:paraId="7D1BD5C2" w14:textId="77777777" w:rsidTr="00DE5CAF">
        <w:trPr>
          <w:trHeight w:val="345"/>
        </w:trPr>
        <w:tc>
          <w:tcPr>
            <w:tcW w:w="1183" w:type="dxa"/>
            <w:vMerge w:val="restart"/>
            <w:tcBorders>
              <w:left w:val="nil"/>
              <w:right w:val="nil"/>
            </w:tcBorders>
            <w:vAlign w:val="center"/>
          </w:tcPr>
          <w:p w14:paraId="504E3617" w14:textId="77777777" w:rsidR="0051388A" w:rsidRPr="00DE5CAF" w:rsidRDefault="0051388A" w:rsidP="0051388A">
            <w:pPr>
              <w:spacing w:line="360" w:lineRule="auto"/>
              <w:jc w:val="center"/>
              <w:rPr>
                <w:rFonts w:ascii="Times New Roman" w:hAnsi="Times New Roman" w:cs="Times New Roman"/>
                <w:sz w:val="24"/>
                <w:szCs w:val="24"/>
              </w:rPr>
            </w:pPr>
            <w:r w:rsidRPr="00DE5CAF">
              <w:rPr>
                <w:rFonts w:ascii="Times New Roman" w:hAnsi="Times New Roman" w:cs="Times New Roman"/>
                <w:sz w:val="24"/>
                <w:szCs w:val="24"/>
              </w:rPr>
              <w:t>Variable</w:t>
            </w:r>
          </w:p>
        </w:tc>
        <w:tc>
          <w:tcPr>
            <w:tcW w:w="2803" w:type="dxa"/>
            <w:gridSpan w:val="3"/>
            <w:tcBorders>
              <w:left w:val="nil"/>
              <w:right w:val="nil"/>
            </w:tcBorders>
          </w:tcPr>
          <w:p w14:paraId="637DF6C8" w14:textId="77777777" w:rsidR="0051388A" w:rsidRPr="00DE5CAF" w:rsidRDefault="0051388A"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Teacher Responses</w:t>
            </w:r>
          </w:p>
        </w:tc>
        <w:tc>
          <w:tcPr>
            <w:tcW w:w="2977" w:type="dxa"/>
            <w:gridSpan w:val="3"/>
            <w:tcBorders>
              <w:left w:val="nil"/>
              <w:right w:val="nil"/>
            </w:tcBorders>
          </w:tcPr>
          <w:p w14:paraId="72713C1B" w14:textId="77777777" w:rsidR="0051388A" w:rsidRPr="00DE5CAF" w:rsidRDefault="0051388A"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Principal Responses</w:t>
            </w:r>
          </w:p>
        </w:tc>
      </w:tr>
      <w:tr w:rsidR="00092D14" w:rsidRPr="004356D2" w14:paraId="58A9793C" w14:textId="77777777" w:rsidTr="00DE5CAF">
        <w:trPr>
          <w:trHeight w:val="227"/>
        </w:trPr>
        <w:tc>
          <w:tcPr>
            <w:tcW w:w="1183" w:type="dxa"/>
            <w:vMerge/>
            <w:tcBorders>
              <w:left w:val="nil"/>
              <w:bottom w:val="single" w:sz="4" w:space="0" w:color="auto"/>
              <w:right w:val="nil"/>
            </w:tcBorders>
          </w:tcPr>
          <w:p w14:paraId="2FE480B8" w14:textId="77777777" w:rsidR="00092D14" w:rsidRPr="00DE5CAF" w:rsidRDefault="00092D14" w:rsidP="00352967">
            <w:pPr>
              <w:spacing w:line="360" w:lineRule="auto"/>
              <w:jc w:val="both"/>
              <w:rPr>
                <w:rFonts w:ascii="Times New Roman" w:hAnsi="Times New Roman" w:cs="Times New Roman"/>
                <w:sz w:val="24"/>
                <w:szCs w:val="24"/>
              </w:rPr>
            </w:pPr>
          </w:p>
        </w:tc>
        <w:tc>
          <w:tcPr>
            <w:tcW w:w="910" w:type="dxa"/>
            <w:tcBorders>
              <w:left w:val="nil"/>
              <w:bottom w:val="single" w:sz="4" w:space="0" w:color="auto"/>
              <w:right w:val="nil"/>
            </w:tcBorders>
          </w:tcPr>
          <w:p w14:paraId="6C2AD574"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992" w:type="dxa"/>
            <w:tcBorders>
              <w:left w:val="nil"/>
              <w:bottom w:val="single" w:sz="4" w:space="0" w:color="auto"/>
              <w:right w:val="nil"/>
            </w:tcBorders>
          </w:tcPr>
          <w:p w14:paraId="424BAF56"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901" w:type="dxa"/>
            <w:tcBorders>
              <w:left w:val="nil"/>
              <w:bottom w:val="single" w:sz="4" w:space="0" w:color="auto"/>
              <w:right w:val="nil"/>
            </w:tcBorders>
          </w:tcPr>
          <w:p w14:paraId="6C925B2B" w14:textId="77777777" w:rsidR="00092D14" w:rsidRPr="00DE5CAF" w:rsidRDefault="00092D14" w:rsidP="009C3C41">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c>
          <w:tcPr>
            <w:tcW w:w="992" w:type="dxa"/>
            <w:tcBorders>
              <w:left w:val="nil"/>
              <w:bottom w:val="single" w:sz="4" w:space="0" w:color="auto"/>
              <w:right w:val="nil"/>
            </w:tcBorders>
          </w:tcPr>
          <w:p w14:paraId="45C07429"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N</w:t>
            </w:r>
          </w:p>
        </w:tc>
        <w:tc>
          <w:tcPr>
            <w:tcW w:w="993" w:type="dxa"/>
            <w:tcBorders>
              <w:left w:val="nil"/>
              <w:bottom w:val="single" w:sz="4" w:space="0" w:color="auto"/>
              <w:right w:val="nil"/>
            </w:tcBorders>
          </w:tcPr>
          <w:p w14:paraId="03352656"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Mean</w:t>
            </w:r>
          </w:p>
        </w:tc>
        <w:tc>
          <w:tcPr>
            <w:tcW w:w="992" w:type="dxa"/>
            <w:tcBorders>
              <w:left w:val="nil"/>
              <w:bottom w:val="single" w:sz="4" w:space="0" w:color="auto"/>
              <w:right w:val="nil"/>
            </w:tcBorders>
          </w:tcPr>
          <w:p w14:paraId="290C51C3" w14:textId="77777777" w:rsidR="00092D14" w:rsidRPr="00DE5CAF" w:rsidRDefault="00092D14" w:rsidP="001E05FB">
            <w:pPr>
              <w:spacing w:line="360" w:lineRule="auto"/>
              <w:jc w:val="center"/>
              <w:rPr>
                <w:rFonts w:ascii="Times New Roman" w:hAnsi="Times New Roman" w:cs="Times New Roman"/>
                <w:bCs/>
                <w:sz w:val="24"/>
                <w:szCs w:val="24"/>
              </w:rPr>
            </w:pPr>
            <w:r w:rsidRPr="00DE5CAF">
              <w:rPr>
                <w:rFonts w:ascii="Times New Roman" w:hAnsi="Times New Roman" w:cs="Times New Roman"/>
                <w:bCs/>
                <w:sz w:val="24"/>
                <w:szCs w:val="24"/>
              </w:rPr>
              <w:t>SD</w:t>
            </w:r>
          </w:p>
        </w:tc>
      </w:tr>
      <w:tr w:rsidR="00092D14" w:rsidRPr="004356D2" w14:paraId="0F409373" w14:textId="77777777" w:rsidTr="00DE5CAF">
        <w:trPr>
          <w:trHeight w:val="289"/>
        </w:trPr>
        <w:tc>
          <w:tcPr>
            <w:tcW w:w="1183" w:type="dxa"/>
            <w:tcBorders>
              <w:left w:val="nil"/>
              <w:bottom w:val="nil"/>
              <w:right w:val="nil"/>
            </w:tcBorders>
            <w:vAlign w:val="center"/>
          </w:tcPr>
          <w:p w14:paraId="789CEA01" w14:textId="77777777" w:rsidR="00092D14" w:rsidRPr="00A93A24" w:rsidRDefault="00092D14" w:rsidP="00092D14">
            <w:pPr>
              <w:spacing w:line="360" w:lineRule="auto"/>
              <w:jc w:val="center"/>
              <w:rPr>
                <w:rFonts w:ascii="Times New Roman" w:hAnsi="Times New Roman" w:cs="Times New Roman"/>
                <w:sz w:val="24"/>
                <w:szCs w:val="24"/>
              </w:rPr>
            </w:pPr>
            <w:r w:rsidRPr="00A93A24">
              <w:rPr>
                <w:rFonts w:ascii="Times New Roman" w:hAnsi="Times New Roman" w:cs="Times New Roman"/>
                <w:sz w:val="24"/>
                <w:szCs w:val="24"/>
              </w:rPr>
              <w:t>V1</w:t>
            </w:r>
          </w:p>
        </w:tc>
        <w:tc>
          <w:tcPr>
            <w:tcW w:w="910" w:type="dxa"/>
            <w:tcBorders>
              <w:left w:val="nil"/>
              <w:bottom w:val="nil"/>
              <w:right w:val="nil"/>
            </w:tcBorders>
          </w:tcPr>
          <w:p w14:paraId="36CA283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54</w:t>
            </w:r>
          </w:p>
        </w:tc>
        <w:tc>
          <w:tcPr>
            <w:tcW w:w="992" w:type="dxa"/>
            <w:tcBorders>
              <w:left w:val="nil"/>
              <w:bottom w:val="nil"/>
              <w:right w:val="nil"/>
            </w:tcBorders>
          </w:tcPr>
          <w:p w14:paraId="0474B526"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3.26</w:t>
            </w:r>
          </w:p>
        </w:tc>
        <w:tc>
          <w:tcPr>
            <w:tcW w:w="901" w:type="dxa"/>
            <w:tcBorders>
              <w:left w:val="nil"/>
              <w:bottom w:val="nil"/>
              <w:right w:val="nil"/>
            </w:tcBorders>
          </w:tcPr>
          <w:p w14:paraId="0C562203"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1.02</w:t>
            </w:r>
          </w:p>
        </w:tc>
        <w:tc>
          <w:tcPr>
            <w:tcW w:w="992" w:type="dxa"/>
            <w:tcBorders>
              <w:left w:val="nil"/>
              <w:bottom w:val="nil"/>
              <w:right w:val="nil"/>
            </w:tcBorders>
          </w:tcPr>
          <w:p w14:paraId="5F639133"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18</w:t>
            </w:r>
          </w:p>
        </w:tc>
        <w:tc>
          <w:tcPr>
            <w:tcW w:w="993" w:type="dxa"/>
            <w:tcBorders>
              <w:left w:val="nil"/>
              <w:bottom w:val="nil"/>
              <w:right w:val="nil"/>
            </w:tcBorders>
          </w:tcPr>
          <w:p w14:paraId="09C62FA4"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3.0</w:t>
            </w:r>
            <w:r w:rsidR="00092D14" w:rsidRPr="00A93A24">
              <w:rPr>
                <w:rFonts w:ascii="Times New Roman" w:hAnsi="Times New Roman" w:cs="Times New Roman"/>
                <w:bCs/>
                <w:sz w:val="24"/>
                <w:szCs w:val="24"/>
              </w:rPr>
              <w:t>6</w:t>
            </w:r>
          </w:p>
        </w:tc>
        <w:tc>
          <w:tcPr>
            <w:tcW w:w="992" w:type="dxa"/>
            <w:tcBorders>
              <w:left w:val="nil"/>
              <w:bottom w:val="nil"/>
              <w:right w:val="nil"/>
            </w:tcBorders>
          </w:tcPr>
          <w:p w14:paraId="131E5F74" w14:textId="77777777" w:rsidR="00092D14" w:rsidRPr="00A93A24" w:rsidRDefault="00F83BE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2</w:t>
            </w:r>
          </w:p>
        </w:tc>
      </w:tr>
      <w:tr w:rsidR="00092D14" w:rsidRPr="004356D2" w14:paraId="149A89A3" w14:textId="77777777" w:rsidTr="00DE5CAF">
        <w:trPr>
          <w:trHeight w:val="289"/>
        </w:trPr>
        <w:tc>
          <w:tcPr>
            <w:tcW w:w="1183" w:type="dxa"/>
            <w:tcBorders>
              <w:top w:val="nil"/>
              <w:left w:val="nil"/>
              <w:bottom w:val="nil"/>
              <w:right w:val="nil"/>
            </w:tcBorders>
            <w:vAlign w:val="center"/>
          </w:tcPr>
          <w:p w14:paraId="3B655FF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V2</w:t>
            </w:r>
          </w:p>
        </w:tc>
        <w:tc>
          <w:tcPr>
            <w:tcW w:w="910" w:type="dxa"/>
            <w:tcBorders>
              <w:top w:val="nil"/>
              <w:left w:val="nil"/>
              <w:bottom w:val="nil"/>
              <w:right w:val="nil"/>
            </w:tcBorders>
            <w:vAlign w:val="center"/>
          </w:tcPr>
          <w:p w14:paraId="3B207C79"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685408B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3.65</w:t>
            </w:r>
          </w:p>
        </w:tc>
        <w:tc>
          <w:tcPr>
            <w:tcW w:w="901" w:type="dxa"/>
            <w:tcBorders>
              <w:top w:val="nil"/>
              <w:left w:val="nil"/>
              <w:bottom w:val="nil"/>
              <w:right w:val="nil"/>
            </w:tcBorders>
          </w:tcPr>
          <w:p w14:paraId="7ADE6D3A"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0.86</w:t>
            </w:r>
          </w:p>
        </w:tc>
        <w:tc>
          <w:tcPr>
            <w:tcW w:w="992" w:type="dxa"/>
            <w:tcBorders>
              <w:top w:val="nil"/>
              <w:left w:val="nil"/>
              <w:bottom w:val="nil"/>
              <w:right w:val="nil"/>
            </w:tcBorders>
            <w:vAlign w:val="center"/>
          </w:tcPr>
          <w:p w14:paraId="42113EBC"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2AA08518"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3.65</w:t>
            </w:r>
          </w:p>
        </w:tc>
        <w:tc>
          <w:tcPr>
            <w:tcW w:w="992" w:type="dxa"/>
            <w:tcBorders>
              <w:top w:val="nil"/>
              <w:left w:val="nil"/>
              <w:bottom w:val="nil"/>
              <w:right w:val="nil"/>
            </w:tcBorders>
          </w:tcPr>
          <w:p w14:paraId="6B1EB88A"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0.86</w:t>
            </w:r>
          </w:p>
        </w:tc>
      </w:tr>
      <w:tr w:rsidR="00092D14" w:rsidRPr="004356D2" w14:paraId="641FD40E" w14:textId="77777777" w:rsidTr="00DE5CAF">
        <w:trPr>
          <w:trHeight w:val="289"/>
        </w:trPr>
        <w:tc>
          <w:tcPr>
            <w:tcW w:w="1183" w:type="dxa"/>
            <w:tcBorders>
              <w:top w:val="nil"/>
              <w:left w:val="nil"/>
              <w:bottom w:val="nil"/>
              <w:right w:val="nil"/>
            </w:tcBorders>
            <w:vAlign w:val="center"/>
          </w:tcPr>
          <w:p w14:paraId="079EDD4D"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V3</w:t>
            </w:r>
          </w:p>
        </w:tc>
        <w:tc>
          <w:tcPr>
            <w:tcW w:w="910" w:type="dxa"/>
            <w:tcBorders>
              <w:top w:val="nil"/>
              <w:left w:val="nil"/>
              <w:bottom w:val="nil"/>
              <w:right w:val="nil"/>
            </w:tcBorders>
            <w:vAlign w:val="center"/>
          </w:tcPr>
          <w:p w14:paraId="749C9774"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366B3E18" w14:textId="77777777" w:rsidR="00092D14" w:rsidRPr="00A93A24" w:rsidRDefault="00CF48C2"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4.5</w:t>
            </w:r>
            <w:r w:rsidR="00092D14" w:rsidRPr="00A93A24">
              <w:rPr>
                <w:rFonts w:ascii="Times New Roman" w:hAnsi="Times New Roman" w:cs="Times New Roman"/>
                <w:bCs/>
                <w:sz w:val="24"/>
                <w:szCs w:val="24"/>
              </w:rPr>
              <w:t>4</w:t>
            </w:r>
          </w:p>
        </w:tc>
        <w:tc>
          <w:tcPr>
            <w:tcW w:w="901" w:type="dxa"/>
            <w:tcBorders>
              <w:top w:val="nil"/>
              <w:left w:val="nil"/>
              <w:bottom w:val="nil"/>
              <w:right w:val="nil"/>
            </w:tcBorders>
          </w:tcPr>
          <w:p w14:paraId="4B39E96C"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0.63</w:t>
            </w:r>
          </w:p>
        </w:tc>
        <w:tc>
          <w:tcPr>
            <w:tcW w:w="992" w:type="dxa"/>
            <w:tcBorders>
              <w:top w:val="nil"/>
              <w:left w:val="nil"/>
              <w:bottom w:val="nil"/>
              <w:right w:val="nil"/>
            </w:tcBorders>
            <w:vAlign w:val="center"/>
          </w:tcPr>
          <w:p w14:paraId="07BCB1C0"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6CFBBA3C" w14:textId="77777777" w:rsidR="00092D14" w:rsidRPr="00A93A24" w:rsidRDefault="00CF48C2"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092D14" w:rsidRPr="00A93A24">
              <w:rPr>
                <w:rFonts w:ascii="Times New Roman" w:hAnsi="Times New Roman" w:cs="Times New Roman"/>
                <w:bCs/>
                <w:sz w:val="24"/>
                <w:szCs w:val="24"/>
              </w:rPr>
              <w:t>.84</w:t>
            </w:r>
          </w:p>
        </w:tc>
        <w:tc>
          <w:tcPr>
            <w:tcW w:w="992" w:type="dxa"/>
            <w:tcBorders>
              <w:top w:val="nil"/>
              <w:left w:val="nil"/>
              <w:bottom w:val="nil"/>
              <w:right w:val="nil"/>
            </w:tcBorders>
          </w:tcPr>
          <w:p w14:paraId="10248570" w14:textId="77777777" w:rsidR="00092D14" w:rsidRPr="00A93A24" w:rsidRDefault="00CF48C2"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w:t>
            </w:r>
            <w:r w:rsidR="00092D14" w:rsidRPr="00A93A24">
              <w:rPr>
                <w:rFonts w:ascii="Times New Roman" w:hAnsi="Times New Roman" w:cs="Times New Roman"/>
                <w:bCs/>
                <w:sz w:val="24"/>
                <w:szCs w:val="24"/>
              </w:rPr>
              <w:t>3</w:t>
            </w:r>
          </w:p>
        </w:tc>
      </w:tr>
      <w:tr w:rsidR="00092D14" w:rsidRPr="004356D2" w14:paraId="6622D13D" w14:textId="77777777" w:rsidTr="00DE5CAF">
        <w:trPr>
          <w:trHeight w:val="289"/>
        </w:trPr>
        <w:tc>
          <w:tcPr>
            <w:tcW w:w="1183" w:type="dxa"/>
            <w:tcBorders>
              <w:top w:val="nil"/>
              <w:left w:val="nil"/>
              <w:bottom w:val="nil"/>
              <w:right w:val="nil"/>
            </w:tcBorders>
            <w:vAlign w:val="center"/>
          </w:tcPr>
          <w:p w14:paraId="34170A0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V4</w:t>
            </w:r>
          </w:p>
        </w:tc>
        <w:tc>
          <w:tcPr>
            <w:tcW w:w="910" w:type="dxa"/>
            <w:tcBorders>
              <w:top w:val="nil"/>
              <w:left w:val="nil"/>
              <w:bottom w:val="nil"/>
              <w:right w:val="nil"/>
            </w:tcBorders>
            <w:vAlign w:val="center"/>
          </w:tcPr>
          <w:p w14:paraId="72E8B2C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641FE013" w14:textId="77777777" w:rsidR="00092D14" w:rsidRPr="00A93A24" w:rsidRDefault="0045030E"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32</w:t>
            </w:r>
          </w:p>
        </w:tc>
        <w:tc>
          <w:tcPr>
            <w:tcW w:w="901" w:type="dxa"/>
            <w:tcBorders>
              <w:top w:val="nil"/>
              <w:left w:val="nil"/>
              <w:bottom w:val="nil"/>
              <w:right w:val="nil"/>
            </w:tcBorders>
          </w:tcPr>
          <w:p w14:paraId="35E419EF" w14:textId="77777777" w:rsidR="00092D14" w:rsidRPr="00A93A24" w:rsidRDefault="0045030E"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.75</w:t>
            </w:r>
          </w:p>
        </w:tc>
        <w:tc>
          <w:tcPr>
            <w:tcW w:w="992" w:type="dxa"/>
            <w:tcBorders>
              <w:top w:val="nil"/>
              <w:left w:val="nil"/>
              <w:bottom w:val="nil"/>
              <w:right w:val="nil"/>
            </w:tcBorders>
            <w:vAlign w:val="center"/>
          </w:tcPr>
          <w:p w14:paraId="0AC3C849"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3E73F8F"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6</w:t>
            </w:r>
          </w:p>
        </w:tc>
        <w:tc>
          <w:tcPr>
            <w:tcW w:w="992" w:type="dxa"/>
            <w:tcBorders>
              <w:top w:val="nil"/>
              <w:left w:val="nil"/>
              <w:bottom w:val="nil"/>
              <w:right w:val="nil"/>
            </w:tcBorders>
          </w:tcPr>
          <w:p w14:paraId="297E1CC7"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23</w:t>
            </w:r>
          </w:p>
        </w:tc>
      </w:tr>
      <w:tr w:rsidR="00092D14" w:rsidRPr="004356D2" w14:paraId="6D4DA030" w14:textId="77777777" w:rsidTr="00DE5CAF">
        <w:trPr>
          <w:trHeight w:val="289"/>
        </w:trPr>
        <w:tc>
          <w:tcPr>
            <w:tcW w:w="1183" w:type="dxa"/>
            <w:tcBorders>
              <w:top w:val="nil"/>
              <w:left w:val="nil"/>
              <w:bottom w:val="nil"/>
              <w:right w:val="nil"/>
            </w:tcBorders>
            <w:vAlign w:val="center"/>
          </w:tcPr>
          <w:p w14:paraId="60C1EDEB"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V5</w:t>
            </w:r>
          </w:p>
        </w:tc>
        <w:tc>
          <w:tcPr>
            <w:tcW w:w="910" w:type="dxa"/>
            <w:tcBorders>
              <w:top w:val="nil"/>
              <w:left w:val="nil"/>
              <w:bottom w:val="nil"/>
              <w:right w:val="nil"/>
            </w:tcBorders>
            <w:vAlign w:val="center"/>
          </w:tcPr>
          <w:p w14:paraId="0AD14BA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1A4F319D"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3.91</w:t>
            </w:r>
          </w:p>
        </w:tc>
        <w:tc>
          <w:tcPr>
            <w:tcW w:w="901" w:type="dxa"/>
            <w:tcBorders>
              <w:top w:val="nil"/>
              <w:left w:val="nil"/>
              <w:bottom w:val="nil"/>
              <w:right w:val="nil"/>
            </w:tcBorders>
          </w:tcPr>
          <w:p w14:paraId="6B2F0A8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0.73</w:t>
            </w:r>
          </w:p>
        </w:tc>
        <w:tc>
          <w:tcPr>
            <w:tcW w:w="992" w:type="dxa"/>
            <w:tcBorders>
              <w:top w:val="nil"/>
              <w:left w:val="nil"/>
              <w:bottom w:val="nil"/>
              <w:right w:val="nil"/>
            </w:tcBorders>
            <w:vAlign w:val="center"/>
          </w:tcPr>
          <w:p w14:paraId="06B2F91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B0AB582"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3.82</w:t>
            </w:r>
          </w:p>
        </w:tc>
        <w:tc>
          <w:tcPr>
            <w:tcW w:w="992" w:type="dxa"/>
            <w:tcBorders>
              <w:top w:val="nil"/>
              <w:left w:val="nil"/>
              <w:bottom w:val="nil"/>
              <w:right w:val="nil"/>
            </w:tcBorders>
          </w:tcPr>
          <w:p w14:paraId="04E20104"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0.56</w:t>
            </w:r>
          </w:p>
        </w:tc>
      </w:tr>
      <w:tr w:rsidR="00092D14" w:rsidRPr="004356D2" w14:paraId="47167020" w14:textId="77777777" w:rsidTr="00DE5CAF">
        <w:trPr>
          <w:trHeight w:val="289"/>
        </w:trPr>
        <w:tc>
          <w:tcPr>
            <w:tcW w:w="1183" w:type="dxa"/>
            <w:tcBorders>
              <w:top w:val="nil"/>
              <w:left w:val="nil"/>
              <w:bottom w:val="nil"/>
              <w:right w:val="nil"/>
            </w:tcBorders>
            <w:vAlign w:val="center"/>
          </w:tcPr>
          <w:p w14:paraId="560731F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V6</w:t>
            </w:r>
          </w:p>
        </w:tc>
        <w:tc>
          <w:tcPr>
            <w:tcW w:w="910" w:type="dxa"/>
            <w:tcBorders>
              <w:top w:val="nil"/>
              <w:left w:val="nil"/>
              <w:bottom w:val="nil"/>
              <w:right w:val="nil"/>
            </w:tcBorders>
            <w:vAlign w:val="center"/>
          </w:tcPr>
          <w:p w14:paraId="6D13E8F4"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2FDCC2E4" w14:textId="77777777" w:rsidR="00092D14" w:rsidRPr="00A93A24" w:rsidRDefault="005B125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092D14" w:rsidRPr="00A93A24">
              <w:rPr>
                <w:rFonts w:ascii="Times New Roman" w:hAnsi="Times New Roman" w:cs="Times New Roman"/>
                <w:bCs/>
                <w:sz w:val="24"/>
                <w:szCs w:val="24"/>
              </w:rPr>
              <w:t>.38</w:t>
            </w:r>
          </w:p>
        </w:tc>
        <w:tc>
          <w:tcPr>
            <w:tcW w:w="901" w:type="dxa"/>
            <w:tcBorders>
              <w:top w:val="nil"/>
              <w:left w:val="nil"/>
              <w:bottom w:val="nil"/>
              <w:right w:val="nil"/>
            </w:tcBorders>
          </w:tcPr>
          <w:p w14:paraId="432D6E2F"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1.05</w:t>
            </w:r>
          </w:p>
        </w:tc>
        <w:tc>
          <w:tcPr>
            <w:tcW w:w="992" w:type="dxa"/>
            <w:tcBorders>
              <w:top w:val="nil"/>
              <w:left w:val="nil"/>
              <w:bottom w:val="nil"/>
              <w:right w:val="nil"/>
            </w:tcBorders>
            <w:vAlign w:val="center"/>
          </w:tcPr>
          <w:p w14:paraId="40E8D43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3F234031" w14:textId="77777777" w:rsidR="00092D14" w:rsidRPr="00A93A24" w:rsidRDefault="005B1254" w:rsidP="005B1254">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092D14" w:rsidRPr="00A93A24">
              <w:rPr>
                <w:rFonts w:ascii="Times New Roman" w:hAnsi="Times New Roman" w:cs="Times New Roman"/>
                <w:bCs/>
                <w:sz w:val="24"/>
                <w:szCs w:val="24"/>
              </w:rPr>
              <w:t>.3</w:t>
            </w:r>
            <w:r w:rsidRPr="00A93A24">
              <w:rPr>
                <w:rFonts w:ascii="Times New Roman" w:hAnsi="Times New Roman" w:cs="Times New Roman"/>
                <w:bCs/>
                <w:sz w:val="24"/>
                <w:szCs w:val="24"/>
              </w:rPr>
              <w:t>6</w:t>
            </w:r>
          </w:p>
        </w:tc>
        <w:tc>
          <w:tcPr>
            <w:tcW w:w="992" w:type="dxa"/>
            <w:tcBorders>
              <w:top w:val="nil"/>
              <w:left w:val="nil"/>
              <w:bottom w:val="nil"/>
              <w:right w:val="nil"/>
            </w:tcBorders>
          </w:tcPr>
          <w:p w14:paraId="46626055" w14:textId="77777777" w:rsidR="00092D14" w:rsidRPr="00A93A24" w:rsidRDefault="005B125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1.2</w:t>
            </w:r>
            <w:r w:rsidR="00092D14" w:rsidRPr="00A93A24">
              <w:rPr>
                <w:rFonts w:ascii="Times New Roman" w:hAnsi="Times New Roman" w:cs="Times New Roman"/>
                <w:bCs/>
                <w:sz w:val="24"/>
                <w:szCs w:val="24"/>
              </w:rPr>
              <w:t>5</w:t>
            </w:r>
          </w:p>
        </w:tc>
      </w:tr>
      <w:tr w:rsidR="00092D14" w:rsidRPr="004356D2" w14:paraId="455FAFEF" w14:textId="77777777" w:rsidTr="00DE5CAF">
        <w:trPr>
          <w:trHeight w:val="289"/>
        </w:trPr>
        <w:tc>
          <w:tcPr>
            <w:tcW w:w="1183" w:type="dxa"/>
            <w:tcBorders>
              <w:top w:val="nil"/>
              <w:left w:val="nil"/>
              <w:bottom w:val="nil"/>
              <w:right w:val="nil"/>
            </w:tcBorders>
            <w:vAlign w:val="center"/>
          </w:tcPr>
          <w:p w14:paraId="42D84DE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V7</w:t>
            </w:r>
          </w:p>
        </w:tc>
        <w:tc>
          <w:tcPr>
            <w:tcW w:w="910" w:type="dxa"/>
            <w:tcBorders>
              <w:top w:val="nil"/>
              <w:left w:val="nil"/>
              <w:bottom w:val="nil"/>
              <w:right w:val="nil"/>
            </w:tcBorders>
            <w:vAlign w:val="center"/>
          </w:tcPr>
          <w:p w14:paraId="7F3134F6"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1DC9BB5A" w14:textId="77777777" w:rsidR="00092D14" w:rsidRPr="00A93A24" w:rsidRDefault="008179B0"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4.6</w:t>
            </w:r>
            <w:r w:rsidR="00092D14" w:rsidRPr="00A93A24">
              <w:rPr>
                <w:rFonts w:ascii="Times New Roman" w:hAnsi="Times New Roman" w:cs="Times New Roman"/>
                <w:bCs/>
                <w:sz w:val="24"/>
                <w:szCs w:val="24"/>
              </w:rPr>
              <w:t>5</w:t>
            </w:r>
          </w:p>
        </w:tc>
        <w:tc>
          <w:tcPr>
            <w:tcW w:w="901" w:type="dxa"/>
            <w:tcBorders>
              <w:top w:val="nil"/>
              <w:left w:val="nil"/>
              <w:bottom w:val="nil"/>
              <w:right w:val="nil"/>
            </w:tcBorders>
          </w:tcPr>
          <w:p w14:paraId="5F253A7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0.76</w:t>
            </w:r>
          </w:p>
        </w:tc>
        <w:tc>
          <w:tcPr>
            <w:tcW w:w="992" w:type="dxa"/>
            <w:tcBorders>
              <w:top w:val="nil"/>
              <w:left w:val="nil"/>
              <w:bottom w:val="nil"/>
              <w:right w:val="nil"/>
            </w:tcBorders>
            <w:vAlign w:val="center"/>
          </w:tcPr>
          <w:p w14:paraId="323FFD9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5BF0129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63</w:t>
            </w:r>
          </w:p>
        </w:tc>
        <w:tc>
          <w:tcPr>
            <w:tcW w:w="992" w:type="dxa"/>
            <w:tcBorders>
              <w:top w:val="nil"/>
              <w:left w:val="nil"/>
              <w:bottom w:val="nil"/>
              <w:right w:val="nil"/>
            </w:tcBorders>
          </w:tcPr>
          <w:p w14:paraId="24074145" w14:textId="77777777" w:rsidR="00092D14" w:rsidRPr="00A93A24" w:rsidRDefault="008179B0"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092D14" w:rsidRPr="00A93A24">
              <w:rPr>
                <w:rFonts w:ascii="Times New Roman" w:hAnsi="Times New Roman" w:cs="Times New Roman"/>
                <w:bCs/>
                <w:sz w:val="24"/>
                <w:szCs w:val="24"/>
              </w:rPr>
              <w:t>6</w:t>
            </w:r>
          </w:p>
        </w:tc>
      </w:tr>
      <w:tr w:rsidR="00092D14" w:rsidRPr="004356D2" w14:paraId="7B02DAE2" w14:textId="77777777" w:rsidTr="00DE5CAF">
        <w:trPr>
          <w:trHeight w:val="289"/>
        </w:trPr>
        <w:tc>
          <w:tcPr>
            <w:tcW w:w="1183" w:type="dxa"/>
            <w:tcBorders>
              <w:top w:val="nil"/>
              <w:left w:val="nil"/>
              <w:bottom w:val="nil"/>
              <w:right w:val="nil"/>
            </w:tcBorders>
            <w:vAlign w:val="center"/>
          </w:tcPr>
          <w:p w14:paraId="02ED42B0"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V8</w:t>
            </w:r>
          </w:p>
        </w:tc>
        <w:tc>
          <w:tcPr>
            <w:tcW w:w="910" w:type="dxa"/>
            <w:tcBorders>
              <w:top w:val="nil"/>
              <w:left w:val="nil"/>
              <w:bottom w:val="nil"/>
              <w:right w:val="nil"/>
            </w:tcBorders>
            <w:vAlign w:val="center"/>
          </w:tcPr>
          <w:p w14:paraId="63240BC3"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78E43006"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43</w:t>
            </w:r>
          </w:p>
        </w:tc>
        <w:tc>
          <w:tcPr>
            <w:tcW w:w="901" w:type="dxa"/>
            <w:tcBorders>
              <w:top w:val="nil"/>
              <w:left w:val="nil"/>
              <w:bottom w:val="nil"/>
              <w:right w:val="nil"/>
            </w:tcBorders>
          </w:tcPr>
          <w:p w14:paraId="6513548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0.80</w:t>
            </w:r>
          </w:p>
        </w:tc>
        <w:tc>
          <w:tcPr>
            <w:tcW w:w="992" w:type="dxa"/>
            <w:tcBorders>
              <w:top w:val="nil"/>
              <w:left w:val="nil"/>
              <w:bottom w:val="nil"/>
              <w:right w:val="nil"/>
            </w:tcBorders>
            <w:vAlign w:val="center"/>
          </w:tcPr>
          <w:p w14:paraId="319DE2A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110D224C"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w:t>
            </w:r>
            <w:r w:rsidR="00092D14" w:rsidRPr="00A93A24">
              <w:rPr>
                <w:rFonts w:ascii="Times New Roman" w:hAnsi="Times New Roman" w:cs="Times New Roman"/>
                <w:bCs/>
                <w:sz w:val="24"/>
                <w:szCs w:val="24"/>
              </w:rPr>
              <w:t>.</w:t>
            </w:r>
            <w:r w:rsidRPr="00A93A24">
              <w:rPr>
                <w:rFonts w:ascii="Times New Roman" w:hAnsi="Times New Roman" w:cs="Times New Roman"/>
                <w:bCs/>
                <w:sz w:val="24"/>
                <w:szCs w:val="24"/>
              </w:rPr>
              <w:t>12</w:t>
            </w:r>
          </w:p>
        </w:tc>
        <w:tc>
          <w:tcPr>
            <w:tcW w:w="992" w:type="dxa"/>
            <w:tcBorders>
              <w:top w:val="nil"/>
              <w:left w:val="nil"/>
              <w:bottom w:val="nil"/>
              <w:right w:val="nil"/>
            </w:tcBorders>
          </w:tcPr>
          <w:p w14:paraId="3FE97A3A"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45030E" w:rsidRPr="00A93A24">
              <w:rPr>
                <w:rFonts w:ascii="Times New Roman" w:hAnsi="Times New Roman" w:cs="Times New Roman"/>
                <w:bCs/>
                <w:sz w:val="24"/>
                <w:szCs w:val="24"/>
              </w:rPr>
              <w:t>6</w:t>
            </w:r>
          </w:p>
        </w:tc>
      </w:tr>
      <w:tr w:rsidR="00092D14" w:rsidRPr="004356D2" w14:paraId="2285CEB9" w14:textId="77777777" w:rsidTr="00DE5CAF">
        <w:trPr>
          <w:trHeight w:val="298"/>
        </w:trPr>
        <w:tc>
          <w:tcPr>
            <w:tcW w:w="1183" w:type="dxa"/>
            <w:tcBorders>
              <w:top w:val="nil"/>
              <w:left w:val="nil"/>
              <w:bottom w:val="nil"/>
              <w:right w:val="nil"/>
            </w:tcBorders>
            <w:vAlign w:val="center"/>
          </w:tcPr>
          <w:p w14:paraId="37940BC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V9</w:t>
            </w:r>
          </w:p>
        </w:tc>
        <w:tc>
          <w:tcPr>
            <w:tcW w:w="910" w:type="dxa"/>
            <w:tcBorders>
              <w:top w:val="nil"/>
              <w:left w:val="nil"/>
              <w:bottom w:val="nil"/>
              <w:right w:val="nil"/>
            </w:tcBorders>
            <w:vAlign w:val="center"/>
          </w:tcPr>
          <w:p w14:paraId="4595D9D8"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20D2FE8D"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53</w:t>
            </w:r>
          </w:p>
        </w:tc>
        <w:tc>
          <w:tcPr>
            <w:tcW w:w="901" w:type="dxa"/>
            <w:tcBorders>
              <w:top w:val="nil"/>
              <w:left w:val="nil"/>
              <w:bottom w:val="nil"/>
              <w:right w:val="nil"/>
            </w:tcBorders>
          </w:tcPr>
          <w:p w14:paraId="597C1AD9"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0.69</w:t>
            </w:r>
          </w:p>
        </w:tc>
        <w:tc>
          <w:tcPr>
            <w:tcW w:w="992" w:type="dxa"/>
            <w:tcBorders>
              <w:top w:val="nil"/>
              <w:left w:val="nil"/>
              <w:bottom w:val="nil"/>
              <w:right w:val="nil"/>
            </w:tcBorders>
            <w:vAlign w:val="center"/>
          </w:tcPr>
          <w:p w14:paraId="091ED672"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F157E32"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4.</w:t>
            </w:r>
            <w:r w:rsidR="008179B0" w:rsidRPr="00A93A24">
              <w:rPr>
                <w:rFonts w:ascii="Times New Roman" w:hAnsi="Times New Roman" w:cs="Times New Roman"/>
                <w:bCs/>
                <w:sz w:val="24"/>
                <w:szCs w:val="24"/>
              </w:rPr>
              <w:t>82</w:t>
            </w:r>
          </w:p>
        </w:tc>
        <w:tc>
          <w:tcPr>
            <w:tcW w:w="992" w:type="dxa"/>
            <w:tcBorders>
              <w:top w:val="nil"/>
              <w:left w:val="nil"/>
              <w:bottom w:val="nil"/>
              <w:right w:val="nil"/>
            </w:tcBorders>
          </w:tcPr>
          <w:p w14:paraId="76973980"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w:t>
            </w:r>
            <w:r w:rsidR="008179B0" w:rsidRPr="00A93A24">
              <w:rPr>
                <w:rFonts w:ascii="Times New Roman" w:hAnsi="Times New Roman" w:cs="Times New Roman"/>
                <w:bCs/>
                <w:sz w:val="24"/>
                <w:szCs w:val="24"/>
              </w:rPr>
              <w:t>56</w:t>
            </w:r>
          </w:p>
        </w:tc>
      </w:tr>
      <w:tr w:rsidR="00092D14" w:rsidRPr="004356D2" w14:paraId="2A4C5463" w14:textId="77777777" w:rsidTr="00DE5CAF">
        <w:trPr>
          <w:trHeight w:val="205"/>
        </w:trPr>
        <w:tc>
          <w:tcPr>
            <w:tcW w:w="1183" w:type="dxa"/>
            <w:tcBorders>
              <w:top w:val="nil"/>
              <w:left w:val="nil"/>
              <w:bottom w:val="nil"/>
              <w:right w:val="nil"/>
            </w:tcBorders>
            <w:vAlign w:val="center"/>
          </w:tcPr>
          <w:p w14:paraId="0258665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V10</w:t>
            </w:r>
          </w:p>
        </w:tc>
        <w:tc>
          <w:tcPr>
            <w:tcW w:w="910" w:type="dxa"/>
            <w:tcBorders>
              <w:top w:val="nil"/>
              <w:left w:val="nil"/>
              <w:bottom w:val="nil"/>
              <w:right w:val="nil"/>
            </w:tcBorders>
            <w:vAlign w:val="center"/>
          </w:tcPr>
          <w:p w14:paraId="145B47B1"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0CD9FF3D" w14:textId="77777777" w:rsidR="00092D14" w:rsidRPr="00A93A24" w:rsidRDefault="0045030E" w:rsidP="0045030E">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1.02</w:t>
            </w:r>
          </w:p>
        </w:tc>
        <w:tc>
          <w:tcPr>
            <w:tcW w:w="901" w:type="dxa"/>
            <w:tcBorders>
              <w:top w:val="nil"/>
              <w:left w:val="nil"/>
              <w:bottom w:val="nil"/>
              <w:right w:val="nil"/>
            </w:tcBorders>
          </w:tcPr>
          <w:p w14:paraId="2221788A"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0.81</w:t>
            </w:r>
          </w:p>
        </w:tc>
        <w:tc>
          <w:tcPr>
            <w:tcW w:w="992" w:type="dxa"/>
            <w:tcBorders>
              <w:top w:val="nil"/>
              <w:left w:val="nil"/>
              <w:bottom w:val="nil"/>
              <w:right w:val="nil"/>
            </w:tcBorders>
            <w:vAlign w:val="center"/>
          </w:tcPr>
          <w:p w14:paraId="791A1481"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89198EA" w14:textId="77777777" w:rsidR="00092D14" w:rsidRPr="00A93A24" w:rsidRDefault="0045030E"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1.36</w:t>
            </w:r>
          </w:p>
        </w:tc>
        <w:tc>
          <w:tcPr>
            <w:tcW w:w="992" w:type="dxa"/>
            <w:tcBorders>
              <w:top w:val="nil"/>
              <w:left w:val="nil"/>
              <w:bottom w:val="nil"/>
              <w:right w:val="nil"/>
            </w:tcBorders>
          </w:tcPr>
          <w:p w14:paraId="04A4332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0.8</w:t>
            </w:r>
            <w:r w:rsidR="0045030E" w:rsidRPr="00A93A24">
              <w:rPr>
                <w:rFonts w:ascii="Times New Roman" w:hAnsi="Times New Roman" w:cs="Times New Roman"/>
                <w:bCs/>
                <w:sz w:val="24"/>
                <w:szCs w:val="24"/>
              </w:rPr>
              <w:t>5</w:t>
            </w:r>
          </w:p>
        </w:tc>
      </w:tr>
      <w:tr w:rsidR="00092D14" w:rsidRPr="004356D2" w14:paraId="7B903637" w14:textId="77777777" w:rsidTr="00DE5CAF">
        <w:trPr>
          <w:trHeight w:val="409"/>
        </w:trPr>
        <w:tc>
          <w:tcPr>
            <w:tcW w:w="1183" w:type="dxa"/>
            <w:tcBorders>
              <w:top w:val="nil"/>
              <w:left w:val="nil"/>
              <w:bottom w:val="nil"/>
              <w:right w:val="nil"/>
            </w:tcBorders>
            <w:vAlign w:val="center"/>
          </w:tcPr>
          <w:p w14:paraId="4D4E2A4A"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V11</w:t>
            </w:r>
          </w:p>
        </w:tc>
        <w:tc>
          <w:tcPr>
            <w:tcW w:w="910" w:type="dxa"/>
            <w:tcBorders>
              <w:top w:val="nil"/>
              <w:left w:val="nil"/>
              <w:bottom w:val="nil"/>
              <w:right w:val="nil"/>
            </w:tcBorders>
            <w:vAlign w:val="center"/>
          </w:tcPr>
          <w:p w14:paraId="4AB927E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54</w:t>
            </w:r>
          </w:p>
        </w:tc>
        <w:tc>
          <w:tcPr>
            <w:tcW w:w="992" w:type="dxa"/>
            <w:tcBorders>
              <w:top w:val="nil"/>
              <w:left w:val="nil"/>
              <w:bottom w:val="nil"/>
              <w:right w:val="nil"/>
            </w:tcBorders>
          </w:tcPr>
          <w:p w14:paraId="3C3DC781"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2.43</w:t>
            </w:r>
          </w:p>
        </w:tc>
        <w:tc>
          <w:tcPr>
            <w:tcW w:w="901" w:type="dxa"/>
            <w:tcBorders>
              <w:top w:val="nil"/>
              <w:left w:val="nil"/>
              <w:bottom w:val="nil"/>
              <w:right w:val="nil"/>
            </w:tcBorders>
          </w:tcPr>
          <w:p w14:paraId="291B64E0"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1.10</w:t>
            </w:r>
          </w:p>
        </w:tc>
        <w:tc>
          <w:tcPr>
            <w:tcW w:w="992" w:type="dxa"/>
            <w:tcBorders>
              <w:top w:val="nil"/>
              <w:left w:val="nil"/>
              <w:bottom w:val="nil"/>
              <w:right w:val="nil"/>
            </w:tcBorders>
            <w:vAlign w:val="center"/>
          </w:tcPr>
          <w:p w14:paraId="1AF9A40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nil"/>
              <w:right w:val="nil"/>
            </w:tcBorders>
          </w:tcPr>
          <w:p w14:paraId="76160198"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2.</w:t>
            </w:r>
            <w:r w:rsidR="008C5AFE" w:rsidRPr="00A93A24">
              <w:rPr>
                <w:rFonts w:ascii="Times New Roman" w:hAnsi="Times New Roman" w:cs="Times New Roman"/>
                <w:bCs/>
                <w:sz w:val="24"/>
                <w:szCs w:val="24"/>
              </w:rPr>
              <w:t>32</w:t>
            </w:r>
          </w:p>
        </w:tc>
        <w:tc>
          <w:tcPr>
            <w:tcW w:w="992" w:type="dxa"/>
            <w:tcBorders>
              <w:top w:val="nil"/>
              <w:left w:val="nil"/>
              <w:bottom w:val="nil"/>
              <w:right w:val="nil"/>
            </w:tcBorders>
          </w:tcPr>
          <w:p w14:paraId="454823BF" w14:textId="77777777" w:rsidR="00092D14" w:rsidRPr="00A93A24" w:rsidRDefault="00092D14"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1.1</w:t>
            </w:r>
            <w:r w:rsidR="00F83BE4" w:rsidRPr="00A93A24">
              <w:rPr>
                <w:rFonts w:ascii="Times New Roman" w:hAnsi="Times New Roman" w:cs="Times New Roman"/>
                <w:bCs/>
                <w:sz w:val="24"/>
                <w:szCs w:val="24"/>
              </w:rPr>
              <w:t>2</w:t>
            </w:r>
          </w:p>
        </w:tc>
      </w:tr>
      <w:tr w:rsidR="00092D14" w:rsidRPr="004356D2" w14:paraId="29C5590A" w14:textId="77777777" w:rsidTr="00DE5CAF">
        <w:trPr>
          <w:trHeight w:val="299"/>
        </w:trPr>
        <w:tc>
          <w:tcPr>
            <w:tcW w:w="1183" w:type="dxa"/>
            <w:tcBorders>
              <w:top w:val="nil"/>
              <w:left w:val="nil"/>
              <w:bottom w:val="single" w:sz="4" w:space="0" w:color="auto"/>
              <w:right w:val="nil"/>
            </w:tcBorders>
            <w:vAlign w:val="center"/>
          </w:tcPr>
          <w:p w14:paraId="667CE865"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sz w:val="24"/>
                <w:szCs w:val="24"/>
              </w:rPr>
              <w:t>V12</w:t>
            </w:r>
          </w:p>
        </w:tc>
        <w:tc>
          <w:tcPr>
            <w:tcW w:w="910" w:type="dxa"/>
            <w:tcBorders>
              <w:top w:val="nil"/>
              <w:left w:val="nil"/>
              <w:bottom w:val="single" w:sz="4" w:space="0" w:color="auto"/>
              <w:right w:val="nil"/>
            </w:tcBorders>
          </w:tcPr>
          <w:p w14:paraId="60EC53D0"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54</w:t>
            </w:r>
          </w:p>
        </w:tc>
        <w:tc>
          <w:tcPr>
            <w:tcW w:w="992" w:type="dxa"/>
            <w:tcBorders>
              <w:top w:val="nil"/>
              <w:left w:val="nil"/>
              <w:bottom w:val="single" w:sz="4" w:space="0" w:color="auto"/>
              <w:right w:val="nil"/>
            </w:tcBorders>
          </w:tcPr>
          <w:p w14:paraId="65584CB2"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3.94</w:t>
            </w:r>
          </w:p>
        </w:tc>
        <w:tc>
          <w:tcPr>
            <w:tcW w:w="901" w:type="dxa"/>
            <w:tcBorders>
              <w:top w:val="nil"/>
              <w:left w:val="nil"/>
              <w:bottom w:val="single" w:sz="4" w:space="0" w:color="auto"/>
              <w:right w:val="nil"/>
            </w:tcBorders>
          </w:tcPr>
          <w:p w14:paraId="0783255B" w14:textId="77777777" w:rsidR="00092D14" w:rsidRPr="00A93A24" w:rsidRDefault="00092D14" w:rsidP="009C3C41">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0.76</w:t>
            </w:r>
          </w:p>
        </w:tc>
        <w:tc>
          <w:tcPr>
            <w:tcW w:w="992" w:type="dxa"/>
            <w:tcBorders>
              <w:top w:val="nil"/>
              <w:left w:val="nil"/>
              <w:bottom w:val="single" w:sz="4" w:space="0" w:color="auto"/>
              <w:right w:val="nil"/>
            </w:tcBorders>
            <w:vAlign w:val="center"/>
          </w:tcPr>
          <w:p w14:paraId="4D3CBB9F" w14:textId="77777777" w:rsidR="00092D14" w:rsidRPr="00A93A24" w:rsidRDefault="00092D14" w:rsidP="00092D14">
            <w:pPr>
              <w:jc w:val="center"/>
              <w:rPr>
                <w:rFonts w:ascii="Times New Roman" w:hAnsi="Times New Roman" w:cs="Times New Roman"/>
                <w:sz w:val="24"/>
                <w:szCs w:val="24"/>
              </w:rPr>
            </w:pPr>
            <w:r w:rsidRPr="00A93A24">
              <w:rPr>
                <w:rFonts w:ascii="Times New Roman" w:hAnsi="Times New Roman" w:cs="Times New Roman"/>
                <w:bCs/>
                <w:sz w:val="24"/>
                <w:szCs w:val="24"/>
              </w:rPr>
              <w:t>18</w:t>
            </w:r>
          </w:p>
        </w:tc>
        <w:tc>
          <w:tcPr>
            <w:tcW w:w="993" w:type="dxa"/>
            <w:tcBorders>
              <w:top w:val="nil"/>
              <w:left w:val="nil"/>
              <w:bottom w:val="single" w:sz="4" w:space="0" w:color="auto"/>
              <w:right w:val="nil"/>
            </w:tcBorders>
          </w:tcPr>
          <w:p w14:paraId="2DF69901" w14:textId="77777777" w:rsidR="00092D14" w:rsidRPr="00A93A24" w:rsidRDefault="006A3EA3" w:rsidP="006A3EA3">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3.83</w:t>
            </w:r>
          </w:p>
        </w:tc>
        <w:tc>
          <w:tcPr>
            <w:tcW w:w="992" w:type="dxa"/>
            <w:tcBorders>
              <w:top w:val="nil"/>
              <w:left w:val="nil"/>
              <w:bottom w:val="single" w:sz="4" w:space="0" w:color="auto"/>
              <w:right w:val="nil"/>
            </w:tcBorders>
          </w:tcPr>
          <w:p w14:paraId="685897D3" w14:textId="77777777" w:rsidR="00092D14" w:rsidRPr="00A93A24" w:rsidRDefault="006A3EA3" w:rsidP="001E05FB">
            <w:pPr>
              <w:spacing w:line="360" w:lineRule="auto"/>
              <w:jc w:val="center"/>
              <w:rPr>
                <w:rFonts w:ascii="Times New Roman" w:hAnsi="Times New Roman" w:cs="Times New Roman"/>
                <w:bCs/>
                <w:sz w:val="24"/>
                <w:szCs w:val="24"/>
              </w:rPr>
            </w:pPr>
            <w:r w:rsidRPr="00A93A24">
              <w:rPr>
                <w:rFonts w:ascii="Times New Roman" w:hAnsi="Times New Roman" w:cs="Times New Roman"/>
                <w:bCs/>
                <w:sz w:val="24"/>
                <w:szCs w:val="24"/>
              </w:rPr>
              <w:t>0.6</w:t>
            </w:r>
            <w:r w:rsidR="00092D14" w:rsidRPr="00A93A24">
              <w:rPr>
                <w:rFonts w:ascii="Times New Roman" w:hAnsi="Times New Roman" w:cs="Times New Roman"/>
                <w:bCs/>
                <w:sz w:val="24"/>
                <w:szCs w:val="24"/>
              </w:rPr>
              <w:t>6</w:t>
            </w:r>
          </w:p>
        </w:tc>
      </w:tr>
    </w:tbl>
    <w:p w14:paraId="12F590E1" w14:textId="3547510D" w:rsidR="00092D14" w:rsidRDefault="00092D14" w:rsidP="00352967">
      <w:pPr>
        <w:spacing w:line="360" w:lineRule="auto"/>
        <w:jc w:val="both"/>
        <w:rPr>
          <w:rFonts w:ascii="Bamini" w:hAnsi="Bamini"/>
          <w:sz w:val="24"/>
          <w:szCs w:val="24"/>
        </w:rPr>
      </w:pPr>
    </w:p>
    <w:p w14:paraId="0F41E556" w14:textId="04A04942" w:rsidR="005E78AE" w:rsidRPr="005E78AE" w:rsidRDefault="005E78AE" w:rsidP="005E78AE">
      <w:pPr>
        <w:spacing w:line="360" w:lineRule="auto"/>
        <w:jc w:val="both"/>
        <w:rPr>
          <w:rFonts w:ascii="Times New Roman" w:hAnsi="Times New Roman" w:cs="Times New Roman"/>
          <w:sz w:val="24"/>
          <w:szCs w:val="24"/>
        </w:rPr>
      </w:pPr>
      <w:r w:rsidRPr="005E78AE">
        <w:rPr>
          <w:rFonts w:ascii="Times New Roman" w:hAnsi="Times New Roman" w:cs="Times New Roman"/>
          <w:sz w:val="24"/>
          <w:szCs w:val="24"/>
        </w:rPr>
        <w:t>According to Table 3, teachers’ and principals’ responses indicate that (V7) Early marriage (Teachers: M = 4.65, SD = 0.76; Principals: M = 4.63, SD = 0.86), (V9) Engagement in domestic work or urban employment (Teachers: M = 4.53, SD = 0.69; Principals: M = 4.82, SD = 0.56), and (V3) Lack of social support (Teachers: M = 4.54, SD = 0.63; Principals: M = 4.84, SD = 0.73) exerted a very high level of influence on student dropout. Similarly, (V12) Association with over-age peers (Teachers: M = 3.94, SD = 0.76; Principals: M = 3.83, SD = 0.66) and (V5) Sexual abuse (Teachers: M = 3.91, SD = 0.73; Principals: M = 3.82, SD = 0.56) exe</w:t>
      </w:r>
      <w:r>
        <w:rPr>
          <w:rFonts w:ascii="Times New Roman" w:hAnsi="Times New Roman" w:cs="Times New Roman"/>
          <w:sz w:val="24"/>
          <w:szCs w:val="24"/>
        </w:rPr>
        <w:t>rted a high level of influence.</w:t>
      </w:r>
    </w:p>
    <w:p w14:paraId="6C75B3AD" w14:textId="3BBD7CD7" w:rsidR="000253D5" w:rsidRDefault="005E78AE" w:rsidP="005E78AE">
      <w:pPr>
        <w:spacing w:line="360" w:lineRule="auto"/>
        <w:jc w:val="both"/>
        <w:rPr>
          <w:rFonts w:ascii="Times New Roman" w:hAnsi="Times New Roman" w:cs="Times New Roman"/>
          <w:sz w:val="24"/>
          <w:szCs w:val="24"/>
        </w:rPr>
      </w:pPr>
      <w:r w:rsidRPr="005E78AE">
        <w:rPr>
          <w:rFonts w:ascii="Times New Roman" w:hAnsi="Times New Roman" w:cs="Times New Roman"/>
          <w:sz w:val="24"/>
          <w:szCs w:val="24"/>
        </w:rPr>
        <w:t>Conversely, (V11) Exposure to sudden accidents or disasters (Teachers: M = 2.43, SD = 1.10; Principals: M = 2.32, SD = 1.12), (V1) Social pressure and harassment (Teachers: M = 3.26, SD = 1.02; Principals: M = 3.06, SD = 1.22), and (V6) Drug use (Teachers: M = 2.38, SD = 1.05; Principals: M = 2.36, SD = 1.25) exerted a low level of influence</w:t>
      </w:r>
      <w:r>
        <w:rPr>
          <w:rFonts w:ascii="Times New Roman" w:hAnsi="Times New Roman" w:cs="Times New Roman"/>
          <w:sz w:val="24"/>
          <w:szCs w:val="24"/>
        </w:rPr>
        <w:t>. In addition, factors (V4, V8</w:t>
      </w:r>
      <w:proofErr w:type="gramStart"/>
      <w:r>
        <w:rPr>
          <w:rFonts w:ascii="Times New Roman" w:hAnsi="Times New Roman" w:cs="Times New Roman"/>
          <w:sz w:val="24"/>
          <w:szCs w:val="24"/>
        </w:rPr>
        <w:t>,</w:t>
      </w:r>
      <w:r w:rsidRPr="005E78AE">
        <w:rPr>
          <w:rFonts w:ascii="Times New Roman" w:hAnsi="Times New Roman" w:cs="Times New Roman"/>
          <w:sz w:val="24"/>
          <w:szCs w:val="24"/>
        </w:rPr>
        <w:t>V10</w:t>
      </w:r>
      <w:proofErr w:type="gramEnd"/>
      <w:r w:rsidRPr="005E78AE">
        <w:rPr>
          <w:rFonts w:ascii="Times New Roman" w:hAnsi="Times New Roman" w:cs="Times New Roman"/>
          <w:sz w:val="24"/>
          <w:szCs w:val="24"/>
        </w:rPr>
        <w:t>) were found to have no measurable influence on student dropout.</w:t>
      </w:r>
    </w:p>
    <w:p w14:paraId="203BECEF" w14:textId="78A29E87" w:rsid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lastRenderedPageBreak/>
        <w:t xml:space="preserve">Through interviews conducted with dropout students and focus group discussions held with parents, the qualitative data obtained were subjected to thematic analysis. The findings revealed that association with older peers among male students and their interest in seeking employment in </w:t>
      </w:r>
      <w:r>
        <w:rPr>
          <w:rFonts w:ascii="Times New Roman" w:hAnsi="Times New Roman" w:cs="Times New Roman"/>
          <w:sz w:val="24"/>
          <w:szCs w:val="24"/>
        </w:rPr>
        <w:t xml:space="preserve">urban areas influenced dropout. </w:t>
      </w:r>
      <w:r w:rsidRPr="000253D5">
        <w:rPr>
          <w:rFonts w:ascii="Times New Roman" w:hAnsi="Times New Roman" w:cs="Times New Roman"/>
          <w:sz w:val="24"/>
          <w:szCs w:val="24"/>
        </w:rPr>
        <w:t>Among some female students, involvement in caring for younger siblings, assisting their mothers in plucking tea leaves, entering into early marriage, and being employed in domestic work in urban areas were identified as factors that contributed to dropout.</w:t>
      </w:r>
    </w:p>
    <w:p w14:paraId="78EA0F5B" w14:textId="223EC6DF" w:rsidR="000253D5" w:rsidRPr="00C34504" w:rsidRDefault="000253D5" w:rsidP="000253D5">
      <w:pPr>
        <w:spacing w:line="360" w:lineRule="auto"/>
        <w:jc w:val="both"/>
        <w:rPr>
          <w:rFonts w:ascii="Times New Roman" w:hAnsi="Times New Roman" w:cs="Times New Roman"/>
          <w:b/>
          <w:sz w:val="28"/>
          <w:szCs w:val="24"/>
        </w:rPr>
      </w:pPr>
      <w:r w:rsidRPr="00C34504">
        <w:rPr>
          <w:rFonts w:ascii="Times New Roman" w:hAnsi="Times New Roman" w:cs="Times New Roman"/>
          <w:b/>
          <w:sz w:val="28"/>
          <w:szCs w:val="24"/>
        </w:rPr>
        <w:t>Measures Implemented at the School Le</w:t>
      </w:r>
      <w:r w:rsidR="00C34504">
        <w:rPr>
          <w:rFonts w:ascii="Times New Roman" w:hAnsi="Times New Roman" w:cs="Times New Roman"/>
          <w:b/>
          <w:sz w:val="28"/>
          <w:szCs w:val="24"/>
        </w:rPr>
        <w:t>vel to Minimize Student Dropout</w:t>
      </w:r>
    </w:p>
    <w:p w14:paraId="5333F817" w14:textId="49F11BE4" w:rsidR="000253D5" w:rsidRP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t>Through thematic analysis of the qualitative data obtained from principals and teachers regarding the measures taken at the school level to reduce student dropout, the foll</w:t>
      </w:r>
      <w:r w:rsidR="00C34504">
        <w:rPr>
          <w:rFonts w:ascii="Times New Roman" w:hAnsi="Times New Roman" w:cs="Times New Roman"/>
          <w:sz w:val="24"/>
          <w:szCs w:val="24"/>
        </w:rPr>
        <w:t>owing findings were identified:</w:t>
      </w:r>
    </w:p>
    <w:p w14:paraId="3C053AB6" w14:textId="7F9C39B4" w:rsidR="000253D5" w:rsidRDefault="000253D5" w:rsidP="000253D5">
      <w:pPr>
        <w:spacing w:line="360" w:lineRule="auto"/>
        <w:jc w:val="both"/>
        <w:rPr>
          <w:rFonts w:ascii="Times New Roman" w:hAnsi="Times New Roman" w:cs="Times New Roman"/>
          <w:sz w:val="24"/>
          <w:szCs w:val="24"/>
        </w:rPr>
      </w:pPr>
      <w:r w:rsidRPr="000253D5">
        <w:rPr>
          <w:rFonts w:ascii="Times New Roman" w:hAnsi="Times New Roman" w:cs="Times New Roman"/>
          <w:sz w:val="24"/>
          <w:szCs w:val="24"/>
        </w:rPr>
        <w:t>Although support programs were implemented to encourage students facing economic hardships to continue their education, these initiatives were not sustained consistently. Efforts to prevent student dropout through collaboration with the community were not carried out adequately.</w:t>
      </w:r>
      <w:r w:rsidR="00C34504">
        <w:rPr>
          <w:rFonts w:ascii="Times New Roman" w:hAnsi="Times New Roman" w:cs="Times New Roman"/>
          <w:sz w:val="24"/>
          <w:szCs w:val="24"/>
        </w:rPr>
        <w:t xml:space="preserve"> </w:t>
      </w:r>
      <w:r w:rsidRPr="000253D5">
        <w:rPr>
          <w:rFonts w:ascii="Times New Roman" w:hAnsi="Times New Roman" w:cs="Times New Roman"/>
          <w:sz w:val="24"/>
          <w:szCs w:val="24"/>
        </w:rPr>
        <w:t>Since students who experience academic difficulties are more likely to drop out of school, there has been a lack of special intervention programs designed specifically to prevent such dropout. Although home visits were conducted to bring back students with irregular attendance, the continuous implementation of these measures has not been successful.</w:t>
      </w:r>
      <w:r w:rsidR="00C34504">
        <w:rPr>
          <w:rFonts w:ascii="Times New Roman" w:hAnsi="Times New Roman" w:cs="Times New Roman"/>
          <w:sz w:val="24"/>
          <w:szCs w:val="24"/>
        </w:rPr>
        <w:t xml:space="preserve"> </w:t>
      </w:r>
      <w:r w:rsidRPr="000253D5">
        <w:rPr>
          <w:rFonts w:ascii="Times New Roman" w:hAnsi="Times New Roman" w:cs="Times New Roman"/>
          <w:sz w:val="24"/>
          <w:szCs w:val="24"/>
        </w:rPr>
        <w:t>Furthermore, although the compulsory education program is being implemented in schools, it has not been carried out in a structured and consistent manner.</w:t>
      </w:r>
    </w:p>
    <w:p w14:paraId="1F48E6C3" w14:textId="465C7E5D" w:rsidR="001E17C5" w:rsidRPr="001E17C5" w:rsidRDefault="001E17C5" w:rsidP="001E17C5">
      <w:pPr>
        <w:spacing w:line="360" w:lineRule="auto"/>
        <w:jc w:val="both"/>
        <w:rPr>
          <w:rFonts w:ascii="Times New Roman" w:hAnsi="Times New Roman" w:cs="Times New Roman"/>
          <w:b/>
          <w:sz w:val="28"/>
          <w:szCs w:val="24"/>
        </w:rPr>
      </w:pPr>
      <w:r w:rsidRPr="001E17C5">
        <w:rPr>
          <w:rFonts w:ascii="Times New Roman" w:hAnsi="Times New Roman" w:cs="Times New Roman"/>
          <w:b/>
          <w:sz w:val="28"/>
          <w:szCs w:val="24"/>
        </w:rPr>
        <w:t>R</w:t>
      </w:r>
      <w:r>
        <w:rPr>
          <w:rFonts w:ascii="Times New Roman" w:hAnsi="Times New Roman" w:cs="Times New Roman"/>
          <w:b/>
          <w:sz w:val="28"/>
          <w:szCs w:val="24"/>
        </w:rPr>
        <w:t>esearch Findings and Discussion</w:t>
      </w:r>
    </w:p>
    <w:p w14:paraId="3231DB63" w14:textId="75C57107" w:rsidR="001E17C5" w:rsidRP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t>It was found that the average dropout rate over the past three years was approximately 25%. Among these, the dropout rate was higher among male students than female students. Similarly, dropout was higher among students in Grades 9–11 compared to Grades 6–</w:t>
      </w:r>
      <w:r>
        <w:rPr>
          <w:rFonts w:ascii="Times New Roman" w:hAnsi="Times New Roman" w:cs="Times New Roman"/>
          <w:sz w:val="24"/>
          <w:szCs w:val="24"/>
        </w:rPr>
        <w:t>8.</w:t>
      </w:r>
    </w:p>
    <w:p w14:paraId="3DBA3284" w14:textId="77777777" w:rsidR="001E17C5" w:rsidRP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t>Regarding economic factors influencing student dropout, parents’ poverty status and living separately from parents (M = 4.5–5.0) were found to have a very high level of influence. Likewise, obtaining loans and parents’ occupational status (M = 3.5–4.4) were found to have a moderately high level of influence. Furthermore, thematic analysis of parents’ responses also confirmed that these economic factors exerted a strong influence on student dropout.</w:t>
      </w:r>
    </w:p>
    <w:p w14:paraId="2B30CBB8" w14:textId="77777777" w:rsidR="001E17C5" w:rsidRPr="001E17C5" w:rsidRDefault="001E17C5" w:rsidP="001E17C5">
      <w:pPr>
        <w:spacing w:line="360" w:lineRule="auto"/>
        <w:jc w:val="both"/>
        <w:rPr>
          <w:rFonts w:ascii="Times New Roman" w:hAnsi="Times New Roman" w:cs="Times New Roman"/>
          <w:sz w:val="24"/>
          <w:szCs w:val="24"/>
        </w:rPr>
      </w:pPr>
    </w:p>
    <w:p w14:paraId="275E9BF0" w14:textId="6BFA772B" w:rsidR="001E17C5" w:rsidRDefault="001E17C5" w:rsidP="001E17C5">
      <w:pPr>
        <w:spacing w:line="360" w:lineRule="auto"/>
        <w:jc w:val="both"/>
        <w:rPr>
          <w:rFonts w:ascii="Times New Roman" w:hAnsi="Times New Roman" w:cs="Times New Roman"/>
          <w:sz w:val="24"/>
          <w:szCs w:val="24"/>
        </w:rPr>
      </w:pPr>
      <w:r w:rsidRPr="001E17C5">
        <w:rPr>
          <w:rFonts w:ascii="Times New Roman" w:hAnsi="Times New Roman" w:cs="Times New Roman"/>
          <w:sz w:val="24"/>
          <w:szCs w:val="24"/>
        </w:rPr>
        <w:lastRenderedPageBreak/>
        <w:t>With regard to social factors influencing student dropout, early marriage, engagement in domestic work or urban employment, and family problems (M = 4.5–5.0) were found to have a very high level of influence. Similarly, association with over-age peers and sexual abuse (M = 3.5–4.4) were identified as having a moderately high level of influence. Thematic analysis of parents’ responses further confirmed that these social factors had a significant impact on student dropout.</w:t>
      </w:r>
      <w:r>
        <w:rPr>
          <w:rFonts w:ascii="Times New Roman" w:hAnsi="Times New Roman" w:cs="Times New Roman"/>
          <w:sz w:val="24"/>
          <w:szCs w:val="24"/>
        </w:rPr>
        <w:t xml:space="preserve"> </w:t>
      </w:r>
      <w:r w:rsidRPr="001E17C5">
        <w:rPr>
          <w:rFonts w:ascii="Times New Roman" w:hAnsi="Times New Roman" w:cs="Times New Roman"/>
          <w:sz w:val="24"/>
          <w:szCs w:val="24"/>
        </w:rPr>
        <w:t>Furthermore, this study found that the measures implemented at the school level to minimize student dropout were neither sufficient nor satisfactory.</w:t>
      </w:r>
    </w:p>
    <w:p w14:paraId="420B964C" w14:textId="677BE4AE"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 xml:space="preserve">The above findings of this study are consistent with the results of previous research. In particular, the study conducted by </w:t>
      </w:r>
      <w:r w:rsidRPr="00BD63D2">
        <w:rPr>
          <w:rFonts w:ascii="Times New Roman" w:hAnsi="Times New Roman" w:cs="Times New Roman"/>
          <w:sz w:val="24"/>
          <w:szCs w:val="24"/>
        </w:rPr>
        <w:t xml:space="preserve">Das and </w:t>
      </w:r>
      <w:proofErr w:type="spellStart"/>
      <w:r w:rsidRPr="00BD63D2">
        <w:rPr>
          <w:rFonts w:ascii="Times New Roman" w:hAnsi="Times New Roman" w:cs="Times New Roman"/>
          <w:sz w:val="24"/>
          <w:szCs w:val="24"/>
        </w:rPr>
        <w:t>Saha</w:t>
      </w:r>
      <w:proofErr w:type="spellEnd"/>
      <w:r w:rsidRPr="007A3637">
        <w:rPr>
          <w:rFonts w:ascii="Times New Roman" w:hAnsi="Times New Roman" w:cs="Times New Roman"/>
          <w:sz w:val="24"/>
          <w:szCs w:val="24"/>
        </w:rPr>
        <w:t xml:space="preserve"> (2014) found that parents’ lack of education, large family size, and poverty exacerbate dropout problems. Similarly, the stud</w:t>
      </w:r>
      <w:r>
        <w:rPr>
          <w:rFonts w:ascii="Times New Roman" w:hAnsi="Times New Roman" w:cs="Times New Roman"/>
          <w:sz w:val="24"/>
          <w:szCs w:val="24"/>
        </w:rPr>
        <w:t xml:space="preserve">y conducted by </w:t>
      </w:r>
      <w:proofErr w:type="spellStart"/>
      <w:r>
        <w:rPr>
          <w:rFonts w:ascii="Times New Roman" w:hAnsi="Times New Roman" w:cs="Times New Roman"/>
          <w:sz w:val="24"/>
          <w:szCs w:val="24"/>
        </w:rPr>
        <w:t>Geethavani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Uth</w:t>
      </w:r>
      <w:r w:rsidRPr="007A3637">
        <w:rPr>
          <w:rFonts w:ascii="Times New Roman" w:hAnsi="Times New Roman" w:cs="Times New Roman"/>
          <w:sz w:val="24"/>
          <w:szCs w:val="24"/>
        </w:rPr>
        <w:t>ayakumar</w:t>
      </w:r>
      <w:proofErr w:type="spellEnd"/>
      <w:r w:rsidRPr="007A3637">
        <w:rPr>
          <w:rFonts w:ascii="Times New Roman" w:hAnsi="Times New Roman" w:cs="Times New Roman"/>
          <w:sz w:val="24"/>
          <w:szCs w:val="24"/>
        </w:rPr>
        <w:t xml:space="preserve"> (2014) identified family environment, peer association, insufficient income, lack of parental encouragement, parental death, and separation as factors that</w:t>
      </w:r>
      <w:r>
        <w:rPr>
          <w:rFonts w:ascii="Times New Roman" w:hAnsi="Times New Roman" w:cs="Times New Roman"/>
          <w:sz w:val="24"/>
          <w:szCs w:val="24"/>
        </w:rPr>
        <w:t xml:space="preserve"> contribute to student dropout.</w:t>
      </w:r>
    </w:p>
    <w:p w14:paraId="02BA9094" w14:textId="3E18EABE" w:rsid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 xml:space="preserve">Furthermore, although family factors are significant, social factors also exert equal importance in influencing dropout, as highlighted by </w:t>
      </w:r>
      <w:proofErr w:type="spellStart"/>
      <w:r w:rsidRPr="007A3637">
        <w:rPr>
          <w:rFonts w:ascii="Times New Roman" w:hAnsi="Times New Roman" w:cs="Times New Roman"/>
          <w:sz w:val="24"/>
          <w:szCs w:val="24"/>
        </w:rPr>
        <w:t>Seetha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Kalana</w:t>
      </w:r>
      <w:proofErr w:type="spellEnd"/>
      <w:r>
        <w:rPr>
          <w:rFonts w:ascii="Times New Roman" w:hAnsi="Times New Roman" w:cs="Times New Roman"/>
          <w:sz w:val="24"/>
          <w:szCs w:val="24"/>
        </w:rPr>
        <w:t xml:space="preserve"> (2021). Gupta et al.,</w:t>
      </w:r>
      <w:r w:rsidRPr="007A3637">
        <w:rPr>
          <w:rFonts w:ascii="Times New Roman" w:hAnsi="Times New Roman" w:cs="Times New Roman"/>
          <w:sz w:val="24"/>
          <w:szCs w:val="24"/>
        </w:rPr>
        <w:t xml:space="preserve"> (2021) pointed out that preventive mechanisms to address student dropout in advance are generally lacking in schools, and that measures taken after students have already dropped out often fail. These research findings are in agreement with the results of the present study.</w:t>
      </w:r>
    </w:p>
    <w:p w14:paraId="37E671C2" w14:textId="6F9EBF41" w:rsidR="007A3637" w:rsidRPr="007A3637" w:rsidRDefault="007A3637" w:rsidP="007A3637">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Recommendations</w:t>
      </w:r>
    </w:p>
    <w:p w14:paraId="02D646BF" w14:textId="47A218CE"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Continuous awareness and counselling programs should be provided to parents regarding the importance of education and how it can transform a student’s future. Since students who face learning difficulties are more likely to drop out, schools should identify the specific subjects in which a student is experiencing difficulty and implement special int</w:t>
      </w:r>
      <w:r>
        <w:rPr>
          <w:rFonts w:ascii="Times New Roman" w:hAnsi="Times New Roman" w:cs="Times New Roman"/>
          <w:sz w:val="24"/>
          <w:szCs w:val="24"/>
        </w:rPr>
        <w:t>ervention programs accordingly.</w:t>
      </w:r>
    </w:p>
    <w:p w14:paraId="2D37E14D" w14:textId="663BBA80" w:rsidR="007A3637" w:rsidRP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Through the school’s alumni association, programs that motivate dropout students to return to education and initiatives that support dropout prevention activities can be organized. Strengthening the relationship between the school and the community</w:t>
      </w:r>
      <w:r>
        <w:rPr>
          <w:rFonts w:ascii="Times New Roman" w:hAnsi="Times New Roman" w:cs="Times New Roman"/>
          <w:sz w:val="24"/>
          <w:szCs w:val="24"/>
        </w:rPr>
        <w:t xml:space="preserve"> can also help control dropout. </w:t>
      </w:r>
      <w:r w:rsidRPr="007A3637">
        <w:rPr>
          <w:rFonts w:ascii="Times New Roman" w:hAnsi="Times New Roman" w:cs="Times New Roman"/>
          <w:sz w:val="24"/>
          <w:szCs w:val="24"/>
        </w:rPr>
        <w:t>In addition to the existing School Development Committee, a separate committee should be established to enhance students’ educational progress. This committee should engage in productive discussions to encourage students to study at home and to increase parental involvement and participation in school activities (</w:t>
      </w:r>
      <w:proofErr w:type="spellStart"/>
      <w:r w:rsidRPr="007A3637">
        <w:rPr>
          <w:rFonts w:ascii="Times New Roman" w:hAnsi="Times New Roman" w:cs="Times New Roman"/>
          <w:sz w:val="24"/>
          <w:szCs w:val="24"/>
        </w:rPr>
        <w:t>Sivananthan</w:t>
      </w:r>
      <w:proofErr w:type="spellEnd"/>
      <w:r w:rsidRPr="007A3637">
        <w:rPr>
          <w:rFonts w:ascii="Times New Roman" w:hAnsi="Times New Roman" w:cs="Times New Roman"/>
          <w:sz w:val="24"/>
          <w:szCs w:val="24"/>
        </w:rPr>
        <w:t xml:space="preserve">, 2021). </w:t>
      </w:r>
      <w:r w:rsidRPr="007A3637">
        <w:rPr>
          <w:rFonts w:ascii="Times New Roman" w:hAnsi="Times New Roman" w:cs="Times New Roman"/>
          <w:sz w:val="24"/>
          <w:szCs w:val="24"/>
        </w:rPr>
        <w:lastRenderedPageBreak/>
        <w:t>Furthermore, the Compulsory Education Committee should be made to function effectively within the school, and its activiti</w:t>
      </w:r>
      <w:r>
        <w:rPr>
          <w:rFonts w:ascii="Times New Roman" w:hAnsi="Times New Roman" w:cs="Times New Roman"/>
          <w:sz w:val="24"/>
          <w:szCs w:val="24"/>
        </w:rPr>
        <w:t>es should be fully implemented.</w:t>
      </w:r>
    </w:p>
    <w:p w14:paraId="5CF24AAC" w14:textId="53CB20A9" w:rsidR="007A3637" w:rsidRDefault="007A3637" w:rsidP="007A3637">
      <w:pPr>
        <w:spacing w:line="360" w:lineRule="auto"/>
        <w:jc w:val="both"/>
        <w:rPr>
          <w:rFonts w:ascii="Times New Roman" w:hAnsi="Times New Roman" w:cs="Times New Roman"/>
          <w:sz w:val="24"/>
          <w:szCs w:val="24"/>
        </w:rPr>
      </w:pPr>
      <w:r w:rsidRPr="007A3637">
        <w:rPr>
          <w:rFonts w:ascii="Times New Roman" w:hAnsi="Times New Roman" w:cs="Times New Roman"/>
          <w:sz w:val="24"/>
          <w:szCs w:val="24"/>
        </w:rPr>
        <w:t>Therefore, by taking the above recommendations into consideration, school administration, the Ministry of Education, the Department of Education, community members, and other government institutions should collaborate in proper planning and effective implementation to reduce the level of student dropout to a certain extent.</w:t>
      </w:r>
    </w:p>
    <w:p w14:paraId="5D71DD7B" w14:textId="436828A7" w:rsidR="00320F64" w:rsidRDefault="00320F64" w:rsidP="00352967">
      <w:pPr>
        <w:spacing w:line="360" w:lineRule="auto"/>
        <w:jc w:val="both"/>
        <w:rPr>
          <w:rStyle w:val="fontstyle01"/>
          <w:rFonts w:ascii="Bamini" w:hAnsi="Bamini"/>
          <w:b/>
          <w:bCs/>
          <w:sz w:val="28"/>
        </w:rPr>
      </w:pPr>
    </w:p>
    <w:p w14:paraId="5825EA24" w14:textId="0F684136" w:rsidR="00C13158" w:rsidRDefault="007A3637" w:rsidP="00352967">
      <w:pPr>
        <w:spacing w:line="360" w:lineRule="auto"/>
        <w:jc w:val="both"/>
        <w:rPr>
          <w:rStyle w:val="fontstyle01"/>
          <w:rFonts w:ascii="Times New Roman" w:hAnsi="Times New Roman" w:cs="Times New Roman"/>
          <w:b/>
          <w:bCs/>
          <w:sz w:val="28"/>
        </w:rPr>
      </w:pPr>
      <w:r>
        <w:rPr>
          <w:rStyle w:val="fontstyle01"/>
          <w:rFonts w:ascii="Times New Roman" w:hAnsi="Times New Roman" w:cs="Times New Roman"/>
          <w:b/>
          <w:bCs/>
          <w:sz w:val="28"/>
        </w:rPr>
        <w:t>Re</w:t>
      </w:r>
      <w:r w:rsidRPr="007A3637">
        <w:rPr>
          <w:rStyle w:val="fontstyle01"/>
          <w:rFonts w:ascii="Times New Roman" w:hAnsi="Times New Roman" w:cs="Times New Roman"/>
          <w:b/>
          <w:bCs/>
          <w:sz w:val="28"/>
        </w:rPr>
        <w:t>ferences</w:t>
      </w:r>
    </w:p>
    <w:p w14:paraId="2D9A71FC" w14:textId="5C337774" w:rsidR="00DE5CAF" w:rsidRPr="00DE5CAF" w:rsidRDefault="00DE5CAF" w:rsidP="00DE5CAF">
      <w:pPr>
        <w:spacing w:line="36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Athirathan</w:t>
      </w:r>
      <w:proofErr w:type="spellEnd"/>
      <w:r>
        <w:rPr>
          <w:rFonts w:ascii="Times New Roman" w:hAnsi="Times New Roman" w:cs="Times New Roman"/>
          <w:sz w:val="24"/>
          <w:szCs w:val="24"/>
        </w:rPr>
        <w:t>, S. (2024).</w:t>
      </w:r>
      <w:r>
        <w:rPr>
          <w:sz w:val="24"/>
          <w:szCs w:val="24"/>
        </w:rPr>
        <w:t xml:space="preserve"> </w:t>
      </w:r>
      <w:r>
        <w:rPr>
          <w:rFonts w:ascii="Times New Roman" w:hAnsi="Times New Roman" w:cs="Times New Roman"/>
          <w:sz w:val="24"/>
          <w:szCs w:val="24"/>
        </w:rPr>
        <w:t xml:space="preserve">The influence of academic motivation on the academic performance of senior secondary grade students (A study based on Tamil medium schools in the Colombo south education zone, in Sri Lanka). </w:t>
      </w:r>
      <w:r>
        <w:rPr>
          <w:rFonts w:ascii="Times New Roman" w:hAnsi="Times New Roman" w:cs="Times New Roman"/>
          <w:i/>
          <w:color w:val="222222"/>
          <w:sz w:val="24"/>
          <w:szCs w:val="24"/>
          <w:shd w:val="clear" w:color="auto" w:fill="FFFFFF"/>
        </w:rPr>
        <w:t xml:space="preserve">International Journal of Research and Innovation in Social Science (IJRISS), </w:t>
      </w:r>
      <w:r>
        <w:rPr>
          <w:rFonts w:ascii="Times New Roman" w:hAnsi="Times New Roman" w:cs="Times New Roman"/>
          <w:color w:val="222222"/>
          <w:sz w:val="24"/>
          <w:szCs w:val="24"/>
          <w:shd w:val="clear" w:color="auto" w:fill="FFFFFF"/>
        </w:rPr>
        <w:t xml:space="preserve">viii (xii), </w:t>
      </w:r>
      <w:r>
        <w:rPr>
          <w:rFonts w:ascii="Times New Roman" w:hAnsi="Times New Roman" w:cs="Times New Roman"/>
          <w:sz w:val="24"/>
          <w:szCs w:val="24"/>
        </w:rPr>
        <w:t>3748 - 3752</w:t>
      </w:r>
      <w:r>
        <w:rPr>
          <w:rFonts w:ascii="Times New Roman" w:hAnsi="Times New Roman" w:cs="Times New Roman"/>
          <w:color w:val="222222"/>
          <w:sz w:val="24"/>
          <w:szCs w:val="24"/>
          <w:shd w:val="clear" w:color="auto" w:fill="FFFFFF"/>
        </w:rPr>
        <w:t>.  https://dx.doi.org/10.47772/IJRISS.2024.8120312</w:t>
      </w:r>
    </w:p>
    <w:p w14:paraId="706B7EF4" w14:textId="77777777" w:rsidR="0061682C" w:rsidRPr="00DE5CAF" w:rsidRDefault="0061682C" w:rsidP="00376AB5">
      <w:pPr>
        <w:spacing w:line="360" w:lineRule="auto"/>
        <w:ind w:left="567" w:hanging="567"/>
        <w:jc w:val="both"/>
        <w:rPr>
          <w:rFonts w:ascii="Times New Roman" w:hAnsi="Times New Roman" w:cs="Times New Roman"/>
          <w:i/>
          <w:color w:val="000000"/>
          <w:sz w:val="24"/>
        </w:rPr>
      </w:pPr>
      <w:r w:rsidRPr="00DE5CAF">
        <w:rPr>
          <w:rFonts w:ascii="Times New Roman" w:hAnsi="Times New Roman" w:cs="Times New Roman"/>
          <w:color w:val="000000"/>
          <w:sz w:val="24"/>
        </w:rPr>
        <w:t>Baldwin, B., Moffett, R.,</w:t>
      </w:r>
      <w:r w:rsidR="00C92D02" w:rsidRPr="00DE5CAF">
        <w:rPr>
          <w:rFonts w:ascii="Times New Roman" w:hAnsi="Times New Roman" w:cs="Times New Roman"/>
          <w:color w:val="000000"/>
          <w:sz w:val="24"/>
        </w:rPr>
        <w:t xml:space="preserve"> &amp;</w:t>
      </w:r>
      <w:r w:rsidRPr="00DE5CAF">
        <w:rPr>
          <w:rFonts w:ascii="Times New Roman" w:hAnsi="Times New Roman" w:cs="Times New Roman"/>
          <w:color w:val="000000"/>
          <w:sz w:val="24"/>
        </w:rPr>
        <w:t xml:space="preserve"> Lane, K. (1992). </w:t>
      </w:r>
      <w:r w:rsidRPr="00DE5CAF">
        <w:rPr>
          <w:rFonts w:ascii="Times New Roman" w:hAnsi="Times New Roman" w:cs="Times New Roman"/>
          <w:iCs/>
          <w:color w:val="000000"/>
          <w:sz w:val="24"/>
        </w:rPr>
        <w:t xml:space="preserve">The high school dropout: </w:t>
      </w:r>
      <w:proofErr w:type="spellStart"/>
      <w:r w:rsidRPr="00DE5CAF">
        <w:rPr>
          <w:rFonts w:ascii="Times New Roman" w:hAnsi="Times New Roman" w:cs="Times New Roman"/>
          <w:iCs/>
          <w:color w:val="000000"/>
          <w:sz w:val="24"/>
        </w:rPr>
        <w:t>Andecedents</w:t>
      </w:r>
      <w:proofErr w:type="spellEnd"/>
      <w:r w:rsidRPr="00DE5CAF">
        <w:rPr>
          <w:rFonts w:ascii="Times New Roman" w:hAnsi="Times New Roman" w:cs="Times New Roman"/>
          <w:iCs/>
          <w:color w:val="000000"/>
          <w:sz w:val="24"/>
        </w:rPr>
        <w:t>, social</w:t>
      </w:r>
      <w:r w:rsidRPr="00DE5CAF">
        <w:rPr>
          <w:rFonts w:ascii="Times New Roman" w:hAnsi="Times New Roman" w:cs="Times New Roman"/>
          <w:iCs/>
          <w:color w:val="000000"/>
          <w:sz w:val="24"/>
        </w:rPr>
        <w:br/>
        <w:t>consequences and alternatives.</w:t>
      </w:r>
      <w:r w:rsidRPr="00DE5CAF">
        <w:rPr>
          <w:rFonts w:ascii="Times New Roman" w:hAnsi="Times New Roman" w:cs="Times New Roman"/>
          <w:i/>
          <w:iCs/>
          <w:color w:val="000000"/>
          <w:sz w:val="24"/>
        </w:rPr>
        <w:t xml:space="preserve"> </w:t>
      </w:r>
      <w:r w:rsidRPr="00DE5CAF">
        <w:rPr>
          <w:rFonts w:ascii="Times New Roman" w:hAnsi="Times New Roman" w:cs="Times New Roman"/>
          <w:i/>
          <w:color w:val="000000"/>
          <w:sz w:val="24"/>
        </w:rPr>
        <w:t>Journal of school leadership.</w:t>
      </w:r>
    </w:p>
    <w:p w14:paraId="66F247DB" w14:textId="77777777" w:rsidR="000A3093" w:rsidRPr="00DE5CAF" w:rsidRDefault="000A3093" w:rsidP="00376AB5">
      <w:pPr>
        <w:spacing w:line="360" w:lineRule="auto"/>
        <w:ind w:left="567" w:hanging="567"/>
        <w:jc w:val="both"/>
        <w:rPr>
          <w:rFonts w:ascii="Times New Roman" w:hAnsi="Times New Roman" w:cs="Times New Roman"/>
          <w:color w:val="000000"/>
          <w:sz w:val="24"/>
        </w:rPr>
      </w:pPr>
      <w:r w:rsidRPr="00DE5CAF">
        <w:rPr>
          <w:rFonts w:ascii="Times New Roman" w:hAnsi="Times New Roman" w:cs="Times New Roman"/>
          <w:color w:val="000000"/>
          <w:sz w:val="24"/>
        </w:rPr>
        <w:t>Begum, Z. (2007).</w:t>
      </w:r>
      <w:r w:rsidR="00C92D02" w:rsidRPr="00DE5CAF">
        <w:rPr>
          <w:rFonts w:ascii="Times New Roman" w:hAnsi="Times New Roman" w:cs="Times New Roman"/>
          <w:color w:val="000000"/>
          <w:sz w:val="24"/>
        </w:rPr>
        <w:t xml:space="preserve"> </w:t>
      </w:r>
      <w:r w:rsidRPr="00DE5CAF">
        <w:rPr>
          <w:rFonts w:ascii="Times New Roman" w:hAnsi="Times New Roman" w:cs="Times New Roman"/>
          <w:iCs/>
          <w:color w:val="000000"/>
          <w:sz w:val="24"/>
        </w:rPr>
        <w:t>Socioeconomic Status of Girls Students and their drop-</w:t>
      </w:r>
      <w:proofErr w:type="spellStart"/>
      <w:r w:rsidRPr="00DE5CAF">
        <w:rPr>
          <w:rFonts w:ascii="Times New Roman" w:hAnsi="Times New Roman" w:cs="Times New Roman"/>
          <w:iCs/>
          <w:color w:val="000000"/>
          <w:sz w:val="24"/>
        </w:rPr>
        <w:t>outrate</w:t>
      </w:r>
      <w:proofErr w:type="spellEnd"/>
      <w:r w:rsidRPr="00DE5CAF">
        <w:rPr>
          <w:rFonts w:ascii="Times New Roman" w:hAnsi="Times New Roman" w:cs="Times New Roman"/>
          <w:iCs/>
          <w:color w:val="000000"/>
          <w:sz w:val="24"/>
        </w:rPr>
        <w:t xml:space="preserve"> at primary level in </w:t>
      </w:r>
      <w:proofErr w:type="spellStart"/>
      <w:r w:rsidRPr="00DE5CAF">
        <w:rPr>
          <w:rFonts w:ascii="Times New Roman" w:hAnsi="Times New Roman" w:cs="Times New Roman"/>
          <w:iCs/>
          <w:color w:val="000000"/>
          <w:sz w:val="24"/>
        </w:rPr>
        <w:t>Kohat</w:t>
      </w:r>
      <w:proofErr w:type="spellEnd"/>
      <w:r w:rsidRPr="00DE5CAF">
        <w:rPr>
          <w:rFonts w:ascii="Times New Roman" w:hAnsi="Times New Roman" w:cs="Times New Roman"/>
          <w:iCs/>
          <w:color w:val="000000"/>
          <w:sz w:val="24"/>
        </w:rPr>
        <w:t xml:space="preserve"> Pakistan</w:t>
      </w:r>
      <w:r w:rsidRPr="00DE5CAF">
        <w:rPr>
          <w:rFonts w:ascii="Times New Roman" w:hAnsi="Times New Roman" w:cs="Times New Roman"/>
          <w:color w:val="000000"/>
          <w:sz w:val="24"/>
        </w:rPr>
        <w:t xml:space="preserve">. </w:t>
      </w:r>
      <w:r w:rsidR="00C92D02" w:rsidRPr="00DE5CAF">
        <w:rPr>
          <w:rFonts w:ascii="Times New Roman" w:hAnsi="Times New Roman" w:cs="Times New Roman"/>
          <w:color w:val="000000"/>
          <w:sz w:val="24"/>
        </w:rPr>
        <w:t xml:space="preserve">Retrieved </w:t>
      </w:r>
      <w:proofErr w:type="gramStart"/>
      <w:r w:rsidR="00C92D02" w:rsidRPr="00DE5CAF">
        <w:rPr>
          <w:rFonts w:ascii="Times New Roman" w:hAnsi="Times New Roman" w:cs="Times New Roman"/>
          <w:color w:val="000000"/>
          <w:sz w:val="24"/>
        </w:rPr>
        <w:t>from .</w:t>
      </w:r>
      <w:proofErr w:type="gramEnd"/>
      <w:r w:rsidR="00F66D52" w:rsidRPr="00DE5CAF">
        <w:fldChar w:fldCharType="begin"/>
      </w:r>
      <w:r w:rsidR="00F66D52" w:rsidRPr="00DE5CAF">
        <w:rPr>
          <w:rFonts w:ascii="Times New Roman" w:hAnsi="Times New Roman" w:cs="Times New Roman"/>
          <w:sz w:val="24"/>
        </w:rPr>
        <w:instrText xml:space="preserve"> HYPERLINK "http://www.springerlink.com" </w:instrText>
      </w:r>
      <w:r w:rsidR="00F66D52" w:rsidRPr="00DE5CAF">
        <w:fldChar w:fldCharType="separate"/>
      </w:r>
      <w:r w:rsidRPr="00DE5CAF">
        <w:rPr>
          <w:rStyle w:val="Hyperlink"/>
          <w:rFonts w:ascii="Times New Roman" w:hAnsi="Times New Roman" w:cs="Times New Roman"/>
          <w:sz w:val="24"/>
        </w:rPr>
        <w:t>http://www.springerlink.com</w:t>
      </w:r>
      <w:r w:rsidR="00F66D52" w:rsidRPr="00DE5CAF">
        <w:rPr>
          <w:rStyle w:val="Hyperlink"/>
          <w:rFonts w:ascii="Times New Roman" w:hAnsi="Times New Roman" w:cs="Times New Roman"/>
          <w:sz w:val="24"/>
        </w:rPr>
        <w:fldChar w:fldCharType="end"/>
      </w:r>
    </w:p>
    <w:p w14:paraId="77BB8814" w14:textId="77777777" w:rsidR="0061682C" w:rsidRPr="00DE5CAF" w:rsidRDefault="0061682C" w:rsidP="00DE5CAF">
      <w:pPr>
        <w:spacing w:line="360" w:lineRule="auto"/>
        <w:ind w:left="630" w:hanging="630"/>
        <w:jc w:val="both"/>
        <w:rPr>
          <w:rFonts w:ascii="Times New Roman" w:hAnsi="Times New Roman" w:cs="Times New Roman"/>
          <w:color w:val="000000"/>
          <w:sz w:val="24"/>
        </w:rPr>
      </w:pPr>
      <w:r w:rsidRPr="00DE5CAF">
        <w:rPr>
          <w:rFonts w:ascii="Times New Roman" w:hAnsi="Times New Roman" w:cs="Times New Roman"/>
          <w:color w:val="000000"/>
          <w:sz w:val="24"/>
        </w:rPr>
        <w:t xml:space="preserve">Curtis, S. (1968). </w:t>
      </w:r>
      <w:r w:rsidRPr="00DE5CAF">
        <w:rPr>
          <w:rFonts w:ascii="Times New Roman" w:hAnsi="Times New Roman" w:cs="Times New Roman"/>
          <w:i/>
          <w:iCs/>
          <w:color w:val="000000"/>
          <w:sz w:val="24"/>
        </w:rPr>
        <w:t xml:space="preserve">An Introduction to the Philosophy of Education, </w:t>
      </w:r>
      <w:r w:rsidRPr="00DE5CAF">
        <w:rPr>
          <w:rFonts w:ascii="Times New Roman" w:hAnsi="Times New Roman" w:cs="Times New Roman"/>
          <w:color w:val="000000"/>
          <w:sz w:val="24"/>
        </w:rPr>
        <w:t xml:space="preserve">London: </w:t>
      </w:r>
      <w:proofErr w:type="spellStart"/>
      <w:r w:rsidRPr="00DE5CAF">
        <w:rPr>
          <w:rFonts w:ascii="Times New Roman" w:hAnsi="Times New Roman" w:cs="Times New Roman"/>
          <w:color w:val="000000"/>
          <w:sz w:val="24"/>
        </w:rPr>
        <w:t>UniversityTutorial</w:t>
      </w:r>
      <w:proofErr w:type="spellEnd"/>
      <w:r w:rsidRPr="00DE5CAF">
        <w:rPr>
          <w:rFonts w:ascii="Times New Roman" w:hAnsi="Times New Roman" w:cs="Times New Roman"/>
          <w:color w:val="000000"/>
          <w:sz w:val="24"/>
        </w:rPr>
        <w:t xml:space="preserve"> Press</w:t>
      </w:r>
      <w:r w:rsidR="00376AB5" w:rsidRPr="00DE5CAF">
        <w:rPr>
          <w:rFonts w:ascii="Times New Roman" w:hAnsi="Times New Roman" w:cs="Times New Roman"/>
          <w:color w:val="000000"/>
          <w:sz w:val="24"/>
        </w:rPr>
        <w:t>.</w:t>
      </w:r>
    </w:p>
    <w:p w14:paraId="70605A34" w14:textId="77777777" w:rsidR="0061682C" w:rsidRPr="00DE5CAF" w:rsidRDefault="0061682C"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Dalal</w:t>
      </w:r>
      <w:proofErr w:type="spellEnd"/>
      <w:r w:rsidRPr="00DE5CAF">
        <w:rPr>
          <w:rFonts w:ascii="Times New Roman" w:hAnsi="Times New Roman" w:cs="Times New Roman"/>
          <w:color w:val="000000"/>
          <w:sz w:val="24"/>
        </w:rPr>
        <w:t xml:space="preserve">, N. (2015). Liberal feminist perspective in education. </w:t>
      </w:r>
      <w:proofErr w:type="spellStart"/>
      <w:r w:rsidRPr="00DE5CAF">
        <w:rPr>
          <w:rFonts w:ascii="Times New Roman" w:hAnsi="Times New Roman" w:cs="Times New Roman"/>
          <w:i/>
          <w:iCs/>
          <w:color w:val="000000"/>
          <w:sz w:val="24"/>
        </w:rPr>
        <w:t>InternationalJournal</w:t>
      </w:r>
      <w:proofErr w:type="spellEnd"/>
      <w:r w:rsidRPr="00DE5CAF">
        <w:rPr>
          <w:rFonts w:ascii="Times New Roman" w:hAnsi="Times New Roman" w:cs="Times New Roman"/>
          <w:i/>
          <w:iCs/>
          <w:color w:val="000000"/>
          <w:sz w:val="24"/>
        </w:rPr>
        <w:t xml:space="preserve"> of </w:t>
      </w:r>
      <w:proofErr w:type="spellStart"/>
      <w:r w:rsidRPr="00DE5CAF">
        <w:rPr>
          <w:rFonts w:ascii="Times New Roman" w:hAnsi="Times New Roman" w:cs="Times New Roman"/>
          <w:i/>
          <w:iCs/>
          <w:color w:val="000000"/>
          <w:sz w:val="24"/>
        </w:rPr>
        <w:t>Multidicilpinary</w:t>
      </w:r>
      <w:proofErr w:type="spellEnd"/>
      <w:r w:rsidRPr="00DE5CAF">
        <w:rPr>
          <w:rFonts w:ascii="Times New Roman" w:hAnsi="Times New Roman" w:cs="Times New Roman"/>
          <w:i/>
          <w:iCs/>
          <w:color w:val="000000"/>
          <w:sz w:val="24"/>
        </w:rPr>
        <w:t xml:space="preserve"> Education research</w:t>
      </w:r>
      <w:r w:rsidRPr="00DE5CAF">
        <w:rPr>
          <w:rFonts w:ascii="Times New Roman" w:hAnsi="Times New Roman" w:cs="Times New Roman"/>
          <w:color w:val="000000"/>
          <w:sz w:val="24"/>
        </w:rPr>
        <w:t>. Vol. 4, Issue 1(2).</w:t>
      </w:r>
    </w:p>
    <w:p w14:paraId="3B716F4F" w14:textId="462E0C68" w:rsidR="000A3093" w:rsidRPr="00DE5CAF" w:rsidRDefault="0061682C"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Dakwa</w:t>
      </w:r>
      <w:proofErr w:type="spellEnd"/>
      <w:r w:rsidRPr="00DE5CAF">
        <w:rPr>
          <w:rFonts w:ascii="Times New Roman" w:hAnsi="Times New Roman" w:cs="Times New Roman"/>
          <w:color w:val="000000"/>
          <w:sz w:val="24"/>
        </w:rPr>
        <w:t xml:space="preserve">, E.F, </w:t>
      </w:r>
      <w:proofErr w:type="spellStart"/>
      <w:r w:rsidRPr="00DE5CAF">
        <w:rPr>
          <w:rFonts w:ascii="Times New Roman" w:hAnsi="Times New Roman" w:cs="Times New Roman"/>
          <w:color w:val="000000"/>
          <w:sz w:val="24"/>
        </w:rPr>
        <w:t>Chiome</w:t>
      </w:r>
      <w:proofErr w:type="spellEnd"/>
      <w:r w:rsidRPr="00DE5CAF">
        <w:rPr>
          <w:rFonts w:ascii="Times New Roman" w:hAnsi="Times New Roman" w:cs="Times New Roman"/>
          <w:color w:val="000000"/>
          <w:sz w:val="24"/>
        </w:rPr>
        <w:t xml:space="preserve">, C. &amp; </w:t>
      </w:r>
      <w:proofErr w:type="spellStart"/>
      <w:r w:rsidRPr="00DE5CAF">
        <w:rPr>
          <w:rFonts w:ascii="Times New Roman" w:hAnsi="Times New Roman" w:cs="Times New Roman"/>
          <w:color w:val="000000"/>
          <w:sz w:val="24"/>
        </w:rPr>
        <w:t>Chabaya</w:t>
      </w:r>
      <w:proofErr w:type="spellEnd"/>
      <w:r w:rsidRPr="00DE5CAF">
        <w:rPr>
          <w:rFonts w:ascii="Times New Roman" w:hAnsi="Times New Roman" w:cs="Times New Roman"/>
          <w:color w:val="000000"/>
          <w:sz w:val="24"/>
        </w:rPr>
        <w:t xml:space="preserve">, R.A. (2014). </w:t>
      </w:r>
      <w:r w:rsidRPr="00DE5CAF">
        <w:rPr>
          <w:rFonts w:ascii="Times New Roman" w:hAnsi="Times New Roman" w:cs="Times New Roman"/>
          <w:iCs/>
          <w:color w:val="000000"/>
          <w:sz w:val="24"/>
        </w:rPr>
        <w:t xml:space="preserve">Poverty-Related causes </w:t>
      </w:r>
      <w:proofErr w:type="spellStart"/>
      <w:r w:rsidRPr="00DE5CAF">
        <w:rPr>
          <w:rFonts w:ascii="Times New Roman" w:hAnsi="Times New Roman" w:cs="Times New Roman"/>
          <w:iCs/>
          <w:color w:val="000000"/>
          <w:sz w:val="24"/>
        </w:rPr>
        <w:t>ofSchool</w:t>
      </w:r>
      <w:proofErr w:type="spellEnd"/>
      <w:r w:rsidRPr="00DE5CAF">
        <w:rPr>
          <w:rFonts w:ascii="Times New Roman" w:hAnsi="Times New Roman" w:cs="Times New Roman"/>
          <w:iCs/>
          <w:color w:val="000000"/>
          <w:sz w:val="24"/>
        </w:rPr>
        <w:t xml:space="preserve"> Dropout-Dilemma of the Girl Child in Rural Zimbabwe</w:t>
      </w:r>
      <w:r w:rsidRPr="00DE5CAF">
        <w:rPr>
          <w:rFonts w:ascii="Times New Roman" w:hAnsi="Times New Roman" w:cs="Times New Roman"/>
          <w:i/>
          <w:iCs/>
          <w:color w:val="000000"/>
          <w:sz w:val="24"/>
        </w:rPr>
        <w:t>.</w:t>
      </w:r>
      <w:r w:rsidR="00376AB5" w:rsidRPr="00DE5CAF">
        <w:rPr>
          <w:rFonts w:ascii="Times New Roman" w:hAnsi="Times New Roman" w:cs="Times New Roman"/>
          <w:i/>
          <w:iCs/>
          <w:color w:val="000000"/>
          <w:sz w:val="24"/>
        </w:rPr>
        <w:t xml:space="preserve"> </w:t>
      </w:r>
      <w:r w:rsidRPr="00DE5CAF">
        <w:rPr>
          <w:rFonts w:ascii="Times New Roman" w:hAnsi="Times New Roman" w:cs="Times New Roman"/>
          <w:i/>
          <w:color w:val="000000"/>
          <w:sz w:val="24"/>
        </w:rPr>
        <w:t xml:space="preserve">International Journal of Academic Research in Progressive </w:t>
      </w:r>
      <w:proofErr w:type="spellStart"/>
      <w:r w:rsidRPr="00DE5CAF">
        <w:rPr>
          <w:rFonts w:ascii="Times New Roman" w:hAnsi="Times New Roman" w:cs="Times New Roman"/>
          <w:i/>
          <w:color w:val="000000"/>
          <w:sz w:val="24"/>
        </w:rPr>
        <w:t>Educationand</w:t>
      </w:r>
      <w:proofErr w:type="spellEnd"/>
      <w:r w:rsidRPr="00DE5CAF">
        <w:rPr>
          <w:rFonts w:ascii="Times New Roman" w:hAnsi="Times New Roman" w:cs="Times New Roman"/>
          <w:i/>
          <w:color w:val="000000"/>
          <w:sz w:val="24"/>
        </w:rPr>
        <w:t xml:space="preserve"> Development January 2014, Vol. 3, No.1.</w:t>
      </w:r>
    </w:p>
    <w:p w14:paraId="09C7EB44" w14:textId="77777777" w:rsidR="009E42E9" w:rsidRPr="00DE5CAF" w:rsidRDefault="009E42E9" w:rsidP="00376AB5">
      <w:pPr>
        <w:spacing w:line="360" w:lineRule="auto"/>
        <w:ind w:left="567" w:hanging="567"/>
        <w:jc w:val="both"/>
        <w:rPr>
          <w:rFonts w:ascii="Times New Roman" w:hAnsi="Times New Roman" w:cs="Times New Roman"/>
          <w:color w:val="000000"/>
          <w:sz w:val="24"/>
        </w:rPr>
      </w:pPr>
      <w:proofErr w:type="spellStart"/>
      <w:r w:rsidRPr="00DE5CAF">
        <w:rPr>
          <w:rFonts w:ascii="Times New Roman" w:hAnsi="Times New Roman" w:cs="Times New Roman"/>
          <w:color w:val="000000"/>
          <w:sz w:val="24"/>
        </w:rPr>
        <w:t>Janodaya</w:t>
      </w:r>
      <w:proofErr w:type="spellEnd"/>
      <w:r w:rsidRPr="00DE5CAF">
        <w:rPr>
          <w:rFonts w:ascii="Times New Roman" w:hAnsi="Times New Roman" w:cs="Times New Roman"/>
          <w:color w:val="000000"/>
          <w:sz w:val="24"/>
        </w:rPr>
        <w:t xml:space="preserve"> </w:t>
      </w:r>
      <w:proofErr w:type="spellStart"/>
      <w:r w:rsidRPr="00DE5CAF">
        <w:rPr>
          <w:rFonts w:ascii="Times New Roman" w:hAnsi="Times New Roman" w:cs="Times New Roman"/>
          <w:color w:val="000000"/>
          <w:sz w:val="24"/>
        </w:rPr>
        <w:t>Sajeewana</w:t>
      </w:r>
      <w:proofErr w:type="spellEnd"/>
      <w:r w:rsidRPr="00DE5CAF">
        <w:rPr>
          <w:rFonts w:ascii="Times New Roman" w:hAnsi="Times New Roman" w:cs="Times New Roman"/>
          <w:color w:val="000000"/>
          <w:sz w:val="24"/>
        </w:rPr>
        <w:t xml:space="preserve"> </w:t>
      </w:r>
      <w:proofErr w:type="spellStart"/>
      <w:r w:rsidRPr="00DE5CAF">
        <w:rPr>
          <w:rFonts w:ascii="Times New Roman" w:hAnsi="Times New Roman" w:cs="Times New Roman"/>
          <w:color w:val="000000"/>
          <w:sz w:val="24"/>
        </w:rPr>
        <w:t>Kendraya</w:t>
      </w:r>
      <w:proofErr w:type="spellEnd"/>
      <w:r w:rsidRPr="00DE5CAF">
        <w:rPr>
          <w:rFonts w:ascii="Times New Roman" w:hAnsi="Times New Roman" w:cs="Times New Roman"/>
          <w:color w:val="000000"/>
          <w:sz w:val="24"/>
        </w:rPr>
        <w:t xml:space="preserve">. (2003). </w:t>
      </w:r>
      <w:r w:rsidRPr="00DE5CAF">
        <w:rPr>
          <w:rFonts w:ascii="Times New Roman" w:hAnsi="Times New Roman" w:cs="Times New Roman"/>
          <w:i/>
          <w:iCs/>
          <w:color w:val="000000"/>
          <w:sz w:val="24"/>
        </w:rPr>
        <w:t xml:space="preserve">Education on Child Rights in </w:t>
      </w:r>
      <w:proofErr w:type="spellStart"/>
      <w:r w:rsidRPr="00DE5CAF">
        <w:rPr>
          <w:rFonts w:ascii="Times New Roman" w:hAnsi="Times New Roman" w:cs="Times New Roman"/>
          <w:i/>
          <w:iCs/>
          <w:color w:val="000000"/>
          <w:sz w:val="24"/>
        </w:rPr>
        <w:t>SriLanka</w:t>
      </w:r>
      <w:proofErr w:type="spellEnd"/>
      <w:r w:rsidRPr="00DE5CAF">
        <w:rPr>
          <w:rFonts w:ascii="Times New Roman" w:hAnsi="Times New Roman" w:cs="Times New Roman"/>
          <w:i/>
          <w:iCs/>
          <w:color w:val="000000"/>
          <w:sz w:val="24"/>
        </w:rPr>
        <w:t>. Human</w:t>
      </w:r>
      <w:r w:rsidRPr="00DE5CAF">
        <w:rPr>
          <w:rFonts w:ascii="Times New Roman" w:hAnsi="Times New Roman" w:cs="Times New Roman"/>
          <w:i/>
          <w:iCs/>
          <w:color w:val="000000"/>
          <w:sz w:val="24"/>
        </w:rPr>
        <w:br/>
        <w:t xml:space="preserve">rights education in Asian schools volume </w:t>
      </w:r>
      <w:proofErr w:type="gramStart"/>
      <w:r w:rsidRPr="00DE5CAF">
        <w:rPr>
          <w:rFonts w:ascii="Times New Roman" w:hAnsi="Times New Roman" w:cs="Times New Roman"/>
          <w:i/>
          <w:iCs/>
          <w:color w:val="000000"/>
          <w:sz w:val="24"/>
        </w:rPr>
        <w:t>vi</w:t>
      </w:r>
      <w:proofErr w:type="gramEnd"/>
      <w:r w:rsidRPr="00DE5CAF">
        <w:rPr>
          <w:rFonts w:ascii="Times New Roman" w:hAnsi="Times New Roman" w:cs="Times New Roman"/>
          <w:i/>
          <w:iCs/>
          <w:color w:val="000000"/>
          <w:sz w:val="24"/>
        </w:rPr>
        <w:t xml:space="preserve">. </w:t>
      </w:r>
      <w:r w:rsidRPr="00DE5CAF">
        <w:rPr>
          <w:rFonts w:ascii="Times New Roman" w:hAnsi="Times New Roman" w:cs="Times New Roman"/>
          <w:color w:val="000000"/>
          <w:sz w:val="24"/>
        </w:rPr>
        <w:t>Asia-pacific human rights information centre.</w:t>
      </w:r>
    </w:p>
    <w:p w14:paraId="6517F118" w14:textId="77777777" w:rsidR="004462F2" w:rsidRPr="00DE5CAF" w:rsidRDefault="004462F2" w:rsidP="004462F2">
      <w:pPr>
        <w:spacing w:line="360" w:lineRule="auto"/>
        <w:ind w:left="630" w:hanging="630"/>
        <w:jc w:val="both"/>
        <w:rPr>
          <w:rFonts w:ascii="Times New Roman" w:hAnsi="Times New Roman" w:cs="Times New Roman"/>
          <w:i/>
          <w:color w:val="222222"/>
          <w:sz w:val="28"/>
          <w:szCs w:val="24"/>
          <w:shd w:val="clear" w:color="auto" w:fill="FFFFFF"/>
        </w:rPr>
      </w:pPr>
      <w:proofErr w:type="spellStart"/>
      <w:r>
        <w:rPr>
          <w:rFonts w:ascii="Times New Roman" w:hAnsi="Times New Roman" w:cs="Times New Roman"/>
          <w:sz w:val="24"/>
        </w:rPr>
        <w:lastRenderedPageBreak/>
        <w:t>Kirubalan</w:t>
      </w:r>
      <w:proofErr w:type="spellEnd"/>
      <w:r>
        <w:rPr>
          <w:rFonts w:ascii="Times New Roman" w:hAnsi="Times New Roman" w:cs="Times New Roman"/>
          <w:sz w:val="24"/>
        </w:rPr>
        <w:t xml:space="preserve">, T. </w:t>
      </w:r>
      <w:r>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(2026). </w:t>
      </w:r>
      <w:r>
        <w:rPr>
          <w:rFonts w:ascii="Times New Roman" w:hAnsi="Times New Roman" w:cs="Times New Roman"/>
          <w:sz w:val="24"/>
        </w:rPr>
        <w:t>Teachers' Effectiveness in Using Innovative Teaching Methods in Classroom Teaching</w:t>
      </w:r>
      <w:r>
        <w:rPr>
          <w:rFonts w:ascii="Times New Roman" w:hAnsi="Times New Roman" w:cs="Times New Roman"/>
          <w:color w:val="222222"/>
          <w:sz w:val="24"/>
          <w:szCs w:val="24"/>
          <w:shd w:val="clear" w:color="auto" w:fill="FFFFFF"/>
        </w:rPr>
        <w:t xml:space="preserve">. </w:t>
      </w:r>
      <w:r>
        <w:rPr>
          <w:rFonts w:ascii="Times New Roman" w:hAnsi="Times New Roman" w:cs="Times New Roman"/>
          <w:i/>
          <w:sz w:val="24"/>
        </w:rPr>
        <w:t xml:space="preserve">INTERNATIONAL JOURNAL OF RESEARCH AND </w:t>
      </w:r>
      <w:r>
        <w:rPr>
          <w:rFonts w:ascii="Times New Roman" w:hAnsi="Times New Roman" w:cs="Times New Roman"/>
          <w:i/>
          <w:sz w:val="24"/>
          <w:szCs w:val="24"/>
        </w:rPr>
        <w:t>SCIENTIFIC INNOVATION (IJRSI)</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xiii (i), 2125 – 2132.  </w:t>
      </w:r>
      <w:r>
        <w:rPr>
          <w:rStyle w:val="Hyperlink"/>
          <w:rFonts w:ascii="Times New Roman" w:hAnsi="Times New Roman" w:cs="Times New Roman"/>
          <w:b/>
          <w:bCs/>
          <w:color w:val="1DA1F2"/>
          <w:spacing w:val="1"/>
          <w:sz w:val="24"/>
          <w:szCs w:val="24"/>
        </w:rPr>
        <w:t xml:space="preserve">  </w:t>
      </w:r>
      <w:r>
        <w:rPr>
          <w:rStyle w:val="Hyperlink"/>
          <w:rFonts w:ascii="Times New Roman" w:hAnsi="Times New Roman" w:cs="Times New Roman"/>
          <w:i/>
          <w:color w:val="222222"/>
          <w:sz w:val="24"/>
          <w:szCs w:val="24"/>
          <w:u w:val="none"/>
          <w:shd w:val="clear" w:color="auto" w:fill="FFFFFF"/>
        </w:rPr>
        <w:t>https://doi.org/10.51244/IJRSI.2026.13010188</w:t>
      </w:r>
    </w:p>
    <w:p w14:paraId="1EA27CE9" w14:textId="77777777" w:rsidR="004462F2" w:rsidRDefault="004462F2" w:rsidP="004462F2">
      <w:pPr>
        <w:spacing w:line="360" w:lineRule="auto"/>
        <w:ind w:left="630" w:hanging="63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szCs w:val="24"/>
        </w:rPr>
        <w:t>Luxmanathasan</w:t>
      </w:r>
      <w:proofErr w:type="spellEnd"/>
      <w:r>
        <w:rPr>
          <w:rFonts w:ascii="Times New Roman" w:hAnsi="Times New Roman" w:cs="Times New Roman"/>
          <w:sz w:val="24"/>
          <w:szCs w:val="24"/>
        </w:rPr>
        <w:t>, J.</w:t>
      </w:r>
      <w:r>
        <w:rPr>
          <w:rFonts w:ascii="Times New Roman" w:hAnsi="Times New Roman" w:cs="Times New Roman"/>
          <w:b/>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(2026). </w:t>
      </w:r>
      <w:r>
        <w:rPr>
          <w:rFonts w:ascii="Times New Roman" w:hAnsi="Times New Roman" w:cs="Times New Roman"/>
          <w:sz w:val="24"/>
          <w:szCs w:val="24"/>
        </w:rPr>
        <w:t>Factors Influencing the Learning of Senior Secondary Students Separated from Their Parents.</w:t>
      </w:r>
      <w:r>
        <w:rPr>
          <w:rFonts w:ascii="Times New Roman" w:hAnsi="Times New Roman" w:cs="Times New Roman"/>
          <w:b/>
          <w:sz w:val="24"/>
          <w:szCs w:val="24"/>
        </w:rPr>
        <w:t xml:space="preserve"> </w:t>
      </w:r>
      <w:r>
        <w:rPr>
          <w:rFonts w:ascii="Times New Roman" w:hAnsi="Times New Roman" w:cs="Times New Roman"/>
          <w:i/>
          <w:sz w:val="24"/>
          <w:szCs w:val="24"/>
        </w:rPr>
        <w:t>INTERNATIONAL JOURNAL OF RESEARCH AND SCIENTIFIC INNOVATION (IJRSI)</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xiii (i), 2407 – 2411. </w:t>
      </w:r>
      <w:r>
        <w:rPr>
          <w:rStyle w:val="Hyperlink"/>
          <w:rFonts w:ascii="Times New Roman" w:hAnsi="Times New Roman" w:cs="Times New Roman"/>
          <w:b/>
          <w:bCs/>
          <w:color w:val="1DA1F2"/>
          <w:spacing w:val="1"/>
          <w:sz w:val="24"/>
          <w:szCs w:val="24"/>
        </w:rPr>
        <w:t xml:space="preserve">  </w:t>
      </w:r>
      <w:r>
        <w:rPr>
          <w:rFonts w:ascii="Times New Roman" w:hAnsi="Times New Roman" w:cs="Times New Roman"/>
          <w:i/>
          <w:color w:val="222222"/>
          <w:sz w:val="24"/>
          <w:szCs w:val="24"/>
          <w:shd w:val="clear" w:color="auto" w:fill="FFFFFF"/>
        </w:rPr>
        <w:t>https://doi.org/10.51244/IJRSI.2026.13010211</w:t>
      </w:r>
    </w:p>
    <w:p w14:paraId="1E1D4CCC" w14:textId="58C7D97B" w:rsidR="004462F2" w:rsidRDefault="004462F2" w:rsidP="004462F2">
      <w:pPr>
        <w:spacing w:line="360" w:lineRule="auto"/>
        <w:ind w:left="630" w:hanging="630"/>
        <w:jc w:val="both"/>
        <w:rPr>
          <w:rFonts w:ascii="Times New Roman" w:hAnsi="Times New Roman" w:cs="Times New Roman"/>
          <w:color w:val="222222"/>
          <w:sz w:val="24"/>
          <w:szCs w:val="24"/>
          <w:shd w:val="clear" w:color="auto" w:fill="FFFFFF"/>
        </w:rPr>
      </w:pPr>
      <w:proofErr w:type="spellStart"/>
      <w:r w:rsidRPr="00320F64">
        <w:rPr>
          <w:rFonts w:ascii="Times New Roman" w:hAnsi="Times New Roman" w:cs="Times New Roman"/>
          <w:sz w:val="24"/>
        </w:rPr>
        <w:t>Sivananthan</w:t>
      </w:r>
      <w:proofErr w:type="spellEnd"/>
      <w:r w:rsidRPr="00320F64">
        <w:rPr>
          <w:rFonts w:ascii="Times New Roman" w:hAnsi="Times New Roman" w:cs="Times New Roman"/>
          <w:sz w:val="24"/>
        </w:rPr>
        <w:t xml:space="preserve">, P. (2021). Contribution of parents on students’ academic achievement. </w:t>
      </w:r>
      <w:r w:rsidRPr="00320F64">
        <w:rPr>
          <w:rFonts w:ascii="Times New Roman" w:hAnsi="Times New Roman" w:cs="Times New Roman"/>
          <w:i/>
          <w:sz w:val="24"/>
        </w:rPr>
        <w:t xml:space="preserve">Proceedings of the 1 </w:t>
      </w:r>
      <w:proofErr w:type="spellStart"/>
      <w:r w:rsidRPr="00320F64">
        <w:rPr>
          <w:rFonts w:ascii="Times New Roman" w:hAnsi="Times New Roman" w:cs="Times New Roman"/>
          <w:i/>
          <w:sz w:val="24"/>
        </w:rPr>
        <w:t>st</w:t>
      </w:r>
      <w:proofErr w:type="spellEnd"/>
      <w:r w:rsidRPr="00320F64">
        <w:rPr>
          <w:rFonts w:ascii="Times New Roman" w:hAnsi="Times New Roman" w:cs="Times New Roman"/>
          <w:i/>
          <w:sz w:val="24"/>
        </w:rPr>
        <w:t xml:space="preserve"> International Research Symposium, 2021 – Faculty of Education, University of Colombo.</w:t>
      </w:r>
      <w:r w:rsidRPr="00320F64">
        <w:rPr>
          <w:rFonts w:ascii="Times New Roman" w:hAnsi="Times New Roman" w:cs="Times New Roman"/>
          <w:sz w:val="24"/>
        </w:rPr>
        <w:t xml:space="preserve"> 341 – 347. </w:t>
      </w:r>
      <w:r w:rsidRPr="00320F64">
        <w:rPr>
          <w:rFonts w:ascii="Times New Roman" w:hAnsi="Times New Roman" w:cs="Times New Roman"/>
          <w:color w:val="0070C0"/>
          <w:sz w:val="24"/>
          <w:u w:val="single"/>
        </w:rPr>
        <w:t>https://edu.cmb.ac.lk/wp-content/uploads/2022/04/Proceedings-IRS-2021.pdf#page=384</w:t>
      </w:r>
    </w:p>
    <w:p w14:paraId="3D32783A" w14:textId="20BAE222" w:rsidR="00DE5CAF" w:rsidRPr="004462F2" w:rsidRDefault="00114DBA" w:rsidP="004462F2">
      <w:pPr>
        <w:spacing w:line="360" w:lineRule="auto"/>
        <w:ind w:left="540" w:hanging="540"/>
        <w:jc w:val="both"/>
      </w:pPr>
      <w:proofErr w:type="spellStart"/>
      <w:r>
        <w:rPr>
          <w:rFonts w:ascii="Times New Roman" w:hAnsi="Times New Roman" w:cs="Times New Roman"/>
          <w:color w:val="222222"/>
          <w:sz w:val="24"/>
          <w:szCs w:val="24"/>
          <w:shd w:val="clear" w:color="auto" w:fill="FFFFFF"/>
        </w:rPr>
        <w:t>Sivananthan</w:t>
      </w:r>
      <w:proofErr w:type="spellEnd"/>
      <w:r>
        <w:rPr>
          <w:rFonts w:ascii="Times New Roman" w:hAnsi="Times New Roman" w:cs="Times New Roman"/>
          <w:color w:val="222222"/>
          <w:sz w:val="24"/>
          <w:szCs w:val="24"/>
          <w:shd w:val="clear" w:color="auto" w:fill="FFFFFF"/>
        </w:rPr>
        <w:t xml:space="preserve">, P., &amp; </w:t>
      </w:r>
      <w:proofErr w:type="spellStart"/>
      <w:r>
        <w:rPr>
          <w:rFonts w:ascii="Times New Roman" w:hAnsi="Times New Roman" w:cs="Times New Roman"/>
          <w:color w:val="222222"/>
          <w:sz w:val="24"/>
          <w:szCs w:val="24"/>
          <w:shd w:val="clear" w:color="auto" w:fill="FFFFFF"/>
        </w:rPr>
        <w:t>Wedikandage</w:t>
      </w:r>
      <w:proofErr w:type="spellEnd"/>
      <w:r>
        <w:rPr>
          <w:rFonts w:ascii="Times New Roman" w:hAnsi="Times New Roman" w:cs="Times New Roman"/>
          <w:color w:val="222222"/>
          <w:sz w:val="24"/>
          <w:szCs w:val="24"/>
          <w:shd w:val="clear" w:color="auto" w:fill="FFFFFF"/>
        </w:rPr>
        <w:t xml:space="preserve">, L., (2023). The Impact of Community Contribution on the Academic Achievement of Students. </w:t>
      </w:r>
      <w:r>
        <w:rPr>
          <w:rFonts w:ascii="Times New Roman" w:hAnsi="Times New Roman" w:cs="Times New Roman"/>
          <w:i/>
          <w:color w:val="222222"/>
          <w:sz w:val="24"/>
          <w:szCs w:val="24"/>
          <w:shd w:val="clear" w:color="auto" w:fill="FFFFFF"/>
        </w:rPr>
        <w:t xml:space="preserve">International Journal of Research and Innovation in Social Science (IJRISS), </w:t>
      </w:r>
      <w:r>
        <w:rPr>
          <w:rFonts w:ascii="Times New Roman" w:hAnsi="Times New Roman" w:cs="Times New Roman"/>
          <w:color w:val="222222"/>
          <w:sz w:val="24"/>
          <w:szCs w:val="24"/>
          <w:shd w:val="clear" w:color="auto" w:fill="FFFFFF"/>
        </w:rPr>
        <w:t xml:space="preserve">vii(x), 2392 – 2397. Retrieved from: </w:t>
      </w:r>
      <w:hyperlink r:id="rId8" w:history="1">
        <w:r>
          <w:rPr>
            <w:rStyle w:val="Hyperlink"/>
            <w:rFonts w:ascii="Times New Roman" w:hAnsi="Times New Roman" w:cs="Times New Roman"/>
            <w:b/>
            <w:bCs/>
            <w:color w:val="1DA1F2"/>
            <w:spacing w:val="1"/>
            <w:sz w:val="24"/>
            <w:szCs w:val="24"/>
          </w:rPr>
          <w:t>https://dx.doi.org/10.47772/IJRISS.2023.701179</w:t>
        </w:r>
      </w:hyperlink>
    </w:p>
    <w:p w14:paraId="6ECE82ED" w14:textId="3E957E82" w:rsidR="00DE5CAF" w:rsidRPr="00DE5CAF" w:rsidRDefault="00DE5CAF" w:rsidP="00DE5CAF">
      <w:pPr>
        <w:spacing w:line="360" w:lineRule="auto"/>
        <w:jc w:val="both"/>
        <w:rPr>
          <w:rFonts w:ascii="Times New Roman" w:hAnsi="Times New Roman" w:cs="Times New Roman"/>
          <w:color w:val="000000"/>
          <w:sz w:val="24"/>
        </w:rPr>
      </w:pPr>
      <w:r w:rsidRPr="00DE5CAF">
        <w:rPr>
          <w:rFonts w:ascii="Times New Roman" w:hAnsi="Times New Roman" w:cs="Times New Roman"/>
          <w:sz w:val="24"/>
        </w:rPr>
        <w:t>UNICEF - Out-of-School Children Report (2022).</w:t>
      </w:r>
    </w:p>
    <w:p w14:paraId="7D2425E3" w14:textId="77777777" w:rsidR="00DE5CAF" w:rsidRPr="00320F64" w:rsidRDefault="00DE5CAF" w:rsidP="00352967">
      <w:pPr>
        <w:spacing w:line="360" w:lineRule="auto"/>
        <w:jc w:val="both"/>
        <w:rPr>
          <w:rFonts w:ascii="Times New Roman" w:hAnsi="Times New Roman" w:cs="Times New Roman"/>
          <w:color w:val="0070C0"/>
          <w:sz w:val="28"/>
          <w:szCs w:val="24"/>
          <w:u w:val="single"/>
        </w:rPr>
      </w:pPr>
    </w:p>
    <w:sectPr w:rsidR="00DE5CAF" w:rsidRPr="00320F64" w:rsidSect="00376AB5">
      <w:footerReference w:type="default" r:id="rId9"/>
      <w:pgSz w:w="11906" w:h="16838"/>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38019" w14:textId="77777777" w:rsidR="00AC587C" w:rsidRDefault="00AC587C" w:rsidP="00C13158">
      <w:pPr>
        <w:spacing w:after="0" w:line="240" w:lineRule="auto"/>
      </w:pPr>
      <w:r>
        <w:separator/>
      </w:r>
    </w:p>
  </w:endnote>
  <w:endnote w:type="continuationSeparator" w:id="0">
    <w:p w14:paraId="19705EAC" w14:textId="77777777" w:rsidR="00AC587C" w:rsidRDefault="00AC587C" w:rsidP="00C1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Kalaham">
    <w:charset w:val="00"/>
    <w:family w:val="auto"/>
    <w:pitch w:val="variable"/>
    <w:sig w:usb0="00000003" w:usb1="00000000" w:usb2="00000000" w:usb3="00000000" w:csb0="00000001" w:csb1="00000000"/>
  </w:font>
  <w:font w:name="Bamin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451411"/>
      <w:docPartObj>
        <w:docPartGallery w:val="Page Numbers (Bottom of Page)"/>
        <w:docPartUnique/>
      </w:docPartObj>
    </w:sdtPr>
    <w:sdtEndPr>
      <w:rPr>
        <w:noProof/>
      </w:rPr>
    </w:sdtEndPr>
    <w:sdtContent>
      <w:p w14:paraId="2DEEB603" w14:textId="0E126047" w:rsidR="00703800" w:rsidRDefault="00703800">
        <w:pPr>
          <w:pStyle w:val="Footer"/>
          <w:jc w:val="center"/>
        </w:pPr>
        <w:r>
          <w:fldChar w:fldCharType="begin"/>
        </w:r>
        <w:r>
          <w:instrText xml:space="preserve"> PAGE   \* MERGEFORMAT </w:instrText>
        </w:r>
        <w:r>
          <w:fldChar w:fldCharType="separate"/>
        </w:r>
        <w:r w:rsidR="00714E95">
          <w:rPr>
            <w:noProof/>
          </w:rPr>
          <w:t>8</w:t>
        </w:r>
        <w:r>
          <w:rPr>
            <w:noProof/>
          </w:rPr>
          <w:fldChar w:fldCharType="end"/>
        </w:r>
      </w:p>
    </w:sdtContent>
  </w:sdt>
  <w:p w14:paraId="4D471494" w14:textId="77777777" w:rsidR="00703800" w:rsidRDefault="00703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CB60B" w14:textId="77777777" w:rsidR="00AC587C" w:rsidRDefault="00AC587C" w:rsidP="00C13158">
      <w:pPr>
        <w:spacing w:after="0" w:line="240" w:lineRule="auto"/>
      </w:pPr>
      <w:r>
        <w:separator/>
      </w:r>
    </w:p>
  </w:footnote>
  <w:footnote w:type="continuationSeparator" w:id="0">
    <w:p w14:paraId="7C855725" w14:textId="77777777" w:rsidR="00AC587C" w:rsidRDefault="00AC587C" w:rsidP="00C13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E86"/>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504C"/>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A54E8"/>
    <w:multiLevelType w:val="hybridMultilevel"/>
    <w:tmpl w:val="B282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B410AC"/>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2F7A"/>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024C5"/>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9371F"/>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48BB"/>
    <w:multiLevelType w:val="hybridMultilevel"/>
    <w:tmpl w:val="08087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175DE"/>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4532F"/>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D31FD"/>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E44FB"/>
    <w:multiLevelType w:val="hybridMultilevel"/>
    <w:tmpl w:val="46885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170A0B"/>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C597B"/>
    <w:multiLevelType w:val="hybridMultilevel"/>
    <w:tmpl w:val="FB20B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AD587C"/>
    <w:multiLevelType w:val="hybridMultilevel"/>
    <w:tmpl w:val="949C9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06855"/>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420EF"/>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83AA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DA34F0"/>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D70E04"/>
    <w:multiLevelType w:val="hybridMultilevel"/>
    <w:tmpl w:val="A23A2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00606"/>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04CE0"/>
    <w:multiLevelType w:val="hybridMultilevel"/>
    <w:tmpl w:val="17600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084658"/>
    <w:multiLevelType w:val="hybridMultilevel"/>
    <w:tmpl w:val="B3B250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609E4896"/>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245DC"/>
    <w:multiLevelType w:val="hybridMultilevel"/>
    <w:tmpl w:val="9D86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7689A"/>
    <w:multiLevelType w:val="hybridMultilevel"/>
    <w:tmpl w:val="84C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513C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67421D"/>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C0A8A"/>
    <w:multiLevelType w:val="hybridMultilevel"/>
    <w:tmpl w:val="D66C6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C84B47"/>
    <w:multiLevelType w:val="hybridMultilevel"/>
    <w:tmpl w:val="3CB0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24B7C"/>
    <w:multiLevelType w:val="hybridMultilevel"/>
    <w:tmpl w:val="2F0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52D66"/>
    <w:multiLevelType w:val="hybridMultilevel"/>
    <w:tmpl w:val="64C0B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1"/>
  </w:num>
  <w:num w:numId="3">
    <w:abstractNumId w:val="2"/>
  </w:num>
  <w:num w:numId="4">
    <w:abstractNumId w:val="11"/>
  </w:num>
  <w:num w:numId="5">
    <w:abstractNumId w:val="28"/>
  </w:num>
  <w:num w:numId="6">
    <w:abstractNumId w:val="13"/>
  </w:num>
  <w:num w:numId="7">
    <w:abstractNumId w:val="24"/>
  </w:num>
  <w:num w:numId="8">
    <w:abstractNumId w:val="14"/>
  </w:num>
  <w:num w:numId="9">
    <w:abstractNumId w:val="7"/>
  </w:num>
  <w:num w:numId="10">
    <w:abstractNumId w:val="29"/>
  </w:num>
  <w:num w:numId="11">
    <w:abstractNumId w:val="19"/>
  </w:num>
  <w:num w:numId="12">
    <w:abstractNumId w:val="22"/>
  </w:num>
  <w:num w:numId="13">
    <w:abstractNumId w:val="17"/>
  </w:num>
  <w:num w:numId="14">
    <w:abstractNumId w:val="12"/>
  </w:num>
  <w:num w:numId="15">
    <w:abstractNumId w:val="0"/>
  </w:num>
  <w:num w:numId="16">
    <w:abstractNumId w:val="16"/>
  </w:num>
  <w:num w:numId="17">
    <w:abstractNumId w:val="30"/>
  </w:num>
  <w:num w:numId="18">
    <w:abstractNumId w:val="8"/>
  </w:num>
  <w:num w:numId="19">
    <w:abstractNumId w:val="27"/>
  </w:num>
  <w:num w:numId="20">
    <w:abstractNumId w:val="26"/>
  </w:num>
  <w:num w:numId="21">
    <w:abstractNumId w:val="15"/>
  </w:num>
  <w:num w:numId="22">
    <w:abstractNumId w:val="10"/>
  </w:num>
  <w:num w:numId="23">
    <w:abstractNumId w:val="9"/>
  </w:num>
  <w:num w:numId="24">
    <w:abstractNumId w:val="20"/>
  </w:num>
  <w:num w:numId="25">
    <w:abstractNumId w:val="23"/>
  </w:num>
  <w:num w:numId="26">
    <w:abstractNumId w:val="25"/>
  </w:num>
  <w:num w:numId="27">
    <w:abstractNumId w:val="4"/>
  </w:num>
  <w:num w:numId="28">
    <w:abstractNumId w:val="1"/>
  </w:num>
  <w:num w:numId="29">
    <w:abstractNumId w:val="6"/>
  </w:num>
  <w:num w:numId="30">
    <w:abstractNumId w:val="5"/>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24"/>
    <w:rsid w:val="00000AF6"/>
    <w:rsid w:val="00002564"/>
    <w:rsid w:val="00002CD3"/>
    <w:rsid w:val="00006E8C"/>
    <w:rsid w:val="00013478"/>
    <w:rsid w:val="00022C46"/>
    <w:rsid w:val="0002459E"/>
    <w:rsid w:val="000253D5"/>
    <w:rsid w:val="00025EE4"/>
    <w:rsid w:val="000320D1"/>
    <w:rsid w:val="00041022"/>
    <w:rsid w:val="00045BD8"/>
    <w:rsid w:val="0005190A"/>
    <w:rsid w:val="0005686A"/>
    <w:rsid w:val="000604F9"/>
    <w:rsid w:val="00075759"/>
    <w:rsid w:val="00092D14"/>
    <w:rsid w:val="00094C25"/>
    <w:rsid w:val="00095322"/>
    <w:rsid w:val="00096141"/>
    <w:rsid w:val="000A13C1"/>
    <w:rsid w:val="000A3093"/>
    <w:rsid w:val="000A7FB6"/>
    <w:rsid w:val="000B44E2"/>
    <w:rsid w:val="000B4E4C"/>
    <w:rsid w:val="000B571D"/>
    <w:rsid w:val="000D0FB3"/>
    <w:rsid w:val="000D1EFE"/>
    <w:rsid w:val="000D3E5A"/>
    <w:rsid w:val="000D467D"/>
    <w:rsid w:val="000E03EB"/>
    <w:rsid w:val="000F03DA"/>
    <w:rsid w:val="000F43F2"/>
    <w:rsid w:val="000F4A9E"/>
    <w:rsid w:val="00100D1B"/>
    <w:rsid w:val="00104DF1"/>
    <w:rsid w:val="00105779"/>
    <w:rsid w:val="001073C1"/>
    <w:rsid w:val="00114482"/>
    <w:rsid w:val="00114DBA"/>
    <w:rsid w:val="0012215C"/>
    <w:rsid w:val="00131663"/>
    <w:rsid w:val="0013254C"/>
    <w:rsid w:val="00143A88"/>
    <w:rsid w:val="00145D0F"/>
    <w:rsid w:val="00150B88"/>
    <w:rsid w:val="00152B33"/>
    <w:rsid w:val="00152B34"/>
    <w:rsid w:val="00165068"/>
    <w:rsid w:val="00187356"/>
    <w:rsid w:val="00190223"/>
    <w:rsid w:val="001A5F33"/>
    <w:rsid w:val="001A5F76"/>
    <w:rsid w:val="001B69B2"/>
    <w:rsid w:val="001C3943"/>
    <w:rsid w:val="001C7895"/>
    <w:rsid w:val="001D6029"/>
    <w:rsid w:val="001E05FB"/>
    <w:rsid w:val="001E17C5"/>
    <w:rsid w:val="001E182C"/>
    <w:rsid w:val="001E50EB"/>
    <w:rsid w:val="001E5E24"/>
    <w:rsid w:val="001E7027"/>
    <w:rsid w:val="001F673C"/>
    <w:rsid w:val="0020049E"/>
    <w:rsid w:val="002024DC"/>
    <w:rsid w:val="00204EA9"/>
    <w:rsid w:val="002101C8"/>
    <w:rsid w:val="0021353F"/>
    <w:rsid w:val="00213849"/>
    <w:rsid w:val="002153DE"/>
    <w:rsid w:val="00215815"/>
    <w:rsid w:val="002204B2"/>
    <w:rsid w:val="00227F6C"/>
    <w:rsid w:val="00235AC5"/>
    <w:rsid w:val="00240937"/>
    <w:rsid w:val="0024168F"/>
    <w:rsid w:val="002430FF"/>
    <w:rsid w:val="00254904"/>
    <w:rsid w:val="00273197"/>
    <w:rsid w:val="00287513"/>
    <w:rsid w:val="00292248"/>
    <w:rsid w:val="00294F38"/>
    <w:rsid w:val="002A07CC"/>
    <w:rsid w:val="002A2E24"/>
    <w:rsid w:val="002B0826"/>
    <w:rsid w:val="002B14C7"/>
    <w:rsid w:val="002B1AE9"/>
    <w:rsid w:val="002B55F0"/>
    <w:rsid w:val="002B608F"/>
    <w:rsid w:val="002C3CAD"/>
    <w:rsid w:val="002F0132"/>
    <w:rsid w:val="002F02B5"/>
    <w:rsid w:val="002F1F59"/>
    <w:rsid w:val="002F2DDD"/>
    <w:rsid w:val="002F4E73"/>
    <w:rsid w:val="002F6CC5"/>
    <w:rsid w:val="002F6CED"/>
    <w:rsid w:val="003127CF"/>
    <w:rsid w:val="00316B67"/>
    <w:rsid w:val="00320F64"/>
    <w:rsid w:val="0033146A"/>
    <w:rsid w:val="00345EE4"/>
    <w:rsid w:val="00347121"/>
    <w:rsid w:val="00352967"/>
    <w:rsid w:val="00353AEF"/>
    <w:rsid w:val="003548FD"/>
    <w:rsid w:val="003611E6"/>
    <w:rsid w:val="003641BD"/>
    <w:rsid w:val="00364742"/>
    <w:rsid w:val="0037353F"/>
    <w:rsid w:val="00376AB5"/>
    <w:rsid w:val="00390324"/>
    <w:rsid w:val="0039046E"/>
    <w:rsid w:val="003A42DD"/>
    <w:rsid w:val="003B0826"/>
    <w:rsid w:val="003B3DDF"/>
    <w:rsid w:val="003B430C"/>
    <w:rsid w:val="003B4838"/>
    <w:rsid w:val="003B4B3E"/>
    <w:rsid w:val="003B522B"/>
    <w:rsid w:val="003B71B3"/>
    <w:rsid w:val="003C0A34"/>
    <w:rsid w:val="003C638B"/>
    <w:rsid w:val="003C657F"/>
    <w:rsid w:val="003D66C7"/>
    <w:rsid w:val="003E0E3A"/>
    <w:rsid w:val="003F422B"/>
    <w:rsid w:val="0040269A"/>
    <w:rsid w:val="00402BB6"/>
    <w:rsid w:val="00403256"/>
    <w:rsid w:val="00406079"/>
    <w:rsid w:val="004117D6"/>
    <w:rsid w:val="00415E64"/>
    <w:rsid w:val="0042683A"/>
    <w:rsid w:val="00432915"/>
    <w:rsid w:val="004356D2"/>
    <w:rsid w:val="0043627B"/>
    <w:rsid w:val="00444557"/>
    <w:rsid w:val="004462F2"/>
    <w:rsid w:val="0044745D"/>
    <w:rsid w:val="00447900"/>
    <w:rsid w:val="0045030E"/>
    <w:rsid w:val="0045130F"/>
    <w:rsid w:val="0045261D"/>
    <w:rsid w:val="00465C0F"/>
    <w:rsid w:val="004732C4"/>
    <w:rsid w:val="00476BE4"/>
    <w:rsid w:val="00480005"/>
    <w:rsid w:val="00480078"/>
    <w:rsid w:val="00481254"/>
    <w:rsid w:val="00487C8F"/>
    <w:rsid w:val="004A7C74"/>
    <w:rsid w:val="004B44D5"/>
    <w:rsid w:val="004B6707"/>
    <w:rsid w:val="004C054F"/>
    <w:rsid w:val="004C37DD"/>
    <w:rsid w:val="004C487C"/>
    <w:rsid w:val="004C5375"/>
    <w:rsid w:val="004D15CA"/>
    <w:rsid w:val="004D65BA"/>
    <w:rsid w:val="004E4357"/>
    <w:rsid w:val="004F2421"/>
    <w:rsid w:val="004F4329"/>
    <w:rsid w:val="00504BB6"/>
    <w:rsid w:val="005058F6"/>
    <w:rsid w:val="00505928"/>
    <w:rsid w:val="00506617"/>
    <w:rsid w:val="00506DAA"/>
    <w:rsid w:val="00510A23"/>
    <w:rsid w:val="0051388A"/>
    <w:rsid w:val="00520E35"/>
    <w:rsid w:val="0053220F"/>
    <w:rsid w:val="00532505"/>
    <w:rsid w:val="00536754"/>
    <w:rsid w:val="00540F85"/>
    <w:rsid w:val="00540F88"/>
    <w:rsid w:val="005429C6"/>
    <w:rsid w:val="0054607B"/>
    <w:rsid w:val="0056175E"/>
    <w:rsid w:val="00580C06"/>
    <w:rsid w:val="0058147E"/>
    <w:rsid w:val="00591800"/>
    <w:rsid w:val="005A27ED"/>
    <w:rsid w:val="005B1254"/>
    <w:rsid w:val="005B26B1"/>
    <w:rsid w:val="005B41D6"/>
    <w:rsid w:val="005D5C9D"/>
    <w:rsid w:val="005D6116"/>
    <w:rsid w:val="005E6F96"/>
    <w:rsid w:val="005E78AE"/>
    <w:rsid w:val="005F0F06"/>
    <w:rsid w:val="005F547C"/>
    <w:rsid w:val="00615518"/>
    <w:rsid w:val="00615522"/>
    <w:rsid w:val="0061682C"/>
    <w:rsid w:val="006219DE"/>
    <w:rsid w:val="00622216"/>
    <w:rsid w:val="00624143"/>
    <w:rsid w:val="00627D22"/>
    <w:rsid w:val="006324D9"/>
    <w:rsid w:val="006435FF"/>
    <w:rsid w:val="00643649"/>
    <w:rsid w:val="00644EFE"/>
    <w:rsid w:val="006474C9"/>
    <w:rsid w:val="00650652"/>
    <w:rsid w:val="00652469"/>
    <w:rsid w:val="006554E6"/>
    <w:rsid w:val="0065765A"/>
    <w:rsid w:val="00657A93"/>
    <w:rsid w:val="00660DA1"/>
    <w:rsid w:val="0067612C"/>
    <w:rsid w:val="00677497"/>
    <w:rsid w:val="006852ED"/>
    <w:rsid w:val="00686BBF"/>
    <w:rsid w:val="00686CEA"/>
    <w:rsid w:val="00686DB0"/>
    <w:rsid w:val="006947EA"/>
    <w:rsid w:val="00694DA1"/>
    <w:rsid w:val="006A0F01"/>
    <w:rsid w:val="006A2AF4"/>
    <w:rsid w:val="006A3EA3"/>
    <w:rsid w:val="006A5CDC"/>
    <w:rsid w:val="006B4B62"/>
    <w:rsid w:val="006C2CA1"/>
    <w:rsid w:val="006C40E3"/>
    <w:rsid w:val="006C66E8"/>
    <w:rsid w:val="006C690F"/>
    <w:rsid w:val="006E2744"/>
    <w:rsid w:val="006E6412"/>
    <w:rsid w:val="006E7B43"/>
    <w:rsid w:val="006F117A"/>
    <w:rsid w:val="0070119E"/>
    <w:rsid w:val="00703800"/>
    <w:rsid w:val="00706B8A"/>
    <w:rsid w:val="0071403A"/>
    <w:rsid w:val="00714E95"/>
    <w:rsid w:val="00722A48"/>
    <w:rsid w:val="007321A4"/>
    <w:rsid w:val="00750832"/>
    <w:rsid w:val="00764EBD"/>
    <w:rsid w:val="00771767"/>
    <w:rsid w:val="00772EA5"/>
    <w:rsid w:val="00780236"/>
    <w:rsid w:val="007877FB"/>
    <w:rsid w:val="00791266"/>
    <w:rsid w:val="00793A7B"/>
    <w:rsid w:val="007A3637"/>
    <w:rsid w:val="007A525B"/>
    <w:rsid w:val="007A6B9E"/>
    <w:rsid w:val="007A7E00"/>
    <w:rsid w:val="007B0A3E"/>
    <w:rsid w:val="007B0C7C"/>
    <w:rsid w:val="007C035B"/>
    <w:rsid w:val="007C43C6"/>
    <w:rsid w:val="007C7FBC"/>
    <w:rsid w:val="007D4E32"/>
    <w:rsid w:val="007D78F4"/>
    <w:rsid w:val="007E2AA2"/>
    <w:rsid w:val="007E4717"/>
    <w:rsid w:val="007F65D4"/>
    <w:rsid w:val="007F7C02"/>
    <w:rsid w:val="008055B8"/>
    <w:rsid w:val="00806326"/>
    <w:rsid w:val="00807F75"/>
    <w:rsid w:val="00811D35"/>
    <w:rsid w:val="008179B0"/>
    <w:rsid w:val="00826193"/>
    <w:rsid w:val="00826784"/>
    <w:rsid w:val="0083072F"/>
    <w:rsid w:val="00831CE1"/>
    <w:rsid w:val="0083356E"/>
    <w:rsid w:val="00854388"/>
    <w:rsid w:val="00860C79"/>
    <w:rsid w:val="00870E09"/>
    <w:rsid w:val="00882C82"/>
    <w:rsid w:val="0088630E"/>
    <w:rsid w:val="00887447"/>
    <w:rsid w:val="008914EF"/>
    <w:rsid w:val="008947F9"/>
    <w:rsid w:val="008B1CCA"/>
    <w:rsid w:val="008B2A2A"/>
    <w:rsid w:val="008B67C8"/>
    <w:rsid w:val="008C5AFE"/>
    <w:rsid w:val="008D0E16"/>
    <w:rsid w:val="008D6622"/>
    <w:rsid w:val="008D73CC"/>
    <w:rsid w:val="008E1BFF"/>
    <w:rsid w:val="008E5EDE"/>
    <w:rsid w:val="008F07DA"/>
    <w:rsid w:val="008F080E"/>
    <w:rsid w:val="008F5964"/>
    <w:rsid w:val="008F659C"/>
    <w:rsid w:val="008F7838"/>
    <w:rsid w:val="0090010F"/>
    <w:rsid w:val="00900AD0"/>
    <w:rsid w:val="009064E6"/>
    <w:rsid w:val="0090681F"/>
    <w:rsid w:val="009153F8"/>
    <w:rsid w:val="00924F6E"/>
    <w:rsid w:val="00931A1A"/>
    <w:rsid w:val="009379DB"/>
    <w:rsid w:val="00937E43"/>
    <w:rsid w:val="00952679"/>
    <w:rsid w:val="00955C34"/>
    <w:rsid w:val="0096440A"/>
    <w:rsid w:val="009765F6"/>
    <w:rsid w:val="0098335F"/>
    <w:rsid w:val="00984194"/>
    <w:rsid w:val="00987A56"/>
    <w:rsid w:val="00993215"/>
    <w:rsid w:val="00996CAF"/>
    <w:rsid w:val="009A6B54"/>
    <w:rsid w:val="009C2913"/>
    <w:rsid w:val="009C30AB"/>
    <w:rsid w:val="009C3C41"/>
    <w:rsid w:val="009C72CE"/>
    <w:rsid w:val="009C7887"/>
    <w:rsid w:val="009D3361"/>
    <w:rsid w:val="009E23D0"/>
    <w:rsid w:val="009E2D79"/>
    <w:rsid w:val="009E3973"/>
    <w:rsid w:val="009E42E9"/>
    <w:rsid w:val="009E456F"/>
    <w:rsid w:val="009F2D72"/>
    <w:rsid w:val="00A1120E"/>
    <w:rsid w:val="00A159CE"/>
    <w:rsid w:val="00A16A7C"/>
    <w:rsid w:val="00A23CED"/>
    <w:rsid w:val="00A3546A"/>
    <w:rsid w:val="00A36AEE"/>
    <w:rsid w:val="00A412D1"/>
    <w:rsid w:val="00A4241E"/>
    <w:rsid w:val="00A50971"/>
    <w:rsid w:val="00A56154"/>
    <w:rsid w:val="00A60DC7"/>
    <w:rsid w:val="00A63AF8"/>
    <w:rsid w:val="00A6591C"/>
    <w:rsid w:val="00A70E24"/>
    <w:rsid w:val="00A77FA0"/>
    <w:rsid w:val="00A822FB"/>
    <w:rsid w:val="00A84658"/>
    <w:rsid w:val="00A93A24"/>
    <w:rsid w:val="00A93C80"/>
    <w:rsid w:val="00AA1507"/>
    <w:rsid w:val="00AB279B"/>
    <w:rsid w:val="00AB4B9A"/>
    <w:rsid w:val="00AB5900"/>
    <w:rsid w:val="00AC03EF"/>
    <w:rsid w:val="00AC151F"/>
    <w:rsid w:val="00AC2897"/>
    <w:rsid w:val="00AC587C"/>
    <w:rsid w:val="00AC6B6F"/>
    <w:rsid w:val="00AD52D9"/>
    <w:rsid w:val="00AD7F5D"/>
    <w:rsid w:val="00AE07F4"/>
    <w:rsid w:val="00AE22B0"/>
    <w:rsid w:val="00AE3BD4"/>
    <w:rsid w:val="00AF4BF9"/>
    <w:rsid w:val="00AF51CD"/>
    <w:rsid w:val="00B003EF"/>
    <w:rsid w:val="00B019E7"/>
    <w:rsid w:val="00B022A9"/>
    <w:rsid w:val="00B12926"/>
    <w:rsid w:val="00B206BB"/>
    <w:rsid w:val="00B21CAA"/>
    <w:rsid w:val="00B22B09"/>
    <w:rsid w:val="00B23186"/>
    <w:rsid w:val="00B26B26"/>
    <w:rsid w:val="00B34900"/>
    <w:rsid w:val="00B356EA"/>
    <w:rsid w:val="00B40266"/>
    <w:rsid w:val="00B41BAD"/>
    <w:rsid w:val="00B51F63"/>
    <w:rsid w:val="00B53DA6"/>
    <w:rsid w:val="00B55468"/>
    <w:rsid w:val="00B74825"/>
    <w:rsid w:val="00B83AD5"/>
    <w:rsid w:val="00B86313"/>
    <w:rsid w:val="00B86837"/>
    <w:rsid w:val="00B93C6F"/>
    <w:rsid w:val="00B95154"/>
    <w:rsid w:val="00BA0191"/>
    <w:rsid w:val="00BB6ECF"/>
    <w:rsid w:val="00BC3CC8"/>
    <w:rsid w:val="00BD63D2"/>
    <w:rsid w:val="00BD764C"/>
    <w:rsid w:val="00BE3D39"/>
    <w:rsid w:val="00BE62D4"/>
    <w:rsid w:val="00BE76BD"/>
    <w:rsid w:val="00BF2DE2"/>
    <w:rsid w:val="00BF3E55"/>
    <w:rsid w:val="00BF6E47"/>
    <w:rsid w:val="00C13158"/>
    <w:rsid w:val="00C13BEA"/>
    <w:rsid w:val="00C178DD"/>
    <w:rsid w:val="00C22BF7"/>
    <w:rsid w:val="00C31CC5"/>
    <w:rsid w:val="00C34504"/>
    <w:rsid w:val="00C374EF"/>
    <w:rsid w:val="00C41339"/>
    <w:rsid w:val="00C514BB"/>
    <w:rsid w:val="00C52BCC"/>
    <w:rsid w:val="00C5443A"/>
    <w:rsid w:val="00C57D43"/>
    <w:rsid w:val="00C64C72"/>
    <w:rsid w:val="00C65189"/>
    <w:rsid w:val="00C661E4"/>
    <w:rsid w:val="00C66FA4"/>
    <w:rsid w:val="00C872B1"/>
    <w:rsid w:val="00C92D02"/>
    <w:rsid w:val="00CA1DD2"/>
    <w:rsid w:val="00CA5FA8"/>
    <w:rsid w:val="00CB2E04"/>
    <w:rsid w:val="00CC5E31"/>
    <w:rsid w:val="00CC74F2"/>
    <w:rsid w:val="00CD214E"/>
    <w:rsid w:val="00CD44EE"/>
    <w:rsid w:val="00CD4BA0"/>
    <w:rsid w:val="00CE4BCE"/>
    <w:rsid w:val="00CE556E"/>
    <w:rsid w:val="00CE7F1D"/>
    <w:rsid w:val="00CF1FCF"/>
    <w:rsid w:val="00CF296E"/>
    <w:rsid w:val="00CF48C2"/>
    <w:rsid w:val="00CF4BA7"/>
    <w:rsid w:val="00CF5EB6"/>
    <w:rsid w:val="00D032F6"/>
    <w:rsid w:val="00D05C98"/>
    <w:rsid w:val="00D10964"/>
    <w:rsid w:val="00D2005A"/>
    <w:rsid w:val="00D27B38"/>
    <w:rsid w:val="00D30DDA"/>
    <w:rsid w:val="00D338F5"/>
    <w:rsid w:val="00D33A71"/>
    <w:rsid w:val="00D33E8C"/>
    <w:rsid w:val="00D37DB7"/>
    <w:rsid w:val="00D40DC6"/>
    <w:rsid w:val="00D42D4C"/>
    <w:rsid w:val="00D45FAC"/>
    <w:rsid w:val="00D5220D"/>
    <w:rsid w:val="00D53849"/>
    <w:rsid w:val="00D54052"/>
    <w:rsid w:val="00D62243"/>
    <w:rsid w:val="00D64734"/>
    <w:rsid w:val="00D67057"/>
    <w:rsid w:val="00D71EBE"/>
    <w:rsid w:val="00D738E7"/>
    <w:rsid w:val="00D83D12"/>
    <w:rsid w:val="00D95573"/>
    <w:rsid w:val="00D956C2"/>
    <w:rsid w:val="00D95B54"/>
    <w:rsid w:val="00DB33CE"/>
    <w:rsid w:val="00DB7D53"/>
    <w:rsid w:val="00DC52BE"/>
    <w:rsid w:val="00DC634B"/>
    <w:rsid w:val="00DD07C3"/>
    <w:rsid w:val="00DD4B3B"/>
    <w:rsid w:val="00DD57C9"/>
    <w:rsid w:val="00DD7CB4"/>
    <w:rsid w:val="00DD7DCC"/>
    <w:rsid w:val="00DE13A5"/>
    <w:rsid w:val="00DE5CAF"/>
    <w:rsid w:val="00DF7685"/>
    <w:rsid w:val="00E011EE"/>
    <w:rsid w:val="00E116A0"/>
    <w:rsid w:val="00E16F41"/>
    <w:rsid w:val="00E20552"/>
    <w:rsid w:val="00E22A1A"/>
    <w:rsid w:val="00E259F4"/>
    <w:rsid w:val="00E328BB"/>
    <w:rsid w:val="00E40A5A"/>
    <w:rsid w:val="00E4296F"/>
    <w:rsid w:val="00E5061A"/>
    <w:rsid w:val="00E60184"/>
    <w:rsid w:val="00E70F01"/>
    <w:rsid w:val="00E74DDE"/>
    <w:rsid w:val="00E77778"/>
    <w:rsid w:val="00E81292"/>
    <w:rsid w:val="00E85D5A"/>
    <w:rsid w:val="00E901FA"/>
    <w:rsid w:val="00E91883"/>
    <w:rsid w:val="00E95D21"/>
    <w:rsid w:val="00EB0299"/>
    <w:rsid w:val="00EB2C83"/>
    <w:rsid w:val="00EB4A75"/>
    <w:rsid w:val="00EB53E4"/>
    <w:rsid w:val="00EB608C"/>
    <w:rsid w:val="00EC118D"/>
    <w:rsid w:val="00EC30B4"/>
    <w:rsid w:val="00EC5D1F"/>
    <w:rsid w:val="00ED11E0"/>
    <w:rsid w:val="00ED22A1"/>
    <w:rsid w:val="00ED270F"/>
    <w:rsid w:val="00ED7829"/>
    <w:rsid w:val="00EE6C29"/>
    <w:rsid w:val="00EF68DB"/>
    <w:rsid w:val="00F011C8"/>
    <w:rsid w:val="00F0614A"/>
    <w:rsid w:val="00F10B8C"/>
    <w:rsid w:val="00F1171E"/>
    <w:rsid w:val="00F12C93"/>
    <w:rsid w:val="00F15CEC"/>
    <w:rsid w:val="00F24948"/>
    <w:rsid w:val="00F3482C"/>
    <w:rsid w:val="00F44AC8"/>
    <w:rsid w:val="00F45D27"/>
    <w:rsid w:val="00F477F3"/>
    <w:rsid w:val="00F52FB0"/>
    <w:rsid w:val="00F53264"/>
    <w:rsid w:val="00F54F09"/>
    <w:rsid w:val="00F579CB"/>
    <w:rsid w:val="00F66D52"/>
    <w:rsid w:val="00F76EE7"/>
    <w:rsid w:val="00F83BE4"/>
    <w:rsid w:val="00F874A7"/>
    <w:rsid w:val="00F93E03"/>
    <w:rsid w:val="00F97420"/>
    <w:rsid w:val="00FA4F18"/>
    <w:rsid w:val="00FA6C37"/>
    <w:rsid w:val="00FB01AE"/>
    <w:rsid w:val="00FB2216"/>
    <w:rsid w:val="00FB41C9"/>
    <w:rsid w:val="00FB4726"/>
    <w:rsid w:val="00FC042D"/>
    <w:rsid w:val="00FC094B"/>
    <w:rsid w:val="00FC5D59"/>
    <w:rsid w:val="00FE259A"/>
    <w:rsid w:val="00FE2ED2"/>
    <w:rsid w:val="00FE3EF2"/>
    <w:rsid w:val="00FE435C"/>
    <w:rsid w:val="00FE6B41"/>
  </w:rsids>
  <m:mathPr>
    <m:mathFont m:val="Cambria Math"/>
    <m:brkBin m:val="before"/>
    <m:brkBinSub m:val="--"/>
    <m:smallFrac/>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13"/>
    <w:rPr>
      <w:color w:val="0000FF" w:themeColor="hyperlink"/>
      <w:u w:val="single"/>
    </w:rPr>
  </w:style>
  <w:style w:type="paragraph" w:styleId="ListParagraph">
    <w:name w:val="List Paragraph"/>
    <w:basedOn w:val="Normal"/>
    <w:uiPriority w:val="34"/>
    <w:qFormat/>
    <w:rsid w:val="000A7FB6"/>
    <w:pPr>
      <w:ind w:left="720"/>
      <w:contextualSpacing/>
    </w:pPr>
  </w:style>
  <w:style w:type="character" w:customStyle="1" w:styleId="fontstyle01">
    <w:name w:val="fontstyle01"/>
    <w:basedOn w:val="DefaultParagraphFont"/>
    <w:rsid w:val="00831CE1"/>
    <w:rPr>
      <w:rFonts w:ascii="Kalaham" w:hAnsi="Kalaham" w:hint="default"/>
      <w:b w:val="0"/>
      <w:bCs w:val="0"/>
      <w:i w:val="0"/>
      <w:iCs w:val="0"/>
      <w:color w:val="000000"/>
      <w:sz w:val="24"/>
      <w:szCs w:val="24"/>
    </w:rPr>
  </w:style>
  <w:style w:type="character" w:customStyle="1" w:styleId="fontstyle21">
    <w:name w:val="fontstyle21"/>
    <w:basedOn w:val="DefaultParagraphFont"/>
    <w:rsid w:val="00831CE1"/>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34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158"/>
  </w:style>
  <w:style w:type="paragraph" w:styleId="Footer">
    <w:name w:val="footer"/>
    <w:basedOn w:val="Normal"/>
    <w:link w:val="FooterChar"/>
    <w:uiPriority w:val="99"/>
    <w:unhideWhenUsed/>
    <w:rsid w:val="00C13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158"/>
  </w:style>
  <w:style w:type="character" w:customStyle="1" w:styleId="fontstyle31">
    <w:name w:val="fontstyle31"/>
    <w:basedOn w:val="DefaultParagraphFont"/>
    <w:rsid w:val="00C13158"/>
    <w:rPr>
      <w:rFonts w:ascii="Times New Roman" w:hAnsi="Times New Roman" w:cs="Times New Roman" w:hint="default"/>
      <w:b/>
      <w:bCs/>
      <w:i w:val="0"/>
      <w:iCs w:val="0"/>
      <w:color w:val="000000"/>
      <w:sz w:val="24"/>
      <w:szCs w:val="24"/>
    </w:rPr>
  </w:style>
  <w:style w:type="character" w:customStyle="1" w:styleId="vkekvd">
    <w:name w:val="vkekvd"/>
    <w:basedOn w:val="DefaultParagraphFont"/>
    <w:rsid w:val="00F0614A"/>
  </w:style>
  <w:style w:type="paragraph" w:styleId="NoSpacing">
    <w:name w:val="No Spacing"/>
    <w:uiPriority w:val="1"/>
    <w:qFormat/>
    <w:rsid w:val="00722A48"/>
    <w:pPr>
      <w:spacing w:after="0" w:line="240" w:lineRule="auto"/>
    </w:pPr>
  </w:style>
  <w:style w:type="paragraph" w:styleId="NormalWeb">
    <w:name w:val="Normal (Web)"/>
    <w:basedOn w:val="Normal"/>
    <w:uiPriority w:val="99"/>
    <w:unhideWhenUsed/>
    <w:rsid w:val="00025E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5EE4"/>
    <w:rPr>
      <w:b/>
      <w:bCs/>
    </w:rPr>
  </w:style>
  <w:style w:type="character" w:styleId="FollowedHyperlink">
    <w:name w:val="FollowedHyperlink"/>
    <w:basedOn w:val="DefaultParagraphFont"/>
    <w:uiPriority w:val="99"/>
    <w:semiHidden/>
    <w:unhideWhenUsed/>
    <w:rsid w:val="004462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913"/>
    <w:rPr>
      <w:color w:val="0000FF" w:themeColor="hyperlink"/>
      <w:u w:val="single"/>
    </w:rPr>
  </w:style>
  <w:style w:type="paragraph" w:styleId="ListParagraph">
    <w:name w:val="List Paragraph"/>
    <w:basedOn w:val="Normal"/>
    <w:uiPriority w:val="34"/>
    <w:qFormat/>
    <w:rsid w:val="000A7FB6"/>
    <w:pPr>
      <w:ind w:left="720"/>
      <w:contextualSpacing/>
    </w:pPr>
  </w:style>
  <w:style w:type="character" w:customStyle="1" w:styleId="fontstyle01">
    <w:name w:val="fontstyle01"/>
    <w:basedOn w:val="DefaultParagraphFont"/>
    <w:rsid w:val="00831CE1"/>
    <w:rPr>
      <w:rFonts w:ascii="Kalaham" w:hAnsi="Kalaham" w:hint="default"/>
      <w:b w:val="0"/>
      <w:bCs w:val="0"/>
      <w:i w:val="0"/>
      <w:iCs w:val="0"/>
      <w:color w:val="000000"/>
      <w:sz w:val="24"/>
      <w:szCs w:val="24"/>
    </w:rPr>
  </w:style>
  <w:style w:type="character" w:customStyle="1" w:styleId="fontstyle21">
    <w:name w:val="fontstyle21"/>
    <w:basedOn w:val="DefaultParagraphFont"/>
    <w:rsid w:val="00831CE1"/>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34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158"/>
  </w:style>
  <w:style w:type="paragraph" w:styleId="Footer">
    <w:name w:val="footer"/>
    <w:basedOn w:val="Normal"/>
    <w:link w:val="FooterChar"/>
    <w:uiPriority w:val="99"/>
    <w:unhideWhenUsed/>
    <w:rsid w:val="00C13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158"/>
  </w:style>
  <w:style w:type="character" w:customStyle="1" w:styleId="fontstyle31">
    <w:name w:val="fontstyle31"/>
    <w:basedOn w:val="DefaultParagraphFont"/>
    <w:rsid w:val="00C13158"/>
    <w:rPr>
      <w:rFonts w:ascii="Times New Roman" w:hAnsi="Times New Roman" w:cs="Times New Roman" w:hint="default"/>
      <w:b/>
      <w:bCs/>
      <w:i w:val="0"/>
      <w:iCs w:val="0"/>
      <w:color w:val="000000"/>
      <w:sz w:val="24"/>
      <w:szCs w:val="24"/>
    </w:rPr>
  </w:style>
  <w:style w:type="character" w:customStyle="1" w:styleId="vkekvd">
    <w:name w:val="vkekvd"/>
    <w:basedOn w:val="DefaultParagraphFont"/>
    <w:rsid w:val="00F0614A"/>
  </w:style>
  <w:style w:type="paragraph" w:styleId="NoSpacing">
    <w:name w:val="No Spacing"/>
    <w:uiPriority w:val="1"/>
    <w:qFormat/>
    <w:rsid w:val="00722A48"/>
    <w:pPr>
      <w:spacing w:after="0" w:line="240" w:lineRule="auto"/>
    </w:pPr>
  </w:style>
  <w:style w:type="paragraph" w:styleId="NormalWeb">
    <w:name w:val="Normal (Web)"/>
    <w:basedOn w:val="Normal"/>
    <w:uiPriority w:val="99"/>
    <w:unhideWhenUsed/>
    <w:rsid w:val="00025E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5EE4"/>
    <w:rPr>
      <w:b/>
      <w:bCs/>
    </w:rPr>
  </w:style>
  <w:style w:type="character" w:styleId="FollowedHyperlink">
    <w:name w:val="FollowedHyperlink"/>
    <w:basedOn w:val="DefaultParagraphFont"/>
    <w:uiPriority w:val="99"/>
    <w:semiHidden/>
    <w:unhideWhenUsed/>
    <w:rsid w:val="00446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5912">
      <w:bodyDiv w:val="1"/>
      <w:marLeft w:val="0"/>
      <w:marRight w:val="0"/>
      <w:marTop w:val="0"/>
      <w:marBottom w:val="0"/>
      <w:divBdr>
        <w:top w:val="none" w:sz="0" w:space="0" w:color="auto"/>
        <w:left w:val="none" w:sz="0" w:space="0" w:color="auto"/>
        <w:bottom w:val="none" w:sz="0" w:space="0" w:color="auto"/>
        <w:right w:val="none" w:sz="0" w:space="0" w:color="auto"/>
      </w:divBdr>
    </w:div>
    <w:div w:id="281695547">
      <w:bodyDiv w:val="1"/>
      <w:marLeft w:val="0"/>
      <w:marRight w:val="0"/>
      <w:marTop w:val="0"/>
      <w:marBottom w:val="0"/>
      <w:divBdr>
        <w:top w:val="none" w:sz="0" w:space="0" w:color="auto"/>
        <w:left w:val="none" w:sz="0" w:space="0" w:color="auto"/>
        <w:bottom w:val="none" w:sz="0" w:space="0" w:color="auto"/>
        <w:right w:val="none" w:sz="0" w:space="0" w:color="auto"/>
      </w:divBdr>
    </w:div>
    <w:div w:id="324557233">
      <w:bodyDiv w:val="1"/>
      <w:marLeft w:val="0"/>
      <w:marRight w:val="0"/>
      <w:marTop w:val="0"/>
      <w:marBottom w:val="0"/>
      <w:divBdr>
        <w:top w:val="none" w:sz="0" w:space="0" w:color="auto"/>
        <w:left w:val="none" w:sz="0" w:space="0" w:color="auto"/>
        <w:bottom w:val="none" w:sz="0" w:space="0" w:color="auto"/>
        <w:right w:val="none" w:sz="0" w:space="0" w:color="auto"/>
      </w:divBdr>
    </w:div>
    <w:div w:id="500775223">
      <w:bodyDiv w:val="1"/>
      <w:marLeft w:val="0"/>
      <w:marRight w:val="0"/>
      <w:marTop w:val="0"/>
      <w:marBottom w:val="0"/>
      <w:divBdr>
        <w:top w:val="none" w:sz="0" w:space="0" w:color="auto"/>
        <w:left w:val="none" w:sz="0" w:space="0" w:color="auto"/>
        <w:bottom w:val="none" w:sz="0" w:space="0" w:color="auto"/>
        <w:right w:val="none" w:sz="0" w:space="0" w:color="auto"/>
      </w:divBdr>
    </w:div>
    <w:div w:id="516388154">
      <w:bodyDiv w:val="1"/>
      <w:marLeft w:val="0"/>
      <w:marRight w:val="0"/>
      <w:marTop w:val="0"/>
      <w:marBottom w:val="0"/>
      <w:divBdr>
        <w:top w:val="none" w:sz="0" w:space="0" w:color="auto"/>
        <w:left w:val="none" w:sz="0" w:space="0" w:color="auto"/>
        <w:bottom w:val="none" w:sz="0" w:space="0" w:color="auto"/>
        <w:right w:val="none" w:sz="0" w:space="0" w:color="auto"/>
      </w:divBdr>
    </w:div>
    <w:div w:id="517698888">
      <w:bodyDiv w:val="1"/>
      <w:marLeft w:val="0"/>
      <w:marRight w:val="0"/>
      <w:marTop w:val="0"/>
      <w:marBottom w:val="0"/>
      <w:divBdr>
        <w:top w:val="none" w:sz="0" w:space="0" w:color="auto"/>
        <w:left w:val="none" w:sz="0" w:space="0" w:color="auto"/>
        <w:bottom w:val="none" w:sz="0" w:space="0" w:color="auto"/>
        <w:right w:val="none" w:sz="0" w:space="0" w:color="auto"/>
      </w:divBdr>
    </w:div>
    <w:div w:id="792098948">
      <w:bodyDiv w:val="1"/>
      <w:marLeft w:val="0"/>
      <w:marRight w:val="0"/>
      <w:marTop w:val="0"/>
      <w:marBottom w:val="0"/>
      <w:divBdr>
        <w:top w:val="none" w:sz="0" w:space="0" w:color="auto"/>
        <w:left w:val="none" w:sz="0" w:space="0" w:color="auto"/>
        <w:bottom w:val="none" w:sz="0" w:space="0" w:color="auto"/>
        <w:right w:val="none" w:sz="0" w:space="0" w:color="auto"/>
      </w:divBdr>
    </w:div>
    <w:div w:id="1062216910">
      <w:bodyDiv w:val="1"/>
      <w:marLeft w:val="0"/>
      <w:marRight w:val="0"/>
      <w:marTop w:val="0"/>
      <w:marBottom w:val="0"/>
      <w:divBdr>
        <w:top w:val="none" w:sz="0" w:space="0" w:color="auto"/>
        <w:left w:val="none" w:sz="0" w:space="0" w:color="auto"/>
        <w:bottom w:val="none" w:sz="0" w:space="0" w:color="auto"/>
        <w:right w:val="none" w:sz="0" w:space="0" w:color="auto"/>
      </w:divBdr>
    </w:div>
    <w:div w:id="1479221254">
      <w:bodyDiv w:val="1"/>
      <w:marLeft w:val="0"/>
      <w:marRight w:val="0"/>
      <w:marTop w:val="0"/>
      <w:marBottom w:val="0"/>
      <w:divBdr>
        <w:top w:val="none" w:sz="0" w:space="0" w:color="auto"/>
        <w:left w:val="none" w:sz="0" w:space="0" w:color="auto"/>
        <w:bottom w:val="none" w:sz="0" w:space="0" w:color="auto"/>
        <w:right w:val="none" w:sz="0" w:space="0" w:color="auto"/>
      </w:divBdr>
    </w:div>
    <w:div w:id="1531794313">
      <w:bodyDiv w:val="1"/>
      <w:marLeft w:val="0"/>
      <w:marRight w:val="0"/>
      <w:marTop w:val="0"/>
      <w:marBottom w:val="0"/>
      <w:divBdr>
        <w:top w:val="none" w:sz="0" w:space="0" w:color="auto"/>
        <w:left w:val="none" w:sz="0" w:space="0" w:color="auto"/>
        <w:bottom w:val="none" w:sz="0" w:space="0" w:color="auto"/>
        <w:right w:val="none" w:sz="0" w:space="0" w:color="auto"/>
      </w:divBdr>
    </w:div>
    <w:div w:id="16675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7772/IJRISS.2023.7011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Ravidhas</dc:creator>
  <cp:lastModifiedBy>qwert</cp:lastModifiedBy>
  <cp:revision>4</cp:revision>
  <cp:lastPrinted>2026-02-24T13:30:00Z</cp:lastPrinted>
  <dcterms:created xsi:type="dcterms:W3CDTF">2026-02-27T14:52:00Z</dcterms:created>
  <dcterms:modified xsi:type="dcterms:W3CDTF">2026-02-28T09:19:00Z</dcterms:modified>
</cp:coreProperties>
</file>