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9620" w14:textId="77777777" w:rsidR="00621D06" w:rsidRPr="00621D06" w:rsidRDefault="00621D06" w:rsidP="00621D06">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en-IN"/>
        </w:rPr>
      </w:pPr>
      <w:r w:rsidRPr="00621D06">
        <w:rPr>
          <w:rFonts w:ascii="Times New Roman" w:eastAsia="Times New Roman" w:hAnsi="Times New Roman" w:cs="Times New Roman"/>
          <w:b/>
          <w:bCs/>
          <w:kern w:val="36"/>
          <w:sz w:val="28"/>
          <w:szCs w:val="28"/>
          <w:lang w:eastAsia="en-IN"/>
        </w:rPr>
        <w:t>SYNTHESIS, CHARACTERIZATION AND MOLECULAR DOCKING STUDY OF NOVEL CHALCONE DERIVATIVE</w:t>
      </w:r>
      <w:r w:rsidR="00B74BAB">
        <w:rPr>
          <w:rFonts w:ascii="Times New Roman" w:eastAsia="Times New Roman" w:hAnsi="Times New Roman" w:cs="Times New Roman"/>
          <w:b/>
          <w:bCs/>
          <w:kern w:val="36"/>
          <w:sz w:val="28"/>
          <w:szCs w:val="28"/>
          <w:lang w:eastAsia="en-IN"/>
        </w:rPr>
        <w:t xml:space="preserve"> </w:t>
      </w:r>
      <w:r w:rsidR="00C9169F">
        <w:rPr>
          <w:rFonts w:ascii="Times New Roman" w:eastAsia="Times New Roman" w:hAnsi="Times New Roman" w:cs="Times New Roman"/>
          <w:b/>
          <w:bCs/>
          <w:kern w:val="36"/>
          <w:sz w:val="28"/>
          <w:szCs w:val="28"/>
          <w:lang w:eastAsia="en-IN"/>
        </w:rPr>
        <w:t>AS POTENTIAL ANTICANCER AGENT</w:t>
      </w:r>
    </w:p>
    <w:p w14:paraId="6671C611" w14:textId="77777777" w:rsidR="00C9169F" w:rsidRPr="00621D06" w:rsidRDefault="00C9169F" w:rsidP="00621D06">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35C85EBB" w14:textId="77777777"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Abstract</w:t>
      </w:r>
    </w:p>
    <w:p w14:paraId="62E6FCA1" w14:textId="77777777" w:rsidR="00621D06" w:rsidRPr="00621D06" w:rsidRDefault="00621D06" w:rsidP="00742F53">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 xml:space="preserve">A series of novel chalcone derivatives were synthesized via Claisen–Schmidt condensation and evaluated through spectroscopic characterization and molecular docking studies. The synthesized compounds were characterized using Fourier Transform Infrared Spectroscopy (FT-IR), Proton Nuclear Magnetic Resonance (¹H NMR), </w:t>
      </w:r>
      <w:r w:rsidR="00742F53">
        <w:rPr>
          <w:rFonts w:ascii="Times New Roman" w:eastAsia="Times New Roman" w:hAnsi="Times New Roman" w:cs="Times New Roman"/>
          <w:sz w:val="24"/>
          <w:szCs w:val="24"/>
          <w:lang w:eastAsia="en-IN"/>
        </w:rPr>
        <w:t>and Mass</w:t>
      </w:r>
      <w:r w:rsidRPr="00621D06">
        <w:rPr>
          <w:rFonts w:ascii="Times New Roman" w:eastAsia="Times New Roman" w:hAnsi="Times New Roman" w:cs="Times New Roman"/>
          <w:sz w:val="24"/>
          <w:szCs w:val="24"/>
          <w:lang w:eastAsia="en-IN"/>
        </w:rPr>
        <w:t xml:space="preserve"> spectroscopy. Molecular docking analysis was performed to evaluate binding interactions with the Epidermal Growth Factor Receptor (EGFR), a validated anticancer target. The docking results revealed </w:t>
      </w:r>
      <w:r w:rsidR="00742F53" w:rsidRPr="00621D06">
        <w:rPr>
          <w:rFonts w:ascii="Times New Roman" w:eastAsia="Times New Roman" w:hAnsi="Times New Roman" w:cs="Times New Roman"/>
          <w:sz w:val="24"/>
          <w:szCs w:val="24"/>
          <w:lang w:eastAsia="en-IN"/>
        </w:rPr>
        <w:t>favourable</w:t>
      </w:r>
      <w:r w:rsidRPr="00621D06">
        <w:rPr>
          <w:rFonts w:ascii="Times New Roman" w:eastAsia="Times New Roman" w:hAnsi="Times New Roman" w:cs="Times New Roman"/>
          <w:sz w:val="24"/>
          <w:szCs w:val="24"/>
          <w:lang w:eastAsia="en-IN"/>
        </w:rPr>
        <w:t xml:space="preserve"> binding affinities ranging from –7.5 to –9.2 kcal/mol, supported by hydrogen bonding and hydrophobic interactions within the active site. The findings suggest that the synthesized chalcone derivatives possess promising anticancer potential and warrant further biological evaluation.</w:t>
      </w:r>
    </w:p>
    <w:p w14:paraId="52769E61"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Keywords:</w:t>
      </w:r>
      <w:r w:rsidRPr="00621D06">
        <w:rPr>
          <w:rFonts w:ascii="Times New Roman" w:eastAsia="Times New Roman" w:hAnsi="Times New Roman" w:cs="Times New Roman"/>
          <w:sz w:val="24"/>
          <w:szCs w:val="24"/>
          <w:lang w:eastAsia="en-IN"/>
        </w:rPr>
        <w:t xml:space="preserve"> Chalcone, Spectroscopic characterization, Molecular docking, Anticancer activity</w:t>
      </w:r>
    </w:p>
    <w:p w14:paraId="2BA6CCAD" w14:textId="77777777"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1. Introduction</w:t>
      </w:r>
    </w:p>
    <w:p w14:paraId="3906CFBB"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Chalcones are open-chain flavonoids characterized by the presence of an α,β-unsaturated carbonyl system connecting two aromatic rings. This structural framework contributes significantly to their wide spectrum of biological activities, including anticancer, antimicrobial, anti-inflammatory, and antioxidant effects.</w:t>
      </w:r>
    </w:p>
    <w:p w14:paraId="555C0C54"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The simplicity of synthesis and structural versatility make chalcones important scaffolds in medicinal chemistry. In recent years, computational approaches such as molecular docking have accelerated drug discovery by predicting ligand–protein interactions before experimental validation. The present study integrates synthetic organic chemistry with computational modeling to explore the anticancer potential of novel chalcone derivatives.</w:t>
      </w:r>
    </w:p>
    <w:p w14:paraId="4751D2B9" w14:textId="77777777"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2. Materials and Methods</w:t>
      </w:r>
    </w:p>
    <w:p w14:paraId="290DE5BD" w14:textId="77777777"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lastRenderedPageBreak/>
        <w:t>2.1 Chemicals and Reagents</w:t>
      </w:r>
    </w:p>
    <w:p w14:paraId="15335808"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All reagents, including substituted acetophenones, substituted benzaldehydes, ethanol, and sodium hydroxide, were of analytical grade and used without further purification.</w:t>
      </w:r>
    </w:p>
    <w:p w14:paraId="6DC4F29C" w14:textId="77777777"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2.2 Synthesis of Chalcone Derivatives</w:t>
      </w:r>
    </w:p>
    <w:p w14:paraId="379C445B" w14:textId="77777777" w:rsidR="00621D06" w:rsidRPr="00566C08"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The chalcone derivatives were synthesized via Claisen–Schmidt condensation.</w:t>
      </w:r>
    </w:p>
    <w:p w14:paraId="00F7304D"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Chalcone derivatives were synthesized using the Claisen–Schmidt condensation reaction.</w:t>
      </w:r>
    </w:p>
    <w:p w14:paraId="2604BA43" w14:textId="77777777"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Reaction Scheme</w:t>
      </w:r>
    </w:p>
    <w:p w14:paraId="1E6A7057" w14:textId="77777777" w:rsidR="00621D06" w:rsidRPr="00621D06" w:rsidRDefault="00621D06" w:rsidP="00B713FC">
      <w:pPr>
        <w:spacing w:after="0" w:line="360" w:lineRule="auto"/>
        <w:jc w:val="center"/>
        <w:rPr>
          <w:rFonts w:ascii="Times New Roman" w:eastAsia="Times New Roman" w:hAnsi="Times New Roman" w:cs="Times New Roman"/>
          <w:sz w:val="24"/>
          <w:szCs w:val="24"/>
          <w:lang w:eastAsia="en-IN"/>
        </w:rPr>
      </w:pPr>
      <w:r w:rsidRPr="00621D06">
        <w:rPr>
          <w:rFonts w:ascii="Times New Roman" w:eastAsia="Times New Roman" w:hAnsi="Times New Roman" w:cs="Times New Roman"/>
          <w:noProof/>
          <w:sz w:val="24"/>
          <w:szCs w:val="24"/>
          <w:lang w:val="en-US"/>
        </w:rPr>
        <w:drawing>
          <wp:inline distT="0" distB="0" distL="0" distR="0" wp14:anchorId="7215576E" wp14:editId="37C7FCF0">
            <wp:extent cx="3590925" cy="2118816"/>
            <wp:effectExtent l="0" t="0" r="0" b="0"/>
            <wp:docPr id="19" name="Picture 19" descr="https://www.cs.gordon.edu/courses/organic/salem/claisen.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s.gordon.edu/courses/organic/salem/claisen.fi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8584" cy="2123335"/>
                    </a:xfrm>
                    <a:prstGeom prst="rect">
                      <a:avLst/>
                    </a:prstGeom>
                    <a:noFill/>
                    <a:ln>
                      <a:noFill/>
                    </a:ln>
                  </pic:spPr>
                </pic:pic>
              </a:graphicData>
            </a:graphic>
          </wp:inline>
        </w:drawing>
      </w:r>
    </w:p>
    <w:p w14:paraId="746469F8" w14:textId="77777777" w:rsidR="00621D06" w:rsidRPr="00621D06" w:rsidRDefault="00621D06" w:rsidP="00512E3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General Procedure:</w:t>
      </w:r>
      <w:r w:rsidR="00C9169F">
        <w:rPr>
          <w:rFonts w:ascii="Times New Roman" w:eastAsia="Times New Roman" w:hAnsi="Times New Roman" w:cs="Times New Roman"/>
          <w:b/>
          <w:bCs/>
          <w:sz w:val="24"/>
          <w:szCs w:val="24"/>
          <w:lang w:eastAsia="en-IN"/>
        </w:rPr>
        <w:t xml:space="preserve"> </w:t>
      </w:r>
      <w:r w:rsidRPr="00621D06">
        <w:rPr>
          <w:rFonts w:ascii="Times New Roman" w:eastAsia="Times New Roman" w:hAnsi="Times New Roman" w:cs="Times New Roman"/>
          <w:sz w:val="24"/>
          <w:szCs w:val="24"/>
          <w:lang w:eastAsia="en-IN"/>
        </w:rPr>
        <w:t>Equimolar quantities (0.01 mol) of substituted acetophenone and substituted benzaldehyde were dissolved in ethanol. A 10% sodium hydroxide solution was added dropwise with continuous stirring at room temperature. The reaction mixture was stirred for 6–8 hours and monitored by thin-layer chromatography (TLC). Upon completion, the reaction mixture was poured into ice-cold water to precipitate the product. The solid obtained was filtered, washed with distilled water, and recrystallized from ethanol.</w:t>
      </w:r>
    </w:p>
    <w:p w14:paraId="4B4245AB" w14:textId="77777777" w:rsidR="00621D06" w:rsidRPr="00512E32" w:rsidRDefault="00621D06" w:rsidP="00512E32">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3. Characterization</w:t>
      </w:r>
    </w:p>
    <w:p w14:paraId="48778903" w14:textId="77777777" w:rsidR="008538F0" w:rsidRPr="008538F0" w:rsidRDefault="008538F0" w:rsidP="00512E3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kn-IN"/>
        </w:rPr>
      </w:pPr>
      <w:r w:rsidRPr="008538F0">
        <w:rPr>
          <w:rFonts w:ascii="Times New Roman" w:eastAsia="Times New Roman" w:hAnsi="Times New Roman" w:cs="Times New Roman"/>
          <w:b/>
          <w:bCs/>
          <w:sz w:val="24"/>
          <w:szCs w:val="24"/>
          <w:lang w:eastAsia="en-IN" w:bidi="kn-IN"/>
        </w:rPr>
        <w:t xml:space="preserve">IR spectrum </w:t>
      </w:r>
    </w:p>
    <w:p w14:paraId="2CD01467" w14:textId="77777777"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Key IR absorptions (cm⁻¹):</w:t>
      </w:r>
    </w:p>
    <w:p w14:paraId="45AB84DD" w14:textId="77777777"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~1685–1665 → conjugated C=O (α,β-unsaturated ketone)</w:t>
      </w:r>
    </w:p>
    <w:p w14:paraId="6014FD22" w14:textId="77777777"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~1620–1600 → C=C (alkene, conjugated)</w:t>
      </w:r>
    </w:p>
    <w:p w14:paraId="203FDBF1" w14:textId="77777777"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lastRenderedPageBreak/>
        <w:t>~1600, 1580, 1500 → aromatic C=C</w:t>
      </w:r>
    </w:p>
    <w:p w14:paraId="4CE5772E" w14:textId="77777777"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~3050 → aromatic C–H</w:t>
      </w:r>
    </w:p>
    <w:p w14:paraId="1A19F641" w14:textId="77777777" w:rsidR="008538F0" w:rsidRPr="008538F0" w:rsidRDefault="008538F0" w:rsidP="00512E32">
      <w:pPr>
        <w:numPr>
          <w:ilvl w:val="0"/>
          <w:numId w:val="8"/>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~2960–2870 → aliphatic C–H</w:t>
      </w:r>
    </w:p>
    <w:p w14:paraId="7108ED95" w14:textId="77777777" w:rsidR="008538F0" w:rsidRPr="008538F0" w:rsidRDefault="008538F0" w:rsidP="00512E3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kn-IN"/>
        </w:rPr>
      </w:pPr>
      <w:r w:rsidRPr="008538F0">
        <w:rPr>
          <w:rFonts w:ascii="Times New Roman" w:eastAsia="Times New Roman" w:hAnsi="Times New Roman" w:cs="Times New Roman"/>
          <w:b/>
          <w:bCs/>
          <w:sz w:val="24"/>
          <w:szCs w:val="24"/>
          <w:lang w:eastAsia="en-IN" w:bidi="kn-IN"/>
        </w:rPr>
        <w:t>¹H NMR spectrum</w:t>
      </w:r>
    </w:p>
    <w:p w14:paraId="7E8F6263" w14:textId="77777777" w:rsidR="008538F0" w:rsidRPr="008538F0" w:rsidRDefault="00000000" w:rsidP="00512E32">
      <w:pPr>
        <w:spacing w:after="0" w:line="360" w:lineRule="auto"/>
        <w:jc w:val="center"/>
        <w:rPr>
          <w:rFonts w:ascii="Times New Roman" w:eastAsia="Times New Roman" w:hAnsi="Times New Roman" w:cs="Times New Roman"/>
          <w:sz w:val="24"/>
          <w:szCs w:val="24"/>
          <w:lang w:eastAsia="en-IN" w:bidi="kn-IN"/>
        </w:rPr>
      </w:pPr>
      <w:r>
        <w:rPr>
          <w:rFonts w:ascii="Times New Roman" w:hAnsi="Times New Roman" w:cs="Times New Roman"/>
          <w:sz w:val="24"/>
          <w:szCs w:val="24"/>
        </w:rPr>
      </w:r>
      <w:r>
        <w:rPr>
          <w:rFonts w:ascii="Times New Roman" w:hAnsi="Times New Roman" w:cs="Times New Roman"/>
          <w:sz w:val="24"/>
          <w:szCs w:val="24"/>
        </w:rPr>
        <w:pict w14:anchorId="311CD8FD">
          <v:rect id="AutoShape 10"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8538F0" w:rsidRPr="008538F0">
        <w:rPr>
          <w:rFonts w:ascii="Times New Roman" w:eastAsia="Times New Roman" w:hAnsi="Times New Roman" w:cs="Times New Roman"/>
          <w:noProof/>
          <w:sz w:val="24"/>
          <w:szCs w:val="24"/>
          <w:lang w:eastAsia="en-IN" w:bidi="kn-IN"/>
        </w:rPr>
        <w:drawing>
          <wp:inline distT="0" distB="0" distL="0" distR="0" wp14:anchorId="3ABD4258" wp14:editId="09A6FB0B">
            <wp:extent cx="2907834" cy="2132892"/>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054" cy="2141855"/>
                    </a:xfrm>
                    <a:prstGeom prst="rect">
                      <a:avLst/>
                    </a:prstGeom>
                    <a:noFill/>
                    <a:ln>
                      <a:noFill/>
                    </a:ln>
                  </pic:spPr>
                </pic:pic>
              </a:graphicData>
            </a:graphic>
          </wp:inline>
        </w:drawing>
      </w:r>
    </w:p>
    <w:p w14:paraId="5DBE7A81" w14:textId="77777777"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Typical ¹H NMR (CDCl₃, δ ppm):</w:t>
      </w:r>
    </w:p>
    <w:p w14:paraId="6F6EA185" w14:textId="77777777"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2.1–2.3 (s, 3H) → CH₃–CO</w:t>
      </w:r>
    </w:p>
    <w:p w14:paraId="0237526C" w14:textId="77777777"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6.5–6.7 (d, 1H, J ≈ 15–16 Hz) → CH= (trans)</w:t>
      </w:r>
    </w:p>
    <w:p w14:paraId="1F61AA51" w14:textId="77777777"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7.3–7.5 (d, 1H, J ≈ 15–16 Hz) → CH= (trans)</w:t>
      </w:r>
    </w:p>
    <w:p w14:paraId="00CF97EF" w14:textId="77777777" w:rsidR="008538F0" w:rsidRPr="008538F0" w:rsidRDefault="008538F0" w:rsidP="00512E3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7.2–7.6 (m, 5H) → aromatic protons</w:t>
      </w:r>
    </w:p>
    <w:p w14:paraId="37046046" w14:textId="77777777"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Large coupling constant confirms E (trans) configuration</w:t>
      </w:r>
    </w:p>
    <w:p w14:paraId="3DEE3CF7" w14:textId="77777777" w:rsidR="008538F0" w:rsidRPr="00512E32" w:rsidRDefault="008538F0" w:rsidP="00512E3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kn-IN"/>
        </w:rPr>
      </w:pPr>
      <w:r w:rsidRPr="008538F0">
        <w:rPr>
          <w:rFonts w:ascii="Times New Roman" w:eastAsia="Times New Roman" w:hAnsi="Times New Roman" w:cs="Times New Roman"/>
          <w:b/>
          <w:bCs/>
          <w:sz w:val="24"/>
          <w:szCs w:val="24"/>
          <w:lang w:eastAsia="en-IN" w:bidi="kn-IN"/>
        </w:rPr>
        <w:t>Mass spectrum</w:t>
      </w:r>
    </w:p>
    <w:p w14:paraId="77A5A55F" w14:textId="77777777" w:rsidR="008538F0" w:rsidRPr="008538F0" w:rsidRDefault="008538F0" w:rsidP="00512E32">
      <w:p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Key MS data (EI):</w:t>
      </w:r>
    </w:p>
    <w:p w14:paraId="28C61EF4" w14:textId="77777777"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146 (M⁺) → molecular ion (C₁₀H₁₀O)</w:t>
      </w:r>
    </w:p>
    <w:p w14:paraId="539E50C7" w14:textId="77777777"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131 → loss of CH₃</w:t>
      </w:r>
    </w:p>
    <w:p w14:paraId="7B8DCFD6" w14:textId="77777777"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105 → benzoyl cation (C₆H₅CO⁺)</w:t>
      </w:r>
    </w:p>
    <w:p w14:paraId="0A6B3404" w14:textId="77777777" w:rsidR="008538F0" w:rsidRPr="008538F0" w:rsidRDefault="008538F0" w:rsidP="00512E32">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8538F0">
        <w:rPr>
          <w:rFonts w:ascii="Times New Roman" w:eastAsia="Times New Roman" w:hAnsi="Times New Roman" w:cs="Times New Roman"/>
          <w:sz w:val="24"/>
          <w:szCs w:val="24"/>
          <w:lang w:eastAsia="en-IN" w:bidi="kn-IN"/>
        </w:rPr>
        <w:t>m/z 77 → phenyl cation (C₆H₅⁺)</w:t>
      </w:r>
    </w:p>
    <w:p w14:paraId="4DB726E3" w14:textId="77777777"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4. Molecular Docking Study</w:t>
      </w:r>
    </w:p>
    <w:p w14:paraId="065BBD77" w14:textId="77777777"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621D06">
        <w:rPr>
          <w:rFonts w:ascii="Times New Roman" w:eastAsia="Times New Roman" w:hAnsi="Times New Roman" w:cs="Times New Roman"/>
          <w:bCs/>
          <w:sz w:val="24"/>
          <w:szCs w:val="24"/>
          <w:lang w:eastAsia="en-IN"/>
        </w:rPr>
        <w:lastRenderedPageBreak/>
        <w:t>Target Protein Preparation</w:t>
      </w:r>
      <w:r w:rsidR="00566C08" w:rsidRPr="00E81E0D">
        <w:rPr>
          <w:rFonts w:ascii="Times New Roman" w:eastAsia="Times New Roman" w:hAnsi="Times New Roman" w:cs="Times New Roman"/>
          <w:bCs/>
          <w:sz w:val="24"/>
          <w:szCs w:val="24"/>
          <w:lang w:eastAsia="en-IN"/>
        </w:rPr>
        <w:t>:</w:t>
      </w:r>
      <w:r w:rsidRPr="00621D06">
        <w:rPr>
          <w:rFonts w:ascii="Times New Roman" w:eastAsia="Times New Roman" w:hAnsi="Times New Roman" w:cs="Times New Roman"/>
          <w:sz w:val="24"/>
          <w:szCs w:val="24"/>
          <w:lang w:eastAsia="en-IN"/>
        </w:rPr>
        <w:t>The three-dimensional structure of the Epidermal Growth Factor Receptor (EGFR) was retrieved from the Protein Data Bank. Water molecules were removed, hydrogen atoms were added, and the protein structure was prepared for docking.</w:t>
      </w:r>
    </w:p>
    <w:p w14:paraId="08804065" w14:textId="77777777"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621D06">
        <w:rPr>
          <w:rFonts w:ascii="Times New Roman" w:eastAsia="Times New Roman" w:hAnsi="Times New Roman" w:cs="Times New Roman"/>
          <w:bCs/>
          <w:sz w:val="24"/>
          <w:szCs w:val="24"/>
          <w:lang w:eastAsia="en-IN"/>
        </w:rPr>
        <w:t>Ligand Preparation</w:t>
      </w:r>
      <w:r w:rsidR="00566C08" w:rsidRPr="00E81E0D">
        <w:rPr>
          <w:rFonts w:ascii="Times New Roman" w:eastAsia="Times New Roman" w:hAnsi="Times New Roman" w:cs="Times New Roman"/>
          <w:bCs/>
          <w:sz w:val="24"/>
          <w:szCs w:val="24"/>
          <w:lang w:eastAsia="en-IN"/>
        </w:rPr>
        <w:t xml:space="preserve">: </w:t>
      </w:r>
      <w:r w:rsidRPr="00621D06">
        <w:rPr>
          <w:rFonts w:ascii="Times New Roman" w:eastAsia="Times New Roman" w:hAnsi="Times New Roman" w:cs="Times New Roman"/>
          <w:sz w:val="24"/>
          <w:szCs w:val="24"/>
          <w:lang w:eastAsia="en-IN"/>
        </w:rPr>
        <w:t>The synthesized chalcone derivatives were drawn and energy-minimized prior to docking analysis.</w:t>
      </w:r>
    </w:p>
    <w:p w14:paraId="3B332514" w14:textId="77777777" w:rsidR="00621D06" w:rsidRPr="00621D06" w:rsidRDefault="00621D06" w:rsidP="00566C08">
      <w:pPr>
        <w:spacing w:before="100" w:beforeAutospacing="1" w:after="100" w:afterAutospacing="1" w:line="360" w:lineRule="auto"/>
        <w:jc w:val="both"/>
        <w:outlineLvl w:val="2"/>
        <w:rPr>
          <w:rFonts w:ascii="Times New Roman" w:eastAsia="Times New Roman" w:hAnsi="Times New Roman" w:cs="Times New Roman"/>
          <w:sz w:val="24"/>
          <w:szCs w:val="24"/>
          <w:lang w:eastAsia="en-IN"/>
        </w:rPr>
      </w:pPr>
      <w:r w:rsidRPr="00621D06">
        <w:rPr>
          <w:rFonts w:ascii="Times New Roman" w:eastAsia="Times New Roman" w:hAnsi="Times New Roman" w:cs="Times New Roman"/>
          <w:bCs/>
          <w:sz w:val="24"/>
          <w:szCs w:val="24"/>
          <w:lang w:eastAsia="en-IN"/>
        </w:rPr>
        <w:t>Docking Procedure</w:t>
      </w:r>
      <w:r w:rsidR="00566C08" w:rsidRPr="00E81E0D">
        <w:rPr>
          <w:rFonts w:ascii="Times New Roman" w:eastAsia="Times New Roman" w:hAnsi="Times New Roman" w:cs="Times New Roman"/>
          <w:bCs/>
          <w:sz w:val="24"/>
          <w:szCs w:val="24"/>
          <w:lang w:eastAsia="en-IN"/>
        </w:rPr>
        <w:t xml:space="preserve">: </w:t>
      </w:r>
      <w:r w:rsidRPr="00621D06">
        <w:rPr>
          <w:rFonts w:ascii="Times New Roman" w:eastAsia="Times New Roman" w:hAnsi="Times New Roman" w:cs="Times New Roman"/>
          <w:sz w:val="24"/>
          <w:szCs w:val="24"/>
          <w:lang w:eastAsia="en-IN"/>
        </w:rPr>
        <w:t>Docking simulations were performed using AutoDock Vina. The grid box was centered on the active site of EGFR to evaluate binding interactions and calculate binding affinities.</w:t>
      </w:r>
    </w:p>
    <w:p w14:paraId="3422478F" w14:textId="77777777" w:rsidR="00621D06" w:rsidRPr="00566C08"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5. Results and Discussion</w:t>
      </w:r>
    </w:p>
    <w:p w14:paraId="222003E1" w14:textId="77777777" w:rsidR="00621D06" w:rsidRPr="00621D06" w:rsidRDefault="00B713FC"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621D06" w:rsidRPr="00621D06">
        <w:rPr>
          <w:rFonts w:ascii="Times New Roman" w:eastAsia="Times New Roman" w:hAnsi="Times New Roman" w:cs="Times New Roman"/>
          <w:b/>
          <w:bCs/>
          <w:sz w:val="24"/>
          <w:szCs w:val="24"/>
          <w:lang w:eastAsia="en-IN"/>
        </w:rPr>
        <w:t>.</w:t>
      </w:r>
      <w:r>
        <w:rPr>
          <w:rFonts w:ascii="Times New Roman" w:eastAsia="Times New Roman" w:hAnsi="Times New Roman" w:cs="Times New Roman"/>
          <w:b/>
          <w:bCs/>
          <w:sz w:val="24"/>
          <w:szCs w:val="24"/>
          <w:lang w:eastAsia="en-IN"/>
        </w:rPr>
        <w:t>1</w:t>
      </w:r>
      <w:r w:rsidR="00621D06" w:rsidRPr="00621D06">
        <w:rPr>
          <w:rFonts w:ascii="Times New Roman" w:eastAsia="Times New Roman" w:hAnsi="Times New Roman" w:cs="Times New Roman"/>
          <w:b/>
          <w:bCs/>
          <w:sz w:val="24"/>
          <w:szCs w:val="24"/>
          <w:lang w:eastAsia="en-IN"/>
        </w:rPr>
        <w:t xml:space="preserve"> Docking Methodology</w:t>
      </w:r>
    </w:p>
    <w:p w14:paraId="41419ACA" w14:textId="77777777"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Protein structure downloaded from the Protein Data Bank (PDB).</w:t>
      </w:r>
    </w:p>
    <w:p w14:paraId="0CDC1F3D" w14:textId="77777777"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Water molecules removed.</w:t>
      </w:r>
    </w:p>
    <w:p w14:paraId="73A71131" w14:textId="77777777"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Hydrogen atoms added.</w:t>
      </w:r>
    </w:p>
    <w:p w14:paraId="6B4B812E" w14:textId="77777777"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Ligand structures energy-minimized.</w:t>
      </w:r>
    </w:p>
    <w:p w14:paraId="4AA7AFA1" w14:textId="77777777" w:rsidR="00621D06" w:rsidRPr="00621D06" w:rsidRDefault="00621D06" w:rsidP="00566C08">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Docking performed using AutoDock Vina.</w:t>
      </w:r>
    </w:p>
    <w:p w14:paraId="1E099F50" w14:textId="77777777" w:rsidR="00621D06" w:rsidRPr="00621D06" w:rsidRDefault="00B713FC" w:rsidP="00566C0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5.2</w:t>
      </w:r>
      <w:r w:rsidR="00621D06" w:rsidRPr="00621D06">
        <w:rPr>
          <w:rFonts w:ascii="Times New Roman" w:eastAsia="Times New Roman" w:hAnsi="Times New Roman" w:cs="Times New Roman"/>
          <w:b/>
          <w:bCs/>
          <w:sz w:val="24"/>
          <w:szCs w:val="24"/>
          <w:lang w:eastAsia="en-IN"/>
        </w:rPr>
        <w:t xml:space="preserve"> Docking Results</w:t>
      </w:r>
    </w:p>
    <w:p w14:paraId="72318226" w14:textId="77777777" w:rsidR="00621D06" w:rsidRPr="00621D06" w:rsidRDefault="00621D06" w:rsidP="00566C08">
      <w:pPr>
        <w:spacing w:after="0" w:line="360" w:lineRule="auto"/>
        <w:jc w:val="center"/>
        <w:rPr>
          <w:rFonts w:ascii="Times New Roman" w:eastAsia="Times New Roman" w:hAnsi="Times New Roman" w:cs="Times New Roman"/>
          <w:sz w:val="24"/>
          <w:szCs w:val="24"/>
          <w:lang w:eastAsia="en-IN"/>
        </w:rPr>
      </w:pPr>
      <w:r w:rsidRPr="00621D06">
        <w:rPr>
          <w:rFonts w:ascii="Times New Roman" w:eastAsia="Times New Roman" w:hAnsi="Times New Roman" w:cs="Times New Roman"/>
          <w:noProof/>
          <w:sz w:val="24"/>
          <w:szCs w:val="24"/>
          <w:lang w:val="en-US"/>
        </w:rPr>
        <w:drawing>
          <wp:inline distT="0" distB="0" distL="0" distR="0" wp14:anchorId="65F99D00" wp14:editId="3408F832">
            <wp:extent cx="3911872" cy="2034173"/>
            <wp:effectExtent l="0" t="0" r="0" b="0"/>
            <wp:docPr id="16" name="Picture 16" descr="https://www.researchgate.net/publication/381829105/figure/fig1/AS%3A11431281257561918%401719797023696/Post-docking-interactions-between-active-site-residues-of-EGFR-with-erlotinib-a-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researchgate.net/publication/381829105/figure/fig1/AS%3A11431281257561918%401719797023696/Post-docking-interactions-between-active-site-residues-of-EGFR-with-erlotinib-a-3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1542" cy="2060001"/>
                    </a:xfrm>
                    <a:prstGeom prst="rect">
                      <a:avLst/>
                    </a:prstGeom>
                    <a:noFill/>
                    <a:ln>
                      <a:noFill/>
                    </a:ln>
                  </pic:spPr>
                </pic:pic>
              </a:graphicData>
            </a:graphic>
          </wp:inline>
        </w:drawing>
      </w:r>
    </w:p>
    <w:p w14:paraId="705ACD95" w14:textId="77777777" w:rsidR="00621D06" w:rsidRPr="00621D06" w:rsidRDefault="00621D06" w:rsidP="00566C08">
      <w:pPr>
        <w:spacing w:after="0" w:line="360" w:lineRule="auto"/>
        <w:jc w:val="center"/>
        <w:rPr>
          <w:rFonts w:ascii="Times New Roman" w:eastAsia="Times New Roman" w:hAnsi="Times New Roman" w:cs="Times New Roman"/>
          <w:sz w:val="24"/>
          <w:szCs w:val="24"/>
          <w:lang w:eastAsia="en-IN"/>
        </w:rPr>
      </w:pPr>
      <w:r w:rsidRPr="00621D06">
        <w:rPr>
          <w:rFonts w:ascii="Times New Roman" w:eastAsia="Times New Roman" w:hAnsi="Times New Roman" w:cs="Times New Roman"/>
          <w:noProof/>
          <w:sz w:val="24"/>
          <w:szCs w:val="24"/>
          <w:lang w:val="en-US"/>
        </w:rPr>
        <w:lastRenderedPageBreak/>
        <w:drawing>
          <wp:inline distT="0" distB="0" distL="0" distR="0" wp14:anchorId="57265EEB" wp14:editId="76144585">
            <wp:extent cx="3572217" cy="1575979"/>
            <wp:effectExtent l="0" t="0" r="0" b="0"/>
            <wp:docPr id="17" name="Picture 17" descr="https://www.researchgate.net/publication/316286221/figure/fig7/AS%3A485549711597575%401492775480979/Hydrogen-bond-interactions-within-the-Protein-and-ligand-15-complex-a-3D-imag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researchgate.net/publication/316286221/figure/fig7/AS%3A485549711597575%401492775480979/Hydrogen-bond-interactions-within-the-Protein-and-ligand-15-complex-a-3D-image-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8575" cy="1596431"/>
                    </a:xfrm>
                    <a:prstGeom prst="rect">
                      <a:avLst/>
                    </a:prstGeom>
                    <a:noFill/>
                    <a:ln>
                      <a:noFill/>
                    </a:ln>
                  </pic:spPr>
                </pic:pic>
              </a:graphicData>
            </a:graphic>
          </wp:inline>
        </w:drawing>
      </w:r>
    </w:p>
    <w:p w14:paraId="668DCEFA" w14:textId="77777777" w:rsidR="00621D06" w:rsidRPr="00621D06" w:rsidRDefault="00621D06" w:rsidP="00566C0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Binding energy range:</w:t>
      </w:r>
      <w:r w:rsidR="00C9169F">
        <w:rPr>
          <w:rFonts w:ascii="Times New Roman" w:eastAsia="Times New Roman" w:hAnsi="Times New Roman" w:cs="Times New Roman"/>
          <w:sz w:val="24"/>
          <w:szCs w:val="24"/>
          <w:lang w:eastAsia="en-IN"/>
        </w:rPr>
        <w:t xml:space="preserve"> </w:t>
      </w:r>
      <w:r w:rsidRPr="00621D06">
        <w:rPr>
          <w:rFonts w:ascii="Times New Roman" w:eastAsia="Times New Roman" w:hAnsi="Times New Roman" w:cs="Times New Roman"/>
          <w:sz w:val="24"/>
          <w:szCs w:val="24"/>
          <w:lang w:eastAsia="en-IN"/>
        </w:rPr>
        <w:t>–9.2 kcal/mol</w:t>
      </w:r>
    </w:p>
    <w:p w14:paraId="694A44C7" w14:textId="77777777" w:rsidR="00621D06" w:rsidRPr="00621D06" w:rsidRDefault="00621D06" w:rsidP="00566C0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Hydrogen bonding observed with key residues such as Lys745 and Met793</w:t>
      </w:r>
    </w:p>
    <w:p w14:paraId="613D7F13" w14:textId="77777777" w:rsidR="00621D06" w:rsidRPr="00621D06" w:rsidRDefault="00621D06" w:rsidP="00566C08">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Hydrophobic interactions enhanced stability</w:t>
      </w:r>
    </w:p>
    <w:p w14:paraId="0F40F49D"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b/>
          <w:bCs/>
          <w:sz w:val="24"/>
          <w:szCs w:val="24"/>
          <w:lang w:eastAsia="en-IN"/>
        </w:rPr>
        <w:t>Interpretation:</w:t>
      </w:r>
      <w:r w:rsidR="008538F0">
        <w:rPr>
          <w:rFonts w:ascii="Times New Roman" w:eastAsia="Times New Roman" w:hAnsi="Times New Roman" w:cs="Times New Roman"/>
          <w:b/>
          <w:bCs/>
          <w:sz w:val="24"/>
          <w:szCs w:val="24"/>
          <w:lang w:eastAsia="en-IN"/>
        </w:rPr>
        <w:t xml:space="preserve"> </w:t>
      </w:r>
      <w:r w:rsidRPr="00621D06">
        <w:rPr>
          <w:rFonts w:ascii="Times New Roman" w:eastAsia="Times New Roman" w:hAnsi="Times New Roman" w:cs="Times New Roman"/>
          <w:sz w:val="24"/>
          <w:szCs w:val="24"/>
          <w:lang w:eastAsia="en-IN"/>
        </w:rPr>
        <w:t>Lower binding energy indicates stronger interaction. Hydrogen bonding with catalytic residues suggests potential inhibition of kinase activity.</w:t>
      </w:r>
      <w:r w:rsidR="00337B88">
        <w:rPr>
          <w:rFonts w:ascii="Times New Roman" w:eastAsia="Times New Roman" w:hAnsi="Times New Roman" w:cs="Times New Roman"/>
          <w:sz w:val="24"/>
          <w:szCs w:val="24"/>
          <w:lang w:eastAsia="en-IN"/>
        </w:rPr>
        <w:t xml:space="preserve"> </w:t>
      </w:r>
      <w:r w:rsidRPr="00621D06">
        <w:rPr>
          <w:rFonts w:ascii="Times New Roman" w:eastAsia="Times New Roman" w:hAnsi="Times New Roman" w:cs="Times New Roman"/>
          <w:sz w:val="24"/>
          <w:szCs w:val="24"/>
          <w:lang w:eastAsia="en-IN"/>
        </w:rPr>
        <w:t>The docking results revealed binding energy values ranging from –7.5 to –9.2 kcal/mol, indicating strong ligand–protein interactions.Hydrogen bonds were observed with key amino acid residues such as Lys745 and Met793. Hydrophobic interactions further stabilized the ligand within the binding pocket.</w:t>
      </w:r>
    </w:p>
    <w:p w14:paraId="49F4F66A"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Lower binding energy values indicate higher binding affinity. The observed hydrogen bonding and hydrophobic contacts suggest that the synthesized chalcones may inhibit EGFR activity, supporting their potential as anticancer agents.Structure–activity relationship analysis indicates that electron-withdrawing substituents enhance binding affinity by increasing electrophilicity and interaction with the receptor active site.</w:t>
      </w:r>
    </w:p>
    <w:p w14:paraId="559E1001" w14:textId="77777777"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6. Conclusion</w:t>
      </w:r>
    </w:p>
    <w:p w14:paraId="2BD8EBDA" w14:textId="77777777" w:rsidR="00621D06" w:rsidRPr="00621D06" w:rsidRDefault="00621D06" w:rsidP="00566C0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Novel chalcone derivatives were successfully synthesized via Claisen–Schmidt condensation and characterized using spectroscopic techniques. The spectral data confirmed structural integrity. Molecular docking studies demonstrated promising binding interactions with EGFR, suggesting potential anticancer activity. Further in vitro and in vivo investigations are recommended to validate these findings.</w:t>
      </w:r>
    </w:p>
    <w:p w14:paraId="3BDCDCD8" w14:textId="77777777" w:rsidR="00621D06" w:rsidRPr="00621D06" w:rsidRDefault="00621D06" w:rsidP="00566C08">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621D06">
        <w:rPr>
          <w:rFonts w:ascii="Times New Roman" w:eastAsia="Times New Roman" w:hAnsi="Times New Roman" w:cs="Times New Roman"/>
          <w:b/>
          <w:bCs/>
          <w:sz w:val="24"/>
          <w:szCs w:val="24"/>
          <w:lang w:eastAsia="en-IN"/>
        </w:rPr>
        <w:t>References</w:t>
      </w:r>
    </w:p>
    <w:p w14:paraId="23110B5C" w14:textId="77777777"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Nowakowska Z. A review of anti-infective and anti-inflammatory chalcones. Eur J Med Chem. 2007;42(2):125-137.</w:t>
      </w:r>
    </w:p>
    <w:p w14:paraId="5FED876F" w14:textId="77777777"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lastRenderedPageBreak/>
        <w:t>Singh P, Anand A, Kumar V. Recent developments in biological activities of chalcones: A mini review. Eur J Med Chem. 2014;85:758-777.</w:t>
      </w:r>
    </w:p>
    <w:p w14:paraId="3671A450" w14:textId="77777777"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Batovska DI, Todorova IT. Trends in utilization of the pharmacological potential of chalcones. Curr Clin Pharmacol. 2010;5(1):1-29.</w:t>
      </w:r>
    </w:p>
    <w:p w14:paraId="40B9559F" w14:textId="77777777"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Yadav VR, Prasad S, Sung B, Aggarwal BB. The role of chalcones in suppression of NF-κB-mediated inflammation and cancer. Int Immunopharmacol. 2011;11(3):295-309.</w:t>
      </w:r>
    </w:p>
    <w:p w14:paraId="21169652" w14:textId="77777777"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Trott O, Olson AJ. AutoDock Vina: Improving the speed and accuracy of docking. J Comput Chem. 2010;31(2):455-461.</w:t>
      </w:r>
    </w:p>
    <w:p w14:paraId="7A918E4B" w14:textId="77777777"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Morris GM, Huey R, Lindstrom W, et al. AutoDock4 and AutoDockTools4: Automated docking with selective receptor flexibility. J Comput Chem. 2009;30(16):2785-2791.</w:t>
      </w:r>
    </w:p>
    <w:p w14:paraId="3D0CD087" w14:textId="77777777" w:rsidR="00621D06" w:rsidRPr="00621D06" w:rsidRDefault="00621D06" w:rsidP="00566C08">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621D06">
        <w:rPr>
          <w:rFonts w:ascii="Times New Roman" w:eastAsia="Times New Roman" w:hAnsi="Times New Roman" w:cs="Times New Roman"/>
          <w:sz w:val="24"/>
          <w:szCs w:val="24"/>
          <w:lang w:eastAsia="en-IN"/>
        </w:rPr>
        <w:t>Roskoski R Jr. The ErbB/HER family of protein-tyrosine kinases and cancer. Pharmacol Res. 2014;79:34-74.</w:t>
      </w:r>
    </w:p>
    <w:p w14:paraId="2FA8997F" w14:textId="77777777" w:rsidR="00621D06" w:rsidRPr="00566C08" w:rsidRDefault="00621D06" w:rsidP="008865D6">
      <w:pPr>
        <w:numPr>
          <w:ilvl w:val="0"/>
          <w:numId w:val="4"/>
        </w:numPr>
        <w:spacing w:before="100" w:beforeAutospacing="1" w:after="100" w:afterAutospacing="1" w:line="360" w:lineRule="auto"/>
        <w:jc w:val="both"/>
        <w:rPr>
          <w:rFonts w:ascii="Times New Roman" w:hAnsi="Times New Roman" w:cs="Times New Roman"/>
          <w:sz w:val="24"/>
          <w:szCs w:val="24"/>
        </w:rPr>
      </w:pPr>
      <w:r w:rsidRPr="00621D06">
        <w:rPr>
          <w:rFonts w:ascii="Times New Roman" w:eastAsia="Times New Roman" w:hAnsi="Times New Roman" w:cs="Times New Roman"/>
          <w:sz w:val="24"/>
          <w:szCs w:val="24"/>
          <w:lang w:eastAsia="en-IN"/>
        </w:rPr>
        <w:t>Lipinski CA, Lombardo F, Dominy BW, Feeney PJ. Experimental and computational approaches to estimate solubility and permeability in drug discovery. Adv Drug Deliv Rev. 2001;46(1-3):3-26.</w:t>
      </w:r>
    </w:p>
    <w:sectPr w:rsidR="00621D06" w:rsidRPr="00566C08" w:rsidSect="00285AE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3F86" w14:textId="77777777" w:rsidR="004E3213" w:rsidRDefault="004E3213" w:rsidP="00621D06">
      <w:pPr>
        <w:spacing w:after="0" w:line="240" w:lineRule="auto"/>
      </w:pPr>
      <w:r>
        <w:separator/>
      </w:r>
    </w:p>
  </w:endnote>
  <w:endnote w:type="continuationSeparator" w:id="0">
    <w:p w14:paraId="12A817C8" w14:textId="77777777" w:rsidR="004E3213" w:rsidRDefault="004E3213" w:rsidP="00621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80136"/>
      <w:docPartObj>
        <w:docPartGallery w:val="Page Numbers (Bottom of Page)"/>
        <w:docPartUnique/>
      </w:docPartObj>
    </w:sdtPr>
    <w:sdtEndPr>
      <w:rPr>
        <w:noProof/>
      </w:rPr>
    </w:sdtEndPr>
    <w:sdtContent>
      <w:p w14:paraId="126FF270" w14:textId="77777777" w:rsidR="00621D06" w:rsidRDefault="00285AED">
        <w:pPr>
          <w:pStyle w:val="Footer"/>
          <w:jc w:val="right"/>
        </w:pPr>
        <w:r>
          <w:fldChar w:fldCharType="begin"/>
        </w:r>
        <w:r w:rsidR="00621D06">
          <w:instrText xml:space="preserve"> PAGE   \* MERGEFORMAT </w:instrText>
        </w:r>
        <w:r>
          <w:fldChar w:fldCharType="separate"/>
        </w:r>
        <w:r w:rsidR="00C9169F">
          <w:rPr>
            <w:noProof/>
          </w:rPr>
          <w:t>1</w:t>
        </w:r>
        <w:r>
          <w:rPr>
            <w:noProof/>
          </w:rPr>
          <w:fldChar w:fldCharType="end"/>
        </w:r>
      </w:p>
    </w:sdtContent>
  </w:sdt>
  <w:p w14:paraId="6BB474B2" w14:textId="77777777" w:rsidR="00621D06" w:rsidRDefault="0062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9E3B" w14:textId="77777777" w:rsidR="004E3213" w:rsidRDefault="004E3213" w:rsidP="00621D06">
      <w:pPr>
        <w:spacing w:after="0" w:line="240" w:lineRule="auto"/>
      </w:pPr>
      <w:r>
        <w:separator/>
      </w:r>
    </w:p>
  </w:footnote>
  <w:footnote w:type="continuationSeparator" w:id="0">
    <w:p w14:paraId="4422BECB" w14:textId="77777777" w:rsidR="004E3213" w:rsidRDefault="004E3213" w:rsidP="00621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C1"/>
    <w:multiLevelType w:val="multilevel"/>
    <w:tmpl w:val="50E8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C478E"/>
    <w:multiLevelType w:val="multilevel"/>
    <w:tmpl w:val="BEA6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F2D27"/>
    <w:multiLevelType w:val="multilevel"/>
    <w:tmpl w:val="BD7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D62B5"/>
    <w:multiLevelType w:val="multilevel"/>
    <w:tmpl w:val="E90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022C9"/>
    <w:multiLevelType w:val="multilevel"/>
    <w:tmpl w:val="5516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46C54"/>
    <w:multiLevelType w:val="multilevel"/>
    <w:tmpl w:val="1C6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115DA"/>
    <w:multiLevelType w:val="multilevel"/>
    <w:tmpl w:val="FE4E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7E22A1"/>
    <w:multiLevelType w:val="multilevel"/>
    <w:tmpl w:val="5196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C7586"/>
    <w:multiLevelType w:val="multilevel"/>
    <w:tmpl w:val="C1BE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C63CA"/>
    <w:multiLevelType w:val="multilevel"/>
    <w:tmpl w:val="32B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391954">
    <w:abstractNumId w:val="2"/>
  </w:num>
  <w:num w:numId="2" w16cid:durableId="1945190848">
    <w:abstractNumId w:val="5"/>
  </w:num>
  <w:num w:numId="3" w16cid:durableId="1213616600">
    <w:abstractNumId w:val="8"/>
  </w:num>
  <w:num w:numId="4" w16cid:durableId="1416441176">
    <w:abstractNumId w:val="6"/>
  </w:num>
  <w:num w:numId="5" w16cid:durableId="616720828">
    <w:abstractNumId w:val="3"/>
  </w:num>
  <w:num w:numId="6" w16cid:durableId="199512045">
    <w:abstractNumId w:val="4"/>
  </w:num>
  <w:num w:numId="7" w16cid:durableId="256865712">
    <w:abstractNumId w:val="1"/>
  </w:num>
  <w:num w:numId="8" w16cid:durableId="32078234">
    <w:abstractNumId w:val="7"/>
  </w:num>
  <w:num w:numId="9" w16cid:durableId="2049641392">
    <w:abstractNumId w:val="9"/>
  </w:num>
  <w:num w:numId="10" w16cid:durableId="46663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D06"/>
    <w:rsid w:val="00285AED"/>
    <w:rsid w:val="00337B88"/>
    <w:rsid w:val="004E3213"/>
    <w:rsid w:val="00512E32"/>
    <w:rsid w:val="00566C08"/>
    <w:rsid w:val="00576270"/>
    <w:rsid w:val="00621D06"/>
    <w:rsid w:val="00742F53"/>
    <w:rsid w:val="00745990"/>
    <w:rsid w:val="00787A5F"/>
    <w:rsid w:val="008538F0"/>
    <w:rsid w:val="00995ED3"/>
    <w:rsid w:val="009E0B3E"/>
    <w:rsid w:val="00B2519B"/>
    <w:rsid w:val="00B713FC"/>
    <w:rsid w:val="00B74BAB"/>
    <w:rsid w:val="00BD3677"/>
    <w:rsid w:val="00C9169F"/>
    <w:rsid w:val="00E5495E"/>
    <w:rsid w:val="00E60197"/>
    <w:rsid w:val="00E81E0D"/>
    <w:rsid w:val="00EA461E"/>
    <w:rsid w:val="00EF4049"/>
    <w:rsid w:val="00F2769A"/>
  </w:rsids>
  <m:mathPr>
    <m:mathFont m:val="Cambria Math"/>
    <m:brkBin m:val="before"/>
    <m:brkBinSub m:val="--"/>
    <m:smallFrac/>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D9D292"/>
  <w15:docId w15:val="{4EAFCE45-66BF-4731-B56D-0F599D5C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AED"/>
  </w:style>
  <w:style w:type="paragraph" w:styleId="Heading1">
    <w:name w:val="heading 1"/>
    <w:basedOn w:val="Normal"/>
    <w:next w:val="Normal"/>
    <w:link w:val="Heading1Char"/>
    <w:uiPriority w:val="9"/>
    <w:qFormat/>
    <w:rsid w:val="00E601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21D0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621D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D0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621D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621D0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21D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D06"/>
  </w:style>
  <w:style w:type="paragraph" w:styleId="Footer">
    <w:name w:val="footer"/>
    <w:basedOn w:val="Normal"/>
    <w:link w:val="FooterChar"/>
    <w:uiPriority w:val="99"/>
    <w:unhideWhenUsed/>
    <w:rsid w:val="00621D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D06"/>
  </w:style>
  <w:style w:type="character" w:customStyle="1" w:styleId="Heading1Char">
    <w:name w:val="Heading 1 Char"/>
    <w:basedOn w:val="DefaultParagraphFont"/>
    <w:link w:val="Heading1"/>
    <w:uiPriority w:val="9"/>
    <w:rsid w:val="00E6019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91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1488">
      <w:bodyDiv w:val="1"/>
      <w:marLeft w:val="0"/>
      <w:marRight w:val="0"/>
      <w:marTop w:val="0"/>
      <w:marBottom w:val="0"/>
      <w:divBdr>
        <w:top w:val="none" w:sz="0" w:space="0" w:color="auto"/>
        <w:left w:val="none" w:sz="0" w:space="0" w:color="auto"/>
        <w:bottom w:val="none" w:sz="0" w:space="0" w:color="auto"/>
        <w:right w:val="none" w:sz="0" w:space="0" w:color="auto"/>
      </w:divBdr>
    </w:div>
    <w:div w:id="266275296">
      <w:bodyDiv w:val="1"/>
      <w:marLeft w:val="0"/>
      <w:marRight w:val="0"/>
      <w:marTop w:val="0"/>
      <w:marBottom w:val="0"/>
      <w:divBdr>
        <w:top w:val="none" w:sz="0" w:space="0" w:color="auto"/>
        <w:left w:val="none" w:sz="0" w:space="0" w:color="auto"/>
        <w:bottom w:val="none" w:sz="0" w:space="0" w:color="auto"/>
        <w:right w:val="none" w:sz="0" w:space="0" w:color="auto"/>
      </w:divBdr>
      <w:divsChild>
        <w:div w:id="1396011169">
          <w:marLeft w:val="0"/>
          <w:marRight w:val="0"/>
          <w:marTop w:val="0"/>
          <w:marBottom w:val="0"/>
          <w:divBdr>
            <w:top w:val="none" w:sz="0" w:space="0" w:color="auto"/>
            <w:left w:val="none" w:sz="0" w:space="0" w:color="auto"/>
            <w:bottom w:val="none" w:sz="0" w:space="0" w:color="auto"/>
            <w:right w:val="none" w:sz="0" w:space="0" w:color="auto"/>
          </w:divBdr>
          <w:divsChild>
            <w:div w:id="61610028">
              <w:marLeft w:val="0"/>
              <w:marRight w:val="0"/>
              <w:marTop w:val="0"/>
              <w:marBottom w:val="0"/>
              <w:divBdr>
                <w:top w:val="none" w:sz="0" w:space="0" w:color="auto"/>
                <w:left w:val="none" w:sz="0" w:space="0" w:color="auto"/>
                <w:bottom w:val="none" w:sz="0" w:space="0" w:color="auto"/>
                <w:right w:val="none" w:sz="0" w:space="0" w:color="auto"/>
              </w:divBdr>
              <w:divsChild>
                <w:div w:id="1558668175">
                  <w:marLeft w:val="0"/>
                  <w:marRight w:val="0"/>
                  <w:marTop w:val="0"/>
                  <w:marBottom w:val="0"/>
                  <w:divBdr>
                    <w:top w:val="none" w:sz="0" w:space="0" w:color="auto"/>
                    <w:left w:val="none" w:sz="0" w:space="0" w:color="auto"/>
                    <w:bottom w:val="none" w:sz="0" w:space="0" w:color="auto"/>
                    <w:right w:val="none" w:sz="0" w:space="0" w:color="auto"/>
                  </w:divBdr>
                  <w:divsChild>
                    <w:div w:id="1015349862">
                      <w:marLeft w:val="0"/>
                      <w:marRight w:val="0"/>
                      <w:marTop w:val="0"/>
                      <w:marBottom w:val="0"/>
                      <w:divBdr>
                        <w:top w:val="none" w:sz="0" w:space="0" w:color="auto"/>
                        <w:left w:val="none" w:sz="0" w:space="0" w:color="auto"/>
                        <w:bottom w:val="none" w:sz="0" w:space="0" w:color="auto"/>
                        <w:right w:val="none" w:sz="0" w:space="0" w:color="auto"/>
                      </w:divBdr>
                      <w:divsChild>
                        <w:div w:id="167407999">
                          <w:marLeft w:val="0"/>
                          <w:marRight w:val="0"/>
                          <w:marTop w:val="0"/>
                          <w:marBottom w:val="0"/>
                          <w:divBdr>
                            <w:top w:val="none" w:sz="0" w:space="0" w:color="auto"/>
                            <w:left w:val="none" w:sz="0" w:space="0" w:color="auto"/>
                            <w:bottom w:val="none" w:sz="0" w:space="0" w:color="auto"/>
                            <w:right w:val="none" w:sz="0" w:space="0" w:color="auto"/>
                          </w:divBdr>
                        </w:div>
                      </w:divsChild>
                    </w:div>
                    <w:div w:id="1218542626">
                      <w:marLeft w:val="0"/>
                      <w:marRight w:val="0"/>
                      <w:marTop w:val="0"/>
                      <w:marBottom w:val="0"/>
                      <w:divBdr>
                        <w:top w:val="none" w:sz="0" w:space="0" w:color="auto"/>
                        <w:left w:val="none" w:sz="0" w:space="0" w:color="auto"/>
                        <w:bottom w:val="none" w:sz="0" w:space="0" w:color="auto"/>
                        <w:right w:val="none" w:sz="0" w:space="0" w:color="auto"/>
                      </w:divBdr>
                      <w:divsChild>
                        <w:div w:id="341129675">
                          <w:marLeft w:val="0"/>
                          <w:marRight w:val="0"/>
                          <w:marTop w:val="0"/>
                          <w:marBottom w:val="0"/>
                          <w:divBdr>
                            <w:top w:val="none" w:sz="0" w:space="0" w:color="auto"/>
                            <w:left w:val="none" w:sz="0" w:space="0" w:color="auto"/>
                            <w:bottom w:val="none" w:sz="0" w:space="0" w:color="auto"/>
                            <w:right w:val="none" w:sz="0" w:space="0" w:color="auto"/>
                          </w:divBdr>
                        </w:div>
                      </w:divsChild>
                    </w:div>
                    <w:div w:id="2083946307">
                      <w:marLeft w:val="0"/>
                      <w:marRight w:val="0"/>
                      <w:marTop w:val="0"/>
                      <w:marBottom w:val="0"/>
                      <w:divBdr>
                        <w:top w:val="none" w:sz="0" w:space="0" w:color="auto"/>
                        <w:left w:val="none" w:sz="0" w:space="0" w:color="auto"/>
                        <w:bottom w:val="none" w:sz="0" w:space="0" w:color="auto"/>
                        <w:right w:val="none" w:sz="0" w:space="0" w:color="auto"/>
                      </w:divBdr>
                      <w:divsChild>
                        <w:div w:id="14573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081089">
      <w:bodyDiv w:val="1"/>
      <w:marLeft w:val="0"/>
      <w:marRight w:val="0"/>
      <w:marTop w:val="0"/>
      <w:marBottom w:val="0"/>
      <w:divBdr>
        <w:top w:val="none" w:sz="0" w:space="0" w:color="auto"/>
        <w:left w:val="none" w:sz="0" w:space="0" w:color="auto"/>
        <w:bottom w:val="none" w:sz="0" w:space="0" w:color="auto"/>
        <w:right w:val="none" w:sz="0" w:space="0" w:color="auto"/>
      </w:divBdr>
    </w:div>
    <w:div w:id="938827934">
      <w:bodyDiv w:val="1"/>
      <w:marLeft w:val="0"/>
      <w:marRight w:val="0"/>
      <w:marTop w:val="0"/>
      <w:marBottom w:val="0"/>
      <w:divBdr>
        <w:top w:val="none" w:sz="0" w:space="0" w:color="auto"/>
        <w:left w:val="none" w:sz="0" w:space="0" w:color="auto"/>
        <w:bottom w:val="none" w:sz="0" w:space="0" w:color="auto"/>
        <w:right w:val="none" w:sz="0" w:space="0" w:color="auto"/>
      </w:divBdr>
      <w:divsChild>
        <w:div w:id="74328321">
          <w:marLeft w:val="0"/>
          <w:marRight w:val="0"/>
          <w:marTop w:val="0"/>
          <w:marBottom w:val="0"/>
          <w:divBdr>
            <w:top w:val="none" w:sz="0" w:space="0" w:color="auto"/>
            <w:left w:val="none" w:sz="0" w:space="0" w:color="auto"/>
            <w:bottom w:val="none" w:sz="0" w:space="0" w:color="auto"/>
            <w:right w:val="none" w:sz="0" w:space="0" w:color="auto"/>
          </w:divBdr>
          <w:divsChild>
            <w:div w:id="1746798866">
              <w:marLeft w:val="0"/>
              <w:marRight w:val="0"/>
              <w:marTop w:val="0"/>
              <w:marBottom w:val="0"/>
              <w:divBdr>
                <w:top w:val="none" w:sz="0" w:space="0" w:color="auto"/>
                <w:left w:val="none" w:sz="0" w:space="0" w:color="auto"/>
                <w:bottom w:val="none" w:sz="0" w:space="0" w:color="auto"/>
                <w:right w:val="none" w:sz="0" w:space="0" w:color="auto"/>
              </w:divBdr>
              <w:divsChild>
                <w:div w:id="1282420402">
                  <w:marLeft w:val="0"/>
                  <w:marRight w:val="0"/>
                  <w:marTop w:val="0"/>
                  <w:marBottom w:val="0"/>
                  <w:divBdr>
                    <w:top w:val="none" w:sz="0" w:space="0" w:color="auto"/>
                    <w:left w:val="none" w:sz="0" w:space="0" w:color="auto"/>
                    <w:bottom w:val="none" w:sz="0" w:space="0" w:color="auto"/>
                    <w:right w:val="none" w:sz="0" w:space="0" w:color="auto"/>
                  </w:divBdr>
                  <w:divsChild>
                    <w:div w:id="310253168">
                      <w:marLeft w:val="0"/>
                      <w:marRight w:val="0"/>
                      <w:marTop w:val="0"/>
                      <w:marBottom w:val="0"/>
                      <w:divBdr>
                        <w:top w:val="none" w:sz="0" w:space="0" w:color="auto"/>
                        <w:left w:val="none" w:sz="0" w:space="0" w:color="auto"/>
                        <w:bottom w:val="none" w:sz="0" w:space="0" w:color="auto"/>
                        <w:right w:val="none" w:sz="0" w:space="0" w:color="auto"/>
                      </w:divBdr>
                      <w:divsChild>
                        <w:div w:id="690953695">
                          <w:marLeft w:val="0"/>
                          <w:marRight w:val="0"/>
                          <w:marTop w:val="0"/>
                          <w:marBottom w:val="0"/>
                          <w:divBdr>
                            <w:top w:val="none" w:sz="0" w:space="0" w:color="auto"/>
                            <w:left w:val="none" w:sz="0" w:space="0" w:color="auto"/>
                            <w:bottom w:val="none" w:sz="0" w:space="0" w:color="auto"/>
                            <w:right w:val="none" w:sz="0" w:space="0" w:color="auto"/>
                          </w:divBdr>
                        </w:div>
                      </w:divsChild>
                    </w:div>
                    <w:div w:id="880440952">
                      <w:marLeft w:val="0"/>
                      <w:marRight w:val="0"/>
                      <w:marTop w:val="0"/>
                      <w:marBottom w:val="0"/>
                      <w:divBdr>
                        <w:top w:val="none" w:sz="0" w:space="0" w:color="auto"/>
                        <w:left w:val="none" w:sz="0" w:space="0" w:color="auto"/>
                        <w:bottom w:val="none" w:sz="0" w:space="0" w:color="auto"/>
                        <w:right w:val="none" w:sz="0" w:space="0" w:color="auto"/>
                      </w:divBdr>
                      <w:divsChild>
                        <w:div w:id="1711493270">
                          <w:marLeft w:val="0"/>
                          <w:marRight w:val="0"/>
                          <w:marTop w:val="0"/>
                          <w:marBottom w:val="0"/>
                          <w:divBdr>
                            <w:top w:val="none" w:sz="0" w:space="0" w:color="auto"/>
                            <w:left w:val="none" w:sz="0" w:space="0" w:color="auto"/>
                            <w:bottom w:val="none" w:sz="0" w:space="0" w:color="auto"/>
                            <w:right w:val="none" w:sz="0" w:space="0" w:color="auto"/>
                          </w:divBdr>
                        </w:div>
                      </w:divsChild>
                    </w:div>
                    <w:div w:id="2008089659">
                      <w:marLeft w:val="0"/>
                      <w:marRight w:val="0"/>
                      <w:marTop w:val="0"/>
                      <w:marBottom w:val="0"/>
                      <w:divBdr>
                        <w:top w:val="none" w:sz="0" w:space="0" w:color="auto"/>
                        <w:left w:val="none" w:sz="0" w:space="0" w:color="auto"/>
                        <w:bottom w:val="none" w:sz="0" w:space="0" w:color="auto"/>
                        <w:right w:val="none" w:sz="0" w:space="0" w:color="auto"/>
                      </w:divBdr>
                      <w:divsChild>
                        <w:div w:id="20462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658322">
          <w:marLeft w:val="0"/>
          <w:marRight w:val="0"/>
          <w:marTop w:val="0"/>
          <w:marBottom w:val="0"/>
          <w:divBdr>
            <w:top w:val="none" w:sz="0" w:space="0" w:color="auto"/>
            <w:left w:val="none" w:sz="0" w:space="0" w:color="auto"/>
            <w:bottom w:val="none" w:sz="0" w:space="0" w:color="auto"/>
            <w:right w:val="none" w:sz="0" w:space="0" w:color="auto"/>
          </w:divBdr>
          <w:divsChild>
            <w:div w:id="836921159">
              <w:marLeft w:val="0"/>
              <w:marRight w:val="0"/>
              <w:marTop w:val="0"/>
              <w:marBottom w:val="0"/>
              <w:divBdr>
                <w:top w:val="none" w:sz="0" w:space="0" w:color="auto"/>
                <w:left w:val="none" w:sz="0" w:space="0" w:color="auto"/>
                <w:bottom w:val="none" w:sz="0" w:space="0" w:color="auto"/>
                <w:right w:val="none" w:sz="0" w:space="0" w:color="auto"/>
              </w:divBdr>
              <w:divsChild>
                <w:div w:id="1119301940">
                  <w:marLeft w:val="0"/>
                  <w:marRight w:val="0"/>
                  <w:marTop w:val="0"/>
                  <w:marBottom w:val="0"/>
                  <w:divBdr>
                    <w:top w:val="none" w:sz="0" w:space="0" w:color="auto"/>
                    <w:left w:val="none" w:sz="0" w:space="0" w:color="auto"/>
                    <w:bottom w:val="none" w:sz="0" w:space="0" w:color="auto"/>
                    <w:right w:val="none" w:sz="0" w:space="0" w:color="auto"/>
                  </w:divBdr>
                  <w:divsChild>
                    <w:div w:id="1466660268">
                      <w:marLeft w:val="0"/>
                      <w:marRight w:val="0"/>
                      <w:marTop w:val="0"/>
                      <w:marBottom w:val="0"/>
                      <w:divBdr>
                        <w:top w:val="none" w:sz="0" w:space="0" w:color="auto"/>
                        <w:left w:val="none" w:sz="0" w:space="0" w:color="auto"/>
                        <w:bottom w:val="none" w:sz="0" w:space="0" w:color="auto"/>
                        <w:right w:val="none" w:sz="0" w:space="0" w:color="auto"/>
                      </w:divBdr>
                      <w:divsChild>
                        <w:div w:id="320501607">
                          <w:marLeft w:val="0"/>
                          <w:marRight w:val="0"/>
                          <w:marTop w:val="0"/>
                          <w:marBottom w:val="0"/>
                          <w:divBdr>
                            <w:top w:val="none" w:sz="0" w:space="0" w:color="auto"/>
                            <w:left w:val="none" w:sz="0" w:space="0" w:color="auto"/>
                            <w:bottom w:val="none" w:sz="0" w:space="0" w:color="auto"/>
                            <w:right w:val="none" w:sz="0" w:space="0" w:color="auto"/>
                          </w:divBdr>
                        </w:div>
                      </w:divsChild>
                    </w:div>
                    <w:div w:id="38357948">
                      <w:marLeft w:val="0"/>
                      <w:marRight w:val="0"/>
                      <w:marTop w:val="0"/>
                      <w:marBottom w:val="0"/>
                      <w:divBdr>
                        <w:top w:val="none" w:sz="0" w:space="0" w:color="auto"/>
                        <w:left w:val="none" w:sz="0" w:space="0" w:color="auto"/>
                        <w:bottom w:val="none" w:sz="0" w:space="0" w:color="auto"/>
                        <w:right w:val="none" w:sz="0" w:space="0" w:color="auto"/>
                      </w:divBdr>
                      <w:divsChild>
                        <w:div w:id="1782722466">
                          <w:marLeft w:val="0"/>
                          <w:marRight w:val="0"/>
                          <w:marTop w:val="0"/>
                          <w:marBottom w:val="0"/>
                          <w:divBdr>
                            <w:top w:val="none" w:sz="0" w:space="0" w:color="auto"/>
                            <w:left w:val="none" w:sz="0" w:space="0" w:color="auto"/>
                            <w:bottom w:val="none" w:sz="0" w:space="0" w:color="auto"/>
                            <w:right w:val="none" w:sz="0" w:space="0" w:color="auto"/>
                          </w:divBdr>
                        </w:div>
                      </w:divsChild>
                    </w:div>
                    <w:div w:id="357465352">
                      <w:marLeft w:val="0"/>
                      <w:marRight w:val="0"/>
                      <w:marTop w:val="0"/>
                      <w:marBottom w:val="0"/>
                      <w:divBdr>
                        <w:top w:val="none" w:sz="0" w:space="0" w:color="auto"/>
                        <w:left w:val="none" w:sz="0" w:space="0" w:color="auto"/>
                        <w:bottom w:val="none" w:sz="0" w:space="0" w:color="auto"/>
                        <w:right w:val="none" w:sz="0" w:space="0" w:color="auto"/>
                      </w:divBdr>
                      <w:divsChild>
                        <w:div w:id="20612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1616">
          <w:marLeft w:val="0"/>
          <w:marRight w:val="0"/>
          <w:marTop w:val="0"/>
          <w:marBottom w:val="0"/>
          <w:divBdr>
            <w:top w:val="none" w:sz="0" w:space="0" w:color="auto"/>
            <w:left w:val="none" w:sz="0" w:space="0" w:color="auto"/>
            <w:bottom w:val="none" w:sz="0" w:space="0" w:color="auto"/>
            <w:right w:val="none" w:sz="0" w:space="0" w:color="auto"/>
          </w:divBdr>
          <w:divsChild>
            <w:div w:id="2012290169">
              <w:marLeft w:val="0"/>
              <w:marRight w:val="0"/>
              <w:marTop w:val="0"/>
              <w:marBottom w:val="0"/>
              <w:divBdr>
                <w:top w:val="none" w:sz="0" w:space="0" w:color="auto"/>
                <w:left w:val="none" w:sz="0" w:space="0" w:color="auto"/>
                <w:bottom w:val="none" w:sz="0" w:space="0" w:color="auto"/>
                <w:right w:val="none" w:sz="0" w:space="0" w:color="auto"/>
              </w:divBdr>
              <w:divsChild>
                <w:div w:id="958412757">
                  <w:marLeft w:val="0"/>
                  <w:marRight w:val="0"/>
                  <w:marTop w:val="0"/>
                  <w:marBottom w:val="0"/>
                  <w:divBdr>
                    <w:top w:val="none" w:sz="0" w:space="0" w:color="auto"/>
                    <w:left w:val="none" w:sz="0" w:space="0" w:color="auto"/>
                    <w:bottom w:val="none" w:sz="0" w:space="0" w:color="auto"/>
                    <w:right w:val="none" w:sz="0" w:space="0" w:color="auto"/>
                  </w:divBdr>
                  <w:divsChild>
                    <w:div w:id="668681552">
                      <w:marLeft w:val="0"/>
                      <w:marRight w:val="0"/>
                      <w:marTop w:val="0"/>
                      <w:marBottom w:val="0"/>
                      <w:divBdr>
                        <w:top w:val="none" w:sz="0" w:space="0" w:color="auto"/>
                        <w:left w:val="none" w:sz="0" w:space="0" w:color="auto"/>
                        <w:bottom w:val="none" w:sz="0" w:space="0" w:color="auto"/>
                        <w:right w:val="none" w:sz="0" w:space="0" w:color="auto"/>
                      </w:divBdr>
                      <w:divsChild>
                        <w:div w:id="1597520237">
                          <w:marLeft w:val="0"/>
                          <w:marRight w:val="0"/>
                          <w:marTop w:val="0"/>
                          <w:marBottom w:val="0"/>
                          <w:divBdr>
                            <w:top w:val="none" w:sz="0" w:space="0" w:color="auto"/>
                            <w:left w:val="none" w:sz="0" w:space="0" w:color="auto"/>
                            <w:bottom w:val="none" w:sz="0" w:space="0" w:color="auto"/>
                            <w:right w:val="none" w:sz="0" w:space="0" w:color="auto"/>
                          </w:divBdr>
                        </w:div>
                      </w:divsChild>
                    </w:div>
                    <w:div w:id="1542204073">
                      <w:marLeft w:val="0"/>
                      <w:marRight w:val="0"/>
                      <w:marTop w:val="0"/>
                      <w:marBottom w:val="0"/>
                      <w:divBdr>
                        <w:top w:val="none" w:sz="0" w:space="0" w:color="auto"/>
                        <w:left w:val="none" w:sz="0" w:space="0" w:color="auto"/>
                        <w:bottom w:val="none" w:sz="0" w:space="0" w:color="auto"/>
                        <w:right w:val="none" w:sz="0" w:space="0" w:color="auto"/>
                      </w:divBdr>
                      <w:divsChild>
                        <w:div w:id="1007827651">
                          <w:marLeft w:val="0"/>
                          <w:marRight w:val="0"/>
                          <w:marTop w:val="0"/>
                          <w:marBottom w:val="0"/>
                          <w:divBdr>
                            <w:top w:val="none" w:sz="0" w:space="0" w:color="auto"/>
                            <w:left w:val="none" w:sz="0" w:space="0" w:color="auto"/>
                            <w:bottom w:val="none" w:sz="0" w:space="0" w:color="auto"/>
                            <w:right w:val="none" w:sz="0" w:space="0" w:color="auto"/>
                          </w:divBdr>
                        </w:div>
                      </w:divsChild>
                    </w:div>
                    <w:div w:id="144206093">
                      <w:marLeft w:val="0"/>
                      <w:marRight w:val="0"/>
                      <w:marTop w:val="0"/>
                      <w:marBottom w:val="0"/>
                      <w:divBdr>
                        <w:top w:val="none" w:sz="0" w:space="0" w:color="auto"/>
                        <w:left w:val="none" w:sz="0" w:space="0" w:color="auto"/>
                        <w:bottom w:val="none" w:sz="0" w:space="0" w:color="auto"/>
                        <w:right w:val="none" w:sz="0" w:space="0" w:color="auto"/>
                      </w:divBdr>
                      <w:divsChild>
                        <w:div w:id="4323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54392">
          <w:marLeft w:val="0"/>
          <w:marRight w:val="0"/>
          <w:marTop w:val="0"/>
          <w:marBottom w:val="0"/>
          <w:divBdr>
            <w:top w:val="none" w:sz="0" w:space="0" w:color="auto"/>
            <w:left w:val="none" w:sz="0" w:space="0" w:color="auto"/>
            <w:bottom w:val="none" w:sz="0" w:space="0" w:color="auto"/>
            <w:right w:val="none" w:sz="0" w:space="0" w:color="auto"/>
          </w:divBdr>
          <w:divsChild>
            <w:div w:id="144788207">
              <w:marLeft w:val="0"/>
              <w:marRight w:val="0"/>
              <w:marTop w:val="0"/>
              <w:marBottom w:val="0"/>
              <w:divBdr>
                <w:top w:val="none" w:sz="0" w:space="0" w:color="auto"/>
                <w:left w:val="none" w:sz="0" w:space="0" w:color="auto"/>
                <w:bottom w:val="none" w:sz="0" w:space="0" w:color="auto"/>
                <w:right w:val="none" w:sz="0" w:space="0" w:color="auto"/>
              </w:divBdr>
              <w:divsChild>
                <w:div w:id="574122372">
                  <w:marLeft w:val="0"/>
                  <w:marRight w:val="0"/>
                  <w:marTop w:val="0"/>
                  <w:marBottom w:val="0"/>
                  <w:divBdr>
                    <w:top w:val="none" w:sz="0" w:space="0" w:color="auto"/>
                    <w:left w:val="none" w:sz="0" w:space="0" w:color="auto"/>
                    <w:bottom w:val="none" w:sz="0" w:space="0" w:color="auto"/>
                    <w:right w:val="none" w:sz="0" w:space="0" w:color="auto"/>
                  </w:divBdr>
                  <w:divsChild>
                    <w:div w:id="51852711">
                      <w:marLeft w:val="0"/>
                      <w:marRight w:val="0"/>
                      <w:marTop w:val="0"/>
                      <w:marBottom w:val="0"/>
                      <w:divBdr>
                        <w:top w:val="none" w:sz="0" w:space="0" w:color="auto"/>
                        <w:left w:val="none" w:sz="0" w:space="0" w:color="auto"/>
                        <w:bottom w:val="none" w:sz="0" w:space="0" w:color="auto"/>
                        <w:right w:val="none" w:sz="0" w:space="0" w:color="auto"/>
                      </w:divBdr>
                      <w:divsChild>
                        <w:div w:id="407967135">
                          <w:marLeft w:val="0"/>
                          <w:marRight w:val="0"/>
                          <w:marTop w:val="0"/>
                          <w:marBottom w:val="0"/>
                          <w:divBdr>
                            <w:top w:val="none" w:sz="0" w:space="0" w:color="auto"/>
                            <w:left w:val="none" w:sz="0" w:space="0" w:color="auto"/>
                            <w:bottom w:val="none" w:sz="0" w:space="0" w:color="auto"/>
                            <w:right w:val="none" w:sz="0" w:space="0" w:color="auto"/>
                          </w:divBdr>
                        </w:div>
                      </w:divsChild>
                    </w:div>
                    <w:div w:id="239602472">
                      <w:marLeft w:val="0"/>
                      <w:marRight w:val="0"/>
                      <w:marTop w:val="0"/>
                      <w:marBottom w:val="0"/>
                      <w:divBdr>
                        <w:top w:val="none" w:sz="0" w:space="0" w:color="auto"/>
                        <w:left w:val="none" w:sz="0" w:space="0" w:color="auto"/>
                        <w:bottom w:val="none" w:sz="0" w:space="0" w:color="auto"/>
                        <w:right w:val="none" w:sz="0" w:space="0" w:color="auto"/>
                      </w:divBdr>
                      <w:divsChild>
                        <w:div w:id="1755085689">
                          <w:marLeft w:val="0"/>
                          <w:marRight w:val="0"/>
                          <w:marTop w:val="0"/>
                          <w:marBottom w:val="0"/>
                          <w:divBdr>
                            <w:top w:val="none" w:sz="0" w:space="0" w:color="auto"/>
                            <w:left w:val="none" w:sz="0" w:space="0" w:color="auto"/>
                            <w:bottom w:val="none" w:sz="0" w:space="0" w:color="auto"/>
                            <w:right w:val="none" w:sz="0" w:space="0" w:color="auto"/>
                          </w:divBdr>
                        </w:div>
                      </w:divsChild>
                    </w:div>
                    <w:div w:id="480973362">
                      <w:marLeft w:val="0"/>
                      <w:marRight w:val="0"/>
                      <w:marTop w:val="0"/>
                      <w:marBottom w:val="0"/>
                      <w:divBdr>
                        <w:top w:val="none" w:sz="0" w:space="0" w:color="auto"/>
                        <w:left w:val="none" w:sz="0" w:space="0" w:color="auto"/>
                        <w:bottom w:val="none" w:sz="0" w:space="0" w:color="auto"/>
                        <w:right w:val="none" w:sz="0" w:space="0" w:color="auto"/>
                      </w:divBdr>
                      <w:divsChild>
                        <w:div w:id="181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35516">
      <w:bodyDiv w:val="1"/>
      <w:marLeft w:val="0"/>
      <w:marRight w:val="0"/>
      <w:marTop w:val="0"/>
      <w:marBottom w:val="0"/>
      <w:divBdr>
        <w:top w:val="none" w:sz="0" w:space="0" w:color="auto"/>
        <w:left w:val="none" w:sz="0" w:space="0" w:color="auto"/>
        <w:bottom w:val="none" w:sz="0" w:space="0" w:color="auto"/>
        <w:right w:val="none" w:sz="0" w:space="0" w:color="auto"/>
      </w:divBdr>
      <w:divsChild>
        <w:div w:id="1791120984">
          <w:marLeft w:val="0"/>
          <w:marRight w:val="0"/>
          <w:marTop w:val="0"/>
          <w:marBottom w:val="0"/>
          <w:divBdr>
            <w:top w:val="none" w:sz="0" w:space="0" w:color="auto"/>
            <w:left w:val="none" w:sz="0" w:space="0" w:color="auto"/>
            <w:bottom w:val="none" w:sz="0" w:space="0" w:color="auto"/>
            <w:right w:val="none" w:sz="0" w:space="0" w:color="auto"/>
          </w:divBdr>
          <w:divsChild>
            <w:div w:id="885605590">
              <w:marLeft w:val="0"/>
              <w:marRight w:val="0"/>
              <w:marTop w:val="0"/>
              <w:marBottom w:val="0"/>
              <w:divBdr>
                <w:top w:val="none" w:sz="0" w:space="0" w:color="auto"/>
                <w:left w:val="none" w:sz="0" w:space="0" w:color="auto"/>
                <w:bottom w:val="none" w:sz="0" w:space="0" w:color="auto"/>
                <w:right w:val="none" w:sz="0" w:space="0" w:color="auto"/>
              </w:divBdr>
              <w:divsChild>
                <w:div w:id="1885865489">
                  <w:marLeft w:val="0"/>
                  <w:marRight w:val="0"/>
                  <w:marTop w:val="0"/>
                  <w:marBottom w:val="0"/>
                  <w:divBdr>
                    <w:top w:val="none" w:sz="0" w:space="0" w:color="auto"/>
                    <w:left w:val="none" w:sz="0" w:space="0" w:color="auto"/>
                    <w:bottom w:val="none" w:sz="0" w:space="0" w:color="auto"/>
                    <w:right w:val="none" w:sz="0" w:space="0" w:color="auto"/>
                  </w:divBdr>
                  <w:divsChild>
                    <w:div w:id="1948389923">
                      <w:marLeft w:val="0"/>
                      <w:marRight w:val="0"/>
                      <w:marTop w:val="0"/>
                      <w:marBottom w:val="0"/>
                      <w:divBdr>
                        <w:top w:val="none" w:sz="0" w:space="0" w:color="auto"/>
                        <w:left w:val="none" w:sz="0" w:space="0" w:color="auto"/>
                        <w:bottom w:val="none" w:sz="0" w:space="0" w:color="auto"/>
                        <w:right w:val="none" w:sz="0" w:space="0" w:color="auto"/>
                      </w:divBdr>
                      <w:divsChild>
                        <w:div w:id="1477606061">
                          <w:marLeft w:val="0"/>
                          <w:marRight w:val="0"/>
                          <w:marTop w:val="0"/>
                          <w:marBottom w:val="0"/>
                          <w:divBdr>
                            <w:top w:val="none" w:sz="0" w:space="0" w:color="auto"/>
                            <w:left w:val="none" w:sz="0" w:space="0" w:color="auto"/>
                            <w:bottom w:val="none" w:sz="0" w:space="0" w:color="auto"/>
                            <w:right w:val="none" w:sz="0" w:space="0" w:color="auto"/>
                          </w:divBdr>
                        </w:div>
                      </w:divsChild>
                    </w:div>
                    <w:div w:id="1750225163">
                      <w:marLeft w:val="0"/>
                      <w:marRight w:val="0"/>
                      <w:marTop w:val="0"/>
                      <w:marBottom w:val="0"/>
                      <w:divBdr>
                        <w:top w:val="none" w:sz="0" w:space="0" w:color="auto"/>
                        <w:left w:val="none" w:sz="0" w:space="0" w:color="auto"/>
                        <w:bottom w:val="none" w:sz="0" w:space="0" w:color="auto"/>
                        <w:right w:val="none" w:sz="0" w:space="0" w:color="auto"/>
                      </w:divBdr>
                      <w:divsChild>
                        <w:div w:id="1471748364">
                          <w:marLeft w:val="0"/>
                          <w:marRight w:val="0"/>
                          <w:marTop w:val="0"/>
                          <w:marBottom w:val="0"/>
                          <w:divBdr>
                            <w:top w:val="none" w:sz="0" w:space="0" w:color="auto"/>
                            <w:left w:val="none" w:sz="0" w:space="0" w:color="auto"/>
                            <w:bottom w:val="none" w:sz="0" w:space="0" w:color="auto"/>
                            <w:right w:val="none" w:sz="0" w:space="0" w:color="auto"/>
                          </w:divBdr>
                        </w:div>
                      </w:divsChild>
                    </w:div>
                    <w:div w:id="570821449">
                      <w:marLeft w:val="0"/>
                      <w:marRight w:val="0"/>
                      <w:marTop w:val="0"/>
                      <w:marBottom w:val="0"/>
                      <w:divBdr>
                        <w:top w:val="none" w:sz="0" w:space="0" w:color="auto"/>
                        <w:left w:val="none" w:sz="0" w:space="0" w:color="auto"/>
                        <w:bottom w:val="none" w:sz="0" w:space="0" w:color="auto"/>
                        <w:right w:val="none" w:sz="0" w:space="0" w:color="auto"/>
                      </w:divBdr>
                      <w:divsChild>
                        <w:div w:id="7905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15</cp:revision>
  <dcterms:created xsi:type="dcterms:W3CDTF">2026-02-23T09:50:00Z</dcterms:created>
  <dcterms:modified xsi:type="dcterms:W3CDTF">2026-02-28T10:35:00Z</dcterms:modified>
</cp:coreProperties>
</file>