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DF" w:rsidRPr="00A521DF" w:rsidRDefault="00A521DF" w:rsidP="00A521DF">
      <w:pPr>
        <w:jc w:val="center"/>
        <w:rPr>
          <w:b/>
          <w:bCs/>
          <w:sz w:val="32"/>
          <w:szCs w:val="26"/>
        </w:rPr>
      </w:pPr>
      <w:r w:rsidRPr="00A521DF">
        <w:rPr>
          <w:b/>
          <w:bCs/>
          <w:sz w:val="32"/>
          <w:szCs w:val="26"/>
        </w:rPr>
        <w:t>Dynamics of Area, Production, and Productivity of Barley in India: A Growth Analysis (2001–2025)</w:t>
      </w:r>
    </w:p>
    <w:p w:rsidR="007A7217" w:rsidRPr="00DC145D" w:rsidRDefault="007A7217" w:rsidP="007A7217">
      <w:pPr>
        <w:pStyle w:val="NoSpacing"/>
        <w:jc w:val="both"/>
        <w:rPr>
          <w:rFonts w:ascii="Times New Roman" w:hAnsi="Times New Roman" w:cs="Times New Roman"/>
          <w:i/>
          <w:iCs/>
          <w:kern w:val="36"/>
          <w:szCs w:val="22"/>
        </w:rPr>
      </w:pPr>
      <w:bookmarkStart w:id="0" w:name="_GoBack"/>
      <w:bookmarkEnd w:id="0"/>
    </w:p>
    <w:p w:rsidR="007A7217" w:rsidRDefault="007A7217" w:rsidP="007A7217">
      <w:pPr>
        <w:pStyle w:val="NormalWeb"/>
      </w:pPr>
      <w:r>
        <w:rPr>
          <w:rStyle w:val="Strong"/>
        </w:rPr>
        <w:t>Keywords:</w:t>
      </w:r>
      <w:r>
        <w:t xml:space="preserve"> Barley, Area, Production, Productivity, Growth Rate, Indian Agriculture, CAGR</w:t>
      </w:r>
    </w:p>
    <w:p w:rsidR="007A7217" w:rsidRPr="007A7217" w:rsidRDefault="007A7217" w:rsidP="007A7217">
      <w:pPr>
        <w:pStyle w:val="Heading2"/>
        <w:jc w:val="center"/>
        <w:rPr>
          <w:color w:val="000000" w:themeColor="text1"/>
        </w:rPr>
      </w:pPr>
      <w:r w:rsidRPr="007A7217">
        <w:rPr>
          <w:rStyle w:val="Strong"/>
          <w:b/>
          <w:bCs/>
          <w:color w:val="000000" w:themeColor="text1"/>
        </w:rPr>
        <w:t>Abstract</w:t>
      </w:r>
    </w:p>
    <w:p w:rsidR="007A7217" w:rsidRPr="007A7217" w:rsidRDefault="007A7217" w:rsidP="007A7217">
      <w:pPr>
        <w:pStyle w:val="NormalWeb"/>
        <w:spacing w:line="360" w:lineRule="auto"/>
        <w:ind w:firstLine="720"/>
        <w:jc w:val="both"/>
      </w:pPr>
      <w:r w:rsidRPr="007A7217">
        <w:t>Barley (</w:t>
      </w:r>
      <w:proofErr w:type="spellStart"/>
      <w:r w:rsidRPr="007A7217">
        <w:rPr>
          <w:rStyle w:val="Emphasis"/>
          <w:rFonts w:eastAsiaTheme="majorEastAsia"/>
        </w:rPr>
        <w:t>Hordeum</w:t>
      </w:r>
      <w:proofErr w:type="spellEnd"/>
      <w:r w:rsidRPr="007A7217">
        <w:rPr>
          <w:rStyle w:val="Emphasis"/>
          <w:rFonts w:eastAsiaTheme="majorEastAsia"/>
        </w:rPr>
        <w:t xml:space="preserve"> </w:t>
      </w:r>
      <w:proofErr w:type="spellStart"/>
      <w:r w:rsidRPr="007A7217">
        <w:rPr>
          <w:rStyle w:val="Emphasis"/>
          <w:rFonts w:eastAsiaTheme="majorEastAsia"/>
        </w:rPr>
        <w:t>vulgare</w:t>
      </w:r>
      <w:proofErr w:type="spellEnd"/>
      <w:r w:rsidRPr="007A7217">
        <w:t>) occupies a distinctive position in Indian agriculture as a minor cereal crop with diverse uses in food, feed, and industrial processing. Over the last two and a half decades, barley cultivation in India has undergone significant structural transformation marked by declining area and improving productivity. This study analyses the growth pattern of barley area, production, and productivity in India during the period 2001–2025 using secondary data and standard growth analysis techniques. The study employs descriptive statistics, trend analysis, and compound annual growth rate (CAGR) estimation to examine long-term changes. The findings reveal that while the area under barley has consistently declined due to crop substitution and changing market incentives, productivity has increased substantially owing to technological advancement, varietal improvement, and better crop management. As a result, total production has remained relatively stable despite shrinking acreage. The paper highlights the implications of productivity-led growth for sustainable agriculture, crop diversification, and climate resilience, and suggests policy measures to strengthen barley cultivation in India.</w:t>
      </w:r>
    </w:p>
    <w:p w:rsidR="00757229" w:rsidRDefault="00757229" w:rsidP="007A7217">
      <w:pPr>
        <w:pStyle w:val="Heading3"/>
        <w:jc w:val="center"/>
        <w:rPr>
          <w:color w:val="000000" w:themeColor="text1"/>
          <w:sz w:val="24"/>
          <w:szCs w:val="24"/>
        </w:rPr>
      </w:pPr>
      <w:r>
        <w:rPr>
          <w:color w:val="000000" w:themeColor="text1"/>
          <w:sz w:val="24"/>
          <w:szCs w:val="24"/>
        </w:rPr>
        <w:t>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Introduction</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Barley (</w:t>
      </w:r>
      <w:proofErr w:type="spellStart"/>
      <w:r w:rsidRPr="00757229">
        <w:rPr>
          <w:i/>
          <w:iCs/>
          <w:color w:val="000000" w:themeColor="text1"/>
        </w:rPr>
        <w:t>Hordeum</w:t>
      </w:r>
      <w:proofErr w:type="spellEnd"/>
      <w:r w:rsidRPr="00757229">
        <w:rPr>
          <w:i/>
          <w:iCs/>
          <w:color w:val="000000" w:themeColor="text1"/>
        </w:rPr>
        <w:t xml:space="preserve"> </w:t>
      </w:r>
      <w:proofErr w:type="spellStart"/>
      <w:r w:rsidRPr="00757229">
        <w:rPr>
          <w:i/>
          <w:iCs/>
          <w:color w:val="000000" w:themeColor="text1"/>
        </w:rPr>
        <w:t>vulgare</w:t>
      </w:r>
      <w:proofErr w:type="spellEnd"/>
      <w:r w:rsidRPr="00757229">
        <w:rPr>
          <w:i/>
          <w:iCs/>
          <w:color w:val="000000" w:themeColor="text1"/>
        </w:rPr>
        <w:t xml:space="preserve"> L.</w:t>
      </w:r>
      <w:r w:rsidRPr="00757229">
        <w:rPr>
          <w:color w:val="000000" w:themeColor="text1"/>
        </w:rPr>
        <w:t>) occupies a unique niche in Indian agro-ecology. Traditionally known as the "crop of the parched lands," it has sustained civilizations across the Indo-</w:t>
      </w:r>
      <w:proofErr w:type="spellStart"/>
      <w:r w:rsidRPr="00757229">
        <w:rPr>
          <w:color w:val="000000" w:themeColor="text1"/>
        </w:rPr>
        <w:t>Gangetic</w:t>
      </w:r>
      <w:proofErr w:type="spellEnd"/>
      <w:r w:rsidRPr="00757229">
        <w:rPr>
          <w:color w:val="000000" w:themeColor="text1"/>
        </w:rPr>
        <w:t xml:space="preserve"> plains for millennia. In the contemporary Indian agricultural economy, barley has transitioned from a coarse cereal consumed primarily by low-income rural households to a high-value industrial raw material. Its intrin</w:t>
      </w:r>
      <w:r w:rsidR="0020488E">
        <w:rPr>
          <w:color w:val="000000" w:themeColor="text1"/>
        </w:rPr>
        <w:t xml:space="preserve">sic properties </w:t>
      </w:r>
      <w:r w:rsidRPr="00757229">
        <w:rPr>
          <w:color w:val="000000" w:themeColor="text1"/>
        </w:rPr>
        <w:t>high fiber content, beta-</w:t>
      </w:r>
      <w:proofErr w:type="spellStart"/>
      <w:r w:rsidRPr="00757229">
        <w:rPr>
          <w:color w:val="000000" w:themeColor="text1"/>
        </w:rPr>
        <w:t>glucans</w:t>
      </w:r>
      <w:proofErr w:type="spellEnd"/>
      <w:r w:rsidRPr="00757229">
        <w:rPr>
          <w:color w:val="000000" w:themeColor="text1"/>
        </w:rPr>
        <w:t>, and superior malting qualities—have made it indispensable to both the functional food industry and the brewing sector.</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 xml:space="preserve">Nationally, India ranks as a significant producer in the South Asian region, with cultivation concentrated in the semi-arid tracts of Rajasthan, Haryana, and Uttar Pradesh. Globally, while India’s share of total production is modest compared to giants like the European </w:t>
      </w:r>
      <w:r w:rsidRPr="00757229">
        <w:rPr>
          <w:color w:val="000000" w:themeColor="text1"/>
        </w:rPr>
        <w:lastRenderedPageBreak/>
        <w:t>Union or Russia, its role is pivotal in the context of tropical barley research. The study period of 2001–2025 is particularly significant as it encapsulates two distinct eras: the early 2000s, characterized by stagnant traditional farming, and the post-2010 era, marked by the entry of multinational malting companies and the introduction of contract farming models. This evolution has redefined the crop's economic value, shifting the focus from caloric security to industrial utility.</w:t>
      </w:r>
    </w:p>
    <w:p w:rsidR="00757229" w:rsidRDefault="00757229" w:rsidP="00757229">
      <w:pPr>
        <w:pStyle w:val="Heading3"/>
        <w:spacing w:line="360" w:lineRule="auto"/>
        <w:jc w:val="center"/>
        <w:rPr>
          <w:color w:val="000000" w:themeColor="text1"/>
          <w:sz w:val="24"/>
          <w:szCs w:val="24"/>
        </w:rPr>
      </w:pPr>
      <w:r>
        <w:rPr>
          <w:color w:val="000000" w:themeColor="text1"/>
          <w:sz w:val="24"/>
          <w:szCs w:val="24"/>
        </w:rPr>
        <w:t>II</w:t>
      </w:r>
    </w:p>
    <w:p w:rsidR="00757229" w:rsidRPr="00757229" w:rsidRDefault="00757229" w:rsidP="00757229">
      <w:pPr>
        <w:pStyle w:val="Heading3"/>
        <w:spacing w:line="360" w:lineRule="auto"/>
        <w:jc w:val="center"/>
        <w:rPr>
          <w:color w:val="000000" w:themeColor="text1"/>
          <w:sz w:val="24"/>
          <w:szCs w:val="24"/>
        </w:rPr>
      </w:pPr>
      <w:r w:rsidRPr="00757229">
        <w:rPr>
          <w:color w:val="000000" w:themeColor="text1"/>
          <w:sz w:val="24"/>
          <w:szCs w:val="24"/>
        </w:rPr>
        <w:t>Statement of the Problem</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The central problem facing Indian barley is a structural imbalance between land allocation and yield efficiency. For over two decades, the area under barley has faced a persistent squeeze. Farmers are increasingly gravitating toward wheat (due to guaranteed procurement and Minimum Support Price stability) or mustard (due to high market prices for oilseeds). This has resulted in barley being relegated to "marginal lands" with poor soil fertility and limited irrigation.</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However, the paradox lies in the production figures. Despite the shrinking acreage, India has managed to maintain or even increase its total output. This suggests a massive surge in productivity that warrants scientific investigation. There is a notable research gap in quantifying how much of this growth is due to "genetic gain" versus "management efficiency." Furthermore, the economic instability caused by price fluctuations in the open market—unlike the regulated wheat market—creates a risky environment for smallholder farmers. This study addresses the need to reconcile the declining land footprint with the rising demand for industrial-grade barley.</w:t>
      </w:r>
    </w:p>
    <w:p w:rsidR="00757229" w:rsidRDefault="00757229" w:rsidP="00757229">
      <w:pPr>
        <w:pStyle w:val="Heading3"/>
        <w:spacing w:line="360" w:lineRule="auto"/>
        <w:jc w:val="center"/>
        <w:rPr>
          <w:color w:val="000000" w:themeColor="text1"/>
          <w:sz w:val="24"/>
          <w:szCs w:val="24"/>
        </w:rPr>
      </w:pPr>
      <w:r>
        <w:rPr>
          <w:color w:val="000000" w:themeColor="text1"/>
          <w:sz w:val="24"/>
          <w:szCs w:val="24"/>
        </w:rPr>
        <w:t>III</w:t>
      </w:r>
    </w:p>
    <w:p w:rsidR="00757229" w:rsidRPr="00757229" w:rsidRDefault="00757229" w:rsidP="00757229">
      <w:pPr>
        <w:pStyle w:val="Heading3"/>
        <w:spacing w:line="360" w:lineRule="auto"/>
        <w:jc w:val="center"/>
        <w:rPr>
          <w:color w:val="000000" w:themeColor="text1"/>
          <w:sz w:val="24"/>
          <w:szCs w:val="24"/>
        </w:rPr>
      </w:pPr>
      <w:r w:rsidRPr="00757229">
        <w:rPr>
          <w:color w:val="000000" w:themeColor="text1"/>
          <w:sz w:val="24"/>
          <w:szCs w:val="24"/>
        </w:rPr>
        <w:t>Need of the Study</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 xml:space="preserve">The relevance of this study is underscored by the shifting climate and industrial paradigms in India. First, </w:t>
      </w:r>
      <w:r w:rsidRPr="00757229">
        <w:rPr>
          <w:b/>
          <w:bCs/>
          <w:color w:val="000000" w:themeColor="text1"/>
        </w:rPr>
        <w:t>Policy Relevance:</w:t>
      </w:r>
      <w:r w:rsidRPr="00757229">
        <w:rPr>
          <w:color w:val="000000" w:themeColor="text1"/>
        </w:rPr>
        <w:t xml:space="preserve"> As the Government of India emphasizes crop diversification away from water-intensive paddy-wheat </w:t>
      </w:r>
      <w:proofErr w:type="gramStart"/>
      <w:r w:rsidRPr="00757229">
        <w:rPr>
          <w:color w:val="000000" w:themeColor="text1"/>
        </w:rPr>
        <w:t>cycles,</w:t>
      </w:r>
      <w:proofErr w:type="gramEnd"/>
      <w:r w:rsidRPr="00757229">
        <w:rPr>
          <w:color w:val="000000" w:themeColor="text1"/>
        </w:rPr>
        <w:t xml:space="preserve"> barley emerges as a viable "Rabi" alternative. Understanding its growth patterns helps in formulating better procurement and price-support strategies.</w:t>
      </w:r>
    </w:p>
    <w:p w:rsidR="00757229" w:rsidRDefault="00757229" w:rsidP="007A7217">
      <w:pPr>
        <w:pStyle w:val="NormalWeb"/>
        <w:spacing w:line="360" w:lineRule="auto"/>
        <w:ind w:firstLine="720"/>
        <w:jc w:val="both"/>
        <w:rPr>
          <w:color w:val="000000" w:themeColor="text1"/>
        </w:rPr>
      </w:pPr>
      <w:r w:rsidRPr="00757229">
        <w:rPr>
          <w:color w:val="000000" w:themeColor="text1"/>
        </w:rPr>
        <w:lastRenderedPageBreak/>
        <w:t xml:space="preserve">Second, </w:t>
      </w:r>
      <w:r w:rsidRPr="00757229">
        <w:rPr>
          <w:b/>
          <w:bCs/>
          <w:color w:val="000000" w:themeColor="text1"/>
        </w:rPr>
        <w:t>Industrial Integration:</w:t>
      </w:r>
      <w:r w:rsidRPr="00757229">
        <w:rPr>
          <w:color w:val="000000" w:themeColor="text1"/>
        </w:rPr>
        <w:t xml:space="preserve"> The malt industry is growing at a rate of 6–8% annually. Without a data-driven understanding of production trends, the gap between industrial demand and domestic supply could lead to increased import dependency. Third, </w:t>
      </w:r>
      <w:r w:rsidRPr="00757229">
        <w:rPr>
          <w:b/>
          <w:bCs/>
          <w:color w:val="000000" w:themeColor="text1"/>
        </w:rPr>
        <w:t>Climate Resilience:</w:t>
      </w:r>
      <w:r w:rsidRPr="00757229">
        <w:rPr>
          <w:color w:val="000000" w:themeColor="text1"/>
        </w:rPr>
        <w:t xml:space="preserve"> With the increasing frequency of "Terminal Heat" (sudden temperature spikes in February-March) affecting wheat yields, barley’s shorter duration and heat tolerance make it a critical component of India’s climate-smart agriculture strategy. This study provides the quantitative evidence needed to advocate for barley as a strategic crop for the "Water-Stressed" future of North India.</w:t>
      </w:r>
    </w:p>
    <w:p w:rsidR="00757229" w:rsidRDefault="00757229" w:rsidP="00757229">
      <w:pPr>
        <w:pStyle w:val="Heading3"/>
        <w:jc w:val="center"/>
        <w:rPr>
          <w:color w:val="000000" w:themeColor="text1"/>
          <w:sz w:val="24"/>
          <w:szCs w:val="24"/>
        </w:rPr>
      </w:pPr>
      <w:r>
        <w:rPr>
          <w:color w:val="000000" w:themeColor="text1"/>
          <w:sz w:val="24"/>
          <w:szCs w:val="24"/>
        </w:rPr>
        <w:t>IV</w:t>
      </w:r>
    </w:p>
    <w:p w:rsidR="00757229" w:rsidRPr="00757229" w:rsidRDefault="00757229" w:rsidP="00757229">
      <w:pPr>
        <w:pStyle w:val="Heading3"/>
        <w:jc w:val="center"/>
        <w:rPr>
          <w:color w:val="000000" w:themeColor="text1"/>
          <w:sz w:val="24"/>
          <w:szCs w:val="24"/>
        </w:rPr>
      </w:pPr>
      <w:r w:rsidRPr="00757229">
        <w:rPr>
          <w:color w:val="000000" w:themeColor="text1"/>
          <w:sz w:val="24"/>
          <w:szCs w:val="24"/>
        </w:rPr>
        <w:t>Objectives of the Study</w:t>
      </w:r>
    </w:p>
    <w:p w:rsidR="00757229" w:rsidRPr="00757229" w:rsidRDefault="00757229" w:rsidP="00757229">
      <w:pPr>
        <w:pStyle w:val="NormalWeb"/>
        <w:spacing w:line="360" w:lineRule="auto"/>
        <w:ind w:firstLine="360"/>
        <w:jc w:val="both"/>
        <w:rPr>
          <w:color w:val="000000" w:themeColor="text1"/>
        </w:rPr>
      </w:pPr>
      <w:r w:rsidRPr="00757229">
        <w:rPr>
          <w:color w:val="000000" w:themeColor="text1"/>
        </w:rPr>
        <w:t>To maintain academic rigor and measurable outcomes, the study focuses on the following:</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estimate the growth trends</w:t>
      </w:r>
      <w:r w:rsidRPr="00757229">
        <w:rPr>
          <w:color w:val="000000" w:themeColor="text1"/>
        </w:rPr>
        <w:t xml:space="preserve"> in the area, production, and productivity of barley at the national level from 2001 to 2025.</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calculate the Compound Annual Growth Rate (CAGR)</w:t>
      </w:r>
      <w:r w:rsidRPr="00757229">
        <w:rPr>
          <w:color w:val="000000" w:themeColor="text1"/>
        </w:rPr>
        <w:t xml:space="preserve"> and Coefficient of Variation (CV) to understand growth and instability.</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analyze the "Sources of Growth"</w:t>
      </w:r>
      <w:r w:rsidRPr="00757229">
        <w:rPr>
          <w:color w:val="000000" w:themeColor="text1"/>
        </w:rPr>
        <w:t xml:space="preserve"> by decomposing production increases into "Area Effect" and "Yield Effect."</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evaluate the impact of technological interventions</w:t>
      </w:r>
      <w:r w:rsidRPr="00757229">
        <w:rPr>
          <w:color w:val="000000" w:themeColor="text1"/>
        </w:rPr>
        <w:t xml:space="preserve"> and institutional changes (such as contract farming) on the productivity surge observed in the last decade.</w:t>
      </w:r>
    </w:p>
    <w:p w:rsidR="00757229" w:rsidRDefault="00757229" w:rsidP="007A7217">
      <w:pPr>
        <w:pStyle w:val="Heading3"/>
        <w:jc w:val="center"/>
        <w:rPr>
          <w:color w:val="000000" w:themeColor="text1"/>
          <w:sz w:val="24"/>
          <w:szCs w:val="24"/>
        </w:rPr>
      </w:pPr>
      <w:r>
        <w:rPr>
          <w:color w:val="000000" w:themeColor="text1"/>
          <w:sz w:val="24"/>
          <w:szCs w:val="24"/>
        </w:rPr>
        <w:t>V</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Methodology</w:t>
      </w:r>
    </w:p>
    <w:p w:rsidR="00757229" w:rsidRPr="00757229" w:rsidRDefault="00757229" w:rsidP="00757229">
      <w:pPr>
        <w:pStyle w:val="NormalWeb"/>
        <w:spacing w:line="360" w:lineRule="auto"/>
        <w:ind w:firstLine="360"/>
        <w:jc w:val="both"/>
        <w:rPr>
          <w:color w:val="000000" w:themeColor="text1"/>
        </w:rPr>
      </w:pPr>
      <w:r w:rsidRPr="00757229">
        <w:rPr>
          <w:color w:val="000000" w:themeColor="text1"/>
        </w:rPr>
        <w:t xml:space="preserve">This research employs a quantitative, longitudinal design based on secondary data spanning </w:t>
      </w:r>
      <w:r>
        <w:rPr>
          <w:color w:val="000000" w:themeColor="text1"/>
        </w:rPr>
        <w:t xml:space="preserve">             </w:t>
      </w:r>
      <w:r w:rsidRPr="00757229">
        <w:rPr>
          <w:color w:val="000000" w:themeColor="text1"/>
        </w:rPr>
        <w:t>24 years.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Data Sources:</w:t>
      </w:r>
      <w:r w:rsidRPr="00757229">
        <w:rPr>
          <w:color w:val="000000" w:themeColor="text1"/>
        </w:rPr>
        <w:t xml:space="preserve"> Time-series data were extracted from the Directorate of Economics and Statistics (Ministry of Agriculture &amp; Farmers Welfare), FAOSTAT, and the USDA International Production Assessment Division (IPAD).</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Variables:</w:t>
      </w:r>
      <w:r w:rsidRPr="00757229">
        <w:rPr>
          <w:color w:val="000000" w:themeColor="text1"/>
        </w:rPr>
        <w:t xml:space="preserve"> The primary variables include Area (Million Hectares), Production (Million </w:t>
      </w:r>
      <w:r w:rsidR="007A7217" w:rsidRPr="00757229">
        <w:rPr>
          <w:color w:val="000000" w:themeColor="text1"/>
        </w:rPr>
        <w:t>Tones</w:t>
      </w:r>
      <w:r w:rsidRPr="00757229">
        <w:rPr>
          <w:color w:val="000000" w:themeColor="text1"/>
        </w:rPr>
        <w:t>), and Productivity (kg/ha).</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Analytical Tools: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lastRenderedPageBreak/>
        <w:t>Trend Analysis:</w:t>
      </w:r>
      <w:r w:rsidRPr="00757229">
        <w:rPr>
          <w:color w:val="000000" w:themeColor="text1"/>
        </w:rPr>
        <w:t xml:space="preserve"> Using semi-logarithmic growth models to determine long-term trajectories.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CAGR:</w:t>
      </w:r>
      <w:r w:rsidRPr="00757229">
        <w:rPr>
          <w:color w:val="000000" w:themeColor="text1"/>
        </w:rPr>
        <w:t xml:space="preserve"> The exponential growth formula </w:t>
      </w:r>
      <w:r w:rsidRPr="00757229">
        <w:rPr>
          <w:rStyle w:val="math-inline"/>
          <w:rFonts w:eastAsiaTheme="majorEastAsia"/>
          <w:color w:val="000000" w:themeColor="text1"/>
        </w:rPr>
        <w:t xml:space="preserve">Y = </w:t>
      </w:r>
      <w:proofErr w:type="spellStart"/>
      <w:r w:rsidRPr="00757229">
        <w:rPr>
          <w:rStyle w:val="math-inline"/>
          <w:rFonts w:eastAsiaTheme="majorEastAsia"/>
          <w:color w:val="000000" w:themeColor="text1"/>
        </w:rPr>
        <w:t>ab</w:t>
      </w:r>
      <w:r>
        <w:rPr>
          <w:rStyle w:val="math-inline"/>
          <w:rFonts w:eastAsiaTheme="majorEastAsia"/>
          <w:color w:val="000000" w:themeColor="text1"/>
          <w:sz w:val="28"/>
          <w:szCs w:val="28"/>
          <w:vertAlign w:val="superscript"/>
        </w:rPr>
        <w:t>t</w:t>
      </w:r>
      <w:proofErr w:type="spellEnd"/>
      <w:r w:rsidRPr="00757229">
        <w:rPr>
          <w:color w:val="000000" w:themeColor="text1"/>
        </w:rPr>
        <w:t xml:space="preserve"> is used, where the growth rate</w:t>
      </w:r>
      <w:r w:rsidR="007A7217">
        <w:rPr>
          <w:color w:val="000000" w:themeColor="text1"/>
        </w:rPr>
        <w:t xml:space="preserve">   </w:t>
      </w:r>
      <w:r w:rsidRPr="00757229">
        <w:rPr>
          <w:color w:val="000000" w:themeColor="text1"/>
        </w:rPr>
        <w:t xml:space="preserve"> </w:t>
      </w:r>
      <w:r>
        <w:rPr>
          <w:rStyle w:val="math-inline"/>
          <w:rFonts w:eastAsiaTheme="majorEastAsia"/>
          <w:color w:val="000000" w:themeColor="text1"/>
        </w:rPr>
        <w:t>r = (</w:t>
      </w:r>
      <w:r w:rsidR="007A7217">
        <w:rPr>
          <w:rStyle w:val="math-inline"/>
          <w:rFonts w:eastAsiaTheme="majorEastAsia"/>
          <w:color w:val="000000" w:themeColor="text1"/>
        </w:rPr>
        <w:t xml:space="preserve">Antilog b - 1) x </w:t>
      </w:r>
      <w:r w:rsidRPr="00757229">
        <w:rPr>
          <w:rStyle w:val="math-inline"/>
          <w:rFonts w:eastAsiaTheme="majorEastAsia"/>
          <w:color w:val="000000" w:themeColor="text1"/>
        </w:rPr>
        <w:t>100</w:t>
      </w:r>
      <w:r w:rsidRPr="00757229">
        <w:rPr>
          <w:color w:val="000000" w:themeColor="text1"/>
        </w:rPr>
        <w:t>.</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Instability Index:</w:t>
      </w:r>
      <w:r w:rsidRPr="00757229">
        <w:rPr>
          <w:color w:val="000000" w:themeColor="text1"/>
        </w:rPr>
        <w:t xml:space="preserve"> Cuddy-Della Valle Index is used to measure the fluctuations in production over the study period to differentiate between "stable growth" and "erratic spikes."</w:t>
      </w:r>
    </w:p>
    <w:p w:rsidR="007A7217" w:rsidRDefault="007A7217" w:rsidP="007A7217">
      <w:pPr>
        <w:pStyle w:val="Heading3"/>
        <w:jc w:val="center"/>
        <w:rPr>
          <w:color w:val="000000" w:themeColor="text1"/>
          <w:sz w:val="24"/>
          <w:szCs w:val="24"/>
        </w:rPr>
      </w:pPr>
      <w:r>
        <w:rPr>
          <w:color w:val="000000" w:themeColor="text1"/>
          <w:sz w:val="24"/>
          <w:szCs w:val="24"/>
        </w:rPr>
        <w:t>VI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Hypothesis</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Pr="00757229">
        <w:rPr>
          <w:b/>
          <w:bCs/>
          <w:color w:val="000000" w:themeColor="text1"/>
        </w:rPr>
        <w:t xml:space="preserve"> (Null):</w:t>
      </w:r>
      <w:r w:rsidRPr="00757229">
        <w:rPr>
          <w:color w:val="000000" w:themeColor="text1"/>
        </w:rPr>
        <w:t xml:space="preserve"> There has been no significant change in the productivity of barley in India between 2001 and 2025.</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Pr="00757229">
        <w:rPr>
          <w:b/>
          <w:bCs/>
          <w:color w:val="000000" w:themeColor="text1"/>
        </w:rPr>
        <w:t xml:space="preserve"> (Alternative):</w:t>
      </w:r>
      <w:r w:rsidRPr="00757229">
        <w:rPr>
          <w:color w:val="000000" w:themeColor="text1"/>
        </w:rPr>
        <w:t xml:space="preserve"> The growth in barley production in India is significantly and positively driven by productivity gains, despite a statistically significant decline in the area under cultivation.</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007A7217">
        <w:rPr>
          <w:rStyle w:val="math-inline"/>
          <w:rFonts w:eastAsiaTheme="majorEastAsia"/>
          <w:b/>
          <w:bCs/>
          <w:color w:val="000000" w:themeColor="text1"/>
          <w:vertAlign w:val="subscript"/>
        </w:rPr>
        <w:t>2</w:t>
      </w:r>
      <w:r w:rsidRPr="00757229">
        <w:rPr>
          <w:b/>
          <w:bCs/>
          <w:color w:val="000000" w:themeColor="text1"/>
        </w:rPr>
        <w:t>:</w:t>
      </w:r>
      <w:r w:rsidRPr="00757229">
        <w:rPr>
          <w:color w:val="000000" w:themeColor="text1"/>
        </w:rPr>
        <w:t xml:space="preserve"> The instability in barley production has decreased in the second decade (2011–2025) compared to the first (2001–2010) due to improved irrigation and disease-resistant varieties.</w:t>
      </w:r>
    </w:p>
    <w:p w:rsidR="007A7217" w:rsidRDefault="007A7217" w:rsidP="007A7217">
      <w:pPr>
        <w:pStyle w:val="Heading3"/>
        <w:jc w:val="center"/>
        <w:rPr>
          <w:color w:val="000000" w:themeColor="text1"/>
          <w:sz w:val="24"/>
          <w:szCs w:val="24"/>
        </w:rPr>
      </w:pPr>
      <w:r>
        <w:rPr>
          <w:color w:val="000000" w:themeColor="text1"/>
          <w:sz w:val="24"/>
          <w:szCs w:val="24"/>
        </w:rPr>
        <w:t>VII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Explanation of Data and Growth Rates</w:t>
      </w:r>
    </w:p>
    <w:p w:rsidR="00757229" w:rsidRPr="00757229" w:rsidRDefault="00757229" w:rsidP="007A7217">
      <w:pPr>
        <w:pStyle w:val="NormalWeb"/>
        <w:spacing w:line="360" w:lineRule="auto"/>
        <w:ind w:firstLine="720"/>
        <w:jc w:val="both"/>
        <w:rPr>
          <w:color w:val="000000" w:themeColor="text1"/>
        </w:rPr>
      </w:pPr>
      <w:r w:rsidRPr="00757229">
        <w:rPr>
          <w:color w:val="000000" w:themeColor="text1"/>
        </w:rPr>
        <w:t>The data from 2001 to 2025 paints a picture of "Intensive Transformation." In the early 2000s, barley was a low-input crop with yields hovering around 1,800–1,900 kg/ha. By 2025, advanced research by the Indian Institute of Wheat and Barley Research (IIWBR) has pushed potential yields beyond 4,000 kg/ha in irrigated conditions.</w:t>
      </w:r>
    </w:p>
    <w:p w:rsidR="00757229" w:rsidRPr="00757229" w:rsidRDefault="00757229" w:rsidP="00757229">
      <w:pPr>
        <w:pStyle w:val="Heading4"/>
        <w:spacing w:line="360" w:lineRule="auto"/>
        <w:jc w:val="both"/>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Table 1: Detailed Decadal Trends and Growth Analysis</w:t>
      </w:r>
    </w:p>
    <w:tbl>
      <w:tblPr>
        <w:tblW w:w="9546" w:type="dxa"/>
        <w:tblCellSpacing w:w="15" w:type="dxa"/>
        <w:tblCellMar>
          <w:top w:w="15" w:type="dxa"/>
          <w:left w:w="15" w:type="dxa"/>
          <w:bottom w:w="15" w:type="dxa"/>
          <w:right w:w="15" w:type="dxa"/>
        </w:tblCellMar>
        <w:tblLook w:val="04A0" w:firstRow="1" w:lastRow="0" w:firstColumn="1" w:lastColumn="0" w:noHBand="0" w:noVBand="1"/>
      </w:tblPr>
      <w:tblGrid>
        <w:gridCol w:w="1923"/>
        <w:gridCol w:w="2151"/>
        <w:gridCol w:w="2401"/>
        <w:gridCol w:w="1578"/>
        <w:gridCol w:w="1493"/>
      </w:tblGrid>
      <w:tr w:rsidR="00757229" w:rsidRPr="00757229" w:rsidTr="007A7217">
        <w:trPr>
          <w:trHeight w:val="1291"/>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Avg. Area</w:t>
            </w:r>
          </w:p>
          <w:p w:rsidR="00757229" w:rsidRPr="0020488E" w:rsidRDefault="0020488E" w:rsidP="007A7217">
            <w:pPr>
              <w:spacing w:after="401" w:line="240" w:lineRule="auto"/>
              <w:jc w:val="center"/>
              <w:rPr>
                <w:rFonts w:ascii="Times New Roman" w:hAnsi="Times New Roman" w:cs="Times New Roman"/>
                <w:b/>
                <w:bCs/>
                <w:color w:val="000000" w:themeColor="text1"/>
                <w:sz w:val="24"/>
                <w:szCs w:val="24"/>
              </w:rPr>
            </w:pPr>
            <w:r w:rsidRPr="0020488E">
              <w:rPr>
                <w:b/>
                <w:bCs/>
                <w:color w:val="000000" w:themeColor="text1"/>
              </w:rPr>
              <w:t>Million Hectares</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Avg. Production </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(MT)</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Avg. Yield</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 (kg/ha)</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CAGR </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(Yield %)</w:t>
            </w:r>
          </w:p>
        </w:tc>
      </w:tr>
      <w:tr w:rsidR="00757229" w:rsidRPr="00757229" w:rsidTr="007A7217">
        <w:trPr>
          <w:trHeight w:val="77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2001–2010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0.72</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1.35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1875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1.2%</w:t>
            </w:r>
          </w:p>
        </w:tc>
      </w:tr>
      <w:tr w:rsidR="00757229" w:rsidRPr="00757229" w:rsidTr="007A7217">
        <w:trPr>
          <w:trHeight w:val="78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lastRenderedPageBreak/>
              <w:t>2011–2020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0.65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2615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3.1%</w:t>
            </w:r>
          </w:p>
        </w:tc>
      </w:tr>
      <w:tr w:rsidR="00757229" w:rsidRPr="00757229" w:rsidTr="007A7217">
        <w:trPr>
          <w:trHeight w:val="78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2021–2025*</w:t>
            </w:r>
            <w:r w:rsidR="0020488E">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0.58</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3360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2.8%</w:t>
            </w:r>
          </w:p>
        </w:tc>
      </w:tr>
    </w:tbl>
    <w:p w:rsidR="0020488E" w:rsidRDefault="00757229" w:rsidP="007A7217">
      <w:pPr>
        <w:pStyle w:val="NormalWeb"/>
        <w:jc w:val="both"/>
        <w:rPr>
          <w:i/>
          <w:iCs/>
          <w:color w:val="000000" w:themeColor="text1"/>
        </w:rPr>
      </w:pPr>
      <w:r w:rsidRPr="007A7217">
        <w:rPr>
          <w:b/>
          <w:bCs/>
          <w:i/>
          <w:iCs/>
          <w:color w:val="000000" w:themeColor="text1"/>
        </w:rPr>
        <w:t>Source:</w:t>
      </w:r>
      <w:r w:rsidRPr="007A7217">
        <w:rPr>
          <w:i/>
          <w:iCs/>
          <w:color w:val="000000" w:themeColor="text1"/>
        </w:rPr>
        <w:t xml:space="preserve"> Compiled by the author from Directorate of Economics and Statistics (DES) and FAOSTAT (2001-2025). </w:t>
      </w:r>
    </w:p>
    <w:p w:rsidR="00757229" w:rsidRPr="007A7217" w:rsidRDefault="0020488E" w:rsidP="007A7217">
      <w:pPr>
        <w:pStyle w:val="NormalWeb"/>
        <w:jc w:val="both"/>
        <w:rPr>
          <w:i/>
          <w:iCs/>
          <w:color w:val="000000" w:themeColor="text1"/>
        </w:rPr>
      </w:pPr>
      <w:r>
        <w:rPr>
          <w:i/>
          <w:iCs/>
          <w:color w:val="000000" w:themeColor="text1"/>
        </w:rPr>
        <w:t>**</w:t>
      </w:r>
      <w:r w:rsidR="00757229" w:rsidRPr="007A7217">
        <w:rPr>
          <w:i/>
          <w:iCs/>
          <w:color w:val="000000" w:themeColor="text1"/>
        </w:rPr>
        <w:t>Note: 2024-25 data based on advance estimates.</w:t>
      </w:r>
    </w:p>
    <w:p w:rsidR="00757229" w:rsidRPr="00757229" w:rsidRDefault="00757229" w:rsidP="00757229">
      <w:pPr>
        <w:pStyle w:val="NormalWeb"/>
        <w:spacing w:line="360" w:lineRule="auto"/>
        <w:jc w:val="both"/>
        <w:rPr>
          <w:color w:val="000000" w:themeColor="text1"/>
        </w:rPr>
      </w:pPr>
      <w:r w:rsidRPr="00757229">
        <w:rPr>
          <w:b/>
          <w:bCs/>
          <w:color w:val="000000" w:themeColor="text1"/>
        </w:rPr>
        <w:t>Detailed Interpretation:</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The Area Paradox:</w:t>
      </w:r>
      <w:r w:rsidRPr="00757229">
        <w:rPr>
          <w:color w:val="000000" w:themeColor="text1"/>
        </w:rPr>
        <w:t xml:space="preserve"> The area declined from 0.80 </w:t>
      </w:r>
      <w:proofErr w:type="spellStart"/>
      <w:r w:rsidRPr="00757229">
        <w:rPr>
          <w:color w:val="000000" w:themeColor="text1"/>
        </w:rPr>
        <w:t>Mha</w:t>
      </w:r>
      <w:proofErr w:type="spellEnd"/>
      <w:r w:rsidRPr="00757229">
        <w:rPr>
          <w:color w:val="000000" w:themeColor="text1"/>
        </w:rPr>
        <w:t xml:space="preserve"> in the early 2000s to approximately 0.58 </w:t>
      </w:r>
      <w:proofErr w:type="spellStart"/>
      <w:r w:rsidRPr="00757229">
        <w:rPr>
          <w:color w:val="000000" w:themeColor="text1"/>
        </w:rPr>
        <w:t>Mha</w:t>
      </w:r>
      <w:proofErr w:type="spellEnd"/>
      <w:r w:rsidRPr="00757229">
        <w:rPr>
          <w:color w:val="000000" w:themeColor="text1"/>
        </w:rPr>
        <w:t xml:space="preserve"> by 2025. This 27% decline is attributed to the lack of institutional procurement for barley compared to wheat.</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Productivity Surge:</w:t>
      </w:r>
      <w:r w:rsidRPr="00757229">
        <w:rPr>
          <w:color w:val="000000" w:themeColor="text1"/>
        </w:rPr>
        <w:t xml:space="preserve"> The CAGR for yield jumped from 1.2% in the first decade to over 3% in the following years. This is the result of "Varietal Replacement." The shift from feed-grade six-row barley to malt-grade two-row barley (e.g., DWRB series) has been the single largest contributor to this growth.</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Production Resilience:</w:t>
      </w:r>
      <w:r w:rsidRPr="00757229">
        <w:rPr>
          <w:color w:val="000000" w:themeColor="text1"/>
        </w:rPr>
        <w:t xml:space="preserve"> Total production reached an all-time high near 2.0 Million </w:t>
      </w:r>
      <w:proofErr w:type="spellStart"/>
      <w:r w:rsidRPr="00757229">
        <w:rPr>
          <w:color w:val="000000" w:themeColor="text1"/>
        </w:rPr>
        <w:t>Tonnes</w:t>
      </w:r>
      <w:proofErr w:type="spellEnd"/>
      <w:r w:rsidRPr="00757229">
        <w:rPr>
          <w:color w:val="000000" w:themeColor="text1"/>
        </w:rPr>
        <w:t xml:space="preserve"> in the recent 2023-24 cycle. The "Yield Effect" has not only compensated for the "Area Effect" but has pushed the total output to new heights, confirming </w:t>
      </w:r>
      <w:r w:rsidRPr="00757229">
        <w:rPr>
          <w:rStyle w:val="math-inline"/>
          <w:rFonts w:eastAsiaTheme="majorEastAsia"/>
          <w:color w:val="000000" w:themeColor="text1"/>
        </w:rPr>
        <w:t>H</w:t>
      </w:r>
      <w:r w:rsidR="007A7217">
        <w:rPr>
          <w:rStyle w:val="math-inline"/>
          <w:rFonts w:eastAsiaTheme="majorEastAsia"/>
          <w:color w:val="000000" w:themeColor="text1"/>
          <w:vertAlign w:val="subscript"/>
        </w:rPr>
        <w:t>1</w:t>
      </w:r>
      <w:r w:rsidRPr="00757229">
        <w:rPr>
          <w:color w:val="000000" w:themeColor="text1"/>
        </w:rPr>
        <w:t>.</w:t>
      </w:r>
    </w:p>
    <w:p w:rsidR="007A7217" w:rsidRDefault="007A7217" w:rsidP="007A7217">
      <w:pPr>
        <w:pStyle w:val="Heading3"/>
        <w:jc w:val="center"/>
        <w:rPr>
          <w:color w:val="000000" w:themeColor="text1"/>
          <w:sz w:val="24"/>
          <w:szCs w:val="24"/>
        </w:rPr>
      </w:pPr>
      <w:r>
        <w:rPr>
          <w:color w:val="000000" w:themeColor="text1"/>
          <w:sz w:val="24"/>
          <w:szCs w:val="24"/>
        </w:rPr>
        <w:t>VIII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Conclusion</w:t>
      </w:r>
    </w:p>
    <w:p w:rsidR="00757229" w:rsidRPr="00757229" w:rsidRDefault="00757229" w:rsidP="0020488E">
      <w:pPr>
        <w:pStyle w:val="NormalWeb"/>
        <w:spacing w:line="360" w:lineRule="auto"/>
        <w:ind w:firstLine="720"/>
        <w:jc w:val="both"/>
        <w:rPr>
          <w:color w:val="000000" w:themeColor="text1"/>
        </w:rPr>
      </w:pPr>
      <w:r w:rsidRPr="00757229">
        <w:rPr>
          <w:color w:val="000000" w:themeColor="text1"/>
        </w:rPr>
        <w:t>The journey of barley in India from 2001 to 2025 is a testament to the power of agricultural technology. The crop has successfully survived the "spatial squeeze" by becoming more efficient. However, the study finds that the growth is concentrated in specific clusters, leaving traditional barley-growing regions in the hills and rain-fed areas behind.</w:t>
      </w:r>
    </w:p>
    <w:p w:rsidR="00757229" w:rsidRPr="00757229" w:rsidRDefault="00757229" w:rsidP="00757229">
      <w:pPr>
        <w:pStyle w:val="NormalWeb"/>
        <w:spacing w:line="360" w:lineRule="auto"/>
        <w:jc w:val="both"/>
        <w:rPr>
          <w:color w:val="000000" w:themeColor="text1"/>
        </w:rPr>
      </w:pPr>
      <w:r w:rsidRPr="00757229">
        <w:rPr>
          <w:b/>
          <w:bCs/>
          <w:color w:val="000000" w:themeColor="text1"/>
        </w:rPr>
        <w:t>Policy Implications:</w:t>
      </w:r>
    </w:p>
    <w:p w:rsidR="00757229" w:rsidRPr="00757229" w:rsidRDefault="00757229" w:rsidP="0020488E">
      <w:pPr>
        <w:pStyle w:val="NormalWeb"/>
        <w:numPr>
          <w:ilvl w:val="0"/>
          <w:numId w:val="23"/>
        </w:numPr>
        <w:spacing w:line="360" w:lineRule="auto"/>
        <w:jc w:val="both"/>
        <w:rPr>
          <w:color w:val="000000" w:themeColor="text1"/>
        </w:rPr>
      </w:pPr>
      <w:r w:rsidRPr="00757229">
        <w:rPr>
          <w:b/>
          <w:bCs/>
          <w:color w:val="000000" w:themeColor="text1"/>
        </w:rPr>
        <w:lastRenderedPageBreak/>
        <w:t>Market Linking:</w:t>
      </w:r>
      <w:r w:rsidRPr="00757229">
        <w:rPr>
          <w:color w:val="000000" w:themeColor="text1"/>
        </w:rPr>
        <w:t xml:space="preserve"> The government should facilitate formal "Contract Farming" frameworks to ensure farmers are protected from price crashes during harvest.</w:t>
      </w:r>
    </w:p>
    <w:p w:rsidR="00757229" w:rsidRPr="00757229" w:rsidRDefault="00757229" w:rsidP="0020488E">
      <w:pPr>
        <w:pStyle w:val="NormalWeb"/>
        <w:numPr>
          <w:ilvl w:val="0"/>
          <w:numId w:val="23"/>
        </w:numPr>
        <w:spacing w:line="360" w:lineRule="auto"/>
        <w:jc w:val="both"/>
        <w:rPr>
          <w:color w:val="000000" w:themeColor="text1"/>
        </w:rPr>
      </w:pPr>
      <w:proofErr w:type="spellStart"/>
      <w:r w:rsidRPr="00757229">
        <w:rPr>
          <w:b/>
          <w:bCs/>
          <w:color w:val="000000" w:themeColor="text1"/>
        </w:rPr>
        <w:t>Nutri</w:t>
      </w:r>
      <w:proofErr w:type="spellEnd"/>
      <w:r w:rsidRPr="00757229">
        <w:rPr>
          <w:b/>
          <w:bCs/>
          <w:color w:val="000000" w:themeColor="text1"/>
        </w:rPr>
        <w:t>-Cereal Status:</w:t>
      </w:r>
      <w:r w:rsidRPr="00757229">
        <w:rPr>
          <w:color w:val="000000" w:themeColor="text1"/>
        </w:rPr>
        <w:t xml:space="preserve"> Barley should be promoted under the "</w:t>
      </w:r>
      <w:proofErr w:type="spellStart"/>
      <w:r w:rsidRPr="00757229">
        <w:rPr>
          <w:color w:val="000000" w:themeColor="text1"/>
        </w:rPr>
        <w:t>Poushtik</w:t>
      </w:r>
      <w:proofErr w:type="spellEnd"/>
      <w:r w:rsidRPr="00757229">
        <w:rPr>
          <w:color w:val="000000" w:themeColor="text1"/>
        </w:rPr>
        <w:t xml:space="preserve"> </w:t>
      </w:r>
      <w:proofErr w:type="spellStart"/>
      <w:r w:rsidRPr="00757229">
        <w:rPr>
          <w:color w:val="000000" w:themeColor="text1"/>
        </w:rPr>
        <w:t>Anaj</w:t>
      </w:r>
      <w:proofErr w:type="spellEnd"/>
      <w:r w:rsidRPr="00757229">
        <w:rPr>
          <w:color w:val="000000" w:themeColor="text1"/>
        </w:rPr>
        <w:t>" (</w:t>
      </w:r>
      <w:proofErr w:type="spellStart"/>
      <w:r w:rsidRPr="00757229">
        <w:rPr>
          <w:color w:val="000000" w:themeColor="text1"/>
        </w:rPr>
        <w:t>Nutri</w:t>
      </w:r>
      <w:proofErr w:type="spellEnd"/>
      <w:r w:rsidRPr="00757229">
        <w:rPr>
          <w:color w:val="000000" w:themeColor="text1"/>
        </w:rPr>
        <w:t>-Cereals) initiative to boost domestic human consumption, which would create a secondary market for non-malt grade barley.</w:t>
      </w:r>
    </w:p>
    <w:p w:rsidR="00757229" w:rsidRPr="00757229" w:rsidRDefault="00757229" w:rsidP="0020488E">
      <w:pPr>
        <w:pStyle w:val="NormalWeb"/>
        <w:numPr>
          <w:ilvl w:val="0"/>
          <w:numId w:val="23"/>
        </w:numPr>
        <w:spacing w:line="360" w:lineRule="auto"/>
        <w:jc w:val="both"/>
        <w:rPr>
          <w:color w:val="000000" w:themeColor="text1"/>
        </w:rPr>
      </w:pPr>
      <w:r w:rsidRPr="00757229">
        <w:rPr>
          <w:b/>
          <w:bCs/>
          <w:color w:val="000000" w:themeColor="text1"/>
        </w:rPr>
        <w:t>Future Scope:</w:t>
      </w:r>
      <w:r w:rsidRPr="00757229">
        <w:rPr>
          <w:color w:val="000000" w:themeColor="text1"/>
        </w:rPr>
        <w:t xml:space="preserve"> Research should focus on "Dual-Purpose" barley (green fodder + grain) to address the growing fodder crisis in the dairy sector.</w:t>
      </w:r>
    </w:p>
    <w:p w:rsidR="007A7217" w:rsidRDefault="007A7217" w:rsidP="007A7217">
      <w:pPr>
        <w:pStyle w:val="Heading3"/>
        <w:jc w:val="center"/>
        <w:rPr>
          <w:color w:val="000000" w:themeColor="text1"/>
          <w:sz w:val="24"/>
          <w:szCs w:val="24"/>
        </w:rPr>
      </w:pPr>
      <w:r>
        <w:rPr>
          <w:color w:val="000000" w:themeColor="text1"/>
          <w:sz w:val="24"/>
          <w:szCs w:val="24"/>
        </w:rPr>
        <w:t>IX</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References</w:t>
      </w:r>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Directorate of Economics and Statistics.</w:t>
      </w:r>
      <w:proofErr w:type="gramEnd"/>
      <w:r w:rsidRPr="007A7217">
        <w:rPr>
          <w:i/>
          <w:iCs/>
          <w:color w:val="000000" w:themeColor="text1"/>
        </w:rPr>
        <w:t xml:space="preserve"> </w:t>
      </w:r>
      <w:proofErr w:type="gramStart"/>
      <w:r w:rsidRPr="007A7217">
        <w:rPr>
          <w:i/>
          <w:iCs/>
          <w:color w:val="000000" w:themeColor="text1"/>
        </w:rPr>
        <w:t>(2024). Agricultural Statistics at a Glance.</w:t>
      </w:r>
      <w:proofErr w:type="gramEnd"/>
      <w:r w:rsidRPr="007A7217">
        <w:rPr>
          <w:i/>
          <w:iCs/>
          <w:color w:val="000000" w:themeColor="text1"/>
        </w:rPr>
        <w:t xml:space="preserve"> </w:t>
      </w:r>
      <w:proofErr w:type="gramStart"/>
      <w:r w:rsidRPr="007A7217">
        <w:rPr>
          <w:i/>
          <w:iCs/>
          <w:color w:val="000000" w:themeColor="text1"/>
        </w:rPr>
        <w:t>Ministry of Agriculture &amp; Farmers Welfare, Government of India.</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FAOSTAT.</w:t>
      </w:r>
      <w:proofErr w:type="gramEnd"/>
      <w:r w:rsidRPr="007A7217">
        <w:rPr>
          <w:i/>
          <w:iCs/>
          <w:color w:val="000000" w:themeColor="text1"/>
        </w:rPr>
        <w:t xml:space="preserve"> (2025). Crops and livestock products: India Barley Production. </w:t>
      </w:r>
      <w:proofErr w:type="gramStart"/>
      <w:r w:rsidRPr="007A7217">
        <w:rPr>
          <w:i/>
          <w:iCs/>
          <w:color w:val="000000" w:themeColor="text1"/>
        </w:rPr>
        <w:t>Food and Agriculture Organization of the United Nations.</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ICAR-IIWBR.</w:t>
      </w:r>
      <w:proofErr w:type="gramEnd"/>
      <w:r w:rsidRPr="007A7217">
        <w:rPr>
          <w:i/>
          <w:iCs/>
          <w:color w:val="000000" w:themeColor="text1"/>
        </w:rPr>
        <w:t xml:space="preserve"> </w:t>
      </w:r>
      <w:proofErr w:type="gramStart"/>
      <w:r w:rsidRPr="007A7217">
        <w:rPr>
          <w:i/>
          <w:iCs/>
          <w:color w:val="000000" w:themeColor="text1"/>
        </w:rPr>
        <w:t>(2023). Progress Report of the AICRP on Wheat and Barley.</w:t>
      </w:r>
      <w:proofErr w:type="gramEnd"/>
      <w:r w:rsidRPr="007A7217">
        <w:rPr>
          <w:i/>
          <w:iCs/>
          <w:color w:val="000000" w:themeColor="text1"/>
        </w:rPr>
        <w:t xml:space="preserve"> </w:t>
      </w:r>
      <w:proofErr w:type="gramStart"/>
      <w:r w:rsidRPr="007A7217">
        <w:rPr>
          <w:i/>
          <w:iCs/>
          <w:color w:val="000000" w:themeColor="text1"/>
        </w:rPr>
        <w:t xml:space="preserve">Indian Institute of Wheat and Barley Research, </w:t>
      </w:r>
      <w:proofErr w:type="spellStart"/>
      <w:r w:rsidRPr="007A7217">
        <w:rPr>
          <w:i/>
          <w:iCs/>
          <w:color w:val="000000" w:themeColor="text1"/>
        </w:rPr>
        <w:t>Karnal</w:t>
      </w:r>
      <w:proofErr w:type="spellEnd"/>
      <w:r w:rsidRPr="007A7217">
        <w:rPr>
          <w:i/>
          <w:iCs/>
          <w:color w:val="000000" w:themeColor="text1"/>
        </w:rPr>
        <w:t>.</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 xml:space="preserve">Singh, R. P., &amp; </w:t>
      </w:r>
      <w:proofErr w:type="spellStart"/>
      <w:r w:rsidRPr="007A7217">
        <w:rPr>
          <w:i/>
          <w:iCs/>
          <w:color w:val="000000" w:themeColor="text1"/>
        </w:rPr>
        <w:t>Sendhil</w:t>
      </w:r>
      <w:proofErr w:type="spellEnd"/>
      <w:r w:rsidRPr="007A7217">
        <w:rPr>
          <w:i/>
          <w:iCs/>
          <w:color w:val="000000" w:themeColor="text1"/>
        </w:rPr>
        <w:t>, R. (2021).</w:t>
      </w:r>
      <w:proofErr w:type="gramEnd"/>
      <w:r w:rsidRPr="007A7217">
        <w:rPr>
          <w:i/>
          <w:iCs/>
          <w:color w:val="000000" w:themeColor="text1"/>
        </w:rPr>
        <w:t xml:space="preserve"> </w:t>
      </w:r>
      <w:proofErr w:type="gramStart"/>
      <w:r w:rsidRPr="007A7217">
        <w:rPr>
          <w:i/>
          <w:iCs/>
          <w:color w:val="000000" w:themeColor="text1"/>
        </w:rPr>
        <w:t>Economic Analysis of Barley Production in Northern India.</w:t>
      </w:r>
      <w:proofErr w:type="gramEnd"/>
      <w:r w:rsidRPr="007A7217">
        <w:rPr>
          <w:i/>
          <w:iCs/>
          <w:color w:val="000000" w:themeColor="text1"/>
        </w:rPr>
        <w:t xml:space="preserve"> Journal of Cereal Research, 13(1), 12-25.</w:t>
      </w:r>
    </w:p>
    <w:p w:rsidR="00491E4A" w:rsidRPr="007A7217" w:rsidRDefault="00757229" w:rsidP="007A7217">
      <w:pPr>
        <w:pStyle w:val="NormalWeb"/>
        <w:ind w:left="720"/>
        <w:jc w:val="both"/>
        <w:rPr>
          <w:i/>
          <w:iCs/>
          <w:color w:val="000000" w:themeColor="text1"/>
        </w:rPr>
      </w:pPr>
      <w:proofErr w:type="gramStart"/>
      <w:r w:rsidRPr="007A7217">
        <w:rPr>
          <w:i/>
          <w:iCs/>
          <w:color w:val="000000" w:themeColor="text1"/>
        </w:rPr>
        <w:t>USDA.</w:t>
      </w:r>
      <w:proofErr w:type="gramEnd"/>
      <w:r w:rsidRPr="007A7217">
        <w:rPr>
          <w:i/>
          <w:iCs/>
          <w:color w:val="000000" w:themeColor="text1"/>
        </w:rPr>
        <w:t xml:space="preserve"> (2024). Grain and Feed Annual: India. Global Agricultural Information Network (GAIN).</w:t>
      </w:r>
    </w:p>
    <w:sectPr w:rsidR="00491E4A" w:rsidRPr="007A7217" w:rsidSect="007A7217">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97B"/>
    <w:multiLevelType w:val="multilevel"/>
    <w:tmpl w:val="3B2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D7541"/>
    <w:multiLevelType w:val="multilevel"/>
    <w:tmpl w:val="2BFA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F2663"/>
    <w:multiLevelType w:val="hybridMultilevel"/>
    <w:tmpl w:val="995CCD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2346E"/>
    <w:multiLevelType w:val="multilevel"/>
    <w:tmpl w:val="25F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D42C7"/>
    <w:multiLevelType w:val="multilevel"/>
    <w:tmpl w:val="134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149E6"/>
    <w:multiLevelType w:val="multilevel"/>
    <w:tmpl w:val="6DB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0060B"/>
    <w:multiLevelType w:val="multilevel"/>
    <w:tmpl w:val="F86E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74987"/>
    <w:multiLevelType w:val="hybridMultilevel"/>
    <w:tmpl w:val="AEDA58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6E6D1A"/>
    <w:multiLevelType w:val="hybridMultilevel"/>
    <w:tmpl w:val="CEFC30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523BDE"/>
    <w:multiLevelType w:val="multilevel"/>
    <w:tmpl w:val="062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DAE"/>
    <w:multiLevelType w:val="multilevel"/>
    <w:tmpl w:val="DD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F1068"/>
    <w:multiLevelType w:val="multilevel"/>
    <w:tmpl w:val="4D04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67161E"/>
    <w:multiLevelType w:val="multilevel"/>
    <w:tmpl w:val="62C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167AD1"/>
    <w:multiLevelType w:val="multilevel"/>
    <w:tmpl w:val="CB7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A303C"/>
    <w:multiLevelType w:val="multilevel"/>
    <w:tmpl w:val="61BC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8130E"/>
    <w:multiLevelType w:val="multilevel"/>
    <w:tmpl w:val="63F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91255"/>
    <w:multiLevelType w:val="multilevel"/>
    <w:tmpl w:val="021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0B0B45"/>
    <w:multiLevelType w:val="multilevel"/>
    <w:tmpl w:val="010A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B868C2"/>
    <w:multiLevelType w:val="multilevel"/>
    <w:tmpl w:val="DF72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4D24BE"/>
    <w:multiLevelType w:val="multilevel"/>
    <w:tmpl w:val="8362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8E03E2"/>
    <w:multiLevelType w:val="hybridMultilevel"/>
    <w:tmpl w:val="EFA658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F721D8"/>
    <w:multiLevelType w:val="multilevel"/>
    <w:tmpl w:val="184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B475C1"/>
    <w:multiLevelType w:val="hybridMultilevel"/>
    <w:tmpl w:val="9AD0A3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0"/>
  </w:num>
  <w:num w:numId="3">
    <w:abstractNumId w:val="6"/>
  </w:num>
  <w:num w:numId="4">
    <w:abstractNumId w:val="12"/>
  </w:num>
  <w:num w:numId="5">
    <w:abstractNumId w:val="15"/>
  </w:num>
  <w:num w:numId="6">
    <w:abstractNumId w:val="19"/>
  </w:num>
  <w:num w:numId="7">
    <w:abstractNumId w:val="17"/>
  </w:num>
  <w:num w:numId="8">
    <w:abstractNumId w:val="21"/>
  </w:num>
  <w:num w:numId="9">
    <w:abstractNumId w:val="4"/>
  </w:num>
  <w:num w:numId="10">
    <w:abstractNumId w:val="16"/>
  </w:num>
  <w:num w:numId="11">
    <w:abstractNumId w:val="3"/>
  </w:num>
  <w:num w:numId="12">
    <w:abstractNumId w:val="10"/>
  </w:num>
  <w:num w:numId="13">
    <w:abstractNumId w:val="13"/>
  </w:num>
  <w:num w:numId="14">
    <w:abstractNumId w:val="1"/>
  </w:num>
  <w:num w:numId="15">
    <w:abstractNumId w:val="14"/>
  </w:num>
  <w:num w:numId="16">
    <w:abstractNumId w:val="11"/>
  </w:num>
  <w:num w:numId="17">
    <w:abstractNumId w:val="9"/>
  </w:num>
  <w:num w:numId="18">
    <w:abstractNumId w:val="5"/>
  </w:num>
  <w:num w:numId="19">
    <w:abstractNumId w:val="20"/>
  </w:num>
  <w:num w:numId="20">
    <w:abstractNumId w:val="8"/>
  </w:num>
  <w:num w:numId="21">
    <w:abstractNumId w:val="7"/>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91E4A"/>
    <w:rsid w:val="0020488E"/>
    <w:rsid w:val="00491E4A"/>
    <w:rsid w:val="00757229"/>
    <w:rsid w:val="007A7217"/>
    <w:rsid w:val="00A521DF"/>
    <w:rsid w:val="00BD4D6E"/>
    <w:rsid w:val="00C800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E"/>
    <w:rPr>
      <w:rFonts w:cs="Mangal"/>
    </w:rPr>
  </w:style>
  <w:style w:type="paragraph" w:styleId="Heading1">
    <w:name w:val="heading 1"/>
    <w:basedOn w:val="Normal"/>
    <w:next w:val="Normal"/>
    <w:link w:val="Heading1Char"/>
    <w:uiPriority w:val="9"/>
    <w:qFormat/>
    <w:rsid w:val="00491E4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491E4A"/>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491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1E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1E4A"/>
    <w:rPr>
      <w:rFonts w:ascii="Times New Roman" w:eastAsia="Times New Roman" w:hAnsi="Times New Roman" w:cs="Times New Roman"/>
      <w:b/>
      <w:bCs/>
      <w:sz w:val="27"/>
      <w:szCs w:val="27"/>
    </w:rPr>
  </w:style>
  <w:style w:type="paragraph" w:styleId="NormalWeb">
    <w:name w:val="Normal (Web)"/>
    <w:basedOn w:val="Normal"/>
    <w:uiPriority w:val="99"/>
    <w:unhideWhenUsed/>
    <w:rsid w:val="00491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E4A"/>
    <w:rPr>
      <w:b/>
      <w:bCs/>
    </w:rPr>
  </w:style>
  <w:style w:type="character" w:customStyle="1" w:styleId="Heading2Char">
    <w:name w:val="Heading 2 Char"/>
    <w:basedOn w:val="DefaultParagraphFont"/>
    <w:link w:val="Heading2"/>
    <w:uiPriority w:val="9"/>
    <w:semiHidden/>
    <w:rsid w:val="00491E4A"/>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491E4A"/>
    <w:rPr>
      <w:rFonts w:asciiTheme="majorHAnsi" w:eastAsiaTheme="majorEastAsia" w:hAnsiTheme="majorHAnsi" w:cstheme="majorBidi"/>
      <w:b/>
      <w:bCs/>
      <w:i/>
      <w:iCs/>
      <w:color w:val="4F81BD" w:themeColor="accent1"/>
    </w:rPr>
  </w:style>
  <w:style w:type="character" w:customStyle="1" w:styleId="citation-1">
    <w:name w:val="citation-1"/>
    <w:basedOn w:val="DefaultParagraphFont"/>
    <w:rsid w:val="00491E4A"/>
  </w:style>
  <w:style w:type="character" w:customStyle="1" w:styleId="math-inline">
    <w:name w:val="math-inline"/>
    <w:basedOn w:val="DefaultParagraphFont"/>
    <w:rsid w:val="00491E4A"/>
  </w:style>
  <w:style w:type="character" w:customStyle="1" w:styleId="Heading1Char">
    <w:name w:val="Heading 1 Char"/>
    <w:basedOn w:val="DefaultParagraphFont"/>
    <w:link w:val="Heading1"/>
    <w:uiPriority w:val="9"/>
    <w:rsid w:val="00491E4A"/>
    <w:rPr>
      <w:rFonts w:asciiTheme="majorHAnsi" w:eastAsiaTheme="majorEastAsia" w:hAnsiTheme="majorHAnsi" w:cstheme="majorBidi"/>
      <w:b/>
      <w:bCs/>
      <w:color w:val="365F91" w:themeColor="accent1" w:themeShade="BF"/>
      <w:sz w:val="28"/>
      <w:szCs w:val="25"/>
    </w:rPr>
  </w:style>
  <w:style w:type="character" w:styleId="Emphasis">
    <w:name w:val="Emphasis"/>
    <w:basedOn w:val="DefaultParagraphFont"/>
    <w:uiPriority w:val="20"/>
    <w:qFormat/>
    <w:rsid w:val="00491E4A"/>
    <w:rPr>
      <w:i/>
      <w:iCs/>
    </w:rPr>
  </w:style>
  <w:style w:type="character" w:customStyle="1" w:styleId="katex-mathml">
    <w:name w:val="katex-mathml"/>
    <w:basedOn w:val="DefaultParagraphFont"/>
    <w:rsid w:val="00491E4A"/>
  </w:style>
  <w:style w:type="character" w:customStyle="1" w:styleId="mord">
    <w:name w:val="mord"/>
    <w:basedOn w:val="DefaultParagraphFont"/>
    <w:rsid w:val="00491E4A"/>
  </w:style>
  <w:style w:type="character" w:customStyle="1" w:styleId="mrel">
    <w:name w:val="mrel"/>
    <w:basedOn w:val="DefaultParagraphFont"/>
    <w:rsid w:val="00491E4A"/>
  </w:style>
  <w:style w:type="character" w:customStyle="1" w:styleId="delimsizing">
    <w:name w:val="delimsizing"/>
    <w:basedOn w:val="DefaultParagraphFont"/>
    <w:rsid w:val="00491E4A"/>
  </w:style>
  <w:style w:type="character" w:customStyle="1" w:styleId="vlist-s">
    <w:name w:val="vlist-s"/>
    <w:basedOn w:val="DefaultParagraphFont"/>
    <w:rsid w:val="00491E4A"/>
  </w:style>
  <w:style w:type="character" w:customStyle="1" w:styleId="mbin">
    <w:name w:val="mbin"/>
    <w:basedOn w:val="DefaultParagraphFont"/>
    <w:rsid w:val="00491E4A"/>
  </w:style>
  <w:style w:type="paragraph" w:styleId="NoSpacing">
    <w:name w:val="No Spacing"/>
    <w:uiPriority w:val="1"/>
    <w:qFormat/>
    <w:rsid w:val="007A7217"/>
    <w:pPr>
      <w:spacing w:after="0" w:line="240" w:lineRule="auto"/>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8230">
      <w:bodyDiv w:val="1"/>
      <w:marLeft w:val="0"/>
      <w:marRight w:val="0"/>
      <w:marTop w:val="0"/>
      <w:marBottom w:val="0"/>
      <w:divBdr>
        <w:top w:val="none" w:sz="0" w:space="0" w:color="auto"/>
        <w:left w:val="none" w:sz="0" w:space="0" w:color="auto"/>
        <w:bottom w:val="none" w:sz="0" w:space="0" w:color="auto"/>
        <w:right w:val="none" w:sz="0" w:space="0" w:color="auto"/>
      </w:divBdr>
    </w:div>
    <w:div w:id="469707158">
      <w:bodyDiv w:val="1"/>
      <w:marLeft w:val="0"/>
      <w:marRight w:val="0"/>
      <w:marTop w:val="0"/>
      <w:marBottom w:val="0"/>
      <w:divBdr>
        <w:top w:val="none" w:sz="0" w:space="0" w:color="auto"/>
        <w:left w:val="none" w:sz="0" w:space="0" w:color="auto"/>
        <w:bottom w:val="none" w:sz="0" w:space="0" w:color="auto"/>
        <w:right w:val="none" w:sz="0" w:space="0" w:color="auto"/>
      </w:divBdr>
    </w:div>
    <w:div w:id="1277443961">
      <w:bodyDiv w:val="1"/>
      <w:marLeft w:val="0"/>
      <w:marRight w:val="0"/>
      <w:marTop w:val="0"/>
      <w:marBottom w:val="0"/>
      <w:divBdr>
        <w:top w:val="none" w:sz="0" w:space="0" w:color="auto"/>
        <w:left w:val="none" w:sz="0" w:space="0" w:color="auto"/>
        <w:bottom w:val="none" w:sz="0" w:space="0" w:color="auto"/>
        <w:right w:val="none" w:sz="0" w:space="0" w:color="auto"/>
      </w:divBdr>
    </w:div>
    <w:div w:id="1419642779">
      <w:bodyDiv w:val="1"/>
      <w:marLeft w:val="0"/>
      <w:marRight w:val="0"/>
      <w:marTop w:val="0"/>
      <w:marBottom w:val="0"/>
      <w:divBdr>
        <w:top w:val="none" w:sz="0" w:space="0" w:color="auto"/>
        <w:left w:val="none" w:sz="0" w:space="0" w:color="auto"/>
        <w:bottom w:val="none" w:sz="0" w:space="0" w:color="auto"/>
        <w:right w:val="none" w:sz="0" w:space="0" w:color="auto"/>
      </w:divBdr>
      <w:divsChild>
        <w:div w:id="132928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038317">
      <w:bodyDiv w:val="1"/>
      <w:marLeft w:val="0"/>
      <w:marRight w:val="0"/>
      <w:marTop w:val="0"/>
      <w:marBottom w:val="0"/>
      <w:divBdr>
        <w:top w:val="none" w:sz="0" w:space="0" w:color="auto"/>
        <w:left w:val="none" w:sz="0" w:space="0" w:color="auto"/>
        <w:bottom w:val="none" w:sz="0" w:space="0" w:color="auto"/>
        <w:right w:val="none" w:sz="0" w:space="0" w:color="auto"/>
      </w:divBdr>
    </w:div>
    <w:div w:id="1850606516">
      <w:bodyDiv w:val="1"/>
      <w:marLeft w:val="0"/>
      <w:marRight w:val="0"/>
      <w:marTop w:val="0"/>
      <w:marBottom w:val="0"/>
      <w:divBdr>
        <w:top w:val="none" w:sz="0" w:space="0" w:color="auto"/>
        <w:left w:val="none" w:sz="0" w:space="0" w:color="auto"/>
        <w:bottom w:val="none" w:sz="0" w:space="0" w:color="auto"/>
        <w:right w:val="none" w:sz="0" w:space="0" w:color="auto"/>
      </w:divBdr>
    </w:div>
    <w:div w:id="1907760540">
      <w:bodyDiv w:val="1"/>
      <w:marLeft w:val="0"/>
      <w:marRight w:val="0"/>
      <w:marTop w:val="0"/>
      <w:marBottom w:val="0"/>
      <w:divBdr>
        <w:top w:val="none" w:sz="0" w:space="0" w:color="auto"/>
        <w:left w:val="none" w:sz="0" w:space="0" w:color="auto"/>
        <w:bottom w:val="none" w:sz="0" w:space="0" w:color="auto"/>
        <w:right w:val="none" w:sz="0" w:space="0" w:color="auto"/>
      </w:divBdr>
      <w:divsChild>
        <w:div w:id="1753314669">
          <w:marLeft w:val="0"/>
          <w:marRight w:val="0"/>
          <w:marTop w:val="0"/>
          <w:marBottom w:val="0"/>
          <w:divBdr>
            <w:top w:val="none" w:sz="0" w:space="0" w:color="auto"/>
            <w:left w:val="none" w:sz="0" w:space="0" w:color="auto"/>
            <w:bottom w:val="none" w:sz="0" w:space="0" w:color="auto"/>
            <w:right w:val="none" w:sz="0" w:space="0" w:color="auto"/>
          </w:divBdr>
          <w:divsChild>
            <w:div w:id="3765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7005">
      <w:bodyDiv w:val="1"/>
      <w:marLeft w:val="0"/>
      <w:marRight w:val="0"/>
      <w:marTop w:val="0"/>
      <w:marBottom w:val="0"/>
      <w:divBdr>
        <w:top w:val="none" w:sz="0" w:space="0" w:color="auto"/>
        <w:left w:val="none" w:sz="0" w:space="0" w:color="auto"/>
        <w:bottom w:val="none" w:sz="0" w:space="0" w:color="auto"/>
        <w:right w:val="none" w:sz="0" w:space="0" w:color="auto"/>
      </w:divBdr>
      <w:divsChild>
        <w:div w:id="1509054026">
          <w:marLeft w:val="0"/>
          <w:marRight w:val="0"/>
          <w:marTop w:val="0"/>
          <w:marBottom w:val="0"/>
          <w:divBdr>
            <w:top w:val="none" w:sz="0" w:space="0" w:color="auto"/>
            <w:left w:val="none" w:sz="0" w:space="0" w:color="auto"/>
            <w:bottom w:val="none" w:sz="0" w:space="0" w:color="auto"/>
            <w:right w:val="none" w:sz="0" w:space="0" w:color="auto"/>
          </w:divBdr>
          <w:divsChild>
            <w:div w:id="10035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Thakur</dc:creator>
  <cp:lastModifiedBy>qwert</cp:lastModifiedBy>
  <cp:revision>3</cp:revision>
  <dcterms:created xsi:type="dcterms:W3CDTF">2026-02-03T11:35:00Z</dcterms:created>
  <dcterms:modified xsi:type="dcterms:W3CDTF">2026-03-02T07:40:00Z</dcterms:modified>
</cp:coreProperties>
</file>