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6CFB" w:rsidRPr="00A727C2" w:rsidRDefault="00A727C2" w:rsidP="00A727C2">
      <w:pPr>
        <w:spacing w:line="360" w:lineRule="auto"/>
        <w:jc w:val="center"/>
        <w:rPr>
          <w:rFonts w:ascii="Times New Roman" w:hAnsi="Times New Roman" w:cs="Times New Roman"/>
          <w:b/>
          <w:sz w:val="24"/>
        </w:rPr>
      </w:pPr>
      <w:r w:rsidRPr="00A727C2">
        <w:rPr>
          <w:rFonts w:ascii="Times New Roman" w:hAnsi="Times New Roman" w:cs="Times New Roman"/>
          <w:b/>
          <w:sz w:val="24"/>
        </w:rPr>
        <w:t>EFFECT OF OAT</w:t>
      </w:r>
      <w:r w:rsidRPr="00A727C2">
        <w:rPr>
          <w:rFonts w:ascii="Times New Roman" w:hAnsi="Times New Roman" w:cs="Times New Roman"/>
          <w:b/>
          <w:sz w:val="24"/>
        </w:rPr>
        <w:noBreakHyphen/>
        <w:t>VETCH INTERCRO</w:t>
      </w:r>
      <w:r>
        <w:rPr>
          <w:rFonts w:ascii="Times New Roman" w:hAnsi="Times New Roman" w:cs="Times New Roman"/>
          <w:b/>
          <w:sz w:val="24"/>
        </w:rPr>
        <w:t>PPING ON OAT CHEMICAL COMPOSITI</w:t>
      </w:r>
      <w:r w:rsidRPr="00A727C2">
        <w:rPr>
          <w:rFonts w:ascii="Times New Roman" w:hAnsi="Times New Roman" w:cs="Times New Roman"/>
          <w:b/>
          <w:sz w:val="24"/>
        </w:rPr>
        <w:t xml:space="preserve">N, IN VITRO DIGESTIBILITY, AND GAS PRODUCTION IN GUJI ZONE </w:t>
      </w:r>
      <w:r w:rsidR="00C06CFB" w:rsidRPr="00A727C2">
        <w:rPr>
          <w:rFonts w:ascii="Times New Roman" w:hAnsi="Times New Roman" w:cs="Times New Roman"/>
          <w:b/>
          <w:sz w:val="24"/>
        </w:rPr>
        <w:t>HIGHLAND SOUTHERN, OROMIA, ETHIOPIA</w:t>
      </w:r>
    </w:p>
    <w:p w:rsidR="00FA0093" w:rsidRPr="00A97D88" w:rsidRDefault="00FA0093" w:rsidP="006C37AF">
      <w:pPr>
        <w:pStyle w:val="Default"/>
        <w:tabs>
          <w:tab w:val="center" w:pos="4680"/>
        </w:tabs>
        <w:spacing w:line="480" w:lineRule="auto"/>
        <w:jc w:val="center"/>
        <w:rPr>
          <w:b/>
          <w:color w:val="auto"/>
        </w:rPr>
      </w:pPr>
    </w:p>
    <w:p w:rsidR="006F73FC" w:rsidRPr="00A97D88" w:rsidRDefault="006F73FC" w:rsidP="006C37AF">
      <w:pPr>
        <w:pStyle w:val="Default"/>
        <w:tabs>
          <w:tab w:val="center" w:pos="4680"/>
        </w:tabs>
        <w:spacing w:line="480" w:lineRule="auto"/>
        <w:jc w:val="center"/>
        <w:rPr>
          <w:b/>
          <w:color w:val="auto"/>
        </w:rPr>
      </w:pPr>
    </w:p>
    <w:p w:rsidR="00242EEF" w:rsidRPr="00A97D88" w:rsidRDefault="00242EEF" w:rsidP="000722DA">
      <w:pPr>
        <w:spacing w:line="360" w:lineRule="auto"/>
        <w:jc w:val="center"/>
        <w:rPr>
          <w:rFonts w:ascii="Times New Roman" w:hAnsi="Times New Roman" w:cs="Times New Roman"/>
          <w:b/>
          <w:sz w:val="24"/>
          <w:szCs w:val="24"/>
        </w:rPr>
      </w:pPr>
    </w:p>
    <w:p w:rsidR="005B7C91" w:rsidRPr="00A97D88" w:rsidRDefault="005B7C91"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52"/>
          <w:szCs w:val="24"/>
        </w:rPr>
      </w:pPr>
    </w:p>
    <w:p w:rsidR="001C0FD0" w:rsidRPr="00A97D88" w:rsidRDefault="001C0FD0"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24"/>
          <w:szCs w:val="24"/>
        </w:rPr>
      </w:pPr>
    </w:p>
    <w:p w:rsidR="00F139A5" w:rsidRPr="00F139A5" w:rsidRDefault="00F139A5" w:rsidP="00E93826">
      <w:pPr>
        <w:spacing w:line="360" w:lineRule="auto"/>
        <w:jc w:val="both"/>
        <w:rPr>
          <w:rFonts w:ascii="Times New Roman" w:hAnsi="Times New Roman" w:cs="Times New Roman"/>
          <w:sz w:val="24"/>
          <w:szCs w:val="24"/>
        </w:rPr>
      </w:pPr>
    </w:p>
    <w:p w:rsidR="00A668AA" w:rsidRDefault="00A668AA">
      <w:pPr>
        <w:rPr>
          <w:rFonts w:ascii="Times New Roman" w:eastAsiaTheme="majorEastAsia" w:hAnsi="Times New Roman" w:cs="Times New Roman"/>
          <w:b/>
          <w:bCs/>
          <w:sz w:val="24"/>
          <w:szCs w:val="24"/>
        </w:rPr>
      </w:pPr>
      <w:bookmarkStart w:id="0" w:name="_Toc184070786"/>
      <w:r>
        <w:rPr>
          <w:rFonts w:ascii="Times New Roman" w:hAnsi="Times New Roman" w:cs="Times New Roman"/>
          <w:sz w:val="24"/>
          <w:szCs w:val="24"/>
        </w:rPr>
        <w:br w:type="page"/>
      </w:r>
    </w:p>
    <w:p w:rsidR="008059BD" w:rsidRPr="00F320BF" w:rsidRDefault="008554B0" w:rsidP="00F320BF">
      <w:pPr>
        <w:pStyle w:val="Heading1"/>
        <w:spacing w:after="240" w:line="360" w:lineRule="auto"/>
        <w:jc w:val="both"/>
        <w:rPr>
          <w:rFonts w:ascii="Times New Roman" w:hAnsi="Times New Roman" w:cs="Times New Roman"/>
          <w:color w:val="auto"/>
          <w:sz w:val="24"/>
          <w:szCs w:val="24"/>
        </w:rPr>
      </w:pPr>
      <w:r w:rsidRPr="00F320BF">
        <w:rPr>
          <w:rFonts w:ascii="Times New Roman" w:hAnsi="Times New Roman" w:cs="Times New Roman"/>
          <w:color w:val="auto"/>
          <w:sz w:val="24"/>
          <w:szCs w:val="24"/>
        </w:rPr>
        <w:lastRenderedPageBreak/>
        <w:t>ABSTRACT</w:t>
      </w:r>
      <w:bookmarkEnd w:id="0"/>
    </w:p>
    <w:p w:rsidR="00013747" w:rsidRDefault="00013747" w:rsidP="00013747">
      <w:pPr>
        <w:spacing w:line="360" w:lineRule="auto"/>
        <w:jc w:val="both"/>
        <w:rPr>
          <w:rFonts w:ascii="Times New Roman" w:hAnsi="Times New Roman" w:cs="Times New Roman"/>
          <w:i/>
          <w:sz w:val="24"/>
          <w:szCs w:val="24"/>
        </w:rPr>
      </w:pPr>
      <w:r w:rsidRPr="00013747">
        <w:rPr>
          <w:rFonts w:ascii="Times New Roman" w:hAnsi="Times New Roman" w:cs="Times New Roman"/>
          <w:i/>
          <w:sz w:val="24"/>
          <w:szCs w:val="24"/>
        </w:rPr>
        <w:t xml:space="preserve">Feed scarcity and poor forage quality limit ruminant productivity in the Guji highlands. This study evaluated intercropping three oat varieties (Bonsa, Bareda, Bate) with common vetch (Vicia sativa L.) at three row arrangements (1:1, 1:2, 2:1) to determine effects on chemical composition, in vitro digestibility, and gas (methane) production. A factorial RCBD with three replications was used; soil samples were taken pre‑planting and post‑harvest. Forage samples were analyzed for dry matter (DM), crude protein (CP), NDF, ADF, IVDDM, IVOMD, metabolizable energy (ME), and cumulative gas production (3–72 h). Data were analyzed by ANOVA using GLM in R 4.4.0. Intercropping significantly (p&lt;0.05) increased soil nutrient status overall but lowered available phosphorus after harvest. Row arrangement affected most chemical traits (p&lt;0.05) except DM. Intercropping consistently raised CP (from </w:t>
      </w:r>
      <w:r w:rsidR="006A7447">
        <w:rPr>
          <w:rFonts w:ascii="Times New Roman" w:hAnsi="Times New Roman" w:cs="Times New Roman"/>
          <w:i/>
          <w:sz w:val="24"/>
          <w:szCs w:val="24"/>
        </w:rPr>
        <w:t>less mixture of vetch 9.78% to 11.08%</w:t>
      </w:r>
      <w:r w:rsidRPr="00013747">
        <w:rPr>
          <w:rFonts w:ascii="Times New Roman" w:hAnsi="Times New Roman" w:cs="Times New Roman"/>
          <w:i/>
          <w:sz w:val="24"/>
          <w:szCs w:val="24"/>
        </w:rPr>
        <w:t xml:space="preserve"> intercropped </w:t>
      </w:r>
      <w:r w:rsidR="006A7447" w:rsidRPr="00013747">
        <w:rPr>
          <w:rFonts w:ascii="Times New Roman" w:hAnsi="Times New Roman" w:cs="Times New Roman"/>
          <w:i/>
          <w:sz w:val="24"/>
          <w:szCs w:val="24"/>
        </w:rPr>
        <w:t>CP %</w:t>
      </w:r>
      <w:r w:rsidRPr="00013747">
        <w:rPr>
          <w:rFonts w:ascii="Times New Roman" w:hAnsi="Times New Roman" w:cs="Times New Roman"/>
          <w:i/>
          <w:sz w:val="24"/>
          <w:szCs w:val="24"/>
        </w:rPr>
        <w:t xml:space="preserve"> and reduced NDF/ADF as legume row proportion increased. IVDMD and IVOMD improved with vetch mixtures (IVDMD</w:t>
      </w:r>
      <w:r w:rsidR="00851363">
        <w:rPr>
          <w:rFonts w:ascii="Times New Roman" w:hAnsi="Times New Roman" w:cs="Times New Roman"/>
          <w:i/>
          <w:sz w:val="24"/>
          <w:szCs w:val="24"/>
        </w:rPr>
        <w:t>) from 54.7% to 60.4</w:t>
      </w:r>
      <w:r w:rsidR="006A7447">
        <w:rPr>
          <w:rFonts w:ascii="Times New Roman" w:hAnsi="Times New Roman" w:cs="Times New Roman"/>
          <w:i/>
          <w:sz w:val="24"/>
          <w:szCs w:val="24"/>
        </w:rPr>
        <w:t>%</w:t>
      </w:r>
      <w:r w:rsidR="006A7447" w:rsidRPr="00013747">
        <w:rPr>
          <w:rFonts w:ascii="Times New Roman" w:hAnsi="Times New Roman" w:cs="Times New Roman"/>
          <w:i/>
          <w:sz w:val="24"/>
          <w:szCs w:val="24"/>
        </w:rPr>
        <w:t>,</w:t>
      </w:r>
      <w:r w:rsidR="006A7447">
        <w:rPr>
          <w:rFonts w:ascii="Times New Roman" w:hAnsi="Times New Roman" w:cs="Times New Roman"/>
          <w:i/>
          <w:sz w:val="24"/>
          <w:szCs w:val="24"/>
        </w:rPr>
        <w:t xml:space="preserve"> IVOMD from 56.4% to 54.3%</w:t>
      </w:r>
      <w:r w:rsidRPr="00013747">
        <w:rPr>
          <w:rFonts w:ascii="Times New Roman" w:hAnsi="Times New Roman" w:cs="Times New Roman"/>
          <w:i/>
          <w:sz w:val="24"/>
          <w:szCs w:val="24"/>
        </w:rPr>
        <w:t xml:space="preserve"> p&lt;0.05), and ME increased accordingly. Cumulative methane‑related gas production during 3–72 h incubation ranged from </w:t>
      </w:r>
      <w:r w:rsidR="006D2721">
        <w:rPr>
          <w:rFonts w:ascii="Times New Roman" w:hAnsi="Times New Roman" w:cs="Times New Roman"/>
          <w:i/>
          <w:sz w:val="24"/>
          <w:szCs w:val="24"/>
        </w:rPr>
        <w:t xml:space="preserve">3.6 to 5 </w:t>
      </w:r>
      <w:r w:rsidR="00B42ECE">
        <w:rPr>
          <w:rFonts w:ascii="Times New Roman" w:hAnsi="Times New Roman" w:cs="Times New Roman"/>
          <w:i/>
          <w:sz w:val="24"/>
          <w:szCs w:val="24"/>
        </w:rPr>
        <w:t>mL/g DM, with Bonsa×vetch (1:2</w:t>
      </w:r>
      <w:r w:rsidRPr="00013747">
        <w:rPr>
          <w:rFonts w:ascii="Times New Roman" w:hAnsi="Times New Roman" w:cs="Times New Roman"/>
          <w:i/>
          <w:sz w:val="24"/>
          <w:szCs w:val="24"/>
        </w:rPr>
        <w:t>) showing lower methane per unit degraded OM. The B</w:t>
      </w:r>
      <w:r w:rsidR="00B42ECE">
        <w:rPr>
          <w:rFonts w:ascii="Times New Roman" w:hAnsi="Times New Roman" w:cs="Times New Roman"/>
          <w:i/>
          <w:sz w:val="24"/>
          <w:szCs w:val="24"/>
        </w:rPr>
        <w:t>onsa variety intercropped at 1:2</w:t>
      </w:r>
      <w:r w:rsidRPr="00013747">
        <w:rPr>
          <w:rFonts w:ascii="Times New Roman" w:hAnsi="Times New Roman" w:cs="Times New Roman"/>
          <w:i/>
          <w:sz w:val="24"/>
          <w:szCs w:val="24"/>
        </w:rPr>
        <w:t xml:space="preserve"> provided the best balance of yield components, nutritive value, digestibility, and reduced methane intensity. These results suggest that adop</w:t>
      </w:r>
      <w:r w:rsidR="00B42ECE">
        <w:rPr>
          <w:rFonts w:ascii="Times New Roman" w:hAnsi="Times New Roman" w:cs="Times New Roman"/>
          <w:i/>
          <w:sz w:val="24"/>
          <w:szCs w:val="24"/>
        </w:rPr>
        <w:t>ting Bonsa–vetch intercrops (1:2</w:t>
      </w:r>
      <w:r w:rsidRPr="00013747">
        <w:rPr>
          <w:rFonts w:ascii="Times New Roman" w:hAnsi="Times New Roman" w:cs="Times New Roman"/>
          <w:i/>
          <w:sz w:val="24"/>
          <w:szCs w:val="24"/>
        </w:rPr>
        <w:t>) can improve forage quality, enhance soil fertility, and mitigate enteric methane in Guji highlands</w:t>
      </w:r>
      <w:r>
        <w:rPr>
          <w:rFonts w:ascii="Times New Roman" w:hAnsi="Times New Roman" w:cs="Times New Roman"/>
          <w:i/>
          <w:sz w:val="24"/>
          <w:szCs w:val="24"/>
        </w:rPr>
        <w:t>.</w:t>
      </w:r>
    </w:p>
    <w:p w:rsidR="00C9738C" w:rsidRDefault="00F320BF" w:rsidP="0034312D">
      <w:pPr>
        <w:spacing w:line="360" w:lineRule="auto"/>
        <w:rPr>
          <w:rFonts w:ascii="Times New Roman" w:hAnsi="Times New Roman" w:cs="Times New Roman"/>
          <w:sz w:val="24"/>
          <w:szCs w:val="24"/>
        </w:rPr>
        <w:sectPr w:rsidR="00C9738C" w:rsidSect="00AD5C57">
          <w:headerReference w:type="default" r:id="rId8"/>
          <w:footerReference w:type="first" r:id="rId9"/>
          <w:pgSz w:w="12240" w:h="15840"/>
          <w:pgMar w:top="1440" w:right="1620" w:bottom="1440" w:left="1440" w:header="720" w:footer="720" w:gutter="0"/>
          <w:pgNumType w:fmt="lowerRoman" w:start="1"/>
          <w:cols w:space="720"/>
          <w:docGrid w:linePitch="360"/>
        </w:sectPr>
      </w:pPr>
      <w:r w:rsidRPr="00F320BF">
        <w:rPr>
          <w:rFonts w:ascii="Times New Roman" w:hAnsi="Times New Roman" w:cs="Times New Roman"/>
          <w:b/>
          <w:sz w:val="24"/>
          <w:szCs w:val="24"/>
        </w:rPr>
        <w:t>Keywords</w:t>
      </w:r>
      <w:r w:rsidR="00AD60E0">
        <w:rPr>
          <w:rFonts w:ascii="Times New Roman" w:hAnsi="Times New Roman" w:cs="Times New Roman"/>
          <w:b/>
          <w:sz w:val="24"/>
          <w:szCs w:val="24"/>
        </w:rPr>
        <w:t xml:space="preserve"> 1</w:t>
      </w:r>
      <w:r>
        <w:rPr>
          <w:rFonts w:ascii="Times New Roman" w:hAnsi="Times New Roman" w:cs="Times New Roman"/>
          <w:sz w:val="24"/>
          <w:szCs w:val="24"/>
        </w:rPr>
        <w:t>: in-vitro gas,</w:t>
      </w:r>
      <w:r w:rsidR="00D072C2">
        <w:rPr>
          <w:rFonts w:ascii="Times New Roman" w:hAnsi="Times New Roman" w:cs="Times New Roman"/>
          <w:sz w:val="24"/>
          <w:szCs w:val="24"/>
        </w:rPr>
        <w:t xml:space="preserve"> </w:t>
      </w:r>
      <w:r w:rsidR="00D072C2" w:rsidRPr="00D072C2">
        <w:rPr>
          <w:rFonts w:ascii="Times New Roman" w:hAnsi="Times New Roman" w:cs="Times New Roman"/>
          <w:sz w:val="24"/>
          <w:szCs w:val="24"/>
        </w:rPr>
        <w:t>in vitro digestibility</w:t>
      </w:r>
      <w:r w:rsidR="00D072C2">
        <w:rPr>
          <w:rFonts w:ascii="Times New Roman" w:hAnsi="Times New Roman" w:cs="Times New Roman"/>
          <w:sz w:val="24"/>
          <w:szCs w:val="24"/>
        </w:rPr>
        <w:t xml:space="preserve">, </w:t>
      </w:r>
      <w:r>
        <w:rPr>
          <w:rFonts w:ascii="Times New Roman" w:hAnsi="Times New Roman" w:cs="Times New Roman"/>
          <w:sz w:val="24"/>
          <w:szCs w:val="24"/>
        </w:rPr>
        <w:t>oat varieties, nutriti</w:t>
      </w:r>
      <w:r w:rsidR="00AA48B0">
        <w:rPr>
          <w:rFonts w:ascii="Times New Roman" w:hAnsi="Times New Roman" w:cs="Times New Roman"/>
          <w:sz w:val="24"/>
          <w:szCs w:val="24"/>
        </w:rPr>
        <w:t xml:space="preserve">ve value, row </w:t>
      </w:r>
      <w:r w:rsidR="00C06CFB">
        <w:rPr>
          <w:rFonts w:ascii="Times New Roman" w:hAnsi="Times New Roman" w:cs="Times New Roman"/>
          <w:sz w:val="24"/>
          <w:szCs w:val="24"/>
        </w:rPr>
        <w:t>arrangement</w:t>
      </w:r>
    </w:p>
    <w:p w:rsidR="006B02F2" w:rsidRDefault="001A33DA" w:rsidP="0071485C">
      <w:pPr>
        <w:pStyle w:val="Heading1"/>
        <w:spacing w:before="0" w:after="240"/>
        <w:ind w:left="360"/>
        <w:rPr>
          <w:rFonts w:ascii="Times New Roman" w:hAnsi="Times New Roman" w:cs="Times New Roman"/>
          <w:color w:val="auto"/>
        </w:rPr>
      </w:pPr>
      <w:bookmarkStart w:id="1" w:name="_Toc184070787"/>
      <w:r w:rsidRPr="00A97D88">
        <w:rPr>
          <w:rFonts w:ascii="Times New Roman" w:hAnsi="Times New Roman" w:cs="Times New Roman"/>
          <w:color w:val="auto"/>
        </w:rPr>
        <w:lastRenderedPageBreak/>
        <w:t>INTRODUCTION</w:t>
      </w:r>
      <w:bookmarkEnd w:id="1"/>
    </w:p>
    <w:p w:rsidR="00A20EE4" w:rsidRPr="00C06CFB" w:rsidRDefault="00A20EE4" w:rsidP="00C06CFB">
      <w:pPr>
        <w:pStyle w:val="NormalWeb"/>
        <w:spacing w:line="360" w:lineRule="auto"/>
        <w:jc w:val="both"/>
        <w:rPr>
          <w:sz w:val="19"/>
          <w:szCs w:val="19"/>
        </w:rPr>
      </w:pPr>
      <w:r w:rsidRPr="00C06CFB">
        <w:t>Ethiopia possesses one of Africa'</w:t>
      </w:r>
      <w:r w:rsidR="0051336C" w:rsidRPr="00C06CFB">
        <w:t xml:space="preserve">s largest livestock </w:t>
      </w:r>
      <w:r w:rsidR="00AE4EEF" w:rsidRPr="00C06CFB">
        <w:t>population’s</w:t>
      </w:r>
      <w:r w:rsidR="0051336C" w:rsidRPr="00C06CFB">
        <w:t xml:space="preserve"> </w:t>
      </w:r>
      <w:r w:rsidRPr="00C06CFB">
        <w:t xml:space="preserve">70.29 million cattle, 42.9 million sheep, 52.25 million goats, and millions more equines, </w:t>
      </w:r>
      <w:r w:rsidR="003B49E1" w:rsidRPr="00C06CFB">
        <w:t xml:space="preserve">camels, and poultry </w:t>
      </w:r>
      <w:r w:rsidR="000D6068" w:rsidRPr="00C06CFB">
        <w:fldChar w:fldCharType="begin"/>
      </w:r>
      <w:r w:rsidR="0088143B" w:rsidRPr="00C06CFB">
        <w:instrText xml:space="preserve"> ADDIN EN.CITE &lt;EndNote&gt;&lt;Cite ExcludeAuth="1" ExcludeYear="1"&gt;&lt;Author&gt;Asmare&lt;/Author&gt;&lt;Year&gt;2023&lt;/Year&gt;&lt;RecNum&gt;50&lt;/RecNum&gt;&lt;Prefix&gt;Asmare and Aragaw`, 2023&lt;/Prefix&gt;&lt;DisplayText&gt;(Asmare and Aragaw, 2023)&lt;/DisplayText&gt;&lt;record&gt;&lt;rec-number&gt;50&lt;/rec-number&gt;&lt;foreign-keys&gt;&lt;key app="EN" db-id="5ee0etwro2xdtheaap2xr5f6dpxvrsx2v0t5"&gt;50&lt;/key&gt;&lt;/foreign-keys&gt;&lt;ref-type name="Journal Article"&gt;17&lt;/ref-type&gt;&lt;contributors&gt;&lt;authors&gt;&lt;author&gt;Asmare, Kassahun&lt;/author&gt;&lt;author&gt;Aragaw, Kassaye&lt;/author&gt;&lt;/authors&gt;&lt;/contributors&gt;&lt;titles&gt;&lt;title&gt;Ethiopian Veterinary Association&lt;/title&gt;&lt;/titles&gt;&lt;dates&gt;&lt;year&gt;2023&lt;/year&gt;&lt;/dates&gt;&lt;urls&gt;&lt;/urls&gt;&lt;/record&gt;&lt;/Cite&gt;&lt;/EndNote&gt;</w:instrText>
      </w:r>
      <w:r w:rsidR="000D6068" w:rsidRPr="00C06CFB">
        <w:fldChar w:fldCharType="separate"/>
      </w:r>
      <w:r w:rsidR="0088143B" w:rsidRPr="00C06CFB">
        <w:rPr>
          <w:noProof/>
        </w:rPr>
        <w:t>(</w:t>
      </w:r>
      <w:hyperlink w:anchor="_ENREF_9" w:tooltip="Asmare, 2023 #50" w:history="1">
        <w:r w:rsidR="00BC4E2E" w:rsidRPr="00C06CFB">
          <w:rPr>
            <w:noProof/>
          </w:rPr>
          <w:t>Asmare and Aragaw, 2023</w:t>
        </w:r>
      </w:hyperlink>
      <w:r w:rsidR="0088143B" w:rsidRPr="00C06CFB">
        <w:rPr>
          <w:noProof/>
        </w:rPr>
        <w:t>)</w:t>
      </w:r>
      <w:r w:rsidR="000D6068" w:rsidRPr="00C06CFB">
        <w:fldChar w:fldCharType="end"/>
      </w:r>
      <w:r w:rsidR="003B49E1" w:rsidRPr="00C06CFB">
        <w:t xml:space="preserve">. </w:t>
      </w:r>
      <w:r w:rsidRPr="00C06CFB">
        <w:t xml:space="preserve">yet productivity remains constrained by severe feed scarcity in both quantity and quality </w:t>
      </w:r>
      <w:r w:rsidR="000D6068" w:rsidRPr="00C06CFB">
        <w:fldChar w:fldCharType="begin"/>
      </w:r>
      <w:r w:rsidR="0088143B" w:rsidRPr="00C06CFB">
        <w:instrText xml:space="preserve"> ADDIN EN.CITE &lt;EndNote&gt;&lt;Cite&gt;&lt;Author&gt;Dejene&lt;/Author&gt;&lt;Year&gt;2024&lt;/Year&gt;&lt;RecNum&gt;51&lt;/RecNum&gt;&lt;DisplayText&gt;(Dejene&lt;style face="italic"&gt; et al.&lt;/style&gt;, 2024)&lt;/DisplayText&gt;&lt;record&gt;&lt;rec-number&gt;51&lt;/rec-number&gt;&lt;foreign-keys&gt;&lt;key app="EN" db-id="5ee0etwro2xdtheaap2xr5f6dpxvrsx2v0t5"&gt;51&lt;/key&gt;&lt;/foreign-keys&gt;&lt;ref-type name="Journal Article"&gt;17&lt;/ref-type&gt;&lt;contributors&gt;&lt;authors&gt;&lt;author&gt;Dejene, Mesfin&lt;/author&gt;&lt;author&gt;Beshir, Hassen&lt;/author&gt;&lt;author&gt;Tadesse, Getaw&lt;/author&gt;&lt;/authors&gt;&lt;/contributors&gt;&lt;titles&gt;&lt;title&gt;Animal Feed Policies and Feeding Practices in Ethiopia&lt;/title&gt;&lt;/titles&gt;&lt;dates&gt;&lt;year&gt;2024&lt;/year&gt;&lt;/dates&gt;&lt;urls&gt;&lt;/urls&gt;&lt;/record&gt;&lt;/Cite&gt;&lt;/EndNote&gt;</w:instrText>
      </w:r>
      <w:r w:rsidR="000D6068" w:rsidRPr="00C06CFB">
        <w:fldChar w:fldCharType="separate"/>
      </w:r>
      <w:r w:rsidR="0088143B" w:rsidRPr="00C06CFB">
        <w:rPr>
          <w:noProof/>
        </w:rPr>
        <w:t>(</w:t>
      </w:r>
      <w:hyperlink w:anchor="_ENREF_15" w:tooltip="Dejene, 2024 #51" w:history="1">
        <w:r w:rsidR="00BC4E2E" w:rsidRPr="00C06CFB">
          <w:rPr>
            <w:noProof/>
          </w:rPr>
          <w:t>Dejene</w:t>
        </w:r>
        <w:r w:rsidR="00BC4E2E" w:rsidRPr="00C06CFB">
          <w:rPr>
            <w:i/>
            <w:noProof/>
          </w:rPr>
          <w:t xml:space="preserve"> et al.</w:t>
        </w:r>
        <w:r w:rsidR="00BC4E2E" w:rsidRPr="00C06CFB">
          <w:rPr>
            <w:noProof/>
          </w:rPr>
          <w:t>, 2024</w:t>
        </w:r>
      </w:hyperlink>
      <w:r w:rsidR="0088143B" w:rsidRPr="00C06CFB">
        <w:rPr>
          <w:noProof/>
        </w:rPr>
        <w:t>)</w:t>
      </w:r>
      <w:r w:rsidR="000D6068" w:rsidRPr="00C06CFB">
        <w:fldChar w:fldCharType="end"/>
      </w:r>
      <w:r w:rsidR="00D036C7" w:rsidRPr="00C06CFB">
        <w:t xml:space="preserve">. Traditional feed resources </w:t>
      </w:r>
      <w:r w:rsidRPr="00C06CFB">
        <w:t xml:space="preserve">natural pasture, crop residues, </w:t>
      </w:r>
      <w:r w:rsidR="0051336C" w:rsidRPr="00C06CFB">
        <w:t xml:space="preserve">and agro-industrial by-products </w:t>
      </w:r>
      <w:r w:rsidRPr="00C06CFB">
        <w:t xml:space="preserve">are declining as grazing lands convert to cropland </w:t>
      </w:r>
      <w:r w:rsidR="000D6068" w:rsidRPr="00C06CFB">
        <w:fldChar w:fldCharType="begin"/>
      </w:r>
      <w:r w:rsidR="00D036C7" w:rsidRPr="00C06CFB">
        <w:instrText xml:space="preserve"> ADDIN EN.CITE &lt;EndNote&gt;&lt;Cite&gt;&lt;Author&gt;Mengistu&lt;/Author&gt;&lt;Year&gt;2017&lt;/Year&gt;&lt;RecNum&gt;52&lt;/RecNum&gt;&lt;DisplayText&gt;(Mengistu&lt;style face="italic"&gt; et al.&lt;/style&gt;, 2017)&lt;/DisplayText&gt;&lt;record&gt;&lt;rec-number&gt;52&lt;/rec-number&gt;&lt;foreign-keys&gt;&lt;key app="EN" db-id="5ee0etwro2xdtheaap2xr5f6dpxvrsx2v0t5"&gt;52&lt;/key&gt;&lt;/foreign-keys&gt;&lt;ref-type name="Journal Article"&gt;17&lt;/ref-type&gt;&lt;contributors&gt;&lt;authors&gt;&lt;author&gt;Mengistu, Alemayehu&lt;/author&gt;&lt;author&gt;Kebede, Gezahagn&lt;/author&gt;&lt;author&gt;Feyissa, Fekede&lt;/author&gt;&lt;author&gt;Assefa, Getnet&lt;/author&gt;&lt;/authors&gt;&lt;/contributors&gt;&lt;titles&gt;&lt;title&gt;Review on major feed resources in Ethiopia: Conditions, challenges and opportunities&lt;/title&gt;&lt;secondary-title&gt;Academic Research Journal of Agricultural Science and Research&lt;/secondary-title&gt;&lt;/titles&gt;&lt;periodical&gt;&lt;full-title&gt;Academic Research Journal of Agricultural Science and Research&lt;/full-title&gt;&lt;/periodical&gt;&lt;pages&gt;176-185&lt;/pages&gt;&lt;volume&gt;5&lt;/volume&gt;&lt;number&gt;3&lt;/number&gt;&lt;dates&gt;&lt;year&gt;2017&lt;/year&gt;&lt;/dates&gt;&lt;urls&gt;&lt;/urls&gt;&lt;/record&gt;&lt;/Cite&gt;&lt;/EndNote&gt;</w:instrText>
      </w:r>
      <w:r w:rsidR="000D6068" w:rsidRPr="00C06CFB">
        <w:fldChar w:fldCharType="separate"/>
      </w:r>
      <w:r w:rsidR="00D036C7" w:rsidRPr="00C06CFB">
        <w:rPr>
          <w:noProof/>
        </w:rPr>
        <w:t>(</w:t>
      </w:r>
      <w:hyperlink w:anchor="_ENREF_50" w:tooltip="Mengistu, 2017 #52" w:history="1">
        <w:r w:rsidR="00BC4E2E" w:rsidRPr="00C06CFB">
          <w:rPr>
            <w:noProof/>
          </w:rPr>
          <w:t>Mengistu</w:t>
        </w:r>
        <w:r w:rsidR="00BC4E2E" w:rsidRPr="00C06CFB">
          <w:rPr>
            <w:i/>
            <w:noProof/>
          </w:rPr>
          <w:t xml:space="preserve"> et al.</w:t>
        </w:r>
        <w:r w:rsidR="00BC4E2E" w:rsidRPr="00C06CFB">
          <w:rPr>
            <w:noProof/>
          </w:rPr>
          <w:t>, 2017</w:t>
        </w:r>
      </w:hyperlink>
      <w:r w:rsidR="00D036C7" w:rsidRPr="00C06CFB">
        <w:rPr>
          <w:noProof/>
        </w:rPr>
        <w:t>)</w:t>
      </w:r>
      <w:r w:rsidR="000D6068" w:rsidRPr="00C06CFB">
        <w:fldChar w:fldCharType="end"/>
      </w:r>
      <w:r w:rsidR="00D036C7" w:rsidRPr="00C06CFB">
        <w:t xml:space="preserve">. </w:t>
      </w:r>
      <w:r w:rsidR="00C06CFB" w:rsidRPr="00C06CFB">
        <w:t xml:space="preserve">The situation is exacerbating nutritional deficits that limit livestock performance and contribute to enteric methane (CH1) emissions. </w:t>
      </w:r>
      <w:r w:rsidRPr="00C06CFB">
        <w:t>Livestock account for ~15% of global greenhouse gas emissions (Gerber et al., 2013), with CH₄ representing 83.4% of Ethiopia's livestock emissions and causing 12% en</w:t>
      </w:r>
      <w:r w:rsidR="00D036C7" w:rsidRPr="00C06CFB">
        <w:t xml:space="preserve">ergy loss in ruminants </w:t>
      </w:r>
      <w:r w:rsidR="000D6068" w:rsidRPr="00C06CFB">
        <w:fldChar w:fldCharType="begin"/>
      </w:r>
      <w:r w:rsidR="00D036C7" w:rsidRPr="00C06CFB">
        <w:instrText xml:space="preserve"> ADDIN EN.CITE &lt;EndNote&gt;&lt;Cite&gt;&lt;Author&gt;Mamo&lt;/Author&gt;&lt;Year&gt;2024&lt;/Year&gt;&lt;RecNum&gt;53&lt;/RecNum&gt;&lt;DisplayText&gt;(Mamo&lt;style face="italic"&gt; et al.&lt;/style&gt;, 2024)&lt;/DisplayText&gt;&lt;record&gt;&lt;rec-number&gt;53&lt;/rec-number&gt;&lt;foreign-keys&gt;&lt;key app="EN" db-id="5ee0etwro2xdtheaap2xr5f6dpxvrsx2v0t5"&gt;53&lt;/key&gt;&lt;/foreign-keys&gt;&lt;ref-type name="Journal Article"&gt;17&lt;/ref-type&gt;&lt;contributors&gt;&lt;authors&gt;&lt;author&gt;Mamo, Birhanu&lt;/author&gt;&lt;author&gt;Mengistu, Ashenafi&lt;/author&gt;&lt;author&gt;Shenkute, Belete&lt;/author&gt;&lt;/authors&gt;&lt;/contributors&gt;&lt;titles&gt;&lt;title&gt;Prediction of greenhouse gas emissions from large ruminants in mixed farming system of Southeast Ethiopia&lt;/title&gt;&lt;/titles&gt;&lt;dates&gt;&lt;year&gt;2024&lt;/year&gt;&lt;/dates&gt;&lt;urls&gt;&lt;/urls&gt;&lt;/record&gt;&lt;/Cite&gt;&lt;/EndNote&gt;</w:instrText>
      </w:r>
      <w:r w:rsidR="000D6068" w:rsidRPr="00C06CFB">
        <w:fldChar w:fldCharType="separate"/>
      </w:r>
      <w:r w:rsidR="00D036C7" w:rsidRPr="00C06CFB">
        <w:rPr>
          <w:noProof/>
        </w:rPr>
        <w:t>(</w:t>
      </w:r>
      <w:hyperlink w:anchor="_ENREF_47" w:tooltip="Mamo, 2024 #53" w:history="1">
        <w:r w:rsidR="00BC4E2E" w:rsidRPr="00C06CFB">
          <w:rPr>
            <w:noProof/>
          </w:rPr>
          <w:t>Mamo</w:t>
        </w:r>
        <w:r w:rsidR="00BC4E2E" w:rsidRPr="00C06CFB">
          <w:rPr>
            <w:i/>
            <w:noProof/>
          </w:rPr>
          <w:t xml:space="preserve"> et al.</w:t>
        </w:r>
        <w:r w:rsidR="00BC4E2E" w:rsidRPr="00C06CFB">
          <w:rPr>
            <w:noProof/>
          </w:rPr>
          <w:t>, 2024</w:t>
        </w:r>
      </w:hyperlink>
      <w:r w:rsidR="00D036C7" w:rsidRPr="00C06CFB">
        <w:rPr>
          <w:noProof/>
        </w:rPr>
        <w:t>)</w:t>
      </w:r>
      <w:r w:rsidR="000D6068" w:rsidRPr="00C06CFB">
        <w:fldChar w:fldCharType="end"/>
      </w:r>
      <w:r w:rsidR="00D036C7">
        <w:t xml:space="preserve"> </w:t>
      </w:r>
      <w:r w:rsidRPr="00A20EE4">
        <w:t>.</w:t>
      </w:r>
    </w:p>
    <w:p w:rsidR="00382E89" w:rsidRPr="00A20EE4" w:rsidRDefault="00A20EE4" w:rsidP="00A20EE4">
      <w:pPr>
        <w:spacing w:line="360" w:lineRule="auto"/>
        <w:jc w:val="both"/>
        <w:rPr>
          <w:rFonts w:ascii="Times New Roman" w:hAnsi="Times New Roman" w:cs="Times New Roman"/>
          <w:sz w:val="24"/>
        </w:rPr>
      </w:pPr>
      <w:r w:rsidRPr="00A20EE4">
        <w:rPr>
          <w:rFonts w:ascii="Times New Roman" w:hAnsi="Times New Roman" w:cs="Times New Roman"/>
          <w:sz w:val="24"/>
        </w:rPr>
        <w:t>Intercropping forage legumes with grasses offers a sustainable solution by enhancing biomass yield, nutritive value, and nitrogen availability while reducing CH₄ emissions</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D036C7">
        <w:rPr>
          <w:rFonts w:ascii="Times New Roman" w:hAnsi="Times New Roman" w:cs="Times New Roman"/>
          <w:sz w:val="24"/>
        </w:rPr>
        <w:instrText xml:space="preserve"> ADDIN EN.CITE &lt;EndNote&gt;&lt;Cite&gt;&lt;Author&gt;Hassen&lt;/Author&gt;&lt;Year&gt;2017&lt;/Year&gt;&lt;RecNum&gt;54&lt;/RecNum&gt;&lt;DisplayText&gt;(Hassen&lt;style face="italic"&gt; et al.&lt;/style&gt;, 2017)&lt;/DisplayText&gt;&lt;record&gt;&lt;rec-number&gt;54&lt;/rec-number&gt;&lt;foreign-keys&gt;&lt;key app="EN" db-id="5ee0etwro2xdtheaap2xr5f6dpxvrsx2v0t5"&gt;54&lt;/key&gt;&lt;/foreign-keys&gt;&lt;ref-type name="Journal Article"&gt;17&lt;/ref-type&gt;&lt;contributors&gt;&lt;authors&gt;&lt;author&gt;Hassen, Abubeker&lt;/author&gt;&lt;author&gt;Talore, Deribe Gemiyo&lt;/author&gt;&lt;author&gt;Tesfamariam, Eyob Habte&lt;/author&gt;&lt;author&gt;Friend, Michael Andrew&lt;/author&gt;&lt;author&gt;Mpanza, Thamsanqa Doctor Empire&lt;/author&gt;&lt;/authors&gt;&lt;/contributors&gt;&lt;titles&gt;&lt;title&gt;Potential use of forage-legume intercropping technologies to adapt to climate-change impacts on mixed crop-livestock systems in Africa: a review&lt;/title&gt;&lt;secondary-title&gt;Regional Environmental Change&lt;/secondary-title&gt;&lt;/titles&gt;&lt;periodical&gt;&lt;full-title&gt;Regional Environmental Change&lt;/full-title&gt;&lt;/periodical&gt;&lt;pages&gt;1713-1724&lt;/pages&gt;&lt;volume&gt;17&lt;/volume&gt;&lt;number&gt;6&lt;/number&gt;&lt;dates&gt;&lt;year&gt;2017&lt;/year&gt;&lt;/dates&gt;&lt;isbn&gt;1436-3798&lt;/isbn&gt;&lt;urls&gt;&lt;/urls&gt;&lt;/record&gt;&lt;/Cite&gt;&lt;/EndNote&gt;</w:instrText>
      </w:r>
      <w:r w:rsidR="000D6068">
        <w:rPr>
          <w:rFonts w:ascii="Times New Roman" w:hAnsi="Times New Roman" w:cs="Times New Roman"/>
          <w:sz w:val="24"/>
        </w:rPr>
        <w:fldChar w:fldCharType="separate"/>
      </w:r>
      <w:r w:rsidR="00D036C7">
        <w:rPr>
          <w:rFonts w:ascii="Times New Roman" w:hAnsi="Times New Roman" w:cs="Times New Roman"/>
          <w:noProof/>
          <w:sz w:val="24"/>
        </w:rPr>
        <w:t>(</w:t>
      </w:r>
      <w:hyperlink w:anchor="_ENREF_28" w:tooltip="Hassen, 2017 #54" w:history="1">
        <w:r w:rsidR="00BC4E2E">
          <w:rPr>
            <w:rFonts w:ascii="Times New Roman" w:hAnsi="Times New Roman" w:cs="Times New Roman"/>
            <w:noProof/>
            <w:sz w:val="24"/>
          </w:rPr>
          <w:t>Hassen</w:t>
        </w:r>
        <w:r w:rsidR="00BC4E2E" w:rsidRPr="00D036C7">
          <w:rPr>
            <w:rFonts w:ascii="Times New Roman" w:hAnsi="Times New Roman" w:cs="Times New Roman"/>
            <w:i/>
            <w:noProof/>
            <w:sz w:val="24"/>
          </w:rPr>
          <w:t xml:space="preserve"> et al.</w:t>
        </w:r>
        <w:r w:rsidR="00BC4E2E">
          <w:rPr>
            <w:rFonts w:ascii="Times New Roman" w:hAnsi="Times New Roman" w:cs="Times New Roman"/>
            <w:noProof/>
            <w:sz w:val="24"/>
          </w:rPr>
          <w:t>, 2017</w:t>
        </w:r>
      </w:hyperlink>
      <w:r w:rsidR="00D036C7">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Legumes fix atmospheric nitrogen, improve soil fertility, and provide high-protein, low-fiber forage; grasses supply energy-rich, structural fiber</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&lt;EndNote&gt;&lt;Cite&gt;&lt;Author&gt;Katoch&lt;/Author&gt;&lt;Year&gt;2022&lt;/Year&gt;&lt;RecNum&gt;55&lt;/RecNum&gt;&lt;DisplayText&gt;(Katoch, 2022)&lt;/DisplayText&gt;&lt;record&gt;&lt;rec-number&gt;55&lt;/rec-number&gt;&lt;foreign-keys&gt;&lt;key app="EN" db-id="5ee0etwro2xdtheaap2xr5f6dpxvrsx2v0t5"&gt;55&lt;/key&gt;&lt;/foreign-keys&gt;&lt;ref-type name="Book Section"&gt;5&lt;/ref-type&gt;&lt;contributors&gt;&lt;authors&gt;&lt;author&gt;Katoch, Rajan&lt;/author&gt;&lt;/authors&gt;&lt;/contributors&gt;&lt;titles&gt;&lt;title&gt;Forage legumes in Himalayan region&lt;/title&gt;&lt;secondary-title&gt;Nutritional quality management of forages in the Himalayan region&lt;/secondary-title&gt;&lt;/titles&gt;&lt;pages&gt;309-353&lt;/pages&gt;&lt;dates&gt;&lt;year&gt;2022&lt;/year&gt;&lt;/dates&gt;&lt;publisher&gt;Springer&lt;/publisher&gt;&lt;urls&gt;&lt;/urls&gt;&lt;/record&gt;&lt;/Cite&gt;&lt;/EndNote&gt;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33" w:tooltip="Katoch, 2022 #55" w:history="1">
        <w:r w:rsidR="00BC4E2E">
          <w:rPr>
            <w:rFonts w:ascii="Times New Roman" w:hAnsi="Times New Roman" w:cs="Times New Roman"/>
            <w:noProof/>
            <w:sz w:val="24"/>
          </w:rPr>
          <w:t>Katoch, 2022</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xml:space="preserve">. Legume-grass mixtures improve feed quality and alter rumen fermentation pathways, reducing CH₄ production from </w:t>
      </w:r>
      <w:r w:rsidR="006704B4">
        <w:rPr>
          <w:rFonts w:ascii="Times New Roman" w:hAnsi="Times New Roman" w:cs="Times New Roman"/>
          <w:sz w:val="24"/>
        </w:rPr>
        <w:t xml:space="preserve">fiber-rich diets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&lt;EndNote&gt;&lt;Cite&gt;&lt;Author&gt;Firkins&lt;/Author&gt;&lt;Year&gt;2021&lt;/Year&gt;&lt;RecNum&gt;56&lt;/RecNum&gt;&lt;DisplayText&gt;(Firkins, 2021)&lt;/DisplayText&gt;&lt;record&gt;&lt;rec-number&gt;56&lt;/rec-number&gt;&lt;foreign-keys&gt;&lt;key app="EN" db-id="5ee0etwro2xdtheaap2xr5f6dpxvrsx2v0t5"&gt;56&lt;/key&gt;&lt;/foreign-keys&gt;&lt;ref-type name="Journal Article"&gt;17&lt;/ref-type&gt;&lt;contributors&gt;&lt;authors&gt;&lt;author&gt;Firkins, JL&lt;/author&gt;&lt;/authors&gt;&lt;/contributors&gt;&lt;titles&gt;&lt;title&gt;Invited Review: Advances in rumen efficiency&lt;/title&gt;&lt;secondary-title&gt;Applied Animal Science&lt;/secondary-title&gt;&lt;/titles&gt;&lt;periodical&gt;&lt;full-title&gt;Applied Animal Science&lt;/full-title&gt;&lt;/periodical&gt;&lt;pages&gt;388-403&lt;/pages&gt;&lt;volume&gt;37&lt;/volume&gt;&lt;number&gt;4&lt;/number&gt;&lt;dates&gt;&lt;year&gt;2021&lt;/year&gt;&lt;/dates&gt;&lt;isbn&gt;2590-2865&lt;/isbn&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24" w:tooltip="Firkins, 2021 #56" w:history="1">
        <w:r w:rsidR="00BC4E2E">
          <w:rPr>
            <w:rFonts w:ascii="Times New Roman" w:hAnsi="Times New Roman" w:cs="Times New Roman"/>
            <w:noProof/>
            <w:sz w:val="24"/>
          </w:rPr>
          <w:t>Firkins, 2021</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w:t>
      </w:r>
      <w:r w:rsidR="00A376B1">
        <w:rPr>
          <w:rFonts w:ascii="Times New Roman" w:hAnsi="Times New Roman" w:cs="Times New Roman"/>
          <w:sz w:val="24"/>
        </w:rPr>
        <w:t xml:space="preserve"> </w:t>
      </w:r>
      <w:r w:rsidRPr="00A20EE4">
        <w:rPr>
          <w:rFonts w:ascii="Times New Roman" w:hAnsi="Times New Roman" w:cs="Times New Roman"/>
          <w:sz w:val="24"/>
        </w:rPr>
        <w:t>In Guji Zone, livestock depend on degraded natural pastures and low-quality crop residues, worsened by climate change, land degradation, and population pressure</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 ExcludeAuth="1" ExcludeYear="1"&gt;&lt;Author&gt;Gobena&lt;/Author&gt;&lt;Year&gt;2018&lt;/Year&gt;&lt;RecNum&gt;57&lt;/RecNum&gt;&lt;Prefix&gt;Gobena and Hundie`, 2018&lt;/Prefix&gt;&lt;DisplayText&gt;(Gobena and Hundie, 2018)&lt;/DisplayText&gt;&lt;record&gt;&lt;rec-number&gt;57&lt;/rec-number&gt;&lt;foreign-keys&gt;&lt;key app="EN" db-id="5ee0etwro2xdtheaap2xr5f6dpxvrsx2v0t5"&gt;57&lt;/key&gt;&lt;/foreign-keys&gt;&lt;ref-type name="Thesis"&gt;32&lt;/ref-type&gt;&lt;contributors&gt;&lt;authors&gt;&lt;author&gt;Gobena, Geleta&lt;/author&gt;&lt;author&gt;Hundie, Demissu&lt;/author&gt;&lt;/authors&gt;&lt;/contributors&gt;&lt;titles&gt;&lt;title&gt;Dry Matter Yield and Nutritive Values of Local Grasses Used As Livestock Feed in Adola Reedde District of Guji Zone, Southern Oromia, Ethiopia&lt;/title&gt;&lt;/titles&gt;&lt;dates&gt;&lt;year&gt;2018&lt;/year&gt;&lt;/dates&gt;&lt;publisher&gt;Haramaya university&lt;/publisher&gt;&lt;urls&gt;&lt;/urls&gt;&lt;/record&gt;&lt;/Cite&gt;&lt;/EndNote&gt;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27" w:tooltip="Gobena, 2018 #57" w:history="1">
        <w:r w:rsidR="00BC4E2E">
          <w:rPr>
            <w:rFonts w:ascii="Times New Roman" w:hAnsi="Times New Roman" w:cs="Times New Roman"/>
            <w:noProof/>
            <w:sz w:val="24"/>
          </w:rPr>
          <w:t>Gobena and Hundie, 2018</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While oat (</w:t>
      </w:r>
      <w:r w:rsidRPr="00C06CFB">
        <w:rPr>
          <w:rFonts w:ascii="Times New Roman" w:hAnsi="Times New Roman" w:cs="Times New Roman"/>
          <w:i/>
          <w:sz w:val="24"/>
        </w:rPr>
        <w:t>Avena sativa</w:t>
      </w:r>
      <w:r w:rsidRPr="00A20EE4">
        <w:rPr>
          <w:rFonts w:ascii="Times New Roman" w:hAnsi="Times New Roman" w:cs="Times New Roman"/>
          <w:sz w:val="24"/>
        </w:rPr>
        <w:t> L.) monoculture adaptability has been evaluated</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A376B1">
        <w:rPr>
          <w:rFonts w:ascii="Times New Roman" w:hAnsi="Times New Roman" w:cs="Times New Roman"/>
          <w:sz w:val="24"/>
        </w:rPr>
        <w:instrText xml:space="preserve"> ADDIN EN.CITE &lt;EndNote&gt;&lt;Cite AuthorYear="1"&gt;&lt;Author&gt;Semman&lt;/Author&gt;&lt;Year&gt;2018&lt;/Year&gt;&lt;RecNum&gt;58&lt;/RecNum&gt;&lt;DisplayText&gt;Semman&lt;style face="italic"&gt; et al.&lt;/style&gt; (2018)&lt;/DisplayText&gt;&lt;record&gt;&lt;rec-number&gt;58&lt;/rec-number&gt;&lt;foreign-keys&gt;&lt;key app="EN" db-id="5ee0etwro2xdtheaap2xr5f6dpxvrsx2v0t5"&gt;58&lt;/key&gt;&lt;/foreign-keys&gt;&lt;ref-type name="Journal Article"&gt;17&lt;/ref-type&gt;&lt;contributors&gt;&lt;authors&gt;&lt;author&gt;Semman, Usman&lt;/author&gt;&lt;author&gt;Eba, Bedasa&lt;/author&gt;&lt;author&gt;Dinkale, Tamirat&lt;/author&gt;&lt;/authors&gt;&lt;/contributors&gt;&lt;titles&gt;&lt;title&gt;Performance evaluation of improved oat varieties/accessions at the highland of Guji Zone, Bore, Ethiopia&lt;/title&gt;&lt;secondary-title&gt;Journal of Biology, Agriculture and Healthcare&lt;/secondary-title&gt;&lt;/titles&gt;&lt;periodical&gt;&lt;full-title&gt;Journal of Biology, Agriculture and Healthcare&lt;/full-title&gt;&lt;/periodical&gt;&lt;volume&gt;8&lt;/volume&gt;&lt;number&gt;17&lt;/number&gt;&lt;dates&gt;&lt;year&gt;2018&lt;/year&gt;&lt;/dates&gt;&lt;urls&gt;&lt;/urls&gt;&lt;/record&gt;&lt;/Cite&gt;&lt;/EndNote&gt;</w:instrText>
      </w:r>
      <w:r w:rsidR="000D6068">
        <w:rPr>
          <w:rFonts w:ascii="Times New Roman" w:hAnsi="Times New Roman" w:cs="Times New Roman"/>
          <w:sz w:val="24"/>
        </w:rPr>
        <w:fldChar w:fldCharType="separate"/>
      </w:r>
      <w:hyperlink w:anchor="_ENREF_59" w:tooltip="Semman, 2018 #58" w:history="1">
        <w:r w:rsidR="00BC4E2E">
          <w:rPr>
            <w:rFonts w:ascii="Times New Roman" w:hAnsi="Times New Roman" w:cs="Times New Roman"/>
            <w:noProof/>
            <w:sz w:val="24"/>
          </w:rPr>
          <w:t>Semman</w:t>
        </w:r>
        <w:r w:rsidR="00BC4E2E" w:rsidRPr="00A376B1">
          <w:rPr>
            <w:rFonts w:ascii="Times New Roman" w:hAnsi="Times New Roman" w:cs="Times New Roman"/>
            <w:i/>
            <w:noProof/>
            <w:sz w:val="24"/>
          </w:rPr>
          <w:t xml:space="preserve"> et al.</w:t>
        </w:r>
        <w:r w:rsidR="00BC4E2E">
          <w:rPr>
            <w:rFonts w:ascii="Times New Roman" w:hAnsi="Times New Roman" w:cs="Times New Roman"/>
            <w:noProof/>
            <w:sz w:val="24"/>
          </w:rPr>
          <w:t xml:space="preserve"> (2018</w:t>
        </w:r>
      </w:hyperlink>
      <w:r w:rsidR="00A376B1">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no research exists on oat–vetch (</w:t>
      </w:r>
      <w:r w:rsidRPr="00C06CFB">
        <w:rPr>
          <w:rFonts w:ascii="Times New Roman" w:hAnsi="Times New Roman" w:cs="Times New Roman"/>
          <w:i/>
          <w:sz w:val="24"/>
        </w:rPr>
        <w:t>Vicia sativa </w:t>
      </w:r>
      <w:r w:rsidRPr="00D075DA">
        <w:rPr>
          <w:rFonts w:ascii="Times New Roman" w:hAnsi="Times New Roman" w:cs="Times New Roman"/>
          <w:sz w:val="24"/>
        </w:rPr>
        <w:t>L</w:t>
      </w:r>
      <w:r w:rsidRPr="00A20EE4">
        <w:rPr>
          <w:rFonts w:ascii="Times New Roman" w:hAnsi="Times New Roman" w:cs="Times New Roman"/>
          <w:sz w:val="24"/>
        </w:rPr>
        <w:t>.) intercropping in this region, particularly regarding nutritive value, digestibility, and methane mitigation potential</w:t>
      </w:r>
      <w:r>
        <w:rPr>
          <w:rFonts w:ascii="Times New Roman" w:hAnsi="Times New Roman" w:cs="Times New Roman"/>
          <w:sz w:val="24"/>
        </w:rPr>
        <w:t>.</w:t>
      </w:r>
      <w:r w:rsidRPr="009C0B3B">
        <w:rPr>
          <w:rFonts w:ascii="Times New Roman" w:hAnsi="Times New Roman" w:cs="Times New Roman"/>
          <w:sz w:val="24"/>
          <w:szCs w:val="24"/>
        </w:rPr>
        <w:t xml:space="preserve"> </w:t>
      </w:r>
      <w:r w:rsidR="009C0B3B" w:rsidRPr="009C0B3B">
        <w:rPr>
          <w:rFonts w:ascii="Times New Roman" w:hAnsi="Times New Roman" w:cs="Times New Roman"/>
          <w:sz w:val="24"/>
          <w:szCs w:val="24"/>
        </w:rPr>
        <w:t>This study aims to determine chemical composition, in-vitro digestibility and gas production of oat varieties in study area.</w:t>
      </w:r>
      <w:r w:rsidR="009C0B3B">
        <w:rPr>
          <w:rFonts w:ascii="Times New Roman" w:hAnsi="Times New Roman" w:cs="Times New Roman"/>
          <w:sz w:val="24"/>
          <w:szCs w:val="24"/>
        </w:rPr>
        <w:t xml:space="preserve"> </w:t>
      </w:r>
      <w:bookmarkStart w:id="2" w:name="_Toc184070808"/>
    </w:p>
    <w:p w:rsidR="00482F43" w:rsidRPr="00C1606E" w:rsidRDefault="00062D62" w:rsidP="00C1606E">
      <w:pPr>
        <w:spacing w:line="360" w:lineRule="auto"/>
        <w:jc w:val="both"/>
        <w:rPr>
          <w:rFonts w:ascii="Times New Roman" w:hAnsi="Times New Roman" w:cs="Times New Roman"/>
          <w:b/>
          <w:color w:val="FF0000"/>
          <w:sz w:val="28"/>
          <w:szCs w:val="24"/>
        </w:rPr>
      </w:pPr>
      <w:r w:rsidRPr="00C1606E">
        <w:rPr>
          <w:rFonts w:ascii="Times New Roman" w:hAnsi="Times New Roman" w:cs="Times New Roman"/>
          <w:b/>
          <w:sz w:val="24"/>
        </w:rPr>
        <w:t xml:space="preserve"> </w:t>
      </w:r>
      <w:r w:rsidR="00482F43" w:rsidRPr="00C1606E">
        <w:rPr>
          <w:rFonts w:ascii="Times New Roman" w:hAnsi="Times New Roman" w:cs="Times New Roman"/>
          <w:b/>
          <w:sz w:val="24"/>
        </w:rPr>
        <w:t>MATERIAL AND METHODS</w:t>
      </w:r>
      <w:bookmarkEnd w:id="2"/>
    </w:p>
    <w:p w:rsidR="00397B02" w:rsidRPr="00C1606E" w:rsidRDefault="00413109" w:rsidP="00062D62">
      <w:pPr>
        <w:pStyle w:val="Heading2"/>
        <w:spacing w:after="240"/>
        <w:rPr>
          <w:rFonts w:ascii="Times New Roman" w:hAnsi="Times New Roman" w:cs="Times New Roman"/>
          <w:color w:val="auto"/>
          <w:sz w:val="24"/>
          <w:szCs w:val="24"/>
        </w:rPr>
      </w:pPr>
      <w:bookmarkStart w:id="3" w:name="_Toc147331967"/>
      <w:bookmarkStart w:id="4" w:name="_Toc184070809"/>
      <w:r w:rsidRPr="00A97D88">
        <w:rPr>
          <w:rFonts w:ascii="Times New Roman" w:hAnsi="Times New Roman" w:cs="Times New Roman"/>
          <w:color w:val="auto"/>
        </w:rPr>
        <w:t xml:space="preserve"> </w:t>
      </w:r>
      <w:bookmarkEnd w:id="3"/>
      <w:r w:rsidR="00482F43" w:rsidRPr="00C1606E">
        <w:rPr>
          <w:rFonts w:ascii="Times New Roman" w:hAnsi="Times New Roman" w:cs="Times New Roman"/>
          <w:color w:val="auto"/>
          <w:sz w:val="24"/>
          <w:szCs w:val="24"/>
        </w:rPr>
        <w:t>Description of the Study Area</w:t>
      </w:r>
      <w:bookmarkEnd w:id="4"/>
    </w:p>
    <w:p w:rsidR="00F16D96" w:rsidRPr="00A97D88" w:rsidRDefault="0090229D" w:rsidP="00B01016">
      <w:pPr>
        <w:spacing w:line="360" w:lineRule="auto"/>
        <w:jc w:val="both"/>
        <w:rPr>
          <w:rFonts w:ascii="Times New Roman" w:eastAsia="Times New Roman" w:hAnsi="Times New Roman" w:cs="Times New Roman"/>
          <w:sz w:val="24"/>
          <w:szCs w:val="24"/>
        </w:rPr>
      </w:pPr>
      <w:r w:rsidRPr="00A97D88">
        <w:rPr>
          <w:rFonts w:ascii="Times New Roman" w:hAnsi="Times New Roman" w:cs="Times New Roman"/>
          <w:sz w:val="24"/>
          <w:szCs w:val="24"/>
        </w:rPr>
        <w:t>The experiment was carried out during the main cropping season of 2023 under rain-fed</w:t>
      </w:r>
      <w:r w:rsidR="00CF6B50">
        <w:rPr>
          <w:rFonts w:ascii="Times New Roman" w:hAnsi="Times New Roman" w:cs="Times New Roman"/>
          <w:sz w:val="24"/>
          <w:szCs w:val="24"/>
        </w:rPr>
        <w:t xml:space="preserve"> </w:t>
      </w:r>
      <w:r w:rsidRPr="00A97D88">
        <w:rPr>
          <w:rFonts w:ascii="Times New Roman" w:hAnsi="Times New Roman" w:cs="Times New Roman"/>
          <w:sz w:val="24"/>
          <w:szCs w:val="24"/>
        </w:rPr>
        <w:t>condition</w:t>
      </w:r>
      <w:r w:rsidR="00B01016" w:rsidRPr="00A97D88">
        <w:rPr>
          <w:rFonts w:ascii="Times New Roman" w:hAnsi="Times New Roman" w:cs="Times New Roman"/>
          <w:sz w:val="24"/>
          <w:szCs w:val="24"/>
        </w:rPr>
        <w:t>s</w:t>
      </w:r>
      <w:r w:rsidRPr="00A97D88">
        <w:rPr>
          <w:rFonts w:ascii="Times New Roman" w:hAnsi="Times New Roman" w:cs="Times New Roman"/>
          <w:sz w:val="24"/>
          <w:szCs w:val="24"/>
        </w:rPr>
        <w:t xml:space="preserve"> at </w:t>
      </w:r>
      <w:r w:rsidR="00B01016" w:rsidRPr="00A97D88">
        <w:rPr>
          <w:rFonts w:ascii="Times New Roman" w:hAnsi="Times New Roman" w:cs="Times New Roman"/>
          <w:sz w:val="24"/>
          <w:szCs w:val="24"/>
        </w:rPr>
        <w:t xml:space="preserve">the </w:t>
      </w:r>
      <w:r w:rsidRPr="00A97D88">
        <w:rPr>
          <w:rFonts w:ascii="Times New Roman" w:hAnsi="Times New Roman" w:cs="Times New Roman"/>
          <w:sz w:val="24"/>
          <w:szCs w:val="24"/>
        </w:rPr>
        <w:t xml:space="preserve">Bore Agricultural Research Center, Guji zone of Southern Oromia, Ethiopia. The experimental site is located at the Bore Agricultural Research </w:t>
      </w:r>
      <w:r w:rsidR="00CA49F2" w:rsidRPr="00A97D88">
        <w:rPr>
          <w:rFonts w:ascii="Times New Roman" w:hAnsi="Times New Roman" w:cs="Times New Roman"/>
          <w:sz w:val="24"/>
          <w:szCs w:val="24"/>
        </w:rPr>
        <w:t xml:space="preserve">main </w:t>
      </w:r>
      <w:r w:rsidRPr="00A97D88">
        <w:rPr>
          <w:rFonts w:ascii="Times New Roman" w:hAnsi="Times New Roman" w:cs="Times New Roman"/>
          <w:sz w:val="24"/>
          <w:szCs w:val="24"/>
        </w:rPr>
        <w:t>station at a distance of about 8 km north of the town of Bore in Songo Baricha ‘</w:t>
      </w:r>
      <w:r w:rsidR="00CA49F2" w:rsidRPr="00A97D88">
        <w:rPr>
          <w:rFonts w:ascii="Times New Roman" w:hAnsi="Times New Roman" w:cs="Times New Roman"/>
          <w:sz w:val="24"/>
          <w:szCs w:val="24"/>
        </w:rPr>
        <w:t>Keb</w:t>
      </w:r>
      <w:r w:rsidRPr="00A97D88">
        <w:rPr>
          <w:rFonts w:ascii="Times New Roman" w:hAnsi="Times New Roman" w:cs="Times New Roman"/>
          <w:sz w:val="24"/>
          <w:szCs w:val="24"/>
        </w:rPr>
        <w:t>ele’ on</w:t>
      </w:r>
      <w:r w:rsidR="00CA49F2" w:rsidRPr="00A97D88">
        <w:rPr>
          <w:rFonts w:ascii="Times New Roman" w:hAnsi="Times New Roman" w:cs="Times New Roman"/>
          <w:sz w:val="24"/>
          <w:szCs w:val="24"/>
        </w:rPr>
        <w:t xml:space="preserve"> the way to Addis Ababa via Hawas</w:t>
      </w:r>
      <w:r w:rsidRPr="00A97D88">
        <w:rPr>
          <w:rFonts w:ascii="Times New Roman" w:hAnsi="Times New Roman" w:cs="Times New Roman"/>
          <w:sz w:val="24"/>
          <w:szCs w:val="24"/>
        </w:rPr>
        <w:t>sa town</w:t>
      </w:r>
      <w:r w:rsidR="00A408B2">
        <w:rPr>
          <w:rFonts w:ascii="Times New Roman" w:hAnsi="Times New Roman" w:cs="Times New Roman"/>
          <w:sz w:val="24"/>
          <w:szCs w:val="24"/>
        </w:rPr>
        <w:t xml:space="preserve">. </w:t>
      </w:r>
      <w:r w:rsidRPr="00A97D88">
        <w:rPr>
          <w:rFonts w:ascii="Times New Roman" w:hAnsi="Times New Roman" w:cs="Times New Roman"/>
          <w:sz w:val="24"/>
          <w:szCs w:val="24"/>
        </w:rPr>
        <w:t xml:space="preserve">Geographically, the experimental site is </w:t>
      </w:r>
      <w:r w:rsidR="00B01016" w:rsidRPr="00A97D88">
        <w:rPr>
          <w:rFonts w:ascii="Times New Roman" w:eastAsia="Times New Roman" w:hAnsi="Times New Roman" w:cs="Times New Roman"/>
          <w:sz w:val="24"/>
          <w:szCs w:val="24"/>
        </w:rPr>
        <w:t xml:space="preserve">at latitude of 6°23'55"N and a longitude of 38°35'5"E at an altitude of 2736 meters above sea level. </w:t>
      </w:r>
      <w:r w:rsidRPr="00A97D88">
        <w:rPr>
          <w:rFonts w:ascii="Times New Roman" w:hAnsi="Times New Roman" w:cs="Times New Roman"/>
          <w:sz w:val="24"/>
          <w:szCs w:val="24"/>
        </w:rPr>
        <w:t>The climatic condition of</w:t>
      </w:r>
      <w:r w:rsidR="00F3188F" w:rsidRPr="00A97D88">
        <w:rPr>
          <w:rFonts w:ascii="Times New Roman" w:hAnsi="Times New Roman" w:cs="Times New Roman"/>
          <w:sz w:val="24"/>
          <w:szCs w:val="24"/>
        </w:rPr>
        <w:t xml:space="preserve"> the area is a humid moisture condition, with a relatively longer growing season</w:t>
      </w:r>
      <w:r w:rsidRPr="00A97D88">
        <w:rPr>
          <w:rFonts w:ascii="Times New Roman" w:hAnsi="Times New Roman" w:cs="Times New Roman"/>
          <w:sz w:val="24"/>
          <w:szCs w:val="24"/>
        </w:rPr>
        <w:t xml:space="preserve">. </w:t>
      </w:r>
      <w:r w:rsidR="00F00A66" w:rsidRPr="00A97D88">
        <w:rPr>
          <w:rFonts w:ascii="Times New Roman" w:eastAsia="Times New Roman" w:hAnsi="Times New Roman" w:cs="Times New Roman"/>
          <w:sz w:val="24"/>
          <w:szCs w:val="24"/>
        </w:rPr>
        <w:t>Agro meteorological</w:t>
      </w:r>
      <w:r w:rsidR="00B01016" w:rsidRPr="00A97D88">
        <w:rPr>
          <w:rFonts w:ascii="Times New Roman" w:eastAsia="Times New Roman" w:hAnsi="Times New Roman" w:cs="Times New Roman"/>
          <w:sz w:val="24"/>
          <w:szCs w:val="24"/>
        </w:rPr>
        <w:t xml:space="preserve"> </w:t>
      </w:r>
      <w:r w:rsidRPr="00A97D88">
        <w:rPr>
          <w:rFonts w:ascii="Times New Roman" w:hAnsi="Times New Roman" w:cs="Times New Roman"/>
          <w:sz w:val="24"/>
          <w:szCs w:val="24"/>
        </w:rPr>
        <w:t xml:space="preserve">data of the study area during the experimental year is given in </w:t>
      </w:r>
      <w:r w:rsidR="00D74FC2" w:rsidRPr="00A97D88">
        <w:rPr>
          <w:rFonts w:ascii="Times New Roman" w:hAnsi="Times New Roman" w:cs="Times New Roman"/>
          <w:sz w:val="24"/>
          <w:szCs w:val="24"/>
        </w:rPr>
        <w:t>(</w:t>
      </w:r>
      <w:r w:rsidR="005A3C3E">
        <w:rPr>
          <w:rFonts w:ascii="Times New Roman" w:hAnsi="Times New Roman" w:cs="Times New Roman"/>
          <w:sz w:val="24"/>
          <w:szCs w:val="24"/>
        </w:rPr>
        <w:t xml:space="preserve">Fig </w:t>
      </w:r>
      <w:r w:rsidRPr="00A97D88">
        <w:rPr>
          <w:rFonts w:ascii="Times New Roman" w:hAnsi="Times New Roman" w:cs="Times New Roman"/>
          <w:sz w:val="24"/>
          <w:szCs w:val="24"/>
        </w:rPr>
        <w:t>1</w:t>
      </w:r>
      <w:r w:rsidR="00D74FC2" w:rsidRPr="00A97D88">
        <w:rPr>
          <w:rFonts w:ascii="Times New Roman" w:hAnsi="Times New Roman" w:cs="Times New Roman"/>
          <w:sz w:val="24"/>
          <w:szCs w:val="24"/>
        </w:rPr>
        <w:t>)</w:t>
      </w:r>
      <w:r w:rsidRPr="00A97D88">
        <w:rPr>
          <w:rFonts w:ascii="Times New Roman" w:hAnsi="Times New Roman" w:cs="Times New Roman"/>
          <w:sz w:val="24"/>
          <w:szCs w:val="24"/>
        </w:rPr>
        <w:t xml:space="preserve">. </w:t>
      </w:r>
      <w:r w:rsidR="00BF03D2" w:rsidRPr="00A97D88">
        <w:rPr>
          <w:rFonts w:ascii="Times New Roman" w:hAnsi="Times New Roman" w:cs="Times New Roman"/>
          <w:sz w:val="24"/>
          <w:szCs w:val="24"/>
        </w:rPr>
        <w:t xml:space="preserve">The mean annual rainfall is about 1805 mm and the annual temperatures </w:t>
      </w:r>
      <w:r w:rsidR="00B01016" w:rsidRPr="00A97D88">
        <w:rPr>
          <w:rFonts w:ascii="Times New Roman" w:hAnsi="Times New Roman" w:cs="Times New Roman"/>
          <w:sz w:val="24"/>
          <w:szCs w:val="24"/>
        </w:rPr>
        <w:t>of the district range</w:t>
      </w:r>
      <w:r w:rsidR="00BF03D2" w:rsidRPr="00A97D88">
        <w:rPr>
          <w:rFonts w:ascii="Times New Roman" w:hAnsi="Times New Roman" w:cs="Times New Roman"/>
          <w:sz w:val="24"/>
          <w:szCs w:val="24"/>
        </w:rPr>
        <w:t xml:space="preserve"> </w:t>
      </w:r>
      <w:r w:rsidR="005A3C3E">
        <w:rPr>
          <w:rFonts w:ascii="Times New Roman" w:hAnsi="Times New Roman" w:cs="Times New Roman"/>
          <w:sz w:val="24"/>
          <w:szCs w:val="24"/>
        </w:rPr>
        <w:t>from 10.1</w:t>
      </w:r>
      <w:r w:rsidR="00BF03D2" w:rsidRPr="00A97D88">
        <w:rPr>
          <w:rFonts w:ascii="Times New Roman" w:hAnsi="Times New Roman" w:cs="Times New Roman"/>
          <w:sz w:val="24"/>
          <w:szCs w:val="24"/>
        </w:rPr>
        <w:t xml:space="preserve"> to 27 C. The major soil type of the site is Nitosols soil. The soil is clay in texture and strongly acidic with a pH value of 5.1</w:t>
      </w:r>
      <w:r w:rsidR="00B31861"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890BAC">
        <w:rPr>
          <w:rFonts w:ascii="Times New Roman" w:hAnsi="Times New Roman" w:cs="Times New Roman"/>
          <w:sz w:val="24"/>
          <w:szCs w:val="24"/>
        </w:rPr>
        <w:instrText xml:space="preserve"> ADDIN EN.CITE &lt;EndNote&gt;&lt;Cite ExcludeAuth="1" ExcludeYear="1"&gt;&lt;Author&gt;Amdie&lt;/Author&gt;&lt;Year&gt;2021&lt;/Year&gt;&lt;RecNum&gt;276&lt;/RecNum&gt;&lt;Prefix&gt;Arega and Solomon`, 2021&lt;/Prefix&gt;&lt;DisplayText&gt;(Arega and Solomon, 2021)&lt;/DisplayText&gt;&lt;record&gt;&lt;rec-number&gt;276&lt;/rec-number&gt;&lt;foreign-keys&gt;&lt;key app="EN" db-id="zz0v22t01ew5ezetxtyprffoazve2twdre5t"&gt;276&lt;/key&gt;&lt;/foreign-keys&gt;&lt;ref-type name="Conference Proceedings"&gt;10&lt;/ref-type&gt;&lt;contributors&gt;&lt;authors&gt;&lt;author&gt;Amdie, Arega&lt;/author&gt;&lt;author&gt;Teshome, Solomon&lt;/author&gt;&lt;/authors&gt;&lt;/contributors&gt;&lt;titles&gt;&lt;title&gt;Response of Potato (SolanumtuberosumL.) to Blended NPS and Potassium Fertilizers at Bore, Southern Ethiopia&lt;/title&gt;&lt;secondary-title&gt;Regional Review Workshop on Completed Research Activities&lt;/secondary-title&gt;&lt;/titles&gt;&lt;pages&gt;279&lt;/pages&gt;&lt;dates&gt;&lt;year&gt;2021&lt;/year&gt;&lt;/dates&gt;&lt;urls&gt;&lt;/urls&gt;&lt;/record&gt;&lt;/Cite&gt;&lt;/EndNote&gt;</w:instrText>
      </w:r>
      <w:r w:rsidR="000D6068" w:rsidRPr="00A97D88">
        <w:rPr>
          <w:rFonts w:ascii="Times New Roman" w:hAnsi="Times New Roman" w:cs="Times New Roman"/>
          <w:sz w:val="24"/>
          <w:szCs w:val="24"/>
        </w:rPr>
        <w:fldChar w:fldCharType="separate"/>
      </w:r>
      <w:r w:rsidR="00890BAC">
        <w:rPr>
          <w:rFonts w:ascii="Times New Roman" w:hAnsi="Times New Roman" w:cs="Times New Roman"/>
          <w:noProof/>
          <w:sz w:val="24"/>
          <w:szCs w:val="24"/>
        </w:rPr>
        <w:t>(</w:t>
      </w:r>
      <w:hyperlink w:anchor="_ENREF_5" w:tooltip="Amdie, 2021 #276" w:history="1">
        <w:r w:rsidR="00BC4E2E">
          <w:rPr>
            <w:rFonts w:ascii="Times New Roman" w:hAnsi="Times New Roman" w:cs="Times New Roman"/>
            <w:noProof/>
            <w:sz w:val="24"/>
            <w:szCs w:val="24"/>
          </w:rPr>
          <w:t>Arega and Solomon, 2021</w:t>
        </w:r>
      </w:hyperlink>
      <w:r w:rsidR="00890BAC">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p>
    <w:p w:rsidR="00F827E4" w:rsidRPr="00A97D88" w:rsidRDefault="00A927AA" w:rsidP="00D32E61">
      <w:pPr>
        <w:jc w:val="both"/>
        <w:rPr>
          <w:rFonts w:ascii="Times New Roman" w:hAnsi="Times New Roman" w:cs="Times New Roman"/>
          <w:sz w:val="24"/>
          <w:szCs w:val="24"/>
        </w:rPr>
      </w:pPr>
      <w:r w:rsidRPr="00A927AA">
        <w:rPr>
          <w:rFonts w:ascii="Times New Roman" w:hAnsi="Times New Roman" w:cs="Times New Roman"/>
          <w:noProof/>
          <w:sz w:val="24"/>
          <w:szCs w:val="24"/>
        </w:rPr>
        <w:drawing>
          <wp:inline distT="0" distB="0" distL="0" distR="0">
            <wp:extent cx="5943600" cy="36694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669448"/>
                    </a:xfrm>
                    <a:prstGeom prst="rect">
                      <a:avLst/>
                    </a:prstGeom>
                  </pic:spPr>
                </pic:pic>
              </a:graphicData>
            </a:graphic>
          </wp:inline>
        </w:drawing>
      </w:r>
    </w:p>
    <w:p w:rsidR="00164873" w:rsidRPr="002E568D" w:rsidRDefault="00C06CA0" w:rsidP="00C06CA0">
      <w:pPr>
        <w:pStyle w:val="Caption"/>
        <w:rPr>
          <w:b w:val="0"/>
        </w:rPr>
      </w:pPr>
      <w:bookmarkStart w:id="5" w:name="_Toc187696848"/>
      <w:r w:rsidRPr="002E568D">
        <w:rPr>
          <w:b w:val="0"/>
        </w:rPr>
        <w:t xml:space="preserve">Figure </w:t>
      </w:r>
      <w:r w:rsidR="000D6068" w:rsidRPr="002E568D">
        <w:rPr>
          <w:b w:val="0"/>
        </w:rPr>
        <w:fldChar w:fldCharType="begin"/>
      </w:r>
      <w:r w:rsidR="00D85558" w:rsidRPr="002E568D">
        <w:rPr>
          <w:b w:val="0"/>
        </w:rPr>
        <w:instrText xml:space="preserve"> SEQ Figure \* ARABIC </w:instrText>
      </w:r>
      <w:r w:rsidR="000D6068" w:rsidRPr="002E568D">
        <w:rPr>
          <w:b w:val="0"/>
        </w:rPr>
        <w:fldChar w:fldCharType="separate"/>
      </w:r>
      <w:r w:rsidR="00754A4F">
        <w:rPr>
          <w:b w:val="0"/>
          <w:noProof/>
        </w:rPr>
        <w:t>1</w:t>
      </w:r>
      <w:r w:rsidR="000D6068" w:rsidRPr="002E568D">
        <w:rPr>
          <w:b w:val="0"/>
          <w:noProof/>
        </w:rPr>
        <w:fldChar w:fldCharType="end"/>
      </w:r>
      <w:r w:rsidRPr="002E568D">
        <w:rPr>
          <w:b w:val="0"/>
        </w:rPr>
        <w:t>: Map of Songo Baricha of Bore District in Oromia region, Ethiopia</w:t>
      </w:r>
      <w:bookmarkEnd w:id="5"/>
    </w:p>
    <w:p w:rsidR="00C06CA0" w:rsidRPr="00A97D88" w:rsidRDefault="00A927AA" w:rsidP="00C06CA0">
      <w:r w:rsidRPr="00A927AA">
        <w:rPr>
          <w:noProof/>
        </w:rPr>
        <w:drawing>
          <wp:inline distT="0" distB="0" distL="0" distR="0">
            <wp:extent cx="5943600" cy="3042557"/>
            <wp:effectExtent l="19050" t="0" r="19050" b="5443"/>
            <wp:docPr id="5"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6D96" w:rsidRPr="00A97D88" w:rsidRDefault="00F16D96" w:rsidP="00F16D96">
      <w:pPr>
        <w:jc w:val="both"/>
        <w:rPr>
          <w:rFonts w:ascii="Times New Roman" w:hAnsi="Times New Roman" w:cs="Times New Roman"/>
          <w:noProof/>
        </w:rPr>
      </w:pPr>
    </w:p>
    <w:p w:rsidR="00B32264" w:rsidRPr="00A97D88" w:rsidRDefault="00B32264" w:rsidP="00062D62">
      <w:pPr>
        <w:pStyle w:val="Heading2"/>
        <w:spacing w:after="240"/>
        <w:jc w:val="both"/>
        <w:rPr>
          <w:rFonts w:ascii="Times New Roman" w:hAnsi="Times New Roman" w:cs="Times New Roman"/>
          <w:color w:val="auto"/>
        </w:rPr>
      </w:pPr>
      <w:bookmarkStart w:id="6" w:name="_Toc184070810"/>
      <w:r w:rsidRPr="00A97D88">
        <w:rPr>
          <w:rFonts w:ascii="Times New Roman" w:hAnsi="Times New Roman" w:cs="Times New Roman"/>
          <w:color w:val="auto"/>
        </w:rPr>
        <w:t>Description of Experimental Material</w:t>
      </w:r>
      <w:bookmarkEnd w:id="6"/>
    </w:p>
    <w:p w:rsidR="00803B41" w:rsidRPr="00803B41" w:rsidRDefault="00B32264" w:rsidP="00803B41">
      <w:pPr>
        <w:spacing w:line="360" w:lineRule="auto"/>
        <w:jc w:val="both"/>
        <w:rPr>
          <w:rFonts w:ascii="Times New Roman" w:hAnsi="Times New Roman" w:cs="Times New Roman"/>
          <w:sz w:val="24"/>
        </w:rPr>
      </w:pPr>
      <w:r w:rsidRPr="00A97D88">
        <w:rPr>
          <w:rFonts w:ascii="Times New Roman" w:hAnsi="Times New Roman" w:cs="Times New Roman"/>
          <w:sz w:val="24"/>
        </w:rPr>
        <w:t xml:space="preserve">The oat and common vetch varieties used in </w:t>
      </w:r>
      <w:r w:rsidR="005A3C3E">
        <w:rPr>
          <w:rFonts w:ascii="Times New Roman" w:hAnsi="Times New Roman" w:cs="Times New Roman"/>
          <w:sz w:val="24"/>
        </w:rPr>
        <w:t xml:space="preserve">the </w:t>
      </w:r>
      <w:r w:rsidRPr="00A97D88">
        <w:rPr>
          <w:rFonts w:ascii="Times New Roman" w:hAnsi="Times New Roman" w:cs="Times New Roman"/>
          <w:sz w:val="24"/>
        </w:rPr>
        <w:t>experiment were obtained from different research center</w:t>
      </w:r>
      <w:r w:rsidR="008B4B55">
        <w:rPr>
          <w:rFonts w:ascii="Times New Roman" w:hAnsi="Times New Roman" w:cs="Times New Roman"/>
          <w:sz w:val="24"/>
        </w:rPr>
        <w:t>s and released</w:t>
      </w:r>
      <w:r w:rsidR="00803B41">
        <w:rPr>
          <w:rFonts w:ascii="Times New Roman" w:hAnsi="Times New Roman" w:cs="Times New Roman"/>
          <w:sz w:val="24"/>
        </w:rPr>
        <w:t xml:space="preserve"> in different years.</w:t>
      </w:r>
      <w:r w:rsidR="00113864">
        <w:rPr>
          <w:rFonts w:ascii="Times New Roman" w:hAnsi="Times New Roman" w:cs="Times New Roman"/>
          <w:sz w:val="24"/>
        </w:rPr>
        <w:t xml:space="preserve"> </w:t>
      </w:r>
    </w:p>
    <w:p w:rsidR="00E1107A" w:rsidRPr="00803B41" w:rsidRDefault="00803B41" w:rsidP="00803B41">
      <w:pPr>
        <w:pStyle w:val="Caption"/>
        <w:spacing w:line="360" w:lineRule="auto"/>
        <w:rPr>
          <w:b w:val="0"/>
          <w:sz w:val="32"/>
        </w:rPr>
      </w:pPr>
      <w:bookmarkStart w:id="7" w:name="_Toc185337603"/>
      <w:bookmarkStart w:id="8" w:name="_Toc185337639"/>
      <w:bookmarkStart w:id="9" w:name="_Toc187696836"/>
      <w:r w:rsidRPr="00803B41">
        <w:rPr>
          <w:b w:val="0"/>
          <w:sz w:val="24"/>
        </w:rPr>
        <w:t xml:space="preserve">Table </w:t>
      </w:r>
      <w:r w:rsidR="000D6068" w:rsidRPr="00803B41">
        <w:rPr>
          <w:b w:val="0"/>
          <w:sz w:val="24"/>
        </w:rPr>
        <w:fldChar w:fldCharType="begin"/>
      </w:r>
      <w:r w:rsidRPr="00803B41">
        <w:rPr>
          <w:b w:val="0"/>
          <w:sz w:val="24"/>
        </w:rPr>
        <w:instrText xml:space="preserve"> SEQ Table \* ARABIC </w:instrText>
      </w:r>
      <w:r w:rsidR="000D6068" w:rsidRPr="00803B41">
        <w:rPr>
          <w:b w:val="0"/>
          <w:sz w:val="24"/>
        </w:rPr>
        <w:fldChar w:fldCharType="separate"/>
      </w:r>
      <w:r w:rsidR="00754A4F">
        <w:rPr>
          <w:b w:val="0"/>
          <w:noProof/>
          <w:sz w:val="24"/>
        </w:rPr>
        <w:t>1</w:t>
      </w:r>
      <w:r w:rsidR="000D6068" w:rsidRPr="00803B41">
        <w:rPr>
          <w:b w:val="0"/>
          <w:sz w:val="24"/>
        </w:rPr>
        <w:fldChar w:fldCharType="end"/>
      </w:r>
      <w:r w:rsidRPr="00803B41">
        <w:rPr>
          <w:b w:val="0"/>
          <w:sz w:val="24"/>
        </w:rPr>
        <w:t>: Description and sources of the crop varieties are provided</w:t>
      </w:r>
      <w:bookmarkEnd w:id="7"/>
      <w:bookmarkEnd w:id="8"/>
      <w:bookmarkEnd w:id="9"/>
    </w:p>
    <w:tbl>
      <w:tblPr>
        <w:tblStyle w:val="TableGrid"/>
        <w:tblW w:w="5273" w:type="pct"/>
        <w:tblLook w:val="04A0" w:firstRow="1" w:lastRow="0" w:firstColumn="1" w:lastColumn="0" w:noHBand="0" w:noVBand="1"/>
      </w:tblPr>
      <w:tblGrid>
        <w:gridCol w:w="3078"/>
        <w:gridCol w:w="3060"/>
        <w:gridCol w:w="3961"/>
      </w:tblGrid>
      <w:tr w:rsidR="0013614E" w:rsidRPr="00A97D88" w:rsidTr="007300B9">
        <w:tc>
          <w:tcPr>
            <w:tcW w:w="1524" w:type="pct"/>
          </w:tcPr>
          <w:p w:rsidR="00B368F6" w:rsidRPr="007300B9" w:rsidRDefault="00B368F6"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Varieties</w:t>
            </w:r>
          </w:p>
        </w:tc>
        <w:tc>
          <w:tcPr>
            <w:tcW w:w="1515" w:type="pct"/>
          </w:tcPr>
          <w:p w:rsidR="00B368F6" w:rsidRPr="007300B9" w:rsidRDefault="00CA0295"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 xml:space="preserve">Breeding </w:t>
            </w:r>
            <w:r w:rsidR="00B368F6" w:rsidRPr="007300B9">
              <w:rPr>
                <w:rFonts w:ascii="Times New Roman" w:hAnsi="Times New Roman" w:cs="Times New Roman"/>
                <w:b/>
                <w:sz w:val="24"/>
                <w:szCs w:val="24"/>
              </w:rPr>
              <w:t>Research Center</w:t>
            </w:r>
          </w:p>
        </w:tc>
        <w:tc>
          <w:tcPr>
            <w:tcW w:w="1961" w:type="pct"/>
          </w:tcPr>
          <w:p w:rsidR="00B368F6" w:rsidRPr="007300B9" w:rsidRDefault="00B368F6"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Released Years</w:t>
            </w:r>
          </w:p>
        </w:tc>
      </w:tr>
      <w:tr w:rsidR="0013614E" w:rsidRPr="00A97D88" w:rsidTr="007300B9">
        <w:trPr>
          <w:trHeight w:val="260"/>
        </w:trPr>
        <w:tc>
          <w:tcPr>
            <w:tcW w:w="1524"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Bonsa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SARC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2011       </w:t>
            </w:r>
          </w:p>
        </w:tc>
      </w:tr>
      <w:tr w:rsidR="0013614E" w:rsidRPr="00A97D88" w:rsidTr="007300B9">
        <w:tc>
          <w:tcPr>
            <w:tcW w:w="1524"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Bareda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MARC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2021      </w:t>
            </w:r>
          </w:p>
        </w:tc>
      </w:tr>
      <w:tr w:rsidR="0013614E" w:rsidRPr="00A97D88" w:rsidTr="007300B9">
        <w:trPr>
          <w:trHeight w:val="305"/>
        </w:trPr>
        <w:tc>
          <w:tcPr>
            <w:tcW w:w="1524"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Bate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BARC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2020      </w:t>
            </w:r>
          </w:p>
        </w:tc>
      </w:tr>
      <w:tr w:rsidR="00B368F6" w:rsidRPr="00A97D88" w:rsidTr="007300B9">
        <w:tc>
          <w:tcPr>
            <w:tcW w:w="1524" w:type="pct"/>
          </w:tcPr>
          <w:p w:rsidR="00B368F6" w:rsidRPr="007300B9" w:rsidRDefault="00B368F6" w:rsidP="00D02837">
            <w:pPr>
              <w:spacing w:line="360" w:lineRule="auto"/>
              <w:rPr>
                <w:rFonts w:ascii="Times New Roman" w:hAnsi="Times New Roman" w:cs="Times New Roman"/>
                <w:sz w:val="24"/>
                <w:szCs w:val="24"/>
              </w:rPr>
            </w:pPr>
            <w:r w:rsidRPr="007300B9">
              <w:rPr>
                <w:rFonts w:ascii="Times New Roman" w:hAnsi="Times New Roman" w:cs="Times New Roman"/>
                <w:sz w:val="24"/>
                <w:szCs w:val="24"/>
              </w:rPr>
              <w:t>Common vetch</w:t>
            </w:r>
            <w:r w:rsidR="00113864" w:rsidRPr="007300B9">
              <w:rPr>
                <w:rFonts w:ascii="Times New Roman" w:hAnsi="Times New Roman" w:cs="Times New Roman"/>
                <w:sz w:val="24"/>
                <w:szCs w:val="24"/>
              </w:rPr>
              <w:t xml:space="preserve"> (</w:t>
            </w:r>
            <w:r w:rsidR="007300B9" w:rsidRPr="007300B9">
              <w:rPr>
                <w:rFonts w:ascii="Times New Roman" w:hAnsi="Times New Roman" w:cs="Times New Roman"/>
                <w:sz w:val="24"/>
                <w:szCs w:val="24"/>
              </w:rPr>
              <w:t>Vicia </w:t>
            </w:r>
            <w:r w:rsidR="00113864" w:rsidRPr="007300B9">
              <w:rPr>
                <w:rFonts w:ascii="Times New Roman" w:hAnsi="Times New Roman" w:cs="Times New Roman"/>
                <w:sz w:val="24"/>
                <w:szCs w:val="24"/>
              </w:rPr>
              <w:t>sativa)</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SARC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2011       </w:t>
            </w:r>
          </w:p>
        </w:tc>
      </w:tr>
    </w:tbl>
    <w:p w:rsidR="00F33B7F" w:rsidRPr="00A97D88" w:rsidRDefault="00725DF8" w:rsidP="00062D62">
      <w:pPr>
        <w:pStyle w:val="Heading2"/>
        <w:spacing w:after="240"/>
        <w:jc w:val="both"/>
        <w:rPr>
          <w:rFonts w:ascii="Times New Roman" w:hAnsi="Times New Roman" w:cs="Times New Roman"/>
          <w:color w:val="auto"/>
        </w:rPr>
      </w:pPr>
      <w:bookmarkStart w:id="10" w:name="_Toc184070811"/>
      <w:r w:rsidRPr="00A97D88">
        <w:rPr>
          <w:rFonts w:ascii="Times New Roman" w:hAnsi="Times New Roman" w:cs="Times New Roman"/>
          <w:color w:val="auto"/>
        </w:rPr>
        <w:t xml:space="preserve"> </w:t>
      </w:r>
      <w:r w:rsidR="00F33B7F" w:rsidRPr="00A97D88">
        <w:rPr>
          <w:rFonts w:ascii="Times New Roman" w:hAnsi="Times New Roman" w:cs="Times New Roman"/>
          <w:color w:val="auto"/>
        </w:rPr>
        <w:t xml:space="preserve">Land Preparation, Sowing and Management </w:t>
      </w:r>
      <w:r w:rsidR="005A3C3E">
        <w:rPr>
          <w:rFonts w:ascii="Times New Roman" w:hAnsi="Times New Roman" w:cs="Times New Roman"/>
          <w:color w:val="auto"/>
        </w:rPr>
        <w:t>Practices</w:t>
      </w:r>
      <w:bookmarkEnd w:id="10"/>
      <w:r w:rsidR="005A3C3E" w:rsidRPr="00A97D88">
        <w:rPr>
          <w:rFonts w:ascii="Times New Roman" w:hAnsi="Times New Roman" w:cs="Times New Roman"/>
          <w:color w:val="auto"/>
        </w:rPr>
        <w:t xml:space="preserve"> </w:t>
      </w:r>
    </w:p>
    <w:p w:rsidR="003D2B2B" w:rsidRDefault="003D2B2B" w:rsidP="003D2B2B">
      <w:pPr>
        <w:spacing w:line="360" w:lineRule="auto"/>
        <w:jc w:val="both"/>
        <w:rPr>
          <w:rFonts w:ascii="Times New Roman" w:eastAsia="Times New Roman" w:hAnsi="Times New Roman" w:cs="Times New Roman"/>
          <w:sz w:val="24"/>
          <w:szCs w:val="24"/>
        </w:rPr>
      </w:pPr>
      <w:r w:rsidRPr="003D2B2B">
        <w:rPr>
          <w:rFonts w:ascii="Times New Roman" w:hAnsi="Times New Roman" w:cs="Times New Roman"/>
          <w:spacing w:val="1"/>
          <w:sz w:val="24"/>
          <w:szCs w:val="24"/>
        </w:rPr>
        <w:t>Land was plowed, harrowed by oxen, and hoed to prepare a fine seedbed. Plots (3 m × 2 m) received 100 kg</w:t>
      </w:r>
      <w:r w:rsidR="00A376B1">
        <w:rPr>
          <w:rFonts w:ascii="Times New Roman" w:hAnsi="Times New Roman" w:cs="Times New Roman"/>
          <w:spacing w:val="1"/>
          <w:sz w:val="24"/>
          <w:szCs w:val="24"/>
        </w:rPr>
        <w:t xml:space="preserve">/ha NPS fertilizer at planting </w:t>
      </w:r>
      <w:r w:rsidR="000D6068">
        <w:rPr>
          <w:rFonts w:ascii="Times New Roman" w:hAnsi="Times New Roman" w:cs="Times New Roman"/>
          <w:spacing w:val="1"/>
          <w:sz w:val="24"/>
          <w:szCs w:val="24"/>
        </w:rPr>
        <w:fldChar w:fldCharType="begin"/>
      </w:r>
      <w:r w:rsidR="00A376B1">
        <w:rPr>
          <w:rFonts w:ascii="Times New Roman" w:hAnsi="Times New Roman" w:cs="Times New Roman"/>
          <w:spacing w:val="1"/>
          <w:sz w:val="24"/>
          <w:szCs w:val="24"/>
        </w:rPr>
        <w:instrText xml:space="preserve"> ADDIN EN.CITE &lt;EndNote&gt;&lt;Cite&gt;&lt;Author&gt;Feyissa&lt;/Author&gt;&lt;Year&gt;2011&lt;/Year&gt;&lt;RecNum&gt;59&lt;/RecNum&gt;&lt;DisplayText&gt;(Feyissa&lt;style face="italic"&gt; et al.&lt;/style&gt;, 2011)&lt;/DisplayText&gt;&lt;record&gt;&lt;rec-number&gt;59&lt;/rec-number&gt;&lt;foreign-keys&gt;&lt;key app="EN" db-id="5ee0etwro2xdtheaap2xr5f6dpxvrsx2v0t5"&gt;59&lt;/key&gt;&lt;/foreign-keys&gt;&lt;ref-type name="Journal Article"&gt;17&lt;/ref-type&gt;&lt;contributors&gt;&lt;authors&gt;&lt;author&gt;Feyissa, Fekede&lt;/author&gt;&lt;author&gt;Tesfaye, Agajie&lt;/author&gt;&lt;author&gt;Tsigie, Angaw&lt;/author&gt;&lt;/authors&gt;&lt;/contributors&gt;&lt;titles&gt;&lt;title&gt;Producing and Using Alternative Feeds to Crop Residues&lt;/title&gt;&lt;secondary-title&gt;User Manual, EIAR&lt;/secondary-title&gt;&lt;/titles&gt;&lt;periodical&gt;&lt;full-title&gt;User Manual, EIAR&lt;/full-title&gt;&lt;/periodical&gt;&lt;dates&gt;&lt;year&gt;2011&lt;/year&gt;&lt;/dates&gt;&lt;urls&gt;&lt;/urls&gt;&lt;/record&gt;&lt;/Cite&gt;&lt;/EndNote&gt;</w:instrText>
      </w:r>
      <w:r w:rsidR="000D6068">
        <w:rPr>
          <w:rFonts w:ascii="Times New Roman" w:hAnsi="Times New Roman" w:cs="Times New Roman"/>
          <w:spacing w:val="1"/>
          <w:sz w:val="24"/>
          <w:szCs w:val="24"/>
        </w:rPr>
        <w:fldChar w:fldCharType="separate"/>
      </w:r>
      <w:r w:rsidR="00A376B1">
        <w:rPr>
          <w:rFonts w:ascii="Times New Roman" w:hAnsi="Times New Roman" w:cs="Times New Roman"/>
          <w:noProof/>
          <w:spacing w:val="1"/>
          <w:sz w:val="24"/>
          <w:szCs w:val="24"/>
        </w:rPr>
        <w:t>(</w:t>
      </w:r>
      <w:hyperlink w:anchor="_ENREF_22" w:tooltip="Feyissa, 2011 #59" w:history="1">
        <w:r w:rsidR="00BC4E2E">
          <w:rPr>
            <w:rFonts w:ascii="Times New Roman" w:hAnsi="Times New Roman" w:cs="Times New Roman"/>
            <w:noProof/>
            <w:spacing w:val="1"/>
            <w:sz w:val="24"/>
            <w:szCs w:val="24"/>
          </w:rPr>
          <w:t>Feyissa</w:t>
        </w:r>
        <w:r w:rsidR="00BC4E2E" w:rsidRPr="00A376B1">
          <w:rPr>
            <w:rFonts w:ascii="Times New Roman" w:hAnsi="Times New Roman" w:cs="Times New Roman"/>
            <w:i/>
            <w:noProof/>
            <w:spacing w:val="1"/>
            <w:sz w:val="24"/>
            <w:szCs w:val="24"/>
          </w:rPr>
          <w:t xml:space="preserve"> et al.</w:t>
        </w:r>
        <w:r w:rsidR="00BC4E2E">
          <w:rPr>
            <w:rFonts w:ascii="Times New Roman" w:hAnsi="Times New Roman" w:cs="Times New Roman"/>
            <w:noProof/>
            <w:spacing w:val="1"/>
            <w:sz w:val="24"/>
            <w:szCs w:val="24"/>
          </w:rPr>
          <w:t>, 2011</w:t>
        </w:r>
      </w:hyperlink>
      <w:r w:rsidR="00A376B1">
        <w:rPr>
          <w:rFonts w:ascii="Times New Roman" w:hAnsi="Times New Roman" w:cs="Times New Roman"/>
          <w:noProof/>
          <w:spacing w:val="1"/>
          <w:sz w:val="24"/>
          <w:szCs w:val="24"/>
        </w:rPr>
        <w:t>)</w:t>
      </w:r>
      <w:r w:rsidR="000D6068">
        <w:rPr>
          <w:rFonts w:ascii="Times New Roman" w:hAnsi="Times New Roman" w:cs="Times New Roman"/>
          <w:spacing w:val="1"/>
          <w:sz w:val="24"/>
          <w:szCs w:val="24"/>
        </w:rPr>
        <w:fldChar w:fldCharType="end"/>
      </w:r>
      <w:r w:rsidR="00A376B1">
        <w:rPr>
          <w:rFonts w:ascii="Times New Roman" w:hAnsi="Times New Roman" w:cs="Times New Roman"/>
          <w:spacing w:val="1"/>
          <w:sz w:val="24"/>
          <w:szCs w:val="24"/>
        </w:rPr>
        <w:t xml:space="preserve">. </w:t>
      </w:r>
      <w:r w:rsidRPr="003D2B2B">
        <w:rPr>
          <w:rFonts w:ascii="Times New Roman" w:hAnsi="Times New Roman" w:cs="Times New Roman"/>
          <w:spacing w:val="1"/>
          <w:sz w:val="24"/>
          <w:szCs w:val="24"/>
        </w:rPr>
        <w:t xml:space="preserve">Vetch </w:t>
      </w:r>
      <w:r w:rsidRPr="003D2B2B">
        <w:t>(</w:t>
      </w:r>
      <w:r w:rsidRPr="00D075DA">
        <w:rPr>
          <w:rFonts w:ascii="Times New Roman" w:hAnsi="Times New Roman" w:cs="Times New Roman"/>
          <w:i/>
          <w:sz w:val="24"/>
        </w:rPr>
        <w:t>Vicia sativa</w:t>
      </w:r>
      <w:r w:rsidR="00D075DA" w:rsidRPr="00D075DA">
        <w:rPr>
          <w:sz w:val="24"/>
        </w:rPr>
        <w:t xml:space="preserve"> </w:t>
      </w:r>
      <w:r w:rsidR="00D075DA" w:rsidRPr="00D075DA">
        <w:rPr>
          <w:rFonts w:ascii="Times New Roman" w:hAnsi="Times New Roman" w:cs="Times New Roman"/>
          <w:sz w:val="24"/>
        </w:rPr>
        <w:t>L</w:t>
      </w:r>
      <w:r w:rsidR="00D075DA">
        <w:t>.</w:t>
      </w:r>
      <w:r>
        <w:t>)</w:t>
      </w:r>
      <w:r w:rsidRPr="003D2B2B">
        <w:t>,</w:t>
      </w:r>
      <w:r w:rsidRPr="003D2B2B">
        <w:rPr>
          <w:rFonts w:ascii="Times New Roman" w:hAnsi="Times New Roman" w:cs="Times New Roman"/>
          <w:spacing w:val="1"/>
          <w:sz w:val="24"/>
          <w:szCs w:val="24"/>
        </w:rPr>
        <w:t xml:space="preserve"> 30 kg/ha) and oat varieties were sown in alternate rows at recommended rates (Bonsa: 80 kg/ha; Bate and Bareda: 100 kg/ha). Row spacing was 30 cm (10 rows/plot); plot and replication spacing were 1 m and 1.5 m, respectively</w:t>
      </w:r>
      <w:r w:rsidR="00A376B1">
        <w:rPr>
          <w:rFonts w:ascii="Times New Roman" w:hAnsi="Times New Roman" w:cs="Times New Roman"/>
          <w:spacing w:val="1"/>
          <w:sz w:val="24"/>
          <w:szCs w:val="24"/>
        </w:rPr>
        <w:t xml:space="preserve"> </w:t>
      </w:r>
      <w:r w:rsidR="000D6068">
        <w:rPr>
          <w:rFonts w:ascii="Times New Roman" w:hAnsi="Times New Roman" w:cs="Times New Roman"/>
          <w:spacing w:val="1"/>
          <w:sz w:val="24"/>
          <w:szCs w:val="24"/>
        </w:rPr>
        <w:fldChar w:fldCharType="begin"/>
      </w:r>
      <w:r w:rsidR="00A376B1">
        <w:rPr>
          <w:rFonts w:ascii="Times New Roman" w:hAnsi="Times New Roman" w:cs="Times New Roman"/>
          <w:spacing w:val="1"/>
          <w:sz w:val="24"/>
          <w:szCs w:val="24"/>
        </w:rPr>
        <w:instrText xml:space="preserve"> ADDIN EN.CITE &lt;EndNote&gt;&lt;Cite&gt;&lt;Author&gt;Alemu Rorisa&lt;/Author&gt;&lt;Year&gt;2017&lt;/Year&gt;&lt;RecNum&gt;60&lt;/RecNum&gt;&lt;DisplayText&gt;(Alemu Rorisa, 2017)&lt;/DisplayText&gt;&lt;record&gt;&lt;rec-number&gt;60&lt;/rec-number&gt;&lt;foreign-keys&gt;&lt;key app="EN" db-id="5ee0etwro2xdtheaap2xr5f6dpxvrsx2v0t5"&gt;60&lt;/key&gt;&lt;/foreign-keys&gt;&lt;ref-type name="Thesis"&gt;32&lt;/ref-type&gt;&lt;contributors&gt;&lt;authors&gt;&lt;author&gt;Alemu Rorisa, Seyoum&lt;/author&gt;&lt;/authors&gt;&lt;/contributors&gt;&lt;titles&gt;&lt;title&gt;EFFECT OF BLENDED NPS AND N FERTILIZER RATES ON YIELD COMPONENTS, YIELD AND GRAIN PROTEIN CONTENT OF BREAD WHEAT (Triticum aestivum L.) IN BORE DISTRICT, GUJI ZONE, SOUTHERN ETHIOPIA&lt;/title&gt;&lt;/titles&gt;&lt;dates&gt;&lt;year&gt;2017&lt;/year&gt;&lt;/dates&gt;&lt;publisher&gt;Haramaya university&lt;/publisher&gt;&lt;urls&gt;&lt;/urls&gt;&lt;/record&gt;&lt;/Cite&gt;&lt;/EndNote&gt;</w:instrText>
      </w:r>
      <w:r w:rsidR="000D6068">
        <w:rPr>
          <w:rFonts w:ascii="Times New Roman" w:hAnsi="Times New Roman" w:cs="Times New Roman"/>
          <w:spacing w:val="1"/>
          <w:sz w:val="24"/>
          <w:szCs w:val="24"/>
        </w:rPr>
        <w:fldChar w:fldCharType="separate"/>
      </w:r>
      <w:r w:rsidR="00A376B1">
        <w:rPr>
          <w:rFonts w:ascii="Times New Roman" w:hAnsi="Times New Roman" w:cs="Times New Roman"/>
          <w:noProof/>
          <w:spacing w:val="1"/>
          <w:sz w:val="24"/>
          <w:szCs w:val="24"/>
        </w:rPr>
        <w:t>(</w:t>
      </w:r>
      <w:hyperlink w:anchor="_ENREF_4" w:tooltip="Alemu Rorisa, 2017 #60" w:history="1">
        <w:r w:rsidR="00BC4E2E">
          <w:rPr>
            <w:rFonts w:ascii="Times New Roman" w:hAnsi="Times New Roman" w:cs="Times New Roman"/>
            <w:noProof/>
            <w:spacing w:val="1"/>
            <w:sz w:val="24"/>
            <w:szCs w:val="24"/>
          </w:rPr>
          <w:t>Alemu Rorisa, 2017</w:t>
        </w:r>
      </w:hyperlink>
      <w:r w:rsidR="00A376B1">
        <w:rPr>
          <w:rFonts w:ascii="Times New Roman" w:hAnsi="Times New Roman" w:cs="Times New Roman"/>
          <w:noProof/>
          <w:spacing w:val="1"/>
          <w:sz w:val="24"/>
          <w:szCs w:val="24"/>
        </w:rPr>
        <w:t>)</w:t>
      </w:r>
      <w:r w:rsidR="000D6068">
        <w:rPr>
          <w:rFonts w:ascii="Times New Roman" w:hAnsi="Times New Roman" w:cs="Times New Roman"/>
          <w:spacing w:val="1"/>
          <w:sz w:val="24"/>
          <w:szCs w:val="24"/>
        </w:rPr>
        <w:fldChar w:fldCharType="end"/>
      </w:r>
      <w:r w:rsidR="00A376B1">
        <w:rPr>
          <w:rFonts w:ascii="Times New Roman" w:hAnsi="Times New Roman" w:cs="Times New Roman"/>
          <w:spacing w:val="1"/>
          <w:sz w:val="24"/>
          <w:szCs w:val="24"/>
        </w:rPr>
        <w:t xml:space="preserve">. </w:t>
      </w:r>
      <w:r w:rsidRPr="003D2B2B">
        <w:rPr>
          <w:rFonts w:ascii="Times New Roman" w:hAnsi="Times New Roman" w:cs="Times New Roman"/>
          <w:spacing w:val="1"/>
          <w:sz w:val="24"/>
          <w:szCs w:val="24"/>
        </w:rPr>
        <w:t>Hand weeding controlled weeds</w:t>
      </w:r>
      <w:r>
        <w:rPr>
          <w:rFonts w:ascii="Segoe UI" w:hAnsi="Segoe UI" w:cs="Segoe UI"/>
          <w:spacing w:val="1"/>
          <w:sz w:val="19"/>
          <w:szCs w:val="19"/>
        </w:rPr>
        <w:t>.</w:t>
      </w:r>
    </w:p>
    <w:p w:rsidR="00B16EF3" w:rsidRPr="00A97D88" w:rsidRDefault="00B32264" w:rsidP="00062D62">
      <w:pPr>
        <w:pStyle w:val="Heading2"/>
        <w:spacing w:after="240"/>
        <w:rPr>
          <w:rFonts w:ascii="Times New Roman" w:eastAsia="Times New Roman" w:hAnsi="Times New Roman" w:cs="Times New Roman"/>
          <w:color w:val="auto"/>
        </w:rPr>
      </w:pPr>
      <w:bookmarkStart w:id="11" w:name="_Toc184070812"/>
      <w:r w:rsidRPr="00A97D88">
        <w:rPr>
          <w:rFonts w:ascii="Times New Roman" w:eastAsia="Times New Roman" w:hAnsi="Times New Roman" w:cs="Times New Roman"/>
          <w:color w:val="auto"/>
        </w:rPr>
        <w:t>Experimental Design and Treatments</w:t>
      </w:r>
      <w:bookmarkEnd w:id="11"/>
    </w:p>
    <w:p w:rsidR="00657273" w:rsidRPr="00A97D88" w:rsidRDefault="00B16EF3" w:rsidP="00B16EF3">
      <w:pPr>
        <w:spacing w:after="0" w:line="360" w:lineRule="auto"/>
        <w:jc w:val="both"/>
        <w:rPr>
          <w:rFonts w:ascii="Times New Roman" w:hAnsi="Times New Roman" w:cs="Times New Roman"/>
          <w:sz w:val="24"/>
          <w:szCs w:val="24"/>
        </w:rPr>
      </w:pPr>
      <w:r w:rsidRPr="00A97D88">
        <w:rPr>
          <w:rFonts w:ascii="Times New Roman" w:eastAsia="Times New Roman" w:hAnsi="Times New Roman" w:cs="Times New Roman"/>
          <w:sz w:val="24"/>
          <w:szCs w:val="24"/>
        </w:rPr>
        <w:t>The experiment design was two factorials with a randomized complete block design (RCBD) with three row arrangements (1:1, 1:2, and 2:1) intercropping three oat varieties (Bonsa, Bate, and Bareda) with one common vetch (</w:t>
      </w:r>
      <w:r w:rsidRPr="00A97D88">
        <w:rPr>
          <w:rFonts w:ascii="Times New Roman" w:eastAsia="Times New Roman" w:hAnsi="Times New Roman" w:cs="Times New Roman"/>
          <w:i/>
          <w:iCs/>
          <w:sz w:val="24"/>
          <w:szCs w:val="24"/>
        </w:rPr>
        <w:t>Vicia sativa</w:t>
      </w:r>
      <w:r w:rsidRPr="00A97D88">
        <w:rPr>
          <w:rFonts w:ascii="Times New Roman" w:eastAsia="Times New Roman" w:hAnsi="Times New Roman" w:cs="Times New Roman"/>
          <w:sz w:val="24"/>
          <w:szCs w:val="24"/>
        </w:rPr>
        <w:t xml:space="preserve"> L</w:t>
      </w:r>
      <w:r w:rsidR="00D075DA">
        <w:rPr>
          <w:rFonts w:ascii="Times New Roman" w:eastAsia="Times New Roman" w:hAnsi="Times New Roman" w:cs="Times New Roman"/>
          <w:sz w:val="24"/>
          <w:szCs w:val="24"/>
        </w:rPr>
        <w:t>.</w:t>
      </w:r>
      <w:r w:rsidRPr="00A97D88">
        <w:rPr>
          <w:rFonts w:ascii="Times New Roman" w:eastAsia="Times New Roman" w:hAnsi="Times New Roman" w:cs="Times New Roman"/>
          <w:sz w:val="24"/>
          <w:szCs w:val="24"/>
        </w:rPr>
        <w:t>) in three replications.</w:t>
      </w:r>
      <w:r w:rsidR="00E04CB3" w:rsidRPr="00A97D88">
        <w:rPr>
          <w:rFonts w:ascii="Times New Roman" w:eastAsia="Times New Roman" w:hAnsi="Times New Roman" w:cs="Times New Roman"/>
          <w:sz w:val="24"/>
          <w:szCs w:val="24"/>
        </w:rPr>
        <w:t xml:space="preserve"> </w:t>
      </w:r>
    </w:p>
    <w:p w:rsidR="00657273" w:rsidRPr="004973F9" w:rsidRDefault="004973F9" w:rsidP="004973F9">
      <w:pPr>
        <w:pStyle w:val="Caption"/>
        <w:spacing w:line="360" w:lineRule="auto"/>
        <w:rPr>
          <w:rFonts w:cs="Times New Roman"/>
          <w:b w:val="0"/>
          <w:sz w:val="24"/>
          <w:szCs w:val="24"/>
        </w:rPr>
      </w:pPr>
      <w:bookmarkStart w:id="12" w:name="_Toc185337604"/>
      <w:bookmarkStart w:id="13" w:name="_Toc185337640"/>
      <w:bookmarkStart w:id="14" w:name="_Toc187696837"/>
      <w:r w:rsidRPr="004973F9">
        <w:rPr>
          <w:b w:val="0"/>
          <w:sz w:val="24"/>
          <w:szCs w:val="24"/>
        </w:rPr>
        <w:t xml:space="preserve">Table </w:t>
      </w:r>
      <w:r w:rsidR="000D6068" w:rsidRPr="004973F9">
        <w:rPr>
          <w:b w:val="0"/>
          <w:sz w:val="24"/>
          <w:szCs w:val="24"/>
        </w:rPr>
        <w:fldChar w:fldCharType="begin"/>
      </w:r>
      <w:r w:rsidRPr="004973F9">
        <w:rPr>
          <w:b w:val="0"/>
          <w:sz w:val="24"/>
          <w:szCs w:val="24"/>
        </w:rPr>
        <w:instrText xml:space="preserve"> SEQ Table \* ARABIC </w:instrText>
      </w:r>
      <w:r w:rsidR="000D6068" w:rsidRPr="004973F9">
        <w:rPr>
          <w:b w:val="0"/>
          <w:sz w:val="24"/>
          <w:szCs w:val="24"/>
        </w:rPr>
        <w:fldChar w:fldCharType="separate"/>
      </w:r>
      <w:r w:rsidR="00754A4F">
        <w:rPr>
          <w:b w:val="0"/>
          <w:noProof/>
          <w:sz w:val="24"/>
          <w:szCs w:val="24"/>
        </w:rPr>
        <w:t>2</w:t>
      </w:r>
      <w:r w:rsidR="000D6068" w:rsidRPr="004973F9">
        <w:rPr>
          <w:b w:val="0"/>
          <w:sz w:val="24"/>
          <w:szCs w:val="24"/>
        </w:rPr>
        <w:fldChar w:fldCharType="end"/>
      </w:r>
      <w:r w:rsidRPr="004973F9">
        <w:rPr>
          <w:rFonts w:cs="Times New Roman"/>
          <w:b w:val="0"/>
          <w:sz w:val="24"/>
          <w:szCs w:val="24"/>
        </w:rPr>
        <w:t>: Treatment arrangements of experiments</w:t>
      </w:r>
      <w:bookmarkEnd w:id="12"/>
      <w:bookmarkEnd w:id="13"/>
      <w:bookmarkEnd w:id="14"/>
    </w:p>
    <w:tbl>
      <w:tblPr>
        <w:tblStyle w:val="TableGrid"/>
        <w:tblW w:w="0" w:type="auto"/>
        <w:tblLook w:val="04A0" w:firstRow="1" w:lastRow="0" w:firstColumn="1" w:lastColumn="0" w:noHBand="0" w:noVBand="1"/>
      </w:tblPr>
      <w:tblGrid>
        <w:gridCol w:w="1458"/>
        <w:gridCol w:w="4410"/>
        <w:gridCol w:w="1530"/>
        <w:gridCol w:w="1350"/>
      </w:tblGrid>
      <w:tr w:rsidR="0013614E" w:rsidRPr="00A97D88" w:rsidTr="008E15BB">
        <w:trPr>
          <w:trHeight w:val="350"/>
        </w:trPr>
        <w:tc>
          <w:tcPr>
            <w:tcW w:w="1458" w:type="dxa"/>
          </w:tcPr>
          <w:p w:rsidR="007E0EC0" w:rsidRPr="00A97D88" w:rsidRDefault="007E0EC0"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rPr>
              <w:t>Treatments</w:t>
            </w:r>
            <w:r w:rsidRPr="00A97D88">
              <w:rPr>
                <w:rFonts w:ascii="Times New Roman" w:hAnsi="Times New Roman" w:cs="Times New Roman"/>
                <w:sz w:val="24"/>
                <w:szCs w:val="24"/>
                <w:lang w:val="fr-FR"/>
              </w:rPr>
              <w:t xml:space="preserve">   </w:t>
            </w:r>
          </w:p>
        </w:tc>
        <w:tc>
          <w:tcPr>
            <w:tcW w:w="4410" w:type="dxa"/>
          </w:tcPr>
          <w:p w:rsidR="007E0EC0" w:rsidRPr="00A97D88" w:rsidRDefault="007E0EC0"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rPr>
              <w:t>Description</w:t>
            </w:r>
            <w:r w:rsidR="004F6A07" w:rsidRPr="00A97D88">
              <w:rPr>
                <w:rFonts w:ascii="Times New Roman" w:hAnsi="Times New Roman" w:cs="Times New Roman"/>
                <w:sz w:val="24"/>
                <w:szCs w:val="24"/>
              </w:rPr>
              <w:t xml:space="preserve"> of treatment arrangements</w:t>
            </w:r>
          </w:p>
        </w:tc>
        <w:tc>
          <w:tcPr>
            <w:tcW w:w="2880" w:type="dxa"/>
            <w:gridSpan w:val="2"/>
          </w:tcPr>
          <w:p w:rsidR="007E0EC0" w:rsidRPr="00A97D88" w:rsidRDefault="004F6A07"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lang w:val="fr-FR"/>
              </w:rPr>
              <w:t xml:space="preserve"> </w:t>
            </w:r>
            <w:r w:rsidR="007E0EC0" w:rsidRPr="00A97D88">
              <w:rPr>
                <w:rFonts w:ascii="Times New Roman" w:hAnsi="Times New Roman" w:cs="Times New Roman"/>
                <w:sz w:val="24"/>
                <w:szCs w:val="24"/>
                <w:lang w:val="fr-FR"/>
              </w:rPr>
              <w:t xml:space="preserve">     Row arrangements    </w:t>
            </w:r>
          </w:p>
        </w:tc>
      </w:tr>
      <w:tr w:rsidR="008E15BB" w:rsidRPr="00A97D88" w:rsidTr="006C7B7E">
        <w:trPr>
          <w:trHeight w:val="323"/>
        </w:trPr>
        <w:tc>
          <w:tcPr>
            <w:tcW w:w="1458" w:type="dxa"/>
          </w:tcPr>
          <w:p w:rsidR="008E15BB" w:rsidRPr="00A97D88" w:rsidRDefault="008E15BB" w:rsidP="00B368F6">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lang w:val="fr-FR"/>
              </w:rPr>
              <w:t xml:space="preserve">          </w:t>
            </w:r>
          </w:p>
        </w:tc>
        <w:tc>
          <w:tcPr>
            <w:tcW w:w="4410" w:type="dxa"/>
          </w:tcPr>
          <w:p w:rsidR="008E15BB" w:rsidRPr="00A97D88" w:rsidRDefault="008E15BB" w:rsidP="006C7B7E">
            <w:pPr>
              <w:spacing w:line="276" w:lineRule="auto"/>
              <w:jc w:val="both"/>
              <w:rPr>
                <w:rFonts w:ascii="Times New Roman" w:hAnsi="Times New Roman" w:cs="Times New Roman"/>
                <w:sz w:val="24"/>
                <w:szCs w:val="24"/>
              </w:rPr>
            </w:pPr>
          </w:p>
        </w:tc>
        <w:tc>
          <w:tcPr>
            <w:tcW w:w="1530" w:type="dxa"/>
          </w:tcPr>
          <w:p w:rsidR="008E15BB" w:rsidRPr="00A97D88" w:rsidRDefault="008E15BB"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lang w:val="fr-FR"/>
              </w:rPr>
              <w:t xml:space="preserve">      Oat</w:t>
            </w:r>
          </w:p>
        </w:tc>
        <w:tc>
          <w:tcPr>
            <w:tcW w:w="1350" w:type="dxa"/>
          </w:tcPr>
          <w:p w:rsidR="008E15BB" w:rsidRPr="00A97D88" w:rsidRDefault="008E15BB"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lang w:val="fr-FR"/>
              </w:rPr>
              <w:t>Vetch</w:t>
            </w:r>
          </w:p>
        </w:tc>
      </w:tr>
      <w:tr w:rsidR="0013614E" w:rsidRPr="00A97D88" w:rsidTr="004F6A07">
        <w:tc>
          <w:tcPr>
            <w:tcW w:w="1458" w:type="dxa"/>
          </w:tcPr>
          <w:p w:rsidR="007E0EC0" w:rsidRPr="00A97D88" w:rsidRDefault="00A40327"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w:t>
            </w:r>
            <w:r w:rsidR="007E0EC0" w:rsidRPr="00A97D88">
              <w:rPr>
                <w:rFonts w:ascii="Times New Roman" w:hAnsi="Times New Roman" w:cs="Times New Roman"/>
                <w:szCs w:val="24"/>
                <w:lang w:val="fr-FR"/>
              </w:rPr>
              <w:t>1</w:t>
            </w:r>
          </w:p>
        </w:tc>
        <w:tc>
          <w:tcPr>
            <w:tcW w:w="4410"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Bonsa + common vetch</w:t>
            </w:r>
          </w:p>
        </w:tc>
        <w:tc>
          <w:tcPr>
            <w:tcW w:w="1530"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A40327"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w:t>
            </w:r>
            <w:r w:rsidR="007E0EC0" w:rsidRPr="00A97D88">
              <w:rPr>
                <w:rFonts w:ascii="Times New Roman" w:hAnsi="Times New Roman" w:cs="Times New Roman"/>
                <w:szCs w:val="24"/>
                <w:lang w:val="fr-FR"/>
              </w:rPr>
              <w:t>2</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Bonsa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T3</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Bonsa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T4</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T5</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T6</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T7</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Bareda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8E15BB">
        <w:trPr>
          <w:trHeight w:val="197"/>
        </w:trPr>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T8</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Bareda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T9</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Bareda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bl>
    <w:p w:rsidR="002D64FA" w:rsidRPr="00A97D88" w:rsidRDefault="002D64FA" w:rsidP="00164873">
      <w:pPr>
        <w:pStyle w:val="Caption"/>
      </w:pP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t>Methods of Data Collection</w:t>
      </w: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t>Biomass Yield and Chemical Composition</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Central rows were harvested at 3 cm above ground at 50% oat heading/vetch flowering, excluding borde</w:t>
      </w:r>
      <w:r w:rsidR="00A376B1">
        <w:rPr>
          <w:rFonts w:ascii="Times New Roman" w:hAnsi="Times New Roman" w:cs="Times New Roman"/>
          <w:sz w:val="24"/>
        </w:rPr>
        <w:t xml:space="preserve">rs </w:t>
      </w:r>
      <w:r w:rsidR="000D6068">
        <w:rPr>
          <w:rFonts w:ascii="Times New Roman" w:hAnsi="Times New Roman" w:cs="Times New Roman"/>
          <w:sz w:val="24"/>
        </w:rPr>
        <w:fldChar w:fldCharType="begin"/>
      </w:r>
      <w:r w:rsidR="00A376B1">
        <w:rPr>
          <w:rFonts w:ascii="Times New Roman" w:hAnsi="Times New Roman" w:cs="Times New Roman"/>
          <w:sz w:val="24"/>
        </w:rPr>
        <w:instrText xml:space="preserve"> ADDIN EN.CITE &lt;EndNote&gt;&lt;Cite&gt;&lt;Author&gt;Alemu&lt;/Author&gt;&lt;Year&gt;2007&lt;/Year&gt;&lt;RecNum&gt;61&lt;/RecNum&gt;&lt;DisplayText&gt;(Alemu&lt;style face="italic"&gt; et al.&lt;/style&gt;, 2007)&lt;/DisplayText&gt;&lt;record&gt;&lt;rec-number&gt;61&lt;/rec-number&gt;&lt;foreign-keys&gt;&lt;key app="EN" db-id="5ee0etwro2xdtheaap2xr5f6dpxvrsx2v0t5"&gt;61&lt;/key&gt;&lt;/foreign-keys&gt;&lt;ref-type name="Journal Article"&gt;17&lt;/ref-type&gt;&lt;contributors&gt;&lt;authors&gt;&lt;author&gt;Alemu, Berhanu&lt;/author&gt;&lt;author&gt;Melaku, Solomon&lt;/author&gt;&lt;author&gt;Prasad, NK&lt;/author&gt;&lt;/authors&gt;&lt;/contributors&gt;&lt;titles&gt;&lt;title&gt;Effects of varying seed proportions and harvesting stages on biological compatibility and forage yield of oats (Avena sativa L.) and vetch (Vicia villosa R.) mixtures&lt;/title&gt;&lt;secondary-title&gt;Livestock Research for Rural Development&lt;/secondary-title&gt;&lt;/titles&gt;&lt;periodical&gt;&lt;full-title&gt;Livestock Research for Rural Development&lt;/full-title&gt;&lt;/periodical&gt;&lt;pages&gt;12&lt;/pages&gt;&lt;volume&gt;19&lt;/volume&gt;&lt;number&gt;1&lt;/number&gt;&lt;dates&gt;&lt;year&gt;2007&lt;/year&gt;&lt;/dates&gt;&lt;urls&gt;&lt;/urls&gt;&lt;/record&gt;&lt;/Cite&gt;&lt;/EndNote&gt;</w:instrText>
      </w:r>
      <w:r w:rsidR="000D6068">
        <w:rPr>
          <w:rFonts w:ascii="Times New Roman" w:hAnsi="Times New Roman" w:cs="Times New Roman"/>
          <w:sz w:val="24"/>
        </w:rPr>
        <w:fldChar w:fldCharType="separate"/>
      </w:r>
      <w:r w:rsidR="00A376B1">
        <w:rPr>
          <w:rFonts w:ascii="Times New Roman" w:hAnsi="Times New Roman" w:cs="Times New Roman"/>
          <w:noProof/>
          <w:sz w:val="24"/>
        </w:rPr>
        <w:t>(</w:t>
      </w:r>
      <w:hyperlink w:anchor="_ENREF_2" w:tooltip="Alemu, 2007 #61" w:history="1">
        <w:r w:rsidR="00BC4E2E">
          <w:rPr>
            <w:rFonts w:ascii="Times New Roman" w:hAnsi="Times New Roman" w:cs="Times New Roman"/>
            <w:noProof/>
            <w:sz w:val="24"/>
          </w:rPr>
          <w:t>Alemu</w:t>
        </w:r>
        <w:r w:rsidR="00BC4E2E" w:rsidRPr="00A376B1">
          <w:rPr>
            <w:rFonts w:ascii="Times New Roman" w:hAnsi="Times New Roman" w:cs="Times New Roman"/>
            <w:i/>
            <w:noProof/>
            <w:sz w:val="24"/>
          </w:rPr>
          <w:t xml:space="preserve"> et al.</w:t>
        </w:r>
        <w:r w:rsidR="00BC4E2E">
          <w:rPr>
            <w:rFonts w:ascii="Times New Roman" w:hAnsi="Times New Roman" w:cs="Times New Roman"/>
            <w:noProof/>
            <w:sz w:val="24"/>
          </w:rPr>
          <w:t>, 2007</w:t>
        </w:r>
      </w:hyperlink>
      <w:r w:rsidR="00A376B1">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Fresh biomass was weighed immediately. Fresh subsamples (300 g) were taken, crushed to 2–5 cm pieces, oven-dried at 65°C for 72 h, and weighed to determine dry matter (DM) yield.</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DM yield (t/ha) = (10 × TFW × DWss) / (HA × FWss)</w:t>
      </w:r>
      <w:r w:rsidR="00C44B30">
        <w:rPr>
          <w:rFonts w:ascii="Times New Roman" w:hAnsi="Times New Roman" w:cs="Times New Roman"/>
          <w:sz w:val="24"/>
        </w:rPr>
        <w:t xml:space="preserve">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&lt;EndNote&gt;&lt;Cite&gt;&lt;Author&gt;Tarawali&lt;/Author&gt;&lt;Year&gt;1995&lt;/Year&gt;&lt;RecNum&gt;62&lt;/RecNum&gt;&lt;DisplayText&gt;(Tarawali, 1995)&lt;/DisplayText&gt;&lt;record&gt;&lt;rec-number&gt;62&lt;/rec-number&gt;&lt;foreign-keys&gt;&lt;key app="EN" db-id="5ee0etwro2xdtheaap2xr5f6dpxvrsx2v0t5"&gt;62&lt;/key&gt;&lt;/foreign-keys&gt;&lt;ref-type name="Book"&gt;6&lt;/ref-type&gt;&lt;contributors&gt;&lt;authors&gt;&lt;author&gt;Tarawali, Shirley A&lt;/author&gt;&lt;/authors&gt;&lt;/contributors&gt;&lt;titles&gt;&lt;title&gt;Methods for the evaluation of forage legumes, grasses and fodder trees for use as livestock feed&lt;/title&gt;&lt;/titles&gt;&lt;volume&gt;1&lt;/volume&gt;&lt;dates&gt;&lt;year&gt;1995&lt;/year&gt;&lt;/dates&gt;&lt;publisher&gt;ILRI (aka ILCA and ILRAD)&lt;/publisher&gt;&lt;isbn&gt;9291460044&lt;/isbn&gt;&lt;urls&gt;&lt;/urls&gt;&lt;/record&gt;&lt;/Cite&gt;&lt;/EndNote&gt;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5" w:tooltip="Tarawali, 1995 #62" w:history="1">
        <w:r w:rsidR="00BC4E2E">
          <w:rPr>
            <w:rFonts w:ascii="Times New Roman" w:hAnsi="Times New Roman" w:cs="Times New Roman"/>
            <w:noProof/>
            <w:sz w:val="24"/>
          </w:rPr>
          <w:t>Tarawali, 1995</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008176AB">
        <w:rPr>
          <w:rFonts w:ascii="Times New Roman" w:hAnsi="Times New Roman" w:cs="Times New Roman"/>
          <w:sz w:val="24"/>
        </w:rPr>
        <w:t>.</w:t>
      </w:r>
    </w:p>
    <w:p w:rsidR="00362B0F" w:rsidRPr="00362B0F" w:rsidRDefault="008176AB"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r>
        <w:rPr>
          <w:rFonts w:ascii="Times New Roman" w:hAnsi="Times New Roman" w:cs="Times New Roman"/>
          <w:sz w:val="24"/>
        </w:rPr>
        <w:t xml:space="preserve">, </w:t>
      </w:r>
      <w:r w:rsidRPr="00362B0F">
        <w:rPr>
          <w:rFonts w:ascii="Times New Roman" w:hAnsi="Times New Roman" w:cs="Times New Roman"/>
          <w:sz w:val="24"/>
        </w:rPr>
        <w:t>TFW</w:t>
      </w:r>
      <w:r w:rsidR="00362B0F" w:rsidRPr="00362B0F">
        <w:rPr>
          <w:rFonts w:ascii="Times New Roman" w:hAnsi="Times New Roman" w:cs="Times New Roman"/>
          <w:sz w:val="24"/>
        </w:rPr>
        <w:t xml:space="preserve"> = total fresh weight (kg), DWss = dry weight of subsample (g), FWss = fresh weight of subsample (g), HA = harvest area (m²), and 10 converts kg/m² to t/ha.</w:t>
      </w:r>
    </w:p>
    <w:p w:rsidR="0051336C" w:rsidRDefault="0051336C" w:rsidP="00362B0F">
      <w:pPr>
        <w:spacing w:line="360" w:lineRule="auto"/>
        <w:jc w:val="both"/>
        <w:rPr>
          <w:rFonts w:ascii="Times New Roman" w:hAnsi="Times New Roman" w:cs="Times New Roman"/>
          <w:b/>
          <w:sz w:val="24"/>
        </w:rPr>
      </w:pPr>
    </w:p>
    <w:p w:rsidR="0051336C" w:rsidRDefault="0051336C" w:rsidP="00362B0F">
      <w:pPr>
        <w:spacing w:line="360" w:lineRule="auto"/>
        <w:jc w:val="both"/>
        <w:rPr>
          <w:rFonts w:ascii="Times New Roman" w:hAnsi="Times New Roman" w:cs="Times New Roman"/>
          <w:b/>
          <w:sz w:val="24"/>
        </w:rPr>
      </w:pP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t>Chemical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Samples were oven-dried at 60°C for 72 h and ground through a 1 mm sieve. DM, ash, and crude protein (CP) were d</w:t>
      </w:r>
      <w:r w:rsidR="0051336C">
        <w:rPr>
          <w:rFonts w:ascii="Times New Roman" w:hAnsi="Times New Roman" w:cs="Times New Roman"/>
          <w:sz w:val="24"/>
        </w:rPr>
        <w:t>etermined following</w:t>
      </w:r>
      <w:r w:rsidR="00C44B30">
        <w:rPr>
          <w:rFonts w:ascii="Times New Roman" w:hAnsi="Times New Roman" w:cs="Times New Roman"/>
          <w:sz w:val="24"/>
        </w:rPr>
        <w:t xml:space="preserve">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&lt;EndNote&gt;&lt;Cite&gt;&lt;Author&gt;AOAC&lt;/Author&gt;&lt;Year&gt;1990&lt;/Year&gt;&lt;RecNum&gt;63&lt;/RecNum&gt;&lt;DisplayText&gt;(AOAC, 1990)&lt;/DisplayText&gt;&lt;record&gt;&lt;rec-number&gt;63&lt;/rec-number&gt;&lt;foreign-keys&gt;&lt;key app="EN" db-id="5ee0etwro2xdtheaap2xr5f6dpxvrsx2v0t5"&gt;63&lt;/key&gt;&lt;/foreign-keys&gt;&lt;ref-type name="Journal Article"&gt;17&lt;/ref-type&gt;&lt;contributors&gt;&lt;authors&gt;&lt;author&gt;AOAC&lt;/author&gt;&lt;/authors&gt;&lt;/contributors&gt;&lt;titles&gt;&lt;title&gt;Official methods of analysis&lt;/title&gt;&lt;secondary-title&gt;Assoc Anal Chem&lt;/secondary-title&gt;&lt;/titles&gt;&lt;periodical&gt;&lt;full-title&gt;Assoc Anal Chem&lt;/full-title&gt;&lt;/periodical&gt;&lt;pages&gt;2742-2744&lt;/pages&gt;&lt;volume&gt;62&lt;/volume&gt;&lt;dates&gt;&lt;year&gt;1990&lt;/year&gt;&lt;/dates&gt;&lt;urls&gt;&lt;/urls&gt;&lt;/record&gt;&lt;/Cite&gt;&lt;/EndNote&gt;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8" w:tooltip="AOAC, 1990 #63" w:history="1">
        <w:r w:rsidR="00BC4E2E">
          <w:rPr>
            <w:rFonts w:ascii="Times New Roman" w:hAnsi="Times New Roman" w:cs="Times New Roman"/>
            <w:noProof/>
            <w:sz w:val="24"/>
          </w:rPr>
          <w:t>AOAC, 1990</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0051336C">
        <w:rPr>
          <w:rFonts w:ascii="Times New Roman" w:hAnsi="Times New Roman" w:cs="Times New Roman"/>
          <w:sz w:val="24"/>
        </w:rPr>
        <w:t xml:space="preserve">. </w:t>
      </w:r>
      <w:r w:rsidRPr="00362B0F">
        <w:rPr>
          <w:rFonts w:ascii="Times New Roman" w:hAnsi="Times New Roman" w:cs="Times New Roman"/>
          <w:sz w:val="24"/>
        </w:rPr>
        <w:t xml:space="preserve"> </w:t>
      </w:r>
      <w:r w:rsidR="0051336C">
        <w:rPr>
          <w:rFonts w:ascii="Times New Roman" w:hAnsi="Times New Roman" w:cs="Times New Roman"/>
          <w:sz w:val="24"/>
        </w:rPr>
        <w:t>Dry matter</w:t>
      </w:r>
      <w:r w:rsidRPr="00362B0F">
        <w:rPr>
          <w:rFonts w:ascii="Times New Roman" w:hAnsi="Times New Roman" w:cs="Times New Roman"/>
          <w:sz w:val="24"/>
        </w:rPr>
        <w:t xml:space="preserve"> by oven-drying at 105°C for 24 h; ash by ignition at 600°C overnight; organic matter (OM) by difference (100 − ash); nitrogen by micro-Kjeldahl; CP = 6.25 × N. Neutral detergent fiber (NDF), acid detergent fiber (ADF), and acid detergent lignin (ADL) were analyzed</w:t>
      </w:r>
      <w:r w:rsidR="00C44B30">
        <w:rPr>
          <w:rFonts w:ascii="Times New Roman" w:hAnsi="Times New Roman" w:cs="Times New Roman"/>
          <w:sz w:val="24"/>
        </w:rPr>
        <w:t xml:space="preserve"> per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&lt;EndNote&gt;&lt;Cite&gt;&lt;Author&gt;Van Soest&lt;/Author&gt;&lt;Year&gt;1991&lt;/Year&gt;&lt;RecNum&gt;64&lt;/RecNum&gt;&lt;DisplayText&gt;(Van Soest&lt;style face="italic"&gt; et al.&lt;/style&gt;, 1991)&lt;/DisplayText&gt;&lt;record&gt;&lt;rec-number&gt;64&lt;/rec-number&gt;&lt;foreign-keys&gt;&lt;key app="EN" db-id="5ee0etwro2xdtheaap2xr5f6dpxvrsx2v0t5"&gt;64&lt;/key&gt;&lt;/foreign-keys&gt;&lt;ref-type name="Journal Article"&gt;17&lt;/ref-type&gt;&lt;contributors&gt;&lt;authors&gt;&lt;author&gt;Van Soest, PJ van&lt;/author&gt;&lt;author&gt;Robertson, James B&lt;/author&gt;&lt;author&gt;Lewis, Betty A&lt;/author&gt;&lt;/authors&gt;&lt;/contributors&gt;&lt;titles&gt;&lt;title&gt;Methods for dietary fiber, neutral detergent fiber, and nonstarch polysaccharides in relation to animal nutrition&lt;/title&gt;&lt;secondary-title&gt;Journal of dairy science&lt;/secondary-title&gt;&lt;/titles&gt;&lt;periodical&gt;&lt;full-title&gt;Journal of dairy science&lt;/full-title&gt;&lt;/periodical&gt;&lt;pages&gt;3583-3597&lt;/pages&gt;&lt;volume&gt;74&lt;/volume&gt;&lt;number&gt;10&lt;/number&gt;&lt;dates&gt;&lt;year&gt;1991&lt;/year&gt;&lt;/dates&gt;&lt;isbn&gt;0022-0302&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9" w:tooltip="Van Soest, 1991 #64" w:history="1">
        <w:r w:rsidR="00BC4E2E">
          <w:rPr>
            <w:rFonts w:ascii="Times New Roman" w:hAnsi="Times New Roman" w:cs="Times New Roman"/>
            <w:noProof/>
            <w:sz w:val="24"/>
          </w:rPr>
          <w:t>Van Soest</w:t>
        </w:r>
        <w:r w:rsidR="00BC4E2E" w:rsidRPr="00C44B30">
          <w:rPr>
            <w:rFonts w:ascii="Times New Roman" w:hAnsi="Times New Roman" w:cs="Times New Roman"/>
            <w:i/>
            <w:noProof/>
            <w:sz w:val="24"/>
          </w:rPr>
          <w:t xml:space="preserve"> et al.</w:t>
        </w:r>
        <w:r w:rsidR="00BC4E2E">
          <w:rPr>
            <w:rFonts w:ascii="Times New Roman" w:hAnsi="Times New Roman" w:cs="Times New Roman"/>
            <w:noProof/>
            <w:sz w:val="24"/>
          </w:rPr>
          <w:t>, 1991</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xml:space="preserve">. CP yield (t/ha) = (DMY </w:t>
      </w:r>
      <w:r w:rsidR="00C44B30">
        <w:rPr>
          <w:rFonts w:ascii="Times New Roman" w:hAnsi="Times New Roman" w:cs="Times New Roman"/>
          <w:sz w:val="24"/>
        </w:rPr>
        <w:t xml:space="preserve">× %CP)/100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&lt;EndNote&gt;&lt;Cite&gt;&lt;Author&gt;Starks&lt;/Author&gt;&lt;Year&gt;2006&lt;/Year&gt;&lt;RecNum&gt;65&lt;/RecNum&gt;&lt;DisplayText&gt;(Starks&lt;style face="italic"&gt; et al.&lt;/style&gt;, 2006)&lt;/DisplayText&gt;&lt;record&gt;&lt;rec-number&gt;65&lt;/rec-number&gt;&lt;foreign-keys&gt;&lt;key app="EN" db-id="5ee0etwro2xdtheaap2xr5f6dpxvrsx2v0t5"&gt;65&lt;/key&gt;&lt;/foreign-keys&gt;&lt;ref-type name="Journal Article"&gt;17&lt;/ref-type&gt;&lt;contributors&gt;&lt;authors&gt;&lt;author&gt;Starks, PJ&lt;/author&gt;&lt;author&gt;Zhao, Duli&lt;/author&gt;&lt;author&gt;Phillips, WA&lt;/author&gt;&lt;author&gt;Coleman, SW&lt;/author&gt;&lt;/authors&gt;&lt;/contributors&gt;&lt;titles&gt;&lt;title&gt;Herbage mass, nutritive value and canopy spectral reflectance of bermudagrass pastures&lt;/title&gt;&lt;secondary-title&gt;Grass and Forage Science&lt;/secondary-title&gt;&lt;/titles&gt;&lt;periodical&gt;&lt;full-title&gt;Grass and Forage Science&lt;/full-title&gt;&lt;/periodical&gt;&lt;pages&gt;101-111&lt;/pages&gt;&lt;volume&gt;61&lt;/volume&gt;&lt;number&gt;2&lt;/number&gt;&lt;dates&gt;&lt;year&gt;2006&lt;/year&gt;&lt;/dates&gt;&lt;isbn&gt;0142-5242&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3" w:tooltip="Starks, 2006 #65" w:history="1">
        <w:r w:rsidR="00BC4E2E">
          <w:rPr>
            <w:rFonts w:ascii="Times New Roman" w:hAnsi="Times New Roman" w:cs="Times New Roman"/>
            <w:noProof/>
            <w:sz w:val="24"/>
          </w:rPr>
          <w:t>Starks</w:t>
        </w:r>
        <w:r w:rsidR="00BC4E2E" w:rsidRPr="00C44B30">
          <w:rPr>
            <w:rFonts w:ascii="Times New Roman" w:hAnsi="Times New Roman" w:cs="Times New Roman"/>
            <w:i/>
            <w:noProof/>
            <w:sz w:val="24"/>
          </w:rPr>
          <w:t xml:space="preserve"> et al.</w:t>
        </w:r>
        <w:r w:rsidR="00BC4E2E">
          <w:rPr>
            <w:rFonts w:ascii="Times New Roman" w:hAnsi="Times New Roman" w:cs="Times New Roman"/>
            <w:noProof/>
            <w:sz w:val="24"/>
          </w:rPr>
          <w:t>, 2006</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w:t>
      </w:r>
    </w:p>
    <w:p w:rsidR="00362B0F" w:rsidRPr="00094474" w:rsidRDefault="00362B0F" w:rsidP="00362B0F">
      <w:pPr>
        <w:spacing w:line="360" w:lineRule="auto"/>
        <w:jc w:val="both"/>
        <w:rPr>
          <w:rFonts w:ascii="Times New Roman" w:hAnsi="Times New Roman" w:cs="Times New Roman"/>
          <w:b/>
          <w:sz w:val="24"/>
        </w:rPr>
      </w:pPr>
      <w:r w:rsidRPr="00094474">
        <w:rPr>
          <w:rFonts w:ascii="Times New Roman" w:hAnsi="Times New Roman" w:cs="Times New Roman"/>
          <w:b/>
          <w:sz w:val="24"/>
        </w:rPr>
        <w:t>In Vitro Digestibility</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In vitro DM digestibility (IVDMD) was determined using the two-stage r</w:t>
      </w:r>
      <w:r w:rsidR="00094474">
        <w:rPr>
          <w:rFonts w:ascii="Times New Roman" w:hAnsi="Times New Roman" w:cs="Times New Roman"/>
          <w:sz w:val="24"/>
        </w:rPr>
        <w:t xml:space="preserve">umen inoculum-pepsin technique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&lt;EndNote&gt;&lt;Cite&gt;&lt;Author&gt;Tilley&lt;/Author&gt;&lt;Year&gt;1963&lt;/Year&gt;&lt;RecNum&gt;66&lt;/RecNum&gt;&lt;DisplayText&gt;(Tilley &amp;amp; Terry, 1963)&lt;/DisplayText&gt;&lt;record&gt;&lt;rec-number&gt;66&lt;/rec-number&gt;&lt;foreign-keys&gt;&lt;key app="EN" db-id="5ee0etwro2xdtheaap2xr5f6dpxvrsx2v0t5"&gt;66&lt;/key&gt;&lt;/foreign-keys&gt;&lt;ref-type name="Journal Article"&gt;17&lt;/ref-type&gt;&lt;contributors&gt;&lt;authors&gt;&lt;author&gt;Tilley, JMA&lt;/author&gt;&lt;author&gt;Terry, dan RA&lt;/author&gt;&lt;/authors&gt;&lt;/contributors&gt;&lt;titles&gt;&lt;title&gt;A two‐stage technique for the in vitro digestion of forage crops&lt;/title&gt;&lt;secondary-title&gt;Grass and forage science&lt;/secondary-title&gt;&lt;/titles&gt;&lt;periodical&gt;&lt;full-title&gt;Grass and Forage Science&lt;/full-title&gt;&lt;/periodical&gt;&lt;pages&gt;104-111&lt;/pages&gt;&lt;volume&gt;18&lt;/volume&gt;&lt;number&gt;2&lt;/number&gt;&lt;dates&gt;&lt;year&gt;1963&lt;/year&gt;&lt;/dates&gt;&lt;isbn&gt;0142-5242&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67" w:tooltip="Tilley, 1963 #66" w:history="1">
        <w:r w:rsidR="00BC4E2E">
          <w:rPr>
            <w:rFonts w:ascii="Times New Roman" w:hAnsi="Times New Roman" w:cs="Times New Roman"/>
            <w:noProof/>
            <w:sz w:val="24"/>
          </w:rPr>
          <w:t>Tilley &amp; Terry, 1963</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Rumen fluid from three fistulated steers was collected pre-feeding. Duplicate 0.5 g samples were incubated with 30 ml rumen fluid at 39°C for 48 h, followed by 48 h acid-pepsin digestion. Residues were dried at 60°C for 72 h and ashed to determine in vitro OM digestibility (IVOMD).</w:t>
      </w:r>
    </w:p>
    <w:p w:rsidR="00362B0F" w:rsidRPr="00362B0F" w:rsidRDefault="00362B0F" w:rsidP="00D075DA">
      <w:pPr>
        <w:spacing w:line="360" w:lineRule="auto"/>
        <w:jc w:val="both"/>
        <w:rPr>
          <w:rFonts w:ascii="Times New Roman" w:hAnsi="Times New Roman" w:cs="Times New Roman"/>
          <w:sz w:val="24"/>
        </w:rPr>
      </w:pPr>
      <w:r w:rsidRPr="00362B0F">
        <w:rPr>
          <w:rFonts w:ascii="Times New Roman" w:hAnsi="Times New Roman" w:cs="Times New Roman"/>
          <w:sz w:val="24"/>
        </w:rPr>
        <w:t>IVDM</w:t>
      </w:r>
      <w:r w:rsidR="00D075DA">
        <w:rPr>
          <w:rFonts w:ascii="Times New Roman" w:hAnsi="Times New Roman" w:cs="Times New Roman"/>
          <w:sz w:val="24"/>
        </w:rPr>
        <w:t>D </w:t>
      </w:r>
      <w:r w:rsidR="0051336C">
        <w:rPr>
          <w:rFonts w:ascii="Times New Roman" w:hAnsi="Times New Roman" w:cs="Times New Roman"/>
          <w:sz w:val="24"/>
        </w:rPr>
        <w:t>(%) =</w:t>
      </w:r>
      <w:r w:rsidR="00D075DA">
        <w:rPr>
          <w:rFonts w:ascii="Times New Roman" w:hAnsi="Times New Roman" w:cs="Times New Roman"/>
          <w:sz w:val="24"/>
        </w:rPr>
        <w:t> (Dry </w:t>
      </w:r>
      <w:r w:rsidRPr="00362B0F">
        <w:rPr>
          <w:rFonts w:ascii="Times New Roman" w:hAnsi="Times New Roman" w:cs="Times New Roman"/>
          <w:sz w:val="24"/>
        </w:rPr>
        <w:t>sam</w:t>
      </w:r>
      <w:r w:rsidR="00D075DA">
        <w:rPr>
          <w:rFonts w:ascii="Times New Roman" w:hAnsi="Times New Roman" w:cs="Times New Roman"/>
          <w:sz w:val="24"/>
        </w:rPr>
        <w:t>ple </w:t>
      </w:r>
      <w:r w:rsidR="00094474">
        <w:rPr>
          <w:rFonts w:ascii="Times New Roman" w:hAnsi="Times New Roman" w:cs="Times New Roman"/>
          <w:sz w:val="24"/>
        </w:rPr>
        <w:t>weight</w:t>
      </w:r>
      <w:r w:rsidR="0051336C">
        <w:rPr>
          <w:rFonts w:ascii="Times New Roman" w:hAnsi="Times New Roman" w:cs="Times New Roman"/>
          <w:sz w:val="24"/>
        </w:rPr>
        <w:t>−</w:t>
      </w:r>
      <w:r w:rsidR="00094474">
        <w:rPr>
          <w:rFonts w:ascii="Times New Roman" w:hAnsi="Times New Roman" w:cs="Times New Roman"/>
          <w:sz w:val="24"/>
        </w:rPr>
        <w:t>(Residue</w:t>
      </w:r>
      <w:r w:rsidR="0051336C">
        <w:rPr>
          <w:rFonts w:ascii="Times New Roman" w:hAnsi="Times New Roman" w:cs="Times New Roman"/>
          <w:sz w:val="24"/>
        </w:rPr>
        <w:t>−Blank))/</w:t>
      </w:r>
      <w:r w:rsidR="00D075DA">
        <w:rPr>
          <w:rFonts w:ascii="Times New Roman" w:hAnsi="Times New Roman" w:cs="Times New Roman"/>
          <w:sz w:val="24"/>
        </w:rPr>
        <w:t>Dry </w:t>
      </w:r>
      <w:r w:rsidRPr="00362B0F">
        <w:rPr>
          <w:rFonts w:ascii="Times New Roman" w:hAnsi="Times New Roman" w:cs="Times New Roman"/>
          <w:sz w:val="24"/>
        </w:rPr>
        <w:t>s</w:t>
      </w:r>
      <w:r w:rsidR="00D075DA">
        <w:rPr>
          <w:rFonts w:ascii="Times New Roman" w:hAnsi="Times New Roman" w:cs="Times New Roman"/>
          <w:sz w:val="24"/>
        </w:rPr>
        <w:t>ample weight) × 100</w:t>
      </w:r>
      <w:r w:rsidR="00D075DA">
        <w:rPr>
          <w:rFonts w:ascii="Times New Roman" w:hAnsi="Times New Roman" w:cs="Times New Roman"/>
          <w:sz w:val="24"/>
        </w:rPr>
        <w:br/>
        <w:t>IVOMD </w:t>
      </w:r>
      <w:r w:rsidR="0051336C">
        <w:rPr>
          <w:rFonts w:ascii="Times New Roman" w:hAnsi="Times New Roman" w:cs="Times New Roman"/>
          <w:sz w:val="24"/>
        </w:rPr>
        <w:t>(%) =</w:t>
      </w:r>
      <w:r w:rsidR="00D075DA">
        <w:rPr>
          <w:rFonts w:ascii="Times New Roman" w:hAnsi="Times New Roman" w:cs="Times New Roman"/>
          <w:sz w:val="24"/>
        </w:rPr>
        <w:t> (OM in feed−(OM in </w:t>
      </w:r>
      <w:r w:rsidR="00094474">
        <w:rPr>
          <w:rFonts w:ascii="Times New Roman" w:hAnsi="Times New Roman" w:cs="Times New Roman"/>
          <w:sz w:val="24"/>
        </w:rPr>
        <w:t>residue</w:t>
      </w:r>
      <w:r w:rsidR="0051336C">
        <w:rPr>
          <w:rFonts w:ascii="Times New Roman" w:hAnsi="Times New Roman" w:cs="Times New Roman"/>
          <w:sz w:val="24"/>
        </w:rPr>
        <w:t>−Blank))/</w:t>
      </w:r>
      <w:r w:rsidR="00D075DA">
        <w:rPr>
          <w:rFonts w:ascii="Times New Roman" w:hAnsi="Times New Roman" w:cs="Times New Roman"/>
          <w:sz w:val="24"/>
        </w:rPr>
        <w:t>OM in feed) × </w:t>
      </w:r>
      <w:r w:rsidRPr="00362B0F">
        <w:rPr>
          <w:rFonts w:ascii="Times New Roman" w:hAnsi="Times New Roman" w:cs="Times New Roman"/>
          <w:sz w:val="24"/>
        </w:rPr>
        <w:t>10</w:t>
      </w:r>
      <w:r w:rsidR="00094474">
        <w:rPr>
          <w:rFonts w:ascii="Times New Roman" w:hAnsi="Times New Roman" w:cs="Times New Roman"/>
          <w:sz w:val="24"/>
        </w:rPr>
        <w:t>0</w:t>
      </w:r>
      <w:r w:rsidR="00094474">
        <w:rPr>
          <w:rFonts w:ascii="Times New Roman" w:hAnsi="Times New Roman" w:cs="Times New Roman"/>
          <w:sz w:val="24"/>
        </w:rPr>
        <w:br/>
        <w:t xml:space="preserve">ME (MJ/kg DM) = 0.15 × IVOMD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&lt;EndNote&gt;&lt;Cite&gt;&lt;Author&gt;Beever&lt;/Author&gt;&lt;Year&gt;2000&lt;/Year&gt;&lt;RecNum&gt;67&lt;/RecNum&gt;&lt;DisplayText&gt;(Beever &amp;amp; Mould, 2000)&lt;/DisplayText&gt;&lt;record&gt;&lt;rec-number&gt;67&lt;/rec-number&gt;&lt;foreign-keys&gt;&lt;key app="EN" db-id="5ee0etwro2xdtheaap2xr5f6dpxvrsx2v0t5"&gt;67&lt;/key&gt;&lt;/foreign-keys&gt;&lt;ref-type name="Journal Article"&gt;17&lt;/ref-type&gt;&lt;contributors&gt;&lt;authors&gt;&lt;author&gt;Beever, DE&lt;/author&gt;&lt;author&gt;Mould, FL&lt;/author&gt;&lt;/authors&gt;&lt;/contributors&gt;&lt;titles&gt;&lt;title&gt;Forage evaluation for efficient ruminant livestock production&lt;/title&gt;&lt;/titles&gt;&lt;dates&gt;&lt;year&gt;2000&lt;/year&gt;&lt;/dates&gt;&lt;isbn&gt;0851993443&lt;/isbn&gt;&lt;urls&gt;&lt;/urls&gt;&lt;/record&gt;&lt;/Cite&gt;&lt;/EndNote&gt;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11" w:tooltip="Beever, 2000 #67" w:history="1">
        <w:r w:rsidR="00BC4E2E">
          <w:rPr>
            <w:rFonts w:ascii="Times New Roman" w:hAnsi="Times New Roman" w:cs="Times New Roman"/>
            <w:noProof/>
            <w:sz w:val="24"/>
          </w:rPr>
          <w:t>Beever &amp; Mould, 2000</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p>
    <w:p w:rsidR="00362B0F" w:rsidRPr="00A20EE4" w:rsidRDefault="00362B0F" w:rsidP="00362B0F">
      <w:pPr>
        <w:spacing w:line="360" w:lineRule="auto"/>
        <w:jc w:val="both"/>
        <w:rPr>
          <w:rFonts w:ascii="Times New Roman" w:hAnsi="Times New Roman" w:cs="Times New Roman"/>
          <w:b/>
          <w:sz w:val="24"/>
        </w:rPr>
      </w:pPr>
      <w:r w:rsidRPr="00A20EE4">
        <w:rPr>
          <w:rFonts w:ascii="Times New Roman" w:hAnsi="Times New Roman" w:cs="Times New Roman"/>
          <w:b/>
          <w:sz w:val="24"/>
        </w:rPr>
        <w:t>In Vitro Gas Production</w:t>
      </w:r>
    </w:p>
    <w:p w:rsidR="000B4EB3"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Gas production was measured following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&lt;EndNote&gt;&lt;Cite&gt;&lt;Author&gt;Kh&lt;/Author&gt;&lt;Year&gt;1988&lt;/Year&gt;&lt;RecNum&gt;68&lt;/RecNum&gt;&lt;DisplayText&gt;(Kh, 1988)&lt;/DisplayText&gt;&lt;record&gt;&lt;rec-number&gt;68&lt;/rec-number&gt;&lt;foreign-keys&gt;&lt;key app="EN" db-id="5ee0etwro2xdtheaap2xr5f6dpxvrsx2v0t5"&gt;68&lt;/key&gt;&lt;/foreign-keys&gt;&lt;ref-type name="Journal Article"&gt;17&lt;/ref-type&gt;&lt;contributors&gt;&lt;authors&gt;&lt;author&gt;Kh, Menke&lt;/author&gt;&lt;/authors&gt;&lt;/contributors&gt;&lt;titles&gt;&lt;title&gt;Estimation of the energetic feed value obtained from chemical analysis and in vitro gas production using rumen fluid&lt;/title&gt;&lt;secondary-title&gt;Anim Res Dev&lt;/secondary-title&gt;&lt;/titles&gt;&lt;periodical&gt;&lt;full-title&gt;Anim Res Dev&lt;/full-title&gt;&lt;/periodical&gt;&lt;pages&gt;7-55&lt;/pages&gt;&lt;volume&gt;28&lt;/volume&gt;&lt;dates&gt;&lt;year&gt;1988&lt;/year&gt;&lt;/dates&gt;&lt;urls&gt;&lt;/urls&gt;&lt;/record&gt;&lt;/Cite&gt;&lt;/EndNote&gt;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37" w:tooltip="Kh, 1988 #68" w:history="1">
        <w:r w:rsidR="00BC4E2E">
          <w:rPr>
            <w:rFonts w:ascii="Times New Roman" w:hAnsi="Times New Roman" w:cs="Times New Roman"/>
            <w:noProof/>
            <w:sz w:val="24"/>
          </w:rPr>
          <w:t>Kh, 1988</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 xml:space="preserve">Rumen fluid (1 L) was collected from two rams pre-feeding, strained through cheesecloth, and maintained at 39°C. Duplicate 200 mg DM samples (1 mm sieve) were incubated in 100 ml calibrated syringes with 30 ml buffered rumen fluid at 39°C. Syringes were shaken at 30 min, then hourly for 10 h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&lt;EndNote&gt;&lt;Cite&gt;&lt;Author&gt;Makkar&lt;/Author&gt;&lt;Year&gt;2002&lt;/Year&gt;&lt;RecNum&gt;69&lt;/RecNum&gt;&lt;DisplayText&gt;(Makkar, 2002)&lt;/DisplayText&gt;&lt;record&gt;&lt;rec-number&gt;69&lt;/rec-number&gt;&lt;foreign-keys&gt;&lt;key app="EN" db-id="5ee0etwro2xdtheaap2xr5f6dpxvrsx2v0t5"&gt;69&lt;/key&gt;&lt;/foreign-keys&gt;&lt;ref-type name="Conference Proceedings"&gt;10&lt;/ref-type&gt;&lt;contributors&gt;&lt;authors&gt;&lt;author&gt;Makkar, HPS&lt;/author&gt;&lt;/authors&gt;&lt;/contributors&gt;&lt;titles&gt;&lt;title&gt;Applications of the in vitro gas method in the evaluation of feed resources, and enhancement of nutritional value of tannin-rich tree/browse leaves and agro-industrial by-products&lt;/title&gt;&lt;secondary-title&gt;Development and field evaluation of animal feed supplementation packages. Proceedings of the final review meeting of an IAEA Technical Co-operation Regional AFRA Project&lt;/secondary-title&gt;&lt;/titles&gt;&lt;pages&gt;23-40&lt;/pages&gt;&lt;number&gt;IAEA-TECDOC--1294&lt;/number&gt;&lt;dates&gt;&lt;year&gt;2002&lt;/year&gt;&lt;/dates&gt;&lt;isbn&gt;1011-4289&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46" w:tooltip="Makkar, 2002 #69" w:history="1">
        <w:r w:rsidR="00BC4E2E">
          <w:rPr>
            <w:rFonts w:ascii="Times New Roman" w:hAnsi="Times New Roman" w:cs="Times New Roman"/>
            <w:noProof/>
            <w:sz w:val="24"/>
          </w:rPr>
          <w:t>Makkar, 2002</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Gas production was recorded at 3, 6, 12, 24, 48, and 72 h. Blank syringes (no sample) were included as controls.</w:t>
      </w:r>
      <w:r w:rsidR="00A20EE4">
        <w:rPr>
          <w:rFonts w:ascii="Times New Roman" w:hAnsi="Times New Roman" w:cs="Times New Roman"/>
          <w:sz w:val="24"/>
        </w:rPr>
        <w:t xml:space="preserve"> Gas kinetics </w:t>
      </w:r>
      <w:r w:rsidR="000B4EB3">
        <w:rPr>
          <w:rFonts w:ascii="Times New Roman" w:hAnsi="Times New Roman" w:cs="Times New Roman"/>
          <w:sz w:val="24"/>
        </w:rPr>
        <w:t>was</w:t>
      </w:r>
      <w:r w:rsidR="00A20EE4">
        <w:rPr>
          <w:rFonts w:ascii="Times New Roman" w:hAnsi="Times New Roman" w:cs="Times New Roman"/>
          <w:sz w:val="24"/>
        </w:rPr>
        <w:t> modeled as: </w:t>
      </w:r>
    </w:p>
    <w:p w:rsidR="00362B0F" w:rsidRPr="00362B0F" w:rsidRDefault="000B4EB3" w:rsidP="00362B0F">
      <w:pPr>
        <w:spacing w:line="360" w:lineRule="auto"/>
        <w:jc w:val="both"/>
        <w:rPr>
          <w:rFonts w:ascii="Times New Roman" w:hAnsi="Times New Roman" w:cs="Times New Roman"/>
          <w:sz w:val="24"/>
        </w:rPr>
      </w:pPr>
      <w:r>
        <w:rPr>
          <w:rFonts w:ascii="Times New Roman" w:hAnsi="Times New Roman" w:cs="Times New Roman"/>
          <w:sz w:val="24"/>
          <w:szCs w:val="24"/>
        </w:rPr>
        <w:t>G = a + b (1-</w:t>
      </w:r>
      <w:r w:rsidRPr="00FC722C">
        <w:rPr>
          <w:rFonts w:ascii="Times New Roman" w:hAnsi="Times New Roman" w:cs="Times New Roman"/>
          <w:sz w:val="24"/>
          <w:szCs w:val="24"/>
        </w:rPr>
        <w:t>e</w:t>
      </w:r>
      <w:r w:rsidRPr="00FC722C">
        <w:rPr>
          <w:rFonts w:ascii="Times New Roman" w:hAnsi="Times New Roman" w:cs="Times New Roman"/>
          <w:sz w:val="24"/>
          <w:szCs w:val="24"/>
          <w:vertAlign w:val="superscript"/>
        </w:rPr>
        <w:t>-c</w:t>
      </w:r>
      <w:r>
        <w:rPr>
          <w:rFonts w:ascii="Times New Roman" w:hAnsi="Times New Roman" w:cs="Times New Roman"/>
          <w:sz w:val="24"/>
          <w:szCs w:val="24"/>
          <w:vertAlign w:val="superscript"/>
        </w:rPr>
        <w:t>(</w:t>
      </w:r>
      <w:r w:rsidRPr="00FC722C">
        <w:rPr>
          <w:rFonts w:ascii="Times New Roman" w:hAnsi="Times New Roman" w:cs="Times New Roman"/>
          <w:sz w:val="24"/>
          <w:szCs w:val="24"/>
          <w:vertAlign w:val="superscript"/>
        </w:rPr>
        <w:t>t</w:t>
      </w:r>
      <w:r>
        <w:rPr>
          <w:rFonts w:ascii="Times New Roman" w:hAnsi="Times New Roman" w:cs="Times New Roman"/>
          <w:sz w:val="24"/>
          <w:szCs w:val="24"/>
          <w:vertAlign w:val="superscript"/>
        </w:rPr>
        <w:t>-L)</w:t>
      </w:r>
      <w:r w:rsidRPr="00FC722C">
        <w:rPr>
          <w:rFonts w:ascii="Times New Roman" w:hAnsi="Times New Roman" w:cs="Times New Roman"/>
          <w:sz w:val="24"/>
          <w:szCs w:val="24"/>
        </w:rPr>
        <w:t>)</w:t>
      </w:r>
      <w:r>
        <w:rPr>
          <w:rFonts w:ascii="Times New Roman" w:hAnsi="Times New Roman" w:cs="Times New Roman"/>
          <w:sz w:val="24"/>
          <w:szCs w:val="24"/>
        </w:rPr>
        <w:t xml:space="preserve">, </w:t>
      </w:r>
      <w:r w:rsidRPr="00FC722C">
        <w:rPr>
          <w:rFonts w:ascii="Times New Roman" w:hAnsi="Times New Roman" w:cs="Times New Roman"/>
          <w:sz w:val="24"/>
          <w:szCs w:val="24"/>
        </w:rPr>
        <w:t xml:space="preserve"> </w:t>
      </w:r>
      <w:r w:rsidR="000D606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&lt;EndNote&gt;&lt;Cite&gt;&lt;Author&gt;Dhanoa&lt;/Author&gt;&lt;Year&gt;1988&lt;/Year&gt;&lt;RecNum&gt;70&lt;/RecNum&gt;&lt;DisplayText&gt;(Dhanoa, 1988)&lt;/DisplayText&gt;&lt;record&gt;&lt;rec-number&gt;70&lt;/rec-number&gt;&lt;foreign-keys&gt;&lt;key app="EN" db-id="5ee0etwro2xdtheaap2xr5f6dpxvrsx2v0t5"&gt;70&lt;/key&gt;&lt;/foreign-keys&gt;&lt;ref-type name="Journal Article"&gt;17&lt;/ref-type&gt;&lt;contributors&gt;&lt;authors&gt;&lt;author&gt;Dhanoa, MS&lt;/author&gt;&lt;/authors&gt;&lt;/contributors&gt;&lt;titles&gt;&lt;title&gt;On the analysis of dacron bag data for low degradability feeds&lt;/title&gt;&lt;secondary-title&gt;Grass and Forage Science&lt;/secondary-title&gt;&lt;/titles&gt;&lt;periodical&gt;&lt;full-title&gt;Grass and Forage Science&lt;/full-title&gt;&lt;/periodical&gt;&lt;pages&gt;441-444&lt;/pages&gt;&lt;volume&gt;43&lt;/volume&gt;&lt;number&gt;4&lt;/number&gt;&lt;dates&gt;&lt;year&gt;1988&lt;/year&gt;&lt;/dates&gt;&lt;isbn&gt;0142-5242&lt;/isbn&gt;&lt;urls&gt;&lt;/urls&gt;&lt;/record&gt;&lt;/Cite&gt;&lt;/EndNote&gt;</w:instrText>
      </w:r>
      <w:r w:rsidR="000D6068">
        <w:rPr>
          <w:rFonts w:ascii="Times New Roman" w:hAnsi="Times New Roman" w:cs="Times New Roman"/>
          <w:sz w:val="24"/>
        </w:rPr>
        <w:fldChar w:fldCharType="separate"/>
      </w:r>
      <w:r>
        <w:rPr>
          <w:rFonts w:ascii="Times New Roman" w:hAnsi="Times New Roman" w:cs="Times New Roman"/>
          <w:noProof/>
          <w:sz w:val="24"/>
        </w:rPr>
        <w:t>(</w:t>
      </w:r>
      <w:hyperlink w:anchor="_ENREF_18" w:tooltip="Dhanoa, 1988 #70" w:history="1">
        <w:r w:rsidR="00BC4E2E">
          <w:rPr>
            <w:rFonts w:ascii="Times New Roman" w:hAnsi="Times New Roman" w:cs="Times New Roman"/>
            <w:noProof/>
            <w:sz w:val="24"/>
          </w:rPr>
          <w:t>Dhanoa, 1988</w:t>
        </w:r>
      </w:hyperlink>
      <w:r>
        <w:rPr>
          <w:rFonts w:ascii="Times New Roman" w:hAnsi="Times New Roman" w:cs="Times New Roman"/>
          <w:noProof/>
          <w:sz w:val="24"/>
        </w:rPr>
        <w:t>)</w:t>
      </w:r>
      <w:r w:rsidR="000D6068">
        <w:rPr>
          <w:rFonts w:ascii="Times New Roman" w:hAnsi="Times New Roman" w:cs="Times New Roman"/>
          <w:sz w:val="24"/>
        </w:rPr>
        <w:fldChar w:fldCharType="end"/>
      </w:r>
    </w:p>
    <w:p w:rsidR="00362B0F" w:rsidRPr="00362B0F" w:rsidRDefault="00A20EE4"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r>
        <w:rPr>
          <w:rFonts w:ascii="Times New Roman" w:hAnsi="Times New Roman" w:cs="Times New Roman"/>
          <w:sz w:val="24"/>
        </w:rPr>
        <w:t>,</w:t>
      </w:r>
      <w:r w:rsidR="00362B0F" w:rsidRPr="00362B0F">
        <w:rPr>
          <w:rFonts w:ascii="Times New Roman" w:hAnsi="Times New Roman" w:cs="Times New Roman"/>
          <w:sz w:val="24"/>
        </w:rPr>
        <w:t xml:space="preserve"> G = gas production (ml/200 mg DM) at time t; a = gas from soluble fraction (ml); b = gas from insoluble degradable fraction (ml); a + b = potential gas production (ml); c = rate constant (/h); L = lag time (h).</w:t>
      </w:r>
      <w:r w:rsidR="0051336C">
        <w:rPr>
          <w:rFonts w:ascii="Times New Roman" w:hAnsi="Times New Roman" w:cs="Times New Roman"/>
          <w:sz w:val="24"/>
        </w:rPr>
        <w:t xml:space="preserve"> </w:t>
      </w:r>
      <w:r w:rsidR="00362B0F" w:rsidRPr="00362B0F">
        <w:rPr>
          <w:rFonts w:ascii="Times New Roman" w:hAnsi="Times New Roman" w:cs="Times New Roman"/>
          <w:sz w:val="24"/>
        </w:rPr>
        <w:t>OMD, ME, and short-chain fatty acids (SCFA) were estimated from 24 h gas production (G24):</w:t>
      </w:r>
    </w:p>
    <w:p w:rsidR="00362B0F" w:rsidRPr="00362B0F" w:rsidRDefault="00362B0F" w:rsidP="00362B0F">
      <w:pPr>
        <w:spacing w:line="360" w:lineRule="auto"/>
        <w:jc w:val="both"/>
        <w:rPr>
          <w:rFonts w:ascii="Times New Roman" w:hAnsi="Times New Roman" w:cs="Times New Roman"/>
          <w:sz w:val="24"/>
        </w:rPr>
      </w:pPr>
      <w:r>
        <w:rPr>
          <w:rFonts w:ascii="Times New Roman" w:hAnsi="Times New Roman" w:cs="Times New Roman"/>
          <w:sz w:val="24"/>
        </w:rPr>
        <w:t>OMD </w:t>
      </w:r>
      <w:r w:rsidRPr="00362B0F">
        <w:rPr>
          <w:rFonts w:ascii="Times New Roman" w:hAnsi="Times New Roman" w:cs="Times New Roman"/>
          <w:sz w:val="24"/>
        </w:rPr>
        <w:t>(%)</w:t>
      </w:r>
      <w:r>
        <w:rPr>
          <w:rFonts w:ascii="Times New Roman" w:hAnsi="Times New Roman" w:cs="Times New Roman"/>
          <w:sz w:val="24"/>
        </w:rPr>
        <w:t> = 14.88 + </w:t>
      </w:r>
      <w:r w:rsidRPr="00362B0F">
        <w:rPr>
          <w:rFonts w:ascii="Times New Roman" w:hAnsi="Times New Roman" w:cs="Times New Roman"/>
          <w:sz w:val="24"/>
        </w:rPr>
        <w:t>0.889</w:t>
      </w:r>
      <w:r>
        <w:rPr>
          <w:rFonts w:ascii="Times New Roman" w:hAnsi="Times New Roman" w:cs="Times New Roman"/>
          <w:sz w:val="24"/>
        </w:rPr>
        <w:t>G24 + </w:t>
      </w:r>
      <w:r w:rsidRPr="00362B0F">
        <w:rPr>
          <w:rFonts w:ascii="Times New Roman" w:hAnsi="Times New Roman" w:cs="Times New Roman"/>
          <w:sz w:val="24"/>
        </w:rPr>
        <w:t>0.45CP</w:t>
      </w:r>
      <w:r w:rsidRPr="00362B0F">
        <w:rPr>
          <w:rFonts w:ascii="Times New Roman" w:hAnsi="Times New Roman" w:cs="Times New Roman"/>
          <w:sz w:val="24"/>
        </w:rPr>
        <w:br/>
      </w:r>
      <w:r>
        <w:rPr>
          <w:rFonts w:ascii="Times New Roman" w:hAnsi="Times New Roman" w:cs="Times New Roman"/>
          <w:sz w:val="24"/>
        </w:rPr>
        <w:t>ME (kJ/g</w:t>
      </w:r>
      <w:r w:rsidRPr="00362B0F">
        <w:rPr>
          <w:rFonts w:ascii="Times New Roman" w:hAnsi="Times New Roman" w:cs="Times New Roman"/>
          <w:sz w:val="24"/>
        </w:rPr>
        <w:t>DM)</w:t>
      </w:r>
      <w:r>
        <w:rPr>
          <w:rFonts w:ascii="Times New Roman" w:hAnsi="Times New Roman" w:cs="Times New Roman"/>
          <w:sz w:val="24"/>
        </w:rPr>
        <w:t> = 2.2+ 0.136G24 + </w:t>
      </w:r>
      <w:r w:rsidRPr="00362B0F">
        <w:rPr>
          <w:rFonts w:ascii="Times New Roman" w:hAnsi="Times New Roman" w:cs="Times New Roman"/>
          <w:sz w:val="24"/>
        </w:rPr>
        <w:t>0.057CP</w:t>
      </w:r>
      <w:r w:rsidRPr="00362B0F">
        <w:rPr>
          <w:rFonts w:ascii="Times New Roman" w:hAnsi="Times New Roman" w:cs="Times New Roman"/>
          <w:sz w:val="24"/>
        </w:rPr>
        <w:br/>
        <w:t>SCFA (mmol) = 0.0239G24 − 0.0601</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Methane was measured by adding 4 ml of 10 M NaOH post-incubation to absorb CO₂; re</w:t>
      </w:r>
      <w:r w:rsidR="00134A68">
        <w:rPr>
          <w:rFonts w:ascii="Times New Roman" w:hAnsi="Times New Roman" w:cs="Times New Roman"/>
          <w:sz w:val="24"/>
        </w:rPr>
        <w:t xml:space="preserve">sidual gas was recorded as CH₄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&lt;EndNote&gt;&lt;Cite&gt;&lt;Author&gt;Fievez&lt;/Author&gt;&lt;Year&gt;2005&lt;/Year&gt;&lt;RecNum&gt;71&lt;/RecNum&gt;&lt;DisplayText&gt;(Fievez&lt;style face="italic"&gt; et al.&lt;/style&gt;, 2005)&lt;/DisplayText&gt;&lt;record&gt;&lt;rec-number&gt;71&lt;/rec-number&gt;&lt;foreign-keys&gt;&lt;key app="EN" db-id="5ee0etwro2xdtheaap2xr5f6dpxvrsx2v0t5"&gt;71&lt;/key&gt;&lt;/foreign-keys&gt;&lt;ref-type name="Journal Article"&gt;17&lt;/ref-type&gt;&lt;contributors&gt;&lt;authors&gt;&lt;author&gt;Fievez, Veerle&lt;/author&gt;&lt;author&gt;Babayemi, OJ&lt;/author&gt;&lt;author&gt;Demeyer, Daniel&lt;/author&gt;&lt;/authors&gt;&lt;/contributors&gt;&lt;titles&gt;&lt;title&gt;Estimation of direct and indirect gas production in syringes: A tool to estimate short chain fatty acid production that requires minimal laboratory facilities&lt;/title&gt;&lt;secondary-title&gt;Animal feed science and technology&lt;/secondary-title&gt;&lt;/titles&gt;&lt;periodical&gt;&lt;full-title&gt;Animal feed science and technology&lt;/full-title&gt;&lt;/periodical&gt;&lt;pages&gt;197-210&lt;/pages&gt;&lt;volume&gt;123&lt;/volume&gt;&lt;dates&gt;&lt;year&gt;2005&lt;/year&gt;&lt;/dates&gt;&lt;isbn&gt;0377-8401&lt;/isbn&gt;&lt;urls&gt;&lt;/urls&gt;&lt;/record&gt;&lt;/Cite&gt;&lt;/EndNote&gt;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23" w:tooltip="Fievez, 2005 #71" w:history="1">
        <w:r w:rsidR="00BC4E2E">
          <w:rPr>
            <w:rFonts w:ascii="Times New Roman" w:hAnsi="Times New Roman" w:cs="Times New Roman"/>
            <w:noProof/>
            <w:sz w:val="24"/>
          </w:rPr>
          <w:t>Fievez</w:t>
        </w:r>
        <w:r w:rsidR="00BC4E2E" w:rsidRPr="00134A68">
          <w:rPr>
            <w:rFonts w:ascii="Times New Roman" w:hAnsi="Times New Roman" w:cs="Times New Roman"/>
            <w:i/>
            <w:noProof/>
            <w:sz w:val="24"/>
          </w:rPr>
          <w:t xml:space="preserve"> et al.</w:t>
        </w:r>
        <w:r w:rsidR="00BC4E2E">
          <w:rPr>
            <w:rFonts w:ascii="Times New Roman" w:hAnsi="Times New Roman" w:cs="Times New Roman"/>
            <w:noProof/>
            <w:sz w:val="24"/>
          </w:rPr>
          <w:t>, 2005</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00134A68">
        <w:rPr>
          <w:rFonts w:ascii="Times New Roman" w:hAnsi="Times New Roman" w:cs="Times New Roman"/>
          <w:sz w:val="24"/>
        </w:rPr>
        <w:t>.</w:t>
      </w:r>
    </w:p>
    <w:p w:rsidR="00362B0F" w:rsidRPr="00A20EE4" w:rsidRDefault="00362B0F" w:rsidP="00362B0F">
      <w:pPr>
        <w:spacing w:line="360" w:lineRule="auto"/>
        <w:jc w:val="both"/>
        <w:rPr>
          <w:rFonts w:ascii="Times New Roman" w:hAnsi="Times New Roman" w:cs="Times New Roman"/>
          <w:b/>
          <w:sz w:val="24"/>
        </w:rPr>
      </w:pPr>
      <w:r w:rsidRPr="00A20EE4">
        <w:rPr>
          <w:rFonts w:ascii="Times New Roman" w:hAnsi="Times New Roman" w:cs="Times New Roman"/>
          <w:b/>
          <w:sz w:val="24"/>
        </w:rPr>
        <w:t>Soil Sampling and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Pre-planting soil samples were collected at </w:t>
      </w:r>
      <w:r w:rsidR="0051336C">
        <w:rPr>
          <w:rFonts w:ascii="Times New Roman" w:hAnsi="Times New Roman" w:cs="Times New Roman"/>
          <w:sz w:val="24"/>
        </w:rPr>
        <w:t>(</w:t>
      </w:r>
      <w:r w:rsidRPr="00362B0F">
        <w:rPr>
          <w:rFonts w:ascii="Times New Roman" w:hAnsi="Times New Roman" w:cs="Times New Roman"/>
          <w:sz w:val="24"/>
        </w:rPr>
        <w:t>0–20</w:t>
      </w:r>
      <w:r w:rsidR="0051336C">
        <w:rPr>
          <w:rFonts w:ascii="Times New Roman" w:hAnsi="Times New Roman" w:cs="Times New Roman"/>
          <w:sz w:val="24"/>
        </w:rPr>
        <w:t>)</w:t>
      </w:r>
      <w:r w:rsidR="00134A68">
        <w:rPr>
          <w:rFonts w:ascii="Times New Roman" w:hAnsi="Times New Roman" w:cs="Times New Roman"/>
          <w:sz w:val="24"/>
        </w:rPr>
        <w:t xml:space="preserve"> cm depth in a zigzag pattern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&lt;EndNote&gt;&lt;Cite&gt;&lt;Author&gt;Estefan&lt;/Author&gt;&lt;Year&gt;2013&lt;/Year&gt;&lt;RecNum&gt;72&lt;/RecNum&gt;&lt;DisplayText&gt;(Estefan&lt;style face="italic"&gt; et al.&lt;/style&gt;, 2013)&lt;/DisplayText&gt;&lt;record&gt;&lt;rec-number&gt;72&lt;/rec-number&gt;&lt;foreign-keys&gt;&lt;key app="EN" db-id="5ee0etwro2xdtheaap2xr5f6dpxvrsx2v0t5"&gt;72&lt;/key&gt;&lt;/foreign-keys&gt;&lt;ref-type name="Journal Article"&gt;17&lt;/ref-type&gt;&lt;contributors&gt;&lt;authors&gt;&lt;author&gt;Estefan, George&lt;/author&gt;&lt;author&gt;Sommer, Rolf&lt;/author&gt;&lt;author&gt;Ryan, John&lt;/author&gt;&lt;/authors&gt;&lt;/contributors&gt;&lt;titles&gt;&lt;title&gt;Methods of soil, plant, and water analysis: a manual for the West Asia and North Africa region&lt;/title&gt;&lt;/titles&gt;&lt;dates&gt;&lt;year&gt;2013&lt;/year&gt;&lt;/dates&gt;&lt;urls&gt;&lt;/urls&gt;&lt;/record&gt;&lt;/Cite&gt;&lt;/EndNote&gt;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19" w:tooltip="Estefan, 2013 #72" w:history="1">
        <w:r w:rsidR="00BC4E2E">
          <w:rPr>
            <w:rFonts w:ascii="Times New Roman" w:hAnsi="Times New Roman" w:cs="Times New Roman"/>
            <w:noProof/>
            <w:sz w:val="24"/>
          </w:rPr>
          <w:t>Estefan</w:t>
        </w:r>
        <w:r w:rsidR="00BC4E2E" w:rsidRPr="00134A68">
          <w:rPr>
            <w:rFonts w:ascii="Times New Roman" w:hAnsi="Times New Roman" w:cs="Times New Roman"/>
            <w:i/>
            <w:noProof/>
            <w:sz w:val="24"/>
          </w:rPr>
          <w:t xml:space="preserve"> et al.</w:t>
        </w:r>
        <w:r w:rsidR="00BC4E2E">
          <w:rPr>
            <w:rFonts w:ascii="Times New Roman" w:hAnsi="Times New Roman" w:cs="Times New Roman"/>
            <w:noProof/>
            <w:sz w:val="24"/>
          </w:rPr>
          <w:t>, 2013</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00134A68">
        <w:rPr>
          <w:rFonts w:ascii="Times New Roman" w:hAnsi="Times New Roman" w:cs="Times New Roman"/>
          <w:sz w:val="24"/>
        </w:rPr>
        <w:t xml:space="preserve">. </w:t>
      </w:r>
      <w:r w:rsidRPr="00362B0F">
        <w:rPr>
          <w:rFonts w:ascii="Times New Roman" w:hAnsi="Times New Roman" w:cs="Times New Roman"/>
          <w:sz w:val="24"/>
        </w:rPr>
        <w:t xml:space="preserve">Post-harvest samples were taken from each plot at </w:t>
      </w:r>
      <w:r w:rsidR="0051336C">
        <w:rPr>
          <w:rFonts w:ascii="Times New Roman" w:hAnsi="Times New Roman" w:cs="Times New Roman"/>
          <w:sz w:val="24"/>
        </w:rPr>
        <w:t>(</w:t>
      </w:r>
      <w:r w:rsidRPr="00362B0F">
        <w:rPr>
          <w:rFonts w:ascii="Times New Roman" w:hAnsi="Times New Roman" w:cs="Times New Roman"/>
          <w:sz w:val="24"/>
        </w:rPr>
        <w:t>0–20</w:t>
      </w:r>
      <w:r w:rsidR="0051336C">
        <w:rPr>
          <w:rFonts w:ascii="Times New Roman" w:hAnsi="Times New Roman" w:cs="Times New Roman"/>
          <w:sz w:val="24"/>
        </w:rPr>
        <w:t>)</w:t>
      </w:r>
      <w:r w:rsidRPr="00362B0F">
        <w:rPr>
          <w:rFonts w:ascii="Times New Roman" w:hAnsi="Times New Roman" w:cs="Times New Roman"/>
          <w:sz w:val="24"/>
        </w:rPr>
        <w:t xml:space="preserve"> cm. Composite samples (1 kg) were air-dried, ground, and sieved (2 mm for pH, OC, total N, available P, CEC; 0.5 mm for finer analyses). Soil pH was measured at 1:2.5</w:t>
      </w:r>
      <w:r w:rsidR="00134A68">
        <w:rPr>
          <w:rFonts w:ascii="Times New Roman" w:hAnsi="Times New Roman" w:cs="Times New Roman"/>
          <w:sz w:val="24"/>
        </w:rPr>
        <w:t xml:space="preserve"> </w:t>
      </w:r>
      <w:r w:rsidR="007457BE">
        <w:rPr>
          <w:rFonts w:ascii="Times New Roman" w:hAnsi="Times New Roman" w:cs="Times New Roman"/>
          <w:sz w:val="24"/>
        </w:rPr>
        <w:t>soil: water</w:t>
      </w:r>
      <w:r w:rsidR="00134A68">
        <w:rPr>
          <w:rFonts w:ascii="Times New Roman" w:hAnsi="Times New Roman" w:cs="Times New Roman"/>
          <w:sz w:val="24"/>
        </w:rPr>
        <w:t xml:space="preserve"> ratio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&lt;EndNote&gt;&lt;Cite&gt;&lt;Author&gt;Thomas&lt;/Author&gt;&lt;Year&gt;1996&lt;/Year&gt;&lt;RecNum&gt;73&lt;/RecNum&gt;&lt;DisplayText&gt;(Thomas, 1996)&lt;/DisplayText&gt;&lt;record&gt;&lt;rec-number&gt;73&lt;/rec-number&gt;&lt;foreign-keys&gt;&lt;key app="EN" db-id="5ee0etwro2xdtheaap2xr5f6dpxvrsx2v0t5"&gt;73&lt;/key&gt;&lt;/foreign-keys&gt;&lt;ref-type name="Journal Article"&gt;17&lt;/ref-type&gt;&lt;contributors&gt;&lt;authors&gt;&lt;author&gt;Thomas, Grant W&lt;/author&gt;&lt;/authors&gt;&lt;/contributors&gt;&lt;titles&gt;&lt;title&gt;Soil pH and soil acidity&lt;/title&gt;&lt;secondary-title&gt;Methods of soil analysis: part 3 chemical methods&lt;/secondary-title&gt;&lt;/titles&gt;&lt;periodical&gt;&lt;full-title&gt;Methods of soil analysis: part 3 chemical methods&lt;/full-title&gt;&lt;/periodical&gt;&lt;pages&gt;475-490&lt;/pages&gt;&lt;volume&gt;5&lt;/volume&gt;&lt;dates&gt;&lt;year&gt;1996&lt;/year&gt;&lt;/dates&gt;&lt;urls&gt;&lt;/urls&gt;&lt;/record&gt;&lt;/Cite&gt;&lt;/EndNote&gt;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66" w:tooltip="Thomas, 1996 #73" w:history="1">
        <w:r w:rsidR="00BC4E2E">
          <w:rPr>
            <w:rFonts w:ascii="Times New Roman" w:hAnsi="Times New Roman" w:cs="Times New Roman"/>
            <w:noProof/>
            <w:sz w:val="24"/>
          </w:rPr>
          <w:t>Thomas, 1996</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tot</w:t>
      </w:r>
      <w:r w:rsidR="00134A68">
        <w:rPr>
          <w:rFonts w:ascii="Times New Roman" w:hAnsi="Times New Roman" w:cs="Times New Roman"/>
          <w:sz w:val="24"/>
        </w:rPr>
        <w:t xml:space="preserve">al N by Kjeldahl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&lt;EndNote&gt;&lt;Cite&gt;&lt;Author&gt;Jackson&lt;/Author&gt;&lt;Year&gt;1958&lt;/Year&gt;&lt;RecNum&gt;74&lt;/RecNum&gt;&lt;DisplayText&gt;(Jackson, 1958)&lt;/DisplayText&gt;&lt;record&gt;&lt;rec-number&gt;74&lt;/rec-number&gt;&lt;foreign-keys&gt;&lt;key app="EN" db-id="5ee0etwro2xdtheaap2xr5f6dpxvrsx2v0t5"&gt;74&lt;/key&gt;&lt;/foreign-keys&gt;&lt;ref-type name="Journal Article"&gt;17&lt;/ref-type&gt;&lt;contributors&gt;&lt;authors&gt;&lt;author&gt;Jackson, ML&lt;/author&gt;&lt;/authors&gt;&lt;/contributors&gt;&lt;titles&gt;&lt;title&gt;Soil Chemıcal Analysıs prentice Hall, ınc&lt;/title&gt;&lt;secondary-title&gt;New Jersey, USA&lt;/secondary-title&gt;&lt;/titles&gt;&lt;periodical&gt;&lt;full-title&gt;New Jersey, USA&lt;/full-title&gt;&lt;/periodical&gt;&lt;dates&gt;&lt;year&gt;1958&lt;/year&gt;&lt;/dates&gt;&lt;urls&gt;&lt;/urls&gt;&lt;/record&gt;&lt;/Cite&gt;&lt;/EndNote&gt;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31" w:tooltip="Jackson, 1958 #74" w:history="1">
        <w:r w:rsidR="00BC4E2E">
          <w:rPr>
            <w:rFonts w:ascii="Times New Roman" w:hAnsi="Times New Roman" w:cs="Times New Roman"/>
            <w:noProof/>
            <w:sz w:val="24"/>
          </w:rPr>
          <w:t>Jackson, 1958</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available P by Olsen bicarbonate extraction</w:t>
      </w:r>
      <w:r w:rsidR="00134A68">
        <w:rPr>
          <w:rFonts w:ascii="Times New Roman" w:hAnsi="Times New Roman" w:cs="Times New Roman"/>
          <w:sz w:val="24"/>
        </w:rPr>
        <w:t xml:space="preserve">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&lt;EndNote&gt;&lt;Cite&gt;&lt;Author&gt;Olsen&lt;/Author&gt;&lt;Year&gt;1954&lt;/Year&gt;&lt;RecNum&gt;75&lt;/RecNum&gt;&lt;DisplayText&gt;(Olsen, 1954)&lt;/DisplayText&gt;&lt;record&gt;&lt;rec-number&gt;75&lt;/rec-number&gt;&lt;foreign-keys&gt;&lt;key app="EN" db-id="5ee0etwro2xdtheaap2xr5f6dpxvrsx2v0t5"&gt;75&lt;/key&gt;&lt;/foreign-keys&gt;&lt;ref-type name="Book"&gt;6&lt;/ref-type&gt;&lt;contributors&gt;&lt;authors&gt;&lt;author&gt;Olsen, Sterling Robertson&lt;/author&gt;&lt;/authors&gt;&lt;/contributors&gt;&lt;titles&gt;&lt;title&gt;Estimation of available phosphorus in soils by extraction with sodium bicarbonate&lt;/title&gt;&lt;/titles&gt;&lt;number&gt;939&lt;/number&gt;&lt;dates&gt;&lt;year&gt;1954&lt;/year&gt;&lt;/dates&gt;&lt;publisher&gt;US Department of Agriculture&lt;/publisher&gt;&lt;urls&gt;&lt;/urls&gt;&lt;/record&gt;&lt;/Cite&gt;&lt;/EndNote&gt;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56" w:tooltip="Olsen, 1954 #75" w:history="1">
        <w:r w:rsidR="00BC4E2E">
          <w:rPr>
            <w:rFonts w:ascii="Times New Roman" w:hAnsi="Times New Roman" w:cs="Times New Roman"/>
            <w:noProof/>
            <w:sz w:val="24"/>
          </w:rPr>
          <w:t>Olsen, 1954</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xml:space="preserve">; organic carbon (OC) </w:t>
      </w:r>
      <w:r w:rsidR="00134A68">
        <w:rPr>
          <w:rFonts w:ascii="Times New Roman" w:hAnsi="Times New Roman" w:cs="Times New Roman"/>
          <w:sz w:val="24"/>
        </w:rPr>
        <w:t xml:space="preserve">by Walkley-Black wet digestion </w:t>
      </w:r>
      <w:r w:rsidR="000D6068">
        <w:rPr>
          <w:rFonts w:ascii="Times New Roman" w:hAnsi="Times New Roman" w:cs="Times New Roman"/>
          <w:sz w:val="24"/>
        </w:rPr>
        <w:fldChar w:fldCharType="begin"/>
      </w:r>
      <w:r w:rsidR="0065630D">
        <w:rPr>
          <w:rFonts w:ascii="Times New Roman" w:hAnsi="Times New Roman" w:cs="Times New Roman"/>
          <w:sz w:val="24"/>
        </w:rPr>
        <w:instrText xml:space="preserve"> ADDIN EN.CITE &lt;EndNote&gt;&lt;Cite&gt;&lt;Author&gt;Walkley&lt;/Author&gt;&lt;Year&gt;1934&lt;/Year&gt;&lt;RecNum&gt;76&lt;/RecNum&gt;&lt;DisplayText&gt;(Walkley &amp;amp; Black, 1934)&lt;/DisplayText&gt;&lt;record&gt;&lt;rec-number&gt;76&lt;/rec-number&gt;&lt;foreign-keys&gt;&lt;key app="EN" db-id="5ee0etwro2xdtheaap2xr5f6dpxvrsx2v0t5"&gt;76&lt;/key&gt;&lt;/foreign-keys&gt;&lt;ref-type name="Journal Article"&gt;17&lt;/ref-type&gt;&lt;contributors&gt;&lt;authors&gt;&lt;author&gt;Walkley, Aldous&lt;/author&gt;&lt;author&gt;Black, I Armstrong&lt;/author&gt;&lt;/authors&gt;&lt;/contributors&gt;&lt;titles&gt;&lt;title&gt;An examination of the Degtjareff method for determining soil organic matter, and a proposed modification of the chromic acid titration method&lt;/title&gt;&lt;secondary-title&gt;Soil science&lt;/secondary-title&gt;&lt;/titles&gt;&lt;periodical&gt;&lt;full-title&gt;Soil science&lt;/full-title&gt;&lt;/periodical&gt;&lt;pages&gt;29-38&lt;/pages&gt;&lt;volume&gt;37&lt;/volume&gt;&lt;number&gt;1&lt;/number&gt;&lt;dates&gt;&lt;year&gt;1934&lt;/year&gt;&lt;/dates&gt;&lt;isbn&gt;0038-075X&lt;/isbn&gt;&lt;urls&gt;&lt;/urls&gt;&lt;/record&gt;&lt;/Cite&gt;&lt;/EndNote&gt;</w:instrText>
      </w:r>
      <w:r w:rsidR="000D6068">
        <w:rPr>
          <w:rFonts w:ascii="Times New Roman" w:hAnsi="Times New Roman" w:cs="Times New Roman"/>
          <w:sz w:val="24"/>
        </w:rPr>
        <w:fldChar w:fldCharType="separate"/>
      </w:r>
      <w:r w:rsidR="0065630D">
        <w:rPr>
          <w:rFonts w:ascii="Times New Roman" w:hAnsi="Times New Roman" w:cs="Times New Roman"/>
          <w:noProof/>
          <w:sz w:val="24"/>
        </w:rPr>
        <w:t>(</w:t>
      </w:r>
      <w:hyperlink w:anchor="_ENREF_70" w:tooltip="Walkley, 1934 #76" w:history="1">
        <w:r w:rsidR="00BC4E2E">
          <w:rPr>
            <w:rFonts w:ascii="Times New Roman" w:hAnsi="Times New Roman" w:cs="Times New Roman"/>
            <w:noProof/>
            <w:sz w:val="24"/>
          </w:rPr>
          <w:t>Walkley &amp; Black, 1934</w:t>
        </w:r>
      </w:hyperlink>
      <w:r w:rsidR="0065630D">
        <w:rPr>
          <w:rFonts w:ascii="Times New Roman" w:hAnsi="Times New Roman" w:cs="Times New Roman"/>
          <w:noProof/>
          <w:sz w:val="24"/>
        </w:rPr>
        <w:t>)</w:t>
      </w:r>
      <w:r w:rsidR="000D6068">
        <w:rPr>
          <w:rFonts w:ascii="Times New Roman" w:hAnsi="Times New Roman" w:cs="Times New Roman"/>
          <w:sz w:val="24"/>
        </w:rPr>
        <w:fldChar w:fldCharType="end"/>
      </w:r>
      <w:r w:rsidR="0065630D">
        <w:rPr>
          <w:rFonts w:ascii="Times New Roman" w:hAnsi="Times New Roman" w:cs="Times New Roman"/>
          <w:sz w:val="24"/>
        </w:rPr>
        <w:t xml:space="preserve"> </w:t>
      </w:r>
      <w:r w:rsidRPr="00362B0F">
        <w:rPr>
          <w:rFonts w:ascii="Times New Roman" w:hAnsi="Times New Roman" w:cs="Times New Roman"/>
          <w:sz w:val="24"/>
        </w:rPr>
        <w:t xml:space="preserve">with OM = OC × 1.724; </w:t>
      </w:r>
      <w:r w:rsidR="0065630D">
        <w:rPr>
          <w:rFonts w:ascii="Times New Roman" w:hAnsi="Times New Roman" w:cs="Times New Roman"/>
          <w:sz w:val="24"/>
        </w:rPr>
        <w:t xml:space="preserve">CEC by ammonium acetate method </w:t>
      </w:r>
      <w:r w:rsidR="000D6068">
        <w:rPr>
          <w:rFonts w:ascii="Times New Roman" w:hAnsi="Times New Roman" w:cs="Times New Roman"/>
          <w:sz w:val="24"/>
        </w:rPr>
        <w:fldChar w:fldCharType="begin"/>
      </w:r>
      <w:r w:rsidR="0065630D">
        <w:rPr>
          <w:rFonts w:ascii="Times New Roman" w:hAnsi="Times New Roman" w:cs="Times New Roman"/>
          <w:sz w:val="24"/>
        </w:rPr>
        <w:instrText xml:space="preserve"> ADDIN EN.CITE &lt;EndNote&gt;&lt;Cite&gt;&lt;Author&gt;Chapman&lt;/Author&gt;&lt;Year&gt;1965&lt;/Year&gt;&lt;RecNum&gt;77&lt;/RecNum&gt;&lt;DisplayText&gt;(Chapman, 1965)&lt;/DisplayText&gt;&lt;record&gt;&lt;rec-number&gt;77&lt;/rec-number&gt;&lt;foreign-keys&gt;&lt;key app="EN" db-id="5ee0etwro2xdtheaap2xr5f6dpxvrsx2v0t5"&gt;77&lt;/key&gt;&lt;/foreign-keys&gt;&lt;ref-type name="Journal Article"&gt;17&lt;/ref-type&gt;&lt;contributors&gt;&lt;authors&gt;&lt;author&gt;Chapman, HD&lt;/author&gt;&lt;/authors&gt;&lt;/contributors&gt;&lt;titles&gt;&lt;title&gt;Cation‐exchange capacity&lt;/title&gt;&lt;secondary-title&gt;Methods of soil analysis: Part 2 Chemical and microbiological properties&lt;/secondary-title&gt;&lt;/titles&gt;&lt;periodical&gt;&lt;full-title&gt;Methods of soil analysis: Part 2 Chemical and microbiological properties&lt;/full-title&gt;&lt;/periodical&gt;&lt;pages&gt;891-901&lt;/pages&gt;&lt;volume&gt;9&lt;/volume&gt;&lt;dates&gt;&lt;year&gt;1965&lt;/year&gt;&lt;/dates&gt;&lt;urls&gt;&lt;/urls&gt;&lt;/record&gt;&lt;/Cite&gt;&lt;/EndNote&gt;</w:instrText>
      </w:r>
      <w:r w:rsidR="000D6068">
        <w:rPr>
          <w:rFonts w:ascii="Times New Roman" w:hAnsi="Times New Roman" w:cs="Times New Roman"/>
          <w:sz w:val="24"/>
        </w:rPr>
        <w:fldChar w:fldCharType="separate"/>
      </w:r>
      <w:r w:rsidR="0065630D">
        <w:rPr>
          <w:rFonts w:ascii="Times New Roman" w:hAnsi="Times New Roman" w:cs="Times New Roman"/>
          <w:noProof/>
          <w:sz w:val="24"/>
        </w:rPr>
        <w:t>(</w:t>
      </w:r>
      <w:hyperlink w:anchor="_ENREF_13" w:tooltip="Chapman, 1965 #77" w:history="1">
        <w:r w:rsidR="00BC4E2E">
          <w:rPr>
            <w:rFonts w:ascii="Times New Roman" w:hAnsi="Times New Roman" w:cs="Times New Roman"/>
            <w:noProof/>
            <w:sz w:val="24"/>
          </w:rPr>
          <w:t>Chapman, 1965</w:t>
        </w:r>
      </w:hyperlink>
      <w:r w:rsidR="0065630D">
        <w:rPr>
          <w:rFonts w:ascii="Times New Roman" w:hAnsi="Times New Roman" w:cs="Times New Roman"/>
          <w:noProof/>
          <w:sz w:val="24"/>
        </w:rPr>
        <w:t>)</w:t>
      </w:r>
      <w:r w:rsidR="000D6068">
        <w:rPr>
          <w:rFonts w:ascii="Times New Roman" w:hAnsi="Times New Roman" w:cs="Times New Roman"/>
          <w:sz w:val="24"/>
        </w:rPr>
        <w:fldChar w:fldCharType="end"/>
      </w:r>
      <w:r w:rsidR="0065630D">
        <w:rPr>
          <w:rFonts w:ascii="Times New Roman" w:hAnsi="Times New Roman" w:cs="Times New Roman"/>
          <w:sz w:val="24"/>
        </w:rPr>
        <w:t>.</w:t>
      </w:r>
    </w:p>
    <w:p w:rsidR="00362B0F" w:rsidRPr="00362B0F" w:rsidRDefault="00362B0F" w:rsidP="00362B0F">
      <w:pPr>
        <w:spacing w:line="360" w:lineRule="auto"/>
        <w:jc w:val="both"/>
        <w:rPr>
          <w:rFonts w:ascii="Times New Roman" w:hAnsi="Times New Roman" w:cs="Times New Roman"/>
          <w:b/>
          <w:sz w:val="24"/>
        </w:rPr>
      </w:pPr>
      <w:r w:rsidRPr="00362B0F">
        <w:rPr>
          <w:rFonts w:ascii="Times New Roman" w:hAnsi="Times New Roman" w:cs="Times New Roman"/>
          <w:b/>
          <w:sz w:val="24"/>
        </w:rPr>
        <w:t>Data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Data were analyzed using GLM procedure in R (version 4.4.0, 2024). Treatment means were compared using LSD at P &lt; 0.05. The model was: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Yijk = μ + ai + bj + (ab)ij + εijk</w:t>
      </w:r>
    </w:p>
    <w:p w:rsidR="00362B0F" w:rsidRPr="00362B0F" w:rsidRDefault="00A20EE4"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r>
        <w:rPr>
          <w:rFonts w:ascii="Times New Roman" w:hAnsi="Times New Roman" w:cs="Times New Roman"/>
          <w:sz w:val="24"/>
        </w:rPr>
        <w:t xml:space="preserve">, </w:t>
      </w:r>
      <w:r w:rsidR="00362B0F" w:rsidRPr="00362B0F">
        <w:rPr>
          <w:rFonts w:ascii="Times New Roman" w:hAnsi="Times New Roman" w:cs="Times New Roman"/>
          <w:sz w:val="24"/>
        </w:rPr>
        <w:t> Yijk = response variable; μ = overall mean; ai = effect of intercrop variety; bj = effect of row arrangement; (ab)ij = interaction; εijk = random error.</w:t>
      </w:r>
    </w:p>
    <w:p w:rsidR="00362B0F" w:rsidRPr="00362B0F" w:rsidRDefault="00362B0F" w:rsidP="00362B0F">
      <w:pPr>
        <w:spacing w:line="360" w:lineRule="auto"/>
        <w:jc w:val="both"/>
        <w:rPr>
          <w:rFonts w:ascii="Times New Roman" w:hAnsi="Times New Roman" w:cs="Times New Roman"/>
          <w:sz w:val="24"/>
          <w:szCs w:val="24"/>
        </w:rPr>
      </w:pPr>
    </w:p>
    <w:p w:rsidR="00362B0F" w:rsidRPr="00362B0F" w:rsidRDefault="00362B0F" w:rsidP="00362B0F"/>
    <w:p w:rsidR="005F12CA" w:rsidRDefault="00C1606E" w:rsidP="00C1606E">
      <w:pPr>
        <w:pStyle w:val="Heading1"/>
        <w:rPr>
          <w:rFonts w:ascii="Times New Roman" w:hAnsi="Times New Roman" w:cs="Times New Roman"/>
          <w:color w:val="auto"/>
          <w:shd w:val="clear" w:color="auto" w:fill="FFFFFF"/>
        </w:rPr>
      </w:pPr>
      <w:bookmarkStart w:id="15" w:name="_Toc184070820"/>
      <w:r>
        <w:rPr>
          <w:rFonts w:ascii="Times New Roman" w:hAnsi="Times New Roman" w:cs="Times New Roman"/>
          <w:color w:val="auto"/>
          <w:shd w:val="clear" w:color="auto" w:fill="FFFFFF"/>
        </w:rPr>
        <w:t xml:space="preserve">       </w:t>
      </w:r>
    </w:p>
    <w:p w:rsidR="005F12CA" w:rsidRPr="005F12CA" w:rsidRDefault="005F12CA" w:rsidP="005F12CA"/>
    <w:p w:rsidR="00095C06" w:rsidRPr="00A97D88" w:rsidRDefault="00095C06" w:rsidP="00D075DA">
      <w:pPr>
        <w:pStyle w:val="Heading1"/>
        <w:spacing w:line="360" w:lineRule="auto"/>
        <w:rPr>
          <w:rFonts w:ascii="Times New Roman" w:hAnsi="Times New Roman" w:cs="Times New Roman"/>
          <w:color w:val="auto"/>
          <w:shd w:val="clear" w:color="auto" w:fill="FFFFFF"/>
        </w:rPr>
      </w:pPr>
      <w:r w:rsidRPr="00A97D88">
        <w:rPr>
          <w:rFonts w:ascii="Times New Roman" w:hAnsi="Times New Roman" w:cs="Times New Roman"/>
          <w:color w:val="auto"/>
          <w:shd w:val="clear" w:color="auto" w:fill="FFFFFF"/>
        </w:rPr>
        <w:t>RESULTS AND DISCUSSIONS</w:t>
      </w:r>
      <w:bookmarkEnd w:id="15"/>
    </w:p>
    <w:p w:rsidR="003B49E1" w:rsidRPr="003B49E1" w:rsidRDefault="003B49E1" w:rsidP="00D075DA">
      <w:pPr>
        <w:spacing w:line="360" w:lineRule="auto"/>
        <w:jc w:val="both"/>
        <w:rPr>
          <w:rFonts w:ascii="Times New Roman" w:hAnsi="Times New Roman" w:cs="Times New Roman"/>
          <w:b/>
          <w:sz w:val="24"/>
        </w:rPr>
      </w:pPr>
      <w:bookmarkStart w:id="16" w:name="_Toc184070822"/>
      <w:r w:rsidRPr="003B49E1">
        <w:rPr>
          <w:rFonts w:ascii="Times New Roman" w:hAnsi="Times New Roman" w:cs="Times New Roman"/>
          <w:b/>
          <w:sz w:val="24"/>
        </w:rPr>
        <w:t>Soil Physicochemical Properties</w:t>
      </w:r>
      <w:r w:rsidR="0051336C">
        <w:rPr>
          <w:rFonts w:ascii="Times New Roman" w:hAnsi="Times New Roman" w:cs="Times New Roman"/>
          <w:b/>
          <w:sz w:val="24"/>
        </w:rPr>
        <w:t xml:space="preserve"> in the study area</w:t>
      </w:r>
    </w:p>
    <w:p w:rsidR="0051336C" w:rsidRDefault="003B49E1" w:rsidP="003B49E1">
      <w:pPr>
        <w:spacing w:line="360" w:lineRule="auto"/>
        <w:jc w:val="both"/>
        <w:rPr>
          <w:rFonts w:ascii="Times New Roman" w:hAnsi="Times New Roman" w:cs="Times New Roman"/>
          <w:sz w:val="24"/>
        </w:rPr>
      </w:pPr>
      <w:r w:rsidRPr="003B49E1">
        <w:rPr>
          <w:rFonts w:ascii="Times New Roman" w:hAnsi="Times New Roman" w:cs="Times New Roman"/>
          <w:sz w:val="24"/>
        </w:rPr>
        <w:t>Pre-planting soil analysis results are presented in Table 3. Soil pH was 4.98, indicating strongly acidic conditions below the optimal range of 6.0–7.5 for most crops</w:t>
      </w:r>
      <w:r w:rsidR="00ED2227">
        <w:rPr>
          <w:rFonts w:ascii="Times New Roman" w:hAnsi="Times New Roman" w:cs="Times New Roman"/>
          <w:sz w:val="24"/>
        </w:rPr>
        <w:t xml:space="preserve">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&lt;EndNote&gt;&lt;Cite&gt;&lt;Author&gt;Hazelton&lt;/Author&gt;&lt;Year&gt;2025&lt;/Year&gt;&lt;RecNum&gt;78&lt;/RecNum&gt;&lt;DisplayText&gt;(Hazelton &amp;amp; Murphy, 2025)&lt;/DisplayText&gt;&lt;record&gt;&lt;rec-number&gt;78&lt;/rec-number&gt;&lt;foreign-keys&gt;&lt;key app="EN" db-id="5ee0etwro2xdtheaap2xr5f6dpxvrsx2v0t5"&gt;78&lt;/key&gt;&lt;/foreign-keys&gt;&lt;ref-type name="Book"&gt;6&lt;/ref-type&gt;&lt;contributors&gt;&lt;authors&gt;&lt;author&gt;Hazelton, Pam&lt;/author&gt;&lt;author&gt;Murphy, Brian&lt;/author&gt;&lt;/authors&gt;&lt;/contributors&gt;&lt;titles&gt;&lt;title&gt;Interpreting soil test results: What do all the numbers mean?&lt;/title&gt;&lt;/titles&gt;&lt;dates&gt;&lt;year&gt;2025&lt;/year&gt;&lt;/dates&gt;&lt;publisher&gt;CSIRO publishing&lt;/publisher&gt;&lt;isbn&gt;1486319378&lt;/isbn&gt;&lt;urls&gt;&lt;/urls&gt;&lt;/record&gt;&lt;/Cite&gt;&lt;/EndNote&gt;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29" w:tooltip="Hazelton, 2025 #78" w:history="1">
        <w:r w:rsidR="00BC4E2E">
          <w:rPr>
            <w:rFonts w:ascii="Times New Roman" w:hAnsi="Times New Roman" w:cs="Times New Roman"/>
            <w:noProof/>
            <w:sz w:val="24"/>
          </w:rPr>
          <w:t>Hazelton &amp; Murphy, 2025</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Pr="003B49E1">
        <w:rPr>
          <w:rFonts w:ascii="Times New Roman" w:hAnsi="Times New Roman" w:cs="Times New Roman"/>
          <w:sz w:val="24"/>
        </w:rPr>
        <w:t xml:space="preserve">, though within the tolerable range (4.8–7.7) reported for oat fodder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&lt;EndNote&gt;&lt;Cite&gt;&lt;Author&gt;Kebede&lt;/Author&gt;&lt;Year&gt;2021&lt;/Year&gt;&lt;RecNum&gt;79&lt;/RecNum&gt;&lt;DisplayText&gt;(Kebede&lt;style face="italic"&gt; et al.&lt;/style&gt;, 2021)&lt;/DisplayText&gt;&lt;record&gt;&lt;rec-number&gt;79&lt;/rec-number&gt;&lt;foreign-keys&gt;&lt;key app="EN" db-id="5ee0etwro2xdtheaap2xr5f6dpxvrsx2v0t5"&gt;79&lt;/key&gt;&lt;/foreign-keys&gt;&lt;ref-type name="Journal Article"&gt;17&lt;/ref-type&gt;&lt;contributors&gt;&lt;authors&gt;&lt;author&gt;Kebede, Gezahagn&lt;/author&gt;&lt;author&gt;Faji, Mulisa&lt;/author&gt;&lt;author&gt;Feyissa, Fekede&lt;/author&gt;&lt;author&gt;Mohammed, Kedir&lt;/author&gt;&lt;author&gt;Assefa, Getnet&lt;/author&gt;&lt;author&gt;Geleti, Diriba&lt;/author&gt;&lt;author&gt;Minta, Muluneh&lt;/author&gt;&lt;author&gt;Dejene, Mesfin&lt;/author&gt;&lt;author&gt;Alemayehu, Mengistu&lt;/author&gt;&lt;author&gt;Mengistu, Alemayehu&lt;/author&gt;&lt;/authors&gt;&lt;/contributors&gt;&lt;titles&gt;&lt;title&gt;Yield and nutritional quality of oat (Avena sativa) genotypes under vertisols conditions in the central highlands of Ethiopia&lt;/title&gt;&lt;secondary-title&gt;Journal of Agriculture and Environmental Sciences&lt;/secondary-title&gt;&lt;/titles&gt;&lt;periodical&gt;&lt;full-title&gt;Journal of Agriculture and Environmental Sciences&lt;/full-title&gt;&lt;/periodical&gt;&lt;volume&gt;6&lt;/volume&gt;&lt;number&gt;2&lt;/number&gt;&lt;dates&gt;&lt;year&gt;2021&lt;/year&gt;&lt;/dates&gt;&lt;isbn&gt;2616-3721&lt;/isbn&gt;&lt;urls&gt;&lt;/urls&gt;&lt;/record&gt;&lt;/Cite&gt;&lt;/EndNote&gt;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35" w:tooltip="Kebede, 2021 #79" w:history="1">
        <w:r w:rsidR="00BC4E2E">
          <w:rPr>
            <w:rFonts w:ascii="Times New Roman" w:hAnsi="Times New Roman" w:cs="Times New Roman"/>
            <w:noProof/>
            <w:sz w:val="24"/>
          </w:rPr>
          <w:t>Kebede</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2021</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Available phosphorus w</w:t>
      </w:r>
      <w:r w:rsidR="00ED2227">
        <w:rPr>
          <w:rFonts w:ascii="Times New Roman" w:hAnsi="Times New Roman" w:cs="Times New Roman"/>
          <w:sz w:val="24"/>
        </w:rPr>
        <w:t xml:space="preserve">as 6.19 ppm, classified as low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&lt;EndNote&gt;&lt;Cite&gt;&lt;Author&gt;Reda&lt;/Author&gt;&lt;Year&gt;2019&lt;/Year&gt;&lt;RecNum&gt;80&lt;/RecNum&gt;&lt;DisplayText&gt;(Reda&lt;style face="italic"&gt; et al.&lt;/style&gt;, 2019)&lt;/DisplayText&gt;&lt;record&gt;&lt;rec-number&gt;80&lt;/rec-number&gt;&lt;foreign-keys&gt;&lt;key app="EN" db-id="5ee0etwro2xdtheaap2xr5f6dpxvrsx2v0t5"&gt;80&lt;/key&gt;&lt;/foreign-keys&gt;&lt;ref-type name="Journal Article"&gt;17&lt;/ref-type&gt;&lt;contributors&gt;&lt;authors&gt;&lt;author&gt;Reda, Gidena Tasew&lt;/author&gt;&lt;author&gt;Dargie, Sofonyas&lt;/author&gt;&lt;author&gt;Hailu, Birhane&lt;/author&gt;&lt;author&gt;Welde, Kidane&lt;/author&gt;&lt;author&gt;Eyasu, Gebru&lt;/author&gt;&lt;/authors&gt;&lt;/contributors&gt;&lt;titles&gt;&lt;title&gt;Calibration of phosphorus fertilizer for barley (Hordeum vulgare L.) on cambisols of Endamekhoni, Northern Ethiopia&lt;/title&gt;&lt;secondary-title&gt;Cogent Food &amp;amp; Agriculture&lt;/secondary-title&gt;&lt;/titles&gt;&lt;periodical&gt;&lt;full-title&gt;Cogent Food &amp;amp; Agriculture&lt;/full-title&gt;&lt;/periodical&gt;&lt;pages&gt;1670564&lt;/pages&gt;&lt;volume&gt;5&lt;/volume&gt;&lt;number&gt;1&lt;/number&gt;&lt;dates&gt;&lt;year&gt;2019&lt;/year&gt;&lt;/dates&gt;&lt;isbn&gt;2331-1932&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58" w:tooltip="Reda, 2019 #80" w:history="1">
        <w:r w:rsidR="00BC4E2E">
          <w:rPr>
            <w:rFonts w:ascii="Times New Roman" w:hAnsi="Times New Roman" w:cs="Times New Roman"/>
            <w:noProof/>
            <w:sz w:val="24"/>
          </w:rPr>
          <w:t>Reda</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2019</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 xml:space="preserve">Organic carbon content was 2.33%, and organic matter was 4.02%, both within medium ranges relative to standard classifications (Table 3). Total nitrogen (TN) was 0.10%, at the threshold </w:t>
      </w:r>
      <w:r w:rsidR="00ED2227">
        <w:rPr>
          <w:rFonts w:ascii="Times New Roman" w:hAnsi="Times New Roman" w:cs="Times New Roman"/>
          <w:sz w:val="24"/>
        </w:rPr>
        <w:t xml:space="preserve">between low and medium ratings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&lt;EndNote&gt;&lt;Cite&gt;&lt;Author&gt;Murphy&lt;/Author&gt;&lt;Year&gt;1968&lt;/Year&gt;&lt;RecNum&gt;81&lt;/RecNum&gt;&lt;DisplayText&gt;(Murphy, 1968)&lt;/DisplayText&gt;&lt;record&gt;&lt;rec-number&gt;81&lt;/rec-number&gt;&lt;foreign-keys&gt;&lt;key app="EN" db-id="5ee0etwro2xdtheaap2xr5f6dpxvrsx2v0t5"&gt;81&lt;/key&gt;&lt;/foreign-keys&gt;&lt;ref-type name="Journal Article"&gt;17&lt;/ref-type&gt;&lt;contributors&gt;&lt;authors&gt;&lt;author&gt;Murphy, Henry Fred&lt;/author&gt;&lt;/authors&gt;&lt;/contributors&gt;&lt;titles&gt;&lt;title&gt;A report on the fertility status and other data on some soils of Ethiopia&lt;/title&gt;&lt;/titles&gt;&lt;dates&gt;&lt;year&gt;1968&lt;/year&gt;&lt;/dates&gt;&lt;urls&gt;&lt;/urls&gt;&lt;/record&gt;&lt;/Cite&gt;&lt;/EndNote&gt;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52" w:tooltip="Murphy, 1968 #81" w:history="1">
        <w:r w:rsidR="00BC4E2E">
          <w:rPr>
            <w:rFonts w:ascii="Times New Roman" w:hAnsi="Times New Roman" w:cs="Times New Roman"/>
            <w:noProof/>
            <w:sz w:val="24"/>
          </w:rPr>
          <w:t>Murphy, 1968</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Cation ex</w:t>
      </w:r>
      <w:r w:rsidR="007457BE">
        <w:rPr>
          <w:rFonts w:ascii="Times New Roman" w:hAnsi="Times New Roman" w:cs="Times New Roman"/>
          <w:sz w:val="24"/>
        </w:rPr>
        <w:t>change capacity (CEC) was 21.42</w:t>
      </w:r>
      <w:r w:rsidRPr="003B49E1">
        <w:rPr>
          <w:rFonts w:ascii="Times New Roman" w:hAnsi="Times New Roman" w:cs="Times New Roman"/>
          <w:sz w:val="24"/>
        </w:rPr>
        <w:t>c</w:t>
      </w:r>
      <w:r w:rsidR="007457BE">
        <w:rPr>
          <w:rFonts w:ascii="Times New Roman" w:hAnsi="Times New Roman" w:cs="Times New Roman"/>
          <w:sz w:val="24"/>
        </w:rPr>
        <w:t xml:space="preserve"> </w:t>
      </w:r>
      <w:r w:rsidRPr="003B49E1">
        <w:rPr>
          <w:rFonts w:ascii="Times New Roman" w:hAnsi="Times New Roman" w:cs="Times New Roman"/>
          <w:sz w:val="24"/>
        </w:rPr>
        <w:t>mol</w:t>
      </w:r>
      <w:r w:rsidR="007457BE">
        <w:rPr>
          <w:rFonts w:ascii="Times New Roman" w:hAnsi="Times New Roman" w:cs="Times New Roman"/>
          <w:sz w:val="24"/>
        </w:rPr>
        <w:t xml:space="preserve"> </w:t>
      </w:r>
      <w:r w:rsidRPr="003B49E1">
        <w:rPr>
          <w:rFonts w:ascii="Times New Roman" w:hAnsi="Times New Roman" w:cs="Times New Roman"/>
          <w:sz w:val="24"/>
        </w:rPr>
        <w:t xml:space="preserve">(+)/kg, </w:t>
      </w:r>
      <w:r w:rsidR="0051336C">
        <w:rPr>
          <w:rFonts w:ascii="Times New Roman" w:hAnsi="Times New Roman" w:cs="Times New Roman"/>
          <w:sz w:val="24"/>
        </w:rPr>
        <w:t>classified as </w:t>
      </w:r>
      <w:r w:rsidRPr="003B49E1">
        <w:rPr>
          <w:rFonts w:ascii="Times New Roman" w:hAnsi="Times New Roman" w:cs="Times New Roman"/>
          <w:sz w:val="24"/>
        </w:rPr>
        <w:t>medium.</w:t>
      </w:r>
    </w:p>
    <w:p w:rsidR="003B49E1" w:rsidRPr="003B49E1" w:rsidRDefault="003B49E1" w:rsidP="003B49E1">
      <w:pPr>
        <w:spacing w:line="360" w:lineRule="auto"/>
        <w:jc w:val="both"/>
        <w:rPr>
          <w:rFonts w:ascii="Times New Roman" w:hAnsi="Times New Roman" w:cs="Times New Roman"/>
          <w:sz w:val="24"/>
        </w:rPr>
      </w:pPr>
      <w:r w:rsidRPr="003B49E1">
        <w:rPr>
          <w:rFonts w:ascii="Times New Roman" w:hAnsi="Times New Roman" w:cs="Times New Roman"/>
          <w:sz w:val="24"/>
        </w:rPr>
        <w:t xml:space="preserve">The strongly acidic pH may limit nutrient availability, particularly phosphorus, which was already at low levels. </w:t>
      </w:r>
      <w:r w:rsidR="00ED2227">
        <w:rPr>
          <w:rFonts w:ascii="Times New Roman" w:hAnsi="Times New Roman" w:cs="Times New Roman"/>
          <w:sz w:val="24"/>
        </w:rPr>
        <w:t xml:space="preserve">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 AuthorYear="1"&gt;&lt;Author&gt;Smit&lt;/Author&gt;&lt;Year&gt;2001&lt;/Year&gt;&lt;RecNum&gt;82&lt;/RecNum&gt;&lt;DisplayText&gt;Smit&lt;style face="italic"&gt; et al.&lt;/style&gt; (2001)&lt;/DisplayText&gt;&lt;record&gt;&lt;rec-number&gt;82&lt;/rec-number&gt;&lt;foreign-keys&gt;&lt;key app="EN" db-id="5ee0etwro2xdtheaap2xr5f6dpxvrsx2v0t5"&gt;82&lt;/key&gt;&lt;/foreign-keys&gt;&lt;ref-type name="Journal Article"&gt;17&lt;/ref-type&gt;&lt;contributors&gt;&lt;authors&gt;&lt;author&gt;Smit, Eric&lt;/author&gt;&lt;author&gt;Leeflang, Paula&lt;/author&gt;&lt;author&gt;Gommans, Suzanne&lt;/author&gt;&lt;author&gt;van den Broek, Jan&lt;/author&gt;&lt;author&gt;van Mil, Saskia&lt;/author&gt;&lt;author&gt;Wernars, Karel&lt;/author&gt;&lt;/authors&gt;&lt;/contributors&gt;&lt;titles&gt;&lt;title&gt;Diversity and seasonal fluctuations of the dominant members of the bacterial soil community in a wheat field as determined by cultivation and molecular methods&lt;/title&gt;&lt;secondary-title&gt;Applied and environmental microbiology&lt;/secondary-title&gt;&lt;/titles&gt;&lt;periodical&gt;&lt;full-title&gt;Applied and environmental microbiology&lt;/full-title&gt;&lt;/periodical&gt;&lt;pages&gt;2284-2291&lt;/pages&gt;&lt;volume&gt;67&lt;/volume&gt;&lt;number&gt;5&lt;/number&gt;&lt;dates&gt;&lt;year&gt;2001&lt;/year&gt;&lt;/dates&gt;&lt;isbn&gt;1098-5336&lt;/isbn&gt;&lt;urls&gt;&lt;/urls&gt;&lt;/record&gt;&lt;/Cite&gt;&lt;/EndNote&gt;</w:instrText>
      </w:r>
      <w:r w:rsidR="000D6068">
        <w:rPr>
          <w:rFonts w:ascii="Times New Roman" w:hAnsi="Times New Roman" w:cs="Times New Roman"/>
          <w:sz w:val="24"/>
        </w:rPr>
        <w:fldChar w:fldCharType="separate"/>
      </w:r>
      <w:hyperlink w:anchor="_ENREF_61" w:tooltip="Smit, 2001 #82" w:history="1">
        <w:r w:rsidR="00BC4E2E">
          <w:rPr>
            <w:rFonts w:ascii="Times New Roman" w:hAnsi="Times New Roman" w:cs="Times New Roman"/>
            <w:noProof/>
            <w:sz w:val="24"/>
          </w:rPr>
          <w:t>Smit</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xml:space="preserve"> (2001</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suggest cultivating acid-tolerant forage species under such conditions. The medium-range organic matter (4.02%) and CEC (21.42 cmol(+)/kg) indicate moderate soil fertility and nutrient retention capacity, supporting baseline conditions for forage establishment. The low organic carbon (2.33%) and borderline TN (0.10%) suggest potential benefits from legume integration to enhance nitrogen inputs and soil organic matter over time.</w:t>
      </w:r>
    </w:p>
    <w:p w:rsidR="00B06B8D" w:rsidRPr="00ED2227" w:rsidRDefault="00095C06" w:rsidP="00F97864">
      <w:pPr>
        <w:rPr>
          <w:rFonts w:ascii="Times New Roman" w:hAnsi="Times New Roman" w:cs="Times New Roman"/>
        </w:rPr>
      </w:pPr>
      <w:r w:rsidRPr="00A97D88">
        <w:rPr>
          <w:rFonts w:ascii="Times New Roman" w:hAnsi="Times New Roman"/>
        </w:rPr>
        <w:t xml:space="preserve"> </w:t>
      </w:r>
      <w:bookmarkStart w:id="17" w:name="_Toc185337605"/>
      <w:bookmarkStart w:id="18" w:name="_Toc185337641"/>
      <w:bookmarkStart w:id="19" w:name="_Toc187696838"/>
      <w:bookmarkEnd w:id="16"/>
      <w:r w:rsidR="003558E7" w:rsidRPr="00ED2227">
        <w:rPr>
          <w:rFonts w:ascii="Times New Roman" w:hAnsi="Times New Roman" w:cs="Times New Roman"/>
          <w:sz w:val="24"/>
        </w:rPr>
        <w:t xml:space="preserve">Table </w:t>
      </w:r>
      <w:r w:rsidR="000D6068" w:rsidRPr="00ED2227">
        <w:rPr>
          <w:rFonts w:ascii="Times New Roman" w:hAnsi="Times New Roman" w:cs="Times New Roman"/>
          <w:sz w:val="24"/>
        </w:rPr>
        <w:fldChar w:fldCharType="begin"/>
      </w:r>
      <w:r w:rsidR="003558E7" w:rsidRPr="00ED2227">
        <w:rPr>
          <w:rFonts w:ascii="Times New Roman" w:hAnsi="Times New Roman" w:cs="Times New Roman"/>
          <w:sz w:val="24"/>
        </w:rPr>
        <w:instrText xml:space="preserve"> SEQ Table \* ARABIC </w:instrText>
      </w:r>
      <w:r w:rsidR="000D6068" w:rsidRPr="00ED2227">
        <w:rPr>
          <w:rFonts w:ascii="Times New Roman" w:hAnsi="Times New Roman" w:cs="Times New Roman"/>
          <w:sz w:val="24"/>
        </w:rPr>
        <w:fldChar w:fldCharType="separate"/>
      </w:r>
      <w:r w:rsidR="00754A4F" w:rsidRPr="00ED2227">
        <w:rPr>
          <w:rFonts w:ascii="Times New Roman" w:hAnsi="Times New Roman" w:cs="Times New Roman"/>
          <w:noProof/>
          <w:sz w:val="24"/>
        </w:rPr>
        <w:t>3</w:t>
      </w:r>
      <w:r w:rsidR="000D6068" w:rsidRPr="00ED2227">
        <w:rPr>
          <w:rFonts w:ascii="Times New Roman" w:hAnsi="Times New Roman" w:cs="Times New Roman"/>
          <w:sz w:val="24"/>
        </w:rPr>
        <w:fldChar w:fldCharType="end"/>
      </w:r>
      <w:r w:rsidR="003558E7" w:rsidRPr="00ED2227">
        <w:rPr>
          <w:rFonts w:ascii="Times New Roman" w:hAnsi="Times New Roman" w:cs="Times New Roman"/>
          <w:sz w:val="24"/>
        </w:rPr>
        <w:t>: Chemical properties of soils of the experimental site before planting</w:t>
      </w:r>
      <w:bookmarkEnd w:id="17"/>
      <w:bookmarkEnd w:id="18"/>
      <w:bookmarkEnd w:id="19"/>
    </w:p>
    <w:tbl>
      <w:tblPr>
        <w:tblStyle w:val="TableGrid"/>
        <w:tblW w:w="10098" w:type="dxa"/>
        <w:tblLook w:val="04A0" w:firstRow="1" w:lastRow="0" w:firstColumn="1" w:lastColumn="0" w:noHBand="0" w:noVBand="1"/>
      </w:tblPr>
      <w:tblGrid>
        <w:gridCol w:w="3438"/>
        <w:gridCol w:w="1080"/>
        <w:gridCol w:w="2970"/>
        <w:gridCol w:w="2610"/>
      </w:tblGrid>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b/>
                <w:sz w:val="24"/>
                <w:szCs w:val="24"/>
              </w:rPr>
            </w:pPr>
            <w:r w:rsidRPr="00A97D88">
              <w:rPr>
                <w:rFonts w:ascii="Times New Roman" w:hAnsi="Times New Roman" w:cs="Times New Roman"/>
                <w:b/>
                <w:sz w:val="24"/>
                <w:szCs w:val="24"/>
              </w:rPr>
              <w:t>Chemical Properties</w:t>
            </w:r>
          </w:p>
        </w:tc>
        <w:tc>
          <w:tcPr>
            <w:tcW w:w="1080" w:type="dxa"/>
          </w:tcPr>
          <w:p w:rsidR="00B447EC" w:rsidRPr="00A97D88" w:rsidRDefault="00B447EC" w:rsidP="00E32DDF">
            <w:pPr>
              <w:spacing w:line="360" w:lineRule="auto"/>
              <w:jc w:val="both"/>
              <w:rPr>
                <w:rFonts w:ascii="Times New Roman" w:hAnsi="Times New Roman" w:cs="Times New Roman"/>
                <w:b/>
                <w:sz w:val="24"/>
                <w:szCs w:val="24"/>
              </w:rPr>
            </w:pPr>
            <w:r w:rsidRPr="00A97D88">
              <w:rPr>
                <w:rFonts w:ascii="Times New Roman" w:hAnsi="Times New Roman" w:cs="Times New Roman"/>
                <w:b/>
                <w:sz w:val="24"/>
                <w:szCs w:val="24"/>
              </w:rPr>
              <w:t>Results</w:t>
            </w:r>
          </w:p>
        </w:tc>
        <w:tc>
          <w:tcPr>
            <w:tcW w:w="2970" w:type="dxa"/>
          </w:tcPr>
          <w:p w:rsidR="00B447EC" w:rsidRPr="00A97D88" w:rsidRDefault="00315EFC" w:rsidP="00315EFC">
            <w:pPr>
              <w:jc w:val="both"/>
              <w:rPr>
                <w:rFonts w:ascii="Times New Roman" w:hAnsi="Times New Roman" w:cs="Times New Roman"/>
                <w:b/>
              </w:rPr>
            </w:pPr>
            <w:r w:rsidRPr="00A97D88">
              <w:rPr>
                <w:rFonts w:ascii="Times New Roman" w:hAnsi="Times New Roman" w:cs="Times New Roman"/>
                <w:b/>
                <w:sz w:val="24"/>
              </w:rPr>
              <w:t>Rating</w:t>
            </w:r>
          </w:p>
        </w:tc>
        <w:tc>
          <w:tcPr>
            <w:tcW w:w="2610" w:type="dxa"/>
          </w:tcPr>
          <w:p w:rsidR="00B447EC" w:rsidRPr="00A97D88" w:rsidRDefault="00315EFC" w:rsidP="00315EFC">
            <w:pPr>
              <w:jc w:val="both"/>
              <w:rPr>
                <w:rFonts w:ascii="Times New Roman" w:hAnsi="Times New Roman" w:cs="Times New Roman"/>
                <w:b/>
              </w:rPr>
            </w:pPr>
            <w:r w:rsidRPr="00A97D88">
              <w:rPr>
                <w:rFonts w:ascii="Times New Roman" w:hAnsi="Times New Roman" w:cs="Times New Roman"/>
                <w:b/>
                <w:sz w:val="24"/>
              </w:rPr>
              <w:t>References</w:t>
            </w:r>
          </w:p>
        </w:tc>
      </w:tr>
      <w:tr w:rsidR="0013614E" w:rsidRPr="00A97D88" w:rsidTr="00B447EC">
        <w:tc>
          <w:tcPr>
            <w:tcW w:w="3438" w:type="dxa"/>
          </w:tcPr>
          <w:p w:rsidR="00B447EC" w:rsidRPr="00A97D88" w:rsidRDefault="00315EFC" w:rsidP="00315EFC">
            <w:pPr>
              <w:spacing w:line="360" w:lineRule="auto"/>
              <w:rPr>
                <w:rFonts w:ascii="Times New Roman" w:hAnsi="Times New Roman" w:cs="Times New Roman"/>
                <w:sz w:val="24"/>
                <w:szCs w:val="24"/>
              </w:rPr>
            </w:pPr>
            <w:r w:rsidRPr="00A97D88">
              <w:rPr>
                <w:rFonts w:ascii="Times New Roman" w:hAnsi="Times New Roman" w:cs="Times New Roman"/>
                <w:sz w:val="24"/>
              </w:rPr>
              <w:t>PH (1:2.5 H2O)</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4.98</w:t>
            </w:r>
          </w:p>
        </w:tc>
        <w:tc>
          <w:tcPr>
            <w:tcW w:w="2970" w:type="dxa"/>
          </w:tcPr>
          <w:p w:rsidR="00B447EC" w:rsidRPr="00A97D88" w:rsidRDefault="00315EFC" w:rsidP="00315EFC">
            <w:pPr>
              <w:spacing w:line="360" w:lineRule="auto"/>
              <w:rPr>
                <w:rFonts w:ascii="Times New Roman" w:hAnsi="Times New Roman" w:cs="Times New Roman"/>
                <w:sz w:val="24"/>
                <w:szCs w:val="24"/>
              </w:rPr>
            </w:pPr>
            <w:r w:rsidRPr="00A97D88">
              <w:rPr>
                <w:rFonts w:ascii="Times New Roman" w:hAnsi="Times New Roman" w:cs="Times New Roman"/>
                <w:sz w:val="24"/>
              </w:rPr>
              <w:t>Strongly a</w:t>
            </w:r>
            <w:r w:rsidR="00B447EC" w:rsidRPr="00A97D88">
              <w:rPr>
                <w:rFonts w:ascii="Times New Roman" w:hAnsi="Times New Roman" w:cs="Times New Roman"/>
                <w:sz w:val="24"/>
              </w:rPr>
              <w:t xml:space="preserve">cidic          </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7E7DAA" w:rsidRPr="00A97D88">
              <w:rPr>
                <w:rFonts w:ascii="Times New Roman" w:hAnsi="Times New Roman" w:cs="Times New Roman"/>
                <w:sz w:val="24"/>
                <w:szCs w:val="24"/>
              </w:rPr>
              <w:instrText xml:space="preserve"> ADDIN EN.CITE &lt;EndNote&gt;&lt;Cite&gt;&lt;Author&gt;Ethio&lt;/Author&gt;&lt;Year&gt;2014&lt;/Year&gt;&lt;RecNum&gt;152&lt;/RecNum&gt;&lt;DisplayText&gt;(Ethio, 2014)&lt;/DisplayText&gt;&lt;record&gt;&lt;rec-number&gt;152&lt;/rec-number&gt;&lt;foreign-keys&gt;&lt;key app="EN" db-id="02revdrtyv2dekeeewuvap2se2zsd9t5xdew"&gt;152&lt;/key&gt;&lt;/foreign-keys&gt;&lt;ref-type name="Journal Article"&gt;17&lt;/ref-type&gt;&lt;contributors&gt;&lt;authors&gt;&lt;author&gt;Ethio, SIS&lt;/author&gt;&lt;/authors&gt;&lt;/contributors&gt;&lt;titles&gt;&lt;title&gt;Soil fertility status and fertilizer recommendation atlas for Tigray regional state, Ethiopia&lt;/title&gt;&lt;secondary-title&gt;Ethio SIS, Addis Ababa&lt;/secondary-title&gt;&lt;/titles&gt;&lt;periodical&gt;&lt;full-title&gt;Ethio SIS, Addis Ababa&lt;/full-title&gt;&lt;/periodical&gt;&lt;dates&gt;&lt;year&gt;2014&lt;/year&gt;&lt;/dates&gt;&lt;urls&gt;&lt;/urls&gt;&lt;/record&gt;&lt;/Cite&gt;&lt;/EndNote&gt;</w:instrText>
            </w:r>
            <w:r w:rsidRPr="00A97D88">
              <w:rPr>
                <w:rFonts w:ascii="Times New Roman" w:hAnsi="Times New Roman" w:cs="Times New Roman"/>
                <w:sz w:val="24"/>
                <w:szCs w:val="24"/>
              </w:rPr>
              <w:fldChar w:fldCharType="separate"/>
            </w:r>
            <w:r w:rsidR="007E7DAA" w:rsidRPr="00A97D88">
              <w:rPr>
                <w:rFonts w:ascii="Times New Roman" w:hAnsi="Times New Roman" w:cs="Times New Roman"/>
                <w:noProof/>
                <w:sz w:val="24"/>
                <w:szCs w:val="24"/>
              </w:rPr>
              <w:t>(</w:t>
            </w:r>
            <w:hyperlink w:anchor="_ENREF_20" w:tooltip="Ethio, 2014 #152" w:history="1">
              <w:r w:rsidR="00BC4E2E" w:rsidRPr="00A97D88">
                <w:rPr>
                  <w:rFonts w:ascii="Times New Roman" w:hAnsi="Times New Roman" w:cs="Times New Roman"/>
                  <w:noProof/>
                  <w:sz w:val="24"/>
                  <w:szCs w:val="24"/>
                </w:rPr>
                <w:t>Ethio, 2014</w:t>
              </w:r>
            </w:hyperlink>
            <w:r w:rsidR="007E7DAA"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Available Phosphorus (ppm)</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6.19</w:t>
            </w:r>
          </w:p>
        </w:tc>
        <w:tc>
          <w:tcPr>
            <w:tcW w:w="297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DD61AE" w:rsidRPr="00A97D88">
              <w:rPr>
                <w:rFonts w:ascii="Times New Roman" w:hAnsi="Times New Roman" w:cs="Times New Roman"/>
                <w:sz w:val="24"/>
                <w:szCs w:val="24"/>
              </w:rPr>
              <w:instrText xml:space="preserve"> ADDIN EN.CITE &lt;EndNote&gt;&lt;Cite&gt;&lt;Author&gt;Cottenie&lt;/Author&gt;&lt;Year&gt;1980&lt;/Year&gt;&lt;RecNum&gt;148&lt;/RecNum&gt;&lt;DisplayText&gt;(Cottenie, 1980)&lt;/DisplayText&gt;&lt;record&gt;&lt;rec-number&gt;148&lt;/rec-number&gt;&lt;foreign-keys&gt;&lt;key app="EN" db-id="02revdrtyv2dekeeewuvap2se2zsd9t5xdew"&gt;148&lt;/key&gt;&lt;/foreign-keys&gt;&lt;ref-type name="Journal Article"&gt;17&lt;/ref-type&gt;&lt;contributors&gt;&lt;authors&gt;&lt;author&gt;Cottenie, A&lt;/author&gt;&lt;/authors&gt;&lt;/contributors&gt;&lt;titles&gt;&lt;title&gt;Soil and plant testing as a basis of fertilizer recommendations&lt;/title&gt;&lt;/titles&gt;&lt;dates&gt;&lt;year&gt;1980&lt;/year&gt;&lt;/dates&gt;&lt;urls&gt;&lt;/urls&gt;&lt;/record&gt;&lt;/Cite&gt;&lt;/EndNote&gt;</w:instrText>
            </w:r>
            <w:r w:rsidRPr="00A97D88">
              <w:rPr>
                <w:rFonts w:ascii="Times New Roman" w:hAnsi="Times New Roman" w:cs="Times New Roman"/>
                <w:sz w:val="24"/>
                <w:szCs w:val="24"/>
              </w:rPr>
              <w:fldChar w:fldCharType="separate"/>
            </w:r>
            <w:r w:rsidR="00DD61AE" w:rsidRPr="00A97D88">
              <w:rPr>
                <w:rFonts w:ascii="Times New Roman" w:hAnsi="Times New Roman" w:cs="Times New Roman"/>
                <w:noProof/>
                <w:sz w:val="24"/>
                <w:szCs w:val="24"/>
              </w:rPr>
              <w:t>(</w:t>
            </w:r>
            <w:hyperlink w:anchor="_ENREF_14" w:tooltip="Cottenie, 1980 #148" w:history="1">
              <w:r w:rsidR="00BC4E2E" w:rsidRPr="00A97D88">
                <w:rPr>
                  <w:rFonts w:ascii="Times New Roman" w:hAnsi="Times New Roman" w:cs="Times New Roman"/>
                  <w:noProof/>
                  <w:sz w:val="24"/>
                  <w:szCs w:val="24"/>
                </w:rPr>
                <w:t>Cottenie, 1980</w:t>
              </w:r>
            </w:hyperlink>
            <w:r w:rsidR="00DD61AE"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Organic Carbon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2.33</w:t>
            </w:r>
          </w:p>
        </w:tc>
        <w:tc>
          <w:tcPr>
            <w:tcW w:w="2970" w:type="dxa"/>
          </w:tcPr>
          <w:p w:rsidR="00B447EC" w:rsidRPr="00A97D88" w:rsidRDefault="00CF3B75"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694714" w:rsidRPr="00A97D88">
              <w:rPr>
                <w:rFonts w:ascii="Times New Roman" w:hAnsi="Times New Roman" w:cs="Times New Roman"/>
                <w:sz w:val="24"/>
                <w:szCs w:val="24"/>
              </w:rPr>
              <w:instrText xml:space="preserve"> ADDIN EN.CITE &lt;EndNote&gt;&lt;Cite&gt;&lt;Author&gt;London&lt;/Author&gt;&lt;Year&gt;1991&lt;/Year&gt;&lt;RecNum&gt;149&lt;/RecNum&gt;&lt;DisplayText&gt;(London, 1991)&lt;/DisplayText&gt;&lt;record&gt;&lt;rec-number&gt;149&lt;/rec-number&gt;&lt;foreign-keys&gt;&lt;key app="EN" db-id="02revdrtyv2dekeeewuvap2se2zsd9t5xdew"&gt;149&lt;/key&gt;&lt;/foreign-keys&gt;&lt;ref-type name="Journal Article"&gt;17&lt;/ref-type&gt;&lt;contributors&gt;&lt;authors&gt;&lt;author&gt;London, J&lt;/author&gt;&lt;/authors&gt;&lt;/contributors&gt;&lt;titles&gt;&lt;title&gt;Booker tropical soil manual: A handbook for soil survey and agricultural land evaluation in the tropics and subtropics. Jone Wiley &amp;amp; Sons&lt;/title&gt;&lt;secondary-title&gt;Inc. New York, USA. 530p&lt;/secondary-title&gt;&lt;/titles&gt;&lt;periodical&gt;&lt;full-title&gt;Inc. New York, USA. 530p&lt;/full-title&gt;&lt;/periodical&gt;&lt;dates&gt;&lt;year&gt;1991&lt;/year&gt;&lt;/dates&gt;&lt;urls&gt;&lt;/urls&gt;&lt;/record&gt;&lt;/Cite&gt;&lt;/EndNote&gt;</w:instrText>
            </w:r>
            <w:r w:rsidRPr="00A97D88">
              <w:rPr>
                <w:rFonts w:ascii="Times New Roman" w:hAnsi="Times New Roman" w:cs="Times New Roman"/>
                <w:sz w:val="24"/>
                <w:szCs w:val="24"/>
              </w:rPr>
              <w:fldChar w:fldCharType="separate"/>
            </w:r>
            <w:r w:rsidR="00694714" w:rsidRPr="00A97D88">
              <w:rPr>
                <w:rFonts w:ascii="Times New Roman" w:hAnsi="Times New Roman" w:cs="Times New Roman"/>
                <w:noProof/>
                <w:sz w:val="24"/>
                <w:szCs w:val="24"/>
              </w:rPr>
              <w:t>(</w:t>
            </w:r>
            <w:hyperlink w:anchor="_ENREF_43" w:tooltip="London, 1991 #147" w:history="1">
              <w:r w:rsidR="00BC4E2E" w:rsidRPr="00A97D88">
                <w:rPr>
                  <w:rFonts w:ascii="Times New Roman" w:hAnsi="Times New Roman" w:cs="Times New Roman"/>
                  <w:noProof/>
                  <w:sz w:val="24"/>
                  <w:szCs w:val="24"/>
                </w:rPr>
                <w:t>London, 1991</w:t>
              </w:r>
            </w:hyperlink>
            <w:r w:rsidR="00694714"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Total Nitrogen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0</w:t>
            </w:r>
            <w:r w:rsidR="00775B99" w:rsidRPr="00A97D88">
              <w:rPr>
                <w:rFonts w:ascii="Times New Roman" w:hAnsi="Times New Roman" w:cs="Times New Roman"/>
                <w:sz w:val="24"/>
                <w:szCs w:val="24"/>
              </w:rPr>
              <w:t>.</w:t>
            </w:r>
            <w:r w:rsidRPr="00A97D88">
              <w:rPr>
                <w:rFonts w:ascii="Times New Roman" w:hAnsi="Times New Roman" w:cs="Times New Roman"/>
                <w:sz w:val="24"/>
                <w:szCs w:val="24"/>
              </w:rPr>
              <w:t>1</w:t>
            </w:r>
          </w:p>
        </w:tc>
        <w:tc>
          <w:tcPr>
            <w:tcW w:w="2970" w:type="dxa"/>
          </w:tcPr>
          <w:p w:rsidR="00B447EC" w:rsidRPr="00A97D88" w:rsidRDefault="00775B99"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775B99" w:rsidRPr="00A97D88">
              <w:rPr>
                <w:rFonts w:ascii="Times New Roman" w:hAnsi="Times New Roman" w:cs="Times New Roman"/>
                <w:sz w:val="24"/>
                <w:szCs w:val="24"/>
              </w:rPr>
              <w:instrText xml:space="preserve"> ADDIN EN.CITE &lt;EndNote&gt;&lt;Cite&gt;&lt;Author&gt;Tadesse&lt;/Author&gt;&lt;Year&gt;1991&lt;/Year&gt;&lt;RecNum&gt;146&lt;/RecNum&gt;&lt;DisplayText&gt;(Tadesse&lt;style face="italic"&gt; et al.&lt;/style&gt;, 1991)&lt;/DisplayText&gt;&lt;record&gt;&lt;rec-number&gt;146&lt;/rec-number&gt;&lt;foreign-keys&gt;&lt;key app="EN" db-id="02revdrtyv2dekeeewuvap2se2zsd9t5xdew"&gt;146&lt;/key&gt;&lt;/foreign-keys&gt;&lt;ref-type name="Journal Article"&gt;17&lt;/ref-type&gt;&lt;contributors&gt;&lt;authors&gt;&lt;author&gt;Tadesse, Tekalign&lt;/author&gt;&lt;author&gt;Haque, I&lt;/author&gt;&lt;author&gt;Aduayi, EA&lt;/author&gt;&lt;/authors&gt;&lt;/contributors&gt;&lt;titles&gt;&lt;title&gt;Soil, plant, water, fertilizer, animal manure and compost analysis manual&lt;/title&gt;&lt;/titles&gt;&lt;dates&gt;&lt;year&gt;1991&lt;/year&gt;&lt;/dates&gt;&lt;urls&gt;&lt;/urls&gt;&lt;/record&gt;&lt;/Cite&gt;&lt;/EndNote&gt;</w:instrText>
            </w:r>
            <w:r w:rsidRPr="00A97D88">
              <w:rPr>
                <w:rFonts w:ascii="Times New Roman" w:hAnsi="Times New Roman" w:cs="Times New Roman"/>
                <w:sz w:val="24"/>
                <w:szCs w:val="24"/>
              </w:rPr>
              <w:fldChar w:fldCharType="separate"/>
            </w:r>
            <w:r w:rsidR="00775B99" w:rsidRPr="00A97D88">
              <w:rPr>
                <w:rFonts w:ascii="Times New Roman" w:hAnsi="Times New Roman" w:cs="Times New Roman"/>
                <w:noProof/>
                <w:sz w:val="24"/>
                <w:szCs w:val="24"/>
              </w:rPr>
              <w:t>(</w:t>
            </w:r>
            <w:hyperlink w:anchor="_ENREF_64" w:tooltip="Tadesse, 1991 #146" w:history="1">
              <w:r w:rsidR="00BC4E2E" w:rsidRPr="00A97D88">
                <w:rPr>
                  <w:rFonts w:ascii="Times New Roman" w:hAnsi="Times New Roman" w:cs="Times New Roman"/>
                  <w:noProof/>
                  <w:sz w:val="24"/>
                  <w:szCs w:val="24"/>
                </w:rPr>
                <w:t>Tadesse</w:t>
              </w:r>
              <w:r w:rsidR="00BC4E2E" w:rsidRPr="00A97D88">
                <w:rPr>
                  <w:rFonts w:ascii="Times New Roman" w:hAnsi="Times New Roman" w:cs="Times New Roman"/>
                  <w:i/>
                  <w:noProof/>
                  <w:sz w:val="24"/>
                  <w:szCs w:val="24"/>
                </w:rPr>
                <w:t xml:space="preserve"> et al.</w:t>
              </w:r>
              <w:r w:rsidR="00BC4E2E" w:rsidRPr="00A97D88">
                <w:rPr>
                  <w:rFonts w:ascii="Times New Roman" w:hAnsi="Times New Roman" w:cs="Times New Roman"/>
                  <w:noProof/>
                  <w:sz w:val="24"/>
                  <w:szCs w:val="24"/>
                </w:rPr>
                <w:t>, 1991</w:t>
              </w:r>
            </w:hyperlink>
            <w:r w:rsidR="00775B99"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 xml:space="preserve">Organic Matter (%)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4.02</w:t>
            </w:r>
          </w:p>
        </w:tc>
        <w:tc>
          <w:tcPr>
            <w:tcW w:w="2970" w:type="dxa"/>
          </w:tcPr>
          <w:p w:rsidR="00B447EC" w:rsidRPr="00A97D88" w:rsidRDefault="00E422E1"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Medium</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E422E1" w:rsidRPr="00A97D88">
              <w:rPr>
                <w:rFonts w:ascii="Times New Roman" w:hAnsi="Times New Roman" w:cs="Times New Roman"/>
                <w:sz w:val="24"/>
                <w:szCs w:val="24"/>
              </w:rPr>
              <w:instrText xml:space="preserve"> ADDIN EN.CITE &lt;EndNote&gt;&lt;Cite&gt;&lt;Author&gt;Ethio&lt;/Author&gt;&lt;Year&gt;2014&lt;/Year&gt;&lt;RecNum&gt;151&lt;/RecNum&gt;&lt;DisplayText&gt;(Ethio, 2014)&lt;/DisplayText&gt;&lt;record&gt;&lt;rec-number&gt;151&lt;/rec-number&gt;&lt;foreign-keys&gt;&lt;key app="EN" db-id="02revdrtyv2dekeeewuvap2se2zsd9t5xdew"&gt;151&lt;/key&gt;&lt;/foreign-keys&gt;&lt;ref-type name="Journal Article"&gt;17&lt;/ref-type&gt;&lt;contributors&gt;&lt;authors&gt;&lt;author&gt;Ethio, SIS&lt;/author&gt;&lt;/authors&gt;&lt;/contributors&gt;&lt;titles&gt;&lt;title&gt;Soil fertility status and fertilizer recommendation atlas for Tigray regional state, Ethiopia&lt;/title&gt;&lt;secondary-title&gt;Ethio SIS, Addis Ababa&lt;/secondary-title&gt;&lt;/titles&gt;&lt;periodical&gt;&lt;full-title&gt;Ethio SIS, Addis Ababa&lt;/full-title&gt;&lt;/periodical&gt;&lt;dates&gt;&lt;year&gt;2014&lt;/year&gt;&lt;/dates&gt;&lt;urls&gt;&lt;/urls&gt;&lt;/record&gt;&lt;/Cite&gt;&lt;/EndNote&gt;</w:instrText>
            </w:r>
            <w:r w:rsidRPr="00A97D88">
              <w:rPr>
                <w:rFonts w:ascii="Times New Roman" w:hAnsi="Times New Roman" w:cs="Times New Roman"/>
                <w:sz w:val="24"/>
                <w:szCs w:val="24"/>
              </w:rPr>
              <w:fldChar w:fldCharType="separate"/>
            </w:r>
            <w:r w:rsidR="00E422E1" w:rsidRPr="00A97D88">
              <w:rPr>
                <w:rFonts w:ascii="Times New Roman" w:hAnsi="Times New Roman" w:cs="Times New Roman"/>
                <w:noProof/>
                <w:sz w:val="24"/>
                <w:szCs w:val="24"/>
              </w:rPr>
              <w:t>(</w:t>
            </w:r>
            <w:hyperlink w:anchor="_ENREF_20" w:tooltip="Ethio, 2014 #152" w:history="1">
              <w:r w:rsidR="00BC4E2E" w:rsidRPr="00A97D88">
                <w:rPr>
                  <w:rFonts w:ascii="Times New Roman" w:hAnsi="Times New Roman" w:cs="Times New Roman"/>
                  <w:noProof/>
                  <w:sz w:val="24"/>
                  <w:szCs w:val="24"/>
                </w:rPr>
                <w:t>Ethio, 2014</w:t>
              </w:r>
            </w:hyperlink>
            <w:r w:rsidR="00E422E1"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B447EC"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rPr>
            </w:pPr>
            <w:r w:rsidRPr="00A97D88">
              <w:rPr>
                <w:rFonts w:ascii="Times New Roman" w:hAnsi="Times New Roman" w:cs="Times New Roman"/>
                <w:sz w:val="24"/>
              </w:rPr>
              <w:t>CEC</w:t>
            </w:r>
            <w:r w:rsidR="007C64FE">
              <w:rPr>
                <w:rFonts w:ascii="Times New Roman" w:hAnsi="Times New Roman" w:cs="Times New Roman"/>
                <w:sz w:val="24"/>
              </w:rPr>
              <w:t xml:space="preserve"> </w:t>
            </w:r>
            <w:r w:rsidRPr="00A97D88">
              <w:rPr>
                <w:rFonts w:ascii="Times New Roman" w:hAnsi="Times New Roman" w:cs="Times New Roman"/>
                <w:sz w:val="24"/>
              </w:rPr>
              <w:t>(meq/100g soil)</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21.42</w:t>
            </w:r>
          </w:p>
        </w:tc>
        <w:tc>
          <w:tcPr>
            <w:tcW w:w="2970" w:type="dxa"/>
          </w:tcPr>
          <w:p w:rsidR="00B447EC" w:rsidRPr="00A97D88" w:rsidRDefault="00775B99"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Medium</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D475AE" w:rsidRPr="00A97D88">
              <w:rPr>
                <w:rFonts w:ascii="Times New Roman" w:hAnsi="Times New Roman" w:cs="Times New Roman"/>
                <w:sz w:val="24"/>
                <w:szCs w:val="24"/>
              </w:rPr>
              <w:instrText xml:space="preserve"> ADDIN EN.CITE &lt;EndNote&gt;&lt;Cite&gt;&lt;Author&gt;London&lt;/Author&gt;&lt;Year&gt;1991&lt;/Year&gt;&lt;RecNum&gt;147&lt;/RecNum&gt;&lt;DisplayText&gt;(London, 1991)&lt;/DisplayText&gt;&lt;record&gt;&lt;rec-number&gt;147&lt;/rec-number&gt;&lt;foreign-keys&gt;&lt;key app="EN" db-id="02revdrtyv2dekeeewuvap2se2zsd9t5xdew"&gt;147&lt;/key&gt;&lt;/foreign-keys&gt;&lt;ref-type name="Journal Article"&gt;17&lt;/ref-type&gt;&lt;contributors&gt;&lt;authors&gt;&lt;author&gt;London, J&lt;/author&gt;&lt;/authors&gt;&lt;/contributors&gt;&lt;titles&gt;&lt;title&gt;Booker tropical soil manual: A handbook for soil survey and agricultural land evaluation in the tropics and subtropics. Jone Wiley &amp;amp; Sons&lt;/title&gt;&lt;secondary-title&gt;Inc. New York, USA. 530p&lt;/secondary-title&gt;&lt;/titles&gt;&lt;periodical&gt;&lt;full-title&gt;Inc. New York, USA. 530p&lt;/full-title&gt;&lt;/periodical&gt;&lt;dates&gt;&lt;year&gt;1991&lt;/year&gt;&lt;/dates&gt;&lt;urls&gt;&lt;/urls&gt;&lt;/record&gt;&lt;/Cite&gt;&lt;/EndNote&gt;</w:instrText>
            </w:r>
            <w:r w:rsidRPr="00A97D88">
              <w:rPr>
                <w:rFonts w:ascii="Times New Roman" w:hAnsi="Times New Roman" w:cs="Times New Roman"/>
                <w:sz w:val="24"/>
                <w:szCs w:val="24"/>
              </w:rPr>
              <w:fldChar w:fldCharType="separate"/>
            </w:r>
            <w:r w:rsidR="00D475AE" w:rsidRPr="00A97D88">
              <w:rPr>
                <w:rFonts w:ascii="Times New Roman" w:hAnsi="Times New Roman" w:cs="Times New Roman"/>
                <w:noProof/>
                <w:sz w:val="24"/>
                <w:szCs w:val="24"/>
              </w:rPr>
              <w:t>(</w:t>
            </w:r>
            <w:hyperlink w:anchor="_ENREF_43" w:tooltip="London, 1991 #147" w:history="1">
              <w:r w:rsidR="00BC4E2E" w:rsidRPr="00A97D88">
                <w:rPr>
                  <w:rFonts w:ascii="Times New Roman" w:hAnsi="Times New Roman" w:cs="Times New Roman"/>
                  <w:noProof/>
                  <w:sz w:val="24"/>
                  <w:szCs w:val="24"/>
                </w:rPr>
                <w:t>London, 1991</w:t>
              </w:r>
            </w:hyperlink>
            <w:r w:rsidR="00D475AE"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bl>
    <w:p w:rsidR="00A16B2B" w:rsidRDefault="00267701" w:rsidP="00A16B2B">
      <w:pPr>
        <w:spacing w:line="360" w:lineRule="auto"/>
        <w:jc w:val="both"/>
        <w:rPr>
          <w:rFonts w:ascii="Times New Roman" w:hAnsi="Times New Roman" w:cs="Times New Roman"/>
        </w:rPr>
      </w:pPr>
      <w:bookmarkStart w:id="20" w:name="_Toc184070823"/>
      <w:r w:rsidRPr="00A97D88">
        <w:rPr>
          <w:rFonts w:ascii="Times New Roman" w:hAnsi="Times New Roman" w:cs="Times New Roman"/>
        </w:rPr>
        <w:t xml:space="preserve"> </w:t>
      </w:r>
    </w:p>
    <w:p w:rsidR="00604F47" w:rsidRDefault="00A16B2B" w:rsidP="00A16B2B">
      <w:pPr>
        <w:spacing w:line="360" w:lineRule="auto"/>
        <w:jc w:val="both"/>
        <w:rPr>
          <w:rFonts w:ascii="Times New Roman" w:hAnsi="Times New Roman" w:cs="Times New Roman"/>
          <w:b/>
          <w:sz w:val="24"/>
        </w:rPr>
      </w:pPr>
      <w:r w:rsidRPr="00A16B2B">
        <w:rPr>
          <w:rFonts w:ascii="Times New Roman" w:hAnsi="Times New Roman" w:cs="Times New Roman"/>
          <w:b/>
          <w:sz w:val="24"/>
        </w:rPr>
        <w:t>Soil Ch</w:t>
      </w:r>
      <w:r w:rsidR="007C35EA">
        <w:rPr>
          <w:rFonts w:ascii="Times New Roman" w:hAnsi="Times New Roman" w:cs="Times New Roman"/>
          <w:b/>
          <w:sz w:val="24"/>
        </w:rPr>
        <w:t>emical Properties a</w:t>
      </w:r>
      <w:r w:rsidRPr="00A16B2B">
        <w:rPr>
          <w:rFonts w:ascii="Times New Roman" w:hAnsi="Times New Roman" w:cs="Times New Roman"/>
          <w:b/>
          <w:sz w:val="24"/>
        </w:rPr>
        <w:t>fter Intercropped Forage Harvest</w:t>
      </w:r>
    </w:p>
    <w:p w:rsidR="00A16B2B" w:rsidRPr="00604F47" w:rsidRDefault="00A16B2B" w:rsidP="00A16B2B">
      <w:pPr>
        <w:spacing w:line="360" w:lineRule="auto"/>
        <w:jc w:val="both"/>
        <w:rPr>
          <w:rFonts w:ascii="Times New Roman" w:hAnsi="Times New Roman" w:cs="Times New Roman"/>
          <w:b/>
          <w:sz w:val="24"/>
        </w:rPr>
      </w:pPr>
      <w:r w:rsidRPr="00A16B2B">
        <w:rPr>
          <w:rFonts w:ascii="Times New Roman" w:hAnsi="Times New Roman" w:cs="Times New Roman"/>
          <w:sz w:val="24"/>
        </w:rPr>
        <w:t>Soil pH was not significantly affected by row arrangements, varieties intercropped, or their interactions (p&gt;0.05) (Table 4). All treatments showed numerical increases above the initial average of 4.98, but these differences were not statistically significant.</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Soil organic carbon (SOC) content was significantly affected by intercropped varieties, row arrangement, and their interaction (p&lt;0.05) (Table 4). Post-harvest SOC ranged from 2.62% to 4.0%, with T6 recording the highest value (4.0%). Based on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AuthorYear="1"&gt;&lt;Author&gt;Landon&lt;/Author&gt;&lt;Year&gt;2014&lt;/Year&gt;&lt;RecNum&gt;83&lt;/RecNum&gt;&lt;DisplayText&gt;Landon (2014)&lt;/DisplayText&gt;&lt;record&gt;&lt;rec-number&gt;83&lt;/rec-number&gt;&lt;foreign-keys&gt;&lt;key app="EN" db-id="5ee0etwro2xdtheaap2xr5f6dpxvrsx2v0t5"&gt;83&lt;/key&gt;&lt;/foreign-keys&gt;&lt;ref-type name="Book"&gt;6&lt;/ref-type&gt;&lt;contributors&gt;&lt;authors&gt;&lt;author&gt;Landon, John Richard&lt;/author&gt;&lt;/authors&gt;&lt;/contributors&gt;&lt;titles&gt;&lt;title&gt;Booker tropical soil manual: a handbook for soil survey and agricultural land evaluation in the tropics and subtropics&lt;/title&gt;&lt;/titles&gt;&lt;dates&gt;&lt;year&gt;2014&lt;/year&gt;&lt;/dates&gt;&lt;publisher&gt;Routledge&lt;/publisher&gt;&lt;isbn&gt;1315846845&lt;/isbn&gt;&lt;urls&gt;&lt;/urls&gt;&lt;/record&gt;&lt;/Cite&gt;&lt;/EndNote&gt;</w:instrText>
      </w:r>
      <w:r w:rsidR="000D6068">
        <w:rPr>
          <w:rFonts w:ascii="Times New Roman" w:hAnsi="Times New Roman" w:cs="Times New Roman"/>
          <w:sz w:val="24"/>
        </w:rPr>
        <w:fldChar w:fldCharType="separate"/>
      </w:r>
      <w:hyperlink w:anchor="_ENREF_39" w:tooltip="Landon, 2014 #85" w:history="1">
        <w:r w:rsidR="00BC4E2E">
          <w:rPr>
            <w:rFonts w:ascii="Times New Roman" w:hAnsi="Times New Roman" w:cs="Times New Roman"/>
            <w:noProof/>
            <w:sz w:val="24"/>
          </w:rPr>
          <w:t>Landon (2014</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 xml:space="preserve">, </w:t>
      </w:r>
      <w:r w:rsidRPr="00A16B2B">
        <w:rPr>
          <w:rFonts w:ascii="Times New Roman" w:hAnsi="Times New Roman" w:cs="Times New Roman"/>
          <w:sz w:val="24"/>
        </w:rPr>
        <w:t>classification (&lt;4%: low; 4-10%: medium; &gt;10%: high), SOC levels remained in the medium category.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Total nitrogen (TN) content ranged from 0.20% to 0.35% after harvest. The interaction between row arrangement and variety significantly affected TN (p&lt;0.05) (Table 4). Treatment T6 exhibited the highest TN (0.35%), followed by T8 (0.34%).</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After harvest, available phosphorus (AP) ranged from 4.8 to 6.18 ppm, which falls within the "low" category according to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AuthorYear="1"&gt;&lt;Author&gt;Landon&lt;/Author&gt;&lt;Year&gt;1999&lt;/Year&gt;&lt;RecNum&gt;84&lt;/RecNum&gt;&lt;DisplayText&gt;Landon&lt;style face="italic"&gt; et al.&lt;/style&gt; (1999)&lt;/DisplayText&gt;&lt;record&gt;&lt;rec-number&gt;84&lt;/rec-number&gt;&lt;foreign-keys&gt;&lt;key app="EN" db-id="5ee0etwro2xdtheaap2xr5f6dpxvrsx2v0t5"&gt;84&lt;/key&gt;&lt;/foreign-keys&gt;&lt;ref-type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w:t>
        </w:r>
        <w:r w:rsidR="00BC4E2E" w:rsidRPr="00871726">
          <w:rPr>
            <w:rFonts w:ascii="Times New Roman" w:hAnsi="Times New Roman" w:cs="Times New Roman"/>
            <w:i/>
            <w:noProof/>
            <w:sz w:val="24"/>
          </w:rPr>
          <w:t xml:space="preserve"> et al.</w:t>
        </w:r>
        <w:r w:rsidR="00BC4E2E">
          <w:rPr>
            <w:rFonts w:ascii="Times New Roman" w:hAnsi="Times New Roman" w:cs="Times New Roman"/>
            <w:noProof/>
            <w:sz w:val="24"/>
          </w:rPr>
          <w:t xml:space="preserve"> (1999</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 xml:space="preserve">, </w:t>
      </w:r>
      <w:r w:rsidRPr="00A16B2B">
        <w:rPr>
          <w:rFonts w:ascii="Times New Roman" w:hAnsi="Times New Roman" w:cs="Times New Roman"/>
          <w:sz w:val="24"/>
        </w:rPr>
        <w:t>classification (&lt;5 ppm: very low; 5-15 ppm: low; 15-25 ppm: medium; 25-40 ppm: high; &gt;40 ppm: very high). Post-harvest AP values were numerically lower than pre-planting levels.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Organic matter (OM) was significantly affected by intercropped varieties, row arrangement, and their interaction (p&lt;0.05) (Table 4). Values ranged from 4.5% to 7.04%. Treatment T6 recorded the maximum OM (7.04%), while T5, T2, and T9 recorded the minimum (4.5%). According to Barber's (1984) classification (&gt;10%: very high; 5-10%: high; 2-5%: medium; 1-2%: low; &lt;1%: very low), all treatments fell within the medium category.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Cation exchange capacity (CEC) showed no significant differences among treatments (p&gt;0.05). [Insert CEC values and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AuthorYear="1"&gt;&lt;Author&gt;Landon&lt;/Author&gt;&lt;Year&gt;2014&lt;/Year&gt;&lt;RecNum&gt;85&lt;/RecNum&gt;&lt;DisplayText&gt;Landon (2014)&lt;/DisplayText&gt;&lt;record&gt;&lt;rec-number&gt;85&lt;/rec-number&gt;&lt;foreign-keys&gt;&lt;key app="EN" db-id="5ee0etwro2xdtheaap2xr5f6dpxvrsx2v0t5"&gt;85&lt;/key&gt;&lt;/foreign-keys&gt;&lt;ref-type name="Book"&gt;6&lt;/ref-type&gt;&lt;contributors&gt;&lt;authors&gt;&lt;author&gt;Landon, John Richard&lt;/author&gt;&lt;/authors&gt;&lt;/contributors&gt;&lt;titles&gt;&lt;title&gt;Booker tropical soil manual: a handbook for soil survey and agricultural land evaluation in the tropics and subtropics&lt;/title&gt;&lt;/titles&gt;&lt;dates&gt;&lt;year&gt;2014&lt;/year&gt;&lt;/dates&gt;&lt;publisher&gt;Routledge&lt;/publisher&gt;&lt;isbn&gt;1315846845&lt;/isbn&gt;&lt;urls&gt;&lt;/urls&gt;&lt;/record&gt;&lt;/Cite&gt;&lt;/EndNote&gt;</w:instrText>
      </w:r>
      <w:r w:rsidR="000D6068">
        <w:rPr>
          <w:rFonts w:ascii="Times New Roman" w:hAnsi="Times New Roman" w:cs="Times New Roman"/>
          <w:sz w:val="24"/>
        </w:rPr>
        <w:fldChar w:fldCharType="separate"/>
      </w:r>
      <w:hyperlink w:anchor="_ENREF_39" w:tooltip="Landon, 2014 #85" w:history="1">
        <w:r w:rsidR="00BC4E2E">
          <w:rPr>
            <w:rFonts w:ascii="Times New Roman" w:hAnsi="Times New Roman" w:cs="Times New Roman"/>
            <w:noProof/>
            <w:sz w:val="24"/>
          </w:rPr>
          <w:t>Landon (2014</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w:t>
      </w:r>
      <w:r w:rsidRPr="00A16B2B">
        <w:rPr>
          <w:rFonts w:ascii="Times New Roman" w:hAnsi="Times New Roman" w:cs="Times New Roman"/>
          <w:sz w:val="24"/>
        </w:rPr>
        <w:t>classification: &gt;40 meq/100g: very high; 25-40 meq/100g: high; 15-25 meq/100g: medium; 5-15 meq/100g: low; &lt;5 meq/100g: very low].</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absence of significant pH changes across treatments (p&gt;0.05) indicates that intercropping arrangements did not differentially affect soil acidity during the study period. While all treatments showed numerical increases from the baseline pH of 4.98, the lack of statistical significance precludes conclusions about treatment-specific effects on soil pH.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AuthorYear="1"&gt;&lt;Author&gt;Wang ZhiGang&lt;/Author&gt;&lt;Year&gt;2014&lt;/Year&gt;&lt;RecNum&gt;86&lt;/RecNum&gt;&lt;DisplayText&gt;Wang ZhiGang&lt;style face="italic"&gt; et al.&lt;/style&gt; (2014)&lt;/DisplayText&gt;&lt;record&gt;&lt;rec-number&gt;86&lt;/rec-number&gt;&lt;foreign-keys&gt;&lt;key app="EN" db-id="5ee0etwro2xdtheaap2xr5f6dpxvrsx2v0t5"&gt;86&lt;/key&gt;&lt;/foreign-keys&gt;&lt;ref-type name="Journal Article"&gt;17&lt;/ref-type&gt;&lt;contributors&gt;&lt;authors&gt;&lt;author&gt;Wang ZhiGang, Wang ZhiGang&lt;/author&gt;&lt;author&gt;Jin Xin, Jin Xin&lt;/author&gt;&lt;author&gt;Bao XingGuo, Bao XingGuo&lt;/author&gt;&lt;author&gt;Li XiaoFei, Li XiaoFei&lt;/author&gt;&lt;author&gt;Zhao JianHua, Zhao JianHua&lt;/author&gt;&lt;author&gt;Sun JianHao, Sun JianHao&lt;/author&gt;&lt;author&gt;Christie, P&lt;/author&gt;&lt;author&gt;Li Long, Li Long&lt;/author&gt;&lt;/authors&gt;&lt;/contributors&gt;&lt;titles&gt;&lt;title&gt;Intercropping enhances productivity and maintains the most soil fertility properties relative to sole cropping&lt;/title&gt;&lt;/titles&gt;&lt;dates&gt;&lt;year&gt;2014&lt;/year&gt;&lt;/dates&gt;&lt;urls&gt;&lt;/urls&gt;&lt;/record&gt;&lt;/Cite&gt;&lt;/EndNote&gt;</w:instrText>
      </w:r>
      <w:r w:rsidR="000D6068">
        <w:rPr>
          <w:rFonts w:ascii="Times New Roman" w:hAnsi="Times New Roman" w:cs="Times New Roman"/>
          <w:sz w:val="24"/>
        </w:rPr>
        <w:fldChar w:fldCharType="separate"/>
      </w:r>
      <w:hyperlink w:anchor="_ENREF_72" w:tooltip="Wang ZhiGang, 2014 #86" w:history="1">
        <w:r w:rsidR="00BC4E2E">
          <w:rPr>
            <w:rFonts w:ascii="Times New Roman" w:hAnsi="Times New Roman" w:cs="Times New Roman"/>
            <w:noProof/>
            <w:sz w:val="24"/>
          </w:rPr>
          <w:t>Wang ZhiGang</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(2014</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reported reduced soil acidity in intercropping systems, attributing this to increased organic matter production; however, direct comparison requires significant treatment effects and longer observation periods to detect meaningful pH shifts in buffered soil systems.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relationship between pH and nutrient availability, particularly phosphorus fixation on Fe and Al oxides in acidic soils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AuthorYear="1"&gt;&lt;Author&gt;Hu&lt;/Author&gt;&lt;Year&gt;2023&lt;/Year&gt;&lt;RecNum&gt;87&lt;/RecNum&gt;&lt;DisplayText&gt;Hu&lt;style face="italic"&gt; et al.&lt;/style&gt; (2023)&lt;/DisplayText&gt;&lt;record&gt;&lt;rec-number&gt;87&lt;/rec-number&gt;&lt;foreign-keys&gt;&lt;key app="EN" db-id="5ee0etwro2xdtheaap2xr5f6dpxvrsx2v0t5"&gt;87&lt;/key&gt;&lt;/foreign-keys&gt;&lt;ref-type name="Journal Article"&gt;17&lt;/ref-type&gt;&lt;contributors&gt;&lt;authors&gt;&lt;author&gt;Hu, Yuanliu&lt;/author&gt;&lt;author&gt;Chen, Ji&lt;/author&gt;&lt;author&gt;Hui, Dafeng&lt;/author&gt;&lt;author&gt;Li, Jianling&lt;/author&gt;&lt;author&gt;Yao, Xianyu&lt;/author&gt;&lt;author&gt;Zhang, Deqiang&lt;/author&gt;&lt;author&gt;Deng, Qi&lt;/author&gt;&lt;/authors&gt;&lt;/contributors&gt;&lt;titles&gt;&lt;title&gt;Soil acidification suppresses phosphorus supply through enhancing organomineral association&lt;/title&gt;&lt;secondary-title&gt;Science of the Total Environment&lt;/secondary-title&gt;&lt;/titles&gt;&lt;periodical&gt;&lt;full-title&gt;Science of the Total Environment&lt;/full-title&gt;&lt;/periodical&gt;&lt;pages&gt;167105&lt;/pages&gt;&lt;volume&gt;905&lt;/volume&gt;&lt;dates&gt;&lt;year&gt;2023&lt;/year&gt;&lt;/dates&gt;&lt;isbn&gt;0048-9697&lt;/isbn&gt;&lt;urls&gt;&lt;/urls&gt;&lt;/record&gt;&lt;/Cite&gt;&lt;/EndNote&gt;</w:instrText>
      </w:r>
      <w:r w:rsidR="000D6068">
        <w:rPr>
          <w:rFonts w:ascii="Times New Roman" w:hAnsi="Times New Roman" w:cs="Times New Roman"/>
          <w:sz w:val="24"/>
        </w:rPr>
        <w:fldChar w:fldCharType="separate"/>
      </w:r>
      <w:hyperlink w:anchor="_ENREF_30" w:tooltip="Hu, 2023 #87" w:history="1">
        <w:r w:rsidR="00BC4E2E">
          <w:rPr>
            <w:rFonts w:ascii="Times New Roman" w:hAnsi="Times New Roman" w:cs="Times New Roman"/>
            <w:noProof/>
            <w:sz w:val="24"/>
          </w:rPr>
          <w:t>Hu</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remains relevant to soil fertility management but cannot be attributed to specific treatment effects in this study given the non-significant pH results.</w:t>
      </w:r>
      <w:r w:rsidR="0051336C">
        <w:rPr>
          <w:rFonts w:ascii="Times New Roman" w:hAnsi="Times New Roman" w:cs="Times New Roman"/>
          <w:sz w:val="24"/>
        </w:rPr>
        <w:t xml:space="preserve"> </w:t>
      </w:r>
      <w:r w:rsidRPr="00A16B2B">
        <w:rPr>
          <w:rFonts w:ascii="Times New Roman" w:hAnsi="Times New Roman" w:cs="Times New Roman"/>
          <w:sz w:val="24"/>
        </w:rPr>
        <w:t xml:space="preserve">The significant effect of variety, row arrangement, and their interaction on </w:t>
      </w:r>
      <w:r w:rsidR="00D075DA">
        <w:rPr>
          <w:rFonts w:ascii="Times New Roman" w:hAnsi="Times New Roman" w:cs="Times New Roman"/>
          <w:sz w:val="24"/>
        </w:rPr>
        <w:t>soil organic carbon</w:t>
      </w:r>
      <w:r w:rsidRPr="00A16B2B">
        <w:rPr>
          <w:rFonts w:ascii="Times New Roman" w:hAnsi="Times New Roman" w:cs="Times New Roman"/>
          <w:sz w:val="24"/>
        </w:rPr>
        <w:t xml:space="preserve"> (p&lt;0.05) demonstrates that intercropping configuration influences carbon dynamics. Treatment T6, which achieved the highest SOC (4.0%), incorporated a greater proportion of vetch rows</w:t>
      </w:r>
      <w:r w:rsidR="00F67213">
        <w:rPr>
          <w:rFonts w:ascii="Times New Roman" w:hAnsi="Times New Roman" w:cs="Times New Roman"/>
          <w:sz w:val="24"/>
        </w:rPr>
        <w:t xml:space="preserve">.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AuthorYear="1"&gt;&lt;Author&gt;Skersiene&lt;/Author&gt;&lt;Year&gt;2024&lt;/Year&gt;&lt;RecNum&gt;88&lt;/RecNum&gt;&lt;DisplayText&gt;Skersiene&lt;style face="italic"&gt; et al.&lt;/style&gt; (2024)&lt;/DisplayText&gt;&lt;record&gt;&lt;rec-number&gt;88&lt;/rec-number&gt;&lt;foreign-keys&gt;&lt;key app="EN" db-id="5ee0etwro2xdtheaap2xr5f6dpxvrsx2v0t5"&gt;88&lt;/key&gt;&lt;/foreign-keys&gt;&lt;ref-type name="Journal Article"&gt;17&lt;/ref-type&gt;&lt;contributors&gt;&lt;authors&gt;&lt;author&gt;Skersiene, Aida&lt;/author&gt;&lt;author&gt;Slepetiene, Alvyra&lt;/author&gt;&lt;author&gt;Stukonis, Vaclovas&lt;/author&gt;&lt;author&gt;Norkeviciene, Egle&lt;/author&gt;&lt;/authors&gt;&lt;/contributors&gt;&lt;titles&gt;&lt;title&gt;Contributions of Different Perennial Grass Species and Their Roots&amp;apos; Characteristics to Soil Organic Carbon Accumulation&lt;/title&gt;&lt;secondary-title&gt;Sustainability (2071-1050)&lt;/secondary-title&gt;&lt;/titles&gt;&lt;periodical&gt;&lt;full-title&gt;Sustainability (2071-1050)&lt;/full-title&gt;&lt;/periodical&gt;&lt;volume&gt;16&lt;/volume&gt;&lt;number&gt;14&lt;/number&gt;&lt;dates&gt;&lt;year&gt;2024&lt;/year&gt;&lt;/dates&gt;&lt;isbn&gt;2071-1050&lt;/isbn&gt;&lt;urls&gt;&lt;/urls&gt;&lt;/record&gt;&lt;/Cite&gt;&lt;/EndNote&gt;</w:instrText>
      </w:r>
      <w:r w:rsidR="000D6068">
        <w:rPr>
          <w:rFonts w:ascii="Times New Roman" w:hAnsi="Times New Roman" w:cs="Times New Roman"/>
          <w:sz w:val="24"/>
        </w:rPr>
        <w:fldChar w:fldCharType="separate"/>
      </w:r>
      <w:hyperlink w:anchor="_ENREF_60" w:tooltip="Skersiene, 2024 #88" w:history="1">
        <w:r w:rsidR="00BC4E2E">
          <w:rPr>
            <w:rFonts w:ascii="Times New Roman" w:hAnsi="Times New Roman" w:cs="Times New Roman"/>
            <w:noProof/>
            <w:sz w:val="24"/>
          </w:rPr>
          <w:t>Skersiene</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(2024</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w:t>
      </w:r>
      <w:r w:rsidRPr="00A16B2B">
        <w:rPr>
          <w:rFonts w:ascii="Times New Roman" w:hAnsi="Times New Roman" w:cs="Times New Roman"/>
          <w:sz w:val="24"/>
        </w:rPr>
        <w:t xml:space="preserve"> documented that vetch integration improved soil structure and fertility, potentially through enhanced root biomass and nitrogen fixation-associated carbon inputs.</w:t>
      </w:r>
      <w:r w:rsidR="00D075DA">
        <w:rPr>
          <w:rFonts w:ascii="Times New Roman" w:hAnsi="Times New Roman" w:cs="Times New Roman"/>
          <w:sz w:val="24"/>
        </w:rPr>
        <w:t xml:space="preserve"> </w:t>
      </w:r>
      <w:r w:rsidRPr="00A16B2B">
        <w:rPr>
          <w:rFonts w:ascii="Times New Roman" w:hAnsi="Times New Roman" w:cs="Times New Roman"/>
          <w:sz w:val="24"/>
        </w:rPr>
        <w:t xml:space="preserve">The maintenance of medium-level </w:t>
      </w:r>
      <w:r w:rsidR="00D075DA">
        <w:rPr>
          <w:rFonts w:ascii="Times New Roman" w:hAnsi="Times New Roman" w:cs="Times New Roman"/>
          <w:sz w:val="24"/>
        </w:rPr>
        <w:t>soil organic carbon</w:t>
      </w:r>
      <w:r w:rsidRPr="00A16B2B">
        <w:rPr>
          <w:rFonts w:ascii="Times New Roman" w:hAnsi="Times New Roman" w:cs="Times New Roman"/>
          <w:sz w:val="24"/>
        </w:rPr>
        <w:t xml:space="preserve"> across all treatments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AuthorYear="1"&gt;&lt;Author&gt;Landon&lt;/Author&gt;&lt;Year&gt;1999&lt;/Year&gt;&lt;RecNum&gt;89&lt;/RecNum&gt;&lt;DisplayText&gt;Landon et al. (1999)&lt;/DisplayText&gt;&lt;record&gt;&lt;rec-number&gt;89&lt;/rec-number&gt;&lt;foreign-keys&gt;&lt;key app="EN" db-id="5ee0etwro2xdtheaap2xr5f6dpxvrsx2v0t5"&gt;89&lt;/key&gt;&lt;/foreign-keys&gt;&lt;ref-type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 et al. (1999</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w:t>
      </w:r>
      <w:r w:rsidRPr="00A16B2B">
        <w:rPr>
          <w:rFonts w:ascii="Times New Roman" w:hAnsi="Times New Roman" w:cs="Times New Roman"/>
          <w:sz w:val="24"/>
        </w:rPr>
        <w:t>indicates adequate soil organic matter to support biological activity and nutrient cycling. While improved soil structure theoretically enhances carbon storage capacity through physical protection of organic matter, the specific mechanisms driving the superior performance of T6 warrant further investigation through root biomass quantification and microbial activity assessments.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significant interaction effect on total nitrogen (p&lt;0.05), with T6 and T8 achieving the highest values (0.35% and 0.34%, respectively), provides evidence for nitrogen accumulation in vetch-dominant treatments. This pattern is consistent with biological nitrogen fixation by Rhizobium bacteria in vetch root nodules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AuthorYear="1"&gt;&lt;Author&gt;Luo&lt;/Author&gt;&lt;Year&gt;2023&lt;/Year&gt;&lt;RecNum&gt;90&lt;/RecNum&gt;&lt;DisplayText&gt;Luo&lt;style face="italic"&gt; et al.&lt;/style&gt; (2023)&lt;/DisplayText&gt;&lt;record&gt;&lt;rec-number&gt;90&lt;/rec-number&gt;&lt;foreign-keys&gt;&lt;key app="EN" db-id="5ee0etwro2xdtheaap2xr5f6dpxvrsx2v0t5"&gt;90&lt;/key&gt;&lt;/foreign-keys&gt;&lt;ref-type name="Journal Article"&gt;17&lt;/ref-type&gt;&lt;contributors&gt;&lt;authors&gt;&lt;author&gt;Luo, Feng&lt;/author&gt;&lt;author&gt;Liu, Wenhui&lt;/author&gt;&lt;author&gt;Mi, Wenbo&lt;/author&gt;&lt;author&gt;Ma, Xiang&lt;/author&gt;&lt;author&gt;Liu, KaiQiang&lt;/author&gt;&lt;author&gt;Ju, Zeliang&lt;/author&gt;&lt;author&gt;Li, Wen&lt;/author&gt;&lt;/authors&gt;&lt;/contributors&gt;&lt;titles&gt;&lt;title&gt;Legume-grass mixtures increase forage yield by improving soil quality in different ecological regions of the Qinghai-Tibet Plateau&lt;/title&gt;&lt;secondary-title&gt;Frontiers in plant science&lt;/secondary-title&gt;&lt;/titles&gt;&lt;periodical&gt;&lt;full-title&gt;Frontiers in plant science&lt;/full-title&gt;&lt;/periodical&gt;&lt;pages&gt;1280771&lt;/pages&gt;&lt;volume&gt;14&lt;/volume&gt;&lt;dates&gt;&lt;year&gt;2023&lt;/year&gt;&lt;/dates&gt;&lt;isbn&gt;1664-462X&lt;/isbn&gt;&lt;urls&gt;&lt;/urls&gt;&lt;/record&gt;&lt;/Cite&gt;&lt;/EndNote&gt;</w:instrText>
      </w:r>
      <w:r w:rsidR="000D6068">
        <w:rPr>
          <w:rFonts w:ascii="Times New Roman" w:hAnsi="Times New Roman" w:cs="Times New Roman"/>
          <w:sz w:val="24"/>
        </w:rPr>
        <w:fldChar w:fldCharType="separate"/>
      </w:r>
      <w:hyperlink w:anchor="_ENREF_44" w:tooltip="Luo, 2023 #90" w:history="1">
        <w:r w:rsidR="00BC4E2E">
          <w:rPr>
            <w:rFonts w:ascii="Times New Roman" w:hAnsi="Times New Roman" w:cs="Times New Roman"/>
            <w:noProof/>
            <w:sz w:val="24"/>
          </w:rPr>
          <w:t>Luo</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which demonstrated that oat-vetch intercropping improved soil nitrogen status.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The elevated TN in treatments with higher vetch proportions supports the hypothesis that legume inclusion enhances nitrogen availability in low-input systems. However, the extent to which this fixed nitrogen becomes available to companion crops versus remaining in soil organic pools requires isotopic tracing or detailed nitrogen budget analyses. The practical implication is that strategic row arrangements favoring vetch (as in T6) can enhance soil nitrogen capital without external fertilizer inputs.</w:t>
      </w:r>
      <w:r w:rsidR="003C4749">
        <w:rPr>
          <w:rFonts w:ascii="Times New Roman" w:hAnsi="Times New Roman" w:cs="Times New Roman"/>
          <w:sz w:val="24"/>
        </w:rPr>
        <w:t xml:space="preserve"> </w:t>
      </w:r>
      <w:r w:rsidRPr="00A16B2B">
        <w:rPr>
          <w:rFonts w:ascii="Times New Roman" w:hAnsi="Times New Roman" w:cs="Times New Roman"/>
          <w:sz w:val="24"/>
        </w:rPr>
        <w:t>The numerical decline in AP from pre-planting to post-harvest levels likely reflects net phosphorus uptake by the growing crops. The classification of AP as "low" (4</w:t>
      </w:r>
      <w:r w:rsidR="00F67213">
        <w:rPr>
          <w:rFonts w:ascii="Times New Roman" w:hAnsi="Times New Roman" w:cs="Times New Roman"/>
          <w:sz w:val="24"/>
        </w:rPr>
        <w:t xml:space="preserve">.8-6.18 ppm) across treatments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AuthorYear="1"&gt;&lt;Author&gt;Landon&lt;/Author&gt;&lt;Year&gt;1999&lt;/Year&gt;&lt;RecNum&gt;91&lt;/RecNum&gt;&lt;DisplayText&gt;Landon et al. (1999)&lt;/DisplayText&gt;&lt;record&gt;&lt;rec-number&gt;91&lt;/rec-number&gt;&lt;foreign-keys&gt;&lt;key app="EN" db-id="5ee0etwro2xdtheaap2xr5f6dpxvrsx2v0t5"&gt;91&lt;/key&gt;&lt;/foreign-keys&gt;&lt;ref-type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 et al. (1999</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suggests potential phosphorus limitation for subsequent crops.</w:t>
      </w:r>
      <w:r w:rsidR="0051336C">
        <w:rPr>
          <w:rFonts w:ascii="Times New Roman" w:hAnsi="Times New Roman" w:cs="Times New Roman"/>
          <w:sz w:val="24"/>
        </w:rPr>
        <w:t xml:space="preserve"> </w:t>
      </w:r>
      <w:r w:rsidRPr="00A16B2B">
        <w:rPr>
          <w:rFonts w:ascii="Times New Roman" w:hAnsi="Times New Roman" w:cs="Times New Roman"/>
          <w:sz w:val="24"/>
        </w:rPr>
        <w:t>While legumes can enhance phosphorus mobilization through root exudates t</w:t>
      </w:r>
      <w:r w:rsidR="00F67213">
        <w:rPr>
          <w:rFonts w:ascii="Times New Roman" w:hAnsi="Times New Roman" w:cs="Times New Roman"/>
          <w:sz w:val="24"/>
        </w:rPr>
        <w:t xml:space="preserve">hat solubilize mineral-bound P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AuthorYear="1"&gt;&lt;Author&gt;Hu&lt;/Author&gt;&lt;Year&gt;2023&lt;/Year&gt;&lt;RecNum&gt;92&lt;/RecNum&gt;&lt;DisplayText&gt;Hu et al. (2023)&lt;/DisplayText&gt;&lt;record&gt;&lt;rec-number&gt;92&lt;/rec-number&gt;&lt;foreign-keys&gt;&lt;key app="EN" db-id="5ee0etwro2xdtheaap2xr5f6dpxvrsx2v0t5"&gt;92&lt;/key&gt;&lt;/foreign-keys&gt;&lt;ref-type name="Journal Article"&gt;17&lt;/ref-type&gt;&lt;contributors&gt;&lt;authors&gt;&lt;author&gt;Hu, Yuanliu&lt;/author&gt;&lt;author&gt;Chen, Ji&lt;/author&gt;&lt;author&gt;Hui, Dafeng&lt;/author&gt;&lt;author&gt;Li, Jianling&lt;/author&gt;&lt;author&gt;Yao, Xianyu&lt;/author&gt;&lt;author&gt;Zhang, Deqiang&lt;/author&gt;&lt;author&gt;Deng, Qi&lt;/author&gt;&lt;/authors&gt;&lt;/contributors&gt;&lt;titles&gt;&lt;title&gt;Soil acidification suppresses phosphorus supply through enhancing organomineral association&lt;/title&gt;&lt;secondary-title&gt;Science of the Total Environment&lt;/secondary-title&gt;&lt;/titles&gt;&lt;periodical&gt;&lt;full-title&gt;Science of the Total Environment&lt;/full-title&gt;&lt;/periodical&gt;&lt;pages&gt;167105&lt;/pages&gt;&lt;volume&gt;905&lt;/volume&gt;&lt;dates&gt;&lt;year&gt;2023&lt;/year&gt;&lt;/dates&gt;&lt;isbn&gt;0048-9697&lt;/isbn&gt;&lt;urls&gt;&lt;/urls&gt;&lt;/record&gt;&lt;/Cite&gt;&lt;/EndNote&gt;</w:instrText>
      </w:r>
      <w:r w:rsidR="000D6068">
        <w:rPr>
          <w:rFonts w:ascii="Times New Roman" w:hAnsi="Times New Roman" w:cs="Times New Roman"/>
          <w:sz w:val="24"/>
        </w:rPr>
        <w:fldChar w:fldCharType="separate"/>
      </w:r>
      <w:hyperlink w:anchor="_ENREF_30" w:tooltip="Hu, 2023 #87" w:history="1">
        <w:r w:rsidR="00BC4E2E">
          <w:rPr>
            <w:rFonts w:ascii="Times New Roman" w:hAnsi="Times New Roman" w:cs="Times New Roman"/>
            <w:noProof/>
            <w:sz w:val="24"/>
          </w:rPr>
          <w:t>Hu et al.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the lack of reported significance testing for AP prevents definitive conclusions about differential phosphorus dynamics among treatments. The observation that treatments with more vetch rows showed numerically higher AP requires statistical validation before attributing this pattern to legume-mediated phosphorus mobilization.</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significant treatment effects on </w:t>
      </w:r>
      <w:r w:rsidR="00D075DA">
        <w:rPr>
          <w:rFonts w:ascii="Times New Roman" w:hAnsi="Times New Roman" w:cs="Times New Roman"/>
          <w:sz w:val="24"/>
        </w:rPr>
        <w:t>organic matter</w:t>
      </w:r>
      <w:r w:rsidRPr="00A16B2B">
        <w:rPr>
          <w:rFonts w:ascii="Times New Roman" w:hAnsi="Times New Roman" w:cs="Times New Roman"/>
          <w:sz w:val="24"/>
        </w:rPr>
        <w:t xml:space="preserve"> (p&lt;0.05) mirror the </w:t>
      </w:r>
      <w:r w:rsidR="00D075DA">
        <w:rPr>
          <w:rFonts w:ascii="Times New Roman" w:hAnsi="Times New Roman" w:cs="Times New Roman"/>
          <w:sz w:val="24"/>
        </w:rPr>
        <w:t>soil organic carbon</w:t>
      </w:r>
      <w:r w:rsidRPr="00A16B2B">
        <w:rPr>
          <w:rFonts w:ascii="Times New Roman" w:hAnsi="Times New Roman" w:cs="Times New Roman"/>
          <w:sz w:val="24"/>
        </w:rPr>
        <w:t xml:space="preserve"> patterns, which is expected given that organic carbon comprises approximately 58% of soil organic matter. The superior performance of T6 (7.04% </w:t>
      </w:r>
      <w:r w:rsidR="00D075DA">
        <w:rPr>
          <w:rFonts w:ascii="Times New Roman" w:hAnsi="Times New Roman" w:cs="Times New Roman"/>
          <w:sz w:val="24"/>
        </w:rPr>
        <w:t>organic matter</w:t>
      </w:r>
      <w:r w:rsidRPr="00A16B2B">
        <w:rPr>
          <w:rFonts w:ascii="Times New Roman" w:hAnsi="Times New Roman" w:cs="Times New Roman"/>
          <w:sz w:val="24"/>
        </w:rPr>
        <w:t xml:space="preserve">) compared to T5, T2, and T9 (4.5% </w:t>
      </w:r>
      <w:r w:rsidR="0044687A" w:rsidRPr="0044687A">
        <w:rPr>
          <w:rFonts w:ascii="Times New Roman" w:hAnsi="Times New Roman" w:cs="Times New Roman"/>
          <w:sz w:val="24"/>
        </w:rPr>
        <w:t>organic matter</w:t>
      </w:r>
      <w:r w:rsidRPr="00A16B2B">
        <w:rPr>
          <w:rFonts w:ascii="Times New Roman" w:hAnsi="Times New Roman" w:cs="Times New Roman"/>
          <w:sz w:val="24"/>
        </w:rPr>
        <w:t>) suggests that specific oat-vetch ratios and spatial arrangements influence residue quality, decomposition rates, or root biomass contributions.</w:t>
      </w:r>
      <w:r w:rsidR="0051336C">
        <w:rPr>
          <w:rFonts w:ascii="Times New Roman" w:hAnsi="Times New Roman" w:cs="Times New Roman"/>
          <w:sz w:val="24"/>
        </w:rPr>
        <w:t xml:space="preserve">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AuthorYear="1"&gt;&lt;Author&gt;Lemma&lt;/Author&gt;&lt;Year&gt;2011&lt;/Year&gt;&lt;RecNum&gt;93&lt;/RecNum&gt;&lt;DisplayText&gt;Lemma (2011)&lt;/DisplayText&gt;&lt;record&gt;&lt;rec-number&gt;93&lt;/rec-number&gt;&lt;foreign-keys&gt;&lt;key app="EN" db-id="5ee0etwro2xdtheaap2xr5f6dpxvrsx2v0t5"&gt;93&lt;/key&gt;&lt;/foreign-keys&gt;&lt;ref-type name="Thesis"&gt;32&lt;/ref-type&gt;&lt;contributors&gt;&lt;authors&gt;&lt;author&gt;Lemma, Eshetu&lt;/author&gt;&lt;/authors&gt;&lt;/contributors&gt;&lt;titles&gt;&lt;title&gt;Assessment of soil acidity and determination of lime requirement for different land use types: the case of Degem wereda, north shoa zone, northwestern Ethiopia&lt;/title&gt;&lt;/titles&gt;&lt;dates&gt;&lt;year&gt;2011&lt;/year&gt;&lt;/dates&gt;&lt;publisher&gt;Addis Ababa University&lt;/publisher&gt;&lt;urls&gt;&lt;/urls&gt;&lt;/record&gt;&lt;/Cite&gt;&lt;/EndNote&gt;</w:instrText>
      </w:r>
      <w:r w:rsidR="000D6068">
        <w:rPr>
          <w:rFonts w:ascii="Times New Roman" w:hAnsi="Times New Roman" w:cs="Times New Roman"/>
          <w:sz w:val="24"/>
        </w:rPr>
        <w:fldChar w:fldCharType="separate"/>
      </w:r>
      <w:hyperlink w:anchor="_ENREF_41" w:tooltip="Lemma, 2011 #93" w:history="1">
        <w:r w:rsidR="00BC4E2E">
          <w:rPr>
            <w:rFonts w:ascii="Times New Roman" w:hAnsi="Times New Roman" w:cs="Times New Roman"/>
            <w:noProof/>
            <w:sz w:val="24"/>
          </w:rPr>
          <w:t>Lemma (2011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 xml:space="preserve">, </w:t>
      </w:r>
      <w:r w:rsidRPr="00A16B2B">
        <w:rPr>
          <w:rFonts w:ascii="Times New Roman" w:hAnsi="Times New Roman" w:cs="Times New Roman"/>
          <w:sz w:val="24"/>
        </w:rPr>
        <w:t xml:space="preserve">observed higher </w:t>
      </w:r>
      <w:r w:rsidR="0044687A">
        <w:rPr>
          <w:rFonts w:ascii="Times New Roman" w:hAnsi="Times New Roman" w:cs="Times New Roman"/>
          <w:sz w:val="24"/>
        </w:rPr>
        <w:t>organic matter</w:t>
      </w:r>
      <w:r w:rsidRPr="00A16B2B">
        <w:rPr>
          <w:rFonts w:ascii="Times New Roman" w:hAnsi="Times New Roman" w:cs="Times New Roman"/>
          <w:sz w:val="24"/>
        </w:rPr>
        <w:t xml:space="preserve"> in soils following acid-tolerant legumes compared to cereal monocultures in similar Ethiopian </w:t>
      </w:r>
      <w:r w:rsidR="007457BE" w:rsidRPr="00A16B2B">
        <w:rPr>
          <w:rFonts w:ascii="Times New Roman" w:hAnsi="Times New Roman" w:cs="Times New Roman"/>
          <w:sz w:val="24"/>
        </w:rPr>
        <w:t>agro ecological</w:t>
      </w:r>
      <w:r w:rsidRPr="00A16B2B">
        <w:rPr>
          <w:rFonts w:ascii="Times New Roman" w:hAnsi="Times New Roman" w:cs="Times New Roman"/>
          <w:sz w:val="24"/>
        </w:rPr>
        <w:t xml:space="preserve"> zones, supporting the notion that legume-cereal systems enhance organic matter accumulation. The medium classification of all treatments indicates moderately healthy soils capable of supporting nutrient cycling and biological activity, though further improvements toward the "high" category (5-10%) would enhance soil resilience and productivity.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The non-significant CEC differences among treatments (p&gt;0.05) indicate that intercropping arrangements did not differentially affect the soil's capacity to retain and exchange cations during the study period. This stability may reflect: (1) the short-term nature of the experiment relative to the time required for detectable changes in clay-organic matter complexes, (2) the buffering capacity of existing soil colloids, or (3) insufficient organic matter accumulation to measurably alter CEC.</w:t>
      </w:r>
      <w:r w:rsidR="003C4749">
        <w:rPr>
          <w:rFonts w:ascii="Times New Roman" w:hAnsi="Times New Roman" w:cs="Times New Roman"/>
          <w:sz w:val="24"/>
        </w:rPr>
        <w:t xml:space="preserve"> </w:t>
      </w:r>
      <w:r w:rsidRPr="00A16B2B">
        <w:rPr>
          <w:rFonts w:ascii="Times New Roman" w:hAnsi="Times New Roman" w:cs="Times New Roman"/>
          <w:sz w:val="24"/>
        </w:rPr>
        <w:t>While theoretical models predic</w:t>
      </w:r>
      <w:r w:rsidR="005F2484">
        <w:rPr>
          <w:rFonts w:ascii="Times New Roman" w:hAnsi="Times New Roman" w:cs="Times New Roman"/>
          <w:sz w:val="24"/>
        </w:rPr>
        <w:t xml:space="preserve">t CEC increases with rising OM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AuthorYear="1"&gt;&lt;Author&gt;Alemu&lt;/Author&gt;&lt;Year&gt;2021&lt;/Year&gt;&lt;RecNum&gt;94&lt;/RecNum&gt;&lt;DisplayText&gt;Alemu (2021)&lt;/DisplayText&gt;&lt;record&gt;&lt;rec-number&gt;94&lt;/rec-number&gt;&lt;foreign-keys&gt;&lt;key app="EN" db-id="5ee0etwro2xdtheaap2xr5f6dpxvrsx2v0t5"&gt;94&lt;/key&gt;&lt;/foreign-keys&gt;&lt;ref-type name="Journal Article"&gt;17&lt;/ref-type&gt;&lt;contributors&gt;&lt;authors&gt;&lt;author&gt;Alemu, Gashaw&lt;/author&gt;&lt;/authors&gt;&lt;/contributors&gt;&lt;titles&gt;&lt;title&gt;BAHIRDAR UNIVERSITY COLLEGE OF AGRICULTURE AND ENVIRONMENTAL SCIENCES GRADUATE PROGRAM&lt;/title&gt;&lt;/titles&gt;&lt;dates&gt;&lt;year&gt;2021&lt;/year&gt;&lt;/dates&gt;&lt;urls&gt;&lt;/urls&gt;&lt;/record&gt;&lt;/Cite&gt;&lt;/EndNote&gt;</w:instrText>
      </w:r>
      <w:r w:rsidR="000D6068">
        <w:rPr>
          <w:rFonts w:ascii="Times New Roman" w:hAnsi="Times New Roman" w:cs="Times New Roman"/>
          <w:sz w:val="24"/>
        </w:rPr>
        <w:fldChar w:fldCharType="separate"/>
      </w:r>
      <w:hyperlink w:anchor="_ENREF_3" w:tooltip="Alemu, 2021 #94" w:history="1">
        <w:r w:rsidR="00BC4E2E">
          <w:rPr>
            <w:rFonts w:ascii="Times New Roman" w:hAnsi="Times New Roman" w:cs="Times New Roman"/>
            <w:noProof/>
            <w:sz w:val="24"/>
          </w:rPr>
          <w:t>Alemu (2021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Pr="00A16B2B">
        <w:rPr>
          <w:rFonts w:ascii="Times New Roman" w:hAnsi="Times New Roman" w:cs="Times New Roman"/>
          <w:sz w:val="24"/>
        </w:rPr>
        <w:t>, translating these changes into statistically detectable differences may require multi-season studies or more substantial OM accumulation than achieved in a single growing cycle. The assertion that "organic matter and CEC rise after crop harvest" requires empirical support through temporal sampling to establish causality.</w:t>
      </w:r>
    </w:p>
    <w:p w:rsidR="00604511" w:rsidRPr="00A16B2B" w:rsidRDefault="00A16B2B" w:rsidP="009C3DF3">
      <w:pPr>
        <w:spacing w:line="360" w:lineRule="auto"/>
        <w:jc w:val="both"/>
        <w:rPr>
          <w:rFonts w:ascii="Times New Roman" w:hAnsi="Times New Roman" w:cs="Times New Roman"/>
          <w:sz w:val="24"/>
        </w:rPr>
      </w:pPr>
      <w:r w:rsidRPr="00A16B2B">
        <w:rPr>
          <w:rFonts w:ascii="Times New Roman" w:hAnsi="Times New Roman" w:cs="Times New Roman"/>
          <w:sz w:val="24"/>
        </w:rPr>
        <w:t>The selective nature of</w:t>
      </w:r>
      <w:r w:rsidR="0051336C">
        <w:rPr>
          <w:rFonts w:ascii="Times New Roman" w:hAnsi="Times New Roman" w:cs="Times New Roman"/>
          <w:sz w:val="24"/>
        </w:rPr>
        <w:t xml:space="preserve"> significant treatment effects </w:t>
      </w:r>
      <w:r w:rsidR="0051336C" w:rsidRPr="00A16B2B">
        <w:rPr>
          <w:rFonts w:ascii="Times New Roman" w:hAnsi="Times New Roman" w:cs="Times New Roman"/>
          <w:sz w:val="24"/>
        </w:rPr>
        <w:t>evident</w:t>
      </w:r>
      <w:r w:rsidRPr="00A16B2B">
        <w:rPr>
          <w:rFonts w:ascii="Times New Roman" w:hAnsi="Times New Roman" w:cs="Times New Roman"/>
          <w:sz w:val="24"/>
        </w:rPr>
        <w:t xml:space="preserve"> for </w:t>
      </w:r>
      <w:r w:rsidR="003C4749">
        <w:rPr>
          <w:rFonts w:ascii="Times New Roman" w:hAnsi="Times New Roman" w:cs="Times New Roman"/>
          <w:sz w:val="24"/>
        </w:rPr>
        <w:t>soil organic carbon</w:t>
      </w:r>
      <w:r w:rsidRPr="00A16B2B">
        <w:rPr>
          <w:rFonts w:ascii="Times New Roman" w:hAnsi="Times New Roman" w:cs="Times New Roman"/>
          <w:sz w:val="24"/>
        </w:rPr>
        <w:t xml:space="preserve">, TN, and OM </w:t>
      </w:r>
      <w:r w:rsidR="0051336C">
        <w:rPr>
          <w:rFonts w:ascii="Times New Roman" w:hAnsi="Times New Roman" w:cs="Times New Roman"/>
          <w:sz w:val="24"/>
        </w:rPr>
        <w:t>but absent for pH, AP, and CEC h</w:t>
      </w:r>
      <w:r w:rsidRPr="00A16B2B">
        <w:rPr>
          <w:rFonts w:ascii="Times New Roman" w:hAnsi="Times New Roman" w:cs="Times New Roman"/>
          <w:sz w:val="24"/>
        </w:rPr>
        <w:t>ighlights the complexity of soil responses to intercropping systems. Treatment T6 consistently demonstrated superior performance across the significant parameters, suggesting that specific oat-vetch configurations (higher vetch proportions) optimize soil fertility outcomes.</w:t>
      </w:r>
      <w:r>
        <w:rPr>
          <w:rFonts w:ascii="Times New Roman" w:hAnsi="Times New Roman" w:cs="Times New Roman"/>
          <w:sz w:val="24"/>
        </w:rPr>
        <w:t xml:space="preserve"> </w:t>
      </w:r>
      <w:r w:rsidRPr="00A16B2B">
        <w:rPr>
          <w:rFonts w:ascii="Times New Roman" w:hAnsi="Times New Roman" w:cs="Times New Roman"/>
          <w:sz w:val="24"/>
        </w:rPr>
        <w:t xml:space="preserve">These findings support the agronomic potential of legume-cereal intercropping for enhancing soil nitrogen and organic matter without external inputs, particularly relevant for low-input farming systems. However, the lack of significant effects on pH, AP, and CEC indicates that not all soil properties respond uniformly to short-term intercropping interventions. Long-term trials are necessary to determine whether the observed improvements in </w:t>
      </w:r>
      <w:r w:rsidR="003C4749">
        <w:rPr>
          <w:rFonts w:ascii="Times New Roman" w:hAnsi="Times New Roman" w:cs="Times New Roman"/>
          <w:sz w:val="24"/>
        </w:rPr>
        <w:t>soil organic matter</w:t>
      </w:r>
      <w:r w:rsidRPr="00A16B2B">
        <w:rPr>
          <w:rFonts w:ascii="Times New Roman" w:hAnsi="Times New Roman" w:cs="Times New Roman"/>
          <w:sz w:val="24"/>
        </w:rPr>
        <w:t>, TN, and OM translate into sustained enhancements across the full suite of soil chemical properties.</w:t>
      </w:r>
      <w:bookmarkEnd w:id="20"/>
    </w:p>
    <w:p w:rsidR="00DD401E" w:rsidRPr="007E283F" w:rsidRDefault="007E283F" w:rsidP="007E283F">
      <w:pPr>
        <w:pStyle w:val="Caption"/>
        <w:spacing w:line="276" w:lineRule="auto"/>
        <w:rPr>
          <w:b w:val="0"/>
          <w:sz w:val="24"/>
          <w:szCs w:val="24"/>
        </w:rPr>
      </w:pPr>
      <w:bookmarkStart w:id="21" w:name="_Toc185337606"/>
      <w:bookmarkStart w:id="22" w:name="_Toc185337642"/>
      <w:bookmarkStart w:id="23" w:name="_Toc187696839"/>
      <w:r w:rsidRPr="007E283F">
        <w:rPr>
          <w:b w:val="0"/>
          <w:sz w:val="24"/>
          <w:szCs w:val="24"/>
        </w:rPr>
        <w:t xml:space="preserve">Table </w:t>
      </w:r>
      <w:r w:rsidR="000D6068" w:rsidRPr="007E283F">
        <w:rPr>
          <w:b w:val="0"/>
          <w:sz w:val="24"/>
          <w:szCs w:val="24"/>
        </w:rPr>
        <w:fldChar w:fldCharType="begin"/>
      </w:r>
      <w:r w:rsidRPr="007E283F">
        <w:rPr>
          <w:b w:val="0"/>
          <w:sz w:val="24"/>
          <w:szCs w:val="24"/>
        </w:rPr>
        <w:instrText xml:space="preserve"> SEQ Table \* ARABIC </w:instrText>
      </w:r>
      <w:r w:rsidR="000D6068" w:rsidRPr="007E283F">
        <w:rPr>
          <w:b w:val="0"/>
          <w:sz w:val="24"/>
          <w:szCs w:val="24"/>
        </w:rPr>
        <w:fldChar w:fldCharType="separate"/>
      </w:r>
      <w:r w:rsidR="00754A4F">
        <w:rPr>
          <w:b w:val="0"/>
          <w:noProof/>
          <w:sz w:val="24"/>
          <w:szCs w:val="24"/>
        </w:rPr>
        <w:t>4</w:t>
      </w:r>
      <w:r w:rsidR="000D6068" w:rsidRPr="007E283F">
        <w:rPr>
          <w:b w:val="0"/>
          <w:sz w:val="24"/>
          <w:szCs w:val="24"/>
        </w:rPr>
        <w:fldChar w:fldCharType="end"/>
      </w:r>
      <w:r w:rsidRPr="007E283F">
        <w:rPr>
          <w:b w:val="0"/>
          <w:sz w:val="24"/>
          <w:szCs w:val="24"/>
        </w:rPr>
        <w:t>: Effect of intercropping and row arrangement on physicochemical characteristics of soil after harvesting the forages</w:t>
      </w:r>
      <w:bookmarkEnd w:id="21"/>
      <w:bookmarkEnd w:id="22"/>
      <w:bookmarkEnd w:id="23"/>
    </w:p>
    <w:tbl>
      <w:tblPr>
        <w:tblStyle w:val="TableGrid"/>
        <w:tblW w:w="10368" w:type="dxa"/>
        <w:tblLook w:val="04A0" w:firstRow="1" w:lastRow="0" w:firstColumn="1" w:lastColumn="0" w:noHBand="0" w:noVBand="1"/>
      </w:tblPr>
      <w:tblGrid>
        <w:gridCol w:w="2141"/>
        <w:gridCol w:w="1406"/>
        <w:gridCol w:w="1492"/>
        <w:gridCol w:w="1189"/>
        <w:gridCol w:w="990"/>
        <w:gridCol w:w="1260"/>
        <w:gridCol w:w="1890"/>
      </w:tblGrid>
      <w:tr w:rsidR="006C3334" w:rsidRPr="00A97D88" w:rsidTr="00267D4B">
        <w:trPr>
          <w:trHeight w:val="360"/>
        </w:trPr>
        <w:tc>
          <w:tcPr>
            <w:tcW w:w="2141" w:type="dxa"/>
            <w:vMerge w:val="restart"/>
            <w:tcBorders>
              <w:top w:val="thickThinSmallGap" w:sz="24" w:space="0" w:color="auto"/>
              <w:left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 xml:space="preserve">Factors </w:t>
            </w:r>
          </w:p>
        </w:tc>
        <w:tc>
          <w:tcPr>
            <w:tcW w:w="1406" w:type="dxa"/>
            <w:vMerge w:val="restart"/>
            <w:tcBorders>
              <w:top w:val="thickThinSmallGap" w:sz="24" w:space="0" w:color="auto"/>
              <w:left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PH (1:2.5 H20)</w:t>
            </w:r>
          </w:p>
        </w:tc>
        <w:tc>
          <w:tcPr>
            <w:tcW w:w="1492" w:type="dxa"/>
            <w:vMerge w:val="restart"/>
            <w:tcBorders>
              <w:top w:val="thickThinSmallGap" w:sz="24" w:space="0" w:color="auto"/>
              <w:left w:val="nil"/>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Av. P</w:t>
            </w:r>
          </w:p>
          <w:p w:rsidR="006C3334" w:rsidRPr="00A97D88" w:rsidRDefault="006C3334" w:rsidP="00267D4B">
            <w:pPr>
              <w:rPr>
                <w:rFonts w:ascii="Times New Roman" w:hAnsi="Times New Roman" w:cs="Times New Roman"/>
              </w:rPr>
            </w:pPr>
            <w:r w:rsidRPr="00A97D88">
              <w:rPr>
                <w:rFonts w:ascii="Times New Roman" w:hAnsi="Times New Roman" w:cs="Times New Roman"/>
              </w:rPr>
              <w:t>(ppm)</w:t>
            </w:r>
          </w:p>
        </w:tc>
        <w:tc>
          <w:tcPr>
            <w:tcW w:w="3439" w:type="dxa"/>
            <w:gridSpan w:val="3"/>
            <w:tcBorders>
              <w:top w:val="thickThinSmallGap" w:sz="24" w:space="0" w:color="auto"/>
              <w:left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 xml:space="preserve">      Nutrient (%)</w:t>
            </w:r>
          </w:p>
        </w:tc>
        <w:tc>
          <w:tcPr>
            <w:tcW w:w="1890" w:type="dxa"/>
            <w:vMerge w:val="restart"/>
            <w:tcBorders>
              <w:top w:val="thickThinSmallGap" w:sz="24" w:space="0" w:color="auto"/>
              <w:left w:val="nil"/>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CEC</w:t>
            </w:r>
          </w:p>
          <w:p w:rsidR="006C3334" w:rsidRPr="00A97D88" w:rsidRDefault="006C3334" w:rsidP="00267D4B">
            <w:pPr>
              <w:rPr>
                <w:rFonts w:ascii="Times New Roman" w:hAnsi="Times New Roman" w:cs="Times New Roman"/>
              </w:rPr>
            </w:pPr>
            <w:r w:rsidRPr="00A97D88">
              <w:rPr>
                <w:rFonts w:ascii="Times New Roman" w:hAnsi="Times New Roman" w:cs="Times New Roman"/>
              </w:rPr>
              <w:t>(meq/100gm soil)</w:t>
            </w:r>
          </w:p>
        </w:tc>
      </w:tr>
      <w:tr w:rsidR="006C3334" w:rsidRPr="00A97D88" w:rsidTr="00267D4B">
        <w:trPr>
          <w:trHeight w:val="242"/>
        </w:trPr>
        <w:tc>
          <w:tcPr>
            <w:tcW w:w="2141" w:type="dxa"/>
            <w:vMerge/>
            <w:tcBorders>
              <w:left w:val="nil"/>
              <w:bottom w:val="thickThinSmallGap" w:sz="24" w:space="0" w:color="auto"/>
              <w:right w:val="nil"/>
            </w:tcBorders>
          </w:tcPr>
          <w:p w:rsidR="006C3334" w:rsidRPr="00A97D88" w:rsidRDefault="006C3334" w:rsidP="00267D4B">
            <w:pPr>
              <w:rPr>
                <w:rFonts w:ascii="Times New Roman" w:hAnsi="Times New Roman" w:cs="Times New Roman"/>
                <w:b/>
              </w:rPr>
            </w:pPr>
          </w:p>
        </w:tc>
        <w:tc>
          <w:tcPr>
            <w:tcW w:w="1406" w:type="dxa"/>
            <w:vMerge/>
            <w:tcBorders>
              <w:left w:val="nil"/>
              <w:bottom w:val="thickThinSmallGap" w:sz="24" w:space="0" w:color="auto"/>
              <w:right w:val="nil"/>
            </w:tcBorders>
          </w:tcPr>
          <w:p w:rsidR="006C3334" w:rsidRPr="00A97D88" w:rsidRDefault="006C3334" w:rsidP="00267D4B">
            <w:pPr>
              <w:rPr>
                <w:rFonts w:ascii="Times New Roman" w:hAnsi="Times New Roman" w:cs="Times New Roman"/>
              </w:rPr>
            </w:pPr>
          </w:p>
        </w:tc>
        <w:tc>
          <w:tcPr>
            <w:tcW w:w="1492" w:type="dxa"/>
            <w:vMerge/>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p>
        </w:tc>
        <w:tc>
          <w:tcPr>
            <w:tcW w:w="1189" w:type="dxa"/>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OC (%)</w:t>
            </w:r>
          </w:p>
        </w:tc>
        <w:tc>
          <w:tcPr>
            <w:tcW w:w="990" w:type="dxa"/>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TN (%)</w:t>
            </w:r>
          </w:p>
        </w:tc>
        <w:tc>
          <w:tcPr>
            <w:tcW w:w="1260" w:type="dxa"/>
            <w:tcBorders>
              <w:left w:val="nil"/>
              <w:bottom w:val="thickThinSmallGap" w:sz="2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OM (%)</w:t>
            </w:r>
          </w:p>
        </w:tc>
        <w:tc>
          <w:tcPr>
            <w:tcW w:w="1890" w:type="dxa"/>
            <w:vMerge/>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p>
        </w:tc>
      </w:tr>
      <w:tr w:rsidR="006C3334" w:rsidRPr="00A97D88" w:rsidTr="00267D4B">
        <w:tc>
          <w:tcPr>
            <w:tcW w:w="2141"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Bonsa+c</w:t>
            </w:r>
          </w:p>
        </w:tc>
        <w:tc>
          <w:tcPr>
            <w:tcW w:w="1406"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w:t>
            </w:r>
          </w:p>
        </w:tc>
        <w:tc>
          <w:tcPr>
            <w:tcW w:w="1492"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5.18</w:t>
            </w:r>
          </w:p>
        </w:tc>
        <w:tc>
          <w:tcPr>
            <w:tcW w:w="1189"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2.89</w:t>
            </w:r>
            <w:r w:rsidRPr="00A97D88">
              <w:rPr>
                <w:rFonts w:ascii="Times New Roman" w:hAnsi="Times New Roman" w:cs="Times New Roman"/>
                <w:sz w:val="24"/>
                <w:szCs w:val="24"/>
                <w:vertAlign w:val="superscript"/>
              </w:rPr>
              <w:t>c</w:t>
            </w:r>
          </w:p>
        </w:tc>
        <w:tc>
          <w:tcPr>
            <w:tcW w:w="9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0.25</w:t>
            </w:r>
          </w:p>
        </w:tc>
        <w:tc>
          <w:tcPr>
            <w:tcW w:w="126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4.97</w:t>
            </w:r>
            <w:r w:rsidRPr="00A97D88">
              <w:rPr>
                <w:rFonts w:ascii="Times New Roman" w:hAnsi="Times New Roman" w:cs="Times New Roman"/>
                <w:sz w:val="24"/>
                <w:szCs w:val="24"/>
                <w:vertAlign w:val="superscript"/>
              </w:rPr>
              <w:t>c</w:t>
            </w:r>
          </w:p>
        </w:tc>
        <w:tc>
          <w:tcPr>
            <w:tcW w:w="18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20.98</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Bareda +c</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5.58</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3.15</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5.41</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22.77</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Bate+c</w:t>
            </w:r>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5.26</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5.53</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3.31</w:t>
            </w:r>
            <w:r w:rsidRPr="00A97D88">
              <w:rPr>
                <w:rFonts w:ascii="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5.69</w:t>
            </w:r>
            <w:r w:rsidRPr="00A97D88">
              <w:rPr>
                <w:rFonts w:ascii="Times New Roman" w:hAnsi="Times New Roman" w:cs="Times New Roman"/>
                <w:sz w:val="24"/>
                <w:szCs w:val="24"/>
                <w:vertAlign w:val="superscript"/>
              </w:rPr>
              <w:t>a</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20.49</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rPr>
            </w:pPr>
            <w:r w:rsidRPr="00A97D88">
              <w:rPr>
                <w:rFonts w:ascii="Times New Roman" w:hAnsi="Times New Roman" w:cs="Times New Roman"/>
              </w:rPr>
              <w:t>P-value</w:t>
            </w:r>
          </w:p>
        </w:tc>
        <w:tc>
          <w:tcPr>
            <w:tcW w:w="1406"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492"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189"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w:t>
            </w:r>
          </w:p>
        </w:tc>
        <w:tc>
          <w:tcPr>
            <w:tcW w:w="99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26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w:t>
            </w:r>
          </w:p>
        </w:tc>
        <w:tc>
          <w:tcPr>
            <w:tcW w:w="189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r>
      <w:tr w:rsidR="006C3334" w:rsidRPr="00A97D88" w:rsidTr="00267D4B">
        <w:tc>
          <w:tcPr>
            <w:tcW w:w="2141" w:type="dxa"/>
            <w:tcBorders>
              <w:top w:val="single" w:sz="4" w:space="0" w:color="auto"/>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Row Arrangement</w:t>
            </w:r>
          </w:p>
        </w:tc>
        <w:tc>
          <w:tcPr>
            <w:tcW w:w="1406"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492"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189"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9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26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8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1:1</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5.17</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5.27</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3.05</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1:2</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5.63</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3.11</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5.35</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2:1</w:t>
            </w:r>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5.49</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3.18</w:t>
            </w:r>
            <w:r w:rsidRPr="00A97D88">
              <w:rPr>
                <w:rFonts w:ascii="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5.47</w:t>
            </w:r>
            <w:r w:rsidRPr="00A97D88">
              <w:rPr>
                <w:rFonts w:ascii="Times New Roman" w:hAnsi="Times New Roman" w:cs="Times New Roman"/>
                <w:sz w:val="24"/>
                <w:szCs w:val="24"/>
                <w:vertAlign w:val="superscript"/>
              </w:rPr>
              <w:t>a</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20.7</w:t>
            </w:r>
          </w:p>
        </w:tc>
      </w:tr>
      <w:tr w:rsidR="006C3334" w:rsidRPr="00A97D88" w:rsidTr="00267D4B">
        <w:trPr>
          <w:trHeight w:val="152"/>
        </w:trPr>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P-value</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r>
      <w:tr w:rsidR="006C3334" w:rsidRPr="00A97D88" w:rsidTr="00267D4B">
        <w:tc>
          <w:tcPr>
            <w:tcW w:w="2141" w:type="dxa"/>
            <w:tcBorders>
              <w:top w:val="single" w:sz="4" w:space="0" w:color="auto"/>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Interaction Effects</w:t>
            </w:r>
          </w:p>
        </w:tc>
        <w:tc>
          <w:tcPr>
            <w:tcW w:w="1406"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492"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189"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9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26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8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Bonsa+c*1:1(T1)</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2.93</w:t>
            </w:r>
            <w:r w:rsidRPr="00A97D88">
              <w:rPr>
                <w:rFonts w:ascii="Times New Roman" w:hAnsi="Times New Roman" w:cs="Times New Roman"/>
                <w:sz w:val="24"/>
                <w:szCs w:val="24"/>
                <w:vertAlign w:val="superscript"/>
              </w:rPr>
              <w:t>d</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0.25</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5.04</w:t>
            </w:r>
            <w:r w:rsidRPr="00A97D88">
              <w:rPr>
                <w:rFonts w:ascii="Times New Roman" w:hAnsi="Times New Roman" w:cs="Times New Roman"/>
                <w:sz w:val="24"/>
                <w:szCs w:val="24"/>
                <w:vertAlign w:val="superscript"/>
              </w:rPr>
              <w:t>d</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21.8</w:t>
            </w:r>
          </w:p>
        </w:tc>
      </w:tr>
      <w:tr w:rsidR="006C3334" w:rsidRPr="00A97D88" w:rsidTr="00267D4B">
        <w:trPr>
          <w:trHeight w:val="242"/>
        </w:trPr>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Bonsa+c*1:2 (T2)</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5.71</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22.43</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Bonsa+c*2:1 (T3)</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5.55</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3.12</w:t>
            </w:r>
            <w:r w:rsidRPr="00A97D88">
              <w:rPr>
                <w:rFonts w:ascii="Times New Roman" w:hAnsi="Times New Roman" w:cs="Times New Roman"/>
                <w:sz w:val="24"/>
                <w:szCs w:val="24"/>
                <w:vertAlign w:val="superscript"/>
              </w:rPr>
              <w:t>c</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5.37</w:t>
            </w:r>
            <w:r w:rsidRPr="00A97D88">
              <w:rPr>
                <w:rFonts w:ascii="Times New Roman" w:hAnsi="Times New Roman" w:cs="Times New Roman"/>
                <w:sz w:val="24"/>
                <w:szCs w:val="24"/>
                <w:vertAlign w:val="superscript"/>
              </w:rPr>
              <w:t>c</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18.71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Bareda+c*1:1 (T8)</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3.6</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0.34</w:t>
            </w:r>
            <w:r w:rsidRPr="00A97D88">
              <w:rPr>
                <w:rFonts w:ascii="Times New Roman" w:hAnsi="Times New Roman" w:cs="Times New Roman"/>
                <w:sz w:val="24"/>
                <w:szCs w:val="24"/>
                <w:vertAlign w:val="superscript"/>
              </w:rPr>
              <w:t>ab</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6.2</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23.98</w:t>
            </w:r>
          </w:p>
        </w:tc>
      </w:tr>
      <w:tr w:rsidR="006C3334" w:rsidRPr="00A97D88" w:rsidTr="00267D4B">
        <w:trPr>
          <w:trHeight w:val="278"/>
        </w:trPr>
        <w:tc>
          <w:tcPr>
            <w:tcW w:w="2141"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Bareda +c*1:2 (T9)</w:t>
            </w:r>
          </w:p>
        </w:tc>
        <w:tc>
          <w:tcPr>
            <w:tcW w:w="1406"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5.43</w:t>
            </w:r>
          </w:p>
        </w:tc>
        <w:tc>
          <w:tcPr>
            <w:tcW w:w="1492"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5.52</w:t>
            </w:r>
          </w:p>
        </w:tc>
        <w:tc>
          <w:tcPr>
            <w:tcW w:w="1189"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22.37</w:t>
            </w:r>
          </w:p>
        </w:tc>
      </w:tr>
      <w:tr w:rsidR="006C3334" w:rsidRPr="00A97D88" w:rsidTr="00267D4B">
        <w:tc>
          <w:tcPr>
            <w:tcW w:w="2141"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Bareda +c*2:1 (T7)</w:t>
            </w:r>
          </w:p>
        </w:tc>
        <w:tc>
          <w:tcPr>
            <w:tcW w:w="1406"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5.44</w:t>
            </w:r>
          </w:p>
        </w:tc>
        <w:tc>
          <w:tcPr>
            <w:tcW w:w="1492"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6.11</w:t>
            </w:r>
          </w:p>
        </w:tc>
        <w:tc>
          <w:tcPr>
            <w:tcW w:w="1189"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3.21</w:t>
            </w:r>
            <w:r w:rsidRPr="00A97D88">
              <w:rPr>
                <w:rFonts w:ascii="Times New Roman" w:hAnsi="Times New Roman" w:cs="Times New Roman"/>
                <w:sz w:val="24"/>
                <w:szCs w:val="24"/>
                <w:vertAlign w:val="superscript"/>
              </w:rPr>
              <w:t>c</w:t>
            </w:r>
          </w:p>
        </w:tc>
        <w:tc>
          <w:tcPr>
            <w:tcW w:w="9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r w:rsidRPr="00A97D88">
              <w:rPr>
                <w:rFonts w:ascii="Times New Roman" w:hAnsi="Times New Roman" w:cs="Times New Roman"/>
                <w:sz w:val="24"/>
                <w:szCs w:val="24"/>
                <w:vertAlign w:val="superscript"/>
              </w:rPr>
              <w:t>bc</w:t>
            </w:r>
          </w:p>
        </w:tc>
        <w:tc>
          <w:tcPr>
            <w:tcW w:w="126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w:t>
            </w:r>
            <w:r w:rsidRPr="00A97D88">
              <w:rPr>
                <w:rFonts w:ascii="Times New Roman" w:hAnsi="Times New Roman" w:cs="Times New Roman"/>
                <w:sz w:val="24"/>
                <w:szCs w:val="24"/>
                <w:vertAlign w:val="superscript"/>
              </w:rPr>
              <w:t xml:space="preserve"> c</w:t>
            </w:r>
          </w:p>
        </w:tc>
        <w:tc>
          <w:tcPr>
            <w:tcW w:w="18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21.95</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Bate+C*1:1 (T5)</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4.97</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20.51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Bate+C*1:2 (T6)</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6.18</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4.09</w:t>
            </w:r>
            <w:r w:rsidRPr="00A97D88">
              <w:rPr>
                <w:rFonts w:ascii="Times New Roman" w:hAnsi="Times New Roman" w:cs="Times New Roman"/>
                <w:sz w:val="24"/>
                <w:szCs w:val="24"/>
                <w:vertAlign w:val="superscript"/>
              </w:rPr>
              <w:t>a</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0.35</w:t>
            </w:r>
            <w:r w:rsidRPr="00A97D88">
              <w:rPr>
                <w:rFonts w:ascii="Times New Roman" w:hAnsi="Times New Roman" w:cs="Times New Roman"/>
                <w:sz w:val="24"/>
                <w:szCs w:val="24"/>
                <w:vertAlign w:val="superscript"/>
              </w:rPr>
              <w:t>a</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7.04</w:t>
            </w:r>
            <w:r w:rsidRPr="00A97D88">
              <w:rPr>
                <w:rFonts w:ascii="Times New Roman" w:hAnsi="Times New Roman" w:cs="Times New Roman"/>
                <w:sz w:val="24"/>
                <w:szCs w:val="24"/>
                <w:vertAlign w:val="superscript"/>
              </w:rPr>
              <w:t>a</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19.52</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Bate+C*2:1 (T4)</w:t>
            </w:r>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5.47</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4.8</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3.21</w:t>
            </w:r>
            <w:r w:rsidRPr="00A97D88">
              <w:rPr>
                <w:rFonts w:ascii="Times New Roman" w:hAnsi="Times New Roman" w:cs="Times New Roman"/>
                <w:sz w:val="24"/>
                <w:szCs w:val="24"/>
                <w:vertAlign w:val="superscript"/>
              </w:rPr>
              <w:t>c</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r w:rsidRPr="00A97D88">
              <w:rPr>
                <w:rFonts w:ascii="Times New Roman" w:hAnsi="Times New Roman" w:cs="Times New Roman"/>
                <w:sz w:val="24"/>
                <w:szCs w:val="24"/>
                <w:vertAlign w:val="superscript"/>
              </w:rPr>
              <w:t>bc</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5.53</w:t>
            </w:r>
            <w:r w:rsidRPr="00A97D88">
              <w:rPr>
                <w:rFonts w:ascii="Times New Roman" w:hAnsi="Times New Roman" w:cs="Times New Roman"/>
                <w:sz w:val="24"/>
                <w:szCs w:val="24"/>
                <w:vertAlign w:val="superscript"/>
              </w:rPr>
              <w:t>c</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21.44</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Mean</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5.38</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5.43</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3.11</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5.36</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CV</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8.46</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20.34</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13.79</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2.05</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P-value</w:t>
            </w:r>
          </w:p>
        </w:tc>
        <w:tc>
          <w:tcPr>
            <w:tcW w:w="1406" w:type="dxa"/>
            <w:tcBorders>
              <w:top w:val="single" w:sz="4" w:space="0" w:color="auto"/>
              <w:left w:val="nil"/>
              <w:bottom w:val="thickThinSmallGap" w:sz="24" w:space="0" w:color="auto"/>
              <w:right w:val="nil"/>
            </w:tcBorders>
          </w:tcPr>
          <w:p w:rsidR="006C3334" w:rsidRPr="00A97D88" w:rsidRDefault="005F2484" w:rsidP="00267D4B">
            <w:pPr>
              <w:rPr>
                <w:rFonts w:ascii="Times New Roman" w:hAnsi="Times New Roman" w:cs="Times New Roman"/>
                <w:b/>
              </w:rPr>
            </w:pPr>
            <w:r>
              <w:rPr>
                <w:rFonts w:ascii="Times New Roman" w:hAnsi="Times New Roman" w:cs="Times New Roman"/>
                <w:sz w:val="24"/>
                <w:szCs w:val="24"/>
              </w:rPr>
              <w:t>N</w:t>
            </w:r>
            <w:r w:rsidR="006C3334" w:rsidRPr="00A97D88">
              <w:rPr>
                <w:rFonts w:ascii="Times New Roman" w:hAnsi="Times New Roman" w:cs="Times New Roman"/>
                <w:sz w:val="24"/>
                <w:szCs w:val="24"/>
              </w:rPr>
              <w:t>s</w:t>
            </w:r>
          </w:p>
        </w:tc>
        <w:tc>
          <w:tcPr>
            <w:tcW w:w="1492" w:type="dxa"/>
            <w:tcBorders>
              <w:top w:val="single" w:sz="4" w:space="0" w:color="auto"/>
              <w:left w:val="nil"/>
              <w:bottom w:val="thickThinSmallGap" w:sz="24" w:space="0" w:color="auto"/>
              <w:right w:val="nil"/>
            </w:tcBorders>
          </w:tcPr>
          <w:p w:rsidR="006C3334" w:rsidRPr="00A97D88" w:rsidRDefault="007C35EA" w:rsidP="00267D4B">
            <w:pPr>
              <w:rPr>
                <w:rFonts w:ascii="Times New Roman" w:hAnsi="Times New Roman" w:cs="Times New Roman"/>
                <w:b/>
              </w:rPr>
            </w:pPr>
            <w:r>
              <w:rPr>
                <w:rFonts w:ascii="Times New Roman" w:hAnsi="Times New Roman" w:cs="Times New Roman"/>
                <w:sz w:val="24"/>
                <w:szCs w:val="24"/>
              </w:rPr>
              <w:t>N</w:t>
            </w:r>
            <w:r w:rsidR="006C3334" w:rsidRPr="00A97D88">
              <w:rPr>
                <w:rFonts w:ascii="Times New Roman" w:hAnsi="Times New Roman" w:cs="Times New Roman"/>
                <w:sz w:val="24"/>
                <w:szCs w:val="24"/>
              </w:rPr>
              <w:t>s</w:t>
            </w:r>
          </w:p>
        </w:tc>
        <w:tc>
          <w:tcPr>
            <w:tcW w:w="1189"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126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189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ns</w:t>
            </w:r>
          </w:p>
        </w:tc>
      </w:tr>
    </w:tbl>
    <w:p w:rsidR="00280734" w:rsidRPr="00A97D88" w:rsidRDefault="00280734" w:rsidP="00280734">
      <w:pPr>
        <w:spacing w:after="0"/>
        <w:jc w:val="both"/>
        <w:rPr>
          <w:rFonts w:ascii="Times New Roman" w:hAnsi="Times New Roman" w:cs="Times New Roman"/>
        </w:rPr>
      </w:pPr>
    </w:p>
    <w:p w:rsidR="005E1332" w:rsidRPr="004253C7" w:rsidRDefault="009D0C51" w:rsidP="00204BE4">
      <w:pPr>
        <w:jc w:val="both"/>
        <w:rPr>
          <w:rFonts w:ascii="Times New Roman" w:hAnsi="Times New Roman" w:cs="Times New Roman"/>
          <w:i/>
          <w:sz w:val="20"/>
        </w:rPr>
      </w:pPr>
      <w:r w:rsidRPr="004253C7">
        <w:rPr>
          <w:rFonts w:ascii="Times New Roman" w:hAnsi="Times New Roman" w:cs="Times New Roman"/>
          <w:i/>
          <w:sz w:val="20"/>
          <w:vertAlign w:val="superscript"/>
        </w:rPr>
        <w:t>a, b, c</w:t>
      </w:r>
      <w:r w:rsidRPr="004253C7">
        <w:rPr>
          <w:rFonts w:ascii="Times New Roman" w:hAnsi="Times New Roman" w:cs="Times New Roman"/>
          <w:i/>
          <w:sz w:val="20"/>
        </w:rPr>
        <w:t xml:space="preserve"> </w:t>
      </w:r>
      <w:r w:rsidR="00527E76" w:rsidRPr="004253C7">
        <w:rPr>
          <w:rFonts w:ascii="Times New Roman" w:hAnsi="Times New Roman" w:cs="Times New Roman"/>
          <w:i/>
          <w:sz w:val="20"/>
        </w:rPr>
        <w:t xml:space="preserve"> </w:t>
      </w:r>
      <w:r w:rsidRPr="004253C7">
        <w:rPr>
          <w:rFonts w:ascii="Times New Roman" w:hAnsi="Times New Roman" w:cs="Times New Roman"/>
          <w:i/>
          <w:sz w:val="20"/>
        </w:rPr>
        <w:t xml:space="preserve">Means in a column within the same category having different superscripts differ at </w:t>
      </w:r>
      <w:r w:rsidR="00534E48" w:rsidRPr="004253C7">
        <w:rPr>
          <w:rFonts w:ascii="Times New Roman" w:hAnsi="Times New Roman" w:cs="Times New Roman"/>
          <w:i/>
          <w:sz w:val="20"/>
        </w:rPr>
        <w:t>* (P&lt;0.05), ** (P</w:t>
      </w:r>
      <w:r w:rsidR="009C24B5" w:rsidRPr="004253C7">
        <w:rPr>
          <w:rFonts w:ascii="Times New Roman" w:hAnsi="Times New Roman" w:cs="Times New Roman"/>
          <w:i/>
          <w:sz w:val="20"/>
        </w:rPr>
        <w:t>&lt;0.01), *** (P&lt;0.001), ns= Non-</w:t>
      </w:r>
      <w:r w:rsidR="00534E48" w:rsidRPr="004253C7">
        <w:rPr>
          <w:rFonts w:ascii="Times New Roman" w:hAnsi="Times New Roman" w:cs="Times New Roman"/>
          <w:i/>
          <w:sz w:val="20"/>
        </w:rPr>
        <w:t xml:space="preserve">significant </w:t>
      </w:r>
      <w:r w:rsidR="009D7096" w:rsidRPr="004253C7">
        <w:rPr>
          <w:rFonts w:ascii="Times New Roman" w:hAnsi="Times New Roman" w:cs="Times New Roman"/>
          <w:i/>
          <w:sz w:val="20"/>
        </w:rPr>
        <w:t>difference</w:t>
      </w:r>
      <w:r w:rsidRPr="004253C7">
        <w:rPr>
          <w:rFonts w:ascii="Times New Roman" w:hAnsi="Times New Roman" w:cs="Times New Roman"/>
          <w:i/>
          <w:sz w:val="20"/>
        </w:rPr>
        <w:t xml:space="preserve">. CV= coefficient of variation, </w:t>
      </w:r>
      <w:r w:rsidR="007D32E7" w:rsidRPr="004253C7">
        <w:rPr>
          <w:rFonts w:ascii="Times New Roman" w:hAnsi="Times New Roman" w:cs="Times New Roman"/>
          <w:i/>
          <w:sz w:val="20"/>
        </w:rPr>
        <w:t xml:space="preserve">OC% = Organic carbon percentage, OM% = Organic matter percentage, TN% = </w:t>
      </w:r>
      <w:r w:rsidR="00E63674" w:rsidRPr="004253C7">
        <w:rPr>
          <w:rFonts w:ascii="Times New Roman" w:hAnsi="Times New Roman" w:cs="Times New Roman"/>
          <w:i/>
          <w:sz w:val="20"/>
        </w:rPr>
        <w:t>total nitrogen percentage, A</w:t>
      </w:r>
      <w:r w:rsidR="009C24B5" w:rsidRPr="004253C7">
        <w:rPr>
          <w:rFonts w:ascii="Times New Roman" w:hAnsi="Times New Roman" w:cs="Times New Roman"/>
          <w:i/>
          <w:sz w:val="20"/>
        </w:rPr>
        <w:t>P=Available phosphor</w:t>
      </w:r>
      <w:r w:rsidR="00BB4150" w:rsidRPr="004253C7">
        <w:rPr>
          <w:rFonts w:ascii="Times New Roman" w:hAnsi="Times New Roman" w:cs="Times New Roman"/>
          <w:i/>
          <w:sz w:val="20"/>
        </w:rPr>
        <w:t xml:space="preserve">us (parts per </w:t>
      </w:r>
      <w:r w:rsidR="009D7096" w:rsidRPr="004253C7">
        <w:rPr>
          <w:rFonts w:ascii="Times New Roman" w:hAnsi="Times New Roman" w:cs="Times New Roman"/>
          <w:i/>
          <w:sz w:val="20"/>
        </w:rPr>
        <w:t>million</w:t>
      </w:r>
      <w:r w:rsidR="00BB4150" w:rsidRPr="004253C7">
        <w:rPr>
          <w:rFonts w:ascii="Times New Roman" w:hAnsi="Times New Roman" w:cs="Times New Roman"/>
          <w:i/>
          <w:sz w:val="20"/>
        </w:rPr>
        <w:t xml:space="preserve">), </w:t>
      </w:r>
      <w:r w:rsidR="009C24B5" w:rsidRPr="004253C7">
        <w:rPr>
          <w:rFonts w:ascii="Times New Roman" w:hAnsi="Times New Roman" w:cs="Times New Roman"/>
          <w:i/>
          <w:sz w:val="20"/>
        </w:rPr>
        <w:t>CEC (meq/100g) = Cat</w:t>
      </w:r>
      <w:r w:rsidR="007D32E7" w:rsidRPr="004253C7">
        <w:rPr>
          <w:rFonts w:ascii="Times New Roman" w:hAnsi="Times New Roman" w:cs="Times New Roman"/>
          <w:i/>
          <w:sz w:val="20"/>
        </w:rPr>
        <w:t>ion Exchange (Capacity mills equivalent per 100 gram</w:t>
      </w:r>
      <w:r w:rsidR="00A61CB3" w:rsidRPr="004253C7">
        <w:rPr>
          <w:rFonts w:ascii="Times New Roman" w:hAnsi="Times New Roman" w:cs="Times New Roman"/>
          <w:i/>
          <w:sz w:val="20"/>
        </w:rPr>
        <w:t>)</w:t>
      </w:r>
      <w:r w:rsidR="006E14F3" w:rsidRPr="004253C7">
        <w:rPr>
          <w:rFonts w:ascii="Times New Roman" w:hAnsi="Times New Roman" w:cs="Times New Roman"/>
          <w:i/>
          <w:sz w:val="20"/>
        </w:rPr>
        <w:t>. T1= Bonsa + common vetch 1:1, T2= Bonsa + common vetch 1:2, T3= Bonsa + common vetch</w:t>
      </w:r>
      <w:r w:rsidR="00DD5D48" w:rsidRPr="004253C7">
        <w:rPr>
          <w:rFonts w:ascii="Times New Roman" w:hAnsi="Times New Roman" w:cs="Times New Roman"/>
          <w:i/>
          <w:sz w:val="20"/>
        </w:rPr>
        <w:t xml:space="preserve">   2:1, T4= Bate + common vetch</w:t>
      </w:r>
      <w:r w:rsidR="006E14F3" w:rsidRPr="004253C7">
        <w:rPr>
          <w:rFonts w:ascii="Times New Roman" w:hAnsi="Times New Roman" w:cs="Times New Roman"/>
          <w:i/>
          <w:sz w:val="20"/>
        </w:rPr>
        <w:t xml:space="preserve"> 2:1, T5= Bate + common vetch</w:t>
      </w:r>
      <w:r w:rsidR="00DD5D48" w:rsidRPr="004253C7">
        <w:rPr>
          <w:rFonts w:ascii="Times New Roman" w:hAnsi="Times New Roman" w:cs="Times New Roman"/>
          <w:i/>
          <w:sz w:val="20"/>
        </w:rPr>
        <w:t xml:space="preserve">   1:1, T6=Bate + common vetch </w:t>
      </w:r>
      <w:r w:rsidR="006E14F3" w:rsidRPr="004253C7">
        <w:rPr>
          <w:rFonts w:ascii="Times New Roman" w:hAnsi="Times New Roman" w:cs="Times New Roman"/>
          <w:i/>
          <w:sz w:val="20"/>
        </w:rPr>
        <w:t>1:2</w:t>
      </w:r>
      <w:r w:rsidR="00DD5D48" w:rsidRPr="004253C7">
        <w:rPr>
          <w:rFonts w:ascii="Times New Roman" w:hAnsi="Times New Roman" w:cs="Times New Roman"/>
          <w:i/>
          <w:sz w:val="20"/>
        </w:rPr>
        <w:t xml:space="preserve">, T7= Bareda + common vetch </w:t>
      </w:r>
      <w:r w:rsidR="006E14F3" w:rsidRPr="004253C7">
        <w:rPr>
          <w:rFonts w:ascii="Times New Roman" w:hAnsi="Times New Roman" w:cs="Times New Roman"/>
          <w:i/>
          <w:sz w:val="20"/>
        </w:rPr>
        <w:t xml:space="preserve">2:1, </w:t>
      </w:r>
      <w:r w:rsidR="00DD5D48" w:rsidRPr="004253C7">
        <w:rPr>
          <w:rFonts w:ascii="Times New Roman" w:hAnsi="Times New Roman" w:cs="Times New Roman"/>
          <w:i/>
          <w:sz w:val="20"/>
        </w:rPr>
        <w:t xml:space="preserve">T8= Bareda + common vetch 1:1 and </w:t>
      </w:r>
      <w:r w:rsidR="006E14F3" w:rsidRPr="004253C7">
        <w:rPr>
          <w:rFonts w:ascii="Times New Roman" w:hAnsi="Times New Roman" w:cs="Times New Roman"/>
          <w:i/>
          <w:sz w:val="20"/>
        </w:rPr>
        <w:t>T9</w:t>
      </w:r>
      <w:r w:rsidR="00D67A91" w:rsidRPr="004253C7">
        <w:rPr>
          <w:rFonts w:ascii="Times New Roman" w:hAnsi="Times New Roman" w:cs="Times New Roman"/>
          <w:i/>
          <w:sz w:val="20"/>
        </w:rPr>
        <w:t xml:space="preserve">= </w:t>
      </w:r>
      <w:r w:rsidR="00DD5D48" w:rsidRPr="004253C7">
        <w:rPr>
          <w:rFonts w:ascii="Times New Roman" w:hAnsi="Times New Roman" w:cs="Times New Roman"/>
          <w:i/>
          <w:sz w:val="20"/>
        </w:rPr>
        <w:t>Bareda + common vetch   1:2</w:t>
      </w:r>
    </w:p>
    <w:p w:rsidR="008825B4" w:rsidRPr="00A97D88" w:rsidRDefault="008825B4" w:rsidP="00F923AA">
      <w:pPr>
        <w:spacing w:after="0" w:line="240" w:lineRule="auto"/>
        <w:jc w:val="both"/>
        <w:rPr>
          <w:rFonts w:ascii="Times New Roman" w:eastAsia="Times New Roman" w:hAnsi="Times New Roman" w:cs="Times New Roman"/>
          <w:lang w:eastAsia="en-GB"/>
        </w:rPr>
      </w:pPr>
    </w:p>
    <w:p w:rsidR="00E430B1" w:rsidRPr="00A97D88" w:rsidRDefault="00844DAA" w:rsidP="00844DAA">
      <w:pPr>
        <w:pStyle w:val="Heading2"/>
        <w:spacing w:after="240"/>
        <w:jc w:val="both"/>
        <w:rPr>
          <w:rFonts w:ascii="Times New Roman" w:eastAsia="Times New Roman" w:hAnsi="Times New Roman" w:cs="Times New Roman"/>
          <w:color w:val="auto"/>
        </w:rPr>
      </w:pPr>
      <w:bookmarkStart w:id="24" w:name="_Toc184070852"/>
      <w:r w:rsidRPr="00A97D88">
        <w:rPr>
          <w:rFonts w:ascii="Times New Roman" w:eastAsia="Times New Roman" w:hAnsi="Times New Roman" w:cs="Times New Roman"/>
          <w:color w:val="auto"/>
        </w:rPr>
        <w:t>Effect of intercropping and row arrangement of oat with vetch on chemical composition</w:t>
      </w:r>
      <w:r w:rsidR="00571102">
        <w:rPr>
          <w:rFonts w:ascii="Times New Roman" w:eastAsia="Times New Roman" w:hAnsi="Times New Roman" w:cs="Times New Roman"/>
          <w:color w:val="auto"/>
        </w:rPr>
        <w:t xml:space="preserve"> of</w:t>
      </w:r>
      <w:r w:rsidRPr="00A97D88">
        <w:rPr>
          <w:rFonts w:ascii="Times New Roman" w:eastAsia="Times New Roman" w:hAnsi="Times New Roman" w:cs="Times New Roman"/>
          <w:color w:val="auto"/>
        </w:rPr>
        <w:t xml:space="preserve"> forages</w:t>
      </w:r>
      <w:bookmarkEnd w:id="24"/>
    </w:p>
    <w:p w:rsidR="008825B4" w:rsidRPr="00A97D88" w:rsidRDefault="008825B4" w:rsidP="008825B4">
      <w:pPr>
        <w:pStyle w:val="Heading3"/>
        <w:spacing w:after="240"/>
        <w:jc w:val="both"/>
        <w:rPr>
          <w:rFonts w:ascii="Times New Roman" w:hAnsi="Times New Roman" w:cs="Times New Roman"/>
          <w:color w:val="auto"/>
        </w:rPr>
      </w:pPr>
      <w:bookmarkStart w:id="25" w:name="_Toc184070853"/>
      <w:r w:rsidRPr="00A97D88">
        <w:rPr>
          <w:rFonts w:ascii="Times New Roman" w:hAnsi="Times New Roman" w:cs="Times New Roman"/>
          <w:color w:val="auto"/>
        </w:rPr>
        <w:t>Dry matter</w:t>
      </w:r>
      <w:r w:rsidR="001B58DF">
        <w:rPr>
          <w:rFonts w:ascii="Times New Roman" w:hAnsi="Times New Roman" w:cs="Times New Roman"/>
          <w:color w:val="auto"/>
        </w:rPr>
        <w:t xml:space="preserve"> content</w:t>
      </w:r>
      <w:r w:rsidRPr="00A97D88">
        <w:rPr>
          <w:rFonts w:ascii="Times New Roman" w:hAnsi="Times New Roman" w:cs="Times New Roman"/>
          <w:color w:val="auto"/>
        </w:rPr>
        <w:t xml:space="preserve"> (%)</w:t>
      </w:r>
      <w:bookmarkEnd w:id="25"/>
    </w:p>
    <w:p w:rsidR="0051336C" w:rsidRPr="00F2149B" w:rsidRDefault="000A58FD" w:rsidP="00F2149B">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Oat varieties intercropped with vet</w:t>
      </w:r>
      <w:r w:rsidR="00DD69A7" w:rsidRPr="00A97D88">
        <w:rPr>
          <w:rFonts w:ascii="Times New Roman" w:hAnsi="Times New Roman" w:cs="Times New Roman"/>
          <w:sz w:val="24"/>
          <w:szCs w:val="24"/>
        </w:rPr>
        <w:t>ch at different row arrangements</w:t>
      </w:r>
      <w:r w:rsidRPr="00A97D88">
        <w:rPr>
          <w:rFonts w:ascii="Times New Roman" w:hAnsi="Times New Roman" w:cs="Times New Roman"/>
          <w:sz w:val="24"/>
          <w:szCs w:val="24"/>
        </w:rPr>
        <w:t xml:space="preserve"> </w:t>
      </w:r>
      <w:r w:rsidR="00DD69A7" w:rsidRPr="00A97D88">
        <w:rPr>
          <w:rFonts w:ascii="Times New Roman" w:hAnsi="Times New Roman" w:cs="Times New Roman"/>
          <w:sz w:val="24"/>
          <w:szCs w:val="24"/>
        </w:rPr>
        <w:t>showed</w:t>
      </w:r>
      <w:r w:rsidRPr="00A97D88">
        <w:rPr>
          <w:rFonts w:ascii="Times New Roman" w:hAnsi="Times New Roman" w:cs="Times New Roman"/>
          <w:sz w:val="24"/>
          <w:szCs w:val="24"/>
        </w:rPr>
        <w:t xml:space="preserve"> non-significant differences (p&gt;0.05) in terms of </w:t>
      </w:r>
      <w:r w:rsidR="001B58DF">
        <w:rPr>
          <w:rFonts w:ascii="Times New Roman" w:hAnsi="Times New Roman" w:cs="Times New Roman"/>
          <w:sz w:val="24"/>
          <w:szCs w:val="24"/>
        </w:rPr>
        <w:t>dry matter (Table 5</w:t>
      </w:r>
      <w:r w:rsidR="009710D8" w:rsidRPr="00A97D88">
        <w:rPr>
          <w:rFonts w:ascii="Times New Roman" w:hAnsi="Times New Roman" w:cs="Times New Roman"/>
          <w:sz w:val="24"/>
          <w:szCs w:val="24"/>
        </w:rPr>
        <w:t xml:space="preserve">). The present result was consistent with the </w:t>
      </w:r>
      <w:r w:rsidR="00E26F6B">
        <w:rPr>
          <w:rFonts w:ascii="Times New Roman" w:hAnsi="Times New Roman" w:cs="Times New Roman"/>
          <w:sz w:val="24"/>
          <w:szCs w:val="24"/>
        </w:rPr>
        <w:t>findings</w:t>
      </w:r>
      <w:r w:rsidR="00E26F6B" w:rsidRPr="00A97D88">
        <w:rPr>
          <w:rFonts w:ascii="Times New Roman" w:hAnsi="Times New Roman" w:cs="Times New Roman"/>
          <w:sz w:val="24"/>
          <w:szCs w:val="24"/>
        </w:rPr>
        <w:t xml:space="preserve"> </w:t>
      </w:r>
      <w:r w:rsidR="009710D8" w:rsidRPr="00A97D88">
        <w:rPr>
          <w:rFonts w:ascii="Times New Roman" w:hAnsi="Times New Roman" w:cs="Times New Roman"/>
          <w:sz w:val="24"/>
          <w:szCs w:val="24"/>
        </w:rPr>
        <w:t>of</w:t>
      </w:r>
      <w:r w:rsidR="008E5966" w:rsidRPr="00A97D88">
        <w:rPr>
          <w:rFonts w:ascii="Times New Roman" w:hAnsi="Times New Roman" w:cs="Times New Roman"/>
          <w:sz w:val="24"/>
          <w:szCs w:val="24"/>
        </w:rPr>
        <w:t> </w:t>
      </w:r>
      <w:r w:rsidR="000D6068" w:rsidRPr="00A97D88">
        <w:rPr>
          <w:rFonts w:ascii="Times New Roman" w:hAnsi="Times New Roman" w:cs="Times New Roman"/>
          <w:sz w:val="24"/>
          <w:szCs w:val="24"/>
        </w:rPr>
        <w:fldChar w:fldCharType="begin"/>
      </w:r>
      <w:r w:rsidR="003F74A2" w:rsidRPr="00A97D88">
        <w:rPr>
          <w:rFonts w:ascii="Times New Roman" w:hAnsi="Times New Roman" w:cs="Times New Roman"/>
          <w:sz w:val="24"/>
          <w:szCs w:val="24"/>
        </w:rPr>
        <w:instrText xml:space="preserve"> ADDIN EN.CITE &lt;EndNote&gt;&lt;Cite&gt;&lt;Author&gt;Animut&lt;/Author&gt;&lt;Year&gt;2014&lt;/Year&gt;&lt;RecNum&gt;4&lt;/RecNum&gt;&lt;DisplayText&gt;(Animut &amp;amp; Hailemariam, 2014)&lt;/DisplayText&gt;&lt;record&gt;&lt;rec-number&gt;4&lt;/rec-number&gt;&lt;foreign-keys&gt;&lt;key app="EN" db-id="02revdrtyv2dekeeewuvap2se2zsd9t5xdew"&gt;4&lt;/key&gt;&lt;/foreign-keys&gt;&lt;ref-type name="Thesis"&gt;32&lt;/ref-type&gt;&lt;contributors&gt;&lt;authors&gt;&lt;author&gt;Animut, Getachew&lt;/author&gt;&lt;author&gt;Hailemariam, Fassil Berhe&lt;/author&gt;&lt;/authors&gt;&lt;/contributors&gt;&lt;titles&gt;&lt;title&gt;Agronomic Practices, Yield, Chemical Composition And In Vitro Dry Matter Digestibility of Sudangrass Sorghum Sudanese L Mixed With Lablab (Lablab Purpureus L And Cowpea (Vigna Unguiculata L.) At Babile Eastern Ethiopia&lt;/title&gt;&lt;/titles&gt;&lt;dates&gt;&lt;year&gt;2014&lt;/year&gt;&lt;/dates&gt;&lt;publisher&gt;Haramaya University&lt;/publisher&gt;&lt;urls&gt;&lt;/urls&gt;&lt;/record&gt;&lt;/Cite&gt;&lt;/EndNote&gt;</w:instrText>
      </w:r>
      <w:r w:rsidR="000D6068" w:rsidRPr="00A97D88">
        <w:rPr>
          <w:rFonts w:ascii="Times New Roman" w:hAnsi="Times New Roman" w:cs="Times New Roman"/>
          <w:sz w:val="24"/>
          <w:szCs w:val="24"/>
        </w:rPr>
        <w:fldChar w:fldCharType="separate"/>
      </w:r>
      <w:r w:rsidR="003F74A2" w:rsidRPr="00A97D88">
        <w:rPr>
          <w:rFonts w:ascii="Times New Roman" w:hAnsi="Times New Roman" w:cs="Times New Roman"/>
          <w:sz w:val="24"/>
          <w:szCs w:val="24"/>
        </w:rPr>
        <w:t>(</w:t>
      </w:r>
      <w:hyperlink w:anchor="_ENREF_7" w:tooltip="Animut, 2014 #4" w:history="1">
        <w:r w:rsidR="00BC4E2E" w:rsidRPr="00A97D88">
          <w:rPr>
            <w:rFonts w:ascii="Times New Roman" w:hAnsi="Times New Roman" w:cs="Times New Roman"/>
            <w:sz w:val="24"/>
            <w:szCs w:val="24"/>
          </w:rPr>
          <w:t>Animut &amp; Hailemariam, 2014</w:t>
        </w:r>
      </w:hyperlink>
      <w:r w:rsidR="003F74A2"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9E47C6" w:rsidRPr="00A97D88">
        <w:rPr>
          <w:rFonts w:ascii="Times New Roman" w:hAnsi="Times New Roman" w:cs="Times New Roman"/>
          <w:sz w:val="24"/>
          <w:szCs w:val="24"/>
        </w:rPr>
        <w:t xml:space="preserve">, </w:t>
      </w:r>
      <w:r w:rsidR="008E5966" w:rsidRPr="00A97D88">
        <w:rPr>
          <w:rFonts w:ascii="Times New Roman" w:hAnsi="Times New Roman" w:cs="Times New Roman"/>
          <w:sz w:val="24"/>
          <w:szCs w:val="24"/>
        </w:rPr>
        <w:t>who reported no change in the DM values when sudan grass was interpolated with lablab at various plant mixing proportio</w:t>
      </w:r>
      <w:r w:rsidR="009710D8" w:rsidRPr="00A97D88">
        <w:rPr>
          <w:rFonts w:ascii="Times New Roman" w:hAnsi="Times New Roman" w:cs="Times New Roman"/>
          <w:sz w:val="24"/>
          <w:szCs w:val="24"/>
        </w:rPr>
        <w:t>ns. The D</w:t>
      </w:r>
      <w:r w:rsidR="00DD69A7" w:rsidRPr="00A97D88">
        <w:rPr>
          <w:rFonts w:ascii="Times New Roman" w:hAnsi="Times New Roman" w:cs="Times New Roman"/>
          <w:sz w:val="24"/>
          <w:szCs w:val="24"/>
        </w:rPr>
        <w:t>M percent obtained was 90.24% to</w:t>
      </w:r>
      <w:r w:rsidR="009710D8" w:rsidRPr="00A97D88">
        <w:rPr>
          <w:rFonts w:ascii="Times New Roman" w:hAnsi="Times New Roman" w:cs="Times New Roman"/>
          <w:sz w:val="24"/>
          <w:szCs w:val="24"/>
        </w:rPr>
        <w:t xml:space="preserve"> 91.56%, with</w:t>
      </w:r>
      <w:r w:rsidR="00DD69A7" w:rsidRPr="00A97D88">
        <w:rPr>
          <w:rFonts w:ascii="Times New Roman" w:hAnsi="Times New Roman" w:cs="Times New Roman"/>
          <w:sz w:val="24"/>
          <w:szCs w:val="24"/>
        </w:rPr>
        <w:t xml:space="preserve"> an over</w:t>
      </w:r>
      <w:r w:rsidR="009710D8" w:rsidRPr="00A97D88">
        <w:rPr>
          <w:rFonts w:ascii="Times New Roman" w:hAnsi="Times New Roman" w:cs="Times New Roman"/>
          <w:sz w:val="24"/>
          <w:szCs w:val="24"/>
        </w:rPr>
        <w:t xml:space="preserve">all mean of 90.09% for intercropping. The present values were similar </w:t>
      </w:r>
      <w:r w:rsidR="00DD69A7" w:rsidRPr="00A97D88">
        <w:rPr>
          <w:rFonts w:ascii="Times New Roman" w:hAnsi="Times New Roman" w:cs="Times New Roman"/>
          <w:sz w:val="24"/>
          <w:szCs w:val="24"/>
        </w:rPr>
        <w:t>to</w:t>
      </w:r>
      <w:r w:rsidR="009710D8" w:rsidRPr="00A97D88">
        <w:rPr>
          <w:rFonts w:ascii="Times New Roman" w:hAnsi="Times New Roman" w:cs="Times New Roman"/>
          <w:sz w:val="24"/>
          <w:szCs w:val="24"/>
        </w:rPr>
        <w:t xml:space="preserve"> the </w:t>
      </w:r>
      <w:r w:rsidR="00E26F6B">
        <w:rPr>
          <w:rFonts w:ascii="Times New Roman" w:hAnsi="Times New Roman" w:cs="Times New Roman"/>
          <w:sz w:val="24"/>
          <w:szCs w:val="24"/>
        </w:rPr>
        <w:t>findings</w:t>
      </w:r>
      <w:r w:rsidR="00E26F6B" w:rsidRPr="00A97D88">
        <w:rPr>
          <w:rFonts w:ascii="Times New Roman" w:hAnsi="Times New Roman" w:cs="Times New Roman"/>
          <w:sz w:val="24"/>
          <w:szCs w:val="24"/>
        </w:rPr>
        <w:t xml:space="preserve"> </w:t>
      </w:r>
      <w:r w:rsidR="009710D8" w:rsidRPr="00A97D88">
        <w:rPr>
          <w:rFonts w:ascii="Times New Roman" w:hAnsi="Times New Roman" w:cs="Times New Roman"/>
          <w:sz w:val="24"/>
          <w:szCs w:val="24"/>
        </w:rPr>
        <w:t xml:space="preserve">of </w:t>
      </w:r>
      <w:r w:rsidR="000D6068" w:rsidRPr="00A97D88">
        <w:rPr>
          <w:rFonts w:ascii="Times New Roman" w:hAnsi="Times New Roman" w:cs="Times New Roman"/>
          <w:sz w:val="24"/>
          <w:szCs w:val="24"/>
        </w:rPr>
        <w:fldChar w:fldCharType="begin"/>
      </w:r>
      <w:r w:rsidR="008E5966" w:rsidRPr="00A97D88">
        <w:rPr>
          <w:rFonts w:ascii="Times New Roman" w:hAnsi="Times New Roman" w:cs="Times New Roman"/>
          <w:sz w:val="24"/>
          <w:szCs w:val="24"/>
        </w:rPr>
        <w:instrText xml:space="preserve"> ADDIN EN.CITE &lt;EndNote&gt;&lt;Cite AuthorYear="1"&gt;&lt;Author&gt;Dereje&lt;/Author&gt;&lt;Year&gt;2016&lt;/Year&gt;&lt;RecNum&gt;5&lt;/RecNum&gt;&lt;DisplayText&gt;Dereje (2016)&lt;/DisplayText&gt;&lt;record&gt;&lt;rec-number&gt;5&lt;/rec-number&gt;&lt;foreign-keys&gt;&lt;key app="EN" db-id="02revdrtyv2dekeeewuvap2se2zsd9t5xdew"&gt;5&lt;/key&gt;&lt;/foreign-keys&gt;&lt;ref-type name="Journal Article"&gt;17&lt;/ref-type&gt;&lt;contributors&gt;&lt;authors&gt;&lt;author&gt;Dereje, Fantahun&lt;/author&gt;&lt;/authors&gt;&lt;/contributors&gt;&lt;titles&gt;&lt;title&gt;The effect of variety and seed proportions on yield, nutritional quality and compatibility of oats and vetch mixtures&lt;/title&gt;&lt;secondary-title&gt;Master of science Thesis, Addis Abebba University)&lt;/secondary-title&gt;&lt;/titles&gt;&lt;periodical&gt;&lt;full-title&gt;Master of science Thesis, Addis Abebba University)&lt;/full-title&gt;&lt;/periodical&gt;&lt;volume&gt;53&lt;/volume&gt;&lt;dates&gt;&lt;year&gt;2016&lt;/year&gt;&lt;/dates&gt;&lt;urls&gt;&lt;/urls&gt;&lt;/record&gt;&lt;/Cite&gt;&lt;/EndNote&gt;</w:instrText>
      </w:r>
      <w:r w:rsidR="000D6068" w:rsidRPr="00A97D88">
        <w:rPr>
          <w:rFonts w:ascii="Times New Roman" w:hAnsi="Times New Roman" w:cs="Times New Roman"/>
          <w:sz w:val="24"/>
          <w:szCs w:val="24"/>
        </w:rPr>
        <w:fldChar w:fldCharType="separate"/>
      </w:r>
      <w:hyperlink w:anchor="_ENREF_17" w:tooltip="Dereje, 2016 #5" w:history="1">
        <w:r w:rsidR="00BC4E2E" w:rsidRPr="00A97D88">
          <w:rPr>
            <w:rFonts w:ascii="Times New Roman" w:hAnsi="Times New Roman" w:cs="Times New Roman"/>
            <w:sz w:val="24"/>
            <w:szCs w:val="24"/>
          </w:rPr>
          <w:t>Dereje (2016</w:t>
        </w:r>
      </w:hyperlink>
      <w:r w:rsidR="008E5966"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8E5966" w:rsidRPr="00A97D88">
        <w:rPr>
          <w:rFonts w:ascii="Times New Roman" w:hAnsi="Times New Roman" w:cs="Times New Roman"/>
          <w:sz w:val="24"/>
          <w:szCs w:val="24"/>
        </w:rPr>
        <w:t>, who found dry matter percentage of 91.15% and 93.76% in the oat vetch mixtur</w:t>
      </w:r>
      <w:r w:rsidR="00F2149B">
        <w:rPr>
          <w:rFonts w:ascii="Times New Roman" w:hAnsi="Times New Roman" w:cs="Times New Roman"/>
          <w:sz w:val="24"/>
          <w:szCs w:val="24"/>
        </w:rPr>
        <w:t>e and pure stand, respectively.</w:t>
      </w:r>
    </w:p>
    <w:p w:rsidR="00BC425D" w:rsidRPr="00267E99" w:rsidRDefault="00267E99" w:rsidP="00267E99">
      <w:pPr>
        <w:pStyle w:val="Caption"/>
        <w:spacing w:line="276" w:lineRule="auto"/>
        <w:rPr>
          <w:rFonts w:cs="Times New Roman"/>
          <w:b w:val="0"/>
          <w:sz w:val="24"/>
        </w:rPr>
      </w:pPr>
      <w:bookmarkStart w:id="26" w:name="_Toc187696844"/>
      <w:r w:rsidRPr="00267E99">
        <w:rPr>
          <w:b w:val="0"/>
          <w:sz w:val="24"/>
        </w:rPr>
        <w:t xml:space="preserve">Table </w:t>
      </w:r>
      <w:r w:rsidR="001B58DF">
        <w:rPr>
          <w:b w:val="0"/>
          <w:sz w:val="24"/>
        </w:rPr>
        <w:t>5</w:t>
      </w:r>
      <w:r w:rsidRPr="00267E99">
        <w:rPr>
          <w:b w:val="0"/>
          <w:sz w:val="24"/>
        </w:rPr>
        <w:t>: Effect of row arrangement and varieties intercropped on the chemical composition of oat varieties intercropped with vetch</w:t>
      </w:r>
      <w:bookmarkEnd w:id="26"/>
    </w:p>
    <w:tbl>
      <w:tblPr>
        <w:tblStyle w:val="TableGrid"/>
        <w:tblW w:w="10368" w:type="dxa"/>
        <w:tblLayout w:type="fixed"/>
        <w:tblLook w:val="04A0" w:firstRow="1" w:lastRow="0" w:firstColumn="1" w:lastColumn="0" w:noHBand="0" w:noVBand="1"/>
      </w:tblPr>
      <w:tblGrid>
        <w:gridCol w:w="3168"/>
        <w:gridCol w:w="1080"/>
        <w:gridCol w:w="1170"/>
        <w:gridCol w:w="1170"/>
        <w:gridCol w:w="1170"/>
        <w:gridCol w:w="1350"/>
        <w:gridCol w:w="1260"/>
      </w:tblGrid>
      <w:tr w:rsidR="00FA39B4" w:rsidRPr="00A97D88" w:rsidTr="002857D9">
        <w:trPr>
          <w:trHeight w:val="255"/>
        </w:trPr>
        <w:tc>
          <w:tcPr>
            <w:tcW w:w="3168" w:type="dxa"/>
            <w:tcBorders>
              <w:top w:val="thickThinSmallGap" w:sz="24" w:space="0" w:color="auto"/>
              <w:left w:val="nil"/>
              <w:bottom w:val="thickThinSmallGap" w:sz="24" w:space="0" w:color="auto"/>
              <w:right w:val="nil"/>
            </w:tcBorders>
          </w:tcPr>
          <w:p w:rsidR="00FA39B4" w:rsidRPr="00A97D88" w:rsidRDefault="00851400" w:rsidP="00851400">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Varieties i</w:t>
            </w:r>
            <w:r w:rsidR="00FA39B4" w:rsidRPr="00A97D88">
              <w:rPr>
                <w:rFonts w:ascii="Times New Roman" w:eastAsia="Times New Roman" w:hAnsi="Times New Roman" w:cs="Times New Roman"/>
                <w:b/>
                <w:sz w:val="24"/>
                <w:szCs w:val="24"/>
              </w:rPr>
              <w:t>ntercropped</w:t>
            </w:r>
            <w:r w:rsidRPr="00A97D88">
              <w:rPr>
                <w:rFonts w:ascii="Times New Roman" w:eastAsia="Times New Roman" w:hAnsi="Times New Roman" w:cs="Times New Roman"/>
                <w:b/>
                <w:sz w:val="24"/>
                <w:szCs w:val="24"/>
              </w:rPr>
              <w:t xml:space="preserve"> (A)</w:t>
            </w:r>
            <w:r w:rsidR="00FA39B4" w:rsidRPr="00A97D88">
              <w:rPr>
                <w:rFonts w:ascii="Times New Roman" w:eastAsia="Times New Roman" w:hAnsi="Times New Roman" w:cs="Times New Roman"/>
                <w:b/>
                <w:sz w:val="24"/>
                <w:szCs w:val="24"/>
              </w:rPr>
              <w:t xml:space="preserve"> </w:t>
            </w:r>
          </w:p>
        </w:tc>
        <w:tc>
          <w:tcPr>
            <w:tcW w:w="108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DM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ASH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CP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NDF (%)</w:t>
            </w:r>
          </w:p>
        </w:tc>
        <w:tc>
          <w:tcPr>
            <w:tcW w:w="135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ADF (%)</w:t>
            </w:r>
          </w:p>
        </w:tc>
        <w:tc>
          <w:tcPr>
            <w:tcW w:w="1260" w:type="dxa"/>
            <w:tcBorders>
              <w:top w:val="thickThinSmallGap" w:sz="24" w:space="0" w:color="auto"/>
              <w:left w:val="nil"/>
              <w:bottom w:val="thickThinSmallGap" w:sz="24" w:space="0" w:color="auto"/>
              <w:right w:val="nil"/>
            </w:tcBorders>
          </w:tcPr>
          <w:p w:rsidR="00FA39B4" w:rsidRPr="00A97D88" w:rsidRDefault="00FA39B4" w:rsidP="000E43BA">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 xml:space="preserve">ADL </w:t>
            </w:r>
            <w:r w:rsidR="00B5148A" w:rsidRPr="00A97D88">
              <w:rPr>
                <w:rFonts w:ascii="Times New Roman" w:eastAsia="Times New Roman" w:hAnsi="Times New Roman" w:cs="Times New Roman"/>
                <w:b/>
                <w:sz w:val="24"/>
                <w:szCs w:val="24"/>
              </w:rPr>
              <w:t>(%</w:t>
            </w:r>
            <w:r w:rsidRPr="00A97D88">
              <w:rPr>
                <w:rFonts w:ascii="Times New Roman" w:eastAsia="Times New Roman" w:hAnsi="Times New Roman" w:cs="Times New Roman"/>
                <w:b/>
                <w:sz w:val="24"/>
                <w:szCs w:val="24"/>
              </w:rPr>
              <w:t>)</w:t>
            </w:r>
          </w:p>
        </w:tc>
      </w:tr>
      <w:tr w:rsidR="0013614E" w:rsidRPr="00A97D88" w:rsidTr="002857D9">
        <w:tc>
          <w:tcPr>
            <w:tcW w:w="3168" w:type="dxa"/>
            <w:tcBorders>
              <w:top w:val="thickThinSmallGap" w:sz="24" w:space="0" w:color="auto"/>
              <w:left w:val="nil"/>
              <w:bottom w:val="nil"/>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Bonsa+c</w:t>
            </w:r>
          </w:p>
        </w:tc>
        <w:tc>
          <w:tcPr>
            <w:tcW w:w="108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90.5</w:t>
            </w:r>
          </w:p>
        </w:tc>
        <w:tc>
          <w:tcPr>
            <w:tcW w:w="117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8.36</w:t>
            </w:r>
            <w:r w:rsidRPr="00A97D88">
              <w:rPr>
                <w:rFonts w:ascii="Times New Roman" w:eastAsia="Times New Roman" w:hAnsi="Times New Roman" w:cs="Times New Roman"/>
                <w:sz w:val="24"/>
                <w:szCs w:val="24"/>
                <w:vertAlign w:val="superscript"/>
              </w:rPr>
              <w:t>b</w:t>
            </w:r>
          </w:p>
        </w:tc>
        <w:tc>
          <w:tcPr>
            <w:tcW w:w="117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10.99</w:t>
            </w:r>
            <w:r w:rsidRPr="00A97D88">
              <w:rPr>
                <w:rFonts w:ascii="Times New Roman" w:eastAsia="Times New Roman" w:hAnsi="Times New Roman" w:cs="Times New Roman"/>
                <w:sz w:val="24"/>
                <w:szCs w:val="24"/>
                <w:vertAlign w:val="superscript"/>
              </w:rPr>
              <w:t>a</w:t>
            </w:r>
          </w:p>
        </w:tc>
        <w:tc>
          <w:tcPr>
            <w:tcW w:w="1170" w:type="dxa"/>
            <w:tcBorders>
              <w:top w:val="thickThinSmallGap" w:sz="24" w:space="0" w:color="auto"/>
              <w:left w:val="nil"/>
              <w:bottom w:val="nil"/>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D4CF3" w:rsidRPr="00A97D88">
              <w:rPr>
                <w:rFonts w:ascii="Times New Roman" w:eastAsia="Times New Roman" w:hAnsi="Times New Roman" w:cs="Times New Roman"/>
                <w:sz w:val="24"/>
                <w:szCs w:val="24"/>
              </w:rPr>
              <w:t>.3</w:t>
            </w:r>
            <w:r w:rsidR="008D4CF3" w:rsidRPr="00A97D88">
              <w:rPr>
                <w:rFonts w:ascii="Times New Roman" w:eastAsia="Times New Roman" w:hAnsi="Times New Roman" w:cs="Times New Roman"/>
                <w:sz w:val="24"/>
                <w:szCs w:val="24"/>
                <w:vertAlign w:val="superscript"/>
              </w:rPr>
              <w:t>b</w:t>
            </w:r>
          </w:p>
        </w:tc>
        <w:tc>
          <w:tcPr>
            <w:tcW w:w="1350" w:type="dxa"/>
            <w:tcBorders>
              <w:top w:val="thickThinSmallGap" w:sz="24" w:space="0" w:color="auto"/>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D4CF3" w:rsidRPr="00A97D88">
              <w:rPr>
                <w:rFonts w:ascii="Times New Roman" w:eastAsia="Times New Roman" w:hAnsi="Times New Roman" w:cs="Times New Roman"/>
                <w:sz w:val="24"/>
                <w:szCs w:val="24"/>
              </w:rPr>
              <w:t>.5</w:t>
            </w:r>
            <w:r w:rsidR="008D4CF3" w:rsidRPr="00A97D88">
              <w:rPr>
                <w:rFonts w:ascii="Times New Roman" w:eastAsia="Times New Roman" w:hAnsi="Times New Roman" w:cs="Times New Roman"/>
                <w:sz w:val="24"/>
                <w:szCs w:val="24"/>
                <w:vertAlign w:val="superscript"/>
              </w:rPr>
              <w:t>a</w:t>
            </w:r>
          </w:p>
        </w:tc>
        <w:tc>
          <w:tcPr>
            <w:tcW w:w="126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6.75</w:t>
            </w:r>
            <w:r w:rsidRPr="00A97D88">
              <w:rPr>
                <w:rFonts w:ascii="Times New Roman" w:eastAsia="Times New Roman" w:hAnsi="Times New Roman" w:cs="Times New Roman"/>
                <w:sz w:val="24"/>
                <w:szCs w:val="24"/>
                <w:vertAlign w:val="superscript"/>
              </w:rPr>
              <w:t>b</w:t>
            </w:r>
          </w:p>
        </w:tc>
      </w:tr>
      <w:tr w:rsidR="0013614E" w:rsidRPr="00A97D88" w:rsidTr="002857D9">
        <w:tc>
          <w:tcPr>
            <w:tcW w:w="3168" w:type="dxa"/>
            <w:tcBorders>
              <w:top w:val="nil"/>
              <w:left w:val="nil"/>
              <w:bottom w:val="nil"/>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Bareda+c</w:t>
            </w:r>
          </w:p>
        </w:tc>
        <w:tc>
          <w:tcPr>
            <w:tcW w:w="108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91.06</w:t>
            </w:r>
          </w:p>
        </w:tc>
        <w:tc>
          <w:tcPr>
            <w:tcW w:w="117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10.36</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D4CF3" w:rsidRPr="00A97D88">
              <w:rPr>
                <w:rFonts w:ascii="Times New Roman" w:eastAsia="Times New Roman" w:hAnsi="Times New Roman" w:cs="Times New Roman"/>
                <w:sz w:val="24"/>
                <w:szCs w:val="24"/>
              </w:rPr>
              <w:t>.12</w:t>
            </w:r>
            <w:r w:rsidR="008D4CF3" w:rsidRPr="00A97D88">
              <w:rPr>
                <w:rFonts w:ascii="Times New Roman" w:eastAsia="Times New Roman" w:hAnsi="Times New Roman" w:cs="Times New Roman"/>
                <w:sz w:val="24"/>
                <w:szCs w:val="24"/>
                <w:vertAlign w:val="superscript"/>
              </w:rPr>
              <w:t>a</w:t>
            </w:r>
          </w:p>
        </w:tc>
        <w:tc>
          <w:tcPr>
            <w:tcW w:w="1350" w:type="dxa"/>
            <w:tcBorders>
              <w:top w:val="nil"/>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D4CF3" w:rsidRPr="00A97D88">
              <w:rPr>
                <w:rFonts w:ascii="Times New Roman" w:eastAsia="Times New Roman" w:hAnsi="Times New Roman" w:cs="Times New Roman"/>
                <w:sz w:val="24"/>
                <w:szCs w:val="24"/>
              </w:rPr>
              <w:t>.4</w:t>
            </w:r>
            <w:r w:rsidR="008D4CF3"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7.69</w:t>
            </w:r>
            <w:r w:rsidRPr="00A97D88">
              <w:rPr>
                <w:rFonts w:ascii="Times New Roman" w:eastAsia="Times New Roman" w:hAnsi="Times New Roman" w:cs="Times New Roman"/>
                <w:sz w:val="24"/>
                <w:szCs w:val="24"/>
                <w:vertAlign w:val="superscript"/>
              </w:rPr>
              <w:t>a</w:t>
            </w:r>
          </w:p>
        </w:tc>
      </w:tr>
      <w:tr w:rsidR="0013614E" w:rsidRPr="00A97D88" w:rsidTr="00B42CB7">
        <w:tc>
          <w:tcPr>
            <w:tcW w:w="3168" w:type="dxa"/>
            <w:tcBorders>
              <w:top w:val="nil"/>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Bate+c</w:t>
            </w:r>
          </w:p>
        </w:tc>
        <w:tc>
          <w:tcPr>
            <w:tcW w:w="108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p>
        </w:tc>
        <w:tc>
          <w:tcPr>
            <w:tcW w:w="117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8.99</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10.16</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single" w:sz="4" w:space="0" w:color="auto"/>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D4CF3" w:rsidRPr="00A97D88">
              <w:rPr>
                <w:rFonts w:ascii="Times New Roman" w:eastAsia="Times New Roman" w:hAnsi="Times New Roman" w:cs="Times New Roman"/>
                <w:sz w:val="24"/>
                <w:szCs w:val="24"/>
              </w:rPr>
              <w:t>.03</w:t>
            </w:r>
            <w:r w:rsidR="008D4CF3" w:rsidRPr="00A97D88">
              <w:rPr>
                <w:rFonts w:ascii="Times New Roman" w:eastAsia="Times New Roman" w:hAnsi="Times New Roman" w:cs="Times New Roman"/>
                <w:sz w:val="24"/>
                <w:szCs w:val="24"/>
                <w:vertAlign w:val="superscript"/>
              </w:rPr>
              <w:t>b</w:t>
            </w:r>
          </w:p>
        </w:tc>
        <w:tc>
          <w:tcPr>
            <w:tcW w:w="1350" w:type="dxa"/>
            <w:tcBorders>
              <w:top w:val="nil"/>
              <w:left w:val="nil"/>
              <w:bottom w:val="single" w:sz="4" w:space="0" w:color="auto"/>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D4CF3" w:rsidRPr="00A97D88">
              <w:rPr>
                <w:rFonts w:ascii="Times New Roman" w:eastAsia="Times New Roman" w:hAnsi="Times New Roman" w:cs="Times New Roman"/>
                <w:sz w:val="24"/>
                <w:szCs w:val="24"/>
              </w:rPr>
              <w:t>.45</w:t>
            </w:r>
            <w:r w:rsidR="008D4CF3" w:rsidRPr="00A97D88">
              <w:rPr>
                <w:rFonts w:ascii="Times New Roman" w:eastAsia="Times New Roman" w:hAnsi="Times New Roman" w:cs="Times New Roman"/>
                <w:sz w:val="24"/>
                <w:szCs w:val="24"/>
                <w:vertAlign w:val="superscript"/>
              </w:rPr>
              <w:t>c</w:t>
            </w:r>
          </w:p>
        </w:tc>
        <w:tc>
          <w:tcPr>
            <w:tcW w:w="1260" w:type="dxa"/>
            <w:tcBorders>
              <w:top w:val="nil"/>
              <w:left w:val="nil"/>
              <w:bottom w:val="single" w:sz="4" w:space="0" w:color="auto"/>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Pr="00A97D88">
              <w:rPr>
                <w:rFonts w:ascii="Times New Roman" w:eastAsia="Times New Roman" w:hAnsi="Times New Roman" w:cs="Times New Roman"/>
                <w:sz w:val="24"/>
                <w:szCs w:val="24"/>
                <w:vertAlign w:val="superscript"/>
              </w:rPr>
              <w:t>c</w:t>
            </w:r>
          </w:p>
        </w:tc>
      </w:tr>
      <w:tr w:rsidR="0013614E" w:rsidRPr="00A97D88" w:rsidTr="00B42CB7">
        <w:trPr>
          <w:trHeight w:val="260"/>
        </w:trPr>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080" w:type="dxa"/>
            <w:tcBorders>
              <w:top w:val="single" w:sz="4" w:space="0" w:color="auto"/>
              <w:left w:val="nil"/>
              <w:bottom w:val="single" w:sz="4" w:space="0" w:color="auto"/>
              <w:right w:val="nil"/>
            </w:tcBorders>
          </w:tcPr>
          <w:p w:rsidR="000E43BA"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C17B0C" w:rsidRPr="00A97D88">
              <w:rPr>
                <w:rFonts w:ascii="Times New Roman" w:eastAsia="Times New Roman" w:hAnsi="Times New Roman" w:cs="Times New Roman"/>
                <w:sz w:val="24"/>
                <w:szCs w:val="24"/>
              </w:rPr>
              <w:t>s</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35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837B92" w:rsidRPr="00A97D88" w:rsidTr="00B42CB7">
        <w:tc>
          <w:tcPr>
            <w:tcW w:w="3168" w:type="dxa"/>
            <w:tcBorders>
              <w:top w:val="single" w:sz="4" w:space="0" w:color="auto"/>
              <w:left w:val="nil"/>
              <w:bottom w:val="nil"/>
              <w:right w:val="nil"/>
            </w:tcBorders>
          </w:tcPr>
          <w:p w:rsidR="00837B92" w:rsidRPr="00A97D88" w:rsidRDefault="00837B92" w:rsidP="009C63AE">
            <w:pPr>
              <w:rPr>
                <w:rFonts w:ascii="Times New Roman" w:hAnsi="Times New Roman" w:cs="Times New Roman"/>
                <w:b/>
                <w:sz w:val="24"/>
                <w:szCs w:val="24"/>
              </w:rPr>
            </w:pPr>
            <w:r w:rsidRPr="00A97D88">
              <w:rPr>
                <w:rFonts w:ascii="Times New Roman" w:hAnsi="Times New Roman" w:cs="Times New Roman"/>
                <w:b/>
                <w:sz w:val="24"/>
                <w:szCs w:val="24"/>
              </w:rPr>
              <w:t>R</w:t>
            </w:r>
            <w:r w:rsidR="00C461E5" w:rsidRPr="00A97D88">
              <w:rPr>
                <w:rFonts w:ascii="Times New Roman" w:hAnsi="Times New Roman" w:cs="Times New Roman"/>
                <w:b/>
                <w:sz w:val="24"/>
                <w:szCs w:val="24"/>
              </w:rPr>
              <w:t>ow</w:t>
            </w:r>
            <w:r w:rsidR="00F90AD4" w:rsidRPr="00A97D88">
              <w:rPr>
                <w:rFonts w:ascii="Times New Roman" w:hAnsi="Times New Roman" w:cs="Times New Roman"/>
                <w:b/>
                <w:sz w:val="24"/>
                <w:szCs w:val="24"/>
              </w:rPr>
              <w:t xml:space="preserve"> </w:t>
            </w:r>
            <w:r w:rsidR="00851400" w:rsidRPr="00A97D88">
              <w:rPr>
                <w:rFonts w:ascii="Times New Roman" w:hAnsi="Times New Roman" w:cs="Times New Roman"/>
                <w:b/>
                <w:sz w:val="24"/>
                <w:szCs w:val="24"/>
              </w:rPr>
              <w:t>a</w:t>
            </w:r>
            <w:r w:rsidRPr="00A97D88">
              <w:rPr>
                <w:rFonts w:ascii="Times New Roman" w:hAnsi="Times New Roman" w:cs="Times New Roman"/>
                <w:b/>
                <w:sz w:val="24"/>
                <w:szCs w:val="24"/>
              </w:rPr>
              <w:t>rrangement</w:t>
            </w:r>
            <w:r w:rsidR="00851400" w:rsidRPr="00A97D88">
              <w:rPr>
                <w:rFonts w:ascii="Times New Roman" w:hAnsi="Times New Roman" w:cs="Times New Roman"/>
                <w:b/>
                <w:sz w:val="24"/>
                <w:szCs w:val="24"/>
              </w:rPr>
              <w:t xml:space="preserve"> (B)</w:t>
            </w:r>
          </w:p>
        </w:tc>
        <w:tc>
          <w:tcPr>
            <w:tcW w:w="108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1:1</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91.0</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8.53</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w:t>
            </w:r>
            <w:r w:rsidR="00837B92" w:rsidRPr="00A97D88">
              <w:rPr>
                <w:rFonts w:ascii="Times New Roman" w:eastAsia="Times New Roman" w:hAnsi="Times New Roman" w:cs="Times New Roman"/>
                <w:sz w:val="24"/>
                <w:szCs w:val="24"/>
              </w:rPr>
              <w:t>.18</w:t>
            </w:r>
            <w:r w:rsidR="00837B92" w:rsidRPr="00A97D88">
              <w:rPr>
                <w:rFonts w:ascii="Times New Roman" w:eastAsia="Times New Roman" w:hAnsi="Times New Roman" w:cs="Times New Roman"/>
                <w:sz w:val="24"/>
                <w:szCs w:val="24"/>
                <w:vertAlign w:val="superscript"/>
              </w:rPr>
              <w:t>ab</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.66</w:t>
            </w:r>
            <w:r w:rsidR="00837B92" w:rsidRPr="00A97D88">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6.94</w:t>
            </w:r>
            <w:r w:rsidRPr="00A97D88">
              <w:rPr>
                <w:rFonts w:ascii="Times New Roman" w:eastAsia="Times New Roman" w:hAnsi="Times New Roman" w:cs="Times New Roman"/>
                <w:sz w:val="24"/>
                <w:szCs w:val="24"/>
                <w:vertAlign w:val="superscript"/>
              </w:rPr>
              <w:t>a</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1:2</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90.85</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ab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11.08</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.5</w:t>
            </w:r>
            <w:r w:rsidR="00837B92" w:rsidRPr="00A97D88">
              <w:rPr>
                <w:rFonts w:ascii="Times New Roman" w:eastAsia="Times New Roman" w:hAnsi="Times New Roman" w:cs="Times New Roman"/>
                <w:sz w:val="24"/>
                <w:szCs w:val="24"/>
                <w:vertAlign w:val="superscript"/>
              </w:rPr>
              <w:t>b</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rPr>
              <w:t>6</w:t>
            </w:r>
            <w:r w:rsidR="00837B92"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6.41</w:t>
            </w:r>
            <w:r w:rsidRPr="00A97D88">
              <w:rPr>
                <w:rFonts w:ascii="Times New Roman" w:eastAsia="Times New Roman" w:hAnsi="Times New Roman" w:cs="Times New Roman"/>
                <w:sz w:val="24"/>
                <w:szCs w:val="24"/>
                <w:vertAlign w:val="superscript"/>
              </w:rPr>
              <w:t>b</w:t>
            </w:r>
          </w:p>
        </w:tc>
      </w:tr>
      <w:tr w:rsidR="00837B92" w:rsidRPr="00A97D88" w:rsidTr="00B42CB7">
        <w:tc>
          <w:tcPr>
            <w:tcW w:w="3168"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2:1</w:t>
            </w:r>
          </w:p>
        </w:tc>
        <w:tc>
          <w:tcPr>
            <w:tcW w:w="108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90.48</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8.89</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9.78</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single" w:sz="4" w:space="0" w:color="auto"/>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00837B92" w:rsidRPr="00A97D88">
              <w:rPr>
                <w:rFonts w:ascii="Times New Roman" w:eastAsia="Times New Roman" w:hAnsi="Times New Roman" w:cs="Times New Roman"/>
                <w:sz w:val="24"/>
                <w:szCs w:val="24"/>
              </w:rPr>
              <w:t>.7</w:t>
            </w:r>
            <w:r w:rsidR="00EB37FA" w:rsidRPr="00A97D88">
              <w:rPr>
                <w:rFonts w:ascii="Times New Roman" w:eastAsia="Times New Roman" w:hAnsi="Times New Roman" w:cs="Times New Roman"/>
                <w:sz w:val="24"/>
                <w:szCs w:val="24"/>
              </w:rPr>
              <w:t>8</w:t>
            </w:r>
            <w:r w:rsidR="00837B92" w:rsidRPr="00A97D88">
              <w:rPr>
                <w:rFonts w:ascii="Times New Roman" w:eastAsia="Times New Roman" w:hAnsi="Times New Roman" w:cs="Times New Roman"/>
                <w:sz w:val="24"/>
                <w:szCs w:val="24"/>
                <w:vertAlign w:val="superscript"/>
              </w:rPr>
              <w:t>a</w:t>
            </w:r>
          </w:p>
        </w:tc>
        <w:tc>
          <w:tcPr>
            <w:tcW w:w="1350" w:type="dxa"/>
            <w:tcBorders>
              <w:top w:val="nil"/>
              <w:left w:val="nil"/>
              <w:bottom w:val="single" w:sz="4" w:space="0" w:color="auto"/>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.79</w:t>
            </w:r>
            <w:r w:rsidR="00837B92" w:rsidRPr="00A97D88">
              <w:rPr>
                <w:rFonts w:ascii="Times New Roman" w:eastAsia="Times New Roman" w:hAnsi="Times New Roman" w:cs="Times New Roman"/>
                <w:sz w:val="24"/>
                <w:szCs w:val="24"/>
                <w:vertAlign w:val="superscript"/>
              </w:rPr>
              <w:t>a</w:t>
            </w:r>
          </w:p>
        </w:tc>
        <w:tc>
          <w:tcPr>
            <w:tcW w:w="126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7.07</w:t>
            </w:r>
            <w:r w:rsidRPr="00A97D88">
              <w:rPr>
                <w:rFonts w:ascii="Times New Roman" w:eastAsia="Times New Roman" w:hAnsi="Times New Roman" w:cs="Times New Roman"/>
                <w:sz w:val="24"/>
                <w:szCs w:val="24"/>
                <w:vertAlign w:val="superscript"/>
              </w:rPr>
              <w:t>a</w:t>
            </w:r>
          </w:p>
        </w:tc>
      </w:tr>
      <w:tr w:rsidR="00837B92" w:rsidRPr="00A97D88" w:rsidTr="00B42CB7">
        <w:tc>
          <w:tcPr>
            <w:tcW w:w="3168"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p-value</w:t>
            </w:r>
          </w:p>
        </w:tc>
        <w:tc>
          <w:tcPr>
            <w:tcW w:w="1080" w:type="dxa"/>
            <w:tcBorders>
              <w:top w:val="single" w:sz="4" w:space="0" w:color="auto"/>
              <w:left w:val="nil"/>
              <w:bottom w:val="single" w:sz="4" w:space="0" w:color="auto"/>
              <w:right w:val="nil"/>
            </w:tcBorders>
          </w:tcPr>
          <w:p w:rsidR="00837B92"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C17B0C" w:rsidRPr="00A97D88">
              <w:rPr>
                <w:rFonts w:ascii="Times New Roman" w:eastAsia="Times New Roman" w:hAnsi="Times New Roman" w:cs="Times New Roman"/>
                <w:sz w:val="24"/>
                <w:szCs w:val="24"/>
              </w:rPr>
              <w:t>s</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35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837B92" w:rsidRPr="00A97D88" w:rsidTr="00B42CB7">
        <w:trPr>
          <w:trHeight w:val="242"/>
        </w:trPr>
        <w:tc>
          <w:tcPr>
            <w:tcW w:w="3168" w:type="dxa"/>
            <w:tcBorders>
              <w:top w:val="single" w:sz="4" w:space="0" w:color="auto"/>
              <w:left w:val="nil"/>
              <w:bottom w:val="nil"/>
              <w:right w:val="nil"/>
            </w:tcBorders>
          </w:tcPr>
          <w:p w:rsidR="00837B92" w:rsidRPr="00A97D88" w:rsidRDefault="00851400" w:rsidP="009C63AE">
            <w:pPr>
              <w:rPr>
                <w:rFonts w:ascii="Times New Roman" w:hAnsi="Times New Roman" w:cs="Times New Roman"/>
                <w:b/>
                <w:szCs w:val="24"/>
              </w:rPr>
            </w:pPr>
            <w:r w:rsidRPr="00A97D88">
              <w:rPr>
                <w:rFonts w:ascii="Times New Roman" w:hAnsi="Times New Roman" w:cs="Times New Roman"/>
                <w:b/>
                <w:szCs w:val="24"/>
              </w:rPr>
              <w:t>A*B</w:t>
            </w:r>
          </w:p>
        </w:tc>
        <w:tc>
          <w:tcPr>
            <w:tcW w:w="108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Bonsa+c*1:1(T1)</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90.5</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8.18</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733A9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00837B92" w:rsidRPr="00A97D88">
              <w:rPr>
                <w:rFonts w:ascii="Times New Roman" w:eastAsia="Times New Roman" w:hAnsi="Times New Roman" w:cs="Times New Roman"/>
                <w:sz w:val="24"/>
                <w:szCs w:val="24"/>
              </w:rPr>
              <w:t>06</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59.57</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.7</w:t>
            </w:r>
            <w:r w:rsidRPr="00A97D88">
              <w:rPr>
                <w:rFonts w:ascii="Times New Roman" w:eastAsia="Times New Roman" w:hAnsi="Times New Roman" w:cs="Times New Roman"/>
                <w:sz w:val="24"/>
                <w:szCs w:val="24"/>
              </w:rPr>
              <w:t>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6.88</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Bonsa+c*1:2 (T2)</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8.59</w:t>
            </w:r>
            <w:r w:rsidRPr="00A97D88">
              <w:rPr>
                <w:rFonts w:ascii="Times New Roman" w:eastAsia="Times New Roman" w:hAnsi="Times New Roman" w:cs="Times New Roman"/>
                <w:sz w:val="24"/>
                <w:szCs w:val="24"/>
                <w:vertAlign w:val="superscript"/>
              </w:rPr>
              <w:t>bcd</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11.77</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.8</w:t>
            </w:r>
            <w:r w:rsidR="00EB37FA" w:rsidRPr="00A97D88">
              <w:rPr>
                <w:rFonts w:ascii="Times New Roman" w:eastAsia="Times New Roman" w:hAnsi="Times New Roman" w:cs="Times New Roman"/>
                <w:sz w:val="24"/>
                <w:szCs w:val="24"/>
              </w:rPr>
              <w:t>6</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.11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6.35</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Bonsa+c*2:1 (T3)</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90.32</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8.36</w:t>
            </w:r>
            <w:r w:rsidRPr="00A97D88">
              <w:rPr>
                <w:rFonts w:ascii="Times New Roman" w:eastAsia="Times New Roman" w:hAnsi="Times New Roman" w:cs="Times New Roman"/>
                <w:sz w:val="24"/>
                <w:szCs w:val="24"/>
                <w:vertAlign w:val="superscript"/>
              </w:rPr>
              <w:t>cd</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10.15</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.6</w:t>
            </w:r>
            <w:r w:rsidR="00EB37FA" w:rsidRPr="00A97D88">
              <w:rPr>
                <w:rFonts w:ascii="Times New Roman" w:eastAsia="Times New Roman" w:hAnsi="Times New Roman" w:cs="Times New Roman"/>
                <w:sz w:val="24"/>
                <w:szCs w:val="24"/>
              </w:rPr>
              <w:t>7</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rPr>
              <w:t>3</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7.01</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Bareda+c*1:1 (T8)</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91,17</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8.76</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10.42</w:t>
            </w:r>
          </w:p>
        </w:tc>
        <w:tc>
          <w:tcPr>
            <w:tcW w:w="117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37B92" w:rsidRPr="00A97D88">
              <w:rPr>
                <w:rFonts w:ascii="Times New Roman" w:eastAsia="Times New Roman" w:hAnsi="Times New Roman" w:cs="Times New Roman"/>
                <w:sz w:val="24"/>
                <w:szCs w:val="24"/>
              </w:rPr>
              <w:t>.03</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.9</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Bareda +c*1:2 (T9)</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91.13</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8.82</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11.28</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51</w:t>
            </w:r>
            <w:r w:rsidR="00837B92" w:rsidRPr="00A97D88">
              <w:rPr>
                <w:rFonts w:ascii="Times New Roman" w:eastAsia="Times New Roman" w:hAnsi="Times New Roman" w:cs="Times New Roman"/>
                <w:sz w:val="24"/>
                <w:szCs w:val="24"/>
              </w:rPr>
              <w:t>.46</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.3</w:t>
            </w:r>
            <w:r w:rsidRPr="00A97D88">
              <w:rPr>
                <w:rFonts w:ascii="Times New Roman" w:eastAsia="Times New Roman" w:hAnsi="Times New Roman" w:cs="Times New Roman"/>
                <w:sz w:val="24"/>
                <w:szCs w:val="24"/>
              </w:rPr>
              <w:t>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Bareda +c*2:1 (T7)</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90.89</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9.43</w:t>
            </w:r>
          </w:p>
        </w:tc>
        <w:tc>
          <w:tcPr>
            <w:tcW w:w="117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37B92" w:rsidRPr="00A97D88">
              <w:rPr>
                <w:rFonts w:ascii="Times New Roman" w:eastAsia="Times New Roman" w:hAnsi="Times New Roman" w:cs="Times New Roman"/>
                <w:sz w:val="24"/>
                <w:szCs w:val="24"/>
              </w:rPr>
              <w:t>.8</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.02</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7.91</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Bate+C*1:1 (T5)</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91.31</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8.65</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10.51</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.94</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.39</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6.13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Bate+C*1:2 (T6)</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90.66</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10.19</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.3</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rPr>
              <w:t>6</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w:t>
            </w:r>
          </w:p>
        </w:tc>
      </w:tr>
      <w:tr w:rsidR="00837B92" w:rsidRPr="00A97D88" w:rsidTr="002857D9">
        <w:tc>
          <w:tcPr>
            <w:tcW w:w="3168"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b/>
                <w:sz w:val="24"/>
                <w:szCs w:val="24"/>
              </w:rPr>
              <w:t>Bate+C*2:1 (T4)</w:t>
            </w:r>
          </w:p>
        </w:tc>
        <w:tc>
          <w:tcPr>
            <w:tcW w:w="108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90.24</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9.78</w:t>
            </w:r>
          </w:p>
        </w:tc>
        <w:tc>
          <w:tcPr>
            <w:tcW w:w="1170" w:type="dxa"/>
            <w:tcBorders>
              <w:top w:val="nil"/>
              <w:left w:val="nil"/>
              <w:bottom w:val="single" w:sz="4" w:space="0" w:color="auto"/>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.79</w:t>
            </w:r>
          </w:p>
        </w:tc>
        <w:tc>
          <w:tcPr>
            <w:tcW w:w="1350" w:type="dxa"/>
            <w:tcBorders>
              <w:top w:val="nil"/>
              <w:left w:val="nil"/>
              <w:bottom w:val="single" w:sz="4" w:space="0" w:color="auto"/>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.51</w:t>
            </w:r>
          </w:p>
        </w:tc>
        <w:tc>
          <w:tcPr>
            <w:tcW w:w="126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6.26</w:t>
            </w:r>
          </w:p>
        </w:tc>
      </w:tr>
      <w:tr w:rsidR="0013614E" w:rsidRPr="00A97D88" w:rsidTr="002857D9">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Mean</w:t>
            </w:r>
          </w:p>
        </w:tc>
        <w:tc>
          <w:tcPr>
            <w:tcW w:w="108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90.78</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10.51</w:t>
            </w:r>
          </w:p>
        </w:tc>
        <w:tc>
          <w:tcPr>
            <w:tcW w:w="1170" w:type="dxa"/>
            <w:tcBorders>
              <w:top w:val="single" w:sz="4" w:space="0" w:color="auto"/>
              <w:left w:val="nil"/>
              <w:bottom w:val="single" w:sz="4" w:space="0" w:color="auto"/>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00194988" w:rsidRPr="00A97D88">
              <w:rPr>
                <w:rFonts w:ascii="Times New Roman" w:eastAsia="Times New Roman" w:hAnsi="Times New Roman" w:cs="Times New Roman"/>
                <w:sz w:val="24"/>
                <w:szCs w:val="24"/>
              </w:rPr>
              <w:t>.17</w:t>
            </w:r>
          </w:p>
        </w:tc>
        <w:tc>
          <w:tcPr>
            <w:tcW w:w="1350" w:type="dxa"/>
            <w:tcBorders>
              <w:top w:val="single" w:sz="4" w:space="0" w:color="auto"/>
              <w:left w:val="nil"/>
              <w:bottom w:val="single" w:sz="4" w:space="0" w:color="auto"/>
              <w:right w:val="nil"/>
            </w:tcBorders>
          </w:tcPr>
          <w:p w:rsidR="000E43BA"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194988" w:rsidRPr="00A97D88">
              <w:rPr>
                <w:rFonts w:ascii="Times New Roman" w:eastAsia="Times New Roman" w:hAnsi="Times New Roman" w:cs="Times New Roman"/>
                <w:sz w:val="24"/>
                <w:szCs w:val="24"/>
              </w:rPr>
              <w:t>.47</w:t>
            </w:r>
          </w:p>
        </w:tc>
        <w:tc>
          <w:tcPr>
            <w:tcW w:w="126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6.81</w:t>
            </w:r>
          </w:p>
        </w:tc>
      </w:tr>
      <w:tr w:rsidR="0013614E" w:rsidRPr="00A97D88" w:rsidTr="002857D9">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108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2.93</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w:t>
            </w:r>
          </w:p>
        </w:tc>
        <w:tc>
          <w:tcPr>
            <w:tcW w:w="1170" w:type="dxa"/>
            <w:tcBorders>
              <w:top w:val="single" w:sz="4" w:space="0" w:color="auto"/>
              <w:left w:val="nil"/>
              <w:bottom w:val="single" w:sz="4" w:space="0" w:color="auto"/>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1.44</w:t>
            </w:r>
          </w:p>
        </w:tc>
        <w:tc>
          <w:tcPr>
            <w:tcW w:w="1350" w:type="dxa"/>
            <w:tcBorders>
              <w:top w:val="single" w:sz="4" w:space="0" w:color="auto"/>
              <w:left w:val="nil"/>
              <w:bottom w:val="single" w:sz="4" w:space="0" w:color="auto"/>
              <w:right w:val="nil"/>
            </w:tcBorders>
          </w:tcPr>
          <w:p w:rsidR="000E43BA"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1.58</w:t>
            </w:r>
          </w:p>
        </w:tc>
        <w:tc>
          <w:tcPr>
            <w:tcW w:w="126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5.7</w:t>
            </w:r>
          </w:p>
        </w:tc>
      </w:tr>
      <w:tr w:rsidR="000E43BA" w:rsidRPr="00A97D88" w:rsidTr="002857D9">
        <w:tc>
          <w:tcPr>
            <w:tcW w:w="3168" w:type="dxa"/>
            <w:tcBorders>
              <w:top w:val="single" w:sz="4" w:space="0" w:color="auto"/>
              <w:left w:val="nil"/>
              <w:bottom w:val="thickThinSmallGap" w:sz="2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1080" w:type="dxa"/>
            <w:tcBorders>
              <w:top w:val="single" w:sz="4" w:space="0" w:color="auto"/>
              <w:left w:val="nil"/>
              <w:bottom w:val="thickThinSmallGap" w:sz="24" w:space="0" w:color="auto"/>
              <w:right w:val="nil"/>
            </w:tcBorders>
          </w:tcPr>
          <w:p w:rsidR="000E43BA"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0E3D47" w:rsidRPr="00A97D88">
              <w:rPr>
                <w:rFonts w:ascii="Times New Roman" w:eastAsia="Times New Roman" w:hAnsi="Times New Roman" w:cs="Times New Roman"/>
                <w:sz w:val="24"/>
                <w:szCs w:val="24"/>
              </w:rPr>
              <w:t>s</w:t>
            </w:r>
          </w:p>
        </w:tc>
        <w:tc>
          <w:tcPr>
            <w:tcW w:w="117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thickThinSmallGap" w:sz="24" w:space="0" w:color="auto"/>
              <w:right w:val="nil"/>
            </w:tcBorders>
          </w:tcPr>
          <w:p w:rsidR="000E43BA" w:rsidRPr="00A97D88" w:rsidRDefault="00C06CA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577F62" w:rsidRPr="00A97D88">
              <w:rPr>
                <w:rFonts w:ascii="Times New Roman" w:eastAsia="Times New Roman" w:hAnsi="Times New Roman" w:cs="Times New Roman"/>
                <w:sz w:val="24"/>
                <w:szCs w:val="24"/>
              </w:rPr>
              <w:t>s</w:t>
            </w:r>
          </w:p>
        </w:tc>
        <w:tc>
          <w:tcPr>
            <w:tcW w:w="1170" w:type="dxa"/>
            <w:tcBorders>
              <w:top w:val="single" w:sz="4" w:space="0" w:color="auto"/>
              <w:left w:val="nil"/>
              <w:bottom w:val="thickThinSmallGap" w:sz="24" w:space="0" w:color="auto"/>
              <w:right w:val="nil"/>
            </w:tcBorders>
          </w:tcPr>
          <w:p w:rsidR="000E43BA" w:rsidRPr="00A97D88" w:rsidRDefault="000A58FD"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194988" w:rsidRPr="00A97D88">
              <w:rPr>
                <w:rFonts w:ascii="Times New Roman" w:eastAsia="Times New Roman" w:hAnsi="Times New Roman" w:cs="Times New Roman"/>
                <w:sz w:val="24"/>
                <w:szCs w:val="24"/>
              </w:rPr>
              <w:t>s</w:t>
            </w:r>
          </w:p>
        </w:tc>
        <w:tc>
          <w:tcPr>
            <w:tcW w:w="135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bl>
    <w:p w:rsidR="00855A9F" w:rsidRPr="00A97D88" w:rsidRDefault="008D3E90" w:rsidP="001829BF">
      <w:pPr>
        <w:tabs>
          <w:tab w:val="left" w:pos="1575"/>
        </w:tabs>
        <w:jc w:val="both"/>
        <w:rPr>
          <w:rFonts w:ascii="Times New Roman" w:hAnsi="Times New Roman" w:cs="Times New Roman"/>
          <w:b/>
          <w:sz w:val="20"/>
          <w:szCs w:val="20"/>
        </w:rPr>
      </w:pPr>
      <w:r w:rsidRPr="00A97D88">
        <w:rPr>
          <w:rFonts w:ascii="Times New Roman" w:eastAsia="Times New Roman" w:hAnsi="Times New Roman" w:cs="Times New Roman"/>
          <w:i/>
          <w:sz w:val="20"/>
          <w:szCs w:val="20"/>
          <w:lang w:eastAsia="en-GB"/>
        </w:rPr>
        <w:t>The means in each column with different superscripts are significantly different at p&lt;0.05. DM=dry matte, CP=Crude Protein, NDF=Neutral detergent fiber, ADF=Acid detergent fiber, ADL=Acid detergent lignin, Ash=ash,</w:t>
      </w:r>
      <w:r w:rsidR="0074390D" w:rsidRPr="00A97D88">
        <w:rPr>
          <w:rFonts w:ascii="Times New Roman" w:eastAsia="Times New Roman" w:hAnsi="Times New Roman" w:cs="Times New Roman"/>
          <w:i/>
          <w:sz w:val="20"/>
          <w:szCs w:val="20"/>
          <w:lang w:eastAsia="en-GB"/>
        </w:rPr>
        <w:t xml:space="preserve"> </w:t>
      </w:r>
      <w:r w:rsidR="0074390D" w:rsidRPr="00A97D88">
        <w:rPr>
          <w:rFonts w:ascii="Times New Roman" w:hAnsi="Times New Roman" w:cs="Times New Roman"/>
          <w:i/>
          <w:sz w:val="20"/>
          <w:szCs w:val="20"/>
        </w:rPr>
        <w:t>T1= Bonsa + common vetch 1:1, T2= Bonsa + common vetch 1:2, T3= Bonsa + common vetch   2:1, T4= Bate + common vetch  2:1, T5= Bate + common vetch   1:1, T6=Bate + common vetch    1:2 T7= Bareda + common vetch  2:1, T8= Bareda + common vetch  1:1, T9=  Bareda + common vetch   1:2,</w:t>
      </w:r>
      <w:r w:rsidRPr="00A97D88">
        <w:rPr>
          <w:rFonts w:ascii="Times New Roman" w:eastAsia="Times New Roman" w:hAnsi="Times New Roman" w:cs="Times New Roman"/>
          <w:i/>
          <w:sz w:val="20"/>
          <w:szCs w:val="20"/>
          <w:lang w:eastAsia="en-GB"/>
        </w:rPr>
        <w:t xml:space="preserve">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 significant difference</w:t>
      </w:r>
    </w:p>
    <w:p w:rsidR="00855A9F" w:rsidRDefault="001537DA" w:rsidP="00026335">
      <w:pPr>
        <w:pStyle w:val="Heading3"/>
        <w:spacing w:before="0" w:after="240"/>
        <w:rPr>
          <w:rFonts w:ascii="Times New Roman" w:hAnsi="Times New Roman" w:cs="Times New Roman"/>
          <w:color w:val="auto"/>
        </w:rPr>
      </w:pPr>
      <w:bookmarkStart w:id="27" w:name="_Toc184070854"/>
      <w:r w:rsidRPr="00A97D88">
        <w:rPr>
          <w:rFonts w:ascii="Times New Roman" w:hAnsi="Times New Roman" w:cs="Times New Roman"/>
          <w:color w:val="auto"/>
        </w:rPr>
        <w:t>Crude protein contents</w:t>
      </w:r>
      <w:bookmarkEnd w:id="27"/>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As shown in Table 5, crude protein content of oat varieties intercropped with vetch was significantly affected (p&lt;0.05) by variety selection. The highest CP content (10.99%) was recorded for the Bonsa-vetch intercrop, while other oat varieties intercropped with vetch showed lower CP contents. All treatments exceeded the minimum threshold of 7.5% CP required for optimal rumen function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AuthorYear="1"&gt;&lt;Author&gt;Van Soest&lt;/Author&gt;&lt;Year&gt;1994&lt;/Year&gt;&lt;RecNum&gt;95&lt;/RecNum&gt;&lt;DisplayText&gt;Van Soest (1994)&lt;/DisplayText&gt;&lt;record&gt;&lt;rec-number&gt;95&lt;/rec-number&gt;&lt;foreign-keys&gt;&lt;key app="EN" db-id="5ee0etwro2xdtheaap2xr5f6dpxvrsx2v0t5"&gt;95&lt;/key&gt;&lt;/foreign-keys&gt;&lt;ref-type name="Book"&gt;6&lt;/ref-type&gt;&lt;contributors&gt;&lt;authors&gt;&lt;author&gt;Van Soest, Peter J&lt;/author&gt;&lt;/authors&gt;&lt;/contributors&gt;&lt;titles&gt;&lt;title&gt;Nutritional ecology of the ruminant&lt;/title&gt;&lt;/titles&gt;&lt;dates&gt;&lt;year&gt;1994&lt;/year&gt;&lt;/dates&gt;&lt;publisher&gt;Cornell university press&lt;/publisher&gt;&lt;isbn&gt;080142772X&lt;/isbn&gt;&lt;urls&gt;&lt;/urls&gt;&lt;/record&gt;&lt;/Cite&gt;&lt;/EndNote&gt;</w:instrText>
      </w:r>
      <w:r w:rsidR="000D6068">
        <w:rPr>
          <w:rFonts w:ascii="Times New Roman" w:hAnsi="Times New Roman" w:cs="Times New Roman"/>
          <w:sz w:val="24"/>
        </w:rPr>
        <w:fldChar w:fldCharType="separate"/>
      </w:r>
      <w:hyperlink w:anchor="_ENREF_68" w:tooltip="Van Soest, 1994 #95" w:history="1">
        <w:r w:rsidR="00BC4E2E">
          <w:rPr>
            <w:rFonts w:ascii="Times New Roman" w:hAnsi="Times New Roman" w:cs="Times New Roman"/>
            <w:noProof/>
            <w:sz w:val="24"/>
          </w:rPr>
          <w:t>Van Soest (1994</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Arial" w:hAnsi="Arial" w:cs="Arial"/>
          <w:sz w:val="19"/>
          <w:szCs w:val="19"/>
          <w:shd w:val="clear" w:color="auto" w:fill="FFFFFF"/>
        </w:rPr>
        <w:t>,</w:t>
      </w:r>
      <w:r w:rsidR="00883E6A">
        <w:rPr>
          <w:rFonts w:ascii="Arial" w:hAnsi="Arial" w:cs="Arial"/>
          <w:sz w:val="19"/>
          <w:szCs w:val="19"/>
          <w:shd w:val="clear" w:color="auto" w:fill="FFFFFF"/>
        </w:rPr>
        <w:t xml:space="preserve"> </w:t>
      </w:r>
      <w:r w:rsidRPr="007C35EA">
        <w:rPr>
          <w:rFonts w:ascii="Times New Roman" w:hAnsi="Times New Roman" w:cs="Times New Roman"/>
          <w:sz w:val="24"/>
        </w:rPr>
        <w:t>indicating adequate protein levels for ruminant nutrition. The CP content in this study ranged from 9.78% to 11.08%, classifying these oat-vetch forages as medium-quality feeds suitable for supplementing crop residues and natural pasture in mixed farming systems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&lt;EndNote&gt;&lt;Cite&gt;&lt;Author&gt;Feyissa&lt;/Author&gt;&lt;Year&gt;2011&lt;/Year&gt;&lt;RecNum&gt;96&lt;/RecNum&gt;&lt;DisplayText&gt;(Feyissa et al., 2011)&lt;/DisplayText&gt;&lt;record&gt;&lt;rec-number&gt;96&lt;/rec-number&gt;&lt;foreign-keys&gt;&lt;key app="EN" db-id="5ee0etwro2xdtheaap2xr5f6dpxvrsx2v0t5"&gt;96&lt;/key&gt;&lt;/foreign-keys&gt;&lt;ref-type name="Journal Article"&gt;17&lt;/ref-type&gt;&lt;contributors&gt;&lt;authors&gt;&lt;author&gt;Feyissa, Fekede&lt;/author&gt;&lt;author&gt;Tesfaye, Agajie&lt;/author&gt;&lt;author&gt;Tsigie, Angaw&lt;/author&gt;&lt;/authors&gt;&lt;/contributors&gt;&lt;titles&gt;&lt;title&gt;Producing and Using Alternative Feeds to Crop Residues&lt;/title&gt;&lt;secondary-title&gt;User Manual, EIAR&lt;/secondary-title&gt;&lt;/titles&gt;&lt;periodical&gt;&lt;full-title&gt;User Manual, EIAR&lt;/full-title&gt;&lt;/periodical&gt;&lt;dates&gt;&lt;year&gt;2011&lt;/year&gt;&lt;/dates&gt;&lt;urls&gt;&lt;/urls&gt;&lt;/record&gt;&lt;/Cite&gt;&lt;/EndNote&gt;</w:instrText>
      </w:r>
      <w:r w:rsidR="000D6068">
        <w:rPr>
          <w:rFonts w:ascii="Times New Roman" w:hAnsi="Times New Roman" w:cs="Times New Roman"/>
          <w:sz w:val="24"/>
        </w:rPr>
        <w:fldChar w:fldCharType="separate"/>
      </w:r>
      <w:r w:rsidR="005F2484">
        <w:rPr>
          <w:rFonts w:ascii="Times New Roman" w:hAnsi="Times New Roman" w:cs="Times New Roman"/>
          <w:noProof/>
          <w:sz w:val="24"/>
        </w:rPr>
        <w:t>(</w:t>
      </w:r>
      <w:hyperlink w:anchor="_ENREF_22" w:tooltip="Feyissa, 2011 #59" w:history="1">
        <w:r w:rsidR="00BC4E2E">
          <w:rPr>
            <w:rFonts w:ascii="Times New Roman" w:hAnsi="Times New Roman" w:cs="Times New Roman"/>
            <w:noProof/>
            <w:sz w:val="24"/>
          </w:rPr>
          <w:t>Feyissa et al., 2011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The variation among varieties suggests genetic differences in nitrogen uptake and protein synthesis capacity when grown with legumes. Selection of appropriate oat varieties can optimize protein content in intercropping systems.</w:t>
      </w:r>
      <w:r w:rsidR="00883E6A">
        <w:rPr>
          <w:rFonts w:ascii="Times New Roman" w:hAnsi="Times New Roman" w:cs="Times New Roman"/>
          <w:sz w:val="24"/>
        </w:rPr>
        <w:t xml:space="preserve"> </w:t>
      </w:r>
      <w:r w:rsidRPr="007C35EA">
        <w:rPr>
          <w:rFonts w:ascii="Times New Roman" w:hAnsi="Times New Roman" w:cs="Times New Roman"/>
          <w:sz w:val="24"/>
        </w:rPr>
        <w:t xml:space="preserve">Row arrangement significantly influenced CP content (p&lt;0.05), with the 1:2 (oat:vetch) arrangement producing the highest crude protein (11.08%) compared to the 2:1 arrangement (9.78%). This positive relationship between vetch proportion and CP content reflects the nitrogen-fixing capacity of the legume component and its contribution to the overall </w:t>
      </w:r>
      <w:r w:rsidR="00883E6A">
        <w:rPr>
          <w:rFonts w:ascii="Times New Roman" w:hAnsi="Times New Roman" w:cs="Times New Roman"/>
          <w:sz w:val="24"/>
        </w:rPr>
        <w:t>forage protein concentration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&lt;EndNote&gt;&lt;Cite&gt;&lt;Author&gt;Abera&lt;/Author&gt;&lt;Year&gt;2022&lt;/Year&gt;&lt;RecNum&gt;97&lt;/RecNum&gt;&lt;DisplayText&gt;(Abera&lt;style face="italic"&gt; et al.&lt;/style&gt;, 2022)&lt;/DisplayText&gt;&lt;record&gt;&lt;rec-number&gt;97&lt;/rec-number&gt;&lt;foreign-keys&gt;&lt;key app="EN" db-id="5ee0etwro2xdtheaap2xr5f6dpxvrsx2v0t5"&gt;97&lt;/key&gt;&lt;/foreign-keys&gt;&lt;ref-type name="Journal Article"&gt;17&lt;/ref-type&gt;&lt;contributors&gt;&lt;authors&gt;&lt;author&gt;Abera, Mergia&lt;/author&gt;&lt;author&gt;Tolera, Adugna&lt;/author&gt;&lt;author&gt;Nurfeta, Ajebu&lt;/author&gt;&lt;author&gt;Geleti, Diriba&lt;/author&gt;&lt;/authors&gt;&lt;/contributors&gt;&lt;titles&gt;&lt;title&gt;Herbage accumulation and nutritive value of mixtures of desho grass and Vicia spp. in southern Ethiopia&lt;/title&gt;&lt;secondary-title&gt;Agronomy Journal&lt;/secondary-title&gt;&lt;/titles&gt;&lt;periodical&gt;&lt;full-title&gt;Agronomy Journal&lt;/full-title&gt;&lt;/periodical&gt;&lt;pages&gt;165-172&lt;/pages&gt;&lt;volume&gt;114&lt;/volume&gt;&lt;number&gt;1&lt;/number&gt;&lt;dates&gt;&lt;year&gt;2022&lt;/year&gt;&lt;/dates&gt;&lt;isbn&gt;0002-1962&lt;/isbn&gt;&lt;urls&gt;&lt;/urls&gt;&lt;/record&gt;&lt;/Cite&gt;&lt;/EndNote&gt;</w:instrText>
      </w:r>
      <w:r w:rsidR="000D6068">
        <w:rPr>
          <w:rFonts w:ascii="Times New Roman" w:hAnsi="Times New Roman" w:cs="Times New Roman"/>
          <w:sz w:val="24"/>
        </w:rPr>
        <w:fldChar w:fldCharType="separate"/>
      </w:r>
      <w:r w:rsidR="005F2484">
        <w:rPr>
          <w:rFonts w:ascii="Times New Roman" w:hAnsi="Times New Roman" w:cs="Times New Roman"/>
          <w:noProof/>
          <w:sz w:val="24"/>
        </w:rPr>
        <w:t>(</w:t>
      </w:r>
      <w:hyperlink w:anchor="_ENREF_1" w:tooltip="Abera, 2022 #97" w:history="1">
        <w:r w:rsidR="00BC4E2E">
          <w:rPr>
            <w:rFonts w:ascii="Times New Roman" w:hAnsi="Times New Roman" w:cs="Times New Roman"/>
            <w:noProof/>
            <w:sz w:val="24"/>
          </w:rPr>
          <w:t>Abera</w:t>
        </w:r>
        <w:r w:rsidR="00BC4E2E" w:rsidRPr="005F2484">
          <w:rPr>
            <w:rFonts w:ascii="Times New Roman" w:hAnsi="Times New Roman" w:cs="Times New Roman"/>
            <w:i/>
            <w:noProof/>
            <w:sz w:val="24"/>
          </w:rPr>
          <w:t xml:space="preserve"> et al.</w:t>
        </w:r>
        <w:r w:rsidR="00BC4E2E">
          <w:rPr>
            <w:rFonts w:ascii="Times New Roman" w:hAnsi="Times New Roman" w:cs="Times New Roman"/>
            <w:noProof/>
            <w:sz w:val="24"/>
          </w:rPr>
          <w:t>, 2022</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Increasing the proportion of vetch in the intercrop enhances protein content, which directly benefits livestock production through improved diges</w:t>
      </w:r>
      <w:r w:rsidR="00883E6A">
        <w:rPr>
          <w:rFonts w:ascii="Times New Roman" w:hAnsi="Times New Roman" w:cs="Times New Roman"/>
          <w:sz w:val="24"/>
        </w:rPr>
        <w:t>tibility and nutrient supply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&lt;EndNote&gt;&lt;Cite&gt;&lt;Author&gt;Baber&lt;/Author&gt;&lt;Year&gt;2018&lt;/Year&gt;&lt;RecNum&gt;98&lt;/RecNum&gt;&lt;DisplayText&gt;(Baber&lt;style face="italic"&gt; et al.&lt;/style&gt;, 2018)&lt;/DisplayText&gt;&lt;record&gt;&lt;rec-number&gt;98&lt;/rec-number&gt;&lt;foreign-keys&gt;&lt;key app="EN" db-id="5ee0etwro2xdtheaap2xr5f6dpxvrsx2v0t5"&gt;98&lt;/key&gt;&lt;/foreign-keys&gt;&lt;ref-type name="Journal Article"&gt;17&lt;/ref-type&gt;&lt;contributors&gt;&lt;authors&gt;&lt;author&gt;Baber, Jessica R&lt;/author&gt;&lt;author&gt;Sawyer, Jason E&lt;/author&gt;&lt;author&gt;Wickersham, Tryon A&lt;/author&gt;&lt;/authors&gt;&lt;/contributors&gt;&lt;titles&gt;&lt;title&gt;Estimation of human-edible protein conversion efficiency, net protein contribution, and enteric methane production from beef production in the United States&lt;/title&gt;&lt;secondary-title&gt;Translational Animal Science&lt;/secondary-title&gt;&lt;/titles&gt;&lt;periodical&gt;&lt;full-title&gt;Translational Animal Science&lt;/full-title&gt;&lt;/periodical&gt;&lt;pages&gt;439-450&lt;/pages&gt;&lt;volume&gt;2&lt;/volume&gt;&lt;number&gt;4&lt;/number&gt;&lt;dates&gt;&lt;year&gt;2018&lt;/year&gt;&lt;/dates&gt;&lt;isbn&gt;2573-2102&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10" w:tooltip="Baber, 2018 #98" w:history="1">
        <w:r w:rsidR="00BC4E2E">
          <w:rPr>
            <w:rFonts w:ascii="Times New Roman" w:hAnsi="Times New Roman" w:cs="Times New Roman"/>
            <w:noProof/>
            <w:sz w:val="24"/>
          </w:rPr>
          <w:t>Baber</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2018</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Pr="007C35EA">
        <w:rPr>
          <w:rFonts w:ascii="Times New Roman" w:hAnsi="Times New Roman" w:cs="Times New Roman"/>
          <w:sz w:val="24"/>
        </w:rPr>
        <w:t xml:space="preserve">. The 1:2 row </w:t>
      </w:r>
      <w:r w:rsidR="00DB1526" w:rsidRPr="007C35EA">
        <w:rPr>
          <w:rFonts w:ascii="Times New Roman" w:hAnsi="Times New Roman" w:cs="Times New Roman"/>
          <w:sz w:val="24"/>
        </w:rPr>
        <w:t>arrangements</w:t>
      </w:r>
      <w:r w:rsidRPr="007C35EA">
        <w:rPr>
          <w:rFonts w:ascii="Times New Roman" w:hAnsi="Times New Roman" w:cs="Times New Roman"/>
          <w:sz w:val="24"/>
        </w:rPr>
        <w:t xml:space="preserve"> </w:t>
      </w:r>
      <w:r w:rsidR="00DB1526" w:rsidRPr="007C35EA">
        <w:rPr>
          <w:rFonts w:ascii="Times New Roman" w:hAnsi="Times New Roman" w:cs="Times New Roman"/>
          <w:sz w:val="24"/>
        </w:rPr>
        <w:t>represent</w:t>
      </w:r>
      <w:r w:rsidRPr="007C35EA">
        <w:rPr>
          <w:rFonts w:ascii="Times New Roman" w:hAnsi="Times New Roman" w:cs="Times New Roman"/>
          <w:sz w:val="24"/>
        </w:rPr>
        <w:t xml:space="preserve"> an optimal configuration for maximizing forage protein value.</w:t>
      </w:r>
      <w:r w:rsidR="00DB1526">
        <w:rPr>
          <w:rFonts w:ascii="Times New Roman" w:hAnsi="Times New Roman" w:cs="Times New Roman"/>
          <w:sz w:val="24"/>
        </w:rPr>
        <w:t xml:space="preserve"> </w:t>
      </w:r>
      <w:r w:rsidRPr="007C35EA">
        <w:rPr>
          <w:rFonts w:ascii="Times New Roman" w:hAnsi="Times New Roman" w:cs="Times New Roman"/>
          <w:sz w:val="24"/>
        </w:rPr>
        <w:t>Although variety and row arrangement independently influenced CP content, their interaction effects were not significant (P &gt; 0.05), suggesting that the benefits of row arrangement are consistent across varieties tested.</w:t>
      </w:r>
    </w:p>
    <w:p w:rsidR="007C35EA" w:rsidRP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Total Ash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Total ash content was significantly influenced (P&lt;0.05) by oat variety. The Bate-vetch mixture showed the highest ash content (8.9%), while the Bonsa-vetch mixture had the lowest (8.38%). The elevated ash in Bate may be attributed to the creeping growth habit of this variety, increasing contact with soil and potential soil con</w:t>
      </w:r>
      <w:r w:rsidR="00883E6A">
        <w:rPr>
          <w:rFonts w:ascii="Times New Roman" w:hAnsi="Times New Roman" w:cs="Times New Roman"/>
          <w:sz w:val="24"/>
        </w:rPr>
        <w:t>tamination during harvest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&lt;EndNote&gt;&lt;Cite&gt;&lt;Author&gt;Mburu&lt;/Author&gt;&lt;Year&gt;2018&lt;/Year&gt;&lt;RecNum&gt;99&lt;/RecNum&gt;&lt;DisplayText&gt;(Mburu&lt;style face="italic"&gt; et al.&lt;/style&gt;, 2018)&lt;/DisplayText&gt;&lt;record&gt;&lt;rec-number&gt;99&lt;/rec-number&gt;&lt;foreign-keys&gt;&lt;key app="EN" db-id="5ee0etwro2xdtheaap2xr5f6dpxvrsx2v0t5"&gt;99&lt;/key&gt;&lt;/foreign-keys&gt;&lt;ref-type name="Journal Article"&gt;17&lt;/ref-type&gt;&lt;contributors&gt;&lt;authors&gt;&lt;author&gt;Mburu, LM&lt;/author&gt;&lt;author&gt;Gachuiri, CK&lt;/author&gt;&lt;author&gt;Wanyoike, MM&lt;/author&gt;&lt;author&gt;Mande, JD&lt;/author&gt;&lt;/authors&gt;&lt;/contributors&gt;&lt;titles&gt;&lt;title&gt;Forage and in vitro dry matter digestibility quality of native species in coastal lowlands of Kenya&lt;/title&gt;&lt;secondary-title&gt;International Journal of Animal Science&lt;/secondary-title&gt;&lt;/titles&gt;&lt;periodical&gt;&lt;full-title&gt;International Journal of Animal Science&lt;/full-title&gt;&lt;/periodical&gt;&lt;pages&gt;1-5&lt;/pages&gt;&lt;volume&gt;2&lt;/volume&gt;&lt;number&gt;6&lt;/number&gt;&lt;dates&gt;&lt;year&gt;2018&lt;/year&gt;&lt;/dates&gt;&lt;urls&gt;&lt;/urls&gt;&lt;/record&gt;&lt;/Cite&gt;&lt;/EndNote&gt;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48" w:tooltip="Mburu, 2018 #99" w:history="1">
        <w:r w:rsidR="00BC4E2E">
          <w:rPr>
            <w:rFonts w:ascii="Times New Roman" w:hAnsi="Times New Roman" w:cs="Times New Roman"/>
            <w:noProof/>
            <w:sz w:val="24"/>
          </w:rPr>
          <w:t>Mburu</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2018</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Varietal selection should consider growth architecture to minimize lodging-related soil contamination, which decreases forage quality through elevated ash content.</w:t>
      </w:r>
    </w:p>
    <w:p w:rsidR="007C35EA" w:rsidRPr="00DB1526"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Significant differences (p&lt;0.05) in ash content were observed among row arrangements. The interaction effect T4 produced the maximum total ash content (9.6%). Intercropping legumes with grasses promotes improved soil health through enhanced nutrient cycling and </w:t>
      </w:r>
      <w:r w:rsidR="00883E6A">
        <w:rPr>
          <w:rFonts w:ascii="Times New Roman" w:hAnsi="Times New Roman" w:cs="Times New Roman"/>
          <w:sz w:val="24"/>
        </w:rPr>
        <w:t>soil structure </w:t>
      </w:r>
      <w:r w:rsidR="00883E6A">
        <w:rPr>
          <w:rFonts w:ascii="Arial" w:hAnsi="Arial" w:cs="Arial"/>
          <w:sz w:val="19"/>
          <w:szCs w:val="19"/>
          <w:shd w:val="clear" w:color="auto" w:fill="FFFFFF"/>
        </w:rPr>
        <w:t> </w:t>
      </w:r>
      <w:r w:rsidR="000D6068">
        <w:rPr>
          <w:rFonts w:ascii="Arial" w:hAnsi="Arial" w:cs="Arial"/>
          <w:sz w:val="19"/>
          <w:szCs w:val="19"/>
          <w:shd w:val="clear" w:color="auto" w:fill="FFFFFF"/>
        </w:rPr>
        <w:fldChar w:fldCharType="begin"/>
      </w:r>
      <w:r w:rsidR="002727B6">
        <w:rPr>
          <w:rFonts w:ascii="Arial" w:hAnsi="Arial" w:cs="Arial"/>
          <w:sz w:val="19"/>
          <w:szCs w:val="19"/>
          <w:shd w:val="clear" w:color="auto" w:fill="FFFFFF"/>
        </w:rPr>
        <w:instrText xml:space="preserve"> ADDIN EN.CITE &lt;EndNote&gt;&lt;Cite AuthorYear="1"&gt;&lt;Author&gt;Li&lt;/Author&gt;&lt;Year&gt;2022&lt;/Year&gt;&lt;RecNum&gt;100&lt;/RecNum&gt;&lt;DisplayText&gt;Li&lt;style face="italic"&gt; et al.&lt;/style&gt; (2022)&lt;/DisplayText&gt;&lt;record&gt;&lt;rec-number&gt;100&lt;/rec-number&gt;&lt;foreign-keys&gt;&lt;key app="EN" db-id="5ee0etwro2xdtheaap2xr5f6dpxvrsx2v0t5"&gt;100&lt;/key&gt;&lt;/foreign-keys&gt;&lt;ref-type name="Journal Article"&gt;17&lt;/ref-type&gt;&lt;contributors&gt;&lt;authors&gt;&lt;author&gt;Li, Tengfei&lt;/author&gt;&lt;author&gt;Peng, Luxi&lt;/author&gt;&lt;author&gt;Wang, Hua&lt;/author&gt;&lt;author&gt;Zhang, Yu&lt;/author&gt;&lt;author&gt;Wang, Yingxin&lt;/author&gt;&lt;author&gt;Cheng, Yunxiang&lt;/author&gt;&lt;author&gt;Hou, Fujiang&lt;/author&gt;&lt;/authors&gt;&lt;/contributors&gt;&lt;titles&gt;&lt;title&gt;Multi-cutting improves forage yield and nutritional value and maintains the soil nutrient balance in a rainfed agroecosystem&lt;/title&gt;&lt;secondary-title&gt;Frontiers in Plant science&lt;/secondary-title&gt;&lt;/titles&gt;&lt;periodical&gt;&lt;full-title&gt;Frontiers in plant science&lt;/full-title&gt;&lt;/periodical&gt;&lt;pages&gt;825117&lt;/pages&gt;&lt;volume&gt;13&lt;/volume&gt;&lt;dates&gt;&lt;year&gt;2022&lt;/year&gt;&lt;/dates&gt;&lt;isbn&gt;1664-462X&lt;/isbn&gt;&lt;urls&gt;&lt;/urls&gt;&lt;/record&gt;&lt;/Cite&gt;&lt;/EndNote&gt;</w:instrText>
      </w:r>
      <w:r w:rsidR="000D6068">
        <w:rPr>
          <w:rFonts w:ascii="Arial" w:hAnsi="Arial" w:cs="Arial"/>
          <w:sz w:val="19"/>
          <w:szCs w:val="19"/>
          <w:shd w:val="clear" w:color="auto" w:fill="FFFFFF"/>
        </w:rPr>
        <w:fldChar w:fldCharType="separate"/>
      </w:r>
      <w:hyperlink w:anchor="_ENREF_42" w:tooltip="Li, 2022 #100" w:history="1">
        <w:r w:rsidR="00BC4E2E">
          <w:rPr>
            <w:rFonts w:ascii="Arial" w:hAnsi="Arial" w:cs="Arial"/>
            <w:noProof/>
            <w:sz w:val="19"/>
            <w:szCs w:val="19"/>
            <w:shd w:val="clear" w:color="auto" w:fill="FFFFFF"/>
          </w:rPr>
          <w:t>Li</w:t>
        </w:r>
        <w:r w:rsidR="00BC4E2E" w:rsidRPr="002727B6">
          <w:rPr>
            <w:rFonts w:ascii="Arial" w:hAnsi="Arial" w:cs="Arial"/>
            <w:i/>
            <w:noProof/>
            <w:sz w:val="19"/>
            <w:szCs w:val="19"/>
            <w:shd w:val="clear" w:color="auto" w:fill="FFFFFF"/>
          </w:rPr>
          <w:t xml:space="preserve"> et al.</w:t>
        </w:r>
        <w:r w:rsidR="00BC4E2E">
          <w:rPr>
            <w:rFonts w:ascii="Arial" w:hAnsi="Arial" w:cs="Arial"/>
            <w:noProof/>
            <w:sz w:val="19"/>
            <w:szCs w:val="19"/>
            <w:shd w:val="clear" w:color="auto" w:fill="FFFFFF"/>
          </w:rPr>
          <w:t xml:space="preserve"> (2022</w:t>
        </w:r>
      </w:hyperlink>
      <w:r w:rsidR="002727B6">
        <w:rPr>
          <w:rFonts w:ascii="Arial" w:hAnsi="Arial" w:cs="Arial"/>
          <w:noProof/>
          <w:sz w:val="19"/>
          <w:szCs w:val="19"/>
          <w:shd w:val="clear" w:color="auto" w:fill="FFFFFF"/>
        </w:rPr>
        <w:t>)</w:t>
      </w:r>
      <w:r w:rsidR="000D6068">
        <w:rPr>
          <w:rFonts w:ascii="Arial" w:hAnsi="Arial" w:cs="Arial"/>
          <w:sz w:val="19"/>
          <w:szCs w:val="19"/>
          <w:shd w:val="clear" w:color="auto" w:fill="FFFFFF"/>
        </w:rPr>
        <w:fldChar w:fldCharType="end"/>
      </w:r>
      <w:r w:rsidR="002727B6">
        <w:rPr>
          <w:rFonts w:ascii="Arial" w:hAnsi="Arial" w:cs="Arial"/>
          <w:sz w:val="19"/>
          <w:szCs w:val="19"/>
          <w:shd w:val="clear" w:color="auto" w:fill="FFFFFF"/>
        </w:rPr>
        <w:t>,</w:t>
      </w:r>
      <w:r w:rsidRPr="007C35EA">
        <w:rPr>
          <w:rFonts w:ascii="Times New Roman" w:hAnsi="Times New Roman" w:cs="Times New Roman"/>
          <w:sz w:val="24"/>
        </w:rPr>
        <w:t xml:space="preserve"> which may influence mineral uptake patterns.</w:t>
      </w:r>
      <w:r w:rsidR="00DB1526">
        <w:rPr>
          <w:rFonts w:ascii="Times New Roman" w:hAnsi="Times New Roman" w:cs="Times New Roman"/>
          <w:sz w:val="24"/>
        </w:rPr>
        <w:t xml:space="preserve"> </w:t>
      </w:r>
      <w:r w:rsidRPr="007C35EA">
        <w:rPr>
          <w:rFonts w:ascii="Times New Roman" w:hAnsi="Times New Roman" w:cs="Times New Roman"/>
          <w:sz w:val="24"/>
        </w:rPr>
        <w:t>While intercropping improves soil health, attention must be paid to harvest management to prevent lodging-related ash contamination. Elevated ash reduces forage energy content and can negatively impact animal performance.</w:t>
      </w:r>
    </w:p>
    <w:p w:rsid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Neutral Detergent Fiber (NDF) Content</w:t>
      </w:r>
    </w:p>
    <w:p w:rsidR="007C35EA" w:rsidRPr="00DB1526" w:rsidRDefault="007C35EA" w:rsidP="007C35EA">
      <w:pPr>
        <w:spacing w:line="360" w:lineRule="auto"/>
        <w:jc w:val="both"/>
        <w:rPr>
          <w:rFonts w:ascii="Times New Roman" w:hAnsi="Times New Roman" w:cs="Times New Roman"/>
          <w:b/>
          <w:sz w:val="24"/>
        </w:rPr>
      </w:pPr>
      <w:r w:rsidRPr="007C35EA">
        <w:rPr>
          <w:rFonts w:ascii="Times New Roman" w:hAnsi="Times New Roman" w:cs="Times New Roman"/>
          <w:sz w:val="24"/>
        </w:rPr>
        <w:t>NDF content was significantly affected (p&lt;0.05) by variety, with Bareda-vetch showing the highest value (62.12%) and other intercrops recording lower NDF levels. Lower NDF in vetch-containing treatments indicates improved nutritional value, as NDF levels above 60% negatively impact voluntary feed intake an</w:t>
      </w:r>
      <w:r w:rsidR="00883E6A">
        <w:rPr>
          <w:rFonts w:ascii="Times New Roman" w:hAnsi="Times New Roman" w:cs="Times New Roman"/>
          <w:sz w:val="24"/>
        </w:rPr>
        <w:t>d digestibility in ruminants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&lt;EndNote&gt;&lt;Cite&gt;&lt;Author&gt;Feyissa&lt;/Author&gt;&lt;Year&gt;2025&lt;/Year&gt;&lt;RecNum&gt;101&lt;/RecNum&gt;&lt;DisplayText&gt;(Feyissa&lt;style face="italic"&gt; et al.&lt;/style&gt;, 2025)&lt;/DisplayText&gt;&lt;record&gt;&lt;rec-number&gt;101&lt;/rec-number&gt;&lt;foreign-keys&gt;&lt;key app="EN" db-id="5ee0etwro2xdtheaap2xr5f6dpxvrsx2v0t5"&gt;101&lt;/key&gt;&lt;/foreign-keys&gt;&lt;ref-type name="Journal Article"&gt;17&lt;/ref-type&gt;&lt;contributors&gt;&lt;authors&gt;&lt;author&gt;Feyissa, Fekede&lt;/author&gt;&lt;author&gt;Kebede, Gezahagn&lt;/author&gt;&lt;author&gt;Geleti, Diriba&lt;/author&gt;&lt;author&gt;Assefa, Getnet&lt;/author&gt;&lt;author&gt;Mengistu, Alemayehu&lt;/author&gt;&lt;/authors&gt;&lt;/contributors&gt;&lt;titles&gt;&lt;title&gt;Improved forage crops research and development in Ethiopia: major achievements, challenges and the way forward&lt;/title&gt;&lt;secondary-title&gt;OMO International Journal of Sciences&lt;/secondary-title&gt;&lt;/titles&gt;&lt;periodical&gt;&lt;full-title&gt;OMO International Journal of Sciences&lt;/full-title&gt;&lt;/periodical&gt;&lt;pages&gt;14-42&lt;/pages&gt;&lt;volume&gt;8&lt;/volume&gt;&lt;number&gt;1&lt;/number&gt;&lt;dates&gt;&lt;year&gt;2025&lt;/year&gt;&lt;/dates&gt;&lt;isbn&gt;2709-4596&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21" w:tooltip="Feyissa, 2025 #101" w:history="1">
        <w:r w:rsidR="00BC4E2E">
          <w:rPr>
            <w:rFonts w:ascii="Times New Roman" w:hAnsi="Times New Roman" w:cs="Times New Roman"/>
            <w:noProof/>
            <w:sz w:val="24"/>
          </w:rPr>
          <w:t>Feyissa</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2025</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Pr="007C35EA">
        <w:rPr>
          <w:rFonts w:ascii="Times New Roman" w:hAnsi="Times New Roman" w:cs="Times New Roman"/>
          <w:sz w:val="24"/>
        </w:rPr>
        <w:t>.</w:t>
      </w:r>
      <w:r w:rsidR="00DB1526">
        <w:rPr>
          <w:rFonts w:ascii="Times New Roman" w:hAnsi="Times New Roman" w:cs="Times New Roman"/>
          <w:b/>
          <w:sz w:val="24"/>
        </w:rPr>
        <w:t xml:space="preserve"> </w:t>
      </w:r>
      <w:r w:rsidRPr="007C35EA">
        <w:rPr>
          <w:rFonts w:ascii="Times New Roman" w:hAnsi="Times New Roman" w:cs="Times New Roman"/>
          <w:sz w:val="24"/>
        </w:rPr>
        <w:t>The NDF values (58-62%) in this study fall within the medium-q</w:t>
      </w:r>
      <w:r w:rsidR="002727B6">
        <w:rPr>
          <w:rFonts w:ascii="Times New Roman" w:hAnsi="Times New Roman" w:cs="Times New Roman"/>
          <w:sz w:val="24"/>
        </w:rPr>
        <w:t>uality forage range (45-75%)</w:t>
      </w:r>
      <w:r w:rsidRPr="007C35EA">
        <w:rPr>
          <w:rFonts w:ascii="Times New Roman" w:hAnsi="Times New Roman" w:cs="Times New Roman"/>
          <w:sz w:val="24"/>
        </w:rPr>
        <w:t>, suggesting adequate feed quality for ruminant diets, though approaching the upper threshold that may limit intake.</w:t>
      </w:r>
      <w:r w:rsidR="00883E6A">
        <w:rPr>
          <w:rFonts w:ascii="Times New Roman" w:hAnsi="Times New Roman" w:cs="Times New Roman"/>
          <w:sz w:val="24"/>
        </w:rPr>
        <w:t xml:space="preserve"> </w:t>
      </w:r>
      <w:r w:rsidRPr="007C35EA">
        <w:rPr>
          <w:rFonts w:ascii="Times New Roman" w:hAnsi="Times New Roman" w:cs="Times New Roman"/>
          <w:sz w:val="24"/>
        </w:rPr>
        <w:t>Row arrangements significantly influenced NDF content (p&lt;0.05). Increased vetch proportions corresponded with decreased NDF, as legumes contribute to a more balanced nutrient profil</w:t>
      </w:r>
      <w:r w:rsidR="00883E6A">
        <w:rPr>
          <w:rFonts w:ascii="Times New Roman" w:hAnsi="Times New Roman" w:cs="Times New Roman"/>
          <w:sz w:val="24"/>
        </w:rPr>
        <w:t>e with lower fiber fractions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&lt;EndNote&gt;&lt;Cite&gt;&lt;Author&gt;Jiao&lt;/Author&gt;&lt;Year&gt;2024&lt;/Year&gt;&lt;RecNum&gt;102&lt;/RecNum&gt;&lt;DisplayText&gt;(Jiao&lt;style face="italic"&gt; et al.&lt;/style&gt;, 2024)&lt;/DisplayText&gt;&lt;record&gt;&lt;rec-number&gt;102&lt;/rec-number&gt;&lt;foreign-keys&gt;&lt;key app="EN" db-id="5ee0etwro2xdtheaap2xr5f6dpxvrsx2v0t5"&gt;102&lt;/key&gt;&lt;/foreign-keys&gt;&lt;ref-type name="Journal Article"&gt;17&lt;/ref-type&gt;&lt;contributors&gt;&lt;authors&gt;&lt;author&gt;Jiao, Yu&lt;/author&gt;&lt;author&gt;Zhang, Qingping&lt;/author&gt;&lt;author&gt;Miao, Fuhong&lt;/author&gt;&lt;/authors&gt;&lt;/contributors&gt;&lt;titles&gt;&lt;title&gt;Forage yield, competition, and economic indices of oat and common vetch intercrops in a semi-arid region&lt;/title&gt;&lt;secondary-title&gt;Frontiers in Sustainable Food Systems&lt;/secondary-title&gt;&lt;/titles&gt;&lt;periodical&gt;&lt;full-title&gt;Frontiers in Sustainable Food Systems&lt;/full-title&gt;&lt;/periodical&gt;&lt;pages&gt;1385296&lt;/pages&gt;&lt;volume&gt;8&lt;/volume&gt;&lt;dates&gt;&lt;year&gt;2024&lt;/year&gt;&lt;/dates&gt;&lt;isbn&gt;2571-581X&lt;/isbn&gt;&lt;urls&gt;&lt;/urls&gt;&lt;/record&gt;&lt;/Cite&gt;&lt;/EndNote&gt;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32" w:tooltip="Jiao, 2024 #102" w:history="1">
        <w:r w:rsidR="00BC4E2E">
          <w:rPr>
            <w:rFonts w:ascii="Times New Roman" w:hAnsi="Times New Roman" w:cs="Times New Roman"/>
            <w:noProof/>
            <w:sz w:val="24"/>
          </w:rPr>
          <w:t>Jiao</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2024</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Optimizing legume proportion through row arrangement can effectively reduce NDF content, thereby improving voluntary feed intake and digestive efficiency in livestock.</w:t>
      </w:r>
    </w:p>
    <w:p w:rsidR="007C35EA" w:rsidRPr="00DB1526" w:rsidRDefault="007C35EA" w:rsidP="007C35EA">
      <w:pPr>
        <w:spacing w:line="360" w:lineRule="auto"/>
        <w:jc w:val="both"/>
        <w:rPr>
          <w:rFonts w:ascii="Times New Roman" w:hAnsi="Times New Roman" w:cs="Times New Roman"/>
          <w:b/>
          <w:sz w:val="24"/>
        </w:rPr>
      </w:pPr>
      <w:r w:rsidRPr="00DB1526">
        <w:rPr>
          <w:rFonts w:ascii="Times New Roman" w:hAnsi="Times New Roman" w:cs="Times New Roman"/>
          <w:b/>
          <w:sz w:val="24"/>
        </w:rPr>
        <w:t>Acid Detergent Fiber (ADF)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ADF content ranged from 38.45% to 40.5% across varieties, with significant differences (P&lt;0.05) observed. Lower ADF indicates greater forage digestibility and is therefore more des</w:t>
      </w:r>
      <w:r w:rsidR="00883E6A">
        <w:rPr>
          <w:rFonts w:ascii="Times New Roman" w:hAnsi="Times New Roman" w:cs="Times New Roman"/>
          <w:sz w:val="24"/>
        </w:rPr>
        <w:t>irable for animal nutrition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&lt;EndNote&gt;&lt;Cite&gt;&lt;Author&gt;McDowell&lt;/Author&gt;&lt;Year&gt;2003&lt;/Year&gt;&lt;RecNum&gt;103&lt;/RecNum&gt;&lt;DisplayText&gt;(McDowell, 2003)&lt;/DisplayText&gt;&lt;record&gt;&lt;rec-number&gt;103&lt;/rec-number&gt;&lt;foreign-keys&gt;&lt;key app="EN" db-id="5ee0etwro2xdtheaap2xr5f6dpxvrsx2v0t5"&gt;103&lt;/key&gt;&lt;/foreign-keys&gt;&lt;ref-type name="Journal Article"&gt;17&lt;/ref-type&gt;&lt;contributors&gt;&lt;authors&gt;&lt;author&gt;McDowell, LR&lt;/author&gt;&lt;/authors&gt;&lt;/contributors&gt;&lt;titles&gt;&lt;title&gt;Minerals in animal and human nutrition&lt;/title&gt;&lt;/titles&gt;&lt;dates&gt;&lt;year&gt;2003&lt;/year&gt;&lt;/dates&gt;&lt;isbn&gt;0444513671&lt;/isbn&gt;&lt;urls&gt;&lt;/urls&gt;&lt;/record&gt;&lt;/Cite&gt;&lt;/EndNote&gt;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49" w:tooltip="McDowell, 2003 #103" w:history="1">
        <w:r w:rsidR="00BC4E2E">
          <w:rPr>
            <w:rFonts w:ascii="Times New Roman" w:hAnsi="Times New Roman" w:cs="Times New Roman"/>
            <w:noProof/>
            <w:sz w:val="24"/>
          </w:rPr>
          <w:t>McDowell, 2003</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Arial" w:hAnsi="Arial" w:cs="Arial"/>
          <w:sz w:val="19"/>
          <w:szCs w:val="19"/>
          <w:shd w:val="clear" w:color="auto" w:fill="FFFFFF"/>
        </w:rPr>
        <w:t>.</w:t>
      </w:r>
      <w:r w:rsidR="00DB1526">
        <w:rPr>
          <w:rFonts w:ascii="Times New Roman" w:hAnsi="Times New Roman" w:cs="Times New Roman"/>
          <w:sz w:val="24"/>
        </w:rPr>
        <w:t xml:space="preserve"> </w:t>
      </w:r>
      <w:r w:rsidRPr="007C35EA">
        <w:rPr>
          <w:rFonts w:ascii="Times New Roman" w:hAnsi="Times New Roman" w:cs="Times New Roman"/>
          <w:sz w:val="24"/>
        </w:rPr>
        <w:t>Varietal differences in ADF suggest inherent genetic variation in cell wall composition that affects digestibility potential.</w:t>
      </w:r>
      <w:r w:rsidR="00883E6A">
        <w:rPr>
          <w:rFonts w:ascii="Times New Roman" w:hAnsi="Times New Roman" w:cs="Times New Roman"/>
          <w:sz w:val="24"/>
        </w:rPr>
        <w:t xml:space="preserve"> </w:t>
      </w:r>
      <w:r w:rsidRPr="007C35EA">
        <w:rPr>
          <w:rFonts w:ascii="Times New Roman" w:hAnsi="Times New Roman" w:cs="Times New Roman"/>
          <w:sz w:val="24"/>
        </w:rPr>
        <w:t>The 1:2 (oat:vetch) row arrangement produced significantly lower (p&lt;0.05) ADF concentration (38.9%) compared to other arrangements. This reduction reflects the nitrogen-fixing capacity of common vetch and its contribution to improved forage quality through enhanced nutrient profile</w:t>
      </w:r>
      <w:r w:rsidR="00883E6A">
        <w:rPr>
          <w:rFonts w:ascii="Times New Roman" w:hAnsi="Times New Roman" w:cs="Times New Roman"/>
          <w:sz w:val="24"/>
        </w:rPr>
        <w:t>s and reduced fiber content</w:t>
      </w:r>
      <w:r w:rsidRPr="007C35EA">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Increasing legume proportion through adjusted row arrangements effectively reduces ADF content, improving forage digestibility. The negative relationship between ADF and digestibility </w:t>
      </w:r>
      <w:r w:rsidR="000D6068">
        <w:rPr>
          <w:rFonts w:ascii="Times New Roman" w:hAnsi="Times New Roman" w:cs="Times New Roman"/>
          <w:sz w:val="24"/>
        </w:rPr>
        <w:fldChar w:fldCharType="begin"/>
      </w:r>
      <w:r w:rsidR="00426094">
        <w:rPr>
          <w:rFonts w:ascii="Times New Roman" w:hAnsi="Times New Roman" w:cs="Times New Roman"/>
          <w:sz w:val="24"/>
        </w:rPr>
        <w:instrText xml:space="preserve"> ADDIN EN.CITE &lt;EndNote&gt;&lt;Cite AuthorYear="1"&gt;&lt;Author&gt;Demlew&lt;/Author&gt;&lt;Year&gt;2019&lt;/Year&gt;&lt;RecNum&gt;104&lt;/RecNum&gt;&lt;DisplayText&gt;Demlew&lt;style face="italic"&gt; et al.&lt;/style&gt; (2019)&lt;/DisplayText&gt;&lt;record&gt;&lt;rec-number&gt;104&lt;/rec-number&gt;&lt;foreign-keys&gt;&lt;key app="EN" db-id="5ee0etwro2xdtheaap2xr5f6dpxvrsx2v0t5"&gt;104&lt;/key&gt;&lt;/foreign-keys&gt;&lt;ref-type name="Journal Article"&gt;17&lt;/ref-type&gt;&lt;contributors&gt;&lt;authors&gt;&lt;author&gt;Demlew, Menalu&lt;/author&gt;&lt;author&gt;Alemu, Berhanu&lt;/author&gt;&lt;author&gt;Awuk, Asnakew&lt;/author&gt;&lt;/authors&gt;&lt;/contributors&gt;&lt;titles&gt;&lt;title&gt;Nutritive value evaluation of buffel grass and silver leaf desmodium grown in pure stands and in mixture at different harvesting times in Gozamen district, East Gojjam zone, Ethiopia&lt;/title&gt;&lt;secondary-title&gt;Greener Journal of Agricultural Sciences&lt;/secondary-title&gt;&lt;/titles&gt;&lt;periodical&gt;&lt;full-title&gt;Greener Journal of Agricultural Sciences&lt;/full-title&gt;&lt;/periodical&gt;&lt;pages&gt;315-321&lt;/pages&gt;&lt;volume&gt;9&lt;/volume&gt;&lt;number&gt;3&lt;/number&gt;&lt;dates&gt;&lt;year&gt;2019&lt;/year&gt;&lt;/dates&gt;&lt;isbn&gt;2276-7770&lt;/isbn&gt;&lt;urls&gt;&lt;/urls&gt;&lt;/record&gt;&lt;/Cite&gt;&lt;/EndNote&gt;</w:instrText>
      </w:r>
      <w:r w:rsidR="000D6068">
        <w:rPr>
          <w:rFonts w:ascii="Times New Roman" w:hAnsi="Times New Roman" w:cs="Times New Roman"/>
          <w:sz w:val="24"/>
        </w:rPr>
        <w:fldChar w:fldCharType="separate"/>
      </w:r>
      <w:hyperlink w:anchor="_ENREF_16" w:tooltip="Demlew, 2019 #104" w:history="1">
        <w:r w:rsidR="00BC4E2E">
          <w:rPr>
            <w:rFonts w:ascii="Times New Roman" w:hAnsi="Times New Roman" w:cs="Times New Roman"/>
            <w:noProof/>
            <w:sz w:val="24"/>
          </w:rPr>
          <w:t>Demlew</w:t>
        </w:r>
        <w:r w:rsidR="00BC4E2E" w:rsidRPr="00426094">
          <w:rPr>
            <w:rFonts w:ascii="Times New Roman" w:hAnsi="Times New Roman" w:cs="Times New Roman"/>
            <w:i/>
            <w:noProof/>
            <w:sz w:val="24"/>
          </w:rPr>
          <w:t xml:space="preserve"> et al.</w:t>
        </w:r>
        <w:r w:rsidR="00BC4E2E">
          <w:rPr>
            <w:rFonts w:ascii="Times New Roman" w:hAnsi="Times New Roman" w:cs="Times New Roman"/>
            <w:noProof/>
            <w:sz w:val="24"/>
          </w:rPr>
          <w:t xml:space="preserve"> (2019</w:t>
        </w:r>
      </w:hyperlink>
      <w:r w:rsidR="00426094">
        <w:rPr>
          <w:rFonts w:ascii="Times New Roman" w:hAnsi="Times New Roman" w:cs="Times New Roman"/>
          <w:noProof/>
          <w:sz w:val="24"/>
        </w:rPr>
        <w:t>)</w:t>
      </w:r>
      <w:r w:rsidR="000D6068">
        <w:rPr>
          <w:rFonts w:ascii="Times New Roman" w:hAnsi="Times New Roman" w:cs="Times New Roman"/>
          <w:sz w:val="24"/>
        </w:rPr>
        <w:fldChar w:fldCharType="end"/>
      </w:r>
      <w:r w:rsidR="00883E6A">
        <w:rPr>
          <w:rFonts w:ascii="Arial" w:hAnsi="Arial" w:cs="Arial"/>
          <w:sz w:val="19"/>
          <w:szCs w:val="19"/>
          <w:shd w:val="clear" w:color="auto" w:fill="FFFFFF"/>
        </w:rPr>
        <w:t xml:space="preserve"> </w:t>
      </w:r>
      <w:r w:rsidRPr="007C35EA">
        <w:rPr>
          <w:rFonts w:ascii="Times New Roman" w:hAnsi="Times New Roman" w:cs="Times New Roman"/>
          <w:sz w:val="24"/>
        </w:rPr>
        <w:t>indicates that grass-legume intercropping offers a practical strategy for enhancing forage quality.</w:t>
      </w:r>
    </w:p>
    <w:p w:rsidR="007C35EA" w:rsidRP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Acid Detergent Lignin (ADL)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Intercropping significantly affected (p&lt;0.05) ADL content, with Bareda-vetch showing the highest concentration and Bate-vetch mixture recording the lowest (6.0%). Lower ADL values indicate reduced lignification</w:t>
      </w:r>
      <w:r w:rsidR="00883E6A">
        <w:rPr>
          <w:rFonts w:ascii="Times New Roman" w:hAnsi="Times New Roman" w:cs="Times New Roman"/>
          <w:sz w:val="24"/>
        </w:rPr>
        <w:t xml:space="preserve"> and improved digestibility </w:t>
      </w:r>
      <w:r w:rsidR="000D6068">
        <w:rPr>
          <w:rFonts w:ascii="Times New Roman" w:hAnsi="Times New Roman" w:cs="Times New Roman"/>
          <w:sz w:val="24"/>
        </w:rPr>
        <w:fldChar w:fldCharType="begin"/>
      </w:r>
      <w:r w:rsidR="00426094">
        <w:rPr>
          <w:rFonts w:ascii="Times New Roman" w:hAnsi="Times New Roman" w:cs="Times New Roman"/>
          <w:sz w:val="24"/>
        </w:rPr>
        <w:instrText xml:space="preserve"> ADDIN EN.CITE &lt;EndNote&gt;&lt;Cite&gt;&lt;Author&gt;Khan&lt;/Author&gt;&lt;Year&gt;2020&lt;/Year&gt;&lt;RecNum&gt;105&lt;/RecNum&gt;&lt;DisplayText&gt;(Khan&lt;style face="italic"&gt; et al.&lt;/style&gt;, 2020)&lt;/DisplayText&gt;&lt;record&gt;&lt;rec-number&gt;105&lt;/rec-number&gt;&lt;foreign-keys&gt;&lt;key app="EN" db-id="5ee0etwro2xdtheaap2xr5f6dpxvrsx2v0t5"&gt;105&lt;/key&gt;&lt;/foreign-keys&gt;&lt;ref-type name="Journal Article"&gt;17&lt;/ref-type&gt;&lt;contributors&gt;&lt;authors&gt;&lt;author&gt;Khan, Muhammad Nauman&lt;/author&gt;&lt;author&gt;Ali, Sajjad&lt;/author&gt;&lt;author&gt;Yaseen, Tabassum&lt;/author&gt;&lt;author&gt;Adnan, Muhammad&lt;/author&gt;&lt;author&gt;Ullah, Sami&lt;/author&gt;&lt;author&gt;Zaman, Akhtar&lt;/author&gt;&lt;author&gt;Iqbal, Majid&lt;/author&gt;&lt;author&gt;Shah, Syed Nasir&lt;/author&gt;&lt;author&gt;Ali, Amjad&lt;/author&gt;&lt;author&gt;Razzaq, Abdul&lt;/author&gt;&lt;/authors&gt;&lt;/contributors&gt;&lt;titles&gt;&lt;title&gt;Assessment of proximate and nutritional contents in selected weedy grasses for potential use as fodder in District Charsadda, KP: Assessment of proximate and nutritional contents in selected weedy grasses&lt;/title&gt;&lt;secondary-title&gt;Proceedings of the Pakistan Academy of Sciences: B. Life and Environmental Sciences&lt;/secondary-title&gt;&lt;/titles&gt;&lt;periodical&gt;&lt;full-title&gt;Proceedings of the Pakistan Academy of Sciences: B. Life and Environmental Sciences&lt;/full-title&gt;&lt;/periodical&gt;&lt;pages&gt;83-94&lt;/pages&gt;&lt;volume&gt;57&lt;/volume&gt;&lt;number&gt;2&lt;/number&gt;&lt;dates&gt;&lt;year&gt;2020&lt;/year&gt;&lt;/dates&gt;&lt;isbn&gt;2518-427X&lt;/isbn&gt;&lt;urls&gt;&lt;/urls&gt;&lt;/record&gt;&lt;/Cite&gt;&lt;/EndNote&gt;</w:instrText>
      </w:r>
      <w:r w:rsidR="000D6068">
        <w:rPr>
          <w:rFonts w:ascii="Times New Roman" w:hAnsi="Times New Roman" w:cs="Times New Roman"/>
          <w:sz w:val="24"/>
        </w:rPr>
        <w:fldChar w:fldCharType="separate"/>
      </w:r>
      <w:r w:rsidR="00426094">
        <w:rPr>
          <w:rFonts w:ascii="Times New Roman" w:hAnsi="Times New Roman" w:cs="Times New Roman"/>
          <w:noProof/>
          <w:sz w:val="24"/>
        </w:rPr>
        <w:t>(</w:t>
      </w:r>
      <w:hyperlink w:anchor="_ENREF_38" w:tooltip="Khan, 2020 #105" w:history="1">
        <w:r w:rsidR="00BC4E2E">
          <w:rPr>
            <w:rFonts w:ascii="Times New Roman" w:hAnsi="Times New Roman" w:cs="Times New Roman"/>
            <w:noProof/>
            <w:sz w:val="24"/>
          </w:rPr>
          <w:t>Khan</w:t>
        </w:r>
        <w:r w:rsidR="00BC4E2E" w:rsidRPr="00426094">
          <w:rPr>
            <w:rFonts w:ascii="Times New Roman" w:hAnsi="Times New Roman" w:cs="Times New Roman"/>
            <w:i/>
            <w:noProof/>
            <w:sz w:val="24"/>
          </w:rPr>
          <w:t xml:space="preserve"> et al.</w:t>
        </w:r>
        <w:r w:rsidR="00BC4E2E">
          <w:rPr>
            <w:rFonts w:ascii="Times New Roman" w:hAnsi="Times New Roman" w:cs="Times New Roman"/>
            <w:noProof/>
            <w:sz w:val="24"/>
          </w:rPr>
          <w:t>, 2020</w:t>
        </w:r>
      </w:hyperlink>
      <w:r w:rsidR="00426094">
        <w:rPr>
          <w:rFonts w:ascii="Times New Roman" w:hAnsi="Times New Roman" w:cs="Times New Roman"/>
          <w:noProof/>
          <w:sz w:val="24"/>
        </w:rPr>
        <w:t>)</w:t>
      </w:r>
      <w:r w:rsidR="000D6068">
        <w:rPr>
          <w:rFonts w:ascii="Times New Roman" w:hAnsi="Times New Roman" w:cs="Times New Roman"/>
          <w:sz w:val="24"/>
        </w:rPr>
        <w:fldChar w:fldCharType="end"/>
      </w:r>
      <w:r w:rsidR="0042609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Genetic differences among varieties influence lignin deposition patterns. Selection of varieties with lower ADL potential enhances forage digestibility and nutritive value.</w:t>
      </w:r>
      <w:r w:rsidR="00883E6A">
        <w:rPr>
          <w:rFonts w:ascii="Times New Roman" w:hAnsi="Times New Roman" w:cs="Times New Roman"/>
          <w:sz w:val="24"/>
        </w:rPr>
        <w:t xml:space="preserve"> </w:t>
      </w:r>
      <w:r w:rsidRPr="007C35EA">
        <w:rPr>
          <w:rFonts w:ascii="Times New Roman" w:hAnsi="Times New Roman" w:cs="Times New Roman"/>
          <w:sz w:val="24"/>
        </w:rPr>
        <w:t>Row arrangement significantly influenced ADL content (p&lt;0.05). The 2:1 arrangement produced maximum ADL (7.07%), while the 1:2 arrangement showed the lowest (6.4%). Intercropping common vetch with oats at higher legume proportions resulted in lower ADL levels, beneficial f</w:t>
      </w:r>
      <w:r w:rsidR="00883E6A">
        <w:rPr>
          <w:rFonts w:ascii="Times New Roman" w:hAnsi="Times New Roman" w:cs="Times New Roman"/>
          <w:sz w:val="24"/>
        </w:rPr>
        <w:t>or improving forage quality</w:t>
      </w:r>
      <w:r w:rsidR="00426094">
        <w:rPr>
          <w:rFonts w:ascii="Times New Roman" w:hAnsi="Times New Roman" w:cs="Times New Roman"/>
          <w:sz w:val="24"/>
        </w:rPr>
        <w:t xml:space="preserve">. </w:t>
      </w:r>
      <w:r w:rsidR="00883E6A">
        <w:rPr>
          <w:rFonts w:ascii="Times New Roman" w:hAnsi="Times New Roman" w:cs="Times New Roman"/>
          <w:sz w:val="24"/>
        </w:rPr>
        <w:t xml:space="preserve"> </w:t>
      </w:r>
      <w:r w:rsidRPr="007C35EA">
        <w:rPr>
          <w:rFonts w:ascii="Times New Roman" w:hAnsi="Times New Roman" w:cs="Times New Roman"/>
          <w:sz w:val="24"/>
        </w:rPr>
        <w:t xml:space="preserve">The inverse relationship between vetch proportion and ADL content demonstrates that increasing legume density reduces lignification. Lower lignin content improves forage digestibility and animal performance, making the 1:2 row </w:t>
      </w:r>
      <w:r w:rsidR="00DB1526" w:rsidRPr="007C35EA">
        <w:rPr>
          <w:rFonts w:ascii="Times New Roman" w:hAnsi="Times New Roman" w:cs="Times New Roman"/>
          <w:sz w:val="24"/>
        </w:rPr>
        <w:t>arrangements</w:t>
      </w:r>
      <w:r w:rsidRPr="007C35EA">
        <w:rPr>
          <w:rFonts w:ascii="Times New Roman" w:hAnsi="Times New Roman" w:cs="Times New Roman"/>
          <w:sz w:val="24"/>
        </w:rPr>
        <w:t xml:space="preserve"> optimal for quality forage production.</w:t>
      </w:r>
      <w:r w:rsidR="00883E6A">
        <w:rPr>
          <w:rFonts w:ascii="Times New Roman" w:hAnsi="Times New Roman" w:cs="Times New Roman"/>
          <w:sz w:val="24"/>
        </w:rPr>
        <w:t xml:space="preserve"> </w:t>
      </w:r>
      <w:r w:rsidRPr="007C35EA">
        <w:rPr>
          <w:rFonts w:ascii="Times New Roman" w:hAnsi="Times New Roman" w:cs="Times New Roman"/>
          <w:sz w:val="24"/>
        </w:rPr>
        <w:t>ADL content declined as vetch proportion increased in the intercrop (from 2:1 to 1:2), consistent with the dilution effect of lower-lignin legume material in the forage mixture.</w:t>
      </w:r>
    </w:p>
    <w:p w:rsidR="00511260" w:rsidRPr="00A97D88" w:rsidRDefault="00511260" w:rsidP="00DA1D4F">
      <w:pPr>
        <w:pStyle w:val="Heading2"/>
        <w:spacing w:after="240"/>
        <w:rPr>
          <w:rFonts w:ascii="Times New Roman" w:eastAsia="Times New Roman" w:hAnsi="Times New Roman" w:cs="Times New Roman"/>
          <w:color w:val="auto"/>
        </w:rPr>
      </w:pPr>
      <w:bookmarkStart w:id="28" w:name="_Toc184070859"/>
      <w:r w:rsidRPr="00A97D88">
        <w:rPr>
          <w:rFonts w:ascii="Times New Roman" w:hAnsi="Times New Roman" w:cs="Times New Roman"/>
          <w:color w:val="auto"/>
        </w:rPr>
        <w:t>In-vitro Digestibility</w:t>
      </w:r>
      <w:bookmarkEnd w:id="28"/>
    </w:p>
    <w:p w:rsidR="00EF47CE" w:rsidRPr="00A97D88" w:rsidRDefault="00DA1D4F" w:rsidP="00963D2E">
      <w:pPr>
        <w:pStyle w:val="Heading3"/>
        <w:spacing w:after="240"/>
        <w:jc w:val="both"/>
        <w:rPr>
          <w:rFonts w:ascii="Times New Roman" w:hAnsi="Times New Roman" w:cs="Times New Roman"/>
          <w:color w:val="auto"/>
        </w:rPr>
      </w:pPr>
      <w:bookmarkStart w:id="29" w:name="_Toc184070860"/>
      <w:r w:rsidRPr="00A97D88">
        <w:rPr>
          <w:rFonts w:ascii="Times New Roman" w:hAnsi="Times New Roman" w:cs="Times New Roman"/>
          <w:color w:val="auto"/>
        </w:rPr>
        <w:t xml:space="preserve"> In vitro</w:t>
      </w:r>
      <w:r w:rsidR="000530EC" w:rsidRPr="00A97D88">
        <w:rPr>
          <w:rFonts w:ascii="Times New Roman" w:hAnsi="Times New Roman" w:cs="Times New Roman"/>
          <w:color w:val="auto"/>
        </w:rPr>
        <w:t xml:space="preserve"> </w:t>
      </w:r>
      <w:r w:rsidR="00301B1A" w:rsidRPr="00A97D88">
        <w:rPr>
          <w:rFonts w:ascii="Times New Roman" w:hAnsi="Times New Roman" w:cs="Times New Roman"/>
          <w:color w:val="auto"/>
        </w:rPr>
        <w:t>dry matter digestibility</w:t>
      </w:r>
      <w:bookmarkEnd w:id="29"/>
    </w:p>
    <w:p w:rsidR="00771947" w:rsidRPr="00A97D88" w:rsidRDefault="00325564" w:rsidP="00203D29">
      <w:pPr>
        <w:spacing w:line="360" w:lineRule="auto"/>
        <w:jc w:val="both"/>
        <w:rPr>
          <w:rFonts w:ascii="Times New Roman" w:eastAsia="Times New Roman" w:hAnsi="Times New Roman" w:cs="Times New Roman"/>
          <w:sz w:val="24"/>
          <w:szCs w:val="24"/>
        </w:rPr>
      </w:pPr>
      <w:r w:rsidRPr="00203D29">
        <w:rPr>
          <w:rFonts w:ascii="Times New Roman" w:eastAsia="Times New Roman" w:hAnsi="Times New Roman" w:cs="Times New Roman"/>
          <w:sz w:val="24"/>
          <w:szCs w:val="24"/>
        </w:rPr>
        <w:t>Figure</w:t>
      </w:r>
      <w:r w:rsidR="00A83F66" w:rsidRPr="00203D29">
        <w:rPr>
          <w:rFonts w:ascii="Times New Roman" w:eastAsia="Times New Roman" w:hAnsi="Times New Roman" w:cs="Times New Roman"/>
          <w:sz w:val="24"/>
          <w:szCs w:val="24"/>
        </w:rPr>
        <w:t> (</w:t>
      </w:r>
      <w:r w:rsidR="001B58DF">
        <w:rPr>
          <w:rFonts w:ascii="Times New Roman" w:eastAsia="Times New Roman" w:hAnsi="Times New Roman" w:cs="Times New Roman"/>
          <w:sz w:val="24"/>
          <w:szCs w:val="24"/>
        </w:rPr>
        <w:t>4</w:t>
      </w:r>
      <w:r w:rsidR="00A83F66" w:rsidRPr="00203D29">
        <w:rPr>
          <w:rFonts w:ascii="Times New Roman" w:eastAsia="Times New Roman" w:hAnsi="Times New Roman" w:cs="Times New Roman"/>
          <w:sz w:val="24"/>
          <w:szCs w:val="24"/>
        </w:rPr>
        <w:t>)</w:t>
      </w:r>
      <w:r w:rsidR="007B1C63" w:rsidRPr="00203D29">
        <w:rPr>
          <w:rFonts w:ascii="Times New Roman" w:eastAsia="Times New Roman" w:hAnsi="Times New Roman" w:cs="Times New Roman"/>
          <w:sz w:val="24"/>
          <w:szCs w:val="24"/>
        </w:rPr>
        <w:t xml:space="preserve"> shows a significant (P&lt;0.05) effect of intercropping, interaction, and row arrangements on</w:t>
      </w:r>
      <w:r w:rsidR="005A6C1B" w:rsidRPr="00203D29">
        <w:rPr>
          <w:rFonts w:ascii="Times New Roman" w:eastAsia="Times New Roman" w:hAnsi="Times New Roman" w:cs="Times New Roman"/>
          <w:sz w:val="24"/>
          <w:szCs w:val="24"/>
        </w:rPr>
        <w:t xml:space="preserve"> the</w:t>
      </w:r>
      <w:r w:rsidR="007B1C63" w:rsidRPr="00203D29">
        <w:rPr>
          <w:rFonts w:ascii="Times New Roman" w:eastAsia="Times New Roman" w:hAnsi="Times New Roman" w:cs="Times New Roman"/>
          <w:sz w:val="24"/>
          <w:szCs w:val="24"/>
        </w:rPr>
        <w:t xml:space="preserve"> IVDMD of oats.</w:t>
      </w:r>
      <w:r w:rsidR="00842952" w:rsidRPr="00203D29">
        <w:rPr>
          <w:rFonts w:ascii="Times New Roman" w:hAnsi="Times New Roman" w:cs="Times New Roman"/>
          <w:sz w:val="24"/>
          <w:szCs w:val="24"/>
        </w:rPr>
        <w:t xml:space="preserve"> </w:t>
      </w:r>
      <w:r w:rsidR="00844A23" w:rsidRPr="00203D29">
        <w:rPr>
          <w:rFonts w:ascii="Times New Roman" w:eastAsia="Times New Roman" w:hAnsi="Times New Roman" w:cs="Times New Roman"/>
          <w:sz w:val="24"/>
          <w:szCs w:val="24"/>
        </w:rPr>
        <w:t>The interaction effect of IVDMD ranged between 54.7% and 60.4%, with a mean of 57.3%. T2 had the highest IVDMD of oat</w:t>
      </w:r>
      <w:r w:rsidR="005A6C1B" w:rsidRPr="00203D29">
        <w:rPr>
          <w:rFonts w:ascii="Times New Roman" w:eastAsia="Times New Roman" w:hAnsi="Times New Roman" w:cs="Times New Roman"/>
          <w:sz w:val="24"/>
          <w:szCs w:val="24"/>
        </w:rPr>
        <w:t>s</w:t>
      </w:r>
      <w:r w:rsidR="00844A23" w:rsidRPr="00203D29">
        <w:rPr>
          <w:rFonts w:ascii="Times New Roman" w:eastAsia="Times New Roman" w:hAnsi="Times New Roman" w:cs="Times New Roman"/>
          <w:sz w:val="24"/>
          <w:szCs w:val="24"/>
        </w:rPr>
        <w:t xml:space="preserve"> (60.4%) in a higher row arrangement</w:t>
      </w:r>
      <w:r w:rsidR="00611F1E" w:rsidRPr="00203D29">
        <w:rPr>
          <w:rFonts w:ascii="Times New Roman" w:eastAsia="Times New Roman" w:hAnsi="Times New Roman" w:cs="Times New Roman"/>
          <w:sz w:val="24"/>
          <w:szCs w:val="24"/>
        </w:rPr>
        <w:t xml:space="preserve"> of vetch with oat</w:t>
      </w:r>
      <w:r w:rsidR="005A6C1B" w:rsidRPr="00203D29">
        <w:rPr>
          <w:rFonts w:ascii="Times New Roman" w:eastAsia="Times New Roman" w:hAnsi="Times New Roman" w:cs="Times New Roman"/>
          <w:sz w:val="24"/>
          <w:szCs w:val="24"/>
        </w:rPr>
        <w:t>s</w:t>
      </w:r>
      <w:r w:rsidR="00844A23" w:rsidRPr="00203D29">
        <w:rPr>
          <w:rFonts w:ascii="Times New Roman" w:eastAsia="Times New Roman" w:hAnsi="Times New Roman" w:cs="Times New Roman"/>
          <w:sz w:val="24"/>
          <w:szCs w:val="24"/>
        </w:rPr>
        <w:t xml:space="preserve"> (1:2), whi</w:t>
      </w:r>
      <w:r w:rsidR="005A6C1B" w:rsidRPr="00203D29">
        <w:rPr>
          <w:rFonts w:ascii="Times New Roman" w:eastAsia="Times New Roman" w:hAnsi="Times New Roman" w:cs="Times New Roman"/>
          <w:sz w:val="24"/>
          <w:szCs w:val="24"/>
        </w:rPr>
        <w:t xml:space="preserve">le T7 had the lowest (54.7%) in </w:t>
      </w:r>
      <w:r w:rsidR="00844A23" w:rsidRPr="00203D29">
        <w:rPr>
          <w:rFonts w:ascii="Times New Roman" w:eastAsia="Times New Roman" w:hAnsi="Times New Roman" w:cs="Times New Roman"/>
          <w:sz w:val="24"/>
          <w:szCs w:val="24"/>
        </w:rPr>
        <w:t xml:space="preserve">a lower row arrangement (2:1). </w:t>
      </w:r>
      <w:r w:rsidR="00771947" w:rsidRPr="00203D29">
        <w:rPr>
          <w:rFonts w:ascii="Times New Roman" w:hAnsi="Times New Roman" w:cs="Times New Roman"/>
          <w:sz w:val="24"/>
          <w:szCs w:val="24"/>
        </w:rPr>
        <w:t xml:space="preserve">This </w:t>
      </w:r>
      <w:r w:rsidR="0035757F" w:rsidRPr="00203D29">
        <w:rPr>
          <w:rFonts w:ascii="Times New Roman" w:hAnsi="Times New Roman" w:cs="Times New Roman"/>
          <w:sz w:val="24"/>
          <w:szCs w:val="24"/>
        </w:rPr>
        <w:t xml:space="preserve">does </w:t>
      </w:r>
      <w:r w:rsidR="008F35C0" w:rsidRPr="00203D29">
        <w:rPr>
          <w:rFonts w:ascii="Times New Roman" w:hAnsi="Times New Roman" w:cs="Times New Roman"/>
          <w:sz w:val="24"/>
          <w:szCs w:val="24"/>
        </w:rPr>
        <w:t xml:space="preserve">not </w:t>
      </w:r>
      <w:r w:rsidR="00771947" w:rsidRPr="00203D29">
        <w:rPr>
          <w:rFonts w:ascii="Times New Roman" w:hAnsi="Times New Roman" w:cs="Times New Roman"/>
          <w:sz w:val="24"/>
          <w:szCs w:val="24"/>
        </w:rPr>
        <w:t>agrees with the findings of</w:t>
      </w:r>
      <w:r w:rsidR="0035757F" w:rsidRPr="00203D29">
        <w:rPr>
          <w:rFonts w:ascii="Times New Roman" w:hAnsi="Times New Roman" w:cs="Times New Roman"/>
          <w:sz w:val="24"/>
          <w:szCs w:val="24"/>
        </w:rPr>
        <w:t xml:space="preserve"> </w:t>
      </w:r>
      <w:r w:rsidR="000D6068" w:rsidRPr="00203D29">
        <w:rPr>
          <w:rFonts w:ascii="Times New Roman" w:hAnsi="Times New Roman" w:cs="Times New Roman"/>
          <w:sz w:val="24"/>
          <w:szCs w:val="24"/>
        </w:rPr>
        <w:fldChar w:fldCharType="begin"/>
      </w:r>
      <w:r w:rsidR="0035757F" w:rsidRPr="00203D29">
        <w:rPr>
          <w:rFonts w:ascii="Times New Roman" w:hAnsi="Times New Roman" w:cs="Times New Roman"/>
          <w:sz w:val="24"/>
          <w:szCs w:val="24"/>
        </w:rPr>
        <w:instrText xml:space="preserve"> ADDIN EN.CITE &lt;EndNote&gt;&lt;Cite AuthorYear="1"&gt;&lt;Author&gt;Wana&lt;/Author&gt;&lt;Year&gt;2024&lt;/Year&gt;&lt;RecNum&gt;297&lt;/RecNum&gt;&lt;DisplayText&gt;Wana (2024)&lt;/DisplayText&gt;&lt;record&gt;&lt;rec-number&gt;297&lt;/rec-number&gt;&lt;foreign-keys&gt;&lt;key app="EN" db-id="02revdrtyv2dekeeewuvap2se2zsd9t5xdew"&gt;297&lt;/key&gt;&lt;/foreign-keys&gt;&lt;ref-type name="Thesis"&gt;32&lt;/ref-type&gt;&lt;contributors&gt;&lt;authors&gt;&lt;author&gt;Wana, Daniel&lt;/author&gt;&lt;/authors&gt;&lt;/contributors&gt;&lt;titles&gt;&lt;title&gt;Effect of intercropping oats with alfalfa on dry matter yield, nutritive value, in vitro ruminal fermentation kinetics and silage quality&lt;/title&gt;&lt;/titles&gt;&lt;dates&gt;&lt;year&gt;2024&lt;/year&gt;&lt;/dates&gt;&lt;publisher&gt;Jimma University&lt;/publisher&gt;&lt;urls&gt;&lt;/urls&gt;&lt;/record&gt;&lt;/Cite&gt;&lt;/EndNote&gt;</w:instrText>
      </w:r>
      <w:r w:rsidR="000D6068" w:rsidRPr="00203D29">
        <w:rPr>
          <w:rFonts w:ascii="Times New Roman" w:hAnsi="Times New Roman" w:cs="Times New Roman"/>
          <w:sz w:val="24"/>
          <w:szCs w:val="24"/>
        </w:rPr>
        <w:fldChar w:fldCharType="separate"/>
      </w:r>
      <w:hyperlink w:anchor="_ENREF_71" w:tooltip="Wana, 2024 #297" w:history="1">
        <w:r w:rsidR="00BC4E2E" w:rsidRPr="00203D29">
          <w:rPr>
            <w:rFonts w:ascii="Times New Roman" w:hAnsi="Times New Roman" w:cs="Times New Roman"/>
            <w:noProof/>
            <w:sz w:val="24"/>
            <w:szCs w:val="24"/>
          </w:rPr>
          <w:t>Wana (2024</w:t>
        </w:r>
      </w:hyperlink>
      <w:r w:rsidR="0035757F" w:rsidRPr="00203D29">
        <w:rPr>
          <w:rFonts w:ascii="Times New Roman" w:hAnsi="Times New Roman" w:cs="Times New Roman"/>
          <w:noProof/>
          <w:sz w:val="24"/>
          <w:szCs w:val="24"/>
        </w:rPr>
        <w:t>)</w:t>
      </w:r>
      <w:r w:rsidR="000D6068" w:rsidRPr="00203D29">
        <w:rPr>
          <w:rFonts w:ascii="Times New Roman" w:hAnsi="Times New Roman" w:cs="Times New Roman"/>
          <w:sz w:val="24"/>
          <w:szCs w:val="24"/>
        </w:rPr>
        <w:fldChar w:fldCharType="end"/>
      </w:r>
      <w:r w:rsidR="005A6C1B" w:rsidRPr="00203D29">
        <w:rPr>
          <w:rFonts w:ascii="Times New Roman" w:hAnsi="Times New Roman" w:cs="Times New Roman"/>
          <w:sz w:val="24"/>
          <w:szCs w:val="24"/>
        </w:rPr>
        <w:t>,</w:t>
      </w:r>
      <w:r w:rsidR="00771947" w:rsidRPr="00203D29">
        <w:rPr>
          <w:rFonts w:ascii="Times New Roman" w:hAnsi="Times New Roman" w:cs="Times New Roman"/>
          <w:sz w:val="24"/>
          <w:szCs w:val="24"/>
        </w:rPr>
        <w:t xml:space="preserve"> </w:t>
      </w:r>
      <w:r w:rsidR="0029474B" w:rsidRPr="00203D29">
        <w:rPr>
          <w:rFonts w:ascii="Times New Roman" w:eastAsia="Times New Roman" w:hAnsi="Times New Roman" w:cs="Times New Roman"/>
          <w:sz w:val="24"/>
          <w:szCs w:val="24"/>
        </w:rPr>
        <w:t>w</w:t>
      </w:r>
      <w:r w:rsidR="00771947" w:rsidRPr="00203D29">
        <w:rPr>
          <w:rFonts w:ascii="Times New Roman" w:eastAsia="Times New Roman" w:hAnsi="Times New Roman" w:cs="Times New Roman"/>
          <w:sz w:val="24"/>
          <w:szCs w:val="24"/>
        </w:rPr>
        <w:t xml:space="preserve">ho </w:t>
      </w:r>
      <w:r w:rsidR="00203D29" w:rsidRPr="00203D29">
        <w:rPr>
          <w:rFonts w:ascii="Times New Roman" w:hAnsi="Times New Roman" w:cs="Times New Roman"/>
          <w:sz w:val="24"/>
          <w:szCs w:val="24"/>
        </w:rPr>
        <w:t>discovered that oats with alfalfa within different seed ratios are proportionately intercropped</w:t>
      </w:r>
      <w:r w:rsidR="00203D29">
        <w:rPr>
          <w:rFonts w:ascii="Times New Roman" w:hAnsi="Times New Roman" w:cs="Times New Roman"/>
          <w:sz w:val="24"/>
          <w:szCs w:val="24"/>
        </w:rPr>
        <w:t>.</w:t>
      </w:r>
    </w:p>
    <w:p w:rsidR="004A6E91" w:rsidRPr="00A97D88" w:rsidRDefault="00C75215" w:rsidP="002E7B9B">
      <w:pPr>
        <w:spacing w:line="360" w:lineRule="auto"/>
        <w:jc w:val="both"/>
        <w:rPr>
          <w:rFonts w:ascii="Times New Roman" w:eastAsia="Times New Roman" w:hAnsi="Times New Roman" w:cs="Times New Roman"/>
          <w:sz w:val="24"/>
          <w:szCs w:val="24"/>
        </w:rPr>
      </w:pPr>
      <w:r w:rsidRPr="00A97D88">
        <w:rPr>
          <w:rFonts w:ascii="Times New Roman" w:hAnsi="Times New Roman" w:cs="Times New Roman"/>
          <w:sz w:val="24"/>
          <w:szCs w:val="24"/>
        </w:rPr>
        <w:t>W</w:t>
      </w:r>
      <w:r w:rsidR="004A6E91" w:rsidRPr="00A97D88">
        <w:rPr>
          <w:rFonts w:ascii="Times New Roman" w:hAnsi="Times New Roman" w:cs="Times New Roman"/>
          <w:sz w:val="24"/>
          <w:szCs w:val="24"/>
        </w:rPr>
        <w:t>hen grasses are intercropped with legumes, there is a drop in fiber frac</w:t>
      </w:r>
      <w:r w:rsidR="005A6C1B" w:rsidRPr="00A97D88">
        <w:rPr>
          <w:rFonts w:ascii="Times New Roman" w:hAnsi="Times New Roman" w:cs="Times New Roman"/>
          <w:sz w:val="24"/>
          <w:szCs w:val="24"/>
        </w:rPr>
        <w:t xml:space="preserve">tions, leading </w:t>
      </w:r>
      <w:r w:rsidR="00C92375">
        <w:rPr>
          <w:rFonts w:ascii="Times New Roman" w:hAnsi="Times New Roman" w:cs="Times New Roman"/>
          <w:sz w:val="24"/>
          <w:szCs w:val="24"/>
        </w:rPr>
        <w:t>to</w:t>
      </w:r>
      <w:r w:rsidR="00C92375" w:rsidRPr="00A97D88">
        <w:rPr>
          <w:rFonts w:ascii="Times New Roman" w:hAnsi="Times New Roman" w:cs="Times New Roman"/>
          <w:sz w:val="24"/>
          <w:szCs w:val="24"/>
        </w:rPr>
        <w:t xml:space="preserve"> </w:t>
      </w:r>
      <w:r w:rsidR="005A6C1B" w:rsidRPr="00A97D88">
        <w:rPr>
          <w:rFonts w:ascii="Times New Roman" w:hAnsi="Times New Roman" w:cs="Times New Roman"/>
          <w:sz w:val="24"/>
          <w:szCs w:val="24"/>
        </w:rPr>
        <w:t xml:space="preserve">an increase </w:t>
      </w:r>
      <w:r w:rsidR="00C92375">
        <w:rPr>
          <w:rFonts w:ascii="Times New Roman" w:hAnsi="Times New Roman" w:cs="Times New Roman"/>
          <w:sz w:val="24"/>
          <w:szCs w:val="24"/>
        </w:rPr>
        <w:t>in</w:t>
      </w:r>
      <w:r w:rsidR="00C92375" w:rsidRPr="00A97D88">
        <w:rPr>
          <w:rFonts w:ascii="Times New Roman" w:hAnsi="Times New Roman" w:cs="Times New Roman"/>
          <w:sz w:val="24"/>
          <w:szCs w:val="24"/>
        </w:rPr>
        <w:t xml:space="preserve"> </w:t>
      </w:r>
      <w:r w:rsidR="004A6E91" w:rsidRPr="00A97D88">
        <w:rPr>
          <w:rFonts w:ascii="Times New Roman" w:hAnsi="Times New Roman" w:cs="Times New Roman"/>
          <w:sz w:val="24"/>
          <w:szCs w:val="24"/>
        </w:rPr>
        <w:t xml:space="preserve">grass IVDMD </w:t>
      </w:r>
      <w:r w:rsidR="000D6068" w:rsidRPr="00A97D88">
        <w:rPr>
          <w:rFonts w:ascii="Times New Roman" w:hAnsi="Times New Roman" w:cs="Times New Roman"/>
          <w:sz w:val="24"/>
          <w:szCs w:val="24"/>
        </w:rPr>
        <w:fldChar w:fldCharType="begin"/>
      </w:r>
      <w:r w:rsidR="000E13D5">
        <w:rPr>
          <w:rFonts w:ascii="Times New Roman" w:hAnsi="Times New Roman" w:cs="Times New Roman"/>
          <w:sz w:val="24"/>
          <w:szCs w:val="24"/>
        </w:rPr>
        <w:instrText xml:space="preserve"> ADDIN EN.CITE &lt;EndNote&gt;&lt;Cite&gt;&lt;Author&gt;Keba&lt;/Author&gt;&lt;Year&gt;2022&lt;/Year&gt;&lt;RecNum&gt;178&lt;/RecNum&gt;&lt;DisplayText&gt;(Keba&lt;style face="italic"&gt; et al.&lt;/style&gt;, 2022)&lt;/DisplayText&gt;&lt;record&gt;&lt;rec-number&gt;178&lt;/rec-number&gt;&lt;foreign-keys&gt;&lt;key app="EN" db-id="02revdrtyv2dekeeewuvap2se2zsd9t5xdew"&gt;178&lt;/key&gt;&lt;/foreign-keys&gt;&lt;ref-type name="Journal Article"&gt;17&lt;/ref-type&gt;&lt;contributors&gt;&lt;authors&gt;&lt;author&gt;Keba, Wakgari&lt;/author&gt;&lt;author&gt;Tolemariam, Taye&lt;/author&gt;&lt;author&gt;Mohammed, Abdo&lt;/author&gt;&lt;/authors&gt;&lt;/contributors&gt;&lt;titles&gt;&lt;title&gt;Straw dry matter yield and quality of finger millet intercropped with selected vetch species at different seeding ratios in western Oromia, Ethiopia&lt;/title&gt;&lt;secondary-title&gt;Heliyon&lt;/secondary-title&gt;&lt;/titles&gt;&lt;periodical&gt;&lt;full-title&gt;Heliyon&lt;/full-title&gt;&lt;/periodical&gt;&lt;volume&gt;8&lt;/volume&gt;&lt;number&gt;8&lt;/number&gt;&lt;dates&gt;&lt;year&gt;2022&lt;/year&gt;&lt;/dates&gt;&lt;isbn&gt;2405-8440&lt;/isbn&gt;&lt;urls&gt;&lt;/urls&gt;&lt;/record&gt;&lt;/Cite&gt;&lt;/EndNote&gt;</w:instrText>
      </w:r>
      <w:r w:rsidR="000D6068" w:rsidRPr="00A97D88">
        <w:rPr>
          <w:rFonts w:ascii="Times New Roman" w:hAnsi="Times New Roman" w:cs="Times New Roman"/>
          <w:sz w:val="24"/>
          <w:szCs w:val="24"/>
        </w:rPr>
        <w:fldChar w:fldCharType="separate"/>
      </w:r>
      <w:r w:rsidR="000E13D5">
        <w:rPr>
          <w:rFonts w:ascii="Times New Roman" w:hAnsi="Times New Roman" w:cs="Times New Roman"/>
          <w:noProof/>
          <w:sz w:val="24"/>
          <w:szCs w:val="24"/>
        </w:rPr>
        <w:t>(</w:t>
      </w:r>
      <w:hyperlink w:anchor="_ENREF_34" w:tooltip="Keba, 2022 #178" w:history="1">
        <w:r w:rsidR="00BC4E2E">
          <w:rPr>
            <w:rFonts w:ascii="Times New Roman" w:hAnsi="Times New Roman" w:cs="Times New Roman"/>
            <w:noProof/>
            <w:sz w:val="24"/>
            <w:szCs w:val="24"/>
          </w:rPr>
          <w:t>Keba</w:t>
        </w:r>
        <w:r w:rsidR="00BC4E2E" w:rsidRPr="000E13D5">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2022</w:t>
        </w:r>
      </w:hyperlink>
      <w:r w:rsidR="000E13D5">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471EF0" w:rsidRPr="00A97D88">
        <w:rPr>
          <w:rFonts w:ascii="Times New Roman" w:hAnsi="Times New Roman" w:cs="Times New Roman"/>
          <w:sz w:val="24"/>
          <w:szCs w:val="24"/>
        </w:rPr>
        <w:t xml:space="preserve"> and </w:t>
      </w:r>
      <w:r w:rsidR="000D6068" w:rsidRPr="00A97D88">
        <w:rPr>
          <w:rFonts w:ascii="Times New Roman" w:hAnsi="Times New Roman" w:cs="Times New Roman"/>
          <w:sz w:val="24"/>
          <w:szCs w:val="24"/>
        </w:rPr>
        <w:fldChar w:fldCharType="begin"/>
      </w:r>
      <w:r w:rsidR="00B729C5">
        <w:rPr>
          <w:rFonts w:ascii="Times New Roman" w:hAnsi="Times New Roman" w:cs="Times New Roman"/>
          <w:sz w:val="24"/>
          <w:szCs w:val="24"/>
        </w:rPr>
        <w:instrText xml:space="preserve"> ADDIN EN.CITE &lt;EndNote&gt;&lt;Cite&gt;&lt;Author&gt;Njoka-Njiru&lt;/Author&gt;&lt;Year&gt;2006&lt;/Year&gt;&lt;RecNum&gt;179&lt;/RecNum&gt;&lt;DisplayText&gt;(Njoka-Njiru&lt;style face="italic"&gt; et al.&lt;/style&gt;, 2006)&lt;/DisplayText&gt;&lt;record&gt;&lt;rec-number&gt;179&lt;/rec-number&gt;&lt;foreign-keys&gt;&lt;key app="EN" db-id="02revdrtyv2dekeeewuvap2se2zsd9t5xdew"&gt;179&lt;/key&gt;&lt;/foreign-keys&gt;&lt;ref-type name="Journal Article"&gt;17&lt;/ref-type&gt;&lt;contributors&gt;&lt;authors&gt;&lt;author&gt;Njoka-Njiru, EN&lt;/author&gt;&lt;author&gt;Njarui, MG&lt;/author&gt;&lt;author&gt;Abdulrazak, SA&lt;/author&gt;&lt;author&gt;Mureithi, JG&lt;/author&gt;&lt;/authors&gt;&lt;/contributors&gt;&lt;titles&gt;&lt;title&gt;Effect of intercropping herbaceous legumes with Napier grass on dry matter yield and nutritive value of the feedstuffs in semi-arid region of eastern Kenya&lt;/title&gt;&lt;secondary-title&gt;Agricultura tropica et subtropica&lt;/secondary-title&gt;&lt;/titles&gt;&lt;periodical&gt;&lt;full-title&gt;Agricultura tropica et subtropica&lt;/full-title&gt;&lt;/periodical&gt;&lt;pages&gt;255-267&lt;/pages&gt;&lt;volume&gt;39&lt;/volume&gt;&lt;number&gt;4&lt;/number&gt;&lt;dates&gt;&lt;year&gt;2006&lt;/year&gt;&lt;/dates&gt;&lt;urls&gt;&lt;/urls&gt;&lt;/record&gt;&lt;/Cite&gt;&lt;/EndNote&gt;</w:instrText>
      </w:r>
      <w:r w:rsidR="000D6068" w:rsidRPr="00A97D88">
        <w:rPr>
          <w:rFonts w:ascii="Times New Roman" w:hAnsi="Times New Roman" w:cs="Times New Roman"/>
          <w:sz w:val="24"/>
          <w:szCs w:val="24"/>
        </w:rPr>
        <w:fldChar w:fldCharType="separate"/>
      </w:r>
      <w:r w:rsidR="00B729C5">
        <w:rPr>
          <w:rFonts w:ascii="Times New Roman" w:hAnsi="Times New Roman" w:cs="Times New Roman"/>
          <w:noProof/>
          <w:sz w:val="24"/>
          <w:szCs w:val="24"/>
        </w:rPr>
        <w:t>(</w:t>
      </w:r>
      <w:hyperlink w:anchor="_ENREF_55" w:tooltip="Njoka-Njiru, 2006 #179" w:history="1">
        <w:r w:rsidR="00BC4E2E">
          <w:rPr>
            <w:rFonts w:ascii="Times New Roman" w:hAnsi="Times New Roman" w:cs="Times New Roman"/>
            <w:noProof/>
            <w:sz w:val="24"/>
            <w:szCs w:val="24"/>
          </w:rPr>
          <w:t>Njoka-Njiru</w:t>
        </w:r>
        <w:r w:rsidR="00BC4E2E" w:rsidRPr="00B729C5">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2006</w:t>
        </w:r>
      </w:hyperlink>
      <w:r w:rsidR="00B729C5">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471EF0"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Legumes added to grass could increase its digestibility and provide additional carboh</w:t>
      </w:r>
      <w:r w:rsidR="003E743E" w:rsidRPr="00A97D88">
        <w:rPr>
          <w:rFonts w:ascii="Times New Roman" w:hAnsi="Times New Roman" w:cs="Times New Roman"/>
          <w:sz w:val="24"/>
          <w:szCs w:val="24"/>
        </w:rPr>
        <w:t>ydrates</w:t>
      </w:r>
      <w:r w:rsidR="006B2A64"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&lt;EndNote&gt;&lt;Cite&gt;&lt;Author&gt;Brown&lt;/Author&gt;&lt;Year&gt;2018&lt;/Year&gt;&lt;RecNum&gt;31&lt;/RecNum&gt;&lt;DisplayText&gt;(Brown&lt;style face="italic"&gt; et al.&lt;/style&gt;, 2018)&lt;/DisplayText&gt;&lt;record&gt;&lt;rec-number&gt;31&lt;/rec-number&gt;&lt;foreign-keys&gt;&lt;key app="EN" db-id="02revdrtyv2dekeeewuvap2se2zsd9t5xdew"&gt;31&lt;/key&gt;&lt;/foreign-keys&gt;&lt;ref-type name="Journal Article"&gt;17&lt;/ref-type&gt;&lt;contributors&gt;&lt;authors&gt;&lt;author&gt;Brown, AN&lt;/author&gt;&lt;author&gt;Ferreira, G&lt;/author&gt;&lt;author&gt;Teets, CL&lt;/author&gt;&lt;author&gt;Thomason, WE&lt;/author&gt;&lt;author&gt;Teutsch, CD&lt;/author&gt;&lt;/authors&gt;&lt;/contributors&gt;&lt;titles&gt;&lt;title&gt;Nutritional composition and in vitro digestibility of grass and legume winter (cover) crops&lt;/title&gt;&lt;secondary-title&gt;Journal of Dairy Science&lt;/secondary-title&gt;&lt;/titles&gt;&lt;periodical&gt;&lt;full-title&gt;Journal of Dairy Science&lt;/full-title&gt;&lt;/periodical&gt;&lt;pages&gt;2037-2047&lt;/pages&gt;&lt;volume&gt;101&lt;/volume&gt;&lt;number&gt;3&lt;/number&gt;&lt;dates&gt;&lt;year&gt;2018&lt;/year&gt;&lt;/dates&gt;&lt;isbn&gt;0022-0302&lt;/isbn&gt;&lt;urls&gt;&lt;/urls&gt;&lt;/record&gt;&lt;/Cite&gt;&lt;/EndNote&gt;</w:instrText>
      </w:r>
      <w:r w:rsidR="000D6068" w:rsidRPr="00A97D88">
        <w:rPr>
          <w:rFonts w:ascii="Times New Roman" w:hAnsi="Times New Roman" w:cs="Times New Roman"/>
          <w:sz w:val="24"/>
          <w:szCs w:val="24"/>
        </w:rPr>
        <w:fldChar w:fldCharType="separate"/>
      </w:r>
      <w:r w:rsidR="006B2A64" w:rsidRPr="00A97D88">
        <w:rPr>
          <w:rFonts w:ascii="Times New Roman" w:hAnsi="Times New Roman" w:cs="Times New Roman"/>
          <w:sz w:val="24"/>
          <w:szCs w:val="24"/>
        </w:rPr>
        <w:t>(</w:t>
      </w:r>
      <w:hyperlink w:anchor="_ENREF_12" w:tooltip="Brown, 2018 #31" w:history="1">
        <w:r w:rsidR="00BC4E2E" w:rsidRPr="00A97D88">
          <w:rPr>
            <w:rFonts w:ascii="Times New Roman" w:hAnsi="Times New Roman" w:cs="Times New Roman"/>
            <w:sz w:val="24"/>
            <w:szCs w:val="24"/>
          </w:rPr>
          <w:t>Brown et al., 2018</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3E743E"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 xml:space="preserve">The presence of legumes </w:t>
      </w:r>
      <w:r w:rsidR="00421F43" w:rsidRPr="00A97D88">
        <w:rPr>
          <w:rFonts w:ascii="Times New Roman" w:hAnsi="Times New Roman" w:cs="Times New Roman"/>
          <w:sz w:val="24"/>
          <w:szCs w:val="24"/>
        </w:rPr>
        <w:t>in the grass may increase feed</w:t>
      </w:r>
      <w:r w:rsidR="008E5EA3" w:rsidRPr="00A97D88">
        <w:rPr>
          <w:rFonts w:ascii="Times New Roman" w:hAnsi="Times New Roman" w:cs="Times New Roman"/>
          <w:sz w:val="24"/>
          <w:szCs w:val="24"/>
        </w:rPr>
        <w:t xml:space="preserve"> intake because there is a significant correlation between feed intake and IVDMD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&lt;EndNote&gt;&lt;Cite&gt;&lt;Author&gt;Soest&lt;/Author&gt;&lt;Year&gt;1994&lt;/Year&gt;&lt;RecNum&gt;33&lt;/RecNum&gt;&lt;DisplayText&gt;(Soest, 1994)&lt;/DisplayText&gt;&lt;record&gt;&lt;rec-number&gt;33&lt;/rec-number&gt;&lt;foreign-keys&gt;&lt;key app="EN" db-id="02revdrtyv2dekeeewuvap2se2zsd9t5xdew"&gt;33&lt;/key&gt;&lt;/foreign-keys&gt;&lt;ref-type name="Generic"&gt;13&lt;/ref-type&gt;&lt;contributors&gt;&lt;authors&gt;&lt;author&gt;Soest, PJ van&lt;/author&gt;&lt;/authors&gt;&lt;/contributors&gt;&lt;titles&gt;&lt;title&gt;Nutritional ecology of the ruminant&lt;/title&gt;&lt;/titles&gt;&lt;dates&gt;&lt;year&gt;1994&lt;/year&gt;&lt;/dates&gt;&lt;publisher&gt;Cornell university press Ithaca, NY, USA:&lt;/publisher&gt;&lt;urls&gt;&lt;/urls&gt;&lt;/record&gt;&lt;/Cite&gt;&lt;/EndNote&gt;</w:instrText>
      </w:r>
      <w:r w:rsidR="000D6068" w:rsidRPr="00A97D88">
        <w:rPr>
          <w:rFonts w:ascii="Times New Roman" w:hAnsi="Times New Roman" w:cs="Times New Roman"/>
          <w:sz w:val="24"/>
          <w:szCs w:val="24"/>
        </w:rPr>
        <w:fldChar w:fldCharType="separate"/>
      </w:r>
      <w:r w:rsidR="006B2A64" w:rsidRPr="00A97D88">
        <w:rPr>
          <w:rFonts w:ascii="Times New Roman" w:hAnsi="Times New Roman" w:cs="Times New Roman"/>
          <w:sz w:val="24"/>
          <w:szCs w:val="24"/>
        </w:rPr>
        <w:t>(</w:t>
      </w:r>
      <w:hyperlink w:anchor="_ENREF_62" w:tooltip="Soest, 1994 #33" w:history="1">
        <w:r w:rsidR="00BC4E2E" w:rsidRPr="00A97D88">
          <w:rPr>
            <w:rFonts w:ascii="Times New Roman" w:hAnsi="Times New Roman" w:cs="Times New Roman"/>
            <w:sz w:val="24"/>
            <w:szCs w:val="24"/>
          </w:rPr>
          <w:t>Soest, 1994</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6B2A64"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 xml:space="preserve">According to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 AuthorYear="1"&gt;&lt;Author&gt;Owen&lt;/Author&gt;&lt;Year&gt;1989&lt;/Year&gt;&lt;RecNum&gt;34&lt;/RecNum&gt;&lt;DisplayText&gt;Owen and Jayasuriya (1989)&lt;/DisplayText&gt;&lt;record&gt;&lt;rec-number&gt;34&lt;/rec-number&gt;&lt;foreign-keys&gt;&lt;key app="EN" db-id="02revdrtyv2dekeeewuvap2se2zsd9t5xdew"&gt;34&lt;/key&gt;&lt;/foreign-keys&gt;&lt;ref-type name="Journal Article"&gt;17&lt;/ref-type&gt;&lt;contributors&gt;&lt;authors&gt;&lt;author&gt;Owen, E&lt;/author&gt;&lt;author&gt;Jayasuriya,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sidRPr="00A97D88">
        <w:rPr>
          <w:rFonts w:ascii="Times New Roman" w:hAnsi="Times New Roman" w:cs="Times New Roman"/>
          <w:sz w:val="24"/>
          <w:szCs w:val="24"/>
        </w:rPr>
        <w:fldChar w:fldCharType="separate"/>
      </w:r>
      <w:hyperlink w:anchor="_ENREF_57" w:tooltip="Owen, 1989 #34" w:history="1">
        <w:r w:rsidR="00BC4E2E" w:rsidRPr="00A97D88">
          <w:rPr>
            <w:rFonts w:ascii="Times New Roman" w:hAnsi="Times New Roman" w:cs="Times New Roman"/>
            <w:sz w:val="24"/>
            <w:szCs w:val="24"/>
          </w:rPr>
          <w:t>Owen and Jayasuriya (1989</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6B2A64"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feeds must have a critical IVDMD thr</w:t>
      </w:r>
      <w:r w:rsidR="006633B5" w:rsidRPr="00A97D88">
        <w:rPr>
          <w:rFonts w:ascii="Times New Roman" w:hAnsi="Times New Roman" w:cs="Times New Roman"/>
          <w:sz w:val="24"/>
          <w:szCs w:val="24"/>
        </w:rPr>
        <w:t xml:space="preserve">eshold level of 50% </w:t>
      </w:r>
      <w:r w:rsidR="00C92375">
        <w:rPr>
          <w:rFonts w:ascii="Times New Roman" w:hAnsi="Times New Roman" w:cs="Times New Roman"/>
          <w:sz w:val="24"/>
          <w:szCs w:val="24"/>
        </w:rPr>
        <w:t>to</w:t>
      </w:r>
      <w:r w:rsidR="006633B5" w:rsidRPr="00A97D88">
        <w:rPr>
          <w:rFonts w:ascii="Times New Roman" w:hAnsi="Times New Roman" w:cs="Times New Roman"/>
          <w:sz w:val="24"/>
          <w:szCs w:val="24"/>
        </w:rPr>
        <w:t> </w:t>
      </w:r>
      <w:r w:rsidR="008E5EA3" w:rsidRPr="00A97D88">
        <w:rPr>
          <w:rFonts w:ascii="Times New Roman" w:hAnsi="Times New Roman" w:cs="Times New Roman"/>
          <w:sz w:val="24"/>
          <w:szCs w:val="24"/>
        </w:rPr>
        <w:t xml:space="preserve">have acceptable digestibility. </w:t>
      </w:r>
      <w:r w:rsidR="005D789E" w:rsidRPr="00A97D88">
        <w:rPr>
          <w:rFonts w:ascii="Times New Roman" w:hAnsi="Times New Roman" w:cs="Times New Roman"/>
          <w:sz w:val="24"/>
          <w:szCs w:val="24"/>
        </w:rPr>
        <w:t>Another author</w:t>
      </w:r>
      <w:r w:rsidR="00173959" w:rsidRPr="00A97D88">
        <w:rPr>
          <w:rFonts w:ascii="Times New Roman" w:hAnsi="Times New Roman" w:cs="Times New Roman"/>
          <w:sz w:val="24"/>
          <w:szCs w:val="24"/>
        </w:rPr>
        <w:t>,</w:t>
      </w:r>
      <w:r w:rsidR="005D789E" w:rsidRPr="00A97D88">
        <w:rPr>
          <w:rFonts w:ascii="Times New Roman" w:hAnsi="Times New Roman" w:cs="Times New Roman"/>
          <w:sz w:val="24"/>
          <w:szCs w:val="24"/>
        </w:rPr>
        <w:t> </w:t>
      </w:r>
      <w:r w:rsidR="000D6068" w:rsidRPr="00A97D88">
        <w:rPr>
          <w:rFonts w:ascii="Times New Roman" w:hAnsi="Times New Roman" w:cs="Times New Roman"/>
          <w:sz w:val="24"/>
          <w:szCs w:val="24"/>
        </w:rPr>
        <w:fldChar w:fldCharType="begin"/>
      </w:r>
      <w:r w:rsidR="002727B6">
        <w:rPr>
          <w:rFonts w:ascii="Times New Roman" w:hAnsi="Times New Roman" w:cs="Times New Roman"/>
          <w:sz w:val="24"/>
          <w:szCs w:val="24"/>
        </w:rPr>
        <w:instrText xml:space="preserve"> ADDIN EN.CITE &lt;EndNote&gt;&lt;Cite AuthorYear="1"&gt;&lt;Author&gt;McDowell&lt;/Author&gt;&lt;Year&gt;2003&lt;/Year&gt;&lt;RecNum&gt;103&lt;/RecNum&gt;&lt;DisplayText&gt;McDowell (2003)&lt;/DisplayText&gt;&lt;record&gt;&lt;rec-number&gt;103&lt;/rec-number&gt;&lt;foreign-keys&gt;&lt;key app="EN" db-id="5ee0etwro2xdtheaap2xr5f6dpxvrsx2v0t5"&gt;103&lt;/key&gt;&lt;/foreign-keys&gt;&lt;ref-type name="Journal Article"&gt;17&lt;/ref-type&gt;&lt;contributors&gt;&lt;authors&gt;&lt;author&gt;McDowell, LR&lt;/author&gt;&lt;/authors&gt;&lt;/contributors&gt;&lt;titles&gt;&lt;title&gt;Minerals in animal and human nutrition&lt;/title&gt;&lt;/titles&gt;&lt;dates&gt;&lt;year&gt;2003&lt;/year&gt;&lt;/dates&gt;&lt;isbn&gt;0444513671&lt;/isbn&gt;&lt;urls&gt;&lt;/urls&gt;&lt;/record&gt;&lt;/Cite&gt;&lt;/EndNote&gt;</w:instrText>
      </w:r>
      <w:r w:rsidR="000D6068" w:rsidRPr="00A97D88">
        <w:rPr>
          <w:rFonts w:ascii="Times New Roman" w:hAnsi="Times New Roman" w:cs="Times New Roman"/>
          <w:sz w:val="24"/>
          <w:szCs w:val="24"/>
        </w:rPr>
        <w:fldChar w:fldCharType="separate"/>
      </w:r>
      <w:hyperlink w:anchor="_ENREF_49" w:tooltip="McDowell, 2003 #103" w:history="1">
        <w:r w:rsidR="00BC4E2E" w:rsidRPr="00A97D88">
          <w:rPr>
            <w:rFonts w:ascii="Times New Roman" w:hAnsi="Times New Roman" w:cs="Times New Roman"/>
            <w:noProof/>
            <w:sz w:val="24"/>
            <w:szCs w:val="24"/>
          </w:rPr>
          <w:t>McDowell (2003</w:t>
        </w:r>
      </w:hyperlink>
      <w:r w:rsidR="00173959" w:rsidRPr="00A97D88">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 suggests that</w:t>
      </w:r>
      <w:r w:rsidR="005D789E" w:rsidRPr="00A97D88">
        <w:rPr>
          <w:rFonts w:ascii="Times New Roman" w:hAnsi="Times New Roman" w:cs="Times New Roman"/>
          <w:sz w:val="24"/>
          <w:szCs w:val="24"/>
        </w:rPr>
        <w:t xml:space="preserve"> </w:t>
      </w:r>
      <w:r w:rsidR="004A6E91" w:rsidRPr="00A97D88">
        <w:rPr>
          <w:rFonts w:ascii="Times New Roman" w:eastAsia="Times New Roman" w:hAnsi="Times New Roman" w:cs="Times New Roman"/>
          <w:sz w:val="24"/>
          <w:szCs w:val="24"/>
        </w:rPr>
        <w:t>IVDMD levels greater than 55% suggest good feeding value, whereas values less than this threshold level result in lower intake due to decreased digestibility. As a result, IVDMD found that the digestibility of oat</w:t>
      </w:r>
      <w:r w:rsidR="005A6C1B" w:rsidRPr="00A97D88">
        <w:rPr>
          <w:rFonts w:ascii="Times New Roman" w:eastAsia="Times New Roman" w:hAnsi="Times New Roman" w:cs="Times New Roman"/>
          <w:sz w:val="24"/>
          <w:szCs w:val="24"/>
        </w:rPr>
        <w:t>s</w:t>
      </w:r>
      <w:r w:rsidR="004A6E91" w:rsidRPr="00A97D88">
        <w:rPr>
          <w:rFonts w:ascii="Times New Roman" w:eastAsia="Times New Roman" w:hAnsi="Times New Roman" w:cs="Times New Roman"/>
          <w:sz w:val="24"/>
          <w:szCs w:val="24"/>
        </w:rPr>
        <w:t xml:space="preserve"> intercropped with vetch in various row arrangements was comparable to </w:t>
      </w:r>
      <w:r w:rsidRPr="00A97D88">
        <w:rPr>
          <w:rFonts w:ascii="Times New Roman" w:eastAsia="Times New Roman" w:hAnsi="Times New Roman" w:cs="Times New Roman"/>
          <w:sz w:val="24"/>
          <w:szCs w:val="24"/>
        </w:rPr>
        <w:t>this critical range</w:t>
      </w:r>
      <w:r w:rsidR="004A6E91" w:rsidRPr="00A97D88">
        <w:rPr>
          <w:rFonts w:ascii="Times New Roman" w:eastAsia="Times New Roman" w:hAnsi="Times New Roman" w:cs="Times New Roman"/>
          <w:sz w:val="24"/>
          <w:szCs w:val="24"/>
        </w:rPr>
        <w:t xml:space="preserve"> and could be considered acceptable.</w:t>
      </w:r>
    </w:p>
    <w:p w:rsidR="005876DD" w:rsidRPr="00A97D88" w:rsidRDefault="00301B1A" w:rsidP="004A6E91">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 xml:space="preserve">According to </w:t>
      </w:r>
      <w:r w:rsidR="000D6068" w:rsidRPr="00A97D88">
        <w:rPr>
          <w:rFonts w:ascii="Times New Roman" w:hAnsi="Times New Roman" w:cs="Times New Roman"/>
          <w:sz w:val="24"/>
          <w:szCs w:val="24"/>
        </w:rPr>
        <w:fldChar w:fldCharType="begin"/>
      </w:r>
      <w:r w:rsidR="0066522E">
        <w:rPr>
          <w:rFonts w:ascii="Times New Roman" w:hAnsi="Times New Roman" w:cs="Times New Roman"/>
          <w:sz w:val="24"/>
          <w:szCs w:val="24"/>
        </w:rPr>
        <w:instrText xml:space="preserve"> ADDIN EN.CITE &lt;EndNote&gt;&lt;Cite AuthorYear="1"&gt;&lt;Author&gt;Negash&lt;/Author&gt;&lt;Year&gt;2017&lt;/Year&gt;&lt;RecNum&gt;36&lt;/RecNum&gt;&lt;DisplayText&gt;Negash&lt;style face="italic"&gt; et al.&lt;/style&gt; (2017)&lt;/DisplayText&gt;&lt;record&gt;&lt;rec-number&gt;36&lt;/rec-number&gt;&lt;foreign-keys&gt;&lt;key app="EN" db-id="02revdrtyv2dekeeewuvap2se2zsd9t5xdew"&gt;36&lt;/key&gt;&lt;/foreign-keys&gt;&lt;ref-type name="Journal Article"&gt;17&lt;/ref-type&gt;&lt;contributors&gt;&lt;authors&gt;&lt;author&gt;Negash, Demissie&lt;/author&gt;&lt;author&gt;Animut, Getachew&lt;/author&gt;&lt;author&gt;Urgie, Mengistu&lt;/author&gt;&lt;author&gt;Mengistu, Solomon&lt;/author&gt;&lt;/authors&gt;&lt;/contributors&gt;&lt;titles&gt;&lt;title&gt;Chemical composition and nutritive value of oats (Avena sativa) grown in mixture with vetch (Vicia villosa) with or without phosphorus fertilization in east Shoa Zone, Ethiopia&lt;/title&gt;&lt;secondary-title&gt;Journal of Nutrition and Food Sciences&lt;/secondary-title&gt;&lt;/titles&gt;&lt;periodical&gt;&lt;full-title&gt;Journal of Nutrition and Food Sciences&lt;/full-title&gt;&lt;/periodical&gt;&lt;volume&gt;7&lt;/volume&gt;&lt;number&gt;4&lt;/number&gt;&lt;dates&gt;&lt;year&gt;2017&lt;/year&gt;&lt;/dates&gt;&lt;isbn&gt;2155-9600&lt;/isbn&gt;&lt;urls&gt;&lt;/urls&gt;&lt;/record&gt;&lt;/Cite&gt;&lt;/EndNote&gt;</w:instrText>
      </w:r>
      <w:r w:rsidR="000D6068" w:rsidRPr="00A97D88">
        <w:rPr>
          <w:rFonts w:ascii="Times New Roman" w:hAnsi="Times New Roman" w:cs="Times New Roman"/>
          <w:sz w:val="24"/>
          <w:szCs w:val="24"/>
        </w:rPr>
        <w:fldChar w:fldCharType="separate"/>
      </w:r>
      <w:hyperlink w:anchor="_ENREF_53" w:tooltip="Negash, 2017 #36" w:history="1">
        <w:r w:rsidR="00BC4E2E">
          <w:rPr>
            <w:rFonts w:ascii="Times New Roman" w:hAnsi="Times New Roman" w:cs="Times New Roman"/>
            <w:noProof/>
            <w:sz w:val="24"/>
            <w:szCs w:val="24"/>
          </w:rPr>
          <w:t>Negash</w:t>
        </w:r>
        <w:r w:rsidR="00BC4E2E" w:rsidRPr="0066522E">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xml:space="preserve"> (2017</w:t>
        </w:r>
      </w:hyperlink>
      <w:r w:rsidR="0066522E">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w:t>
      </w:r>
      <w:r w:rsidR="005A0254" w:rsidRPr="00A97D88">
        <w:rPr>
          <w:rFonts w:ascii="Times New Roman" w:hAnsi="Times New Roman" w:cs="Times New Roman"/>
          <w:sz w:val="24"/>
          <w:szCs w:val="24"/>
        </w:rPr>
        <w:t xml:space="preserve"> </w:t>
      </w:r>
      <w:r w:rsidRPr="00A97D88">
        <w:rPr>
          <w:rFonts w:ascii="Times New Roman" w:hAnsi="Times New Roman" w:cs="Times New Roman"/>
          <w:sz w:val="24"/>
          <w:szCs w:val="24"/>
        </w:rPr>
        <w:t xml:space="preserve">adding a legume that is </w:t>
      </w:r>
      <w:r w:rsidR="005A6C1B" w:rsidRPr="00A97D88">
        <w:rPr>
          <w:rFonts w:ascii="Times New Roman" w:hAnsi="Times New Roman" w:cs="Times New Roman"/>
          <w:sz w:val="24"/>
          <w:szCs w:val="24"/>
        </w:rPr>
        <w:t>associated</w:t>
      </w:r>
      <w:r w:rsidRPr="00A97D88">
        <w:rPr>
          <w:rFonts w:ascii="Times New Roman" w:hAnsi="Times New Roman" w:cs="Times New Roman"/>
          <w:sz w:val="24"/>
          <w:szCs w:val="24"/>
        </w:rPr>
        <w:t xml:space="preserve"> with the grass can enhance its nutritional value by contributing structural carbohydrates, crude protein, and voluntary feed intake, as well as its digestibility. Due to the favorable correlation between feed intake and IVDMD, grass that has been combined with legumes may encourage feed intake. Given that tropical grasses have a digestibility of between 50 and 60%, the IVDMD</w:t>
      </w:r>
      <w:r w:rsidR="005A0254"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5A0254" w:rsidRPr="00A97D88">
        <w:rPr>
          <w:rFonts w:ascii="Times New Roman" w:hAnsi="Times New Roman" w:cs="Times New Roman"/>
          <w:sz w:val="24"/>
          <w:szCs w:val="24"/>
        </w:rPr>
        <w:instrText xml:space="preserve"> ADDIN EN.CITE &lt;EndNote&gt;&lt;Cite&gt;&lt;Author&gt;Mahyuddin&lt;/Author&gt;&lt;Year&gt;2008&lt;/Year&gt;&lt;RecNum&gt;37&lt;/RecNum&gt;&lt;DisplayText&gt;(Mahyuddin, 2008)&lt;/DisplayText&gt;&lt;record&gt;&lt;rec-number&gt;37&lt;/rec-number&gt;&lt;foreign-keys&gt;&lt;key app="EN" db-id="02revdrtyv2dekeeewuvap2se2zsd9t5xdew"&gt;37&lt;/key&gt;&lt;/foreign-keys&gt;&lt;ref-type name="Journal Article"&gt;17&lt;/ref-type&gt;&lt;contributors&gt;&lt;authors&gt;&lt;author&gt;Mahyuddin, Prapti&lt;/author&gt;&lt;/authors&gt;&lt;/contributors&gt;&lt;titles&gt;&lt;title&gt;Relationship between chemical component and in vitro digestibility of tropical grasses&lt;/title&gt;&lt;secondary-title&gt;Hayati Journal of Biosciences&lt;/secondary-title&gt;&lt;/titles&gt;&lt;periodical&gt;&lt;full-title&gt;Hayati Journal of Biosciences&lt;/full-title&gt;&lt;/periodical&gt;&lt;pages&gt;85-89&lt;/pages&gt;&lt;volume&gt;15&lt;/volume&gt;&lt;number&gt;2&lt;/number&gt;&lt;dates&gt;&lt;year&gt;2008&lt;/year&gt;&lt;/dates&gt;&lt;isbn&gt;1978-3019&lt;/isbn&gt;&lt;urls&gt;&lt;/urls&gt;&lt;/record&gt;&lt;/Cite&gt;&lt;/EndNote&gt;</w:instrText>
      </w:r>
      <w:r w:rsidR="000D6068" w:rsidRPr="00A97D88">
        <w:rPr>
          <w:rFonts w:ascii="Times New Roman" w:hAnsi="Times New Roman" w:cs="Times New Roman"/>
          <w:sz w:val="24"/>
          <w:szCs w:val="24"/>
        </w:rPr>
        <w:fldChar w:fldCharType="separate"/>
      </w:r>
      <w:r w:rsidR="005A0254" w:rsidRPr="00A97D88">
        <w:rPr>
          <w:rFonts w:ascii="Times New Roman" w:hAnsi="Times New Roman" w:cs="Times New Roman"/>
          <w:sz w:val="24"/>
          <w:szCs w:val="24"/>
        </w:rPr>
        <w:t>(</w:t>
      </w:r>
      <w:hyperlink w:anchor="_ENREF_45" w:tooltip="Mahyuddin, 2008 #37" w:history="1">
        <w:r w:rsidR="00BC4E2E" w:rsidRPr="00A97D88">
          <w:rPr>
            <w:rFonts w:ascii="Times New Roman" w:hAnsi="Times New Roman" w:cs="Times New Roman"/>
            <w:sz w:val="24"/>
            <w:szCs w:val="24"/>
          </w:rPr>
          <w:t>Mahyuddin, 2008</w:t>
        </w:r>
      </w:hyperlink>
      <w:r w:rsidR="005A025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 Hence, the i</w:t>
      </w:r>
      <w:r w:rsidR="00AC31D2" w:rsidRPr="00A97D88">
        <w:rPr>
          <w:rFonts w:ascii="Times New Roman" w:hAnsi="Times New Roman" w:cs="Times New Roman"/>
          <w:sz w:val="24"/>
          <w:szCs w:val="24"/>
        </w:rPr>
        <w:t>n vitro dry matter digestibility (IVDMD) values of oat</w:t>
      </w:r>
      <w:r w:rsidR="005A6C1B" w:rsidRPr="00A97D88">
        <w:rPr>
          <w:rFonts w:ascii="Times New Roman" w:hAnsi="Times New Roman" w:cs="Times New Roman"/>
          <w:sz w:val="24"/>
          <w:szCs w:val="24"/>
        </w:rPr>
        <w:t>s</w:t>
      </w:r>
      <w:r w:rsidR="00AC31D2" w:rsidRPr="00A97D88">
        <w:rPr>
          <w:rFonts w:ascii="Times New Roman" w:hAnsi="Times New Roman" w:cs="Times New Roman"/>
          <w:sz w:val="24"/>
          <w:szCs w:val="24"/>
        </w:rPr>
        <w:t xml:space="preserve"> intercropped with vetch at different row arrangement</w:t>
      </w:r>
      <w:r w:rsidR="005A6C1B" w:rsidRPr="00A97D88">
        <w:rPr>
          <w:rFonts w:ascii="Times New Roman" w:hAnsi="Times New Roman" w:cs="Times New Roman"/>
          <w:sz w:val="24"/>
          <w:szCs w:val="24"/>
        </w:rPr>
        <w:t>s of the current study fit</w:t>
      </w:r>
      <w:r w:rsidR="00AC31D2" w:rsidRPr="00A97D88">
        <w:rPr>
          <w:rFonts w:ascii="Times New Roman" w:hAnsi="Times New Roman" w:cs="Times New Roman"/>
          <w:sz w:val="24"/>
          <w:szCs w:val="24"/>
        </w:rPr>
        <w:t xml:space="preserve"> with the digestibility of most tropical grass and it could be considered to be acceptable. </w:t>
      </w:r>
    </w:p>
    <w:p w:rsidR="00670664" w:rsidRPr="00A97D88" w:rsidRDefault="00670664" w:rsidP="00A51352">
      <w:pPr>
        <w:spacing w:line="360" w:lineRule="auto"/>
        <w:jc w:val="both"/>
        <w:rPr>
          <w:rFonts w:ascii="Times New Roman" w:hAnsi="Times New Roman" w:cs="Times New Roman"/>
          <w:sz w:val="24"/>
          <w:szCs w:val="24"/>
        </w:rPr>
      </w:pPr>
    </w:p>
    <w:p w:rsidR="00670664" w:rsidRPr="00A97D88" w:rsidRDefault="00670664" w:rsidP="00A51352">
      <w:pPr>
        <w:spacing w:line="360" w:lineRule="auto"/>
        <w:jc w:val="both"/>
        <w:rPr>
          <w:rFonts w:ascii="Times New Roman" w:hAnsi="Times New Roman" w:cs="Times New Roman"/>
          <w:sz w:val="24"/>
          <w:szCs w:val="24"/>
        </w:rPr>
        <w:sectPr w:rsidR="00670664" w:rsidRPr="00A97D88" w:rsidSect="00B65A0A">
          <w:pgSz w:w="12240" w:h="15840"/>
          <w:pgMar w:top="1440" w:right="1440" w:bottom="1440" w:left="1440" w:header="720" w:footer="720" w:gutter="0"/>
          <w:cols w:space="720"/>
          <w:docGrid w:linePitch="360"/>
        </w:sectPr>
      </w:pPr>
    </w:p>
    <w:p w:rsidR="00B53075" w:rsidRPr="00A97D88" w:rsidRDefault="00E4782C" w:rsidP="00A51352">
      <w:pPr>
        <w:spacing w:line="360" w:lineRule="auto"/>
        <w:jc w:val="both"/>
        <w:rPr>
          <w:rFonts w:ascii="Times New Roman" w:hAnsi="Times New Roman" w:cs="Times New Roman"/>
          <w:sz w:val="24"/>
          <w:szCs w:val="24"/>
        </w:rPr>
      </w:pPr>
      <w:r w:rsidRPr="00A97D88">
        <w:rPr>
          <w:noProof/>
        </w:rPr>
        <w:drawing>
          <wp:inline distT="0" distB="0" distL="0" distR="0">
            <wp:extent cx="3933825" cy="2743200"/>
            <wp:effectExtent l="0" t="0" r="952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97D88">
        <w:rPr>
          <w:rFonts w:ascii="Times New Roman" w:hAnsi="Times New Roman" w:cs="Times New Roman"/>
          <w:sz w:val="24"/>
          <w:szCs w:val="24"/>
        </w:rPr>
        <w:t xml:space="preserve"> </w:t>
      </w:r>
      <w:r w:rsidRPr="00A97D88">
        <w:rPr>
          <w:noProof/>
        </w:rPr>
        <w:drawing>
          <wp:inline distT="0" distB="0" distL="0" distR="0">
            <wp:extent cx="4181475" cy="2743200"/>
            <wp:effectExtent l="0" t="0" r="952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876DD" w:rsidRPr="00A97D88">
        <w:rPr>
          <w:rFonts w:ascii="Times New Roman" w:hAnsi="Times New Roman" w:cs="Times New Roman"/>
          <w:sz w:val="24"/>
          <w:szCs w:val="24"/>
        </w:rPr>
        <w:br w:type="textWrapping" w:clear="all"/>
      </w:r>
      <w:r w:rsidR="005876DD" w:rsidRPr="00A97D88">
        <w:rPr>
          <w:noProof/>
        </w:rPr>
        <w:drawing>
          <wp:inline distT="0" distB="0" distL="0" distR="0">
            <wp:extent cx="8220075" cy="30194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7E53" w:rsidRPr="00A97D88" w:rsidRDefault="00E87E53" w:rsidP="005876DD">
      <w:pPr>
        <w:rPr>
          <w:rFonts w:ascii="Times New Roman" w:hAnsi="Times New Roman" w:cs="Times New Roman"/>
        </w:rPr>
        <w:sectPr w:rsidR="00E87E53" w:rsidRPr="00A97D88" w:rsidSect="005876DD">
          <w:pgSz w:w="15840" w:h="12240" w:orient="landscape"/>
          <w:pgMar w:top="1440" w:right="1440" w:bottom="1440" w:left="1440" w:header="720" w:footer="720" w:gutter="0"/>
          <w:cols w:space="720"/>
          <w:docGrid w:linePitch="360"/>
        </w:sectPr>
      </w:pPr>
    </w:p>
    <w:p w:rsidR="00C06CA0" w:rsidRPr="002931E1" w:rsidRDefault="00C06CA0" w:rsidP="002931E1">
      <w:pPr>
        <w:pStyle w:val="Caption"/>
        <w:spacing w:line="360" w:lineRule="auto"/>
        <w:rPr>
          <w:b w:val="0"/>
          <w:sz w:val="24"/>
        </w:rPr>
      </w:pPr>
      <w:bookmarkStart w:id="30" w:name="_Toc184369730"/>
      <w:bookmarkStart w:id="31" w:name="_Toc187696852"/>
      <w:r w:rsidRPr="002E568D">
        <w:rPr>
          <w:b w:val="0"/>
          <w:sz w:val="24"/>
        </w:rPr>
        <w:t xml:space="preserve">Figure </w:t>
      </w:r>
      <w:r w:rsidR="001B58DF">
        <w:rPr>
          <w:b w:val="0"/>
          <w:sz w:val="24"/>
        </w:rPr>
        <w:t>4</w:t>
      </w:r>
      <w:r w:rsidRPr="002E568D">
        <w:rPr>
          <w:b w:val="0"/>
          <w:sz w:val="24"/>
        </w:rPr>
        <w:t>: In vitro digestibility, In vitro organic matter and Metabolizable energy of oats as affected by intercropping, row arrangement and their interaction</w:t>
      </w:r>
      <w:bookmarkEnd w:id="30"/>
      <w:bookmarkEnd w:id="31"/>
    </w:p>
    <w:p w:rsidR="00651CF7" w:rsidRPr="00A97D88" w:rsidRDefault="00651CF7" w:rsidP="00651CF7">
      <w:pPr>
        <w:tabs>
          <w:tab w:val="left" w:pos="1575"/>
        </w:tabs>
        <w:jc w:val="both"/>
        <w:rPr>
          <w:rFonts w:ascii="Times New Roman" w:hAnsi="Times New Roman" w:cs="Times New Roman"/>
          <w:b/>
          <w:i/>
          <w:sz w:val="20"/>
          <w:szCs w:val="20"/>
          <w:shd w:val="clear" w:color="auto" w:fill="FFFFFF"/>
        </w:rPr>
      </w:pPr>
      <w:r w:rsidRPr="00A97D88">
        <w:rPr>
          <w:rFonts w:ascii="Times New Roman" w:hAnsi="Times New Roman" w:cs="Times New Roman"/>
          <w:i/>
          <w:sz w:val="20"/>
          <w:szCs w:val="20"/>
          <w:vertAlign w:val="superscript"/>
        </w:rPr>
        <w:t>a,b,c</w:t>
      </w:r>
      <w:r w:rsidRPr="00A97D88">
        <w:rPr>
          <w:rFonts w:ascii="Times New Roman" w:hAnsi="Times New Roman" w:cs="Times New Roman"/>
          <w:i/>
          <w:sz w:val="20"/>
          <w:szCs w:val="20"/>
        </w:rPr>
        <w:t xml:space="preserve"> Mean in a column within the same category having different superscripts differ significantly (p&lt;0.05). 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 significant difference</w:t>
      </w:r>
      <w:r w:rsidR="001829BF" w:rsidRPr="00A97D88">
        <w:rPr>
          <w:rFonts w:ascii="Times New Roman" w:hAnsi="Times New Roman" w:cs="Times New Roman"/>
          <w:i/>
          <w:sz w:val="20"/>
          <w:szCs w:val="20"/>
        </w:rPr>
        <w:t>.</w:t>
      </w:r>
      <w:r w:rsidRPr="00A97D88">
        <w:rPr>
          <w:rFonts w:ascii="Times New Roman" w:hAnsi="Times New Roman" w:cs="Times New Roman"/>
          <w:b/>
          <w:i/>
          <w:sz w:val="20"/>
          <w:szCs w:val="20"/>
          <w:shd w:val="clear" w:color="auto" w:fill="FFFFFF"/>
        </w:rPr>
        <w:t xml:space="preserve"> </w:t>
      </w:r>
      <w:r w:rsidRPr="00A97D88">
        <w:rPr>
          <w:rFonts w:ascii="Times New Roman" w:hAnsi="Times New Roman" w:cs="Times New Roman"/>
          <w:i/>
          <w:sz w:val="20"/>
          <w:szCs w:val="20"/>
        </w:rPr>
        <w:t>T1= Bonsa + common vetch 1:1, T2= Bonsa + common vetch 1:2, T3= Bonsa + common vetch   2:1, T4= Bate +</w:t>
      </w:r>
      <w:r w:rsidR="00821759" w:rsidRPr="00A97D88">
        <w:rPr>
          <w:rFonts w:ascii="Times New Roman" w:hAnsi="Times New Roman" w:cs="Times New Roman"/>
          <w:i/>
          <w:sz w:val="20"/>
          <w:szCs w:val="20"/>
        </w:rPr>
        <w:t xml:space="preserve"> common vetch</w:t>
      </w:r>
      <w:r w:rsidRPr="00A97D88">
        <w:rPr>
          <w:rFonts w:ascii="Times New Roman" w:hAnsi="Times New Roman" w:cs="Times New Roman"/>
          <w:i/>
          <w:sz w:val="20"/>
          <w:szCs w:val="20"/>
        </w:rPr>
        <w:t xml:space="preserve"> 2:1, T5= Bate + common vetch   1:1, T6=Bate + common vetch   </w:t>
      </w:r>
      <w:r w:rsidR="009A4BC7" w:rsidRPr="00A97D88">
        <w:rPr>
          <w:rFonts w:ascii="Times New Roman" w:hAnsi="Times New Roman" w:cs="Times New Roman"/>
          <w:i/>
          <w:sz w:val="20"/>
          <w:szCs w:val="20"/>
        </w:rPr>
        <w:t xml:space="preserve"> 1:2 T7= Bareda + common vetch </w:t>
      </w:r>
      <w:r w:rsidR="00581BEF" w:rsidRPr="00A97D88">
        <w:rPr>
          <w:rFonts w:ascii="Times New Roman" w:hAnsi="Times New Roman" w:cs="Times New Roman"/>
          <w:i/>
          <w:sz w:val="20"/>
          <w:szCs w:val="20"/>
        </w:rPr>
        <w:t xml:space="preserve">2:1, T8= Bareda + common vetch </w:t>
      </w:r>
      <w:r w:rsidRPr="00A97D88">
        <w:rPr>
          <w:rFonts w:ascii="Times New Roman" w:hAnsi="Times New Roman" w:cs="Times New Roman"/>
          <w:i/>
          <w:sz w:val="20"/>
          <w:szCs w:val="20"/>
        </w:rPr>
        <w:t>1:1, T9</w:t>
      </w:r>
      <w:r w:rsidR="00581BEF" w:rsidRPr="00A97D88">
        <w:rPr>
          <w:rFonts w:ascii="Times New Roman" w:hAnsi="Times New Roman" w:cs="Times New Roman"/>
          <w:i/>
          <w:sz w:val="20"/>
          <w:szCs w:val="20"/>
        </w:rPr>
        <w:t>=</w:t>
      </w:r>
      <w:r w:rsidR="00AF5D09" w:rsidRPr="00A97D88">
        <w:rPr>
          <w:rFonts w:ascii="Times New Roman" w:hAnsi="Times New Roman" w:cs="Times New Roman"/>
          <w:i/>
          <w:sz w:val="20"/>
          <w:szCs w:val="20"/>
        </w:rPr>
        <w:t xml:space="preserve"> Bareda + common vetch   1:2</w:t>
      </w:r>
    </w:p>
    <w:p w:rsidR="00E5203E" w:rsidRDefault="00E5203E" w:rsidP="007A1629">
      <w:pPr>
        <w:pStyle w:val="Caption"/>
        <w:rPr>
          <w:rFonts w:cs="Times New Roman"/>
        </w:rPr>
      </w:pPr>
    </w:p>
    <w:p w:rsidR="004E041C"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b/>
          <w:sz w:val="24"/>
          <w:szCs w:val="24"/>
        </w:rPr>
        <w:t>In vitro organic matter digestibility (IVOMD</w:t>
      </w:r>
      <w:r w:rsidRPr="004E041C">
        <w:rPr>
          <w:rFonts w:ascii="Times New Roman" w:hAnsi="Times New Roman" w:cs="Times New Roman"/>
          <w:sz w:val="24"/>
          <w:szCs w:val="24"/>
        </w:rPr>
        <w:t>)</w:t>
      </w:r>
    </w:p>
    <w:p w:rsidR="00E66A63"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Intercropping oats with vetch at different row arrangements significantly (P &lt; 0.05) affected IVOMD (Figure 4). IVOMD ranged from 54.3% to 56.4% across varieties, with Bonsa-vetch mixtures achieving the highest value (56.4%) and Bareda-vetch the lowest (54.3%).</w:t>
      </w:r>
      <w:r w:rsidR="00DB1526">
        <w:rPr>
          <w:rFonts w:ascii="Times New Roman" w:hAnsi="Times New Roman" w:cs="Times New Roman"/>
          <w:sz w:val="24"/>
          <w:szCs w:val="24"/>
        </w:rPr>
        <w:t xml:space="preserve"> </w:t>
      </w:r>
      <w:r w:rsidRPr="004E041C">
        <w:rPr>
          <w:rFonts w:ascii="Times New Roman" w:hAnsi="Times New Roman" w:cs="Times New Roman"/>
          <w:sz w:val="24"/>
          <w:szCs w:val="24"/>
        </w:rPr>
        <w:t>Row arrangement and variety showed a significant interaction effect (p &lt; 0.05) on IVOMD. The highest IVOMD (59.17%) occurred in Bonsa intercropped with vetch at 1:2 (oat:vetch) row ratio, while the lowest (52.7%) was recorded in Bate and Bareda varieties intercropped at 2:1 ratio. All treatments exceeded the 50% IVOMD threshold for adequate digestibility</w:t>
      </w:r>
      <w:r w:rsidR="00E66A63">
        <w:rPr>
          <w:rFonts w:ascii="Times New Roman" w:hAnsi="Times New Roman" w:cs="Times New Roman"/>
          <w:sz w:val="24"/>
          <w:szCs w:val="24"/>
        </w:rPr>
        <w:t xml:space="preserve"> </w:t>
      </w:r>
      <w:r w:rsidR="000D6068">
        <w:rPr>
          <w:rFonts w:ascii="Times New Roman" w:hAnsi="Times New Roman" w:cs="Times New Roman"/>
          <w:sz w:val="24"/>
          <w:szCs w:val="24"/>
        </w:rPr>
        <w:fldChar w:fldCharType="begin"/>
      </w:r>
      <w:r w:rsidR="00E66A63">
        <w:rPr>
          <w:rFonts w:ascii="Times New Roman" w:hAnsi="Times New Roman" w:cs="Times New Roman"/>
          <w:sz w:val="24"/>
          <w:szCs w:val="24"/>
        </w:rPr>
        <w:instrText xml:space="preserve"> ADDIN EN.CITE &lt;EndNote&gt;&lt;Cite&gt;&lt;Author&gt;Owen&lt;/Author&gt;&lt;Year&gt;1989&lt;/Year&gt;&lt;RecNum&gt;106&lt;/RecNum&gt;&lt;DisplayText&gt;(Owen &amp;amp; Jayasuriya, 1989)&lt;/DisplayText&gt;&lt;record&gt;&lt;rec-number&gt;106&lt;/rec-number&gt;&lt;foreign-keys&gt;&lt;key app="EN" db-id="5ee0etwro2xdtheaap2xr5f6dpxvrsx2v0t5"&gt;106&lt;/key&gt;&lt;/foreign-keys&gt;&lt;ref-type name="Journal Article"&gt;17&lt;/ref-type&gt;&lt;contributors&gt;&lt;authors&gt;&lt;author&gt;Owen, EMCN&lt;/author&gt;&lt;author&gt;Jayasuriya,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Pr>
          <w:rFonts w:ascii="Times New Roman" w:hAnsi="Times New Roman" w:cs="Times New Roman"/>
          <w:sz w:val="24"/>
          <w:szCs w:val="24"/>
        </w:rPr>
        <w:fldChar w:fldCharType="separate"/>
      </w:r>
      <w:r w:rsidR="00E66A63">
        <w:rPr>
          <w:rFonts w:ascii="Times New Roman" w:hAnsi="Times New Roman" w:cs="Times New Roman"/>
          <w:noProof/>
          <w:sz w:val="24"/>
          <w:szCs w:val="24"/>
        </w:rPr>
        <w:t>(</w:t>
      </w:r>
      <w:hyperlink w:anchor="_ENREF_57" w:tooltip="Owen, 1989 #34" w:history="1">
        <w:r w:rsidR="00BC4E2E">
          <w:rPr>
            <w:rFonts w:ascii="Times New Roman" w:hAnsi="Times New Roman" w:cs="Times New Roman"/>
            <w:noProof/>
            <w:sz w:val="24"/>
            <w:szCs w:val="24"/>
          </w:rPr>
          <w:t>Owen &amp; Jayasuriya, 1989</w:t>
        </w:r>
      </w:hyperlink>
      <w:r w:rsidR="00E66A63">
        <w:rPr>
          <w:rFonts w:ascii="Times New Roman" w:hAnsi="Times New Roman" w:cs="Times New Roman"/>
          <w:noProof/>
          <w:sz w:val="24"/>
          <w:szCs w:val="24"/>
        </w:rPr>
        <w:t>)</w:t>
      </w:r>
      <w:r w:rsidR="000D6068">
        <w:rPr>
          <w:rFonts w:ascii="Times New Roman" w:hAnsi="Times New Roman" w:cs="Times New Roman"/>
          <w:sz w:val="24"/>
          <w:szCs w:val="24"/>
        </w:rPr>
        <w:fldChar w:fldCharType="end"/>
      </w:r>
    </w:p>
    <w:p w:rsidR="004E041C" w:rsidRPr="004E041C" w:rsidRDefault="004E041C" w:rsidP="004E041C">
      <w:pPr>
        <w:spacing w:line="360" w:lineRule="auto"/>
        <w:jc w:val="both"/>
        <w:rPr>
          <w:rFonts w:ascii="Times New Roman" w:hAnsi="Times New Roman" w:cs="Times New Roman"/>
          <w:b/>
          <w:sz w:val="24"/>
          <w:szCs w:val="24"/>
        </w:rPr>
      </w:pPr>
      <w:r w:rsidRPr="004E041C">
        <w:rPr>
          <w:rFonts w:ascii="Times New Roman" w:hAnsi="Times New Roman" w:cs="Times New Roman"/>
          <w:sz w:val="24"/>
          <w:szCs w:val="24"/>
        </w:rPr>
        <w:t xml:space="preserve"> </w:t>
      </w:r>
      <w:r w:rsidRPr="004E041C">
        <w:rPr>
          <w:rFonts w:ascii="Times New Roman" w:hAnsi="Times New Roman" w:cs="Times New Roman"/>
          <w:b/>
          <w:sz w:val="24"/>
          <w:szCs w:val="24"/>
        </w:rPr>
        <w:t>Metabolizable energy (ME)</w:t>
      </w:r>
    </w:p>
    <w:p w:rsidR="004E041C"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 xml:space="preserve">Oat variety, row arrangement, and their interaction significantly (P &lt; 0.05) affected ME (Figure 4). All treatments exceeded the critical threshold of 7.5 MJ kg⁻¹ DM for forages </w:t>
      </w:r>
      <w:r w:rsidR="000D6068">
        <w:rPr>
          <w:rFonts w:ascii="Times New Roman" w:hAnsi="Times New Roman" w:cs="Times New Roman"/>
          <w:sz w:val="24"/>
          <w:szCs w:val="24"/>
        </w:rPr>
        <w:fldChar w:fldCharType="begin"/>
      </w:r>
      <w:r w:rsidR="00E66A63">
        <w:rPr>
          <w:rFonts w:ascii="Times New Roman" w:hAnsi="Times New Roman" w:cs="Times New Roman"/>
          <w:sz w:val="24"/>
          <w:szCs w:val="24"/>
        </w:rPr>
        <w:instrText xml:space="preserve"> ADDIN EN.CITE &lt;EndNote&gt;&lt;Cite&gt;&lt;Author&gt;Owen&lt;/Author&gt;&lt;Year&gt;1989&lt;/Year&gt;&lt;RecNum&gt;106&lt;/RecNum&gt;&lt;DisplayText&gt;(Owen &amp;amp; Jayasuriya, 1989)&lt;/DisplayText&gt;&lt;record&gt;&lt;rec-number&gt;106&lt;/rec-number&gt;&lt;foreign-keys&gt;&lt;key app="EN" db-id="5ee0etwro2xdtheaap2xr5f6dpxvrsx2v0t5"&gt;106&lt;/key&gt;&lt;/foreign-keys&gt;&lt;ref-type name="Journal Article"&gt;17&lt;/ref-type&gt;&lt;contributors&gt;&lt;authors&gt;&lt;author&gt;Owen, EMCN&lt;/author&gt;&lt;author&gt;Jayasuriya,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Pr>
          <w:rFonts w:ascii="Times New Roman" w:hAnsi="Times New Roman" w:cs="Times New Roman"/>
          <w:sz w:val="24"/>
          <w:szCs w:val="24"/>
        </w:rPr>
        <w:fldChar w:fldCharType="separate"/>
      </w:r>
      <w:r w:rsidR="00E66A63">
        <w:rPr>
          <w:rFonts w:ascii="Times New Roman" w:hAnsi="Times New Roman" w:cs="Times New Roman"/>
          <w:noProof/>
          <w:sz w:val="24"/>
          <w:szCs w:val="24"/>
        </w:rPr>
        <w:t>(</w:t>
      </w:r>
      <w:hyperlink w:anchor="_ENREF_57" w:tooltip="Owen, 1989 #34" w:history="1">
        <w:r w:rsidR="00BC4E2E">
          <w:rPr>
            <w:rFonts w:ascii="Times New Roman" w:hAnsi="Times New Roman" w:cs="Times New Roman"/>
            <w:noProof/>
            <w:sz w:val="24"/>
            <w:szCs w:val="24"/>
          </w:rPr>
          <w:t>Owen &amp; Jayasuriya, 1989</w:t>
        </w:r>
      </w:hyperlink>
      <w:r w:rsidR="00E66A63">
        <w:rPr>
          <w:rFonts w:ascii="Times New Roman" w:hAnsi="Times New Roman" w:cs="Times New Roman"/>
          <w:noProof/>
          <w:sz w:val="24"/>
          <w:szCs w:val="24"/>
        </w:rPr>
        <w:t>)</w:t>
      </w:r>
      <w:r w:rsidR="000D6068">
        <w:rPr>
          <w:rFonts w:ascii="Times New Roman" w:hAnsi="Times New Roman" w:cs="Times New Roman"/>
          <w:sz w:val="24"/>
          <w:szCs w:val="24"/>
        </w:rPr>
        <w:fldChar w:fldCharType="end"/>
      </w:r>
      <w:r w:rsidR="00E66A63">
        <w:rPr>
          <w:rFonts w:ascii="Times New Roman" w:hAnsi="Times New Roman" w:cs="Times New Roman"/>
          <w:sz w:val="24"/>
          <w:szCs w:val="24"/>
        </w:rPr>
        <w:t xml:space="preserve">. </w:t>
      </w:r>
      <w:r w:rsidRPr="004E041C">
        <w:rPr>
          <w:rFonts w:ascii="Times New Roman" w:hAnsi="Times New Roman" w:cs="Times New Roman"/>
          <w:sz w:val="24"/>
          <w:szCs w:val="24"/>
        </w:rPr>
        <w:t>ME values followed the same trend as IVOMD, increasing with greater legume proportions in the mixture.</w:t>
      </w:r>
    </w:p>
    <w:p w:rsidR="004E041C" w:rsidRPr="004E041C" w:rsidRDefault="004E041C" w:rsidP="004E041C">
      <w:pPr>
        <w:spacing w:line="360" w:lineRule="auto"/>
        <w:jc w:val="both"/>
        <w:rPr>
          <w:rFonts w:ascii="Times New Roman" w:hAnsi="Times New Roman" w:cs="Times New Roman"/>
          <w:b/>
          <w:sz w:val="24"/>
          <w:szCs w:val="24"/>
        </w:rPr>
      </w:pPr>
      <w:r w:rsidRPr="004E041C">
        <w:rPr>
          <w:rFonts w:ascii="Times New Roman" w:hAnsi="Times New Roman" w:cs="Times New Roman"/>
          <w:b/>
          <w:sz w:val="24"/>
          <w:szCs w:val="24"/>
        </w:rPr>
        <w:t>In vitro gas and methane production</w:t>
      </w:r>
    </w:p>
    <w:p w:rsidR="002931E1"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Table 6 presents gas and methane production from intercropped oat-vetch forages. Total gas production differed significantly (p &lt; 0.05) across row arrangements at 3, 6, 12, 24, 48, and 72 hours of incubation. Gas volume increased progressively with incubation time across all treatments.</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At 72 hours, treatment T4 produced the highest gas volume (113 ml), while T4 also showed the highest production at early time points (3 and 6 hours). Lower </w:t>
      </w:r>
      <w:r w:rsidR="00B0363A" w:rsidRPr="004E041C">
        <w:rPr>
          <w:rFonts w:ascii="Times New Roman" w:hAnsi="Times New Roman" w:cs="Times New Roman"/>
          <w:sz w:val="24"/>
          <w:szCs w:val="24"/>
        </w:rPr>
        <w:t>oat: vetch</w:t>
      </w:r>
      <w:r w:rsidRPr="004E041C">
        <w:rPr>
          <w:rFonts w:ascii="Times New Roman" w:hAnsi="Times New Roman" w:cs="Times New Roman"/>
          <w:sz w:val="24"/>
          <w:szCs w:val="24"/>
        </w:rPr>
        <w:t xml:space="preserve"> ratios (more </w:t>
      </w:r>
      <w:r w:rsidR="00B0363A" w:rsidRPr="004E041C">
        <w:rPr>
          <w:rFonts w:ascii="Times New Roman" w:hAnsi="Times New Roman" w:cs="Times New Roman"/>
          <w:sz w:val="24"/>
          <w:szCs w:val="24"/>
        </w:rPr>
        <w:t>vetches</w:t>
      </w:r>
      <w:r w:rsidRPr="004E041C">
        <w:rPr>
          <w:rFonts w:ascii="Times New Roman" w:hAnsi="Times New Roman" w:cs="Times New Roman"/>
          <w:sz w:val="24"/>
          <w:szCs w:val="24"/>
        </w:rPr>
        <w:t>) consistently produced higher total gas volumes throughout incubation.</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Higher crude protein content from increased legume proportions (1:2 </w:t>
      </w:r>
      <w:r w:rsidR="00B0363A" w:rsidRPr="004E041C">
        <w:rPr>
          <w:rFonts w:ascii="Times New Roman" w:hAnsi="Times New Roman" w:cs="Times New Roman"/>
          <w:sz w:val="24"/>
          <w:szCs w:val="24"/>
        </w:rPr>
        <w:t>ratios</w:t>
      </w:r>
      <w:r w:rsidRPr="004E041C">
        <w:rPr>
          <w:rFonts w:ascii="Times New Roman" w:hAnsi="Times New Roman" w:cs="Times New Roman"/>
          <w:sz w:val="24"/>
          <w:szCs w:val="24"/>
        </w:rPr>
        <w:t>) corresponded with lower methane emissions</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IVOMD values positively correlated with gas production rates, with the 1:2 </w:t>
      </w:r>
      <w:r w:rsidR="00B0363A" w:rsidRPr="004E041C">
        <w:rPr>
          <w:rFonts w:ascii="Times New Roman" w:hAnsi="Times New Roman" w:cs="Times New Roman"/>
          <w:sz w:val="24"/>
          <w:szCs w:val="24"/>
        </w:rPr>
        <w:t>oat: vetch</w:t>
      </w:r>
      <w:r w:rsidRPr="004E041C">
        <w:rPr>
          <w:rFonts w:ascii="Times New Roman" w:hAnsi="Times New Roman" w:cs="Times New Roman"/>
          <w:sz w:val="24"/>
          <w:szCs w:val="24"/>
        </w:rPr>
        <w:t xml:space="preserve"> ratio showing 59.17% IVOMD and highest gas production (113 ml at 72h)</w:t>
      </w:r>
      <w:r>
        <w:rPr>
          <w:rFonts w:ascii="Times New Roman" w:hAnsi="Times New Roman" w:cs="Times New Roman"/>
          <w:sz w:val="24"/>
          <w:szCs w:val="24"/>
        </w:rPr>
        <w:t xml:space="preserve">. </w:t>
      </w:r>
      <w:r w:rsidRPr="004E041C">
        <w:rPr>
          <w:rFonts w:ascii="Times New Roman" w:hAnsi="Times New Roman" w:cs="Times New Roman"/>
          <w:sz w:val="24"/>
          <w:szCs w:val="24"/>
        </w:rPr>
        <w:t>Treatments with lower fiber content (higher vetch proportions) exhibited faster initial degradation (3-6h) and sustained fermentation through 72 hours</w:t>
      </w:r>
    </w:p>
    <w:p w:rsidR="005B20D3" w:rsidRPr="007D6211" w:rsidRDefault="007D6211" w:rsidP="007D6211">
      <w:pPr>
        <w:pStyle w:val="Caption"/>
        <w:spacing w:line="276" w:lineRule="auto"/>
        <w:rPr>
          <w:rFonts w:cs="Times New Roman"/>
          <w:b w:val="0"/>
          <w:sz w:val="32"/>
        </w:rPr>
      </w:pPr>
      <w:bookmarkStart w:id="32" w:name="_Toc187696845"/>
      <w:r w:rsidRPr="007D6211">
        <w:rPr>
          <w:b w:val="0"/>
          <w:sz w:val="24"/>
        </w:rPr>
        <w:t xml:space="preserve">Table </w:t>
      </w:r>
      <w:r w:rsidR="001B58DF">
        <w:rPr>
          <w:b w:val="0"/>
          <w:sz w:val="24"/>
        </w:rPr>
        <w:t>6</w:t>
      </w:r>
      <w:r w:rsidRPr="007D6211">
        <w:rPr>
          <w:b w:val="0"/>
          <w:sz w:val="24"/>
        </w:rPr>
        <w:t>: Effect of intercropping and row arrangement on in-vitro gas and methane production (ml/200 gm DM) of intercropped forages</w:t>
      </w:r>
      <w:bookmarkEnd w:id="32"/>
    </w:p>
    <w:tbl>
      <w:tblPr>
        <w:tblStyle w:val="TableGrid"/>
        <w:tblW w:w="9918" w:type="dxa"/>
        <w:tblLayout w:type="fixed"/>
        <w:tblLook w:val="04A0" w:firstRow="1" w:lastRow="0" w:firstColumn="1" w:lastColumn="0" w:noHBand="0" w:noVBand="1"/>
      </w:tblPr>
      <w:tblGrid>
        <w:gridCol w:w="1998"/>
        <w:gridCol w:w="810"/>
        <w:gridCol w:w="990"/>
        <w:gridCol w:w="990"/>
        <w:gridCol w:w="900"/>
        <w:gridCol w:w="1080"/>
        <w:gridCol w:w="1080"/>
        <w:gridCol w:w="810"/>
        <w:gridCol w:w="1260"/>
      </w:tblGrid>
      <w:tr w:rsidR="0013614E" w:rsidRPr="00A97D88" w:rsidTr="00532083">
        <w:trPr>
          <w:trHeight w:val="285"/>
        </w:trPr>
        <w:tc>
          <w:tcPr>
            <w:tcW w:w="1998" w:type="dxa"/>
            <w:vMerge w:val="restart"/>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Varieties  Intercropped</w:t>
            </w:r>
          </w:p>
        </w:tc>
        <w:tc>
          <w:tcPr>
            <w:tcW w:w="6660" w:type="dxa"/>
            <w:gridSpan w:val="7"/>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 xml:space="preserve">                      </w:t>
            </w:r>
            <w:r w:rsidRPr="00A97D88">
              <w:rPr>
                <w:rFonts w:ascii="Times New Roman" w:hAnsi="Times New Roman" w:cs="Times New Roman"/>
                <w:sz w:val="24"/>
                <w:szCs w:val="24"/>
              </w:rPr>
              <w:t>Incubation Period</w:t>
            </w:r>
          </w:p>
        </w:tc>
        <w:tc>
          <w:tcPr>
            <w:tcW w:w="1260" w:type="dxa"/>
            <w:vMerge w:val="restart"/>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hAnsi="Times New Roman" w:cs="Times New Roman"/>
                <w:sz w:val="24"/>
                <w:szCs w:val="24"/>
              </w:rPr>
              <w:t>CH4/Total gas</w:t>
            </w:r>
          </w:p>
        </w:tc>
      </w:tr>
      <w:tr w:rsidR="0013614E" w:rsidRPr="00A97D88" w:rsidTr="00532083">
        <w:trPr>
          <w:trHeight w:val="255"/>
        </w:trPr>
        <w:tc>
          <w:tcPr>
            <w:tcW w:w="1998" w:type="dxa"/>
            <w:vMerge/>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p>
        </w:tc>
        <w:tc>
          <w:tcPr>
            <w:tcW w:w="81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3hr</w:t>
            </w:r>
          </w:p>
        </w:tc>
        <w:tc>
          <w:tcPr>
            <w:tcW w:w="99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6hr</w:t>
            </w:r>
          </w:p>
        </w:tc>
        <w:tc>
          <w:tcPr>
            <w:tcW w:w="99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12hr</w:t>
            </w:r>
          </w:p>
        </w:tc>
        <w:tc>
          <w:tcPr>
            <w:tcW w:w="90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24hr</w:t>
            </w:r>
          </w:p>
        </w:tc>
        <w:tc>
          <w:tcPr>
            <w:tcW w:w="108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48hr</w:t>
            </w:r>
          </w:p>
        </w:tc>
        <w:tc>
          <w:tcPr>
            <w:tcW w:w="108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72hr</w:t>
            </w:r>
          </w:p>
        </w:tc>
        <w:tc>
          <w:tcPr>
            <w:tcW w:w="81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CH4</w:t>
            </w:r>
          </w:p>
        </w:tc>
        <w:tc>
          <w:tcPr>
            <w:tcW w:w="1260" w:type="dxa"/>
            <w:vMerge/>
            <w:tcBorders>
              <w:top w:val="single" w:sz="4" w:space="0" w:color="auto"/>
              <w:left w:val="nil"/>
              <w:bottom w:val="thickThinSmallGap" w:sz="24" w:space="0" w:color="auto"/>
              <w:right w:val="nil"/>
            </w:tcBorders>
          </w:tcPr>
          <w:p w:rsidR="009333CB" w:rsidRPr="00A97D88" w:rsidRDefault="009333CB" w:rsidP="00DF116D">
            <w:pPr>
              <w:rPr>
                <w:rFonts w:ascii="Times New Roman" w:hAnsi="Times New Roman" w:cs="Times New Roman"/>
                <w:sz w:val="24"/>
                <w:szCs w:val="24"/>
              </w:rPr>
            </w:pPr>
          </w:p>
        </w:tc>
      </w:tr>
      <w:tr w:rsidR="0013614E" w:rsidRPr="00A97D88" w:rsidTr="00532083">
        <w:tc>
          <w:tcPr>
            <w:tcW w:w="1998" w:type="dxa"/>
            <w:tcBorders>
              <w:top w:val="thickThinSmallGap" w:sz="24" w:space="0" w:color="auto"/>
              <w:left w:val="nil"/>
              <w:bottom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Bonsa+c</w:t>
            </w:r>
          </w:p>
        </w:tc>
        <w:tc>
          <w:tcPr>
            <w:tcW w:w="81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5.33</w:t>
            </w:r>
          </w:p>
        </w:tc>
        <w:tc>
          <w:tcPr>
            <w:tcW w:w="99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b</w:t>
            </w:r>
          </w:p>
        </w:tc>
        <w:tc>
          <w:tcPr>
            <w:tcW w:w="99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22.0</w:t>
            </w:r>
            <w:r w:rsidRPr="00A97D88">
              <w:rPr>
                <w:rFonts w:ascii="Times New Roman" w:eastAsia="Times New Roman" w:hAnsi="Times New Roman" w:cs="Times New Roman"/>
                <w:sz w:val="24"/>
                <w:szCs w:val="24"/>
                <w:vertAlign w:val="superscript"/>
              </w:rPr>
              <w:t>b</w:t>
            </w:r>
          </w:p>
        </w:tc>
        <w:tc>
          <w:tcPr>
            <w:tcW w:w="90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53.3</w:t>
            </w:r>
            <w:r w:rsidRPr="00A97D88">
              <w:rPr>
                <w:rFonts w:ascii="Times New Roman" w:eastAsia="Times New Roman" w:hAnsi="Times New Roman" w:cs="Times New Roman"/>
                <w:sz w:val="24"/>
                <w:szCs w:val="24"/>
                <w:vertAlign w:val="superscript"/>
              </w:rPr>
              <w:t>b</w:t>
            </w:r>
          </w:p>
        </w:tc>
        <w:tc>
          <w:tcPr>
            <w:tcW w:w="108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71.6</w:t>
            </w:r>
            <w:r w:rsidRPr="00A97D88">
              <w:rPr>
                <w:rFonts w:ascii="Times New Roman" w:eastAsia="Times New Roman" w:hAnsi="Times New Roman" w:cs="Times New Roman"/>
                <w:sz w:val="24"/>
                <w:szCs w:val="24"/>
                <w:vertAlign w:val="superscript"/>
              </w:rPr>
              <w:t>c</w:t>
            </w:r>
          </w:p>
        </w:tc>
        <w:tc>
          <w:tcPr>
            <w:tcW w:w="108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87.3</w:t>
            </w:r>
            <w:r w:rsidRPr="00A97D88">
              <w:rPr>
                <w:rFonts w:ascii="Times New Roman" w:eastAsia="Times New Roman" w:hAnsi="Times New Roman" w:cs="Times New Roman"/>
                <w:sz w:val="24"/>
                <w:szCs w:val="24"/>
                <w:vertAlign w:val="superscript"/>
              </w:rPr>
              <w:t>c</w:t>
            </w:r>
          </w:p>
        </w:tc>
        <w:tc>
          <w:tcPr>
            <w:tcW w:w="810" w:type="dxa"/>
            <w:tcBorders>
              <w:top w:val="thickThinSmallGap" w:sz="24" w:space="0" w:color="auto"/>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p>
        </w:tc>
        <w:tc>
          <w:tcPr>
            <w:tcW w:w="1260" w:type="dxa"/>
            <w:tcBorders>
              <w:top w:val="thickThinSmallGap" w:sz="24" w:space="0" w:color="auto"/>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0.045</w:t>
            </w:r>
            <w:r w:rsidR="00DC3A96" w:rsidRPr="00A97D88">
              <w:rPr>
                <w:rFonts w:ascii="Times New Roman" w:eastAsia="Times New Roman" w:hAnsi="Times New Roman" w:cs="Times New Roman"/>
                <w:sz w:val="24"/>
                <w:szCs w:val="24"/>
                <w:vertAlign w:val="superscript"/>
              </w:rPr>
              <w:t>b</w:t>
            </w:r>
          </w:p>
        </w:tc>
      </w:tr>
      <w:tr w:rsidR="0013614E" w:rsidRPr="00A97D88" w:rsidTr="00532083">
        <w:tc>
          <w:tcPr>
            <w:tcW w:w="1998" w:type="dxa"/>
            <w:tcBorders>
              <w:top w:val="nil"/>
              <w:left w:val="nil"/>
              <w:bottom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Bareda+c</w:t>
            </w:r>
          </w:p>
        </w:tc>
        <w:tc>
          <w:tcPr>
            <w:tcW w:w="81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w:t>
            </w:r>
          </w:p>
        </w:tc>
        <w:tc>
          <w:tcPr>
            <w:tcW w:w="99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a</w:t>
            </w:r>
          </w:p>
        </w:tc>
        <w:tc>
          <w:tcPr>
            <w:tcW w:w="99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24.0</w:t>
            </w:r>
            <w:r w:rsidRPr="00A97D88">
              <w:rPr>
                <w:rFonts w:ascii="Times New Roman" w:eastAsia="Times New Roman" w:hAnsi="Times New Roman" w:cs="Times New Roman"/>
                <w:sz w:val="24"/>
                <w:szCs w:val="24"/>
                <w:vertAlign w:val="superscript"/>
              </w:rPr>
              <w:t>a</w:t>
            </w:r>
          </w:p>
        </w:tc>
        <w:tc>
          <w:tcPr>
            <w:tcW w:w="90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55.3</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79.6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103.6</w:t>
            </w:r>
            <w:r w:rsidRPr="00A97D88">
              <w:rPr>
                <w:rFonts w:ascii="Times New Roman" w:eastAsia="Times New Roman" w:hAnsi="Times New Roman" w:cs="Times New Roman"/>
                <w:sz w:val="24"/>
                <w:szCs w:val="24"/>
                <w:vertAlign w:val="superscript"/>
              </w:rPr>
              <w:t>a</w:t>
            </w:r>
          </w:p>
        </w:tc>
        <w:tc>
          <w:tcPr>
            <w:tcW w:w="810" w:type="dxa"/>
            <w:tcBorders>
              <w:top w:val="nil"/>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w:t>
            </w:r>
          </w:p>
        </w:tc>
        <w:tc>
          <w:tcPr>
            <w:tcW w:w="1260" w:type="dxa"/>
            <w:tcBorders>
              <w:top w:val="nil"/>
              <w:left w:val="nil"/>
              <w:bottom w:val="nil"/>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Pr="00A97D88">
              <w:rPr>
                <w:rFonts w:ascii="Times New Roman" w:eastAsia="Times New Roman" w:hAnsi="Times New Roman" w:cs="Times New Roman"/>
                <w:sz w:val="24"/>
                <w:szCs w:val="24"/>
                <w:vertAlign w:val="superscript"/>
              </w:rPr>
              <w:t>b</w:t>
            </w:r>
          </w:p>
        </w:tc>
      </w:tr>
      <w:tr w:rsidR="0013614E" w:rsidRPr="00A97D88" w:rsidTr="00D70B9D">
        <w:tc>
          <w:tcPr>
            <w:tcW w:w="1998" w:type="dxa"/>
            <w:tcBorders>
              <w:top w:val="nil"/>
              <w:left w:val="nil"/>
              <w:bottom w:val="single" w:sz="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Bate+c</w:t>
            </w:r>
          </w:p>
        </w:tc>
        <w:tc>
          <w:tcPr>
            <w:tcW w:w="81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6.34</w:t>
            </w:r>
          </w:p>
        </w:tc>
        <w:tc>
          <w:tcPr>
            <w:tcW w:w="99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w:t>
            </w:r>
            <w:r w:rsidRPr="00A97D88">
              <w:rPr>
                <w:rFonts w:ascii="Times New Roman" w:eastAsia="Times New Roman" w:hAnsi="Times New Roman" w:cs="Times New Roman"/>
                <w:sz w:val="24"/>
                <w:szCs w:val="24"/>
                <w:vertAlign w:val="superscript"/>
              </w:rPr>
              <w:t>b</w:t>
            </w:r>
          </w:p>
        </w:tc>
        <w:tc>
          <w:tcPr>
            <w:tcW w:w="99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20.6</w:t>
            </w:r>
            <w:r w:rsidRPr="00A97D88">
              <w:rPr>
                <w:rFonts w:ascii="Times New Roman" w:eastAsia="Times New Roman" w:hAnsi="Times New Roman" w:cs="Times New Roman"/>
                <w:sz w:val="24"/>
                <w:szCs w:val="24"/>
                <w:vertAlign w:val="superscript"/>
              </w:rPr>
              <w:t>c</w:t>
            </w:r>
          </w:p>
        </w:tc>
        <w:tc>
          <w:tcPr>
            <w:tcW w:w="90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49.6</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73.6</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99.6</w:t>
            </w:r>
            <w:r w:rsidRPr="00A97D88">
              <w:rPr>
                <w:rFonts w:ascii="Times New Roman" w:eastAsia="Times New Roman" w:hAnsi="Times New Roman" w:cs="Times New Roman"/>
                <w:sz w:val="24"/>
                <w:szCs w:val="24"/>
                <w:vertAlign w:val="superscript"/>
              </w:rPr>
              <w:t>b</w:t>
            </w:r>
          </w:p>
        </w:tc>
        <w:tc>
          <w:tcPr>
            <w:tcW w:w="810" w:type="dxa"/>
            <w:tcBorders>
              <w:top w:val="nil"/>
              <w:left w:val="nil"/>
              <w:bottom w:val="single" w:sz="4" w:space="0" w:color="auto"/>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w:t>
            </w:r>
          </w:p>
        </w:tc>
        <w:tc>
          <w:tcPr>
            <w:tcW w:w="1260" w:type="dxa"/>
            <w:tcBorders>
              <w:top w:val="nil"/>
              <w:left w:val="nil"/>
              <w:bottom w:val="single" w:sz="4" w:space="0" w:color="auto"/>
              <w:right w:val="nil"/>
            </w:tcBorders>
          </w:tcPr>
          <w:p w:rsidR="009333CB"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0.05</w:t>
            </w:r>
            <w:r w:rsidRPr="00A97D88">
              <w:rPr>
                <w:rFonts w:ascii="Times New Roman" w:eastAsia="Times New Roman" w:hAnsi="Times New Roman" w:cs="Times New Roman"/>
                <w:sz w:val="24"/>
                <w:szCs w:val="24"/>
                <w:vertAlign w:val="superscript"/>
              </w:rPr>
              <w:t>a</w:t>
            </w:r>
          </w:p>
        </w:tc>
      </w:tr>
      <w:tr w:rsidR="0013614E" w:rsidRPr="00A97D88" w:rsidTr="00D70B9D">
        <w:tc>
          <w:tcPr>
            <w:tcW w:w="1998" w:type="dxa"/>
            <w:tcBorders>
              <w:top w:val="single" w:sz="4" w:space="0" w:color="auto"/>
              <w:left w:val="nil"/>
              <w:bottom w:val="single" w:sz="4" w:space="0" w:color="auto"/>
              <w:right w:val="nil"/>
            </w:tcBorders>
          </w:tcPr>
          <w:p w:rsidR="009333CB" w:rsidRPr="00A97D88" w:rsidRDefault="009333CB" w:rsidP="00D70B9D">
            <w:pPr>
              <w:tabs>
                <w:tab w:val="right" w:pos="1782"/>
              </w:tabs>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r w:rsidR="00D70B9D">
              <w:rPr>
                <w:rFonts w:ascii="Times New Roman" w:eastAsia="Times New Roman" w:hAnsi="Times New Roman" w:cs="Times New Roman"/>
                <w:sz w:val="24"/>
                <w:szCs w:val="24"/>
              </w:rPr>
              <w:tab/>
            </w:r>
          </w:p>
        </w:tc>
        <w:tc>
          <w:tcPr>
            <w:tcW w:w="810" w:type="dxa"/>
            <w:tcBorders>
              <w:top w:val="single" w:sz="4" w:space="0" w:color="auto"/>
              <w:left w:val="nil"/>
              <w:bottom w:val="single" w:sz="4" w:space="0" w:color="auto"/>
              <w:right w:val="nil"/>
            </w:tcBorders>
          </w:tcPr>
          <w:p w:rsidR="009333CB" w:rsidRPr="00A97D88" w:rsidRDefault="001B58DF" w:rsidP="00DF116D">
            <w:pP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602442" w:rsidRPr="00A97D88">
              <w:rPr>
                <w:rFonts w:ascii="Times New Roman" w:eastAsia="Times New Roman" w:hAnsi="Times New Roman" w:cs="Times New Roman"/>
                <w:sz w:val="24"/>
                <w:szCs w:val="24"/>
              </w:rPr>
              <w:t>s</w:t>
            </w:r>
          </w:p>
        </w:tc>
        <w:tc>
          <w:tcPr>
            <w:tcW w:w="99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single" w:sz="4" w:space="0" w:color="auto"/>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single" w:sz="4" w:space="0" w:color="auto"/>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D70B9D">
        <w:tc>
          <w:tcPr>
            <w:tcW w:w="1998" w:type="dxa"/>
            <w:tcBorders>
              <w:top w:val="single" w:sz="4" w:space="0" w:color="auto"/>
              <w:left w:val="nil"/>
              <w:bottom w:val="nil"/>
              <w:right w:val="nil"/>
            </w:tcBorders>
          </w:tcPr>
          <w:p w:rsidR="00ED31C6" w:rsidRPr="00A97D88" w:rsidRDefault="002B1EC6"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Cs w:val="24"/>
              </w:rPr>
              <w:t>Ro</w:t>
            </w:r>
            <w:r w:rsidR="00ED31C6" w:rsidRPr="00A97D88">
              <w:rPr>
                <w:rFonts w:ascii="Times New Roman" w:eastAsia="Times New Roman" w:hAnsi="Times New Roman" w:cs="Times New Roman"/>
                <w:b/>
                <w:szCs w:val="24"/>
              </w:rPr>
              <w:t>w Arrangement</w:t>
            </w: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0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r>
      <w:tr w:rsidR="0013614E" w:rsidRPr="00A97D88" w:rsidTr="00532083">
        <w:tc>
          <w:tcPr>
            <w:tcW w:w="1998" w:type="dxa"/>
            <w:tcBorders>
              <w:top w:val="nil"/>
              <w:left w:val="nil"/>
              <w:bottom w:val="nil"/>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81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20.0</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45.6</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70.3</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84.3</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ED31C6"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4.66</w:t>
            </w:r>
            <w:r w:rsidR="00874A52" w:rsidRPr="00A97D88">
              <w:rPr>
                <w:rFonts w:ascii="Times New Roman" w:eastAsia="Times New Roman" w:hAnsi="Times New Roman" w:cs="Times New Roman"/>
                <w:sz w:val="24"/>
                <w:szCs w:val="24"/>
                <w:vertAlign w:val="superscript"/>
              </w:rPr>
              <w:t>a</w:t>
            </w:r>
            <w:r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ED31C6" w:rsidRPr="00A97D88" w:rsidRDefault="00E663D5"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w:t>
            </w:r>
            <w:r w:rsidR="00E84B1C" w:rsidRPr="00A97D88">
              <w:rPr>
                <w:rFonts w:ascii="Times New Roman" w:eastAsia="Times New Roman" w:hAnsi="Times New Roman" w:cs="Times New Roman"/>
                <w:sz w:val="24"/>
                <w:szCs w:val="24"/>
              </w:rPr>
              <w:t>6</w:t>
            </w:r>
          </w:p>
        </w:tc>
      </w:tr>
      <w:tr w:rsidR="0013614E" w:rsidRPr="00A97D88" w:rsidTr="00532083">
        <w:tc>
          <w:tcPr>
            <w:tcW w:w="1998" w:type="dxa"/>
            <w:tcBorders>
              <w:top w:val="nil"/>
              <w:left w:val="nil"/>
              <w:bottom w:val="nil"/>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81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22.3</w:t>
            </w:r>
            <w:r w:rsidRPr="00A97D88">
              <w:rPr>
                <w:rFonts w:ascii="Times New Roman" w:eastAsia="Times New Roman" w:hAnsi="Times New Roman" w:cs="Times New Roman"/>
                <w:sz w:val="24"/>
                <w:szCs w:val="24"/>
                <w:vertAlign w:val="superscript"/>
              </w:rPr>
              <w:t>b</w:t>
            </w:r>
          </w:p>
        </w:tc>
        <w:tc>
          <w:tcPr>
            <w:tcW w:w="90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97.0</w:t>
            </w:r>
            <w:r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w:t>
            </w:r>
            <w:r w:rsidR="00874A52"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0.037</w:t>
            </w:r>
          </w:p>
        </w:tc>
      </w:tr>
      <w:tr w:rsidR="0013614E" w:rsidRPr="00A97D88" w:rsidTr="00D70B9D">
        <w:tc>
          <w:tcPr>
            <w:tcW w:w="1998" w:type="dxa"/>
            <w:tcBorders>
              <w:top w:val="nil"/>
              <w:left w:val="nil"/>
              <w:bottom w:val="single" w:sz="4" w:space="0" w:color="auto"/>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81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6.6</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24.3</w:t>
            </w:r>
            <w:r w:rsidRPr="00A97D88">
              <w:rPr>
                <w:rFonts w:ascii="Times New Roman" w:eastAsia="Times New Roman" w:hAnsi="Times New Roman" w:cs="Times New Roman"/>
                <w:sz w:val="24"/>
                <w:szCs w:val="24"/>
                <w:vertAlign w:val="superscript"/>
              </w:rPr>
              <w:t>a</w:t>
            </w:r>
          </w:p>
        </w:tc>
        <w:tc>
          <w:tcPr>
            <w:tcW w:w="90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81.8</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109.3</w:t>
            </w:r>
            <w:r w:rsidRPr="00A97D88">
              <w:rPr>
                <w:rFonts w:ascii="Times New Roman" w:eastAsia="Times New Roman" w:hAnsi="Times New Roman" w:cs="Times New Roman"/>
                <w:sz w:val="24"/>
                <w:szCs w:val="24"/>
                <w:vertAlign w:val="superscript"/>
              </w:rPr>
              <w:t>c</w:t>
            </w:r>
          </w:p>
        </w:tc>
        <w:tc>
          <w:tcPr>
            <w:tcW w:w="810" w:type="dxa"/>
            <w:tcBorders>
              <w:top w:val="nil"/>
              <w:left w:val="nil"/>
              <w:bottom w:val="single" w:sz="4" w:space="0" w:color="auto"/>
              <w:right w:val="nil"/>
            </w:tcBorders>
          </w:tcPr>
          <w:p w:rsidR="00ED31C6"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w:t>
            </w:r>
            <w:r w:rsidR="00DC3A96" w:rsidRPr="00A97D88">
              <w:rPr>
                <w:rFonts w:ascii="Times New Roman" w:eastAsia="Times New Roman" w:hAnsi="Times New Roman" w:cs="Times New Roman"/>
                <w:sz w:val="24"/>
                <w:szCs w:val="24"/>
                <w:vertAlign w:val="superscript"/>
              </w:rPr>
              <w:t>a</w:t>
            </w:r>
          </w:p>
        </w:tc>
        <w:tc>
          <w:tcPr>
            <w:tcW w:w="1260" w:type="dxa"/>
            <w:tcBorders>
              <w:top w:val="nil"/>
              <w:left w:val="nil"/>
              <w:bottom w:val="single" w:sz="4" w:space="0" w:color="auto"/>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13614E" w:rsidRPr="00A97D88" w:rsidTr="00D70B9D">
        <w:tc>
          <w:tcPr>
            <w:tcW w:w="1998" w:type="dxa"/>
            <w:tcBorders>
              <w:top w:val="single" w:sz="4" w:space="0" w:color="auto"/>
              <w:left w:val="nil"/>
              <w:bottom w:val="single" w:sz="4" w:space="0" w:color="auto"/>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81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r w:rsidR="0013614E" w:rsidRPr="00A97D88" w:rsidTr="00D70B9D">
        <w:tc>
          <w:tcPr>
            <w:tcW w:w="1998"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Cs w:val="24"/>
              </w:rPr>
              <w:t>Interaction Effect</w:t>
            </w: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0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Bonsa+c*1:1(T1)</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43</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77</w:t>
            </w:r>
            <w:r w:rsidRPr="00A97D88">
              <w:rPr>
                <w:rFonts w:ascii="Times New Roman" w:eastAsia="Times New Roman" w:hAnsi="Times New Roman" w:cs="Times New Roman"/>
                <w:sz w:val="24"/>
                <w:szCs w:val="24"/>
                <w:vertAlign w:val="superscript"/>
              </w:rPr>
              <w:t>e</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E663D5"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w:t>
            </w:r>
            <w:r w:rsidR="00727D49" w:rsidRPr="00A97D88">
              <w:rPr>
                <w:rFonts w:ascii="Times New Roman" w:eastAsia="Times New Roman" w:hAnsi="Times New Roman" w:cs="Times New Roman"/>
                <w:sz w:val="24"/>
                <w:szCs w:val="24"/>
              </w:rPr>
              <w:t>5</w:t>
            </w:r>
            <w:r w:rsidRPr="00A97D88">
              <w:rPr>
                <w:rFonts w:ascii="Times New Roman" w:eastAsia="Times New Roman" w:hAnsi="Times New Roman" w:cs="Times New Roman"/>
                <w:sz w:val="24"/>
                <w:szCs w:val="24"/>
              </w:rPr>
              <w:t>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Bonsa+c*1:2 (T2)</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75</w:t>
            </w:r>
            <w:r w:rsidRPr="00A97D88">
              <w:rPr>
                <w:rFonts w:ascii="Times New Roman" w:eastAsia="Times New Roman" w:hAnsi="Times New Roman" w:cs="Times New Roman"/>
                <w:sz w:val="24"/>
                <w:szCs w:val="24"/>
                <w:vertAlign w:val="superscript"/>
              </w:rPr>
              <w:t>f</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Bonsa+c*2:1 (T3)</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25</w:t>
            </w:r>
            <w:r w:rsidRPr="00A97D88">
              <w:rPr>
                <w:rFonts w:ascii="Times New Roman" w:eastAsia="Times New Roman" w:hAnsi="Times New Roman" w:cs="Times New Roman"/>
                <w:sz w:val="24"/>
                <w:szCs w:val="24"/>
                <w:vertAlign w:val="superscript"/>
              </w:rPr>
              <w:t>ab</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00727D49" w:rsidRPr="00A97D88">
              <w:rPr>
                <w:rFonts w:ascii="Times New Roman" w:eastAsia="Times New Roman" w:hAnsi="Times New Roman" w:cs="Times New Roman"/>
                <w:sz w:val="24"/>
                <w:szCs w:val="24"/>
              </w:rPr>
              <w:t>5</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Bareda+c*1:1 (T8)</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w:t>
            </w:r>
            <w:r w:rsidRPr="00A97D88">
              <w:rPr>
                <w:rFonts w:ascii="Times New Roman" w:eastAsia="Times New Roman" w:hAnsi="Times New Roman" w:cs="Times New Roman"/>
                <w:sz w:val="24"/>
                <w:szCs w:val="24"/>
                <w:vertAlign w:val="superscript"/>
              </w:rPr>
              <w:t>d</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100</w:t>
            </w:r>
            <w:r w:rsidRPr="00A97D88">
              <w:rPr>
                <w:rFonts w:ascii="Times New Roman" w:eastAsia="Times New Roman" w:hAnsi="Times New Roman" w:cs="Times New Roman"/>
                <w:sz w:val="24"/>
                <w:szCs w:val="24"/>
                <w:vertAlign w:val="superscript"/>
              </w:rPr>
              <w:t>d</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0.05</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Bareda +c*1:2 (T9)</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26</w:t>
            </w:r>
            <w:r w:rsidRPr="00A97D88">
              <w:rPr>
                <w:rFonts w:ascii="Times New Roman" w:eastAsia="Times New Roman" w:hAnsi="Times New Roman" w:cs="Times New Roman"/>
                <w:sz w:val="24"/>
                <w:szCs w:val="24"/>
                <w:vertAlign w:val="superscript"/>
              </w:rPr>
              <w:t>a</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0.037</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Bareda +c*2:1 (T7)</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w:t>
            </w:r>
            <w:r w:rsidRPr="00A97D88">
              <w:rPr>
                <w:rFonts w:ascii="Times New Roman" w:eastAsia="Times New Roman" w:hAnsi="Times New Roman" w:cs="Times New Roman"/>
                <w:sz w:val="24"/>
                <w:szCs w:val="24"/>
                <w:vertAlign w:val="superscript"/>
              </w:rPr>
              <w:t>bc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w:t>
            </w:r>
            <w:r w:rsidRPr="00A97D88">
              <w:rPr>
                <w:rFonts w:ascii="Times New Roman" w:eastAsia="Times New Roman" w:hAnsi="Times New Roman" w:cs="Times New Roman"/>
                <w:sz w:val="24"/>
                <w:szCs w:val="24"/>
                <w:vertAlign w:val="superscript"/>
              </w:rPr>
              <w:t>b</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Bate+C*1:1 (T5)</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42</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76</w:t>
            </w:r>
            <w:r w:rsidRPr="00A97D88">
              <w:rPr>
                <w:rFonts w:ascii="Times New Roman" w:eastAsia="Times New Roman" w:hAnsi="Times New Roman" w:cs="Times New Roman"/>
                <w:sz w:val="24"/>
                <w:szCs w:val="24"/>
                <w:vertAlign w:val="superscript"/>
              </w:rPr>
              <w:t>ef</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0.06</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Bate+C*1:2 (T6)</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48</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w:t>
            </w:r>
            <w:r w:rsidRPr="00A97D88">
              <w:rPr>
                <w:rFonts w:ascii="Times New Roman" w:eastAsia="Times New Roman" w:hAnsi="Times New Roman" w:cs="Times New Roman"/>
                <w:sz w:val="24"/>
                <w:szCs w:val="24"/>
                <w:vertAlign w:val="superscript"/>
              </w:rPr>
              <w:t>d</w:t>
            </w:r>
          </w:p>
        </w:tc>
        <w:tc>
          <w:tcPr>
            <w:tcW w:w="1080" w:type="dxa"/>
            <w:tcBorders>
              <w:top w:val="nil"/>
              <w:left w:val="nil"/>
              <w:bottom w:val="nil"/>
              <w:right w:val="nil"/>
            </w:tcBorders>
          </w:tcPr>
          <w:p w:rsidR="00662812" w:rsidRPr="00A97D88" w:rsidRDefault="00E81FDF"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00662812"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0.036</w:t>
            </w:r>
          </w:p>
        </w:tc>
      </w:tr>
      <w:tr w:rsidR="00662812" w:rsidRPr="00A97D88" w:rsidTr="00532083">
        <w:tc>
          <w:tcPr>
            <w:tcW w:w="1998"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0"/>
                <w:szCs w:val="24"/>
              </w:rPr>
            </w:pPr>
            <w:r w:rsidRPr="00A97D88">
              <w:rPr>
                <w:rFonts w:ascii="Times New Roman" w:hAnsi="Times New Roman" w:cs="Times New Roman"/>
                <w:b/>
                <w:sz w:val="20"/>
              </w:rPr>
              <w:t>Bate+C*2:1 (T4)</w:t>
            </w:r>
          </w:p>
        </w:tc>
        <w:tc>
          <w:tcPr>
            <w:tcW w:w="81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w:t>
            </w:r>
            <w:r w:rsidRPr="00A97D88">
              <w:rPr>
                <w:rFonts w:ascii="Times New Roman" w:eastAsia="Times New Roman" w:hAnsi="Times New Roman" w:cs="Times New Roman"/>
                <w:sz w:val="24"/>
                <w:szCs w:val="24"/>
                <w:vertAlign w:val="superscript"/>
              </w:rPr>
              <w:t>b</w:t>
            </w:r>
          </w:p>
        </w:tc>
        <w:tc>
          <w:tcPr>
            <w:tcW w:w="90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113</w:t>
            </w:r>
            <w:r w:rsidRPr="00A97D88">
              <w:rPr>
                <w:rFonts w:ascii="Times New Roman" w:eastAsia="Times New Roman" w:hAnsi="Times New Roman" w:cs="Times New Roman"/>
                <w:sz w:val="24"/>
                <w:szCs w:val="24"/>
                <w:vertAlign w:val="superscript"/>
              </w:rPr>
              <w:t>a</w:t>
            </w:r>
          </w:p>
        </w:tc>
        <w:tc>
          <w:tcPr>
            <w:tcW w:w="810" w:type="dxa"/>
            <w:tcBorders>
              <w:top w:val="nil"/>
              <w:left w:val="nil"/>
              <w:bottom w:val="single" w:sz="4" w:space="0" w:color="auto"/>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single" w:sz="4" w:space="0" w:color="auto"/>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13614E" w:rsidRPr="00A97D88" w:rsidTr="00532083">
        <w:tc>
          <w:tcPr>
            <w:tcW w:w="1998" w:type="dxa"/>
            <w:tcBorders>
              <w:top w:val="single" w:sz="4" w:space="0" w:color="auto"/>
              <w:left w:val="nil"/>
              <w:bottom w:val="single" w:sz="4" w:space="0" w:color="auto"/>
              <w:right w:val="nil"/>
            </w:tcBorders>
          </w:tcPr>
          <w:p w:rsidR="005546C2" w:rsidRPr="00A97D88" w:rsidRDefault="005546C2" w:rsidP="00DF116D">
            <w:pPr>
              <w:rPr>
                <w:rFonts w:ascii="Times New Roman" w:eastAsia="Times New Roman" w:hAnsi="Times New Roman" w:cs="Times New Roman"/>
                <w:sz w:val="24"/>
                <w:szCs w:val="24"/>
              </w:rPr>
            </w:pPr>
            <w:r w:rsidRPr="00A97D88">
              <w:rPr>
                <w:rFonts w:ascii="Times New Roman" w:hAnsi="Times New Roman" w:cs="Times New Roman"/>
              </w:rPr>
              <w:t>Mean</w:t>
            </w:r>
          </w:p>
        </w:tc>
        <w:tc>
          <w:tcPr>
            <w:tcW w:w="81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9.55</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22.2</w:t>
            </w:r>
          </w:p>
        </w:tc>
        <w:tc>
          <w:tcPr>
            <w:tcW w:w="90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52.72</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75</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96.8</w:t>
            </w:r>
          </w:p>
        </w:tc>
        <w:tc>
          <w:tcPr>
            <w:tcW w:w="81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4.4</w:t>
            </w:r>
          </w:p>
        </w:tc>
        <w:tc>
          <w:tcPr>
            <w:tcW w:w="1260" w:type="dxa"/>
            <w:tcBorders>
              <w:top w:val="single" w:sz="4" w:space="0" w:color="auto"/>
              <w:left w:val="nil"/>
              <w:bottom w:val="single" w:sz="4" w:space="0" w:color="auto"/>
              <w:right w:val="nil"/>
            </w:tcBorders>
          </w:tcPr>
          <w:p w:rsidR="005546C2" w:rsidRPr="00A97D88" w:rsidRDefault="00E2159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0.044</w:t>
            </w:r>
          </w:p>
        </w:tc>
      </w:tr>
      <w:tr w:rsidR="0013614E" w:rsidRPr="00A97D88" w:rsidTr="00532083">
        <w:tc>
          <w:tcPr>
            <w:tcW w:w="1998" w:type="dxa"/>
            <w:tcBorders>
              <w:top w:val="single" w:sz="4" w:space="0" w:color="auto"/>
              <w:left w:val="nil"/>
              <w:bottom w:val="single" w:sz="4" w:space="0" w:color="auto"/>
              <w:right w:val="nil"/>
            </w:tcBorders>
          </w:tcPr>
          <w:p w:rsidR="005546C2" w:rsidRPr="00A97D88" w:rsidRDefault="005546C2" w:rsidP="00DF116D">
            <w:pPr>
              <w:rPr>
                <w:rFonts w:ascii="Times New Roman" w:eastAsia="Times New Roman" w:hAnsi="Times New Roman" w:cs="Times New Roman"/>
                <w:sz w:val="24"/>
                <w:szCs w:val="24"/>
              </w:rPr>
            </w:pPr>
            <w:r w:rsidRPr="00A97D88">
              <w:rPr>
                <w:rFonts w:ascii="Times New Roman" w:hAnsi="Times New Roman" w:cs="Times New Roman"/>
              </w:rPr>
              <w:t>CV</w:t>
            </w:r>
          </w:p>
        </w:tc>
        <w:tc>
          <w:tcPr>
            <w:tcW w:w="81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16.89</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10.82</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3.75</w:t>
            </w:r>
          </w:p>
        </w:tc>
        <w:tc>
          <w:tcPr>
            <w:tcW w:w="90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1.44</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1.29</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1.04</w:t>
            </w:r>
          </w:p>
        </w:tc>
        <w:tc>
          <w:tcPr>
            <w:tcW w:w="81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23.4</w:t>
            </w:r>
          </w:p>
        </w:tc>
        <w:tc>
          <w:tcPr>
            <w:tcW w:w="126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24.9</w:t>
            </w:r>
          </w:p>
        </w:tc>
      </w:tr>
      <w:tr w:rsidR="00945E3C" w:rsidRPr="00A97D88" w:rsidTr="00532083">
        <w:tc>
          <w:tcPr>
            <w:tcW w:w="1998"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81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thickThinSmallGap" w:sz="24" w:space="0" w:color="auto"/>
              <w:right w:val="nil"/>
            </w:tcBorders>
          </w:tcPr>
          <w:p w:rsidR="00945E3C"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thickThinSmallGap" w:sz="24" w:space="0" w:color="auto"/>
              <w:right w:val="nil"/>
            </w:tcBorders>
          </w:tcPr>
          <w:p w:rsidR="00945E3C"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bl>
    <w:p w:rsidR="00801F32" w:rsidRDefault="00133329" w:rsidP="00133329">
      <w:pPr>
        <w:tabs>
          <w:tab w:val="left" w:pos="1575"/>
        </w:tabs>
        <w:jc w:val="both"/>
        <w:rPr>
          <w:rFonts w:ascii="Times New Roman" w:hAnsi="Times New Roman" w:cs="Times New Roman"/>
          <w:sz w:val="20"/>
          <w:szCs w:val="20"/>
        </w:rPr>
      </w:pPr>
      <w:r w:rsidRPr="00A97D88">
        <w:rPr>
          <w:rFonts w:ascii="Times New Roman" w:hAnsi="Times New Roman" w:cs="Times New Roman"/>
          <w:i/>
          <w:sz w:val="20"/>
          <w:szCs w:val="20"/>
          <w:vertAlign w:val="superscript"/>
        </w:rPr>
        <w:t>a,b,c</w:t>
      </w:r>
      <w:r w:rsidRPr="00A97D88">
        <w:rPr>
          <w:rFonts w:ascii="Times New Roman" w:hAnsi="Times New Roman" w:cs="Times New Roman"/>
          <w:i/>
          <w:sz w:val="20"/>
          <w:szCs w:val="20"/>
        </w:rPr>
        <w:t xml:space="preserve"> Mean in a column within the same category having different superscripts differ significantly (p&lt;0.05). 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1829BF" w:rsidRPr="00A97D88">
        <w:rPr>
          <w:rFonts w:ascii="Times New Roman" w:hAnsi="Times New Roman" w:cs="Times New Roman"/>
          <w:i/>
          <w:sz w:val="20"/>
          <w:szCs w:val="20"/>
        </w:rPr>
        <w:t>ns= None significant different</w:t>
      </w:r>
      <w:r w:rsidRPr="00A97D88">
        <w:rPr>
          <w:rFonts w:ascii="Times New Roman" w:hAnsi="Times New Roman" w:cs="Times New Roman"/>
          <w:b/>
          <w:i/>
          <w:sz w:val="20"/>
          <w:szCs w:val="20"/>
          <w:shd w:val="clear" w:color="auto" w:fill="FFFFFF"/>
        </w:rPr>
        <w:t xml:space="preserve">. </w:t>
      </w:r>
      <w:r w:rsidR="0074390D" w:rsidRPr="00A97D88">
        <w:rPr>
          <w:rFonts w:ascii="Times New Roman" w:hAnsi="Times New Roman" w:cs="Times New Roman"/>
          <w:i/>
          <w:sz w:val="20"/>
          <w:szCs w:val="20"/>
        </w:rPr>
        <w:t>T1= Bonsa + common vetch 1:1, T2= Bonsa + common vetch 1:2, T3= Bonsa + common vetch</w:t>
      </w:r>
      <w:r w:rsidR="002B6E91" w:rsidRPr="00A97D88">
        <w:rPr>
          <w:rFonts w:ascii="Times New Roman" w:hAnsi="Times New Roman" w:cs="Times New Roman"/>
          <w:i/>
          <w:sz w:val="20"/>
          <w:szCs w:val="20"/>
        </w:rPr>
        <w:t xml:space="preserve">   2:1, T4= Bate + common vetch</w:t>
      </w:r>
      <w:r w:rsidR="0074390D" w:rsidRPr="00A97D88">
        <w:rPr>
          <w:rFonts w:ascii="Times New Roman" w:hAnsi="Times New Roman" w:cs="Times New Roman"/>
          <w:i/>
          <w:sz w:val="20"/>
          <w:szCs w:val="20"/>
        </w:rPr>
        <w:t xml:space="preserve"> 2:1, T5= Bate + common vetch   1:1, T6=Bate + common vetch    1:</w:t>
      </w:r>
      <w:r w:rsidR="00CA56A3" w:rsidRPr="00A97D88">
        <w:rPr>
          <w:rFonts w:ascii="Times New Roman" w:hAnsi="Times New Roman" w:cs="Times New Roman"/>
          <w:i/>
          <w:sz w:val="20"/>
          <w:szCs w:val="20"/>
        </w:rPr>
        <w:t>2 T7= Bareda + common vetch</w:t>
      </w:r>
      <w:r w:rsidR="0074390D" w:rsidRPr="00A97D88">
        <w:rPr>
          <w:rFonts w:ascii="Times New Roman" w:hAnsi="Times New Roman" w:cs="Times New Roman"/>
          <w:i/>
          <w:sz w:val="20"/>
          <w:szCs w:val="20"/>
        </w:rPr>
        <w:t xml:space="preserve"> </w:t>
      </w:r>
      <w:r w:rsidR="00783501" w:rsidRPr="00A97D88">
        <w:rPr>
          <w:rFonts w:ascii="Times New Roman" w:hAnsi="Times New Roman" w:cs="Times New Roman"/>
          <w:i/>
          <w:sz w:val="20"/>
          <w:szCs w:val="20"/>
        </w:rPr>
        <w:t xml:space="preserve">2:1, T8= Bareda + common vetch </w:t>
      </w:r>
      <w:r w:rsidR="0074390D" w:rsidRPr="00A97D88">
        <w:rPr>
          <w:rFonts w:ascii="Times New Roman" w:hAnsi="Times New Roman" w:cs="Times New Roman"/>
          <w:i/>
          <w:sz w:val="20"/>
          <w:szCs w:val="20"/>
        </w:rPr>
        <w:t>1:1, T9</w:t>
      </w:r>
      <w:r w:rsidR="0016481D" w:rsidRPr="00A97D88">
        <w:rPr>
          <w:rFonts w:ascii="Times New Roman" w:hAnsi="Times New Roman" w:cs="Times New Roman"/>
          <w:i/>
          <w:sz w:val="20"/>
          <w:szCs w:val="20"/>
        </w:rPr>
        <w:t>= Bareda</w:t>
      </w:r>
      <w:r w:rsidR="0074390D" w:rsidRPr="00A97D88">
        <w:rPr>
          <w:rFonts w:ascii="Times New Roman" w:hAnsi="Times New Roman" w:cs="Times New Roman"/>
          <w:i/>
          <w:sz w:val="20"/>
          <w:szCs w:val="20"/>
        </w:rPr>
        <w:t xml:space="preserve"> + common vetch   1:2</w:t>
      </w:r>
      <w:r w:rsidR="0074390D" w:rsidRPr="00A97D88">
        <w:rPr>
          <w:rFonts w:ascii="Times New Roman" w:hAnsi="Times New Roman" w:cs="Times New Roman"/>
          <w:sz w:val="20"/>
          <w:szCs w:val="20"/>
        </w:rPr>
        <w:t xml:space="preserve">, </w:t>
      </w:r>
    </w:p>
    <w:p w:rsidR="00D6313F" w:rsidRPr="003831F6" w:rsidRDefault="004E041C" w:rsidP="003831F6">
      <w:pPr>
        <w:spacing w:line="360" w:lineRule="auto"/>
        <w:jc w:val="both"/>
        <w:rPr>
          <w:rFonts w:ascii="Times New Roman" w:hAnsi="Times New Roman" w:cs="Times New Roman"/>
          <w:sz w:val="24"/>
        </w:rPr>
      </w:pPr>
      <w:r w:rsidRPr="004E041C">
        <w:rPr>
          <w:rFonts w:ascii="Times New Roman" w:hAnsi="Times New Roman" w:cs="Times New Roman"/>
          <w:sz w:val="24"/>
        </w:rPr>
        <w:t>Methane production (ml/200g DM) and concentration (ml/total gas volume) at 72 hours differed significantly (p &lt; 0.05) among row arrangement treatments. Methane production ranged from 3.0 to 5.0 ml/200g DM across treatments. The 2:1 (</w:t>
      </w:r>
      <w:r w:rsidR="00B0363A" w:rsidRPr="004E041C">
        <w:rPr>
          <w:rFonts w:ascii="Times New Roman" w:hAnsi="Times New Roman" w:cs="Times New Roman"/>
          <w:sz w:val="24"/>
        </w:rPr>
        <w:t>oat: vetch</w:t>
      </w:r>
      <w:r w:rsidRPr="004E041C">
        <w:rPr>
          <w:rFonts w:ascii="Times New Roman" w:hAnsi="Times New Roman" w:cs="Times New Roman"/>
          <w:sz w:val="24"/>
        </w:rPr>
        <w:t>) ratio produced the highest methane (5.0 ml), while the 1:2 rat</w:t>
      </w:r>
      <w:r w:rsidR="00DB1526">
        <w:rPr>
          <w:rFonts w:ascii="Times New Roman" w:hAnsi="Times New Roman" w:cs="Times New Roman"/>
          <w:sz w:val="24"/>
        </w:rPr>
        <w:t xml:space="preserve">io produced the lowest (3.6 ml) </w:t>
      </w:r>
      <w:r w:rsidRPr="004E041C">
        <w:rPr>
          <w:rFonts w:ascii="Times New Roman" w:hAnsi="Times New Roman" w:cs="Times New Roman"/>
          <w:sz w:val="24"/>
        </w:rPr>
        <w:t>a 28% reduction.</w:t>
      </w:r>
      <w:r>
        <w:rPr>
          <w:rFonts w:ascii="Times New Roman" w:hAnsi="Times New Roman" w:cs="Times New Roman"/>
          <w:sz w:val="24"/>
        </w:rPr>
        <w:t xml:space="preserve"> </w:t>
      </w:r>
      <w:r w:rsidRPr="004E041C">
        <w:rPr>
          <w:rFonts w:ascii="Times New Roman" w:hAnsi="Times New Roman" w:cs="Times New Roman"/>
          <w:sz w:val="24"/>
        </w:rPr>
        <w:t xml:space="preserve">The CH₄-to-total gas ratio ranged from 0.03 to 0.06 ml. The 1:2 row </w:t>
      </w:r>
      <w:r w:rsidR="00DB1526" w:rsidRPr="004E041C">
        <w:rPr>
          <w:rFonts w:ascii="Times New Roman" w:hAnsi="Times New Roman" w:cs="Times New Roman"/>
          <w:sz w:val="24"/>
        </w:rPr>
        <w:t>arrangements</w:t>
      </w:r>
      <w:r w:rsidRPr="004E041C">
        <w:rPr>
          <w:rFonts w:ascii="Times New Roman" w:hAnsi="Times New Roman" w:cs="Times New Roman"/>
          <w:sz w:val="24"/>
        </w:rPr>
        <w:t xml:space="preserve"> showed a lower CH₄-to-total gas ratio compared to the 2:1 arrangement, indicating reduced methanogenic activity per unit of degraded substrate.</w:t>
      </w:r>
      <w:r>
        <w:rPr>
          <w:rFonts w:ascii="Times New Roman" w:hAnsi="Times New Roman" w:cs="Times New Roman"/>
          <w:sz w:val="24"/>
        </w:rPr>
        <w:t xml:space="preserve"> </w:t>
      </w:r>
      <w:r w:rsidRPr="004E041C">
        <w:rPr>
          <w:rFonts w:ascii="Times New Roman" w:hAnsi="Times New Roman" w:cs="Times New Roman"/>
          <w:sz w:val="24"/>
        </w:rPr>
        <w:t xml:space="preserve">The methane values (3.0-5.0 ml/200g DM) were comparable to findings by </w:t>
      </w:r>
      <w:r w:rsidR="000D6068">
        <w:rPr>
          <w:rFonts w:ascii="Times New Roman" w:hAnsi="Times New Roman" w:cs="Times New Roman"/>
          <w:sz w:val="24"/>
        </w:rPr>
        <w:fldChar w:fldCharType="begin"/>
      </w:r>
      <w:r w:rsidR="00B0363A">
        <w:rPr>
          <w:rFonts w:ascii="Times New Roman" w:hAnsi="Times New Roman" w:cs="Times New Roman"/>
          <w:sz w:val="24"/>
        </w:rPr>
        <w:instrText xml:space="preserve"> ADDIN EN.CITE &lt;EndNote&gt;&lt;Cite AuthorYear="1"&gt;&lt;Author&gt;Andualem&lt;/Author&gt;&lt;Year&gt;2022&lt;/Year&gt;&lt;RecNum&gt;107&lt;/RecNum&gt;&lt;DisplayText&gt;Andualem and Hundessa (2022)&lt;/DisplayText&gt;&lt;record&gt;&lt;rec-number&gt;107&lt;/rec-number&gt;&lt;foreign-keys&gt;&lt;key app="EN" db-id="5ee0etwro2xdtheaap2xr5f6dpxvrsx2v0t5"&gt;107&lt;/key&gt;&lt;/foreign-keys&gt;&lt;ref-type name="Journal Article"&gt;17&lt;/ref-type&gt;&lt;contributors&gt;&lt;authors&gt;&lt;author&gt;Andualem, Dereje&lt;/author&gt;&lt;author&gt;Hundessa, Melaku&lt;/author&gt;&lt;/authors&gt;&lt;/contributors&gt;&lt;titles&gt;&lt;title&gt;Nutritive value of Guatemala grass (Tripsacum andersonii) harvested at three stages of maturity in Gedeo agroforestry systems, Southern Ethiopia&lt;/title&gt;&lt;/titles&gt;&lt;dates&gt;&lt;year&gt;2022&lt;/year&gt;&lt;/dates&gt;&lt;urls&gt;&lt;/urls&gt;&lt;/record&gt;&lt;/Cite&gt;&lt;/EndNote&gt;</w:instrText>
      </w:r>
      <w:r w:rsidR="000D6068">
        <w:rPr>
          <w:rFonts w:ascii="Times New Roman" w:hAnsi="Times New Roman" w:cs="Times New Roman"/>
          <w:sz w:val="24"/>
        </w:rPr>
        <w:fldChar w:fldCharType="separate"/>
      </w:r>
      <w:hyperlink w:anchor="_ENREF_6" w:tooltip="Andualem, 2022 #107" w:history="1">
        <w:r w:rsidR="00BC4E2E">
          <w:rPr>
            <w:rFonts w:ascii="Times New Roman" w:hAnsi="Times New Roman" w:cs="Times New Roman"/>
            <w:noProof/>
            <w:sz w:val="24"/>
          </w:rPr>
          <w:t>Andualem and Hundessa (2022</w:t>
        </w:r>
      </w:hyperlink>
      <w:r w:rsidR="00B0363A">
        <w:rPr>
          <w:rFonts w:ascii="Times New Roman" w:hAnsi="Times New Roman" w:cs="Times New Roman"/>
          <w:noProof/>
          <w:sz w:val="24"/>
        </w:rPr>
        <w:t>)</w:t>
      </w:r>
      <w:r w:rsidR="000D6068">
        <w:rPr>
          <w:rFonts w:ascii="Times New Roman" w:hAnsi="Times New Roman" w:cs="Times New Roman"/>
          <w:sz w:val="24"/>
        </w:rPr>
        <w:fldChar w:fldCharType="end"/>
      </w:r>
      <w:r w:rsidR="00B0363A">
        <w:rPr>
          <w:rFonts w:ascii="Times New Roman" w:hAnsi="Times New Roman" w:cs="Times New Roman"/>
          <w:sz w:val="24"/>
        </w:rPr>
        <w:t xml:space="preserve">, </w:t>
      </w:r>
      <w:r w:rsidRPr="004E041C">
        <w:rPr>
          <w:rFonts w:ascii="Times New Roman" w:hAnsi="Times New Roman" w:cs="Times New Roman"/>
          <w:sz w:val="24"/>
        </w:rPr>
        <w:t>who reported 5.50 ml for indigenous legume fodder in semi-humid southern Ethiopia, but substantially lower than the 11.45 ml/200g DM reported for leguminous fodder in Sidama region mild altitudes.</w:t>
      </w:r>
      <w:bookmarkStart w:id="33" w:name="_Toc174366278"/>
      <w:bookmarkStart w:id="34" w:name="_Toc174453906"/>
      <w:bookmarkStart w:id="35" w:name="_Toc175056590"/>
      <w:bookmarkStart w:id="36" w:name="_Toc175293636"/>
      <w:bookmarkStart w:id="37" w:name="_Toc175509790"/>
      <w:bookmarkStart w:id="38" w:name="_Toc175994597"/>
      <w:bookmarkStart w:id="39" w:name="_Toc176248857"/>
      <w:bookmarkStart w:id="40" w:name="_Toc176253698"/>
      <w:bookmarkStart w:id="41" w:name="_Toc176613400"/>
      <w:bookmarkStart w:id="42" w:name="_Toc176987020"/>
      <w:bookmarkStart w:id="43" w:name="_Toc179016656"/>
    </w:p>
    <w:bookmarkEnd w:id="33"/>
    <w:bookmarkEnd w:id="34"/>
    <w:bookmarkEnd w:id="35"/>
    <w:bookmarkEnd w:id="36"/>
    <w:bookmarkEnd w:id="37"/>
    <w:bookmarkEnd w:id="38"/>
    <w:bookmarkEnd w:id="39"/>
    <w:bookmarkEnd w:id="40"/>
    <w:bookmarkEnd w:id="41"/>
    <w:bookmarkEnd w:id="42"/>
    <w:bookmarkEnd w:id="43"/>
    <w:p w:rsidR="00D6313F" w:rsidRDefault="00D6313F" w:rsidP="00206551">
      <w:pPr>
        <w:jc w:val="both"/>
        <w:rPr>
          <w:rFonts w:ascii="Times New Roman" w:hAnsi="Times New Roman" w:cs="Times New Roman"/>
        </w:rPr>
      </w:pPr>
    </w:p>
    <w:p w:rsidR="00E65A95" w:rsidRDefault="00E65A95" w:rsidP="00206551">
      <w:pPr>
        <w:jc w:val="both"/>
        <w:rPr>
          <w:rFonts w:ascii="Times New Roman" w:hAnsi="Times New Roman" w:cs="Times New Roman"/>
        </w:rPr>
      </w:pPr>
    </w:p>
    <w:p w:rsidR="00E65A95" w:rsidRDefault="00E65A95" w:rsidP="00206551">
      <w:pPr>
        <w:jc w:val="both"/>
        <w:rPr>
          <w:rFonts w:ascii="Times New Roman" w:hAnsi="Times New Roman" w:cs="Times New Roman"/>
        </w:rPr>
      </w:pPr>
    </w:p>
    <w:p w:rsidR="00D6313F" w:rsidRDefault="00621250" w:rsidP="00206551">
      <w:pPr>
        <w:jc w:val="both"/>
        <w:rPr>
          <w:rFonts w:ascii="Times New Roman" w:hAnsi="Times New Roman" w:cs="Times New Roman"/>
        </w:rPr>
      </w:pPr>
      <w:r>
        <w:rPr>
          <w:noProof/>
        </w:rPr>
        <w:drawing>
          <wp:anchor distT="0" distB="0" distL="114300" distR="114300" simplePos="0" relativeHeight="251685888" behindDoc="0" locked="0" layoutInCell="1" allowOverlap="1">
            <wp:simplePos x="0" y="0"/>
            <wp:positionH relativeFrom="column">
              <wp:posOffset>-9525</wp:posOffset>
            </wp:positionH>
            <wp:positionV relativeFrom="paragraph">
              <wp:posOffset>-581025</wp:posOffset>
            </wp:positionV>
            <wp:extent cx="5514975" cy="274320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9420" cy="2745411"/>
                    </a:xfrm>
                    <a:prstGeom prst="rect">
                      <a:avLst/>
                    </a:prstGeom>
                  </pic:spPr>
                </pic:pic>
              </a:graphicData>
            </a:graphic>
          </wp:anchor>
        </w:drawing>
      </w: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2931E1" w:rsidRDefault="002931E1" w:rsidP="00206551">
      <w:pPr>
        <w:jc w:val="both"/>
        <w:rPr>
          <w:rFonts w:ascii="Times New Roman" w:hAnsi="Times New Roman" w:cs="Times New Roman"/>
        </w:rPr>
      </w:pPr>
    </w:p>
    <w:p w:rsidR="002931E1" w:rsidRDefault="002931E1" w:rsidP="00206551">
      <w:pPr>
        <w:jc w:val="both"/>
        <w:rPr>
          <w:rFonts w:ascii="Times New Roman" w:hAnsi="Times New Roman" w:cs="Times New Roman"/>
        </w:rPr>
      </w:pPr>
    </w:p>
    <w:p w:rsidR="007C36F6" w:rsidRPr="006A1434" w:rsidRDefault="00C06CA0" w:rsidP="006A1434">
      <w:pPr>
        <w:pStyle w:val="Caption"/>
        <w:rPr>
          <w:b w:val="0"/>
          <w:sz w:val="22"/>
        </w:rPr>
      </w:pPr>
      <w:bookmarkStart w:id="44" w:name="_Toc187696853"/>
      <w:r w:rsidRPr="006A1434">
        <w:rPr>
          <w:b w:val="0"/>
          <w:sz w:val="22"/>
        </w:rPr>
        <w:t xml:space="preserve">Figure </w:t>
      </w:r>
      <w:r w:rsidR="001B58DF">
        <w:rPr>
          <w:b w:val="0"/>
          <w:sz w:val="22"/>
        </w:rPr>
        <w:t>5</w:t>
      </w:r>
      <w:r w:rsidR="006A1434" w:rsidRPr="006A1434">
        <w:rPr>
          <w:b w:val="0"/>
          <w:sz w:val="22"/>
        </w:rPr>
        <w:t xml:space="preserve">: In </w:t>
      </w:r>
      <w:r w:rsidRPr="006A1434">
        <w:rPr>
          <w:b w:val="0"/>
          <w:sz w:val="22"/>
        </w:rPr>
        <w:t xml:space="preserve">vitro total gas production from forage intercropping </w:t>
      </w:r>
      <w:r w:rsidR="006A1434" w:rsidRPr="006A1434">
        <w:rPr>
          <w:b w:val="0"/>
          <w:sz w:val="22"/>
        </w:rPr>
        <w:t>under</w:t>
      </w:r>
      <w:r w:rsidRPr="006A1434">
        <w:rPr>
          <w:b w:val="0"/>
          <w:sz w:val="22"/>
        </w:rPr>
        <w:t xml:space="preserve"> different row arrangement</w:t>
      </w:r>
      <w:r w:rsidR="006A1434" w:rsidRPr="006A1434">
        <w:rPr>
          <w:b w:val="0"/>
          <w:sz w:val="22"/>
        </w:rPr>
        <w:t>s</w:t>
      </w:r>
      <w:bookmarkEnd w:id="44"/>
    </w:p>
    <w:p w:rsidR="00144D52" w:rsidRPr="00A97D88" w:rsidRDefault="00BB4DA5" w:rsidP="00026335">
      <w:pPr>
        <w:pStyle w:val="Heading2"/>
        <w:spacing w:after="240"/>
        <w:jc w:val="both"/>
        <w:rPr>
          <w:rFonts w:ascii="Times New Roman" w:hAnsi="Times New Roman" w:cs="Times New Roman"/>
          <w:color w:val="auto"/>
          <w:sz w:val="24"/>
        </w:rPr>
      </w:pPr>
      <w:bookmarkStart w:id="45" w:name="_Toc184070864"/>
      <w:r w:rsidRPr="00A97D88">
        <w:rPr>
          <w:rFonts w:ascii="Times New Roman" w:hAnsi="Times New Roman" w:cs="Times New Roman"/>
          <w:color w:val="auto"/>
        </w:rPr>
        <w:t>Effect of intercropping and row arrangements of oat varieties with vetch on g</w:t>
      </w:r>
      <w:r w:rsidR="007C502C" w:rsidRPr="00A97D88">
        <w:rPr>
          <w:rFonts w:ascii="Times New Roman" w:hAnsi="Times New Roman" w:cs="Times New Roman"/>
          <w:color w:val="auto"/>
        </w:rPr>
        <w:t>as production characteristics</w:t>
      </w:r>
      <w:bookmarkEnd w:id="45"/>
    </w:p>
    <w:p w:rsidR="00DA5519" w:rsidRPr="00152478" w:rsidRDefault="00152478" w:rsidP="00760469">
      <w:pPr>
        <w:spacing w:after="0" w:line="360" w:lineRule="auto"/>
        <w:jc w:val="both"/>
        <w:rPr>
          <w:rFonts w:ascii="Times New Roman" w:eastAsia="Times New Roman" w:hAnsi="Times New Roman" w:cs="Times New Roman"/>
          <w:sz w:val="24"/>
          <w:szCs w:val="24"/>
        </w:rPr>
      </w:pPr>
      <w:r w:rsidRPr="00152478">
        <w:rPr>
          <w:rFonts w:ascii="Times New Roman" w:hAnsi="Times New Roman" w:cs="Times New Roman"/>
          <w:sz w:val="24"/>
          <w:szCs w:val="24"/>
          <w:shd w:val="clear" w:color="auto" w:fill="FFFFFF"/>
        </w:rPr>
        <w:t>Gas production parameters</w:t>
      </w:r>
      <w:r w:rsidR="00DB1526">
        <w:rPr>
          <w:rFonts w:ascii="Times New Roman" w:hAnsi="Times New Roman" w:cs="Times New Roman"/>
          <w:sz w:val="24"/>
          <w:szCs w:val="24"/>
          <w:shd w:val="clear" w:color="auto" w:fill="FFFFFF"/>
        </w:rPr>
        <w:t xml:space="preserve"> </w:t>
      </w:r>
      <w:r w:rsidRPr="00152478">
        <w:rPr>
          <w:rFonts w:ascii="Times New Roman" w:hAnsi="Times New Roman" w:cs="Times New Roman"/>
          <w:sz w:val="24"/>
          <w:szCs w:val="24"/>
          <w:shd w:val="clear" w:color="auto" w:fill="FFFFFF"/>
        </w:rPr>
        <w:t>immediately soluble fraction (a), insoluble but degradable fraction (b), rate constant (c), potential gas prod</w:t>
      </w:r>
      <w:r w:rsidR="00B0363A">
        <w:rPr>
          <w:rFonts w:ascii="Times New Roman" w:hAnsi="Times New Roman" w:cs="Times New Roman"/>
          <w:sz w:val="24"/>
          <w:szCs w:val="24"/>
          <w:shd w:val="clear" w:color="auto" w:fill="FFFFFF"/>
        </w:rPr>
        <w:t xml:space="preserve">uction (a+b), and lag time (LT) </w:t>
      </w:r>
      <w:r w:rsidRPr="00152478">
        <w:rPr>
          <w:rFonts w:ascii="Times New Roman" w:hAnsi="Times New Roman" w:cs="Times New Roman"/>
          <w:sz w:val="24"/>
          <w:szCs w:val="24"/>
          <w:shd w:val="clear" w:color="auto" w:fill="FFFFFF"/>
        </w:rPr>
        <w:t xml:space="preserve">differed significantly (p &lt; 0.05) among intercropping treatments. The mean soluble fraction across treatments was 40.84 ml. </w:t>
      </w:r>
      <w:r w:rsidR="00DB1526" w:rsidRPr="00152478">
        <w:rPr>
          <w:rFonts w:ascii="Times New Roman" w:hAnsi="Times New Roman" w:cs="Times New Roman"/>
          <w:sz w:val="24"/>
          <w:szCs w:val="24"/>
          <w:shd w:val="clear" w:color="auto" w:fill="FFFFFF"/>
        </w:rPr>
        <w:t>higher</w:t>
      </w:r>
      <w:r w:rsidRPr="00152478">
        <w:rPr>
          <w:rFonts w:ascii="Times New Roman" w:hAnsi="Times New Roman" w:cs="Times New Roman"/>
          <w:sz w:val="24"/>
          <w:szCs w:val="24"/>
          <w:shd w:val="clear" w:color="auto" w:fill="FFFFFF"/>
        </w:rPr>
        <w:t xml:space="preserve"> vetch proportions (T4, 1:2 ratio) increased the insoluble degradable fraction by 78% compared to lower vetch treatments (T2), corresponding with 12.3% higher IVOMD and 28% lower methane emissions</w:t>
      </w:r>
      <w:r>
        <w:rPr>
          <w:rFonts w:ascii="Times New Roman" w:eastAsia="Times New Roman" w:hAnsi="Times New Roman" w:cs="Times New Roman"/>
          <w:sz w:val="24"/>
          <w:szCs w:val="24"/>
        </w:rPr>
        <w:t xml:space="preserve">. </w:t>
      </w:r>
      <w:r w:rsidR="00760469" w:rsidRPr="00A97D88">
        <w:rPr>
          <w:rFonts w:ascii="Times New Roman" w:eastAsia="Times New Roman" w:hAnsi="Times New Roman" w:cs="Times New Roman"/>
          <w:sz w:val="24"/>
          <w:szCs w:val="24"/>
        </w:rPr>
        <w:t xml:space="preserve"> </w:t>
      </w:r>
      <w:r w:rsidR="00474E0C" w:rsidRPr="00A97D88">
        <w:rPr>
          <w:rFonts w:ascii="Times New Roman" w:hAnsi="Times New Roman" w:cs="Times New Roman"/>
          <w:sz w:val="24"/>
          <w:szCs w:val="24"/>
        </w:rPr>
        <w:t>Additionally, the inclusion of comm</w:t>
      </w:r>
      <w:r w:rsidR="00EB0409" w:rsidRPr="00A97D88">
        <w:rPr>
          <w:rFonts w:ascii="Times New Roman" w:hAnsi="Times New Roman" w:cs="Times New Roman"/>
          <w:sz w:val="24"/>
          <w:szCs w:val="24"/>
        </w:rPr>
        <w:t>on vetch in the mixture promoted</w:t>
      </w:r>
      <w:r w:rsidR="00474E0C" w:rsidRPr="00A97D88">
        <w:rPr>
          <w:rFonts w:ascii="Times New Roman" w:hAnsi="Times New Roman" w:cs="Times New Roman"/>
          <w:sz w:val="24"/>
          <w:szCs w:val="24"/>
        </w:rPr>
        <w:t xml:space="preserve"> biological nitrogen fixation, increasing nitrogen uptake efficiency and reducing the need for synthetic fertilizers, which are known to contribute to methane emissions</w:t>
      </w:r>
      <w:r w:rsidR="00446AA8"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446AA8" w:rsidRPr="00A97D88">
        <w:rPr>
          <w:rFonts w:ascii="Times New Roman" w:hAnsi="Times New Roman" w:cs="Times New Roman"/>
          <w:sz w:val="24"/>
          <w:szCs w:val="24"/>
        </w:rPr>
        <w:instrText xml:space="preserve"> ADDIN EN.CITE &lt;EndNote&gt;&lt;Cite&gt;&lt;Author&gt;Zhong&lt;/Author&gt;&lt;Year&gt;2021&lt;/Year&gt;&lt;RecNum&gt;73&lt;/RecNum&gt;&lt;DisplayText&gt;(Zhong&lt;style face="italic"&gt; et al.&lt;/style&gt;, 2021)&lt;/DisplayText&gt;&lt;record&gt;&lt;rec-number&gt;73&lt;/rec-number&gt;&lt;foreign-keys&gt;&lt;key app="EN" db-id="02revdrtyv2dekeeewuvap2se2zsd9t5xdew"&gt;73&lt;/key&gt;&lt;/foreign-keys&gt;&lt;ref-type name="Journal Article"&gt;17&lt;/ref-type&gt;&lt;contributors&gt;&lt;authors&gt;&lt;author&gt;Zhong, Chuan&lt;/author&gt;&lt;author&gt;Liu, Ying&lt;/author&gt;&lt;author&gt;Xu, Xintong&lt;/author&gt;&lt;author&gt;Yang, Binjuan&lt;/author&gt;&lt;author&gt;Aamer, Muhammad&lt;/author&gt;&lt;author&gt;Zhang, Peng&lt;/author&gt;&lt;author&gt;Huang, Guoqin&lt;/author&gt;&lt;/authors&gt;&lt;/contributors&gt;&lt;titles&gt;&lt;title&gt;Paddy-upland rotation with Chinese milk vetch incorporation reduced the global warming potential and greenhouse gas emissions intensity of double rice cropping system&lt;/title&gt;&lt;secondary-title&gt;Environmental Pollution&lt;/secondary-title&gt;&lt;/titles&gt;&lt;periodical&gt;&lt;full-title&gt;Environmental Pollution&lt;/full-title&gt;&lt;/periodical&gt;&lt;pages&gt;116696&lt;/pages&gt;&lt;volume&gt;276&lt;/volume&gt;&lt;dates&gt;&lt;year&gt;2021&lt;/year&gt;&lt;/dates&gt;&lt;isbn&gt;0269-7491&lt;/isbn&gt;&lt;urls&gt;&lt;/urls&gt;&lt;/record&gt;&lt;/Cite&gt;&lt;/EndNote&gt;</w:instrText>
      </w:r>
      <w:r w:rsidR="000D6068" w:rsidRPr="00A97D88">
        <w:rPr>
          <w:rFonts w:ascii="Times New Roman" w:hAnsi="Times New Roman" w:cs="Times New Roman"/>
          <w:sz w:val="24"/>
          <w:szCs w:val="24"/>
        </w:rPr>
        <w:fldChar w:fldCharType="separate"/>
      </w:r>
      <w:r w:rsidR="00446AA8" w:rsidRPr="00A97D88">
        <w:rPr>
          <w:rFonts w:ascii="Times New Roman" w:hAnsi="Times New Roman" w:cs="Times New Roman"/>
          <w:sz w:val="24"/>
          <w:szCs w:val="24"/>
        </w:rPr>
        <w:t>(</w:t>
      </w:r>
      <w:hyperlink w:anchor="_ENREF_73" w:tooltip="Zhong, 2021 #73" w:history="1">
        <w:r w:rsidR="00BC4E2E" w:rsidRPr="00A97D88">
          <w:rPr>
            <w:rFonts w:ascii="Times New Roman" w:hAnsi="Times New Roman" w:cs="Times New Roman"/>
            <w:sz w:val="24"/>
            <w:szCs w:val="24"/>
          </w:rPr>
          <w:t xml:space="preserve">Zhong </w:t>
        </w:r>
        <w:r w:rsidR="00BC4E2E" w:rsidRPr="008264AA">
          <w:rPr>
            <w:rFonts w:ascii="Times New Roman" w:hAnsi="Times New Roman" w:cs="Times New Roman"/>
            <w:i/>
            <w:sz w:val="24"/>
            <w:szCs w:val="24"/>
          </w:rPr>
          <w:t>et al.,</w:t>
        </w:r>
        <w:r w:rsidR="00BC4E2E" w:rsidRPr="00A97D88">
          <w:rPr>
            <w:rFonts w:ascii="Times New Roman" w:hAnsi="Times New Roman" w:cs="Times New Roman"/>
            <w:sz w:val="24"/>
            <w:szCs w:val="24"/>
          </w:rPr>
          <w:t xml:space="preserve"> 2021</w:t>
        </w:r>
      </w:hyperlink>
      <w:r w:rsidR="00446AA8"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474E0C" w:rsidRPr="00A97D88">
        <w:rPr>
          <w:rFonts w:ascii="Times New Roman" w:hAnsi="Times New Roman" w:cs="Times New Roman"/>
          <w:sz w:val="24"/>
          <w:szCs w:val="24"/>
        </w:rPr>
        <w:t xml:space="preserve">. </w:t>
      </w:r>
      <w:r w:rsidR="00FC5426" w:rsidRPr="00A97D88">
        <w:rPr>
          <w:rFonts w:ascii="Times New Roman" w:hAnsi="Times New Roman" w:cs="Times New Roman"/>
          <w:sz w:val="24"/>
          <w:szCs w:val="24"/>
        </w:rPr>
        <w:t>The i</w:t>
      </w:r>
      <w:r w:rsidR="00474E0C" w:rsidRPr="00A97D88">
        <w:rPr>
          <w:rFonts w:ascii="Times New Roman" w:hAnsi="Times New Roman" w:cs="Times New Roman"/>
          <w:sz w:val="24"/>
          <w:szCs w:val="24"/>
        </w:rPr>
        <w:t>ntercropping system increase</w:t>
      </w:r>
      <w:r w:rsidR="00EB0409" w:rsidRPr="00A97D88">
        <w:rPr>
          <w:rFonts w:ascii="Times New Roman" w:hAnsi="Times New Roman" w:cs="Times New Roman"/>
          <w:sz w:val="24"/>
          <w:szCs w:val="24"/>
        </w:rPr>
        <w:t>d</w:t>
      </w:r>
      <w:r w:rsidR="00474E0C" w:rsidRPr="00A97D88">
        <w:rPr>
          <w:rFonts w:ascii="Times New Roman" w:hAnsi="Times New Roman" w:cs="Times New Roman"/>
          <w:sz w:val="24"/>
          <w:szCs w:val="24"/>
        </w:rPr>
        <w:t xml:space="preserve"> the protein content and digestibility of the forage, making it more palatable and nutritious for livestock</w:t>
      </w:r>
      <w:r w:rsidR="00446AA8" w:rsidRPr="00A97D88">
        <w:rPr>
          <w:rFonts w:ascii="Times New Roman" w:hAnsi="Times New Roman" w:cs="Times New Roman"/>
          <w:sz w:val="24"/>
          <w:szCs w:val="24"/>
        </w:rPr>
        <w:t>, protect</w:t>
      </w:r>
      <w:r w:rsidR="00EB0409" w:rsidRPr="00A97D88">
        <w:rPr>
          <w:rFonts w:ascii="Times New Roman" w:hAnsi="Times New Roman" w:cs="Times New Roman"/>
          <w:sz w:val="24"/>
          <w:szCs w:val="24"/>
        </w:rPr>
        <w:t>ing</w:t>
      </w:r>
      <w:r w:rsidR="00446AA8" w:rsidRPr="00A97D88">
        <w:rPr>
          <w:rFonts w:ascii="Times New Roman" w:hAnsi="Times New Roman" w:cs="Times New Roman"/>
          <w:sz w:val="24"/>
          <w:szCs w:val="24"/>
        </w:rPr>
        <w:t xml:space="preserve"> th</w:t>
      </w:r>
      <w:r w:rsidR="00EB0409" w:rsidRPr="00A97D88">
        <w:rPr>
          <w:rFonts w:ascii="Times New Roman" w:hAnsi="Times New Roman" w:cs="Times New Roman"/>
          <w:sz w:val="24"/>
          <w:szCs w:val="24"/>
        </w:rPr>
        <w:t>e soil from erosion, and improving</w:t>
      </w:r>
      <w:r w:rsidR="00446AA8" w:rsidRPr="00A97D88">
        <w:rPr>
          <w:rFonts w:ascii="Times New Roman" w:hAnsi="Times New Roman" w:cs="Times New Roman"/>
          <w:sz w:val="24"/>
          <w:szCs w:val="24"/>
        </w:rPr>
        <w:t xml:space="preserve"> water </w:t>
      </w:r>
      <w:r w:rsidR="00035203" w:rsidRPr="00A97D88">
        <w:rPr>
          <w:rFonts w:ascii="Times New Roman" w:hAnsi="Times New Roman" w:cs="Times New Roman"/>
          <w:sz w:val="24"/>
          <w:szCs w:val="24"/>
        </w:rPr>
        <w:t>access</w:t>
      </w:r>
      <w:r w:rsidR="00446AA8" w:rsidRPr="00A97D88">
        <w:rPr>
          <w:rFonts w:ascii="Times New Roman" w:hAnsi="Times New Roman" w:cs="Times New Roman"/>
          <w:sz w:val="24"/>
          <w:szCs w:val="24"/>
        </w:rPr>
        <w:t>. Improved soil health can lead to increased carbon sequestration and reduced methane emissions from soil</w:t>
      </w:r>
      <w:r w:rsidR="00446AA8" w:rsidRPr="00A97D88">
        <w:rPr>
          <w:rFonts w:ascii="Times New Roman" w:hAnsi="Times New Roman" w:cs="Times New Roman"/>
          <w:sz w:val="24"/>
          <w:szCs w:val="24"/>
          <w:shd w:val="clear" w:color="auto" w:fill="FFFFFF"/>
        </w:rPr>
        <w:t>.</w:t>
      </w:r>
    </w:p>
    <w:p w:rsidR="0038180E" w:rsidRPr="00A97D88" w:rsidRDefault="007A51C5" w:rsidP="00760469">
      <w:pPr>
        <w:spacing w:after="0" w:line="360" w:lineRule="auto"/>
        <w:jc w:val="both"/>
        <w:rPr>
          <w:rFonts w:ascii="Times New Roman" w:eastAsia="Times New Roman" w:hAnsi="Times New Roman" w:cs="Times New Roman"/>
          <w:sz w:val="24"/>
          <w:szCs w:val="24"/>
        </w:rPr>
      </w:pPr>
      <w:r w:rsidRPr="007A51C5">
        <w:rPr>
          <w:rFonts w:ascii="Times New Roman" w:eastAsia="Times New Roman" w:hAnsi="Times New Roman" w:cs="Times New Roman"/>
          <w:sz w:val="24"/>
          <w:szCs w:val="24"/>
        </w:rPr>
        <w:t xml:space="preserve">Gas production from immediately soluble fractions (a) and the rate </w:t>
      </w:r>
      <w:r w:rsidR="00CE7251">
        <w:rPr>
          <w:rFonts w:ascii="Times New Roman" w:eastAsia="Times New Roman" w:hAnsi="Times New Roman" w:cs="Times New Roman"/>
          <w:sz w:val="24"/>
          <w:szCs w:val="24"/>
        </w:rPr>
        <w:t>was</w:t>
      </w:r>
      <w:r w:rsidRPr="007A51C5">
        <w:rPr>
          <w:rFonts w:ascii="Times New Roman" w:eastAsia="Times New Roman" w:hAnsi="Times New Roman" w:cs="Times New Roman"/>
          <w:sz w:val="24"/>
          <w:szCs w:val="24"/>
        </w:rPr>
        <w:t xml:space="preserve"> higher in the T6 (52.5</w:t>
      </w:r>
      <w:r w:rsidR="00CE7251">
        <w:rPr>
          <w:rFonts w:ascii="Times New Roman" w:eastAsia="Times New Roman" w:hAnsi="Times New Roman" w:cs="Times New Roman"/>
          <w:sz w:val="24"/>
          <w:szCs w:val="24"/>
        </w:rPr>
        <w:t>ml</w:t>
      </w:r>
      <w:r w:rsidRPr="007A51C5">
        <w:rPr>
          <w:rFonts w:ascii="Times New Roman" w:eastAsia="Times New Roman" w:hAnsi="Times New Roman" w:cs="Times New Roman"/>
          <w:sz w:val="24"/>
          <w:szCs w:val="24"/>
        </w:rPr>
        <w:t>) as compared to row arrangement interaction. The oats with vetch of gas production from immediately soluble fractions (a) in the treatments were in the range of (31.6-52.5 ml) with a pooled average value of 40.84 ml.</w:t>
      </w:r>
      <w:r w:rsidR="00294D30" w:rsidRPr="00294D30">
        <w:t xml:space="preserve"> </w:t>
      </w:r>
      <w:r w:rsidR="00294D30" w:rsidRPr="00294D30">
        <w:rPr>
          <w:rFonts w:ascii="Times New Roman" w:eastAsia="Times New Roman" w:hAnsi="Times New Roman" w:cs="Times New Roman"/>
          <w:sz w:val="24"/>
          <w:szCs w:val="24"/>
        </w:rPr>
        <w:t>Similar to this study</w:t>
      </w:r>
      <w:r w:rsidR="00294D30">
        <w:rPr>
          <w:rFonts w:ascii="Times New Roman" w:eastAsia="Times New Roman" w:hAnsi="Times New Roman" w:cs="Times New Roman"/>
          <w:sz w:val="24"/>
          <w:szCs w:val="24"/>
        </w:rPr>
        <w:t xml:space="preserve"> </w:t>
      </w:r>
      <w:r w:rsidR="000D6068">
        <w:rPr>
          <w:rFonts w:ascii="Times New Roman" w:eastAsia="Times New Roman" w:hAnsi="Times New Roman" w:cs="Times New Roman"/>
          <w:sz w:val="24"/>
          <w:szCs w:val="24"/>
        </w:rPr>
        <w:fldChar w:fldCharType="begin"/>
      </w:r>
      <w:r w:rsidR="00294D30">
        <w:rPr>
          <w:rFonts w:ascii="Times New Roman" w:eastAsia="Times New Roman" w:hAnsi="Times New Roman" w:cs="Times New Roman"/>
          <w:sz w:val="24"/>
          <w:szCs w:val="24"/>
        </w:rPr>
        <w:instrText xml:space="preserve"> ADDIN EN.CITE &lt;EndNote&gt;&lt;Cite AuthorYear="1"&gt;&lt;Author&gt;Gelgelo&lt;/Author&gt;&lt;Year&gt;2023&lt;/Year&gt;&lt;RecNum&gt;298&lt;/RecNum&gt;&lt;DisplayText&gt;Gelgelo&lt;style face="italic"&gt; et al.&lt;/style&gt; (2023)&lt;/DisplayText&gt;&lt;record&gt;&lt;rec-number&gt;298&lt;/rec-number&gt;&lt;foreign-keys&gt;&lt;key app="EN" db-id="02revdrtyv2dekeeewuvap2se2zsd9t5xdew"&gt;298&lt;/key&gt;&lt;/foreign-keys&gt;&lt;ref-type name="Journal Article"&gt;17&lt;/ref-type&gt;&lt;contributors&gt;&lt;authors&gt;&lt;author&gt;Gelgelo, Kebede&lt;/author&gt;&lt;author&gt;Kechero, Yisehak&lt;/author&gt;&lt;author&gt;Andualem, Dereje&lt;/author&gt;&lt;/authors&gt;&lt;/contributors&gt;&lt;titles&gt;&lt;title&gt;Comparative in vitro evaluation of five Commelina forage species on ruminal fermentation and methanogenesis&lt;/title&gt;&lt;secondary-title&gt;Heliyon&lt;/secondary-title&gt;&lt;/titles&gt;&lt;periodical&gt;&lt;full-title&gt;Heliyon&lt;/full-title&gt;&lt;/periodical&gt;&lt;volume&gt;9&lt;/volume&gt;&lt;number&gt;12&lt;/number&gt;&lt;dates&gt;&lt;year&gt;2023&lt;/year&gt;&lt;/dates&gt;&lt;isbn&gt;2405-8440&lt;/isbn&gt;&lt;urls&gt;&lt;/urls&gt;&lt;/record&gt;&lt;/Cite&gt;&lt;/EndNote&gt;</w:instrText>
      </w:r>
      <w:r w:rsidR="000D6068">
        <w:rPr>
          <w:rFonts w:ascii="Times New Roman" w:eastAsia="Times New Roman" w:hAnsi="Times New Roman" w:cs="Times New Roman"/>
          <w:sz w:val="24"/>
          <w:szCs w:val="24"/>
        </w:rPr>
        <w:fldChar w:fldCharType="separate"/>
      </w:r>
      <w:hyperlink w:anchor="_ENREF_25" w:tooltip="Gelgelo, 2023 #298" w:history="1">
        <w:r w:rsidR="00BC4E2E">
          <w:rPr>
            <w:rFonts w:ascii="Times New Roman" w:eastAsia="Times New Roman" w:hAnsi="Times New Roman" w:cs="Times New Roman"/>
            <w:noProof/>
            <w:sz w:val="24"/>
            <w:szCs w:val="24"/>
          </w:rPr>
          <w:t>Gelgelo</w:t>
        </w:r>
        <w:r w:rsidR="00BC4E2E" w:rsidRPr="00294D30">
          <w:rPr>
            <w:rFonts w:ascii="Times New Roman" w:eastAsia="Times New Roman" w:hAnsi="Times New Roman" w:cs="Times New Roman"/>
            <w:i/>
            <w:noProof/>
            <w:sz w:val="24"/>
            <w:szCs w:val="24"/>
          </w:rPr>
          <w:t xml:space="preserve"> et al.</w:t>
        </w:r>
        <w:r w:rsidR="00BC4E2E">
          <w:rPr>
            <w:rFonts w:ascii="Times New Roman" w:eastAsia="Times New Roman" w:hAnsi="Times New Roman" w:cs="Times New Roman"/>
            <w:noProof/>
            <w:sz w:val="24"/>
            <w:szCs w:val="24"/>
          </w:rPr>
          <w:t xml:space="preserve"> (2023</w:t>
        </w:r>
      </w:hyperlink>
      <w:r w:rsidR="00294D30">
        <w:rPr>
          <w:rFonts w:ascii="Times New Roman" w:eastAsia="Times New Roman" w:hAnsi="Times New Roman" w:cs="Times New Roman"/>
          <w:noProof/>
          <w:sz w:val="24"/>
          <w:szCs w:val="24"/>
        </w:rPr>
        <w:t>)</w:t>
      </w:r>
      <w:r w:rsidR="000D6068">
        <w:rPr>
          <w:rFonts w:ascii="Times New Roman" w:eastAsia="Times New Roman" w:hAnsi="Times New Roman" w:cs="Times New Roman"/>
          <w:sz w:val="24"/>
          <w:szCs w:val="24"/>
        </w:rPr>
        <w:fldChar w:fldCharType="end"/>
      </w:r>
      <w:r w:rsidR="00294D30" w:rsidRPr="00294D30">
        <w:rPr>
          <w:rFonts w:ascii="Times New Roman" w:eastAsia="Times New Roman" w:hAnsi="Times New Roman" w:cs="Times New Roman"/>
          <w:sz w:val="24"/>
          <w:szCs w:val="24"/>
        </w:rPr>
        <w:t xml:space="preserve"> stated that, those species that have the highest immediately fermentable fraction would have the fastest rate of gas production constant as well as the shortest possible lag time</w:t>
      </w:r>
      <w:r w:rsidR="00294D30">
        <w:rPr>
          <w:rFonts w:ascii="Times New Roman" w:eastAsia="Times New Roman" w:hAnsi="Times New Roman" w:cs="Times New Roman"/>
          <w:sz w:val="24"/>
          <w:szCs w:val="24"/>
        </w:rPr>
        <w:t>.</w:t>
      </w:r>
      <w:r w:rsidRPr="007A51C5">
        <w:rPr>
          <w:rFonts w:ascii="Times New Roman" w:eastAsia="Times New Roman" w:hAnsi="Times New Roman" w:cs="Times New Roman"/>
          <w:sz w:val="24"/>
          <w:szCs w:val="24"/>
        </w:rPr>
        <w:t xml:space="preserve"> The highest value of gas production from the insoluble but potentially degradable fractions (b) was recorded from T4 (93.11 ml) and the lowest from T2 (52.3 ml). Correspondingly, the highest and lowest potential gas production (a+b) records in the treatments were noted for T4 (140.9 ml). In the present study, the rate constant of gas production (c) was higher in T3 (0.04 ml) and lower in T6 (0.013). The higher fermentation process lag time was noted for T7 (0.9h), followed by T3 (0.83h) and T6 (0.84h), respectively. While T1 (0.41 h) and T6 (0.12 h) had the shortest comparable lag time records</w:t>
      </w:r>
      <w:r>
        <w:rPr>
          <w:rFonts w:ascii="Times New Roman" w:eastAsia="Times New Roman" w:hAnsi="Times New Roman" w:cs="Times New Roman"/>
          <w:sz w:val="24"/>
          <w:szCs w:val="24"/>
        </w:rPr>
        <w:t>.</w:t>
      </w:r>
    </w:p>
    <w:p w:rsidR="00446AA8" w:rsidRPr="007D6211" w:rsidRDefault="007D6211" w:rsidP="007D6211">
      <w:pPr>
        <w:pStyle w:val="Caption"/>
        <w:spacing w:line="360" w:lineRule="auto"/>
        <w:rPr>
          <w:rFonts w:cs="Times New Roman"/>
          <w:b w:val="0"/>
          <w:sz w:val="32"/>
        </w:rPr>
      </w:pPr>
      <w:bookmarkStart w:id="46" w:name="_Toc187696846"/>
      <w:r w:rsidRPr="007D6211">
        <w:rPr>
          <w:b w:val="0"/>
          <w:sz w:val="24"/>
        </w:rPr>
        <w:t xml:space="preserve">Table </w:t>
      </w:r>
      <w:r w:rsidR="001B58DF">
        <w:rPr>
          <w:b w:val="0"/>
          <w:sz w:val="24"/>
        </w:rPr>
        <w:t>7</w:t>
      </w:r>
      <w:r w:rsidRPr="007D6211">
        <w:rPr>
          <w:b w:val="0"/>
          <w:sz w:val="24"/>
        </w:rPr>
        <w:t>: Effect of intercropping, row arrangement and interaction on in vitro gas production characteristics of forage oats varieties mixed with vetch</w:t>
      </w:r>
      <w:bookmarkEnd w:id="46"/>
    </w:p>
    <w:tbl>
      <w:tblPr>
        <w:tblStyle w:val="TableGrid"/>
        <w:tblW w:w="9738" w:type="dxa"/>
        <w:tblLayout w:type="fixed"/>
        <w:tblLook w:val="04A0" w:firstRow="1" w:lastRow="0" w:firstColumn="1" w:lastColumn="0" w:noHBand="0" w:noVBand="1"/>
      </w:tblPr>
      <w:tblGrid>
        <w:gridCol w:w="2448"/>
        <w:gridCol w:w="1260"/>
        <w:gridCol w:w="1440"/>
        <w:gridCol w:w="1440"/>
        <w:gridCol w:w="1530"/>
        <w:gridCol w:w="1620"/>
      </w:tblGrid>
      <w:tr w:rsidR="0013614E" w:rsidRPr="00A97D88" w:rsidTr="003F1DA9">
        <w:trPr>
          <w:trHeight w:val="285"/>
        </w:trPr>
        <w:tc>
          <w:tcPr>
            <w:tcW w:w="9738" w:type="dxa"/>
            <w:gridSpan w:val="6"/>
            <w:tcBorders>
              <w:top w:val="thickThinSmallGap" w:sz="24" w:space="0" w:color="auto"/>
              <w:left w:val="nil"/>
              <w:bottom w:val="single" w:sz="4" w:space="0" w:color="auto"/>
              <w:right w:val="nil"/>
            </w:tcBorders>
          </w:tcPr>
          <w:p w:rsidR="006A1B19" w:rsidRPr="00A97D88" w:rsidRDefault="006A1B19" w:rsidP="00760469">
            <w:pPr>
              <w:jc w:val="both"/>
              <w:rPr>
                <w:rFonts w:ascii="Times New Roman" w:hAnsi="Times New Roman" w:cs="Times New Roman"/>
              </w:rPr>
            </w:pPr>
            <w:r w:rsidRPr="00A97D88">
              <w:rPr>
                <w:rFonts w:eastAsia="Times New Roman"/>
              </w:rPr>
              <w:t xml:space="preserve">                              </w:t>
            </w:r>
            <w:r w:rsidR="00615258" w:rsidRPr="00A97D88">
              <w:rPr>
                <w:rFonts w:eastAsia="Times New Roman"/>
              </w:rPr>
              <w:t xml:space="preserve">        </w:t>
            </w:r>
            <w:r w:rsidRPr="00A97D88">
              <w:rPr>
                <w:rFonts w:eastAsia="Times New Roman"/>
              </w:rPr>
              <w:t xml:space="preserve"> </w:t>
            </w:r>
            <w:r w:rsidRPr="00A97D88">
              <w:rPr>
                <w:rFonts w:ascii="Times New Roman" w:hAnsi="Times New Roman" w:cs="Times New Roman"/>
                <w:sz w:val="24"/>
              </w:rPr>
              <w:t>Gas production characteristics</w:t>
            </w:r>
            <w:r w:rsidR="009357A2">
              <w:rPr>
                <w:rFonts w:ascii="Times New Roman" w:hAnsi="Times New Roman" w:cs="Times New Roman"/>
                <w:sz w:val="24"/>
              </w:rPr>
              <w:t xml:space="preserve"> </w:t>
            </w:r>
          </w:p>
        </w:tc>
      </w:tr>
      <w:tr w:rsidR="00760469" w:rsidRPr="00A97D88" w:rsidTr="003F1DA9">
        <w:trPr>
          <w:trHeight w:val="255"/>
        </w:trPr>
        <w:tc>
          <w:tcPr>
            <w:tcW w:w="2448" w:type="dxa"/>
            <w:tcBorders>
              <w:left w:val="nil"/>
              <w:bottom w:val="thickThinSmallGap" w:sz="24" w:space="0" w:color="auto"/>
              <w:right w:val="nil"/>
            </w:tcBorders>
          </w:tcPr>
          <w:p w:rsidR="00760469" w:rsidRPr="009357A2" w:rsidRDefault="00760469" w:rsidP="00760469">
            <w:pPr>
              <w:jc w:val="both"/>
              <w:rPr>
                <w:rFonts w:ascii="Times New Roman" w:eastAsia="Times New Roman" w:hAnsi="Times New Roman" w:cs="Times New Roman"/>
                <w:sz w:val="24"/>
                <w:szCs w:val="24"/>
              </w:rPr>
            </w:pPr>
            <w:r w:rsidRPr="009357A2">
              <w:rPr>
                <w:rFonts w:ascii="Times New Roman" w:eastAsia="Times New Roman" w:hAnsi="Times New Roman" w:cs="Times New Roman"/>
                <w:sz w:val="24"/>
                <w:szCs w:val="24"/>
              </w:rPr>
              <w:t>Intercropped</w:t>
            </w:r>
          </w:p>
        </w:tc>
        <w:tc>
          <w:tcPr>
            <w:tcW w:w="1260" w:type="dxa"/>
            <w:tcBorders>
              <w:left w:val="nil"/>
              <w:bottom w:val="thickThinSmallGap" w:sz="24" w:space="0" w:color="auto"/>
              <w:right w:val="nil"/>
            </w:tcBorders>
          </w:tcPr>
          <w:p w:rsidR="00760469" w:rsidRPr="009357A2" w:rsidRDefault="00664EFD" w:rsidP="00760469">
            <w:pPr>
              <w:jc w:val="both"/>
              <w:rPr>
                <w:rFonts w:ascii="Times New Roman" w:hAnsi="Times New Roman" w:cs="Times New Roman"/>
              </w:rPr>
            </w:pPr>
            <w:r w:rsidRPr="009357A2">
              <w:rPr>
                <w:rFonts w:ascii="Times New Roman" w:hAnsi="Times New Roman" w:cs="Times New Roman"/>
              </w:rPr>
              <w:t>A</w:t>
            </w:r>
          </w:p>
        </w:tc>
        <w:tc>
          <w:tcPr>
            <w:tcW w:w="1440" w:type="dxa"/>
            <w:tcBorders>
              <w:left w:val="nil"/>
              <w:bottom w:val="thickThinSmallGap" w:sz="24" w:space="0" w:color="auto"/>
              <w:right w:val="nil"/>
            </w:tcBorders>
          </w:tcPr>
          <w:p w:rsidR="00760469" w:rsidRPr="009357A2" w:rsidRDefault="007D6211" w:rsidP="00760469">
            <w:pPr>
              <w:jc w:val="both"/>
              <w:rPr>
                <w:rFonts w:ascii="Times New Roman" w:hAnsi="Times New Roman" w:cs="Times New Roman"/>
              </w:rPr>
            </w:pPr>
            <w:r w:rsidRPr="009357A2">
              <w:rPr>
                <w:rFonts w:ascii="Times New Roman" w:hAnsi="Times New Roman" w:cs="Times New Roman"/>
              </w:rPr>
              <w:t>B</w:t>
            </w:r>
          </w:p>
        </w:tc>
        <w:tc>
          <w:tcPr>
            <w:tcW w:w="1440" w:type="dxa"/>
            <w:tcBorders>
              <w:left w:val="nil"/>
              <w:bottom w:val="thickThinSmallGap" w:sz="24" w:space="0" w:color="auto"/>
              <w:right w:val="nil"/>
            </w:tcBorders>
          </w:tcPr>
          <w:p w:rsidR="00760469" w:rsidRPr="009357A2" w:rsidRDefault="00B53893" w:rsidP="00760469">
            <w:pPr>
              <w:jc w:val="both"/>
              <w:rPr>
                <w:rFonts w:ascii="Times New Roman" w:hAnsi="Times New Roman" w:cs="Times New Roman"/>
              </w:rPr>
            </w:pPr>
            <w:r w:rsidRPr="009357A2">
              <w:rPr>
                <w:rFonts w:ascii="Times New Roman" w:hAnsi="Times New Roman" w:cs="Times New Roman"/>
              </w:rPr>
              <w:t>C</w:t>
            </w:r>
          </w:p>
        </w:tc>
        <w:tc>
          <w:tcPr>
            <w:tcW w:w="1530" w:type="dxa"/>
            <w:tcBorders>
              <w:left w:val="nil"/>
              <w:bottom w:val="thickThinSmallGap" w:sz="24" w:space="0" w:color="auto"/>
              <w:right w:val="nil"/>
            </w:tcBorders>
          </w:tcPr>
          <w:p w:rsidR="00760469" w:rsidRPr="009357A2" w:rsidRDefault="00760469" w:rsidP="00760469">
            <w:pPr>
              <w:jc w:val="both"/>
              <w:rPr>
                <w:rFonts w:ascii="Times New Roman" w:hAnsi="Times New Roman" w:cs="Times New Roman"/>
                <w:sz w:val="24"/>
                <w:szCs w:val="24"/>
              </w:rPr>
            </w:pPr>
            <w:r w:rsidRPr="009357A2">
              <w:rPr>
                <w:rFonts w:ascii="Times New Roman" w:hAnsi="Times New Roman" w:cs="Times New Roman"/>
                <w:sz w:val="24"/>
                <w:szCs w:val="24"/>
              </w:rPr>
              <w:t>a+b</w:t>
            </w:r>
          </w:p>
        </w:tc>
        <w:tc>
          <w:tcPr>
            <w:tcW w:w="1620" w:type="dxa"/>
            <w:tcBorders>
              <w:left w:val="nil"/>
              <w:bottom w:val="thickThinSmallGap" w:sz="24" w:space="0" w:color="auto"/>
              <w:right w:val="nil"/>
            </w:tcBorders>
          </w:tcPr>
          <w:p w:rsidR="00760469" w:rsidRPr="009357A2" w:rsidRDefault="00760469" w:rsidP="00760469">
            <w:pPr>
              <w:jc w:val="both"/>
              <w:rPr>
                <w:rFonts w:ascii="Times New Roman" w:hAnsi="Times New Roman" w:cs="Times New Roman"/>
                <w:sz w:val="24"/>
                <w:szCs w:val="24"/>
              </w:rPr>
            </w:pPr>
            <w:r w:rsidRPr="009357A2">
              <w:rPr>
                <w:rFonts w:ascii="Times New Roman" w:hAnsi="Times New Roman" w:cs="Times New Roman"/>
                <w:sz w:val="24"/>
                <w:szCs w:val="24"/>
              </w:rPr>
              <w:t>LT</w:t>
            </w:r>
          </w:p>
        </w:tc>
      </w:tr>
      <w:tr w:rsidR="0013614E" w:rsidRPr="00A97D88" w:rsidTr="003F1DA9">
        <w:tc>
          <w:tcPr>
            <w:tcW w:w="2448" w:type="dxa"/>
            <w:tcBorders>
              <w:top w:val="thickThinSmallGap" w:sz="24" w:space="0" w:color="auto"/>
              <w:left w:val="nil"/>
              <w:bottom w:val="nil"/>
              <w:right w:val="nil"/>
            </w:tcBorders>
          </w:tcPr>
          <w:p w:rsidR="006A1B19" w:rsidRPr="00A97D88" w:rsidRDefault="006A1B19"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Bonsa+c</w:t>
            </w:r>
          </w:p>
        </w:tc>
        <w:tc>
          <w:tcPr>
            <w:tcW w:w="126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39.2</w:t>
            </w:r>
            <w:r w:rsidRPr="00A97D88">
              <w:rPr>
                <w:rFonts w:ascii="Times New Roman" w:eastAsia="Times New Roman" w:hAnsi="Times New Roman" w:cs="Times New Roman"/>
                <w:sz w:val="24"/>
                <w:szCs w:val="24"/>
                <w:vertAlign w:val="superscript"/>
              </w:rPr>
              <w:t>b</w:t>
            </w:r>
          </w:p>
        </w:tc>
        <w:tc>
          <w:tcPr>
            <w:tcW w:w="144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63.1</w:t>
            </w:r>
            <w:r w:rsidRPr="00A97D88">
              <w:rPr>
                <w:rFonts w:ascii="Times New Roman" w:eastAsia="Times New Roman" w:hAnsi="Times New Roman" w:cs="Times New Roman"/>
                <w:sz w:val="24"/>
                <w:szCs w:val="24"/>
                <w:vertAlign w:val="superscript"/>
              </w:rPr>
              <w:t>c</w:t>
            </w:r>
          </w:p>
        </w:tc>
        <w:tc>
          <w:tcPr>
            <w:tcW w:w="144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0.043</w:t>
            </w:r>
            <w:r w:rsidRPr="00A97D88">
              <w:rPr>
                <w:rFonts w:ascii="Times New Roman" w:eastAsia="Times New Roman" w:hAnsi="Times New Roman" w:cs="Times New Roman"/>
                <w:sz w:val="24"/>
                <w:szCs w:val="24"/>
                <w:vertAlign w:val="superscript"/>
              </w:rPr>
              <w:t>a</w:t>
            </w:r>
          </w:p>
        </w:tc>
        <w:tc>
          <w:tcPr>
            <w:tcW w:w="1530" w:type="dxa"/>
            <w:tcBorders>
              <w:top w:val="thickThinSmallGap" w:sz="24" w:space="0" w:color="auto"/>
              <w:left w:val="nil"/>
              <w:bottom w:val="nil"/>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102.4</w:t>
            </w:r>
            <w:r w:rsidRPr="00A97D88">
              <w:rPr>
                <w:rFonts w:ascii="Times New Roman" w:eastAsia="Times New Roman" w:hAnsi="Times New Roman" w:cs="Times New Roman"/>
                <w:sz w:val="24"/>
                <w:szCs w:val="24"/>
                <w:vertAlign w:val="superscript"/>
              </w:rPr>
              <w:t>c</w:t>
            </w:r>
          </w:p>
        </w:tc>
        <w:tc>
          <w:tcPr>
            <w:tcW w:w="1620" w:type="dxa"/>
            <w:tcBorders>
              <w:top w:val="thickThinSmallGap" w:sz="24" w:space="0" w:color="auto"/>
              <w:left w:val="nil"/>
              <w:bottom w:val="nil"/>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82C11" w:rsidRPr="00A97D88">
              <w:rPr>
                <w:rFonts w:ascii="Times New Roman" w:eastAsia="Times New Roman" w:hAnsi="Times New Roman" w:cs="Times New Roman"/>
                <w:sz w:val="24"/>
                <w:szCs w:val="24"/>
              </w:rPr>
              <w:t>52</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nil"/>
              <w:right w:val="nil"/>
            </w:tcBorders>
          </w:tcPr>
          <w:p w:rsidR="006A1B19" w:rsidRPr="00A97D88" w:rsidRDefault="006A1B19"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Bareda+c</w:t>
            </w:r>
          </w:p>
        </w:tc>
        <w:tc>
          <w:tcPr>
            <w:tcW w:w="126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38.1</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81.6</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nil"/>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119.28</w:t>
            </w:r>
            <w:r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82C11" w:rsidRPr="00A97D88">
              <w:rPr>
                <w:rFonts w:ascii="Times New Roman" w:eastAsia="Times New Roman" w:hAnsi="Times New Roman" w:cs="Times New Roman"/>
                <w:sz w:val="24"/>
                <w:szCs w:val="24"/>
              </w:rPr>
              <w:t>5</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single" w:sz="4" w:space="0" w:color="auto"/>
              <w:right w:val="nil"/>
            </w:tcBorders>
          </w:tcPr>
          <w:p w:rsidR="006A1B19" w:rsidRPr="00A97D88" w:rsidRDefault="006A1B19"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Bate+c</w:t>
            </w:r>
          </w:p>
        </w:tc>
        <w:tc>
          <w:tcPr>
            <w:tcW w:w="126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45.1</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78.49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0.024</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single" w:sz="4" w:space="0" w:color="auto"/>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123.8</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r w:rsidRPr="00565281">
              <w:rPr>
                <w:rFonts w:ascii="Times New Roman" w:eastAsia="Times New Roman" w:hAnsi="Times New Roman" w:cs="Times New Roman"/>
                <w:sz w:val="24"/>
                <w:szCs w:val="24"/>
                <w:vertAlign w:val="superscript"/>
              </w:rPr>
              <w:t>a</w:t>
            </w:r>
          </w:p>
        </w:tc>
      </w:tr>
      <w:tr w:rsidR="0013614E" w:rsidRPr="00A97D88" w:rsidTr="003F1DA9">
        <w:tc>
          <w:tcPr>
            <w:tcW w:w="2448" w:type="dxa"/>
            <w:tcBorders>
              <w:top w:val="single" w:sz="4" w:space="0" w:color="auto"/>
              <w:left w:val="nil"/>
              <w:bottom w:val="single" w:sz="4" w:space="0" w:color="auto"/>
              <w:right w:val="nil"/>
            </w:tcBorders>
          </w:tcPr>
          <w:p w:rsidR="006A1B19" w:rsidRPr="00A97D88" w:rsidRDefault="006A1B19"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26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single" w:sz="4" w:space="0" w:color="auto"/>
              <w:left w:val="nil"/>
              <w:bottom w:val="single" w:sz="4" w:space="0" w:color="auto"/>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single" w:sz="4" w:space="0" w:color="auto"/>
              <w:left w:val="nil"/>
              <w:bottom w:val="single" w:sz="4" w:space="0" w:color="auto"/>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3614E" w:rsidRPr="00A97D88" w:rsidTr="003F1DA9">
        <w:tc>
          <w:tcPr>
            <w:tcW w:w="2448" w:type="dxa"/>
            <w:tcBorders>
              <w:top w:val="single" w:sz="4" w:space="0" w:color="auto"/>
              <w:left w:val="nil"/>
              <w:bottom w:val="nil"/>
              <w:right w:val="nil"/>
            </w:tcBorders>
          </w:tcPr>
          <w:p w:rsidR="0051751C" w:rsidRPr="00A97D88" w:rsidRDefault="0028460D"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Ro</w:t>
            </w:r>
            <w:r w:rsidR="0051751C" w:rsidRPr="00A97D88">
              <w:rPr>
                <w:rFonts w:ascii="Times New Roman" w:eastAsia="Times New Roman" w:hAnsi="Times New Roman" w:cs="Times New Roman"/>
                <w:sz w:val="24"/>
                <w:szCs w:val="24"/>
              </w:rPr>
              <w:t>w Arrangement</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62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33.79</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63.81</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0.022</w:t>
            </w:r>
            <w:r w:rsidRPr="00A97D88">
              <w:rPr>
                <w:rFonts w:ascii="Times New Roman" w:eastAsia="Times New Roman" w:hAnsi="Times New Roman" w:cs="Times New Roman"/>
                <w:sz w:val="24"/>
                <w:szCs w:val="24"/>
                <w:vertAlign w:val="superscript"/>
              </w:rPr>
              <w:t>ab</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97.6</w:t>
            </w:r>
            <w:r w:rsidRPr="00A97D88">
              <w:rPr>
                <w:rFonts w:ascii="Times New Roman" w:eastAsia="Times New Roman" w:hAnsi="Times New Roman" w:cs="Times New Roman"/>
                <w:sz w:val="24"/>
                <w:szCs w:val="24"/>
                <w:vertAlign w:val="superscript"/>
              </w:rPr>
              <w:t>c</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74.8</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0.024</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120.4</w:t>
            </w:r>
            <w:r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51751C" w:rsidRPr="00A97D88">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126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43.19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84.5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w:t>
            </w:r>
            <w:r w:rsidRPr="00A97D88">
              <w:rPr>
                <w:rFonts w:ascii="Times New Roman" w:eastAsia="Times New Roman" w:hAnsi="Times New Roman" w:cs="Times New Roman"/>
                <w:sz w:val="24"/>
                <w:szCs w:val="24"/>
                <w:vertAlign w:val="superscript"/>
              </w:rPr>
              <w:t>a</w:t>
            </w:r>
          </w:p>
        </w:tc>
        <w:tc>
          <w:tcPr>
            <w:tcW w:w="153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127.9</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r w:rsidRPr="00565281">
              <w:rPr>
                <w:rFonts w:ascii="Times New Roman" w:eastAsia="Times New Roman" w:hAnsi="Times New Roman" w:cs="Times New Roman"/>
                <w:sz w:val="24"/>
                <w:szCs w:val="24"/>
                <w:vertAlign w:val="superscript"/>
              </w:rPr>
              <w:t>a</w:t>
            </w:r>
          </w:p>
        </w:tc>
      </w:tr>
      <w:tr w:rsidR="0013614E" w:rsidRPr="00A97D88" w:rsidTr="003F1DA9">
        <w:tc>
          <w:tcPr>
            <w:tcW w:w="2448"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26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single" w:sz="4" w:space="0" w:color="auto"/>
              <w:left w:val="nil"/>
              <w:bottom w:val="single" w:sz="4" w:space="0" w:color="auto"/>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3614E" w:rsidRPr="00A97D88" w:rsidTr="003F1DA9">
        <w:tc>
          <w:tcPr>
            <w:tcW w:w="2448"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Interaction Effect</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62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Bonsa+c*1:1(T1)</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34.02</w:t>
            </w:r>
            <w:r w:rsidRPr="00A97D88">
              <w:rPr>
                <w:rFonts w:ascii="Times New Roman" w:eastAsia="Times New Roman" w:hAnsi="Times New Roman" w:cs="Times New Roman"/>
                <w:sz w:val="24"/>
                <w:szCs w:val="24"/>
                <w:vertAlign w:val="superscript"/>
              </w:rPr>
              <w:t>cd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56.73</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r w:rsidRPr="00565281">
              <w:rPr>
                <w:rFonts w:ascii="Times New Roman" w:eastAsia="Times New Roman" w:hAnsi="Times New Roman" w:cs="Times New Roman"/>
                <w:sz w:val="24"/>
                <w:szCs w:val="24"/>
                <w:vertAlign w:val="superscript"/>
              </w:rPr>
              <w:t>d</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Bonsa+c*1:2 (T2)</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36.58</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vertAlign w:val="superscript"/>
              </w:rPr>
            </w:pPr>
            <w:r w:rsidRPr="00A97D88">
              <w:rPr>
                <w:rFonts w:ascii="Times New Roman" w:eastAsia="Times New Roman" w:hAnsi="Times New Roman" w:cs="Times New Roman"/>
                <w:sz w:val="24"/>
                <w:szCs w:val="24"/>
              </w:rPr>
              <w:t>52.3</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0.036</w:t>
            </w:r>
            <w:r w:rsidR="00CA578D" w:rsidRPr="00A97D88">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88.9</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Pr="00565281">
              <w:rPr>
                <w:rFonts w:ascii="Times New Roman" w:eastAsia="Times New Roman" w:hAnsi="Times New Roman" w:cs="Times New Roman"/>
                <w:sz w:val="24"/>
                <w:szCs w:val="24"/>
                <w:vertAlign w:val="superscript"/>
              </w:rPr>
              <w:t>bc</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Bonsa+c*2:1 (T3)</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47.17</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80.43</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Pr="00A97D88">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127.56</w:t>
            </w:r>
            <w:r w:rsidRPr="00A97D88">
              <w:rPr>
                <w:rFonts w:ascii="Times New Roman" w:eastAsia="Times New Roman" w:hAnsi="Times New Roman" w:cs="Times New Roman"/>
                <w:sz w:val="24"/>
                <w:szCs w:val="24"/>
                <w:vertAlign w:val="superscript"/>
              </w:rPr>
              <w:t>c</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r>
              <w:rPr>
                <w:rFonts w:ascii="Times New Roman" w:eastAsia="Times New Roman" w:hAnsi="Times New Roman" w:cs="Times New Roman"/>
                <w:sz w:val="24"/>
                <w:szCs w:val="24"/>
                <w:vertAlign w:val="superscript"/>
              </w:rPr>
              <w:t>ab</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Bareda+c*1:1 (T8)</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31.6</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78.58</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0.023</w:t>
            </w:r>
            <w:r w:rsidRPr="00A97D88">
              <w:rPr>
                <w:rFonts w:ascii="Times New Roman" w:eastAsia="Times New Roman" w:hAnsi="Times New Roman" w:cs="Times New Roman"/>
                <w:sz w:val="24"/>
                <w:szCs w:val="24"/>
                <w:vertAlign w:val="superscript"/>
              </w:rPr>
              <w:t>cd</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110.25</w:t>
            </w:r>
            <w:r w:rsidRPr="00A97D88">
              <w:rPr>
                <w:rFonts w:ascii="Times New Roman" w:eastAsia="Times New Roman" w:hAnsi="Times New Roman" w:cs="Times New Roman"/>
                <w:sz w:val="24"/>
                <w:szCs w:val="24"/>
                <w:vertAlign w:val="superscript"/>
              </w:rPr>
              <w:t>d</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r>
              <w:rPr>
                <w:rFonts w:ascii="Times New Roman" w:eastAsia="Times New Roman" w:hAnsi="Times New Roman" w:cs="Times New Roman"/>
                <w:sz w:val="24"/>
                <w:szCs w:val="24"/>
                <w:vertAlign w:val="superscript"/>
              </w:rPr>
              <w:t>c</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Bareda +c*1:2 (T9)</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47.5</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86.18</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0.023</w:t>
            </w:r>
            <w:r w:rsidRPr="00A97D88">
              <w:rPr>
                <w:rFonts w:ascii="Times New Roman" w:eastAsia="Times New Roman" w:hAnsi="Times New Roman" w:cs="Times New Roman"/>
                <w:sz w:val="24"/>
                <w:szCs w:val="24"/>
                <w:vertAlign w:val="superscript"/>
              </w:rPr>
              <w:t>cd</w:t>
            </w:r>
          </w:p>
        </w:tc>
        <w:tc>
          <w:tcPr>
            <w:tcW w:w="1530" w:type="dxa"/>
            <w:tcBorders>
              <w:top w:val="nil"/>
              <w:left w:val="nil"/>
              <w:bottom w:val="nil"/>
              <w:right w:val="nil"/>
            </w:tcBorders>
          </w:tcPr>
          <w:p w:rsidR="00662812" w:rsidRPr="00A97D88" w:rsidRDefault="0060464F"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w:t>
            </w:r>
            <w:r w:rsidR="00662812" w:rsidRPr="00A97D88">
              <w:rPr>
                <w:rFonts w:ascii="Times New Roman" w:eastAsia="Times New Roman" w:hAnsi="Times New Roman" w:cs="Times New Roman"/>
                <w:sz w:val="24"/>
                <w:szCs w:val="24"/>
              </w:rPr>
              <w:t>33.7</w:t>
            </w:r>
            <w:r w:rsidR="00662812"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d</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Bareda +c*2:1 (T7)</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35.2</w:t>
            </w:r>
            <w:r w:rsidRPr="00A97D88">
              <w:rPr>
                <w:rFonts w:ascii="Times New Roman" w:eastAsia="Times New Roman" w:hAnsi="Times New Roman" w:cs="Times New Roman"/>
                <w:sz w:val="24"/>
                <w:szCs w:val="24"/>
                <w:vertAlign w:val="superscript"/>
              </w:rPr>
              <w:t>cd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80.15</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0.033</w:t>
            </w:r>
            <w:r w:rsidRPr="00A97D88">
              <w:rPr>
                <w:rFonts w:ascii="Times New Roman" w:eastAsia="Times New Roman" w:hAnsi="Times New Roman" w:cs="Times New Roman"/>
                <w:sz w:val="24"/>
                <w:szCs w:val="24"/>
                <w:vertAlign w:val="superscript"/>
              </w:rPr>
              <w:t>abc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115.4</w:t>
            </w:r>
            <w:r w:rsidRPr="00A97D88">
              <w:rPr>
                <w:rFonts w:ascii="Times New Roman" w:eastAsia="Times New Roman" w:hAnsi="Times New Roman" w:cs="Times New Roman"/>
                <w:sz w:val="24"/>
                <w:szCs w:val="24"/>
                <w:vertAlign w:val="superscript"/>
              </w:rPr>
              <w:t>d</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Pr>
                <w:rFonts w:ascii="Times New Roman" w:eastAsia="Times New Roman" w:hAnsi="Times New Roman" w:cs="Times New Roman"/>
                <w:sz w:val="24"/>
                <w:szCs w:val="24"/>
                <w:vertAlign w:val="superscript"/>
              </w:rPr>
              <w:t>a</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Bate+C*1:1 (T5)</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35.69</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56.35</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0.033</w:t>
            </w:r>
            <w:r w:rsidRPr="00A97D88">
              <w:rPr>
                <w:rFonts w:ascii="Times New Roman" w:eastAsia="Times New Roman" w:hAnsi="Times New Roman" w:cs="Times New Roman"/>
                <w:sz w:val="24"/>
                <w:szCs w:val="24"/>
                <w:vertAlign w:val="superscript"/>
              </w:rPr>
              <w:t>abc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92.06</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77</w:t>
            </w:r>
            <w:r w:rsidR="00662812" w:rsidRPr="00A97D88">
              <w:rPr>
                <w:rFonts w:ascii="Times New Roman" w:eastAsia="Times New Roman" w:hAnsi="Times New Roman" w:cs="Times New Roman"/>
                <w:sz w:val="24"/>
                <w:szCs w:val="24"/>
                <w:vertAlign w:val="superscript"/>
              </w:rPr>
              <w:t>ab</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Bate+C*1:2 (T6)</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86.01</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0.013</w:t>
            </w:r>
            <w:r w:rsidRPr="00A97D88">
              <w:rPr>
                <w:rFonts w:ascii="Times New Roman" w:eastAsia="Times New Roman" w:hAnsi="Times New Roman" w:cs="Times New Roman"/>
                <w:sz w:val="24"/>
                <w:szCs w:val="24"/>
                <w:vertAlign w:val="superscript"/>
              </w:rPr>
              <w:t>d</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138.6</w:t>
            </w:r>
            <w:r w:rsidRPr="00A97D88">
              <w:rPr>
                <w:rFonts w:ascii="Times New Roman" w:eastAsia="Times New Roman" w:hAnsi="Times New Roman" w:cs="Times New Roman"/>
                <w:sz w:val="24"/>
                <w:szCs w:val="24"/>
                <w:vertAlign w:val="superscript"/>
              </w:rPr>
              <w:t>ab</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c</w:t>
            </w:r>
          </w:p>
        </w:tc>
      </w:tr>
      <w:tr w:rsidR="00662812" w:rsidRPr="00A97D88" w:rsidTr="003F1DA9">
        <w:tc>
          <w:tcPr>
            <w:tcW w:w="2448"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Bate+C*2:1 (T4)</w:t>
            </w:r>
          </w:p>
        </w:tc>
        <w:tc>
          <w:tcPr>
            <w:tcW w:w="126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93.11</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bc</w:t>
            </w:r>
          </w:p>
        </w:tc>
        <w:tc>
          <w:tcPr>
            <w:tcW w:w="153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140.9</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r>
              <w:rPr>
                <w:rFonts w:ascii="Times New Roman" w:eastAsia="Times New Roman" w:hAnsi="Times New Roman" w:cs="Times New Roman"/>
                <w:sz w:val="24"/>
                <w:szCs w:val="24"/>
                <w:vertAlign w:val="superscript"/>
              </w:rPr>
              <w:t>ab</w:t>
            </w:r>
          </w:p>
        </w:tc>
      </w:tr>
      <w:tr w:rsidR="0013614E" w:rsidRPr="00A97D88" w:rsidTr="003F1DA9">
        <w:trPr>
          <w:trHeight w:val="251"/>
        </w:trPr>
        <w:tc>
          <w:tcPr>
            <w:tcW w:w="2448"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t>Mean</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40.84</w:t>
            </w: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74.4</w:t>
            </w: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0.028</w:t>
            </w: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115.35</w:t>
            </w:r>
          </w:p>
        </w:tc>
        <w:tc>
          <w:tcPr>
            <w:tcW w:w="1620" w:type="dxa"/>
            <w:tcBorders>
              <w:top w:val="single" w:sz="4" w:space="0" w:color="auto"/>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3.67</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24.3</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2.84</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51751C" w:rsidRPr="00A97D88" w:rsidTr="003F1DA9">
        <w:tc>
          <w:tcPr>
            <w:tcW w:w="2448"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126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bl>
    <w:p w:rsidR="001829BF" w:rsidRPr="00A97D88" w:rsidRDefault="00465F51" w:rsidP="001829BF">
      <w:pPr>
        <w:jc w:val="both"/>
        <w:rPr>
          <w:rFonts w:ascii="Times New Roman" w:hAnsi="Times New Roman" w:cs="Times New Roman"/>
          <w:sz w:val="20"/>
          <w:szCs w:val="20"/>
          <w:lang w:eastAsia="en-GB"/>
        </w:rPr>
      </w:pPr>
      <w:r w:rsidRPr="00211D12">
        <w:rPr>
          <w:rFonts w:ascii="Times New Roman" w:hAnsi="Times New Roman" w:cs="Times New Roman"/>
          <w:i/>
          <w:sz w:val="20"/>
          <w:szCs w:val="20"/>
          <w:vertAlign w:val="superscript"/>
        </w:rPr>
        <w:t>a,</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b,</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c,</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d,</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e</w:t>
      </w:r>
      <w:r w:rsidR="00524AE5" w:rsidRPr="00A97D88">
        <w:rPr>
          <w:rFonts w:ascii="Times New Roman" w:hAnsi="Times New Roman" w:cs="Times New Roman"/>
          <w:i/>
          <w:sz w:val="20"/>
          <w:szCs w:val="20"/>
        </w:rPr>
        <w:t xml:space="preserve"> Column means with different superscripts shows significant between-treatment </w:t>
      </w:r>
      <w:r w:rsidR="00CE0721" w:rsidRPr="00A97D88">
        <w:rPr>
          <w:rFonts w:ascii="Times New Roman" w:hAnsi="Times New Roman" w:cs="Times New Roman"/>
          <w:i/>
          <w:sz w:val="20"/>
          <w:szCs w:val="20"/>
        </w:rPr>
        <w:t>difference (P &lt; 0.05)</w:t>
      </w:r>
      <w:r w:rsidR="00524AE5" w:rsidRPr="00A97D88">
        <w:rPr>
          <w:rFonts w:ascii="Times New Roman" w:hAnsi="Times New Roman" w:cs="Times New Roman"/>
          <w:i/>
          <w:sz w:val="20"/>
          <w:szCs w:val="20"/>
        </w:rPr>
        <w:t>; a = Gas production from the immediately soluble fraction (ml), b = Gas production from the in-soluble but degradable fraction (ml), a + b = Potential gas production (ml); c = the rate constant of gas production (fraction/h); LT - lag time;</w:t>
      </w:r>
      <w:r w:rsidR="0074390D" w:rsidRPr="00A97D88">
        <w:rPr>
          <w:rFonts w:ascii="Times New Roman" w:hAnsi="Times New Roman" w:cs="Times New Roman"/>
          <w:i/>
          <w:sz w:val="20"/>
          <w:szCs w:val="20"/>
        </w:rPr>
        <w:t xml:space="preserve"> T1= Bonsa + common vetch 1:1, T2= Bonsa + common vetch 1:2, T3= Bonsa + common vetch   2:1, T4= Bate + common vetch  2:1, T5= Bate + common vetch   1:1, T6=Bate + common vetch    1:2 T7= Bareda + common vetch  2:1, T8= Bareda + common vetch  1:1, T9=  B</w:t>
      </w:r>
      <w:r w:rsidR="004223A9" w:rsidRPr="00A97D88">
        <w:rPr>
          <w:rFonts w:ascii="Times New Roman" w:hAnsi="Times New Roman" w:cs="Times New Roman"/>
          <w:i/>
          <w:sz w:val="20"/>
          <w:szCs w:val="20"/>
        </w:rPr>
        <w:t>areda + common vetch   1:2</w:t>
      </w:r>
      <w:r w:rsidR="0074390D" w:rsidRPr="00A97D88">
        <w:rPr>
          <w:rFonts w:ascii="Times New Roman" w:hAnsi="Times New Roman" w:cs="Times New Roman"/>
          <w:i/>
          <w:sz w:val="20"/>
          <w:szCs w:val="20"/>
        </w:rPr>
        <w:t xml:space="preserve">, </w:t>
      </w:r>
      <w:r w:rsidR="00524AE5" w:rsidRPr="00A97D88">
        <w:rPr>
          <w:rFonts w:ascii="Times New Roman" w:hAnsi="Times New Roman" w:cs="Times New Roman"/>
          <w:i/>
          <w:sz w:val="20"/>
          <w:szCs w:val="20"/>
        </w:rPr>
        <w:t xml:space="preserve"> </w:t>
      </w:r>
      <w:r w:rsidR="00CE0721" w:rsidRPr="00A97D88">
        <w:rPr>
          <w:rFonts w:ascii="Times New Roman" w:hAnsi="Times New Roman" w:cs="Times New Roman"/>
          <w:i/>
          <w:sz w:val="20"/>
          <w:szCs w:val="20"/>
        </w:rPr>
        <w:t xml:space="preserve">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Non-significant difference</w:t>
      </w:r>
      <w:r w:rsidR="001829BF" w:rsidRPr="00A97D88">
        <w:rPr>
          <w:rFonts w:ascii="Times New Roman" w:hAnsi="Times New Roman" w:cs="Times New Roman"/>
          <w:sz w:val="20"/>
          <w:szCs w:val="20"/>
          <w:lang w:eastAsia="en-GB"/>
        </w:rPr>
        <w:t xml:space="preserve"> </w:t>
      </w:r>
    </w:p>
    <w:p w:rsidR="00714EDF" w:rsidRPr="00B0363A" w:rsidRDefault="00152478" w:rsidP="00714EDF">
      <w:pPr>
        <w:spacing w:line="360" w:lineRule="auto"/>
        <w:jc w:val="both"/>
        <w:rPr>
          <w:rFonts w:ascii="Times New Roman" w:hAnsi="Times New Roman" w:cs="Times New Roman"/>
          <w:color w:val="000000" w:themeColor="text1"/>
          <w:sz w:val="24"/>
        </w:rPr>
      </w:pPr>
      <w:r w:rsidRPr="00B0363A">
        <w:rPr>
          <w:rFonts w:ascii="Times New Roman" w:hAnsi="Times New Roman" w:cs="Times New Roman"/>
          <w:color w:val="000000" w:themeColor="text1"/>
          <w:sz w:val="24"/>
        </w:rPr>
        <w:t xml:space="preserve">Gas production parameters in the current study were lower than values reported by </w:t>
      </w:r>
      <w:r w:rsidR="000D6068" w:rsidRPr="00B0363A">
        <w:rPr>
          <w:rFonts w:ascii="Times New Roman" w:hAnsi="Times New Roman" w:cs="Times New Roman"/>
          <w:color w:val="000000" w:themeColor="text1"/>
          <w:sz w:val="24"/>
        </w:rPr>
        <w:fldChar w:fldCharType="begin"/>
      </w:r>
      <w:r w:rsidR="00B0363A" w:rsidRPr="00B0363A">
        <w:rPr>
          <w:rFonts w:ascii="Times New Roman" w:hAnsi="Times New Roman" w:cs="Times New Roman"/>
          <w:color w:val="000000" w:themeColor="text1"/>
          <w:sz w:val="24"/>
        </w:rPr>
        <w:instrText xml:space="preserve"> ADDIN EN.CITE &lt;EndNote&gt;&lt;Cite AuthorYear="1"&gt;&lt;Author&gt;Mosisa&lt;/Author&gt;&lt;Year&gt;2021&lt;/Year&gt;&lt;RecNum&gt;108&lt;/RecNum&gt;&lt;DisplayText&gt;Mosisa&lt;style face="italic"&gt; et al.&lt;/style&gt; (2021)&lt;/DisplayText&gt;&lt;record&gt;&lt;rec-number&gt;108&lt;/rec-number&gt;&lt;foreign-keys&gt;&lt;key app="EN" db-id="5ee0etwro2xdtheaap2xr5f6dpxvrsx2v0t5"&gt;108&lt;/key&gt;&lt;/foreign-keys&gt;&lt;ref-type name="Journal Article"&gt;17&lt;/ref-type&gt;&lt;contributors&gt;&lt;authors&gt;&lt;author&gt;Mosisa, Adisu&lt;/author&gt;&lt;author&gt;Nurfeta, Ajebu&lt;/author&gt;&lt;author&gt;Bezabih, Melkamu&lt;/author&gt;&lt;author&gt;Tolera, Adugna&lt;/author&gt;&lt;author&gt;Mengistu, Solomon&lt;/author&gt;&lt;author&gt;Yigrem, Sintayehu&lt;/author&gt;&lt;author&gt;Hassen, Abubeker&lt;/author&gt;&lt;/authors&gt;&lt;/contributors&gt;&lt;titles&gt;&lt;title&gt;Assessment of botanical composition, biomass yield, nutritional quality and methane production of forages in selected grasslands, southern highlands of Ethiopia&lt;/title&gt;&lt;secondary-title&gt;Scientific African&lt;/secondary-title&gt;&lt;/titles&gt;&lt;periodical&gt;&lt;full-title&gt;Scientific African&lt;/full-title&gt;&lt;/periodical&gt;&lt;pages&gt;e00726&lt;/pages&gt;&lt;volume&gt;12&lt;/volume&gt;&lt;dates&gt;&lt;year&gt;2021&lt;/year&gt;&lt;/dates&gt;&lt;isbn&gt;2468-2276&lt;/isbn&gt;&lt;urls&gt;&lt;/urls&gt;&lt;/record&gt;&lt;/Cite&gt;&lt;/EndNote&gt;</w:instrText>
      </w:r>
      <w:r w:rsidR="000D6068" w:rsidRPr="00B0363A">
        <w:rPr>
          <w:rFonts w:ascii="Times New Roman" w:hAnsi="Times New Roman" w:cs="Times New Roman"/>
          <w:color w:val="000000" w:themeColor="text1"/>
          <w:sz w:val="24"/>
        </w:rPr>
        <w:fldChar w:fldCharType="separate"/>
      </w:r>
      <w:hyperlink w:anchor="_ENREF_51" w:tooltip="Mosisa, 2021 #108" w:history="1">
        <w:r w:rsidR="00BC4E2E" w:rsidRPr="00B0363A">
          <w:rPr>
            <w:rFonts w:ascii="Times New Roman" w:hAnsi="Times New Roman" w:cs="Times New Roman"/>
            <w:noProof/>
            <w:color w:val="000000" w:themeColor="text1"/>
            <w:sz w:val="24"/>
          </w:rPr>
          <w:t>Mosisa</w:t>
        </w:r>
        <w:r w:rsidR="00BC4E2E" w:rsidRPr="00B0363A">
          <w:rPr>
            <w:rFonts w:ascii="Times New Roman" w:hAnsi="Times New Roman" w:cs="Times New Roman"/>
            <w:i/>
            <w:noProof/>
            <w:color w:val="000000" w:themeColor="text1"/>
            <w:sz w:val="24"/>
          </w:rPr>
          <w:t xml:space="preserve"> et al.</w:t>
        </w:r>
        <w:r w:rsidR="00BC4E2E" w:rsidRPr="00B0363A">
          <w:rPr>
            <w:rFonts w:ascii="Times New Roman" w:hAnsi="Times New Roman" w:cs="Times New Roman"/>
            <w:noProof/>
            <w:color w:val="000000" w:themeColor="text1"/>
            <w:sz w:val="24"/>
          </w:rPr>
          <w:t xml:space="preserve"> (2021</w:t>
        </w:r>
      </w:hyperlink>
      <w:r w:rsidR="00B0363A" w:rsidRPr="00B0363A">
        <w:rPr>
          <w:rFonts w:ascii="Times New Roman" w:hAnsi="Times New Roman" w:cs="Times New Roman"/>
          <w:noProof/>
          <w:color w:val="000000" w:themeColor="text1"/>
          <w:sz w:val="24"/>
        </w:rPr>
        <w:t>)</w:t>
      </w:r>
      <w:r w:rsidR="000D6068" w:rsidRPr="00B0363A">
        <w:rPr>
          <w:rFonts w:ascii="Times New Roman" w:hAnsi="Times New Roman" w:cs="Times New Roman"/>
          <w:color w:val="000000" w:themeColor="text1"/>
          <w:sz w:val="24"/>
        </w:rPr>
        <w:fldChar w:fldCharType="end"/>
      </w:r>
      <w:r w:rsidR="00B0363A" w:rsidRPr="00B0363A">
        <w:rPr>
          <w:rFonts w:ascii="Times New Roman" w:hAnsi="Times New Roman" w:cs="Times New Roman"/>
          <w:color w:val="000000" w:themeColor="text1"/>
          <w:sz w:val="24"/>
        </w:rPr>
        <w:t xml:space="preserve">, </w:t>
      </w:r>
      <w:r w:rsidRPr="00B0363A">
        <w:rPr>
          <w:rFonts w:ascii="Times New Roman" w:hAnsi="Times New Roman" w:cs="Times New Roman"/>
          <w:color w:val="000000" w:themeColor="text1"/>
          <w:sz w:val="24"/>
        </w:rPr>
        <w:t>for selected grasses from southern Ethiopia. The soluble fraction (a) ranged from 31.6–52.5 ml (mean: 40.84 ml), while the insoluble degradable fraction (b) ranged from 52.3–93.11 ml. The rate constant (c) ranged from 0.013–0.04 ml/h, with treatments showing higher insoluble fractions (T4: 93.11 ml) exhibiting slower rates (0.025 ml/h) and longer lag times (0.65 h). This pattern reflects the structural complexity of cell wall components requiring extended microbial colonization time.</w:t>
      </w:r>
      <w:bookmarkStart w:id="47" w:name="_Toc184070865"/>
    </w:p>
    <w:p w:rsidR="002877C8" w:rsidRPr="00714EDF" w:rsidRDefault="002877C8" w:rsidP="00714EDF">
      <w:pPr>
        <w:spacing w:line="360" w:lineRule="auto"/>
        <w:jc w:val="both"/>
        <w:rPr>
          <w:rFonts w:ascii="Times New Roman" w:hAnsi="Times New Roman" w:cs="Times New Roman"/>
          <w:b/>
          <w:color w:val="FF0000"/>
          <w:sz w:val="24"/>
        </w:rPr>
      </w:pPr>
      <w:r w:rsidRPr="00714EDF">
        <w:rPr>
          <w:rFonts w:ascii="Times New Roman" w:hAnsi="Times New Roman" w:cs="Times New Roman"/>
          <w:b/>
          <w:sz w:val="24"/>
        </w:rPr>
        <w:t>Effect of intercropping</w:t>
      </w:r>
      <w:r w:rsidR="00853319" w:rsidRPr="00714EDF">
        <w:rPr>
          <w:rFonts w:ascii="Times New Roman" w:hAnsi="Times New Roman" w:cs="Times New Roman"/>
          <w:b/>
          <w:sz w:val="24"/>
        </w:rPr>
        <w:t xml:space="preserve"> on</w:t>
      </w:r>
      <w:r w:rsidRPr="00714EDF">
        <w:rPr>
          <w:rFonts w:ascii="Times New Roman" w:hAnsi="Times New Roman" w:cs="Times New Roman"/>
          <w:b/>
          <w:sz w:val="24"/>
        </w:rPr>
        <w:t xml:space="preserve"> organic matter digestibility, metabolizable energy and short-chain fatty acid</w:t>
      </w:r>
      <w:bookmarkEnd w:id="47"/>
      <w:r w:rsidRPr="00714EDF">
        <w:rPr>
          <w:rFonts w:ascii="Times New Roman" w:hAnsi="Times New Roman" w:cs="Times New Roman"/>
          <w:b/>
          <w:sz w:val="24"/>
        </w:rPr>
        <w:t xml:space="preserve"> </w:t>
      </w:r>
    </w:p>
    <w:p w:rsidR="008C4F9D" w:rsidRPr="00BC4E2E" w:rsidRDefault="00621E55" w:rsidP="008C4F9D">
      <w:pPr>
        <w:spacing w:line="360" w:lineRule="auto"/>
        <w:jc w:val="both"/>
        <w:rPr>
          <w:rFonts w:ascii="Times New Roman" w:hAnsi="Times New Roman" w:cs="Times New Roman"/>
          <w:color w:val="000000" w:themeColor="text1"/>
          <w:sz w:val="24"/>
        </w:rPr>
      </w:pPr>
      <w:r w:rsidRPr="00BC4E2E">
        <w:rPr>
          <w:rFonts w:ascii="Times New Roman" w:hAnsi="Times New Roman" w:cs="Times New Roman"/>
          <w:color w:val="000000" w:themeColor="text1"/>
          <w:sz w:val="24"/>
        </w:rPr>
        <w:t>The</w:t>
      </w:r>
      <w:r w:rsidR="00D51B8F" w:rsidRPr="00BC4E2E">
        <w:rPr>
          <w:rFonts w:ascii="Times New Roman" w:hAnsi="Times New Roman" w:cs="Times New Roman"/>
          <w:color w:val="000000" w:themeColor="text1"/>
          <w:sz w:val="24"/>
        </w:rPr>
        <w:t>re</w:t>
      </w:r>
      <w:r w:rsidR="00853319" w:rsidRPr="00BC4E2E">
        <w:rPr>
          <w:rFonts w:ascii="Times New Roman" w:hAnsi="Times New Roman" w:cs="Times New Roman"/>
          <w:color w:val="000000" w:themeColor="text1"/>
          <w:sz w:val="24"/>
        </w:rPr>
        <w:t> were</w:t>
      </w:r>
      <w:r w:rsidR="00001BA8" w:rsidRPr="00BC4E2E">
        <w:rPr>
          <w:rFonts w:ascii="Times New Roman" w:hAnsi="Times New Roman" w:cs="Times New Roman"/>
          <w:color w:val="000000" w:themeColor="text1"/>
          <w:sz w:val="24"/>
        </w:rPr>
        <w:t xml:space="preserve"> </w:t>
      </w:r>
      <w:r w:rsidR="003C4794" w:rsidRPr="00BC4E2E">
        <w:rPr>
          <w:rFonts w:ascii="Times New Roman" w:hAnsi="Times New Roman" w:cs="Times New Roman"/>
          <w:color w:val="000000" w:themeColor="text1"/>
          <w:sz w:val="24"/>
        </w:rPr>
        <w:t>significant variation</w:t>
      </w:r>
      <w:r w:rsidR="00853319" w:rsidRPr="00BC4E2E">
        <w:rPr>
          <w:rFonts w:ascii="Times New Roman" w:hAnsi="Times New Roman" w:cs="Times New Roman"/>
          <w:color w:val="000000" w:themeColor="text1"/>
          <w:sz w:val="24"/>
        </w:rPr>
        <w:t>s (p&lt;0.05)</w:t>
      </w:r>
      <w:r w:rsidR="003C4794" w:rsidRPr="00BC4E2E">
        <w:rPr>
          <w:rFonts w:ascii="Times New Roman" w:hAnsi="Times New Roman" w:cs="Times New Roman"/>
          <w:color w:val="000000" w:themeColor="text1"/>
          <w:sz w:val="24"/>
        </w:rPr>
        <w:t xml:space="preserve"> </w:t>
      </w:r>
      <w:r w:rsidR="00853319" w:rsidRPr="00BC4E2E">
        <w:rPr>
          <w:rFonts w:ascii="Times New Roman" w:hAnsi="Times New Roman" w:cs="Times New Roman"/>
          <w:color w:val="000000" w:themeColor="text1"/>
          <w:sz w:val="24"/>
        </w:rPr>
        <w:t xml:space="preserve">in </w:t>
      </w:r>
      <w:r w:rsidR="0012097C" w:rsidRPr="00BC4E2E">
        <w:rPr>
          <w:rFonts w:ascii="Times New Roman" w:hAnsi="Times New Roman" w:cs="Times New Roman"/>
          <w:color w:val="000000" w:themeColor="text1"/>
          <w:sz w:val="24"/>
        </w:rPr>
        <w:t>o</w:t>
      </w:r>
      <w:r w:rsidR="0025262A" w:rsidRPr="00BC4E2E">
        <w:rPr>
          <w:rFonts w:ascii="Times New Roman" w:hAnsi="Times New Roman" w:cs="Times New Roman"/>
          <w:color w:val="000000" w:themeColor="text1"/>
          <w:sz w:val="24"/>
        </w:rPr>
        <w:t>rganic matter digestibility, metabolizable energy</w:t>
      </w:r>
      <w:r w:rsidR="00C92375" w:rsidRPr="00BC4E2E">
        <w:rPr>
          <w:rFonts w:ascii="Times New Roman" w:hAnsi="Times New Roman" w:cs="Times New Roman"/>
          <w:color w:val="000000" w:themeColor="text1"/>
          <w:sz w:val="24"/>
        </w:rPr>
        <w:t>,</w:t>
      </w:r>
      <w:r w:rsidR="0025262A" w:rsidRPr="00BC4E2E">
        <w:rPr>
          <w:rFonts w:ascii="Times New Roman" w:hAnsi="Times New Roman" w:cs="Times New Roman"/>
          <w:color w:val="000000" w:themeColor="text1"/>
          <w:sz w:val="24"/>
        </w:rPr>
        <w:t xml:space="preserve"> and</w:t>
      </w:r>
      <w:r w:rsidR="009D2F91" w:rsidRPr="00BC4E2E">
        <w:rPr>
          <w:rFonts w:ascii="Times New Roman" w:hAnsi="Times New Roman" w:cs="Times New Roman"/>
          <w:color w:val="000000" w:themeColor="text1"/>
          <w:sz w:val="24"/>
        </w:rPr>
        <w:t xml:space="preserve"> short-chain fatty acid</w:t>
      </w:r>
      <w:r w:rsidR="0025262A" w:rsidRPr="00BC4E2E">
        <w:rPr>
          <w:rFonts w:ascii="Times New Roman" w:hAnsi="Times New Roman" w:cs="Times New Roman"/>
          <w:color w:val="000000" w:themeColor="text1"/>
          <w:sz w:val="24"/>
        </w:rPr>
        <w:t xml:space="preserve"> production </w:t>
      </w:r>
      <w:r w:rsidR="00853319" w:rsidRPr="00BC4E2E">
        <w:rPr>
          <w:rFonts w:ascii="Times New Roman" w:hAnsi="Times New Roman" w:cs="Times New Roman"/>
          <w:color w:val="000000" w:themeColor="text1"/>
          <w:sz w:val="24"/>
        </w:rPr>
        <w:t>among</w:t>
      </w:r>
      <w:r w:rsidR="0025262A" w:rsidRPr="00BC4E2E">
        <w:rPr>
          <w:rFonts w:ascii="Times New Roman" w:hAnsi="Times New Roman" w:cs="Times New Roman"/>
          <w:color w:val="000000" w:themeColor="text1"/>
          <w:sz w:val="24"/>
        </w:rPr>
        <w:t xml:space="preserve"> intercropped crops </w:t>
      </w:r>
      <w:r w:rsidR="00853319" w:rsidRPr="00BC4E2E">
        <w:rPr>
          <w:rFonts w:ascii="Times New Roman" w:hAnsi="Times New Roman" w:cs="Times New Roman"/>
          <w:color w:val="000000" w:themeColor="text1"/>
          <w:sz w:val="24"/>
        </w:rPr>
        <w:t xml:space="preserve">as presented in </w:t>
      </w:r>
      <w:r w:rsidR="0004295A" w:rsidRPr="00BC4E2E">
        <w:rPr>
          <w:rFonts w:ascii="Times New Roman" w:hAnsi="Times New Roman" w:cs="Times New Roman"/>
          <w:color w:val="000000" w:themeColor="text1"/>
          <w:sz w:val="24"/>
        </w:rPr>
        <w:t>(table 6</w:t>
      </w:r>
      <w:r w:rsidR="0025262A" w:rsidRPr="00BC4E2E">
        <w:rPr>
          <w:rFonts w:ascii="Times New Roman" w:hAnsi="Times New Roman" w:cs="Times New Roman"/>
          <w:color w:val="000000" w:themeColor="text1"/>
          <w:sz w:val="24"/>
        </w:rPr>
        <w:t>)</w:t>
      </w:r>
      <w:r w:rsidRPr="00BC4E2E">
        <w:rPr>
          <w:rFonts w:ascii="Times New Roman" w:hAnsi="Times New Roman" w:cs="Times New Roman"/>
          <w:color w:val="000000" w:themeColor="text1"/>
          <w:sz w:val="24"/>
        </w:rPr>
        <w:t>.</w:t>
      </w:r>
      <w:r w:rsidR="006E16F4" w:rsidRPr="00BC4E2E">
        <w:rPr>
          <w:rFonts w:ascii="Times New Roman" w:hAnsi="Times New Roman" w:cs="Times New Roman"/>
          <w:color w:val="000000" w:themeColor="text1"/>
          <w:sz w:val="24"/>
        </w:rPr>
        <w:t xml:space="preserve"> The highest</w:t>
      </w:r>
      <w:r w:rsidR="00853319" w:rsidRPr="00BC4E2E">
        <w:rPr>
          <w:rFonts w:ascii="Times New Roman" w:hAnsi="Times New Roman" w:cs="Times New Roman"/>
          <w:color w:val="000000" w:themeColor="text1"/>
          <w:sz w:val="24"/>
        </w:rPr>
        <w:t xml:space="preserve"> OMD % (81.6)</w:t>
      </w:r>
      <w:r w:rsidR="006E16F4" w:rsidRPr="00BC4E2E">
        <w:rPr>
          <w:rFonts w:ascii="Times New Roman" w:hAnsi="Times New Roman" w:cs="Times New Roman"/>
          <w:color w:val="000000" w:themeColor="text1"/>
          <w:sz w:val="24"/>
        </w:rPr>
        <w:t xml:space="preserve"> </w:t>
      </w:r>
      <w:r w:rsidR="00556F4D" w:rsidRPr="00BC4E2E">
        <w:rPr>
          <w:rFonts w:ascii="Times New Roman" w:hAnsi="Times New Roman" w:cs="Times New Roman"/>
          <w:color w:val="000000" w:themeColor="text1"/>
          <w:sz w:val="24"/>
        </w:rPr>
        <w:t>and</w:t>
      </w:r>
      <w:r w:rsidR="009D2F91" w:rsidRPr="00BC4E2E">
        <w:rPr>
          <w:rFonts w:ascii="Times New Roman" w:hAnsi="Times New Roman" w:cs="Times New Roman"/>
          <w:color w:val="000000" w:themeColor="text1"/>
          <w:sz w:val="24"/>
        </w:rPr>
        <w:t xml:space="preserve"> the</w:t>
      </w:r>
      <w:r w:rsidR="00556F4D" w:rsidRPr="00BC4E2E">
        <w:rPr>
          <w:rFonts w:ascii="Times New Roman" w:hAnsi="Times New Roman" w:cs="Times New Roman"/>
          <w:color w:val="000000" w:themeColor="text1"/>
          <w:sz w:val="24"/>
        </w:rPr>
        <w:t xml:space="preserve"> l</w:t>
      </w:r>
      <w:r w:rsidR="00655286" w:rsidRPr="00BC4E2E">
        <w:rPr>
          <w:rFonts w:ascii="Times New Roman" w:hAnsi="Times New Roman" w:cs="Times New Roman"/>
          <w:color w:val="000000" w:themeColor="text1"/>
          <w:sz w:val="24"/>
        </w:rPr>
        <w:t>owest OMD %</w:t>
      </w:r>
      <w:r w:rsidR="00853319" w:rsidRPr="00BC4E2E">
        <w:rPr>
          <w:rFonts w:ascii="Times New Roman" w:hAnsi="Times New Roman" w:cs="Times New Roman"/>
          <w:color w:val="000000" w:themeColor="text1"/>
          <w:sz w:val="24"/>
        </w:rPr>
        <w:t xml:space="preserve"> (56.9)</w:t>
      </w:r>
      <w:r w:rsidR="00655286" w:rsidRPr="00BC4E2E">
        <w:rPr>
          <w:rFonts w:ascii="Times New Roman" w:hAnsi="Times New Roman" w:cs="Times New Roman"/>
          <w:color w:val="000000" w:themeColor="text1"/>
          <w:sz w:val="24"/>
        </w:rPr>
        <w:t xml:space="preserve"> were </w:t>
      </w:r>
      <w:r w:rsidR="00853319" w:rsidRPr="00BC4E2E">
        <w:rPr>
          <w:rFonts w:ascii="Times New Roman" w:hAnsi="Times New Roman" w:cs="Times New Roman"/>
          <w:color w:val="000000" w:themeColor="text1"/>
          <w:sz w:val="24"/>
        </w:rPr>
        <w:t>obtained</w:t>
      </w:r>
      <w:r w:rsidR="00655286" w:rsidRPr="00BC4E2E">
        <w:rPr>
          <w:rFonts w:ascii="Times New Roman" w:hAnsi="Times New Roman" w:cs="Times New Roman"/>
          <w:color w:val="000000" w:themeColor="text1"/>
          <w:sz w:val="24"/>
        </w:rPr>
        <w:t xml:space="preserve"> from T3</w:t>
      </w:r>
      <w:r w:rsidR="00556F4D" w:rsidRPr="00BC4E2E">
        <w:rPr>
          <w:rFonts w:ascii="Times New Roman" w:hAnsi="Times New Roman" w:cs="Times New Roman"/>
          <w:color w:val="000000" w:themeColor="text1"/>
          <w:sz w:val="24"/>
        </w:rPr>
        <w:t xml:space="preserve"> </w:t>
      </w:r>
      <w:r w:rsidR="0025262A" w:rsidRPr="00BC4E2E">
        <w:rPr>
          <w:rFonts w:ascii="Times New Roman" w:hAnsi="Times New Roman" w:cs="Times New Roman"/>
          <w:color w:val="000000" w:themeColor="text1"/>
          <w:sz w:val="24"/>
        </w:rPr>
        <w:t>and T</w:t>
      </w:r>
      <w:r w:rsidR="00655286" w:rsidRPr="00BC4E2E">
        <w:rPr>
          <w:rFonts w:ascii="Times New Roman" w:hAnsi="Times New Roman" w:cs="Times New Roman"/>
          <w:color w:val="000000" w:themeColor="text1"/>
          <w:sz w:val="24"/>
        </w:rPr>
        <w:t xml:space="preserve">5 </w:t>
      </w:r>
      <w:r w:rsidR="00556F4D" w:rsidRPr="00BC4E2E">
        <w:rPr>
          <w:rFonts w:ascii="Times New Roman" w:hAnsi="Times New Roman" w:cs="Times New Roman"/>
          <w:color w:val="000000" w:themeColor="text1"/>
          <w:sz w:val="24"/>
        </w:rPr>
        <w:t>respectively. This variation</w:t>
      </w:r>
      <w:r w:rsidR="00667ACE" w:rsidRPr="00BC4E2E">
        <w:rPr>
          <w:rFonts w:ascii="Times New Roman" w:hAnsi="Times New Roman" w:cs="Times New Roman"/>
          <w:color w:val="000000" w:themeColor="text1"/>
          <w:sz w:val="24"/>
        </w:rPr>
        <w:t xml:space="preserve"> was exhibited</w:t>
      </w:r>
      <w:r w:rsidR="002B3967" w:rsidRPr="00BC4E2E">
        <w:rPr>
          <w:rFonts w:ascii="Times New Roman" w:hAnsi="Times New Roman" w:cs="Times New Roman"/>
          <w:color w:val="000000" w:themeColor="text1"/>
          <w:sz w:val="24"/>
        </w:rPr>
        <w:t xml:space="preserve"> in</w:t>
      </w:r>
      <w:r w:rsidR="00667ACE" w:rsidRPr="00BC4E2E">
        <w:rPr>
          <w:rFonts w:ascii="Times New Roman" w:hAnsi="Times New Roman" w:cs="Times New Roman"/>
          <w:color w:val="000000" w:themeColor="text1"/>
          <w:sz w:val="24"/>
        </w:rPr>
        <w:t xml:space="preserve"> different varieties of forage intercropped</w:t>
      </w:r>
      <w:r w:rsidR="00556F4D" w:rsidRPr="00BC4E2E">
        <w:rPr>
          <w:rFonts w:ascii="Times New Roman" w:hAnsi="Times New Roman" w:cs="Times New Roman"/>
          <w:color w:val="000000" w:themeColor="text1"/>
          <w:sz w:val="24"/>
        </w:rPr>
        <w:t xml:space="preserve"> </w:t>
      </w:r>
      <w:r w:rsidR="00667ACE" w:rsidRPr="00BC4E2E">
        <w:rPr>
          <w:rFonts w:ascii="Times New Roman" w:hAnsi="Times New Roman" w:cs="Times New Roman"/>
          <w:color w:val="000000" w:themeColor="text1"/>
          <w:sz w:val="24"/>
        </w:rPr>
        <w:t>that contained different</w:t>
      </w:r>
      <w:r w:rsidR="00556F4D" w:rsidRPr="00BC4E2E">
        <w:rPr>
          <w:rFonts w:ascii="Times New Roman" w:hAnsi="Times New Roman" w:cs="Times New Roman"/>
          <w:color w:val="000000" w:themeColor="text1"/>
          <w:sz w:val="24"/>
        </w:rPr>
        <w:t xml:space="preserve"> cell wall contents.</w:t>
      </w:r>
      <w:r w:rsidR="008C4F9D" w:rsidRPr="00BC4E2E">
        <w:rPr>
          <w:rFonts w:ascii="Times New Roman" w:hAnsi="Times New Roman" w:cs="Times New Roman"/>
          <w:color w:val="000000" w:themeColor="text1"/>
          <w:sz w:val="24"/>
        </w:rPr>
        <w:t xml:space="preserve"> OMD, ME, and SCFA production differed significantly (p &lt; 0.05) among treatments (Table 6). OMD ranged from 56.9% to 81.6%, representing a 43.4% difference between treatments. T3 achieved the highest OMD (81.6%), while T5 recorded the lowest (56.9%). SCFA production ranged from 0.94 to 1.61 mmol, with T3 producing 71.3% more SCFA than T5. This pattern aligned with gas production volumes, where higher SCFA corresponded with higher total gas and OMD values. Mixtures with higher oat proportions and fewer legumes showed higher ME and OMD values. The OMD values (56.9–81.6%) exceeded those reported by </w:t>
      </w:r>
      <w:r w:rsidR="000D6068" w:rsidRPr="00BC4E2E">
        <w:rPr>
          <w:rFonts w:ascii="Times New Roman" w:hAnsi="Times New Roman" w:cs="Times New Roman"/>
          <w:color w:val="000000" w:themeColor="text1"/>
          <w:sz w:val="24"/>
        </w:rPr>
        <w:fldChar w:fldCharType="begin"/>
      </w:r>
      <w:r w:rsidR="00B0363A" w:rsidRPr="00BC4E2E">
        <w:rPr>
          <w:rFonts w:ascii="Times New Roman" w:hAnsi="Times New Roman" w:cs="Times New Roman"/>
          <w:color w:val="000000" w:themeColor="text1"/>
          <w:sz w:val="24"/>
        </w:rPr>
        <w:instrText xml:space="preserve"> ADDIN EN.CITE &lt;EndNote&gt;&lt;Cite AuthorYear="1"&gt;&lt;Author&gt;Njidda&lt;/Author&gt;&lt;Year&gt;2010&lt;/Year&gt;&lt;RecNum&gt;109&lt;/RecNum&gt;&lt;DisplayText&gt;Njidda and Nasiru (2010)&lt;/DisplayText&gt;&lt;record&gt;&lt;rec-number&gt;109&lt;/rec-number&gt;&lt;foreign-keys&gt;&lt;key app="EN" db-id="5ee0etwro2xdtheaap2xr5f6dpxvrsx2v0t5"&gt;109&lt;/key&gt;&lt;/foreign-keys&gt;&lt;ref-type name="Journal Article"&gt;17&lt;/ref-type&gt;&lt;contributors&gt;&lt;authors&gt;&lt;author&gt;Njidda, AA&lt;/author&gt;&lt;author&gt;Nasiru, A&lt;/author&gt;&lt;/authors&gt;&lt;/contributors&gt;&lt;titles&gt;&lt;title&gt;In vitro gas production and dry matter digestibility of tannin-containing forages of semi-arid region of north-eastern Nigeria&lt;/title&gt;&lt;secondary-title&gt;Pakistan Journal of Nutrition&lt;/secondary-title&gt;&lt;/titles&gt;&lt;periodical&gt;&lt;full-title&gt;Pakistan Journal of Nutrition&lt;/full-title&gt;&lt;/periodical&gt;&lt;pages&gt;60-66&lt;/pages&gt;&lt;volume&gt;9&lt;/volume&gt;&lt;number&gt;1&lt;/number&gt;&lt;dates&gt;&lt;year&gt;2010&lt;/year&gt;&lt;/dates&gt;&lt;isbn&gt;1680-5194&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54" w:tooltip="Njidda, 2010 #109" w:history="1">
        <w:r w:rsidR="00BC4E2E" w:rsidRPr="00BC4E2E">
          <w:rPr>
            <w:rFonts w:ascii="Times New Roman" w:hAnsi="Times New Roman" w:cs="Times New Roman"/>
            <w:noProof/>
            <w:color w:val="000000" w:themeColor="text1"/>
            <w:sz w:val="24"/>
          </w:rPr>
          <w:t>Njidda and Nasiru (2010</w:t>
        </w:r>
      </w:hyperlink>
      <w:r w:rsidR="00B0363A"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0363A"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t xml:space="preserve">for semi-arid browsers in northeastern Nigeria, but were lower than values reported by </w:t>
      </w:r>
      <w:r w:rsidR="000D6068" w:rsidRPr="00BC4E2E">
        <w:rPr>
          <w:rFonts w:ascii="Times New Roman" w:hAnsi="Times New Roman" w:cs="Times New Roman"/>
          <w:color w:val="000000" w:themeColor="text1"/>
          <w:sz w:val="24"/>
        </w:rPr>
        <w:fldChar w:fldCharType="begin"/>
      </w:r>
      <w:r w:rsidR="00B0363A" w:rsidRPr="00BC4E2E">
        <w:rPr>
          <w:rFonts w:ascii="Times New Roman" w:hAnsi="Times New Roman" w:cs="Times New Roman"/>
          <w:color w:val="000000" w:themeColor="text1"/>
          <w:sz w:val="24"/>
        </w:rPr>
        <w:instrText xml:space="preserve"> ADDIN EN.CITE &lt;EndNote&gt;&lt;Cite AuthorYear="1"&gt;&lt;Author&gt;Kechero&lt;/Author&gt;&lt;Year&gt;2017&lt;/Year&gt;&lt;RecNum&gt;110&lt;/RecNum&gt;&lt;DisplayText&gt;Kechero&lt;style face="italic"&gt; et al.&lt;/style&gt; (2017)&lt;/DisplayText&gt;&lt;record&gt;&lt;rec-number&gt;110&lt;/rec-number&gt;&lt;foreign-keys&gt;&lt;key app="EN" db-id="5ee0etwro2xdtheaap2xr5f6dpxvrsx2v0t5"&gt;110&lt;/key&gt;&lt;/foreign-keys&gt;&lt;ref-type name="Book"&gt;6&lt;/ref-type&gt;&lt;contributors&gt;&lt;authors&gt;&lt;author&gt;Kechero, Yisehak&lt;/author&gt;&lt;author&gt;Bedewi, Afework&lt;/author&gt;&lt;author&gt;Getnet, Assefa&lt;/author&gt;&lt;/authors&gt;&lt;/contributors&gt;&lt;titles&gt;&lt;title&gt;Tannin binding agents. Comparison of the effects of various tannin binding agents on nutritive value of leaves of tropical tannin rich fodder trees&lt;/title&gt;&lt;/titles&gt;&lt;dates&gt;&lt;year&gt;2017&lt;/year&gt;&lt;/dates&gt;&lt;publisher&gt;GRIN Verlag&lt;/publisher&gt;&lt;isbn&gt;3668386234&lt;/isbn&gt;&lt;urls&gt;&lt;/urls&gt;&lt;/record&gt;&lt;/Cite&gt;&lt;/EndNote&gt;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36" w:tooltip="Kechero, 2017 #110" w:history="1">
        <w:r w:rsidR="00BC4E2E" w:rsidRPr="00BC4E2E">
          <w:rPr>
            <w:rFonts w:ascii="Times New Roman" w:hAnsi="Times New Roman" w:cs="Times New Roman"/>
            <w:noProof/>
            <w:color w:val="000000" w:themeColor="text1"/>
            <w:sz w:val="24"/>
          </w:rPr>
          <w:t>Kechero</w:t>
        </w:r>
        <w:r w:rsidR="00BC4E2E" w:rsidRPr="00BC4E2E">
          <w:rPr>
            <w:rFonts w:ascii="Times New Roman" w:hAnsi="Times New Roman" w:cs="Times New Roman"/>
            <w:i/>
            <w:noProof/>
            <w:color w:val="000000" w:themeColor="text1"/>
            <w:sz w:val="24"/>
          </w:rPr>
          <w:t xml:space="preserve"> et al.</w:t>
        </w:r>
        <w:r w:rsidR="00BC4E2E" w:rsidRPr="00BC4E2E">
          <w:rPr>
            <w:rFonts w:ascii="Times New Roman" w:hAnsi="Times New Roman" w:cs="Times New Roman"/>
            <w:noProof/>
            <w:color w:val="000000" w:themeColor="text1"/>
            <w:sz w:val="24"/>
          </w:rPr>
          <w:t xml:space="preserve"> (2017</w:t>
        </w:r>
      </w:hyperlink>
      <w:r w:rsidR="00B0363A"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0363A"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t>for tannin-rich tree leaves. The positive relationship b</w:t>
      </w:r>
      <w:r w:rsidR="00BC4E2E" w:rsidRPr="00BC4E2E">
        <w:rPr>
          <w:rFonts w:ascii="Times New Roman" w:hAnsi="Times New Roman" w:cs="Times New Roman"/>
          <w:color w:val="000000" w:themeColor="text1"/>
          <w:sz w:val="24"/>
        </w:rPr>
        <w:t xml:space="preserve">etween SCFA and gas production </w:t>
      </w:r>
      <w:r w:rsidR="008C4F9D" w:rsidRPr="00BC4E2E">
        <w:rPr>
          <w:rFonts w:ascii="Times New Roman" w:hAnsi="Times New Roman" w:cs="Times New Roman"/>
          <w:color w:val="000000" w:themeColor="text1"/>
          <w:sz w:val="24"/>
        </w:rPr>
        <w:t>documented by</w:t>
      </w:r>
      <w:r w:rsidR="00BC4E2E" w:rsidRPr="00BC4E2E">
        <w:rPr>
          <w:rFonts w:ascii="Times New Roman" w:hAnsi="Times New Roman" w:cs="Times New Roman"/>
          <w:color w:val="000000" w:themeColor="text1"/>
          <w:sz w:val="24"/>
        </w:rPr>
        <w:t xml:space="preserve"> </w:t>
      </w:r>
      <w:r w:rsidR="000D6068" w:rsidRPr="00BC4E2E">
        <w:rPr>
          <w:rFonts w:ascii="Times New Roman" w:hAnsi="Times New Roman" w:cs="Times New Roman"/>
          <w:color w:val="000000" w:themeColor="text1"/>
          <w:sz w:val="24"/>
        </w:rPr>
        <w:fldChar w:fldCharType="begin"/>
      </w:r>
      <w:r w:rsidR="00BC4E2E" w:rsidRPr="00BC4E2E">
        <w:rPr>
          <w:rFonts w:ascii="Times New Roman" w:hAnsi="Times New Roman" w:cs="Times New Roman"/>
          <w:color w:val="000000" w:themeColor="text1"/>
          <w:sz w:val="24"/>
        </w:rPr>
        <w:instrText xml:space="preserve"> ADDIN EN.CITE &lt;EndNote&gt;&lt;Cite AuthorYear="1"&gt;&lt;Author&gt;Getachew&lt;/Author&gt;&lt;Year&gt;2002&lt;/Year&gt;&lt;RecNum&gt;111&lt;/RecNum&gt;&lt;DisplayText&gt;Getachew&lt;style face="italic"&gt; et al.&lt;/style&gt; (2002)&lt;/DisplayText&gt;&lt;record&gt;&lt;rec-number&gt;111&lt;/rec-number&gt;&lt;foreign-keys&gt;&lt;key app="EN" db-id="5ee0etwro2xdtheaap2xr5f6dpxvrsx2v0t5"&gt;111&lt;/key&gt;&lt;/foreign-keys&gt;&lt;ref-type name="Journal Article"&gt;17&lt;/ref-type&gt;&lt;contributors&gt;&lt;authors&gt;&lt;author&gt;Getachew, Girma&lt;/author&gt;&lt;author&gt;Makkar, HPS&lt;/author&gt;&lt;author&gt;Becker, K&lt;/author&gt;&lt;/authors&gt;&lt;/contributors&gt;&lt;titles&gt;&lt;title&gt;Tropical browses: contents of phenolic compounds, in vitro gas production and stoichiometric relationship between short chain fatty acid and in vitro gas production&lt;/title&gt;&lt;secondary-title&gt;The Journal of Agricultural Science&lt;/secondary-title&gt;&lt;/titles&gt;&lt;periodical&gt;&lt;full-title&gt;The Journal of Agricultural Science&lt;/full-title&gt;&lt;/periodical&gt;&lt;pages&gt;341-352&lt;/pages&gt;&lt;volume&gt;139&lt;/volume&gt;&lt;number&gt;3&lt;/number&gt;&lt;dates&gt;&lt;year&gt;2002&lt;/year&gt;&lt;/dates&gt;&lt;isbn&gt;1469-5146&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26" w:tooltip="Getachew, 2002 #111" w:history="1">
        <w:r w:rsidR="00BC4E2E" w:rsidRPr="00BC4E2E">
          <w:rPr>
            <w:rFonts w:ascii="Times New Roman" w:hAnsi="Times New Roman" w:cs="Times New Roman"/>
            <w:noProof/>
            <w:color w:val="000000" w:themeColor="text1"/>
            <w:sz w:val="24"/>
          </w:rPr>
          <w:t>Getachew</w:t>
        </w:r>
        <w:r w:rsidR="00BC4E2E" w:rsidRPr="00BC4E2E">
          <w:rPr>
            <w:rFonts w:ascii="Times New Roman" w:hAnsi="Times New Roman" w:cs="Times New Roman"/>
            <w:i/>
            <w:noProof/>
            <w:color w:val="000000" w:themeColor="text1"/>
            <w:sz w:val="24"/>
          </w:rPr>
          <w:t xml:space="preserve"> et al.</w:t>
        </w:r>
        <w:r w:rsidR="00BC4E2E" w:rsidRPr="00BC4E2E">
          <w:rPr>
            <w:rFonts w:ascii="Times New Roman" w:hAnsi="Times New Roman" w:cs="Times New Roman"/>
            <w:noProof/>
            <w:color w:val="000000" w:themeColor="text1"/>
            <w:sz w:val="24"/>
          </w:rPr>
          <w:t xml:space="preserve"> (2002</w:t>
        </w:r>
      </w:hyperlink>
      <w:r w:rsidR="00BC4E2E"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C4E2E"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t>was evident: T3's 71.3% higher SCFA production corresponded with its 43.4% higher OMD, indicating more efficient carbohydrate fermentation and energy availability</w:t>
      </w:r>
    </w:p>
    <w:p w:rsidR="0084699B" w:rsidRPr="007D6211" w:rsidRDefault="007D6211" w:rsidP="007D6211">
      <w:pPr>
        <w:pStyle w:val="Caption"/>
        <w:spacing w:line="276" w:lineRule="auto"/>
        <w:rPr>
          <w:rFonts w:cs="Times New Roman"/>
          <w:b w:val="0"/>
          <w:sz w:val="24"/>
          <w:szCs w:val="24"/>
        </w:rPr>
      </w:pPr>
      <w:bookmarkStart w:id="48" w:name="_Toc187696847"/>
      <w:r w:rsidRPr="007D6211">
        <w:rPr>
          <w:b w:val="0"/>
          <w:sz w:val="24"/>
        </w:rPr>
        <w:t>Table</w:t>
      </w:r>
      <w:r w:rsidR="001B58DF">
        <w:rPr>
          <w:b w:val="0"/>
          <w:sz w:val="24"/>
        </w:rPr>
        <w:t> 8</w:t>
      </w:r>
      <w:r w:rsidRPr="007D6211">
        <w:rPr>
          <w:b w:val="0"/>
          <w:sz w:val="24"/>
        </w:rPr>
        <w:t>: Effect of intercropped, row arrangements and interactions on organic matter digestibility, metabolizable energy and short chain fatty acids production of oats intercropped with vetch</w:t>
      </w:r>
      <w:bookmarkEnd w:id="48"/>
    </w:p>
    <w:tbl>
      <w:tblPr>
        <w:tblStyle w:val="TableGrid"/>
        <w:tblW w:w="9738" w:type="dxa"/>
        <w:tblLayout w:type="fixed"/>
        <w:tblLook w:val="04A0" w:firstRow="1" w:lastRow="0" w:firstColumn="1" w:lastColumn="0" w:noHBand="0" w:noVBand="1"/>
      </w:tblPr>
      <w:tblGrid>
        <w:gridCol w:w="2538"/>
        <w:gridCol w:w="2340"/>
        <w:gridCol w:w="2520"/>
        <w:gridCol w:w="2340"/>
      </w:tblGrid>
      <w:tr w:rsidR="0013614E" w:rsidRPr="00A97D88" w:rsidTr="00AB0541">
        <w:trPr>
          <w:trHeight w:val="285"/>
        </w:trPr>
        <w:tc>
          <w:tcPr>
            <w:tcW w:w="9738" w:type="dxa"/>
            <w:gridSpan w:val="4"/>
            <w:tcBorders>
              <w:top w:val="thickThinSmallGap" w:sz="24" w:space="0" w:color="auto"/>
              <w:left w:val="nil"/>
              <w:right w:val="nil"/>
            </w:tcBorders>
          </w:tcPr>
          <w:p w:rsidR="007766C2" w:rsidRPr="009357A2" w:rsidRDefault="007766C2" w:rsidP="002877C8">
            <w:pPr>
              <w:jc w:val="both"/>
              <w:rPr>
                <w:rFonts w:ascii="Times New Roman" w:hAnsi="Times New Roman" w:cs="Times New Roman"/>
              </w:rPr>
            </w:pPr>
            <w:r w:rsidRPr="00A97D88">
              <w:rPr>
                <w:rFonts w:eastAsia="Times New Roman"/>
                <w:szCs w:val="24"/>
              </w:rPr>
              <w:t xml:space="preserve">                         </w:t>
            </w:r>
            <w:r w:rsidR="009357A2">
              <w:rPr>
                <w:rFonts w:eastAsia="Times New Roman"/>
                <w:szCs w:val="24"/>
              </w:rPr>
              <w:t xml:space="preserve">                              </w:t>
            </w:r>
            <w:r w:rsidRPr="00A97D88">
              <w:rPr>
                <w:rFonts w:eastAsia="Times New Roman"/>
                <w:szCs w:val="24"/>
              </w:rPr>
              <w:t xml:space="preserve">      </w:t>
            </w:r>
            <w:r w:rsidRPr="009357A2">
              <w:rPr>
                <w:rFonts w:ascii="Times New Roman" w:hAnsi="Times New Roman" w:cs="Times New Roman"/>
              </w:rPr>
              <w:t>Post-incubation at 24hrs</w:t>
            </w:r>
          </w:p>
        </w:tc>
      </w:tr>
      <w:tr w:rsidR="002877C8" w:rsidRPr="00A97D88" w:rsidTr="00AB0541">
        <w:trPr>
          <w:trHeight w:val="255"/>
        </w:trPr>
        <w:tc>
          <w:tcPr>
            <w:tcW w:w="2538" w:type="dxa"/>
            <w:tcBorders>
              <w:left w:val="nil"/>
              <w:bottom w:val="thickThinSmallGap" w:sz="24" w:space="0" w:color="auto"/>
            </w:tcBorders>
          </w:tcPr>
          <w:p w:rsidR="002877C8" w:rsidRPr="009357A2" w:rsidRDefault="002877C8" w:rsidP="009C63AE">
            <w:pPr>
              <w:rPr>
                <w:rFonts w:ascii="Times New Roman" w:eastAsia="Times New Roman" w:hAnsi="Times New Roman" w:cs="Times New Roman"/>
                <w:sz w:val="24"/>
                <w:szCs w:val="24"/>
              </w:rPr>
            </w:pPr>
            <w:r w:rsidRPr="009357A2">
              <w:rPr>
                <w:rFonts w:ascii="Times New Roman" w:eastAsia="Times New Roman" w:hAnsi="Times New Roman" w:cs="Times New Roman"/>
                <w:sz w:val="24"/>
                <w:szCs w:val="24"/>
              </w:rPr>
              <w:t>Intercropped forages</w:t>
            </w:r>
          </w:p>
        </w:tc>
        <w:tc>
          <w:tcPr>
            <w:tcW w:w="2340" w:type="dxa"/>
            <w:tcBorders>
              <w:bottom w:val="thickThinSmallGap" w:sz="24" w:space="0" w:color="auto"/>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OMD (%)</w:t>
            </w:r>
          </w:p>
        </w:tc>
        <w:tc>
          <w:tcPr>
            <w:tcW w:w="2520" w:type="dxa"/>
            <w:tcBorders>
              <w:bottom w:val="thickThinSmallGap" w:sz="24" w:space="0" w:color="auto"/>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ME (MJ/kg DM)</w:t>
            </w:r>
          </w:p>
        </w:tc>
        <w:tc>
          <w:tcPr>
            <w:tcW w:w="2340" w:type="dxa"/>
            <w:tcBorders>
              <w:bottom w:val="thickThinSmallGap" w:sz="24" w:space="0" w:color="auto"/>
              <w:right w:val="nil"/>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SCFA (mol/L)</w:t>
            </w:r>
          </w:p>
        </w:tc>
      </w:tr>
      <w:tr w:rsidR="0013614E" w:rsidRPr="00A97D88" w:rsidTr="00AB0541">
        <w:tc>
          <w:tcPr>
            <w:tcW w:w="2538" w:type="dxa"/>
            <w:tcBorders>
              <w:top w:val="thickThinSmallGap" w:sz="2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Bonsa+c</w:t>
            </w:r>
          </w:p>
        </w:tc>
        <w:tc>
          <w:tcPr>
            <w:tcW w:w="2340" w:type="dxa"/>
            <w:tcBorders>
              <w:top w:val="thickThinSmallGap" w:sz="24" w:space="0" w:color="auto"/>
              <w:left w:val="nil"/>
              <w:bottom w:val="nil"/>
              <w:right w:val="nil"/>
            </w:tcBorders>
          </w:tcPr>
          <w:p w:rsidR="007766C2" w:rsidRPr="00A97D88" w:rsidRDefault="001344FE"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67.24</w:t>
            </w:r>
            <w:r w:rsidRPr="00A97D88">
              <w:rPr>
                <w:rFonts w:ascii="Times New Roman" w:eastAsia="Times New Roman" w:hAnsi="Times New Roman" w:cs="Times New Roman"/>
                <w:sz w:val="24"/>
                <w:szCs w:val="24"/>
                <w:vertAlign w:val="superscript"/>
              </w:rPr>
              <w:t>b</w:t>
            </w:r>
          </w:p>
        </w:tc>
        <w:tc>
          <w:tcPr>
            <w:tcW w:w="2520" w:type="dxa"/>
            <w:tcBorders>
              <w:top w:val="thickThinSmallGap" w:sz="2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10.08</w:t>
            </w:r>
            <w:r w:rsidRPr="00A97D88">
              <w:rPr>
                <w:rFonts w:ascii="Times New Roman" w:eastAsia="Times New Roman" w:hAnsi="Times New Roman" w:cs="Times New Roman"/>
                <w:sz w:val="24"/>
                <w:szCs w:val="24"/>
                <w:vertAlign w:val="superscript"/>
              </w:rPr>
              <w:t>b</w:t>
            </w:r>
          </w:p>
        </w:tc>
        <w:tc>
          <w:tcPr>
            <w:tcW w:w="2340" w:type="dxa"/>
            <w:tcBorders>
              <w:top w:val="thickThinSmallGap" w:sz="2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1.21</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Bareda+c</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68.7</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1.26</w:t>
            </w:r>
            <w:r w:rsidRPr="00A97D88">
              <w:rPr>
                <w:rFonts w:ascii="Times New Roman" w:eastAsia="Times New Roman" w:hAnsi="Times New Roman" w:cs="Times New Roman"/>
                <w:sz w:val="24"/>
                <w:szCs w:val="24"/>
                <w:vertAlign w:val="superscript"/>
              </w:rPr>
              <w:t>a</w:t>
            </w:r>
          </w:p>
        </w:tc>
      </w:tr>
      <w:tr w:rsidR="0013614E" w:rsidRPr="00A97D88" w:rsidTr="00AB0541">
        <w:tc>
          <w:tcPr>
            <w:tcW w:w="2538" w:type="dxa"/>
            <w:tcBorders>
              <w:top w:val="nil"/>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Bate+c</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63.6</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9.5</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w:t>
            </w:r>
            <w:r w:rsidRPr="00A97D88">
              <w:rPr>
                <w:rFonts w:ascii="Times New Roman" w:eastAsia="Times New Roman" w:hAnsi="Times New Roman" w:cs="Times New Roman"/>
                <w:sz w:val="24"/>
                <w:szCs w:val="24"/>
                <w:vertAlign w:val="superscript"/>
              </w:rPr>
              <w:t>c</w:t>
            </w:r>
          </w:p>
        </w:tc>
      </w:tr>
      <w:tr w:rsidR="0013614E" w:rsidRPr="00A97D88" w:rsidTr="00AB0541">
        <w:tc>
          <w:tcPr>
            <w:tcW w:w="2538" w:type="dxa"/>
            <w:tcBorders>
              <w:top w:val="single" w:sz="4" w:space="0" w:color="auto"/>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AB0541">
        <w:tc>
          <w:tcPr>
            <w:tcW w:w="2538" w:type="dxa"/>
            <w:tcBorders>
              <w:top w:val="single" w:sz="4" w:space="0" w:color="auto"/>
              <w:left w:val="nil"/>
              <w:bottom w:val="nil"/>
              <w:right w:val="nil"/>
            </w:tcBorders>
          </w:tcPr>
          <w:p w:rsidR="007766C2" w:rsidRPr="00A97D88" w:rsidRDefault="006B613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Ro</w:t>
            </w:r>
            <w:r w:rsidR="007766C2" w:rsidRPr="00A97D88">
              <w:rPr>
                <w:rFonts w:ascii="Times New Roman" w:eastAsia="Times New Roman" w:hAnsi="Times New Roman" w:cs="Times New Roman"/>
                <w:sz w:val="24"/>
                <w:szCs w:val="24"/>
              </w:rPr>
              <w:t>w Arrangement</w:t>
            </w: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52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60.28</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9.01</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c</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64.3</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9.63</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1.13</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nil"/>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74.9</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11.28</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1.43</w:t>
            </w:r>
            <w:r w:rsidRPr="00A97D88">
              <w:rPr>
                <w:rFonts w:ascii="Times New Roman" w:eastAsia="Times New Roman" w:hAnsi="Times New Roman" w:cs="Times New Roman"/>
                <w:sz w:val="24"/>
                <w:szCs w:val="24"/>
                <w:vertAlign w:val="superscript"/>
              </w:rPr>
              <w:t>a</w:t>
            </w:r>
          </w:p>
        </w:tc>
      </w:tr>
      <w:tr w:rsidR="0013614E" w:rsidRPr="00A97D88" w:rsidTr="00AB0541">
        <w:tc>
          <w:tcPr>
            <w:tcW w:w="2538" w:type="dxa"/>
            <w:tcBorders>
              <w:top w:val="single" w:sz="4" w:space="0" w:color="auto"/>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AB0541">
        <w:tc>
          <w:tcPr>
            <w:tcW w:w="2538"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Interaction Effect</w:t>
            </w: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52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Bonsa+c*1:1(T1)</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58.08</w:t>
            </w:r>
            <w:r w:rsidRPr="00A97D88">
              <w:rPr>
                <w:rFonts w:ascii="Times New Roman" w:eastAsia="Times New Roman" w:hAnsi="Times New Roman" w:cs="Times New Roman"/>
                <w:sz w:val="24"/>
                <w:szCs w:val="24"/>
                <w:vertAlign w:val="superscript"/>
              </w:rPr>
              <w:t>f</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8.68</w:t>
            </w:r>
            <w:r w:rsidRPr="00A97D88">
              <w:rPr>
                <w:rFonts w:ascii="Times New Roman" w:eastAsia="Times New Roman" w:hAnsi="Times New Roman" w:cs="Times New Roman"/>
                <w:sz w:val="24"/>
                <w:szCs w:val="24"/>
                <w:vertAlign w:val="superscript"/>
              </w:rPr>
              <w:t>f</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0.96</w:t>
            </w:r>
            <w:r w:rsidRPr="00A97D88">
              <w:rPr>
                <w:rFonts w:ascii="Times New Roman" w:eastAsia="Times New Roman" w:hAnsi="Times New Roman" w:cs="Times New Roman"/>
                <w:sz w:val="24"/>
                <w:szCs w:val="24"/>
                <w:vertAlign w:val="superscript"/>
              </w:rPr>
              <w:t>f</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Bonsa+c*1:2 (T2)</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61.9</w:t>
            </w:r>
            <w:r w:rsidRPr="00A97D88">
              <w:rPr>
                <w:rFonts w:ascii="Times New Roman" w:eastAsia="Times New Roman" w:hAnsi="Times New Roman" w:cs="Times New Roman"/>
                <w:sz w:val="24"/>
                <w:szCs w:val="24"/>
                <w:vertAlign w:val="superscript"/>
              </w:rPr>
              <w:t>e</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9.26</w:t>
            </w:r>
            <w:r w:rsidRPr="00A97D88">
              <w:rPr>
                <w:rFonts w:ascii="Times New Roman" w:eastAsia="Times New Roman" w:hAnsi="Times New Roman" w:cs="Times New Roman"/>
                <w:sz w:val="24"/>
                <w:szCs w:val="24"/>
                <w:vertAlign w:val="superscript"/>
              </w:rPr>
              <w:t>e</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r w:rsidRPr="00A97D88">
              <w:rPr>
                <w:rFonts w:ascii="Times New Roman" w:eastAsia="Times New Roman" w:hAnsi="Times New Roman" w:cs="Times New Roman"/>
                <w:sz w:val="24"/>
                <w:szCs w:val="24"/>
                <w:vertAlign w:val="superscript"/>
              </w:rPr>
              <w:t>e</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Bonsa+c*2:1 (T3)</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81.6</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12.3</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1.61</w:t>
            </w:r>
            <w:r w:rsidRPr="00A97D88">
              <w:rPr>
                <w:rFonts w:ascii="Times New Roman" w:eastAsia="Times New Roman" w:hAnsi="Times New Roman" w:cs="Times New Roman"/>
                <w:sz w:val="24"/>
                <w:szCs w:val="24"/>
                <w:vertAlign w:val="superscript"/>
              </w:rPr>
              <w:t>a</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Bareda+c*1:1 (T8)</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65.8</w:t>
            </w:r>
            <w:r w:rsidRPr="00A97D88">
              <w:rPr>
                <w:rFonts w:ascii="Times New Roman" w:eastAsia="Times New Roman" w:hAnsi="Times New Roman" w:cs="Times New Roman"/>
                <w:sz w:val="24"/>
                <w:szCs w:val="24"/>
                <w:vertAlign w:val="superscript"/>
              </w:rPr>
              <w:t>d</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9.86</w:t>
            </w:r>
            <w:r w:rsidRPr="00A97D88">
              <w:rPr>
                <w:rFonts w:ascii="Times New Roman" w:eastAsia="Times New Roman" w:hAnsi="Times New Roman" w:cs="Times New Roman"/>
                <w:sz w:val="24"/>
                <w:szCs w:val="24"/>
                <w:vertAlign w:val="superscript"/>
              </w:rPr>
              <w:t>d</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1.18</w:t>
            </w:r>
            <w:r w:rsidRPr="00A97D88">
              <w:rPr>
                <w:rFonts w:ascii="Times New Roman" w:eastAsia="Times New Roman" w:hAnsi="Times New Roman" w:cs="Times New Roman"/>
                <w:sz w:val="24"/>
                <w:szCs w:val="24"/>
                <w:vertAlign w:val="superscript"/>
              </w:rPr>
              <w:t>d</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Bareda +c*1:2 (T9)</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68.85</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10.32</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1.25</w:t>
            </w:r>
            <w:r w:rsidRPr="00A97D88">
              <w:rPr>
                <w:rFonts w:ascii="Times New Roman" w:eastAsia="Times New Roman" w:hAnsi="Times New Roman" w:cs="Times New Roman"/>
                <w:sz w:val="24"/>
                <w:szCs w:val="24"/>
                <w:vertAlign w:val="superscript"/>
              </w:rPr>
              <w:t>c</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Bareda +c*2:1 (T7)</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71.5</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10.76</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1.35</w:t>
            </w:r>
            <w:r w:rsidRPr="00A97D88">
              <w:rPr>
                <w:rFonts w:ascii="Times New Roman" w:eastAsia="Times New Roman" w:hAnsi="Times New Roman" w:cs="Times New Roman"/>
                <w:sz w:val="24"/>
                <w:szCs w:val="24"/>
                <w:vertAlign w:val="superscript"/>
              </w:rPr>
              <w:t>b</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Bate+C*1:1 (T5)</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56.9</w:t>
            </w:r>
            <w:r w:rsidRPr="00A97D88">
              <w:rPr>
                <w:rFonts w:ascii="Times New Roman" w:eastAsia="Times New Roman" w:hAnsi="Times New Roman" w:cs="Times New Roman"/>
                <w:sz w:val="24"/>
                <w:szCs w:val="24"/>
                <w:vertAlign w:val="superscript"/>
              </w:rPr>
              <w:t>f</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8.51</w:t>
            </w:r>
            <w:r w:rsidRPr="00A97D88">
              <w:rPr>
                <w:rFonts w:ascii="Times New Roman" w:eastAsia="Times New Roman" w:hAnsi="Times New Roman" w:cs="Times New Roman"/>
                <w:sz w:val="24"/>
                <w:szCs w:val="24"/>
                <w:vertAlign w:val="superscript"/>
              </w:rPr>
              <w:t>f</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0.94</w:t>
            </w:r>
            <w:r w:rsidRPr="00A97D88">
              <w:rPr>
                <w:rFonts w:ascii="Times New Roman" w:eastAsia="Times New Roman" w:hAnsi="Times New Roman" w:cs="Times New Roman"/>
                <w:sz w:val="24"/>
                <w:szCs w:val="24"/>
                <w:vertAlign w:val="superscript"/>
              </w:rPr>
              <w:t>f</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Bate+C*1:2 (T6)</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62.14</w:t>
            </w:r>
            <w:r w:rsidRPr="00A97D88">
              <w:rPr>
                <w:rFonts w:ascii="Times New Roman" w:eastAsia="Times New Roman" w:hAnsi="Times New Roman" w:cs="Times New Roman"/>
                <w:sz w:val="24"/>
                <w:szCs w:val="24"/>
                <w:vertAlign w:val="superscript"/>
              </w:rPr>
              <w:t>e</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e</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w:t>
            </w:r>
            <w:r w:rsidRPr="00A97D88">
              <w:rPr>
                <w:rFonts w:ascii="Times New Roman" w:eastAsia="Times New Roman" w:hAnsi="Times New Roman" w:cs="Times New Roman"/>
                <w:sz w:val="24"/>
                <w:szCs w:val="24"/>
                <w:vertAlign w:val="superscript"/>
              </w:rPr>
              <w:t>e</w:t>
            </w:r>
          </w:p>
        </w:tc>
      </w:tr>
      <w:tr w:rsidR="00662812" w:rsidRPr="00A97D88" w:rsidTr="00AB0541">
        <w:tc>
          <w:tcPr>
            <w:tcW w:w="2538"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hAnsi="Times New Roman" w:cs="Times New Roman"/>
                <w:b/>
              </w:rPr>
              <w:t>Bate+C*2:1 (T4)</w:t>
            </w:r>
          </w:p>
        </w:tc>
        <w:tc>
          <w:tcPr>
            <w:tcW w:w="23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71.7</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10.78</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1.35</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Mean</w:t>
            </w:r>
          </w:p>
        </w:tc>
        <w:tc>
          <w:tcPr>
            <w:tcW w:w="2340" w:type="dxa"/>
            <w:tcBorders>
              <w:top w:val="single" w:sz="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66.5</w:t>
            </w:r>
          </w:p>
        </w:tc>
        <w:tc>
          <w:tcPr>
            <w:tcW w:w="2520" w:type="dxa"/>
            <w:tcBorders>
              <w:top w:val="single" w:sz="4" w:space="0" w:color="auto"/>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9.97</w:t>
            </w:r>
          </w:p>
        </w:tc>
        <w:tc>
          <w:tcPr>
            <w:tcW w:w="2340" w:type="dxa"/>
            <w:tcBorders>
              <w:top w:val="single" w:sz="4" w:space="0" w:color="auto"/>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w:t>
            </w:r>
          </w:p>
        </w:tc>
        <w:tc>
          <w:tcPr>
            <w:tcW w:w="2520" w:type="dxa"/>
            <w:tcBorders>
              <w:top w:val="nil"/>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2340" w:type="dxa"/>
            <w:tcBorders>
              <w:top w:val="nil"/>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1.65</w:t>
            </w:r>
          </w:p>
        </w:tc>
      </w:tr>
      <w:tr w:rsidR="007766C2" w:rsidRPr="00A97D88" w:rsidTr="00AB0541">
        <w:tc>
          <w:tcPr>
            <w:tcW w:w="2538" w:type="dxa"/>
            <w:tcBorders>
              <w:top w:val="nil"/>
              <w:left w:val="nil"/>
              <w:bottom w:val="thickThinSmallGap" w:sz="2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2340" w:type="dxa"/>
            <w:tcBorders>
              <w:top w:val="nil"/>
              <w:left w:val="nil"/>
              <w:bottom w:val="thickThinSmallGap" w:sz="2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nil"/>
              <w:left w:val="nil"/>
              <w:bottom w:val="thickThinSmallGap" w:sz="24" w:space="0" w:color="auto"/>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nil"/>
              <w:left w:val="nil"/>
              <w:bottom w:val="thickThinSmallGap" w:sz="24" w:space="0" w:color="auto"/>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bl>
    <w:p w:rsidR="00720F52" w:rsidRPr="00A97D88" w:rsidRDefault="008032EC" w:rsidP="001829BF">
      <w:pPr>
        <w:jc w:val="both"/>
        <w:rPr>
          <w:rFonts w:ascii="Times New Roman" w:eastAsia="Times New Roman" w:hAnsi="Times New Roman" w:cs="Times New Roman"/>
          <w:sz w:val="20"/>
          <w:szCs w:val="20"/>
          <w:lang w:eastAsia="en-GB"/>
        </w:rPr>
      </w:pPr>
      <w:r w:rsidRPr="00A97D88">
        <w:rPr>
          <w:rFonts w:ascii="Times New Roman" w:hAnsi="Times New Roman" w:cs="Times New Roman"/>
          <w:i/>
          <w:sz w:val="20"/>
          <w:szCs w:val="20"/>
          <w:vertAlign w:val="superscript"/>
        </w:rPr>
        <w:t>a,</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b,</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c,</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d,</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e</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,f</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,g:</w:t>
      </w:r>
      <w:r w:rsidRPr="00A97D88">
        <w:rPr>
          <w:rFonts w:ascii="Times New Roman" w:hAnsi="Times New Roman" w:cs="Times New Roman"/>
          <w:i/>
          <w:sz w:val="20"/>
          <w:szCs w:val="20"/>
        </w:rPr>
        <w:t xml:space="preserve"> </w:t>
      </w:r>
      <w:r w:rsidR="00BD3580" w:rsidRPr="00A97D88">
        <w:rPr>
          <w:rFonts w:ascii="Times New Roman" w:hAnsi="Times New Roman" w:cs="Times New Roman"/>
          <w:i/>
          <w:sz w:val="20"/>
          <w:szCs w:val="20"/>
        </w:rPr>
        <w:t>the same column bearing different su</w:t>
      </w:r>
      <w:r w:rsidR="001829BF" w:rsidRPr="00A97D88">
        <w:rPr>
          <w:rFonts w:ascii="Times New Roman" w:hAnsi="Times New Roman" w:cs="Times New Roman"/>
          <w:i/>
          <w:sz w:val="20"/>
          <w:szCs w:val="20"/>
        </w:rPr>
        <w:t xml:space="preserve">perscript differ significantly; </w:t>
      </w:r>
      <w:r w:rsidR="00BD3580" w:rsidRPr="00A97D88">
        <w:rPr>
          <w:rFonts w:ascii="Times New Roman" w:hAnsi="Times New Roman" w:cs="Times New Roman"/>
          <w:i/>
          <w:sz w:val="20"/>
          <w:szCs w:val="20"/>
        </w:rPr>
        <w:t xml:space="preserve">differences; ME: Metabolizable energy; OMD: Organic matter digestibility; SCFA: Short Chain Fatty Acids (mmol); </w:t>
      </w:r>
      <w:r w:rsidR="0074390D" w:rsidRPr="00A97D88">
        <w:rPr>
          <w:rFonts w:ascii="Times New Roman" w:hAnsi="Times New Roman" w:cs="Times New Roman"/>
          <w:i/>
          <w:sz w:val="20"/>
          <w:szCs w:val="20"/>
        </w:rPr>
        <w:t xml:space="preserve"> T1= Bonsa + common vetch 1:1, T2= Bonsa + common vetch </w:t>
      </w:r>
      <w:r w:rsidR="00725B4C" w:rsidRPr="00A97D88">
        <w:rPr>
          <w:rFonts w:ascii="Times New Roman" w:hAnsi="Times New Roman" w:cs="Times New Roman"/>
          <w:i/>
          <w:sz w:val="20"/>
          <w:szCs w:val="20"/>
        </w:rPr>
        <w:t xml:space="preserve">1:2, T3= Bonsa + common vetch </w:t>
      </w:r>
      <w:r w:rsidR="0074390D" w:rsidRPr="00A97D88">
        <w:rPr>
          <w:rFonts w:ascii="Times New Roman" w:hAnsi="Times New Roman" w:cs="Times New Roman"/>
          <w:i/>
          <w:sz w:val="20"/>
          <w:szCs w:val="20"/>
        </w:rPr>
        <w:t xml:space="preserve">2:1, T4= Bate + common vetch </w:t>
      </w:r>
      <w:r w:rsidR="00725B4C" w:rsidRPr="00A97D88">
        <w:rPr>
          <w:rFonts w:ascii="Times New Roman" w:hAnsi="Times New Roman" w:cs="Times New Roman"/>
          <w:i/>
          <w:sz w:val="20"/>
          <w:szCs w:val="20"/>
        </w:rPr>
        <w:t xml:space="preserve"> 2:1, T5= Bate + common vetch 1:1, T6=Bate + common vetch </w:t>
      </w:r>
      <w:r w:rsidR="0074390D" w:rsidRPr="00A97D88">
        <w:rPr>
          <w:rFonts w:ascii="Times New Roman" w:hAnsi="Times New Roman" w:cs="Times New Roman"/>
          <w:i/>
          <w:sz w:val="20"/>
          <w:szCs w:val="20"/>
        </w:rPr>
        <w:t xml:space="preserve"> 1:2 T7= Bareda + common vetch  2:1, T8= Bareda + common vetch  1:1, T9=  Bareda + common vetch   1:2, </w:t>
      </w:r>
      <w:r w:rsidR="00BD3580" w:rsidRPr="00A97D88">
        <w:rPr>
          <w:rFonts w:ascii="Times New Roman" w:hAnsi="Times New Roman" w:cs="Times New Roman"/>
          <w:i/>
          <w:sz w:val="20"/>
          <w:szCs w:val="20"/>
        </w:rPr>
        <w:t xml:space="preserve"> </w:t>
      </w:r>
      <w:bookmarkStart w:id="49" w:name="_Toc174388762"/>
      <w:bookmarkStart w:id="50" w:name="_Toc174456128"/>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A70D36">
        <w:rPr>
          <w:rFonts w:ascii="Times New Roman" w:hAnsi="Times New Roman" w:cs="Times New Roman"/>
          <w:i/>
          <w:sz w:val="20"/>
          <w:szCs w:val="20"/>
        </w:rPr>
        <w:t>ns= Non- significant difference</w:t>
      </w:r>
    </w:p>
    <w:p w:rsidR="00D81179" w:rsidRDefault="00D81179" w:rsidP="00D81179">
      <w:pPr>
        <w:spacing w:after="0"/>
        <w:jc w:val="both"/>
        <w:rPr>
          <w:rFonts w:ascii="Times New Roman" w:eastAsia="Times New Roman" w:hAnsi="Times New Roman" w:cs="Times New Roman"/>
          <w:b/>
          <w:lang w:eastAsia="en-GB"/>
        </w:rPr>
      </w:pPr>
    </w:p>
    <w:bookmarkEnd w:id="49"/>
    <w:bookmarkEnd w:id="50"/>
    <w:p w:rsidR="00513FC8" w:rsidRPr="00A97D88" w:rsidRDefault="00513FC8" w:rsidP="00B4729A">
      <w:pPr>
        <w:spacing w:line="360" w:lineRule="auto"/>
        <w:jc w:val="both"/>
        <w:rPr>
          <w:rFonts w:ascii="Times New Roman" w:eastAsia="Times New Roman" w:hAnsi="Times New Roman" w:cs="Times New Roman"/>
          <w:sz w:val="24"/>
          <w:szCs w:val="24"/>
        </w:rPr>
      </w:pPr>
    </w:p>
    <w:p w:rsidR="00725B4C" w:rsidRPr="00A97D88" w:rsidRDefault="00725B4C" w:rsidP="00E543F4"/>
    <w:p w:rsidR="00D81179" w:rsidRDefault="00D81179" w:rsidP="003163E3">
      <w:pPr>
        <w:pStyle w:val="Caption"/>
      </w:pPr>
    </w:p>
    <w:p w:rsidR="00D81179" w:rsidRDefault="00D81179" w:rsidP="003163E3">
      <w:pPr>
        <w:pStyle w:val="Caption"/>
      </w:pPr>
    </w:p>
    <w:p w:rsidR="00D81179" w:rsidRDefault="00D81179" w:rsidP="003163E3">
      <w:pPr>
        <w:pStyle w:val="Caption"/>
      </w:pPr>
    </w:p>
    <w:p w:rsidR="00513FC8" w:rsidRPr="00A97D88" w:rsidRDefault="00513FC8" w:rsidP="003163E3">
      <w:pPr>
        <w:sectPr w:rsidR="00513FC8" w:rsidRPr="00A97D88" w:rsidSect="007667D6">
          <w:pgSz w:w="12240" w:h="15840"/>
          <w:pgMar w:top="1440" w:right="1440" w:bottom="1440" w:left="1440" w:header="720" w:footer="720" w:gutter="0"/>
          <w:cols w:space="720"/>
          <w:docGrid w:linePitch="360"/>
        </w:sectPr>
      </w:pPr>
    </w:p>
    <w:p w:rsidR="00EA4429" w:rsidRDefault="000530EC" w:rsidP="0071485C">
      <w:pPr>
        <w:pStyle w:val="Heading1"/>
        <w:spacing w:before="0" w:after="240"/>
        <w:jc w:val="both"/>
        <w:rPr>
          <w:rFonts w:ascii="Times New Roman" w:eastAsia="Times New Roman" w:hAnsi="Times New Roman" w:cs="Times New Roman"/>
          <w:color w:val="auto"/>
        </w:rPr>
      </w:pPr>
      <w:bookmarkStart w:id="51" w:name="_Toc184070866"/>
      <w:r w:rsidRPr="00A97D88">
        <w:rPr>
          <w:rFonts w:ascii="Times New Roman" w:eastAsia="Times New Roman" w:hAnsi="Times New Roman" w:cs="Times New Roman"/>
          <w:color w:val="auto"/>
        </w:rPr>
        <w:t>CONCLUSION</w:t>
      </w:r>
      <w:bookmarkStart w:id="52" w:name="_Toc184070867"/>
      <w:bookmarkEnd w:id="51"/>
    </w:p>
    <w:p w:rsidR="00CD1221" w:rsidRPr="00CD1221" w:rsidRDefault="00CD1221" w:rsidP="00CD1221">
      <w:pPr>
        <w:spacing w:line="360" w:lineRule="auto"/>
        <w:jc w:val="both"/>
        <w:rPr>
          <w:rFonts w:ascii="Times New Roman" w:hAnsi="Times New Roman" w:cs="Times New Roman"/>
          <w:sz w:val="24"/>
        </w:rPr>
      </w:pPr>
      <w:r w:rsidRPr="00CD1221">
        <w:rPr>
          <w:rFonts w:ascii="Times New Roman" w:hAnsi="Times New Roman" w:cs="Times New Roman"/>
          <w:sz w:val="24"/>
        </w:rPr>
        <w:t xml:space="preserve">The present research demonstrates that intercropping grasses with legumes, particularly vetch with various oat varieties, markedly enhances soil chemical properties, forage quality, and fermentation efficiency. This study evaluated oat-vetch intercropping systems across three varieties (Bonsa, Bate, Bareda) and three row arrangements (1:1, 1:2, 2:1 </w:t>
      </w:r>
      <w:r w:rsidR="003C4749" w:rsidRPr="00CD1221">
        <w:rPr>
          <w:rFonts w:ascii="Times New Roman" w:hAnsi="Times New Roman" w:cs="Times New Roman"/>
          <w:sz w:val="24"/>
        </w:rPr>
        <w:t>oat: vetch</w:t>
      </w:r>
      <w:r w:rsidRPr="00CD1221">
        <w:rPr>
          <w:rFonts w:ascii="Times New Roman" w:hAnsi="Times New Roman" w:cs="Times New Roman"/>
          <w:sz w:val="24"/>
        </w:rPr>
        <w:t>) for forage quality and fermentation characteristics.</w:t>
      </w:r>
      <w:r>
        <w:rPr>
          <w:rFonts w:ascii="Times New Roman" w:hAnsi="Times New Roman" w:cs="Times New Roman"/>
          <w:sz w:val="24"/>
        </w:rPr>
        <w:t xml:space="preserve"> </w:t>
      </w:r>
      <w:r w:rsidRPr="00CD1221">
        <w:rPr>
          <w:rFonts w:ascii="Times New Roman" w:hAnsi="Times New Roman" w:cs="Times New Roman"/>
          <w:sz w:val="24"/>
        </w:rPr>
        <w:t>Bonsa intercropped at 1:2 ratio achieved the highest IVOMD (59.17%) and lowest meth</w:t>
      </w:r>
      <w:r w:rsidR="003C4749">
        <w:rPr>
          <w:rFonts w:ascii="Times New Roman" w:hAnsi="Times New Roman" w:cs="Times New Roman"/>
          <w:sz w:val="24"/>
        </w:rPr>
        <w:t>ane production (3.6 ml/200g DM)</w:t>
      </w:r>
      <w:r w:rsidRPr="00CD1221">
        <w:rPr>
          <w:rFonts w:ascii="Times New Roman" w:hAnsi="Times New Roman" w:cs="Times New Roman"/>
          <w:sz w:val="24"/>
        </w:rPr>
        <w:t>a 28% reduction compared to 2:1 arrangements; increased vetch proportion (1:2 ratio) enhanced crude protein content and reduced fiber levels; SCFA production ranged from 0.94 to 1.61 mmol, correlating positively with OMD (56.9–81.6%) and gas production efficiency.</w:t>
      </w:r>
      <w:r>
        <w:rPr>
          <w:rFonts w:ascii="Times New Roman" w:hAnsi="Times New Roman" w:cs="Times New Roman"/>
          <w:sz w:val="24"/>
        </w:rPr>
        <w:t xml:space="preserve"> </w:t>
      </w:r>
      <w:r w:rsidRPr="00CD1221">
        <w:rPr>
          <w:rFonts w:ascii="Times New Roman" w:hAnsi="Times New Roman" w:cs="Times New Roman"/>
          <w:sz w:val="24"/>
        </w:rPr>
        <w:t>The 1:2 (</w:t>
      </w:r>
      <w:r w:rsidR="003C4749" w:rsidRPr="00CD1221">
        <w:rPr>
          <w:rFonts w:ascii="Times New Roman" w:hAnsi="Times New Roman" w:cs="Times New Roman"/>
          <w:sz w:val="24"/>
        </w:rPr>
        <w:t>oat: vetch</w:t>
      </w:r>
      <w:r w:rsidRPr="00CD1221">
        <w:rPr>
          <w:rFonts w:ascii="Times New Roman" w:hAnsi="Times New Roman" w:cs="Times New Roman"/>
          <w:sz w:val="24"/>
        </w:rPr>
        <w:t xml:space="preserve">) row arrangement optimizes forage nutritional value while reducing enteric methane emissions, offering dual benefits of improved livestock productivity and lower environmental impact per unit of digestible feed. Farmers should adopt Bonsa variety intercropped with vetch at 1:2 </w:t>
      </w:r>
      <w:r w:rsidR="003C4749" w:rsidRPr="00CD1221">
        <w:rPr>
          <w:rFonts w:ascii="Times New Roman" w:hAnsi="Times New Roman" w:cs="Times New Roman"/>
          <w:sz w:val="24"/>
        </w:rPr>
        <w:t>ratios</w:t>
      </w:r>
      <w:r w:rsidRPr="00CD1221">
        <w:rPr>
          <w:rFonts w:ascii="Times New Roman" w:hAnsi="Times New Roman" w:cs="Times New Roman"/>
          <w:sz w:val="24"/>
        </w:rPr>
        <w:t xml:space="preserve"> to maximize forage digestibility (59.17% IVOMD) and protein content while minimizing methane production. This system provides superior feed quality for ruminants in the study region's acidic soil conditions.</w:t>
      </w:r>
    </w:p>
    <w:p w:rsidR="00CD1221" w:rsidRPr="00CD1221" w:rsidRDefault="00CD1221" w:rsidP="00CD1221">
      <w:pPr>
        <w:spacing w:line="360" w:lineRule="auto"/>
        <w:jc w:val="both"/>
        <w:rPr>
          <w:rFonts w:ascii="Times New Roman" w:hAnsi="Times New Roman" w:cs="Times New Roman"/>
          <w:sz w:val="24"/>
        </w:rPr>
      </w:pPr>
      <w:r w:rsidRPr="00CD1221">
        <w:rPr>
          <w:rFonts w:ascii="Times New Roman" w:hAnsi="Times New Roman" w:cs="Times New Roman"/>
          <w:sz w:val="24"/>
        </w:rPr>
        <w:t>Overall, intercropping oats with vetch not only boosts forage yield and quality but also contributes to soil health restoration and greenhouse gas mitigation. These findings suggest that adopting such intercropping systems can offer sustainable solutions to feed shortages and promote the livelihoods of farmers in Ethiopia and similar agro-ecological zones</w:t>
      </w:r>
    </w:p>
    <w:p w:rsidR="00EA4429" w:rsidRDefault="00EA4429" w:rsidP="00EA4429"/>
    <w:p w:rsidR="00EA4429" w:rsidRDefault="00EA4429" w:rsidP="00EA4429"/>
    <w:p w:rsidR="00EA4429" w:rsidRDefault="00EA4429" w:rsidP="00EA4429"/>
    <w:p w:rsidR="00EA4429" w:rsidRDefault="00EA4429" w:rsidP="00EA4429"/>
    <w:p w:rsidR="00625268" w:rsidRPr="00DC5BBE" w:rsidRDefault="00AA40D7" w:rsidP="00DC5BBE">
      <w:pPr>
        <w:rPr>
          <w:rFonts w:ascii="Times New Roman" w:eastAsiaTheme="majorEastAsia" w:hAnsi="Times New Roman" w:cs="Times New Roman"/>
          <w:b/>
          <w:bCs/>
          <w:sz w:val="28"/>
          <w:szCs w:val="28"/>
        </w:rPr>
      </w:pPr>
      <w:bookmarkStart w:id="53" w:name="_Toc184070868"/>
      <w:bookmarkEnd w:id="52"/>
      <w:r>
        <w:rPr>
          <w:rFonts w:ascii="Times New Roman" w:hAnsi="Times New Roman" w:cs="Times New Roman"/>
        </w:rPr>
        <w:br w:type="page"/>
      </w:r>
      <w:r w:rsidR="00CD1A94" w:rsidRPr="00A97D88">
        <w:rPr>
          <w:rFonts w:ascii="Times New Roman" w:hAnsi="Times New Roman" w:cs="Times New Roman"/>
        </w:rPr>
        <w:t>R</w:t>
      </w:r>
      <w:r w:rsidR="008802BC" w:rsidRPr="00A97D88">
        <w:rPr>
          <w:rFonts w:ascii="Times New Roman" w:hAnsi="Times New Roman" w:cs="Times New Roman"/>
        </w:rPr>
        <w:t>EFERENCES</w:t>
      </w:r>
      <w:bookmarkEnd w:id="53"/>
    </w:p>
    <w:p w:rsidR="00BC4E2E" w:rsidRPr="007B61DC" w:rsidRDefault="000D6068" w:rsidP="007B61DC">
      <w:pPr>
        <w:spacing w:after="0" w:line="240" w:lineRule="auto"/>
        <w:ind w:left="720" w:hanging="720"/>
        <w:jc w:val="both"/>
        <w:rPr>
          <w:rFonts w:ascii="Times New Roman" w:hAnsi="Times New Roman" w:cs="Times New Roman"/>
          <w:noProof/>
          <w:shd w:val="clear" w:color="auto" w:fill="FFFFFF"/>
        </w:rPr>
      </w:pPr>
      <w:r w:rsidRPr="007E4CAB">
        <w:rPr>
          <w:rFonts w:ascii="Times New Roman" w:hAnsi="Times New Roman" w:cs="Times New Roman"/>
          <w:sz w:val="24"/>
          <w:szCs w:val="24"/>
          <w:shd w:val="clear" w:color="auto" w:fill="FFFFFF"/>
        </w:rPr>
        <w:fldChar w:fldCharType="begin"/>
      </w:r>
      <w:r w:rsidR="00625268" w:rsidRPr="007E4CAB">
        <w:rPr>
          <w:rFonts w:ascii="Times New Roman" w:hAnsi="Times New Roman" w:cs="Times New Roman"/>
          <w:sz w:val="24"/>
          <w:szCs w:val="24"/>
          <w:shd w:val="clear" w:color="auto" w:fill="FFFFFF"/>
        </w:rPr>
        <w:instrText xml:space="preserve"> ADDIN EN.REFLIST </w:instrText>
      </w:r>
      <w:r w:rsidRPr="007E4CAB">
        <w:rPr>
          <w:rFonts w:ascii="Times New Roman" w:hAnsi="Times New Roman" w:cs="Times New Roman"/>
          <w:sz w:val="24"/>
          <w:szCs w:val="24"/>
          <w:shd w:val="clear" w:color="auto" w:fill="FFFFFF"/>
        </w:rPr>
        <w:fldChar w:fldCharType="separate"/>
      </w:r>
      <w:bookmarkStart w:id="54" w:name="_ENREF_1"/>
      <w:r w:rsidR="00BC4E2E" w:rsidRPr="007B61DC">
        <w:rPr>
          <w:rFonts w:ascii="Times New Roman" w:hAnsi="Times New Roman" w:cs="Times New Roman"/>
          <w:noProof/>
          <w:shd w:val="clear" w:color="auto" w:fill="FFFFFF"/>
        </w:rPr>
        <w:t xml:space="preserve">Abera, M., A. Tolera, A. Nurfeta and D. Geleti, 2022: Herbage accumulation and nutritive value of mixtures of desho grass and Vicia spp. in southern Ethiopia. </w:t>
      </w:r>
      <w:r w:rsidR="00BC4E2E" w:rsidRPr="007B61DC">
        <w:rPr>
          <w:rFonts w:ascii="Times New Roman" w:hAnsi="Times New Roman" w:cs="Times New Roman"/>
          <w:i/>
          <w:noProof/>
          <w:shd w:val="clear" w:color="auto" w:fill="FFFFFF"/>
        </w:rPr>
        <w:t>Agronomy Journal,</w:t>
      </w:r>
      <w:r w:rsidR="00BC4E2E" w:rsidRPr="007B61DC">
        <w:rPr>
          <w:rFonts w:ascii="Times New Roman" w:hAnsi="Times New Roman" w:cs="Times New Roman"/>
          <w:noProof/>
          <w:shd w:val="clear" w:color="auto" w:fill="FFFFFF"/>
        </w:rPr>
        <w:t xml:space="preserve"> </w:t>
      </w:r>
      <w:r w:rsidR="00BC4E2E" w:rsidRPr="007B61DC">
        <w:rPr>
          <w:rFonts w:ascii="Times New Roman" w:hAnsi="Times New Roman" w:cs="Times New Roman"/>
          <w:b/>
          <w:noProof/>
          <w:shd w:val="clear" w:color="auto" w:fill="FFFFFF"/>
        </w:rPr>
        <w:t>114,</w:t>
      </w:r>
      <w:r w:rsidR="00BC4E2E" w:rsidRPr="007B61DC">
        <w:rPr>
          <w:rFonts w:ascii="Times New Roman" w:hAnsi="Times New Roman" w:cs="Times New Roman"/>
          <w:noProof/>
          <w:shd w:val="clear" w:color="auto" w:fill="FFFFFF"/>
        </w:rPr>
        <w:t xml:space="preserve"> 165-172.</w:t>
      </w:r>
      <w:bookmarkEnd w:id="5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5" w:name="_ENREF_2"/>
      <w:r w:rsidRPr="007B61DC">
        <w:rPr>
          <w:rFonts w:ascii="Times New Roman" w:hAnsi="Times New Roman" w:cs="Times New Roman"/>
          <w:noProof/>
          <w:shd w:val="clear" w:color="auto" w:fill="FFFFFF"/>
        </w:rPr>
        <w:t xml:space="preserve">Alemu, B., S. Melaku and N. Prasad, 2007: Effects of varying seed proportions and harvesting stages on biological compatibility and forage yield of oats (Avena sativa L.) and vetch (Vicia villosa R.) mixtures. </w:t>
      </w:r>
      <w:r w:rsidRPr="007B61DC">
        <w:rPr>
          <w:rFonts w:ascii="Times New Roman" w:hAnsi="Times New Roman" w:cs="Times New Roman"/>
          <w:i/>
          <w:noProof/>
          <w:shd w:val="clear" w:color="auto" w:fill="FFFFFF"/>
        </w:rPr>
        <w:t>Livestock Research for Rural Development,</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19,</w:t>
      </w:r>
      <w:r w:rsidRPr="007B61DC">
        <w:rPr>
          <w:rFonts w:ascii="Times New Roman" w:hAnsi="Times New Roman" w:cs="Times New Roman"/>
          <w:noProof/>
          <w:shd w:val="clear" w:color="auto" w:fill="FFFFFF"/>
        </w:rPr>
        <w:t xml:space="preserve"> 12.</w:t>
      </w:r>
      <w:bookmarkEnd w:id="5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6" w:name="_ENREF_3"/>
      <w:r w:rsidRPr="007B61DC">
        <w:rPr>
          <w:rFonts w:ascii="Times New Roman" w:hAnsi="Times New Roman" w:cs="Times New Roman"/>
          <w:noProof/>
          <w:shd w:val="clear" w:color="auto" w:fill="FFFFFF"/>
        </w:rPr>
        <w:t xml:space="preserve">Alemu, </w:t>
      </w:r>
      <w:r w:rsidR="00C457B7" w:rsidRPr="007B61DC">
        <w:rPr>
          <w:rFonts w:ascii="Times New Roman" w:hAnsi="Times New Roman" w:cs="Times New Roman"/>
          <w:noProof/>
          <w:shd w:val="clear" w:color="auto" w:fill="FFFFFF"/>
        </w:rPr>
        <w:t>g., 2021: bahirdar university college of agriculture and environmental sciences graduate program.</w:t>
      </w:r>
      <w:bookmarkEnd w:id="56"/>
    </w:p>
    <w:p w:rsidR="00BC4E2E" w:rsidRPr="007B61DC" w:rsidRDefault="00C457B7" w:rsidP="007B61DC">
      <w:pPr>
        <w:spacing w:after="0" w:line="240" w:lineRule="auto"/>
        <w:ind w:left="720" w:hanging="720"/>
        <w:jc w:val="both"/>
        <w:rPr>
          <w:rFonts w:ascii="Times New Roman" w:hAnsi="Times New Roman" w:cs="Times New Roman"/>
          <w:noProof/>
          <w:shd w:val="clear" w:color="auto" w:fill="FFFFFF"/>
        </w:rPr>
      </w:pPr>
      <w:bookmarkStart w:id="57" w:name="_ENREF_4"/>
      <w:r w:rsidRPr="007B61DC">
        <w:rPr>
          <w:rFonts w:ascii="Times New Roman" w:hAnsi="Times New Roman" w:cs="Times New Roman"/>
          <w:noProof/>
          <w:shd w:val="clear" w:color="auto" w:fill="FFFFFF"/>
        </w:rPr>
        <w:t>alemu rorisa, s., 2017: effect of blended nps and n fertilizer rates on yield components, yield and grain protein content of bread wheat (triticum aestivum l.) in bore district, guji zone, southern ethiopia</w:t>
      </w:r>
      <w:r w:rsidR="00BC4E2E" w:rsidRPr="007B61DC">
        <w:rPr>
          <w:rFonts w:ascii="Times New Roman" w:hAnsi="Times New Roman" w:cs="Times New Roman"/>
          <w:noProof/>
          <w:shd w:val="clear" w:color="auto" w:fill="FFFFFF"/>
        </w:rPr>
        <w:t>. Haramaya university.</w:t>
      </w:r>
      <w:bookmarkEnd w:id="5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8" w:name="_ENREF_5"/>
      <w:r w:rsidRPr="007B61DC">
        <w:rPr>
          <w:rFonts w:ascii="Times New Roman" w:hAnsi="Times New Roman" w:cs="Times New Roman"/>
          <w:noProof/>
          <w:shd w:val="clear" w:color="auto" w:fill="FFFFFF"/>
        </w:rPr>
        <w:t>Amdie, A. and S. Teshome, Response of Potato (SolanumtuberosumL.) to Blended NPS and Potassium Fertilizers at Bore, Southern Ethiopia. in  Proceedings of the Regional Review Workshop on Completed Research Activities, 2021, p. 279.</w:t>
      </w:r>
      <w:bookmarkEnd w:id="5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9" w:name="_ENREF_6"/>
      <w:r w:rsidRPr="007B61DC">
        <w:rPr>
          <w:rFonts w:ascii="Times New Roman" w:hAnsi="Times New Roman" w:cs="Times New Roman"/>
          <w:noProof/>
          <w:shd w:val="clear" w:color="auto" w:fill="FFFFFF"/>
        </w:rPr>
        <w:t>Andualem, D. and M. Hundessa, 2022: Nutritive value of Guatemala grass (Tripsacum andersonii) harvested at three stages of maturity in Gedeo agroforestry systems, Southern Ethiopia.</w:t>
      </w:r>
      <w:bookmarkEnd w:id="5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0" w:name="_ENREF_7"/>
      <w:r w:rsidRPr="007B61DC">
        <w:rPr>
          <w:rFonts w:ascii="Times New Roman" w:hAnsi="Times New Roman" w:cs="Times New Roman"/>
          <w:noProof/>
          <w:shd w:val="clear" w:color="auto" w:fill="FFFFFF"/>
        </w:rPr>
        <w:t>Animut, G. and F. B. Hailemariam, 2014: Agronomic Practices, Yield, Chemical Composition And In Vitro Dry Matter Digestibility of Sudangrass Sorghum Sudanese L Mixed With Lablab (Lablab Purpureus L And Cowpea (Vigna Unguiculata L.) At Babile Eastern Ethiopia. Haramaya University.</w:t>
      </w:r>
      <w:bookmarkEnd w:id="6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1" w:name="_ENREF_8"/>
      <w:r w:rsidRPr="007B61DC">
        <w:rPr>
          <w:rFonts w:ascii="Times New Roman" w:hAnsi="Times New Roman" w:cs="Times New Roman"/>
          <w:noProof/>
          <w:shd w:val="clear" w:color="auto" w:fill="FFFFFF"/>
        </w:rPr>
        <w:t xml:space="preserve">AOAC, 1990: Official methods of analysis. </w:t>
      </w:r>
      <w:r w:rsidRPr="007B61DC">
        <w:rPr>
          <w:rFonts w:ascii="Times New Roman" w:hAnsi="Times New Roman" w:cs="Times New Roman"/>
          <w:i/>
          <w:noProof/>
          <w:shd w:val="clear" w:color="auto" w:fill="FFFFFF"/>
        </w:rPr>
        <w:t>Assoc Anal Chem,</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62,</w:t>
      </w:r>
      <w:r w:rsidRPr="007B61DC">
        <w:rPr>
          <w:rFonts w:ascii="Times New Roman" w:hAnsi="Times New Roman" w:cs="Times New Roman"/>
          <w:noProof/>
          <w:shd w:val="clear" w:color="auto" w:fill="FFFFFF"/>
        </w:rPr>
        <w:t xml:space="preserve"> 2742-2744.</w:t>
      </w:r>
      <w:bookmarkEnd w:id="6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2" w:name="_ENREF_9"/>
      <w:r w:rsidRPr="007B61DC">
        <w:rPr>
          <w:rFonts w:ascii="Times New Roman" w:hAnsi="Times New Roman" w:cs="Times New Roman"/>
          <w:noProof/>
          <w:shd w:val="clear" w:color="auto" w:fill="FFFFFF"/>
        </w:rPr>
        <w:t>Asmare, K. and K. Aragaw, 2023: Ethiopian Veterinary Association.</w:t>
      </w:r>
      <w:bookmarkEnd w:id="6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3" w:name="_ENREF_10"/>
      <w:r w:rsidRPr="007B61DC">
        <w:rPr>
          <w:rFonts w:ascii="Times New Roman" w:hAnsi="Times New Roman" w:cs="Times New Roman"/>
          <w:noProof/>
          <w:shd w:val="clear" w:color="auto" w:fill="FFFFFF"/>
        </w:rPr>
        <w:t xml:space="preserve">Baber, J. R., J. E. Sawyer and T. A. Wickersham, 2018: Estimation of human-edible protein conversion efficiency, net protein contribution, and enteric methane production from beef production in the United States. </w:t>
      </w:r>
      <w:r w:rsidRPr="007B61DC">
        <w:rPr>
          <w:rFonts w:ascii="Times New Roman" w:hAnsi="Times New Roman" w:cs="Times New Roman"/>
          <w:i/>
          <w:noProof/>
          <w:shd w:val="clear" w:color="auto" w:fill="FFFFFF"/>
        </w:rPr>
        <w:t>Translational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w:t>
      </w:r>
      <w:r w:rsidRPr="007B61DC">
        <w:rPr>
          <w:rFonts w:ascii="Times New Roman" w:hAnsi="Times New Roman" w:cs="Times New Roman"/>
          <w:noProof/>
          <w:shd w:val="clear" w:color="auto" w:fill="FFFFFF"/>
        </w:rPr>
        <w:t xml:space="preserve"> 439-450.</w:t>
      </w:r>
      <w:bookmarkEnd w:id="6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4" w:name="_ENREF_11"/>
      <w:r w:rsidRPr="007B61DC">
        <w:rPr>
          <w:rFonts w:ascii="Times New Roman" w:hAnsi="Times New Roman" w:cs="Times New Roman"/>
          <w:noProof/>
          <w:shd w:val="clear" w:color="auto" w:fill="FFFFFF"/>
        </w:rPr>
        <w:t>Beever, D. and F. Mould, 2000: Forage evaluation for efficient ruminant livestock production.</w:t>
      </w:r>
      <w:bookmarkEnd w:id="6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5" w:name="_ENREF_12"/>
      <w:r w:rsidRPr="007B61DC">
        <w:rPr>
          <w:rFonts w:ascii="Times New Roman" w:hAnsi="Times New Roman" w:cs="Times New Roman"/>
          <w:noProof/>
          <w:shd w:val="clear" w:color="auto" w:fill="FFFFFF"/>
        </w:rPr>
        <w:t xml:space="preserve">Brown, A., G. Ferreira, C. Teets, W. Thomason and C. Teutsch, 2018: Nutritional composition and in vitro digestibility of grass and legume winter (cover) crops. </w:t>
      </w:r>
      <w:r w:rsidRPr="007B61DC">
        <w:rPr>
          <w:rFonts w:ascii="Times New Roman" w:hAnsi="Times New Roman" w:cs="Times New Roman"/>
          <w:i/>
          <w:noProof/>
          <w:shd w:val="clear" w:color="auto" w:fill="FFFFFF"/>
        </w:rPr>
        <w:t>Journal of Dairy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101,</w:t>
      </w:r>
      <w:r w:rsidRPr="007B61DC">
        <w:rPr>
          <w:rFonts w:ascii="Times New Roman" w:hAnsi="Times New Roman" w:cs="Times New Roman"/>
          <w:noProof/>
          <w:shd w:val="clear" w:color="auto" w:fill="FFFFFF"/>
        </w:rPr>
        <w:t xml:space="preserve"> 2037-2047.</w:t>
      </w:r>
      <w:bookmarkEnd w:id="6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6" w:name="_ENREF_13"/>
      <w:r w:rsidRPr="007B61DC">
        <w:rPr>
          <w:rFonts w:ascii="Times New Roman" w:hAnsi="Times New Roman" w:cs="Times New Roman"/>
          <w:noProof/>
          <w:shd w:val="clear" w:color="auto" w:fill="FFFFFF"/>
        </w:rPr>
        <w:t xml:space="preserve">Chapman, H., 1965: Cation‐exchange capacity. </w:t>
      </w:r>
      <w:r w:rsidRPr="007B61DC">
        <w:rPr>
          <w:rFonts w:ascii="Times New Roman" w:hAnsi="Times New Roman" w:cs="Times New Roman"/>
          <w:i/>
          <w:noProof/>
          <w:shd w:val="clear" w:color="auto" w:fill="FFFFFF"/>
        </w:rPr>
        <w:t>Methods of soil analysis: Part 2 Chemical and microbiological properties,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891-901.</w:t>
      </w:r>
      <w:bookmarkEnd w:id="6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7" w:name="_ENREF_14"/>
      <w:r w:rsidRPr="007B61DC">
        <w:rPr>
          <w:rFonts w:ascii="Times New Roman" w:hAnsi="Times New Roman" w:cs="Times New Roman"/>
          <w:noProof/>
          <w:shd w:val="clear" w:color="auto" w:fill="FFFFFF"/>
        </w:rPr>
        <w:t>Cottenie, A., 1980: Soil and plant testing as a basis of fertilizer recommendations.</w:t>
      </w:r>
      <w:bookmarkEnd w:id="6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8" w:name="_ENREF_15"/>
      <w:r w:rsidRPr="007B61DC">
        <w:rPr>
          <w:rFonts w:ascii="Times New Roman" w:hAnsi="Times New Roman" w:cs="Times New Roman"/>
          <w:noProof/>
          <w:shd w:val="clear" w:color="auto" w:fill="FFFFFF"/>
        </w:rPr>
        <w:t>Dejene, M., H. Beshir and G. Tadesse, 2024: Animal Feed Policies and Feeding Practices in Ethiopia.</w:t>
      </w:r>
      <w:bookmarkEnd w:id="6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9" w:name="_ENREF_16"/>
      <w:r w:rsidRPr="007B61DC">
        <w:rPr>
          <w:rFonts w:ascii="Times New Roman" w:hAnsi="Times New Roman" w:cs="Times New Roman"/>
          <w:noProof/>
          <w:shd w:val="clear" w:color="auto" w:fill="FFFFFF"/>
        </w:rPr>
        <w:t xml:space="preserve">Demlew, M., B. Alemu and A. Awuk, 2019: Nutritive value evaluation of buffel grass and silver leaf desmodium grown in pure stands and in mixture at different harvesting times in Gozamen district, East Gojjam zone, Ethiopia. </w:t>
      </w:r>
      <w:r w:rsidRPr="007B61DC">
        <w:rPr>
          <w:rFonts w:ascii="Times New Roman" w:hAnsi="Times New Roman" w:cs="Times New Roman"/>
          <w:i/>
          <w:noProof/>
          <w:shd w:val="clear" w:color="auto" w:fill="FFFFFF"/>
        </w:rPr>
        <w:t>Greener Journal of Agricultural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315-321.</w:t>
      </w:r>
      <w:bookmarkEnd w:id="6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0" w:name="_ENREF_17"/>
      <w:r w:rsidRPr="007B61DC">
        <w:rPr>
          <w:rFonts w:ascii="Times New Roman" w:hAnsi="Times New Roman" w:cs="Times New Roman"/>
          <w:noProof/>
          <w:shd w:val="clear" w:color="auto" w:fill="FFFFFF"/>
        </w:rPr>
        <w:t xml:space="preserve">Dereje, F., 2016: The effect of variety and seed proportions on yield, nutritional quality and compatibility of oats and vetch mixtures. </w:t>
      </w:r>
      <w:r w:rsidRPr="007B61DC">
        <w:rPr>
          <w:rFonts w:ascii="Times New Roman" w:hAnsi="Times New Roman" w:cs="Times New Roman"/>
          <w:i/>
          <w:noProof/>
          <w:shd w:val="clear" w:color="auto" w:fill="FFFFFF"/>
        </w:rPr>
        <w:t>Master of science Thesis, Addis Abebba University),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53</w:t>
      </w:r>
      <w:r w:rsidRPr="007B61DC">
        <w:rPr>
          <w:rFonts w:ascii="Times New Roman" w:hAnsi="Times New Roman" w:cs="Times New Roman"/>
          <w:noProof/>
          <w:shd w:val="clear" w:color="auto" w:fill="FFFFFF"/>
        </w:rPr>
        <w:t>.</w:t>
      </w:r>
      <w:bookmarkEnd w:id="7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1" w:name="_ENREF_18"/>
      <w:r w:rsidRPr="007B61DC">
        <w:rPr>
          <w:rFonts w:ascii="Times New Roman" w:hAnsi="Times New Roman" w:cs="Times New Roman"/>
          <w:noProof/>
          <w:shd w:val="clear" w:color="auto" w:fill="FFFFFF"/>
        </w:rPr>
        <w:t xml:space="preserve">Dhanoa, M., 1988: On the analysis of dacron bag data for low degradability feeds.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43,</w:t>
      </w:r>
      <w:r w:rsidRPr="007B61DC">
        <w:rPr>
          <w:rFonts w:ascii="Times New Roman" w:hAnsi="Times New Roman" w:cs="Times New Roman"/>
          <w:noProof/>
          <w:shd w:val="clear" w:color="auto" w:fill="FFFFFF"/>
        </w:rPr>
        <w:t xml:space="preserve"> 441-444.</w:t>
      </w:r>
      <w:bookmarkEnd w:id="7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2" w:name="_ENREF_19"/>
      <w:r w:rsidRPr="007B61DC">
        <w:rPr>
          <w:rFonts w:ascii="Times New Roman" w:hAnsi="Times New Roman" w:cs="Times New Roman"/>
          <w:noProof/>
          <w:shd w:val="clear" w:color="auto" w:fill="FFFFFF"/>
        </w:rPr>
        <w:t>Estefan, G., R. Sommer and J. Ryan, 2013: Methods of soil, plant, and water analysis: a manual for the West Asia and North Africa region.</w:t>
      </w:r>
      <w:bookmarkEnd w:id="7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3" w:name="_ENREF_20"/>
      <w:r w:rsidRPr="007B61DC">
        <w:rPr>
          <w:rFonts w:ascii="Times New Roman" w:hAnsi="Times New Roman" w:cs="Times New Roman"/>
          <w:noProof/>
          <w:shd w:val="clear" w:color="auto" w:fill="FFFFFF"/>
        </w:rPr>
        <w:t xml:space="preserve">Ethio, S., 2014: Soil fertility status and fertilizer recommendation atlas for Tigray regional state, Ethiopia. </w:t>
      </w:r>
      <w:r w:rsidRPr="007B61DC">
        <w:rPr>
          <w:rFonts w:ascii="Times New Roman" w:hAnsi="Times New Roman" w:cs="Times New Roman"/>
          <w:i/>
          <w:noProof/>
          <w:shd w:val="clear" w:color="auto" w:fill="FFFFFF"/>
        </w:rPr>
        <w:t>Ethio SIS, Addis Ababa</w:t>
      </w:r>
      <w:r w:rsidRPr="007B61DC">
        <w:rPr>
          <w:rFonts w:ascii="Times New Roman" w:hAnsi="Times New Roman" w:cs="Times New Roman"/>
          <w:noProof/>
          <w:shd w:val="clear" w:color="auto" w:fill="FFFFFF"/>
        </w:rPr>
        <w:t>.</w:t>
      </w:r>
      <w:bookmarkEnd w:id="7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4" w:name="_ENREF_21"/>
      <w:r w:rsidRPr="007B61DC">
        <w:rPr>
          <w:rFonts w:ascii="Times New Roman" w:hAnsi="Times New Roman" w:cs="Times New Roman"/>
          <w:noProof/>
          <w:shd w:val="clear" w:color="auto" w:fill="FFFFFF"/>
        </w:rPr>
        <w:t xml:space="preserve">Feyissa, F., G. Kebede, D. Geleti, G. Assefa and A. Mengistu, 2025: Improved forage crops research and development in Ethiopia: major achievements, challenges and the way forward. </w:t>
      </w:r>
      <w:r w:rsidRPr="007B61DC">
        <w:rPr>
          <w:rFonts w:ascii="Times New Roman" w:hAnsi="Times New Roman" w:cs="Times New Roman"/>
          <w:i/>
          <w:noProof/>
          <w:shd w:val="clear" w:color="auto" w:fill="FFFFFF"/>
        </w:rPr>
        <w:t>OMO International Journal of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 xml:space="preserve"> 14-42.</w:t>
      </w:r>
      <w:bookmarkEnd w:id="7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5" w:name="_ENREF_22"/>
      <w:r w:rsidRPr="007B61DC">
        <w:rPr>
          <w:rFonts w:ascii="Times New Roman" w:hAnsi="Times New Roman" w:cs="Times New Roman"/>
          <w:noProof/>
          <w:shd w:val="clear" w:color="auto" w:fill="FFFFFF"/>
        </w:rPr>
        <w:t xml:space="preserve">Feyissa, F., A. Tesfaye and A. Tsigie, 2011: Producing and Using Alternative Feeds to Crop Residues. </w:t>
      </w:r>
      <w:r w:rsidRPr="007B61DC">
        <w:rPr>
          <w:rFonts w:ascii="Times New Roman" w:hAnsi="Times New Roman" w:cs="Times New Roman"/>
          <w:i/>
          <w:noProof/>
          <w:shd w:val="clear" w:color="auto" w:fill="FFFFFF"/>
        </w:rPr>
        <w:t>User Manual, EIAR</w:t>
      </w:r>
      <w:r w:rsidRPr="007B61DC">
        <w:rPr>
          <w:rFonts w:ascii="Times New Roman" w:hAnsi="Times New Roman" w:cs="Times New Roman"/>
          <w:noProof/>
          <w:shd w:val="clear" w:color="auto" w:fill="FFFFFF"/>
        </w:rPr>
        <w:t>.</w:t>
      </w:r>
      <w:bookmarkEnd w:id="7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6" w:name="_ENREF_23"/>
      <w:r w:rsidRPr="007B61DC">
        <w:rPr>
          <w:rFonts w:ascii="Times New Roman" w:hAnsi="Times New Roman" w:cs="Times New Roman"/>
          <w:noProof/>
          <w:shd w:val="clear" w:color="auto" w:fill="FFFFFF"/>
        </w:rPr>
        <w:t xml:space="preserve">Fievez, V., O. Babayemi and D. Demeyer, 2005: Estimation of direct and indirect gas production in syringes: A tool to estimate short chain fatty acid production that requires minimal laboratory facilities. </w:t>
      </w:r>
      <w:r w:rsidRPr="007B61DC">
        <w:rPr>
          <w:rFonts w:ascii="Times New Roman" w:hAnsi="Times New Roman" w:cs="Times New Roman"/>
          <w:i/>
          <w:noProof/>
          <w:shd w:val="clear" w:color="auto" w:fill="FFFFFF"/>
        </w:rPr>
        <w:t>Animal feed science and technology,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123,</w:t>
      </w:r>
      <w:r w:rsidRPr="007B61DC">
        <w:rPr>
          <w:rFonts w:ascii="Times New Roman" w:hAnsi="Times New Roman" w:cs="Times New Roman"/>
          <w:noProof/>
          <w:shd w:val="clear" w:color="auto" w:fill="FFFFFF"/>
        </w:rPr>
        <w:t xml:space="preserve"> 197-210.</w:t>
      </w:r>
      <w:bookmarkEnd w:id="7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7" w:name="_ENREF_24"/>
      <w:r w:rsidRPr="007B61DC">
        <w:rPr>
          <w:rFonts w:ascii="Times New Roman" w:hAnsi="Times New Roman" w:cs="Times New Roman"/>
          <w:noProof/>
          <w:shd w:val="clear" w:color="auto" w:fill="FFFFFF"/>
        </w:rPr>
        <w:t xml:space="preserve">Firkins, J., 2021: Invited Review: Advances in rumen efficiency. </w:t>
      </w:r>
      <w:r w:rsidRPr="007B61DC">
        <w:rPr>
          <w:rFonts w:ascii="Times New Roman" w:hAnsi="Times New Roman" w:cs="Times New Roman"/>
          <w:i/>
          <w:noProof/>
          <w:shd w:val="clear" w:color="auto" w:fill="FFFFFF"/>
        </w:rPr>
        <w:t>Applied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37,</w:t>
      </w:r>
      <w:r w:rsidRPr="007B61DC">
        <w:rPr>
          <w:rFonts w:ascii="Times New Roman" w:hAnsi="Times New Roman" w:cs="Times New Roman"/>
          <w:noProof/>
          <w:shd w:val="clear" w:color="auto" w:fill="FFFFFF"/>
        </w:rPr>
        <w:t xml:space="preserve"> 388-403.</w:t>
      </w:r>
      <w:bookmarkEnd w:id="7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8" w:name="_ENREF_25"/>
      <w:r w:rsidRPr="007B61DC">
        <w:rPr>
          <w:rFonts w:ascii="Times New Roman" w:hAnsi="Times New Roman" w:cs="Times New Roman"/>
          <w:noProof/>
          <w:shd w:val="clear" w:color="auto" w:fill="FFFFFF"/>
        </w:rPr>
        <w:t xml:space="preserve">Gelgelo, K., Y. Kechero and D. Andualem, 2023: Comparative in vitro evaluation of five Commelina forage species on ruminal fermentation and methanogenesis. </w:t>
      </w:r>
      <w:r w:rsidRPr="007B61DC">
        <w:rPr>
          <w:rFonts w:ascii="Times New Roman" w:hAnsi="Times New Roman" w:cs="Times New Roman"/>
          <w:i/>
          <w:noProof/>
          <w:shd w:val="clear" w:color="auto" w:fill="FFFFFF"/>
        </w:rPr>
        <w:t>Heliyon,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w:t>
      </w:r>
      <w:bookmarkEnd w:id="7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9" w:name="_ENREF_26"/>
      <w:r w:rsidRPr="007B61DC">
        <w:rPr>
          <w:rFonts w:ascii="Times New Roman" w:hAnsi="Times New Roman" w:cs="Times New Roman"/>
          <w:noProof/>
          <w:shd w:val="clear" w:color="auto" w:fill="FFFFFF"/>
        </w:rPr>
        <w:t xml:space="preserve">Getachew, G., H. Makkar and K. Becker, 2002: Tropical browses: contents of phenolic compounds, in vitro gas production and stoichiometric relationship between short chain fatty acid and in vitro gas production. </w:t>
      </w:r>
      <w:r w:rsidRPr="007B61DC">
        <w:rPr>
          <w:rFonts w:ascii="Times New Roman" w:hAnsi="Times New Roman" w:cs="Times New Roman"/>
          <w:i/>
          <w:noProof/>
          <w:shd w:val="clear" w:color="auto" w:fill="FFFFFF"/>
        </w:rPr>
        <w:t>The Journal of Agricultural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139,</w:t>
      </w:r>
      <w:r w:rsidRPr="007B61DC">
        <w:rPr>
          <w:rFonts w:ascii="Times New Roman" w:hAnsi="Times New Roman" w:cs="Times New Roman"/>
          <w:noProof/>
          <w:shd w:val="clear" w:color="auto" w:fill="FFFFFF"/>
        </w:rPr>
        <w:t xml:space="preserve"> 341-352.</w:t>
      </w:r>
      <w:bookmarkEnd w:id="7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0" w:name="_ENREF_27"/>
      <w:r w:rsidRPr="007B61DC">
        <w:rPr>
          <w:rFonts w:ascii="Times New Roman" w:hAnsi="Times New Roman" w:cs="Times New Roman"/>
          <w:noProof/>
          <w:shd w:val="clear" w:color="auto" w:fill="FFFFFF"/>
        </w:rPr>
        <w:t>Gobena, G. and D. Hundie, 2018: Dry Matter Yield and Nutritive Values of Local Grasses Used As Livestock Feed in Adola Reedde District of Guji Zone, Southern Oromia, Ethiopia. Haramaya university.</w:t>
      </w:r>
      <w:bookmarkEnd w:id="8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1" w:name="_ENREF_28"/>
      <w:r w:rsidRPr="007B61DC">
        <w:rPr>
          <w:rFonts w:ascii="Times New Roman" w:hAnsi="Times New Roman" w:cs="Times New Roman"/>
          <w:noProof/>
          <w:shd w:val="clear" w:color="auto" w:fill="FFFFFF"/>
        </w:rPr>
        <w:t xml:space="preserve">Hassen, A., D. G. Talore, E. H. Tesfamariam, M. A. Friend and T. D. E. Mpanza, 2017: Potential use of forage-legume intercropping technologies to adapt to climate-change impacts on mixed crop-livestock systems in Africa: a review. </w:t>
      </w:r>
      <w:r w:rsidRPr="007B61DC">
        <w:rPr>
          <w:rFonts w:ascii="Times New Roman" w:hAnsi="Times New Roman" w:cs="Times New Roman"/>
          <w:i/>
          <w:noProof/>
          <w:shd w:val="clear" w:color="auto" w:fill="FFFFFF"/>
        </w:rPr>
        <w:t>Regional Environmental Change,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17,</w:t>
      </w:r>
      <w:r w:rsidRPr="007B61DC">
        <w:rPr>
          <w:rFonts w:ascii="Times New Roman" w:hAnsi="Times New Roman" w:cs="Times New Roman"/>
          <w:noProof/>
          <w:shd w:val="clear" w:color="auto" w:fill="FFFFFF"/>
        </w:rPr>
        <w:t xml:space="preserve"> 1713-1724.</w:t>
      </w:r>
      <w:bookmarkEnd w:id="8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2" w:name="_ENREF_29"/>
      <w:r w:rsidRPr="007B61DC">
        <w:rPr>
          <w:rFonts w:ascii="Times New Roman" w:hAnsi="Times New Roman" w:cs="Times New Roman"/>
          <w:noProof/>
          <w:shd w:val="clear" w:color="auto" w:fill="FFFFFF"/>
        </w:rPr>
        <w:t xml:space="preserve">Hazelton, P. and B. Murphy, 2025: </w:t>
      </w:r>
      <w:r w:rsidRPr="007B61DC">
        <w:rPr>
          <w:rFonts w:ascii="Times New Roman" w:hAnsi="Times New Roman" w:cs="Times New Roman"/>
          <w:i/>
          <w:noProof/>
          <w:shd w:val="clear" w:color="auto" w:fill="FFFFFF"/>
        </w:rPr>
        <w:t xml:space="preserve">Interpreting soil test results: What do all the numbers mean? </w:t>
      </w:r>
      <w:r w:rsidRPr="007B61DC">
        <w:rPr>
          <w:rFonts w:ascii="Times New Roman" w:hAnsi="Times New Roman" w:cs="Times New Roman"/>
          <w:noProof/>
          <w:shd w:val="clear" w:color="auto" w:fill="FFFFFF"/>
        </w:rPr>
        <w:t>CSIRO publishing.</w:t>
      </w:r>
      <w:bookmarkEnd w:id="8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3" w:name="_ENREF_30"/>
      <w:r w:rsidRPr="007B61DC">
        <w:rPr>
          <w:rFonts w:ascii="Times New Roman" w:hAnsi="Times New Roman" w:cs="Times New Roman"/>
          <w:noProof/>
          <w:shd w:val="clear" w:color="auto" w:fill="FFFFFF"/>
        </w:rPr>
        <w:t xml:space="preserve">Hu, Y., J. Chen, D. Hui, J. Li, X. Yao, D. Zhang and Q. Deng, 2023: Soil acidification suppresses phosphorus supply through enhancing organomineral association. </w:t>
      </w:r>
      <w:r w:rsidRPr="007B61DC">
        <w:rPr>
          <w:rFonts w:ascii="Times New Roman" w:hAnsi="Times New Roman" w:cs="Times New Roman"/>
          <w:i/>
          <w:noProof/>
          <w:shd w:val="clear" w:color="auto" w:fill="FFFFFF"/>
        </w:rPr>
        <w:t>Science of the Total Environment,</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905,</w:t>
      </w:r>
      <w:r w:rsidRPr="007B61DC">
        <w:rPr>
          <w:rFonts w:ascii="Times New Roman" w:hAnsi="Times New Roman" w:cs="Times New Roman"/>
          <w:noProof/>
          <w:shd w:val="clear" w:color="auto" w:fill="FFFFFF"/>
        </w:rPr>
        <w:t xml:space="preserve"> 167105.</w:t>
      </w:r>
      <w:bookmarkEnd w:id="8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4" w:name="_ENREF_31"/>
      <w:r w:rsidRPr="007B61DC">
        <w:rPr>
          <w:rFonts w:ascii="Times New Roman" w:hAnsi="Times New Roman" w:cs="Times New Roman"/>
          <w:noProof/>
          <w:shd w:val="clear" w:color="auto" w:fill="FFFFFF"/>
        </w:rPr>
        <w:t xml:space="preserve">Jackson, M., 1958: Soil Chemıcal Analysıs prentice Hall, ınc. </w:t>
      </w:r>
      <w:r w:rsidRPr="007B61DC">
        <w:rPr>
          <w:rFonts w:ascii="Times New Roman" w:hAnsi="Times New Roman" w:cs="Times New Roman"/>
          <w:i/>
          <w:noProof/>
          <w:shd w:val="clear" w:color="auto" w:fill="FFFFFF"/>
        </w:rPr>
        <w:t>New Jersey, USA</w:t>
      </w:r>
      <w:r w:rsidRPr="007B61DC">
        <w:rPr>
          <w:rFonts w:ascii="Times New Roman" w:hAnsi="Times New Roman" w:cs="Times New Roman"/>
          <w:noProof/>
          <w:shd w:val="clear" w:color="auto" w:fill="FFFFFF"/>
        </w:rPr>
        <w:t>.</w:t>
      </w:r>
      <w:bookmarkEnd w:id="8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5" w:name="_ENREF_32"/>
      <w:r w:rsidRPr="007B61DC">
        <w:rPr>
          <w:rFonts w:ascii="Times New Roman" w:hAnsi="Times New Roman" w:cs="Times New Roman"/>
          <w:noProof/>
          <w:shd w:val="clear" w:color="auto" w:fill="FFFFFF"/>
        </w:rPr>
        <w:t xml:space="preserve">Jiao, Y., Q. Zhang and F. Miao, 2024: Forage yield, competition, and economic indices of oat and common vetch intercrops in a semi-arid region. </w:t>
      </w:r>
      <w:r w:rsidRPr="007B61DC">
        <w:rPr>
          <w:rFonts w:ascii="Times New Roman" w:hAnsi="Times New Roman" w:cs="Times New Roman"/>
          <w:i/>
          <w:noProof/>
          <w:shd w:val="clear" w:color="auto" w:fill="FFFFFF"/>
        </w:rPr>
        <w:t>Frontiers in Sustainable Food Systems,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 xml:space="preserve"> 1385296.</w:t>
      </w:r>
      <w:bookmarkEnd w:id="8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6" w:name="_ENREF_33"/>
      <w:r w:rsidRPr="007B61DC">
        <w:rPr>
          <w:rFonts w:ascii="Times New Roman" w:hAnsi="Times New Roman" w:cs="Times New Roman"/>
          <w:noProof/>
          <w:shd w:val="clear" w:color="auto" w:fill="FFFFFF"/>
        </w:rPr>
        <w:t xml:space="preserve">Katoch, R., 2022: Forage legumes in Himalayan region. </w:t>
      </w:r>
      <w:r w:rsidRPr="007B61DC">
        <w:rPr>
          <w:rFonts w:ascii="Times New Roman" w:hAnsi="Times New Roman" w:cs="Times New Roman"/>
          <w:i/>
          <w:noProof/>
          <w:shd w:val="clear" w:color="auto" w:fill="FFFFFF"/>
        </w:rPr>
        <w:t>Nutritional quality management of forages in the Himalayan region.</w:t>
      </w:r>
      <w:r w:rsidRPr="007B61DC">
        <w:rPr>
          <w:rFonts w:ascii="Times New Roman" w:hAnsi="Times New Roman" w:cs="Times New Roman"/>
          <w:noProof/>
          <w:shd w:val="clear" w:color="auto" w:fill="FFFFFF"/>
        </w:rPr>
        <w:t xml:space="preserve"> Springer.</w:t>
      </w:r>
      <w:bookmarkEnd w:id="8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7" w:name="_ENREF_34"/>
      <w:r w:rsidRPr="007B61DC">
        <w:rPr>
          <w:rFonts w:ascii="Times New Roman" w:hAnsi="Times New Roman" w:cs="Times New Roman"/>
          <w:noProof/>
          <w:shd w:val="clear" w:color="auto" w:fill="FFFFFF"/>
        </w:rPr>
        <w:t xml:space="preserve">Keba, W., T. Tolemariam and A. Mohammed, 2022: Straw dry matter yield and quality of finger millet intercropped with selected vetch species at different seeding ratios in western Oromia, Ethiopia. </w:t>
      </w:r>
      <w:r w:rsidRPr="007B61DC">
        <w:rPr>
          <w:rFonts w:ascii="Times New Roman" w:hAnsi="Times New Roman" w:cs="Times New Roman"/>
          <w:i/>
          <w:noProof/>
          <w:shd w:val="clear" w:color="auto" w:fill="FFFFFF"/>
        </w:rPr>
        <w:t>Heliyon,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w:t>
      </w:r>
      <w:bookmarkEnd w:id="8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8" w:name="_ENREF_35"/>
      <w:r w:rsidRPr="007B61DC">
        <w:rPr>
          <w:rFonts w:ascii="Times New Roman" w:hAnsi="Times New Roman" w:cs="Times New Roman"/>
          <w:noProof/>
          <w:shd w:val="clear" w:color="auto" w:fill="FFFFFF"/>
        </w:rPr>
        <w:t xml:space="preserve">Kebede, G., M. Faji, F. Feyissa, K. Mohammed, G. Assefa, D. Geleti, M. Minta, M. Dejene, M. Alemayehu and A. Mengistu, 2021: Yield and nutritional quality of oat (Avena sativa) genotypes under vertisols conditions in the central highlands of Ethiopia. </w:t>
      </w:r>
      <w:r w:rsidRPr="007B61DC">
        <w:rPr>
          <w:rFonts w:ascii="Times New Roman" w:hAnsi="Times New Roman" w:cs="Times New Roman"/>
          <w:i/>
          <w:noProof/>
          <w:shd w:val="clear" w:color="auto" w:fill="FFFFFF"/>
        </w:rPr>
        <w:t>Journal of Agriculture and Environmental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w:t>
      </w:r>
      <w:r w:rsidRPr="007B61DC">
        <w:rPr>
          <w:rFonts w:ascii="Times New Roman" w:hAnsi="Times New Roman" w:cs="Times New Roman"/>
          <w:noProof/>
          <w:shd w:val="clear" w:color="auto" w:fill="FFFFFF"/>
        </w:rPr>
        <w:t>.</w:t>
      </w:r>
      <w:bookmarkEnd w:id="8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9" w:name="_ENREF_36"/>
      <w:r w:rsidRPr="007B61DC">
        <w:rPr>
          <w:rFonts w:ascii="Times New Roman" w:hAnsi="Times New Roman" w:cs="Times New Roman"/>
          <w:noProof/>
          <w:shd w:val="clear" w:color="auto" w:fill="FFFFFF"/>
        </w:rPr>
        <w:t xml:space="preserve">Kechero, Y., A. Bedewi and A. Getnet, 2017: </w:t>
      </w:r>
      <w:r w:rsidRPr="007B61DC">
        <w:rPr>
          <w:rFonts w:ascii="Times New Roman" w:hAnsi="Times New Roman" w:cs="Times New Roman"/>
          <w:i/>
          <w:noProof/>
          <w:shd w:val="clear" w:color="auto" w:fill="FFFFFF"/>
        </w:rPr>
        <w:t>Tannin binding agents. Comparison of the effects of various tannin binding agents on nutritive value of leaves of tropical tannin rich fodder trees</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GRIN Verlag.</w:t>
      </w:r>
      <w:bookmarkEnd w:id="8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0" w:name="_ENREF_37"/>
      <w:r w:rsidRPr="007B61DC">
        <w:rPr>
          <w:rFonts w:ascii="Times New Roman" w:hAnsi="Times New Roman" w:cs="Times New Roman"/>
          <w:noProof/>
          <w:shd w:val="clear" w:color="auto" w:fill="FFFFFF"/>
        </w:rPr>
        <w:t xml:space="preserve">Kh, M., 1988: Estimation of the energetic feed value obtained from chemical analysis and in vitro gas production using rumen fluid. </w:t>
      </w:r>
      <w:r w:rsidRPr="007B61DC">
        <w:rPr>
          <w:rFonts w:ascii="Times New Roman" w:hAnsi="Times New Roman" w:cs="Times New Roman"/>
          <w:i/>
          <w:noProof/>
          <w:shd w:val="clear" w:color="auto" w:fill="FFFFFF"/>
        </w:rPr>
        <w:t>Anim Res Dev,</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28,</w:t>
      </w:r>
      <w:r w:rsidRPr="007B61DC">
        <w:rPr>
          <w:rFonts w:ascii="Times New Roman" w:hAnsi="Times New Roman" w:cs="Times New Roman"/>
          <w:noProof/>
          <w:shd w:val="clear" w:color="auto" w:fill="FFFFFF"/>
        </w:rPr>
        <w:t xml:space="preserve"> 7-55.</w:t>
      </w:r>
      <w:bookmarkEnd w:id="9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1" w:name="_ENREF_38"/>
      <w:r w:rsidRPr="007B61DC">
        <w:rPr>
          <w:rFonts w:ascii="Times New Roman" w:hAnsi="Times New Roman" w:cs="Times New Roman"/>
          <w:noProof/>
          <w:shd w:val="clear" w:color="auto" w:fill="FFFFFF"/>
        </w:rPr>
        <w:t xml:space="preserve">Khan, M. N., S. Ali, T. Yaseen, M. Adnan, S. Ullah, A. Zaman, M. Iqbal, S. N. Shah, A. Ali and A. Razzaq, 2020: Assessment of proximate and nutritional contents in selected weedy grasses for potential use as fodder in District Charsadda, KP: Assessment of proximate and nutritional contents in selected weedy grasses. </w:t>
      </w:r>
      <w:r w:rsidRPr="007B61DC">
        <w:rPr>
          <w:rFonts w:ascii="Times New Roman" w:hAnsi="Times New Roman" w:cs="Times New Roman"/>
          <w:i/>
          <w:noProof/>
          <w:shd w:val="clear" w:color="auto" w:fill="FFFFFF"/>
        </w:rPr>
        <w:t>Proceedings of the Pakistan Academy of Sciences: B. Life and Environmental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57,</w:t>
      </w:r>
      <w:r w:rsidRPr="007B61DC">
        <w:rPr>
          <w:rFonts w:ascii="Times New Roman" w:hAnsi="Times New Roman" w:cs="Times New Roman"/>
          <w:noProof/>
          <w:shd w:val="clear" w:color="auto" w:fill="FFFFFF"/>
        </w:rPr>
        <w:t xml:space="preserve"> 83-94.</w:t>
      </w:r>
      <w:bookmarkEnd w:id="9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2" w:name="_ENREF_39"/>
      <w:r w:rsidRPr="007B61DC">
        <w:rPr>
          <w:rFonts w:ascii="Times New Roman" w:hAnsi="Times New Roman" w:cs="Times New Roman"/>
          <w:noProof/>
          <w:shd w:val="clear" w:color="auto" w:fill="FFFFFF"/>
        </w:rPr>
        <w:t xml:space="preserve">Landon, J. R., 2014: </w:t>
      </w:r>
      <w:r w:rsidRPr="007B61DC">
        <w:rPr>
          <w:rFonts w:ascii="Times New Roman" w:hAnsi="Times New Roman" w:cs="Times New Roman"/>
          <w:i/>
          <w:noProof/>
          <w:shd w:val="clear" w:color="auto" w:fill="FFFFFF"/>
        </w:rPr>
        <w:t>Booker tropical soil manual: a handbook for soil survey and agricultural land evaluation in the tropics and subtropics</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Routledge.</w:t>
      </w:r>
      <w:bookmarkEnd w:id="9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3" w:name="_ENREF_40"/>
      <w:r w:rsidRPr="007B61DC">
        <w:rPr>
          <w:rFonts w:ascii="Times New Roman" w:hAnsi="Times New Roman" w:cs="Times New Roman"/>
          <w:noProof/>
          <w:shd w:val="clear" w:color="auto" w:fill="FFFFFF"/>
        </w:rPr>
        <w:t xml:space="preserve">Landon, M., G. Delin, S. Komor and C. Regan, 1999: Comparison of the stable-isotopic composition of soil water collected from suction lysimeters, wick samplers, and cores in a sandy unsaturated zone. </w:t>
      </w:r>
      <w:r w:rsidRPr="007B61DC">
        <w:rPr>
          <w:rFonts w:ascii="Times New Roman" w:hAnsi="Times New Roman" w:cs="Times New Roman"/>
          <w:i/>
          <w:noProof/>
          <w:shd w:val="clear" w:color="auto" w:fill="FFFFFF"/>
        </w:rPr>
        <w:t>Journal of Hydrology,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224,</w:t>
      </w:r>
      <w:r w:rsidRPr="007B61DC">
        <w:rPr>
          <w:rFonts w:ascii="Times New Roman" w:hAnsi="Times New Roman" w:cs="Times New Roman"/>
          <w:noProof/>
          <w:shd w:val="clear" w:color="auto" w:fill="FFFFFF"/>
        </w:rPr>
        <w:t xml:space="preserve"> 45-54.</w:t>
      </w:r>
      <w:bookmarkEnd w:id="9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4" w:name="_ENREF_41"/>
      <w:r w:rsidRPr="007B61DC">
        <w:rPr>
          <w:rFonts w:ascii="Times New Roman" w:hAnsi="Times New Roman" w:cs="Times New Roman"/>
          <w:noProof/>
          <w:shd w:val="clear" w:color="auto" w:fill="FFFFFF"/>
        </w:rPr>
        <w:t>Lemma, E., 2011: Assessment of soil acidity and determination of lime requirement for different land use types: the case of Degem wereda, north shoa zone, northwestern Ethiopia. Addis Ababa University.</w:t>
      </w:r>
      <w:bookmarkEnd w:id="9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5" w:name="_ENREF_42"/>
      <w:r w:rsidRPr="007B61DC">
        <w:rPr>
          <w:rFonts w:ascii="Times New Roman" w:hAnsi="Times New Roman" w:cs="Times New Roman"/>
          <w:noProof/>
          <w:shd w:val="clear" w:color="auto" w:fill="FFFFFF"/>
        </w:rPr>
        <w:t xml:space="preserve">Li, T., L. Peng, H. Wang, Y. Zhang, Y. Wang, Y. Cheng and F. Hou, 2022: Multi-cutting improves forage yield and nutritional value and maintains the soil nutrient balance in a rainfed agroecosystem. </w:t>
      </w:r>
      <w:r w:rsidRPr="007B61DC">
        <w:rPr>
          <w:rFonts w:ascii="Times New Roman" w:hAnsi="Times New Roman" w:cs="Times New Roman"/>
          <w:i/>
          <w:noProof/>
          <w:shd w:val="clear" w:color="auto" w:fill="FFFFFF"/>
        </w:rPr>
        <w:t>Frontiers in Plant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13,</w:t>
      </w:r>
      <w:r w:rsidRPr="007B61DC">
        <w:rPr>
          <w:rFonts w:ascii="Times New Roman" w:hAnsi="Times New Roman" w:cs="Times New Roman"/>
          <w:noProof/>
          <w:shd w:val="clear" w:color="auto" w:fill="FFFFFF"/>
        </w:rPr>
        <w:t xml:space="preserve"> 825117.</w:t>
      </w:r>
      <w:bookmarkEnd w:id="9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6" w:name="_ENREF_43"/>
      <w:r w:rsidRPr="007B61DC">
        <w:rPr>
          <w:rFonts w:ascii="Times New Roman" w:hAnsi="Times New Roman" w:cs="Times New Roman"/>
          <w:noProof/>
          <w:shd w:val="clear" w:color="auto" w:fill="FFFFFF"/>
        </w:rPr>
        <w:t xml:space="preserve">London, J., 1991: Booker tropical soil manual: A handbook for soil survey and agricultural land evaluation in the tropics and subtropics. Jone Wiley &amp; Sons. </w:t>
      </w:r>
      <w:r w:rsidRPr="007B61DC">
        <w:rPr>
          <w:rFonts w:ascii="Times New Roman" w:hAnsi="Times New Roman" w:cs="Times New Roman"/>
          <w:i/>
          <w:noProof/>
          <w:shd w:val="clear" w:color="auto" w:fill="FFFFFF"/>
        </w:rPr>
        <w:t>Inc. New York, USA. 530p</w:t>
      </w:r>
      <w:r w:rsidRPr="007B61DC">
        <w:rPr>
          <w:rFonts w:ascii="Times New Roman" w:hAnsi="Times New Roman" w:cs="Times New Roman"/>
          <w:noProof/>
          <w:shd w:val="clear" w:color="auto" w:fill="FFFFFF"/>
        </w:rPr>
        <w:t>.</w:t>
      </w:r>
      <w:bookmarkEnd w:id="9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7" w:name="_ENREF_44"/>
      <w:r w:rsidRPr="007B61DC">
        <w:rPr>
          <w:rFonts w:ascii="Times New Roman" w:hAnsi="Times New Roman" w:cs="Times New Roman"/>
          <w:noProof/>
          <w:shd w:val="clear" w:color="auto" w:fill="FFFFFF"/>
        </w:rPr>
        <w:t xml:space="preserve">Luo, F., W. Liu, W. Mi, X. Ma, K. Liu, Z. Ju and W. Li, 2023: Legume-grass mixtures increase forage yield by improving soil quality in different ecological regions of the Qinghai-Tibet Plateau. </w:t>
      </w:r>
      <w:r w:rsidRPr="007B61DC">
        <w:rPr>
          <w:rFonts w:ascii="Times New Roman" w:hAnsi="Times New Roman" w:cs="Times New Roman"/>
          <w:i/>
          <w:noProof/>
          <w:shd w:val="clear" w:color="auto" w:fill="FFFFFF"/>
        </w:rPr>
        <w:t>Frontiers in plant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14,</w:t>
      </w:r>
      <w:r w:rsidRPr="007B61DC">
        <w:rPr>
          <w:rFonts w:ascii="Times New Roman" w:hAnsi="Times New Roman" w:cs="Times New Roman"/>
          <w:noProof/>
          <w:shd w:val="clear" w:color="auto" w:fill="FFFFFF"/>
        </w:rPr>
        <w:t xml:space="preserve"> 1280771.</w:t>
      </w:r>
      <w:bookmarkEnd w:id="9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8" w:name="_ENREF_45"/>
      <w:r w:rsidRPr="007B61DC">
        <w:rPr>
          <w:rFonts w:ascii="Times New Roman" w:hAnsi="Times New Roman" w:cs="Times New Roman"/>
          <w:noProof/>
          <w:shd w:val="clear" w:color="auto" w:fill="FFFFFF"/>
        </w:rPr>
        <w:t xml:space="preserve">Mahyuddin, P., 2008: Relationship between chemical component and in vitro digestibility of tropical grasses. </w:t>
      </w:r>
      <w:r w:rsidRPr="007B61DC">
        <w:rPr>
          <w:rFonts w:ascii="Times New Roman" w:hAnsi="Times New Roman" w:cs="Times New Roman"/>
          <w:i/>
          <w:noProof/>
          <w:shd w:val="clear" w:color="auto" w:fill="FFFFFF"/>
        </w:rPr>
        <w:t>Hayati Journal of Biosciences,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15,</w:t>
      </w:r>
      <w:r w:rsidRPr="007B61DC">
        <w:rPr>
          <w:rFonts w:ascii="Times New Roman" w:hAnsi="Times New Roman" w:cs="Times New Roman"/>
          <w:noProof/>
          <w:shd w:val="clear" w:color="auto" w:fill="FFFFFF"/>
        </w:rPr>
        <w:t xml:space="preserve"> 85-89.</w:t>
      </w:r>
      <w:bookmarkEnd w:id="9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9" w:name="_ENREF_46"/>
      <w:r w:rsidRPr="007B61DC">
        <w:rPr>
          <w:rFonts w:ascii="Times New Roman" w:hAnsi="Times New Roman" w:cs="Times New Roman"/>
          <w:noProof/>
          <w:shd w:val="clear" w:color="auto" w:fill="FFFFFF"/>
        </w:rPr>
        <w:t>Makkar, H., Applications of the in vitro gas method in the evaluation of feed resources, and enhancement of nutritional value of tannin-rich tree/browse leaves and agro-industrial by-products. in  Proceedings of the Development and field evaluation of animal feed supplementation packages. Proceedings of the final review meeting of an IAEA Technical Co-operation Regional AFRA Project, 2002, p. 23-40.</w:t>
      </w:r>
      <w:bookmarkEnd w:id="9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0" w:name="_ENREF_47"/>
      <w:r w:rsidRPr="007B61DC">
        <w:rPr>
          <w:rFonts w:ascii="Times New Roman" w:hAnsi="Times New Roman" w:cs="Times New Roman"/>
          <w:noProof/>
          <w:shd w:val="clear" w:color="auto" w:fill="FFFFFF"/>
        </w:rPr>
        <w:t>Mamo, B., A. Mengistu and B. Shenkute, 2024: Prediction of greenhouse gas emissions from large ruminants in mixed farming system of Southeast Ethiopia.</w:t>
      </w:r>
      <w:bookmarkEnd w:id="10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1" w:name="_ENREF_48"/>
      <w:r w:rsidRPr="007B61DC">
        <w:rPr>
          <w:rFonts w:ascii="Times New Roman" w:hAnsi="Times New Roman" w:cs="Times New Roman"/>
          <w:noProof/>
          <w:shd w:val="clear" w:color="auto" w:fill="FFFFFF"/>
        </w:rPr>
        <w:t xml:space="preserve">Mburu, L., C. Gachuiri, M. Wanyoike and J. Mande, 2018: Forage and in vitro dry matter digestibility quality of native species in coastal lowlands of Kenya. </w:t>
      </w:r>
      <w:r w:rsidRPr="007B61DC">
        <w:rPr>
          <w:rFonts w:ascii="Times New Roman" w:hAnsi="Times New Roman" w:cs="Times New Roman"/>
          <w:i/>
          <w:noProof/>
          <w:shd w:val="clear" w:color="auto" w:fill="FFFFFF"/>
        </w:rPr>
        <w:t>International Journal of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w:t>
      </w:r>
      <w:r w:rsidRPr="007B61DC">
        <w:rPr>
          <w:rFonts w:ascii="Times New Roman" w:hAnsi="Times New Roman" w:cs="Times New Roman"/>
          <w:noProof/>
          <w:shd w:val="clear" w:color="auto" w:fill="FFFFFF"/>
        </w:rPr>
        <w:t xml:space="preserve"> 1-5.</w:t>
      </w:r>
      <w:bookmarkEnd w:id="10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2" w:name="_ENREF_49"/>
      <w:r w:rsidRPr="007B61DC">
        <w:rPr>
          <w:rFonts w:ascii="Times New Roman" w:hAnsi="Times New Roman" w:cs="Times New Roman"/>
          <w:noProof/>
          <w:shd w:val="clear" w:color="auto" w:fill="FFFFFF"/>
        </w:rPr>
        <w:t>McDowell, L., 2003: Minerals in animal and human nutrition.</w:t>
      </w:r>
      <w:bookmarkEnd w:id="10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3" w:name="_ENREF_50"/>
      <w:r w:rsidRPr="007B61DC">
        <w:rPr>
          <w:rFonts w:ascii="Times New Roman" w:hAnsi="Times New Roman" w:cs="Times New Roman"/>
          <w:noProof/>
          <w:shd w:val="clear" w:color="auto" w:fill="FFFFFF"/>
        </w:rPr>
        <w:t xml:space="preserve">Mengistu, A., G. Kebede, F. Feyissa and G. Assefa, 2017: Review on major feed resources in Ethiopia: Conditions, challenges and opportunities. </w:t>
      </w:r>
      <w:r w:rsidRPr="007B61DC">
        <w:rPr>
          <w:rFonts w:ascii="Times New Roman" w:hAnsi="Times New Roman" w:cs="Times New Roman"/>
          <w:i/>
          <w:noProof/>
          <w:shd w:val="clear" w:color="auto" w:fill="FFFFFF"/>
        </w:rPr>
        <w:t>Academic Research Journal of Agricultural Science and Research,</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176-185.</w:t>
      </w:r>
      <w:bookmarkEnd w:id="10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4" w:name="_ENREF_51"/>
      <w:r w:rsidRPr="007B61DC">
        <w:rPr>
          <w:rFonts w:ascii="Times New Roman" w:hAnsi="Times New Roman" w:cs="Times New Roman"/>
          <w:noProof/>
          <w:shd w:val="clear" w:color="auto" w:fill="FFFFFF"/>
        </w:rPr>
        <w:t xml:space="preserve">Mosisa, A., A. Nurfeta, M. Bezabih, A. Tolera, S. Mengistu, S. Yigrem and A. Hassen, 2021: Assessment of botanical composition, biomass yield, nutritional quality and methane production of forages in selected grasslands, southern highlands of Ethiopia. </w:t>
      </w:r>
      <w:r w:rsidRPr="007B61DC">
        <w:rPr>
          <w:rFonts w:ascii="Times New Roman" w:hAnsi="Times New Roman" w:cs="Times New Roman"/>
          <w:i/>
          <w:noProof/>
          <w:shd w:val="clear" w:color="auto" w:fill="FFFFFF"/>
        </w:rPr>
        <w:t>Scientific African,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12,</w:t>
      </w:r>
      <w:r w:rsidRPr="007B61DC">
        <w:rPr>
          <w:rFonts w:ascii="Times New Roman" w:hAnsi="Times New Roman" w:cs="Times New Roman"/>
          <w:noProof/>
          <w:shd w:val="clear" w:color="auto" w:fill="FFFFFF"/>
        </w:rPr>
        <w:t xml:space="preserve"> e00726.</w:t>
      </w:r>
      <w:bookmarkEnd w:id="10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5" w:name="_ENREF_52"/>
      <w:r w:rsidRPr="007B61DC">
        <w:rPr>
          <w:rFonts w:ascii="Times New Roman" w:hAnsi="Times New Roman" w:cs="Times New Roman"/>
          <w:noProof/>
          <w:shd w:val="clear" w:color="auto" w:fill="FFFFFF"/>
        </w:rPr>
        <w:t>Murphy, H. F., 1968: A report on the fertility status and other data on some soils of Ethiopia.</w:t>
      </w:r>
      <w:bookmarkEnd w:id="10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6" w:name="_ENREF_53"/>
      <w:r w:rsidRPr="007B61DC">
        <w:rPr>
          <w:rFonts w:ascii="Times New Roman" w:hAnsi="Times New Roman" w:cs="Times New Roman"/>
          <w:noProof/>
          <w:shd w:val="clear" w:color="auto" w:fill="FFFFFF"/>
        </w:rPr>
        <w:t xml:space="preserve">Negash, D., G. Animut, M. Urgie and S. Mengistu, 2017: Chemical composition and nutritive value of oats (Avena sativa) grown in mixture with vetch (Vicia villosa) with or without phosphorus fertilization in east Shoa Zone, Ethiopia. </w:t>
      </w:r>
      <w:r w:rsidRPr="007B61DC">
        <w:rPr>
          <w:rFonts w:ascii="Times New Roman" w:hAnsi="Times New Roman" w:cs="Times New Roman"/>
          <w:i/>
          <w:noProof/>
          <w:shd w:val="clear" w:color="auto" w:fill="FFFFFF"/>
        </w:rPr>
        <w:t>Journal of Nutrition and Food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7</w:t>
      </w:r>
      <w:r w:rsidRPr="007B61DC">
        <w:rPr>
          <w:rFonts w:ascii="Times New Roman" w:hAnsi="Times New Roman" w:cs="Times New Roman"/>
          <w:noProof/>
          <w:shd w:val="clear" w:color="auto" w:fill="FFFFFF"/>
        </w:rPr>
        <w:t>.</w:t>
      </w:r>
      <w:bookmarkEnd w:id="10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7" w:name="_ENREF_54"/>
      <w:r w:rsidRPr="007B61DC">
        <w:rPr>
          <w:rFonts w:ascii="Times New Roman" w:hAnsi="Times New Roman" w:cs="Times New Roman"/>
          <w:noProof/>
          <w:shd w:val="clear" w:color="auto" w:fill="FFFFFF"/>
        </w:rPr>
        <w:t xml:space="preserve">Njidda, A. and A. Nasiru, 2010: In vitro gas production and dry matter digestibility of tannin-containing forages of semi-arid region of north-eastern Nigeria. </w:t>
      </w:r>
      <w:r w:rsidRPr="007B61DC">
        <w:rPr>
          <w:rFonts w:ascii="Times New Roman" w:hAnsi="Times New Roman" w:cs="Times New Roman"/>
          <w:i/>
          <w:noProof/>
          <w:shd w:val="clear" w:color="auto" w:fill="FFFFFF"/>
        </w:rPr>
        <w:t>Pakistan Journal of Nutrition,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60-66.</w:t>
      </w:r>
      <w:bookmarkEnd w:id="10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8" w:name="_ENREF_55"/>
      <w:r w:rsidRPr="007B61DC">
        <w:rPr>
          <w:rFonts w:ascii="Times New Roman" w:hAnsi="Times New Roman" w:cs="Times New Roman"/>
          <w:noProof/>
          <w:shd w:val="clear" w:color="auto" w:fill="FFFFFF"/>
        </w:rPr>
        <w:t xml:space="preserve">Njoka-Njiru, E., M. Njarui, S. Abdulrazak and J. Mureithi, 2006: Effect of intercropping herbaceous legumes with Napier grass on dry matter yield and nutritive value of the feedstuffs in semi-arid region of eastern Kenya. </w:t>
      </w:r>
      <w:r w:rsidRPr="007B61DC">
        <w:rPr>
          <w:rFonts w:ascii="Times New Roman" w:hAnsi="Times New Roman" w:cs="Times New Roman"/>
          <w:i/>
          <w:noProof/>
          <w:shd w:val="clear" w:color="auto" w:fill="FFFFFF"/>
        </w:rPr>
        <w:t>Agricultura tropica et subtropica,</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39,</w:t>
      </w:r>
      <w:r w:rsidRPr="007B61DC">
        <w:rPr>
          <w:rFonts w:ascii="Times New Roman" w:hAnsi="Times New Roman" w:cs="Times New Roman"/>
          <w:noProof/>
          <w:shd w:val="clear" w:color="auto" w:fill="FFFFFF"/>
        </w:rPr>
        <w:t xml:space="preserve"> 255-267.</w:t>
      </w:r>
      <w:bookmarkEnd w:id="10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9" w:name="_ENREF_56"/>
      <w:r w:rsidRPr="007B61DC">
        <w:rPr>
          <w:rFonts w:ascii="Times New Roman" w:hAnsi="Times New Roman" w:cs="Times New Roman"/>
          <w:noProof/>
          <w:shd w:val="clear" w:color="auto" w:fill="FFFFFF"/>
        </w:rPr>
        <w:t xml:space="preserve">Olsen, S. R., 1954: </w:t>
      </w:r>
      <w:r w:rsidRPr="007B61DC">
        <w:rPr>
          <w:rFonts w:ascii="Times New Roman" w:hAnsi="Times New Roman" w:cs="Times New Roman"/>
          <w:i/>
          <w:noProof/>
          <w:shd w:val="clear" w:color="auto" w:fill="FFFFFF"/>
        </w:rPr>
        <w:t>Estimation of available phosphorus in soils by extraction with sodium bicarbonate</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US Department of Agriculture.</w:t>
      </w:r>
      <w:bookmarkEnd w:id="10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0" w:name="_ENREF_57"/>
      <w:r w:rsidRPr="007B61DC">
        <w:rPr>
          <w:rFonts w:ascii="Times New Roman" w:hAnsi="Times New Roman" w:cs="Times New Roman"/>
          <w:noProof/>
          <w:shd w:val="clear" w:color="auto" w:fill="FFFFFF"/>
        </w:rPr>
        <w:t xml:space="preserve">Owen, E. and M. Jayasuriya, 1989: Use of crop residues as animal feeds in developing countries. </w:t>
      </w:r>
      <w:r w:rsidRPr="007B61DC">
        <w:rPr>
          <w:rFonts w:ascii="Times New Roman" w:hAnsi="Times New Roman" w:cs="Times New Roman"/>
          <w:i/>
          <w:noProof/>
          <w:shd w:val="clear" w:color="auto" w:fill="FFFFFF"/>
        </w:rPr>
        <w:t>Research and Development in Agriculture,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w:t>
      </w:r>
      <w:r w:rsidRPr="007B61DC">
        <w:rPr>
          <w:rFonts w:ascii="Times New Roman" w:hAnsi="Times New Roman" w:cs="Times New Roman"/>
          <w:noProof/>
          <w:shd w:val="clear" w:color="auto" w:fill="FFFFFF"/>
        </w:rPr>
        <w:t xml:space="preserve"> 129-138.</w:t>
      </w:r>
      <w:bookmarkEnd w:id="11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1" w:name="_ENREF_58"/>
      <w:r w:rsidRPr="007B61DC">
        <w:rPr>
          <w:rFonts w:ascii="Times New Roman" w:hAnsi="Times New Roman" w:cs="Times New Roman"/>
          <w:noProof/>
          <w:shd w:val="clear" w:color="auto" w:fill="FFFFFF"/>
        </w:rPr>
        <w:t xml:space="preserve">Reda, G. T., S. Dargie, B. Hailu, K. Welde and G. Eyasu, 2019: Calibration of phosphorus fertilizer for barley (Hordeum vulgare L.) on cambisols of Endamekhoni, Northern Ethiopia. </w:t>
      </w:r>
      <w:r w:rsidRPr="007B61DC">
        <w:rPr>
          <w:rFonts w:ascii="Times New Roman" w:hAnsi="Times New Roman" w:cs="Times New Roman"/>
          <w:i/>
          <w:noProof/>
          <w:shd w:val="clear" w:color="auto" w:fill="FFFFFF"/>
        </w:rPr>
        <w:t>Cogent Food &amp; Agriculture,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1670564.</w:t>
      </w:r>
      <w:bookmarkEnd w:id="11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2" w:name="_ENREF_59"/>
      <w:r w:rsidRPr="007B61DC">
        <w:rPr>
          <w:rFonts w:ascii="Times New Roman" w:hAnsi="Times New Roman" w:cs="Times New Roman"/>
          <w:noProof/>
          <w:shd w:val="clear" w:color="auto" w:fill="FFFFFF"/>
        </w:rPr>
        <w:t xml:space="preserve">Semman, U., B. Eba and T. Dinkale, 2018: Performance evaluation of improved oat varieties/accessions at the highland of Guji Zone, Bore, Ethiopia. </w:t>
      </w:r>
      <w:r w:rsidRPr="007B61DC">
        <w:rPr>
          <w:rFonts w:ascii="Times New Roman" w:hAnsi="Times New Roman" w:cs="Times New Roman"/>
          <w:i/>
          <w:noProof/>
          <w:shd w:val="clear" w:color="auto" w:fill="FFFFFF"/>
        </w:rPr>
        <w:t>Journal of Biology, Agriculture and Healthcare,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w:t>
      </w:r>
      <w:bookmarkEnd w:id="11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3" w:name="_ENREF_60"/>
      <w:r w:rsidRPr="007B61DC">
        <w:rPr>
          <w:rFonts w:ascii="Times New Roman" w:hAnsi="Times New Roman" w:cs="Times New Roman"/>
          <w:noProof/>
          <w:shd w:val="clear" w:color="auto" w:fill="FFFFFF"/>
        </w:rPr>
        <w:t xml:space="preserve">Skersiene, A., A. Slepetiene, V. Stukonis and E. Norkeviciene, 2024: Contributions of Different Perennial Grass Species and Their Roots' Characteristics to Soil Organic Carbon Accumulation. </w:t>
      </w:r>
      <w:r w:rsidRPr="007B61DC">
        <w:rPr>
          <w:rFonts w:ascii="Times New Roman" w:hAnsi="Times New Roman" w:cs="Times New Roman"/>
          <w:i/>
          <w:noProof/>
          <w:shd w:val="clear" w:color="auto" w:fill="FFFFFF"/>
        </w:rPr>
        <w:t>Sustainability (2071-1050),</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16</w:t>
      </w:r>
      <w:r w:rsidRPr="007B61DC">
        <w:rPr>
          <w:rFonts w:ascii="Times New Roman" w:hAnsi="Times New Roman" w:cs="Times New Roman"/>
          <w:noProof/>
          <w:shd w:val="clear" w:color="auto" w:fill="FFFFFF"/>
        </w:rPr>
        <w:t>.</w:t>
      </w:r>
      <w:bookmarkEnd w:id="11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4" w:name="_ENREF_61"/>
      <w:r w:rsidRPr="007B61DC">
        <w:rPr>
          <w:rFonts w:ascii="Times New Roman" w:hAnsi="Times New Roman" w:cs="Times New Roman"/>
          <w:noProof/>
          <w:shd w:val="clear" w:color="auto" w:fill="FFFFFF"/>
        </w:rPr>
        <w:t xml:space="preserve">Smit, E., P. Leeflang, S. Gommans, J. van den Broek, S. van Mil and K. Wernars, 2001: Diversity and seasonal fluctuations of the dominant members of the bacterial soil community in a wheat field as determined by cultivation and molecular methods. </w:t>
      </w:r>
      <w:r w:rsidRPr="007B61DC">
        <w:rPr>
          <w:rFonts w:ascii="Times New Roman" w:hAnsi="Times New Roman" w:cs="Times New Roman"/>
          <w:i/>
          <w:noProof/>
          <w:shd w:val="clear" w:color="auto" w:fill="FFFFFF"/>
        </w:rPr>
        <w:t>Applied and environmental microbiology,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67,</w:t>
      </w:r>
      <w:r w:rsidRPr="007B61DC">
        <w:rPr>
          <w:rFonts w:ascii="Times New Roman" w:hAnsi="Times New Roman" w:cs="Times New Roman"/>
          <w:noProof/>
          <w:shd w:val="clear" w:color="auto" w:fill="FFFFFF"/>
        </w:rPr>
        <w:t xml:space="preserve"> 2284-2291.</w:t>
      </w:r>
      <w:bookmarkEnd w:id="11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5" w:name="_ENREF_62"/>
      <w:r w:rsidRPr="007B61DC">
        <w:rPr>
          <w:rFonts w:ascii="Times New Roman" w:hAnsi="Times New Roman" w:cs="Times New Roman"/>
          <w:noProof/>
          <w:shd w:val="clear" w:color="auto" w:fill="FFFFFF"/>
        </w:rPr>
        <w:t>Soest, P. v., 1994: Nutritional ecology of the ruminant. Cornell university press Ithaca, NY, USA:.</w:t>
      </w:r>
      <w:bookmarkEnd w:id="11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6" w:name="_ENREF_63"/>
      <w:r w:rsidRPr="007B61DC">
        <w:rPr>
          <w:rFonts w:ascii="Times New Roman" w:hAnsi="Times New Roman" w:cs="Times New Roman"/>
          <w:noProof/>
          <w:shd w:val="clear" w:color="auto" w:fill="FFFFFF"/>
        </w:rPr>
        <w:t xml:space="preserve">Starks, P., D. Zhao, W. Phillips and S. Coleman, 2006: Herbage mass, nutritive value and canopy spectral reflectance of bermudagrass pastures.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61,</w:t>
      </w:r>
      <w:r w:rsidRPr="007B61DC">
        <w:rPr>
          <w:rFonts w:ascii="Times New Roman" w:hAnsi="Times New Roman" w:cs="Times New Roman"/>
          <w:noProof/>
          <w:shd w:val="clear" w:color="auto" w:fill="FFFFFF"/>
        </w:rPr>
        <w:t xml:space="preserve"> 101-111.</w:t>
      </w:r>
      <w:bookmarkEnd w:id="11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7" w:name="_ENREF_64"/>
      <w:r w:rsidRPr="007B61DC">
        <w:rPr>
          <w:rFonts w:ascii="Times New Roman" w:hAnsi="Times New Roman" w:cs="Times New Roman"/>
          <w:noProof/>
          <w:shd w:val="clear" w:color="auto" w:fill="FFFFFF"/>
        </w:rPr>
        <w:t>Tadesse, T., I. Haque and E. Aduayi, 1991: Soil, plant, water, fertilizer, animal manure and compost analysis manual.</w:t>
      </w:r>
      <w:bookmarkEnd w:id="11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8" w:name="_ENREF_65"/>
      <w:r w:rsidRPr="007B61DC">
        <w:rPr>
          <w:rFonts w:ascii="Times New Roman" w:hAnsi="Times New Roman" w:cs="Times New Roman"/>
          <w:noProof/>
          <w:shd w:val="clear" w:color="auto" w:fill="FFFFFF"/>
        </w:rPr>
        <w:t xml:space="preserve">Tarawali, S. A., 1995: </w:t>
      </w:r>
      <w:r w:rsidRPr="007B61DC">
        <w:rPr>
          <w:rFonts w:ascii="Times New Roman" w:hAnsi="Times New Roman" w:cs="Times New Roman"/>
          <w:i/>
          <w:noProof/>
          <w:shd w:val="clear" w:color="auto" w:fill="FFFFFF"/>
        </w:rPr>
        <w:t>Methods for the evaluation of forage legumes, grasses and fodder trees for use as livestock feed</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ILRI (aka ILCA and ILRAD).</w:t>
      </w:r>
      <w:bookmarkEnd w:id="11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9" w:name="_ENREF_66"/>
      <w:r w:rsidRPr="007B61DC">
        <w:rPr>
          <w:rFonts w:ascii="Times New Roman" w:hAnsi="Times New Roman" w:cs="Times New Roman"/>
          <w:noProof/>
          <w:shd w:val="clear" w:color="auto" w:fill="FFFFFF"/>
        </w:rPr>
        <w:t xml:space="preserve">Thomas, G. W., 1996: Soil pH and soil acidity. </w:t>
      </w:r>
      <w:r w:rsidRPr="007B61DC">
        <w:rPr>
          <w:rFonts w:ascii="Times New Roman" w:hAnsi="Times New Roman" w:cs="Times New Roman"/>
          <w:i/>
          <w:noProof/>
          <w:shd w:val="clear" w:color="auto" w:fill="FFFFFF"/>
        </w:rPr>
        <w:t>Methods of soil analysis: part 3 chemical methods,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475-490.</w:t>
      </w:r>
      <w:bookmarkEnd w:id="11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0" w:name="_ENREF_67"/>
      <w:r w:rsidRPr="007B61DC">
        <w:rPr>
          <w:rFonts w:ascii="Times New Roman" w:hAnsi="Times New Roman" w:cs="Times New Roman"/>
          <w:noProof/>
          <w:shd w:val="clear" w:color="auto" w:fill="FFFFFF"/>
        </w:rPr>
        <w:t xml:space="preserve">Tilley, J. and d. R. Terry, 1963: A two‐stage technique for the in vitro digestion of forage crops.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18,</w:t>
      </w:r>
      <w:r w:rsidRPr="007B61DC">
        <w:rPr>
          <w:rFonts w:ascii="Times New Roman" w:hAnsi="Times New Roman" w:cs="Times New Roman"/>
          <w:noProof/>
          <w:shd w:val="clear" w:color="auto" w:fill="FFFFFF"/>
        </w:rPr>
        <w:t xml:space="preserve"> 104-111.</w:t>
      </w:r>
      <w:bookmarkEnd w:id="12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1" w:name="_ENREF_68"/>
      <w:r w:rsidRPr="007B61DC">
        <w:rPr>
          <w:rFonts w:ascii="Times New Roman" w:hAnsi="Times New Roman" w:cs="Times New Roman"/>
          <w:noProof/>
          <w:shd w:val="clear" w:color="auto" w:fill="FFFFFF"/>
        </w:rPr>
        <w:t xml:space="preserve">Van Soest, P. J., 1994: </w:t>
      </w:r>
      <w:r w:rsidRPr="007B61DC">
        <w:rPr>
          <w:rFonts w:ascii="Times New Roman" w:hAnsi="Times New Roman" w:cs="Times New Roman"/>
          <w:i/>
          <w:noProof/>
          <w:shd w:val="clear" w:color="auto" w:fill="FFFFFF"/>
        </w:rPr>
        <w:t>Nutritional ecology of the ruminant</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Cornell university press.</w:t>
      </w:r>
      <w:bookmarkEnd w:id="12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2" w:name="_ENREF_69"/>
      <w:r w:rsidRPr="007B61DC">
        <w:rPr>
          <w:rFonts w:ascii="Times New Roman" w:hAnsi="Times New Roman" w:cs="Times New Roman"/>
          <w:noProof/>
          <w:shd w:val="clear" w:color="auto" w:fill="FFFFFF"/>
        </w:rPr>
        <w:t xml:space="preserve">Van Soest, P. v., J. B. Robertson and B. A. Lewis, 1991: Methods for dietary fiber, neutral detergent fiber, and nonstarch polysaccharides in relation to animal nutrition. </w:t>
      </w:r>
      <w:r w:rsidRPr="007B61DC">
        <w:rPr>
          <w:rFonts w:ascii="Times New Roman" w:hAnsi="Times New Roman" w:cs="Times New Roman"/>
          <w:i/>
          <w:noProof/>
          <w:shd w:val="clear" w:color="auto" w:fill="FFFFFF"/>
        </w:rPr>
        <w:t>Journal of dairy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74,</w:t>
      </w:r>
      <w:r w:rsidRPr="007B61DC">
        <w:rPr>
          <w:rFonts w:ascii="Times New Roman" w:hAnsi="Times New Roman" w:cs="Times New Roman"/>
          <w:noProof/>
          <w:shd w:val="clear" w:color="auto" w:fill="FFFFFF"/>
        </w:rPr>
        <w:t xml:space="preserve"> 3583-3597.</w:t>
      </w:r>
      <w:bookmarkEnd w:id="12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3" w:name="_ENREF_70"/>
      <w:r w:rsidRPr="007B61DC">
        <w:rPr>
          <w:rFonts w:ascii="Times New Roman" w:hAnsi="Times New Roman" w:cs="Times New Roman"/>
          <w:noProof/>
          <w:shd w:val="clear" w:color="auto" w:fill="FFFFFF"/>
        </w:rPr>
        <w:t xml:space="preserve">Walkley, A. and I. A. Black, 1934: An examination of the Degtjareff method for determining soil organic matter, and a proposed modification of the chromic acid titration method. </w:t>
      </w:r>
      <w:r w:rsidRPr="007B61DC">
        <w:rPr>
          <w:rFonts w:ascii="Times New Roman" w:hAnsi="Times New Roman" w:cs="Times New Roman"/>
          <w:i/>
          <w:noProof/>
          <w:shd w:val="clear" w:color="auto" w:fill="FFFFFF"/>
        </w:rPr>
        <w:t>Soil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37,</w:t>
      </w:r>
      <w:r w:rsidRPr="007B61DC">
        <w:rPr>
          <w:rFonts w:ascii="Times New Roman" w:hAnsi="Times New Roman" w:cs="Times New Roman"/>
          <w:noProof/>
          <w:shd w:val="clear" w:color="auto" w:fill="FFFFFF"/>
        </w:rPr>
        <w:t xml:space="preserve"> 29-38.</w:t>
      </w:r>
      <w:bookmarkEnd w:id="12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4" w:name="_ENREF_71"/>
      <w:r w:rsidRPr="007B61DC">
        <w:rPr>
          <w:rFonts w:ascii="Times New Roman" w:hAnsi="Times New Roman" w:cs="Times New Roman"/>
          <w:noProof/>
          <w:shd w:val="clear" w:color="auto" w:fill="FFFFFF"/>
        </w:rPr>
        <w:t>Wana, D., 2024: Effect of intercropping oats with alfalfa on dry matter yield, nutritive value, in vitro ruminal fermentation kinetics and silage quality. Jimma University.</w:t>
      </w:r>
      <w:bookmarkEnd w:id="12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5" w:name="_ENREF_72"/>
      <w:r w:rsidRPr="007B61DC">
        <w:rPr>
          <w:rFonts w:ascii="Times New Roman" w:hAnsi="Times New Roman" w:cs="Times New Roman"/>
          <w:noProof/>
          <w:shd w:val="clear" w:color="auto" w:fill="FFFFFF"/>
        </w:rPr>
        <w:t>Wang ZhiGang, W. Z., J. X. Jin Xin, B. X. Bao XingGuo, L. X. Li XiaoFei, Z. J. Zhao JianHua, S. J. Sun JianHao, P. Christie and L. L. Li Long, 2014: Intercropping enhances productivity and maintains the most soil fertility properties relative to sole cropping.</w:t>
      </w:r>
      <w:bookmarkEnd w:id="125"/>
    </w:p>
    <w:p w:rsidR="00BC4E2E" w:rsidRPr="007B61DC" w:rsidRDefault="00BC4E2E" w:rsidP="007B61DC">
      <w:pPr>
        <w:spacing w:line="240" w:lineRule="auto"/>
        <w:ind w:left="720" w:hanging="720"/>
        <w:jc w:val="both"/>
        <w:rPr>
          <w:rFonts w:ascii="Times New Roman" w:hAnsi="Times New Roman" w:cs="Times New Roman"/>
          <w:noProof/>
          <w:shd w:val="clear" w:color="auto" w:fill="FFFFFF"/>
        </w:rPr>
      </w:pPr>
      <w:bookmarkStart w:id="126" w:name="_ENREF_73"/>
      <w:r w:rsidRPr="007B61DC">
        <w:rPr>
          <w:rFonts w:ascii="Times New Roman" w:hAnsi="Times New Roman" w:cs="Times New Roman"/>
          <w:noProof/>
          <w:shd w:val="clear" w:color="auto" w:fill="FFFFFF"/>
        </w:rPr>
        <w:t xml:space="preserve">Zhong, C., Y. Liu, X. Xu, B. Yang, M. Aamer, P. Zhang and G. Huang, 2021: Paddy-upland rotation with Chinese milk vetch incorporation reduced the global warming potential and greenhouse gas emissions intensity of double rice cropping system. </w:t>
      </w:r>
      <w:r w:rsidRPr="007B61DC">
        <w:rPr>
          <w:rFonts w:ascii="Times New Roman" w:hAnsi="Times New Roman" w:cs="Times New Roman"/>
          <w:i/>
          <w:noProof/>
          <w:shd w:val="clear" w:color="auto" w:fill="FFFFFF"/>
        </w:rPr>
        <w:t>Environmental Pollution,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276,</w:t>
      </w:r>
      <w:r w:rsidRPr="007B61DC">
        <w:rPr>
          <w:rFonts w:ascii="Times New Roman" w:hAnsi="Times New Roman" w:cs="Times New Roman"/>
          <w:noProof/>
          <w:shd w:val="clear" w:color="auto" w:fill="FFFFFF"/>
        </w:rPr>
        <w:t xml:space="preserve"> 116696.</w:t>
      </w:r>
      <w:bookmarkEnd w:id="126"/>
    </w:p>
    <w:p w:rsidR="00BC4E2E" w:rsidRDefault="00BC4E2E" w:rsidP="00BC4E2E">
      <w:pPr>
        <w:spacing w:line="240" w:lineRule="auto"/>
        <w:jc w:val="both"/>
        <w:rPr>
          <w:rFonts w:ascii="Calibri" w:hAnsi="Calibri" w:cs="Calibri"/>
          <w:noProof/>
          <w:szCs w:val="24"/>
          <w:shd w:val="clear" w:color="auto" w:fill="FFFFFF"/>
        </w:rPr>
      </w:pPr>
    </w:p>
    <w:p w:rsidR="00B81A18" w:rsidRPr="00A97D88" w:rsidRDefault="000D6068" w:rsidP="00FA02AB">
      <w:pPr>
        <w:tabs>
          <w:tab w:val="left" w:pos="1575"/>
        </w:tabs>
        <w:spacing w:line="360" w:lineRule="auto"/>
        <w:jc w:val="both"/>
        <w:rPr>
          <w:rFonts w:ascii="Times New Roman" w:hAnsi="Times New Roman" w:cs="Times New Roman"/>
          <w:sz w:val="24"/>
          <w:szCs w:val="24"/>
          <w:shd w:val="clear" w:color="auto" w:fill="FFFFFF"/>
        </w:rPr>
      </w:pPr>
      <w:r w:rsidRPr="007E4CAB">
        <w:rPr>
          <w:rFonts w:ascii="Times New Roman" w:hAnsi="Times New Roman" w:cs="Times New Roman"/>
          <w:sz w:val="24"/>
          <w:szCs w:val="24"/>
          <w:shd w:val="clear" w:color="auto" w:fill="FFFFFF"/>
        </w:rPr>
        <w:fldChar w:fldCharType="end"/>
      </w:r>
    </w:p>
    <w:p w:rsidR="00B81A18" w:rsidRPr="00A97D88" w:rsidRDefault="00B81A18" w:rsidP="00B81A18"/>
    <w:sectPr w:rsidR="00B81A18" w:rsidRPr="00A97D88" w:rsidSect="00FA02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6A29" w:rsidRDefault="00EF6A29" w:rsidP="00717F01">
      <w:pPr>
        <w:spacing w:after="0" w:line="240" w:lineRule="auto"/>
      </w:pPr>
      <w:r>
        <w:separator/>
      </w:r>
    </w:p>
  </w:endnote>
  <w:endnote w:type="continuationSeparator" w:id="0">
    <w:p w:rsidR="00EF6A29" w:rsidRDefault="00EF6A29" w:rsidP="0071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75847015"/>
      <w:docPartObj>
        <w:docPartGallery w:val="Page Numbers (Bottom of Page)"/>
        <w:docPartUnique/>
      </w:docPartObj>
    </w:sdtPr>
    <w:sdtEndPr>
      <w:rPr>
        <w:noProof/>
      </w:rPr>
    </w:sdtEndPr>
    <w:sdtContent>
      <w:p w:rsidR="00A33A0A" w:rsidRPr="003A1FDE" w:rsidRDefault="00A33A0A">
        <w:pPr>
          <w:pStyle w:val="Footer"/>
          <w:jc w:val="center"/>
          <w:rPr>
            <w:rFonts w:ascii="Times New Roman" w:hAnsi="Times New Roman" w:cs="Times New Roman"/>
          </w:rPr>
        </w:pPr>
        <w:r w:rsidRPr="003A1FDE">
          <w:rPr>
            <w:rFonts w:ascii="Times New Roman" w:hAnsi="Times New Roman" w:cs="Times New Roman"/>
          </w:rPr>
          <w:fldChar w:fldCharType="begin"/>
        </w:r>
        <w:r w:rsidRPr="003A1FDE">
          <w:rPr>
            <w:rFonts w:ascii="Times New Roman" w:hAnsi="Times New Roman" w:cs="Times New Roman"/>
          </w:rPr>
          <w:instrText xml:space="preserve"> PAGE   \* MERGEFORMAT </w:instrText>
        </w:r>
        <w:r w:rsidRPr="003A1FDE">
          <w:rPr>
            <w:rFonts w:ascii="Times New Roman" w:hAnsi="Times New Roman" w:cs="Times New Roman"/>
          </w:rPr>
          <w:fldChar w:fldCharType="separate"/>
        </w:r>
        <w:r>
          <w:rPr>
            <w:rFonts w:ascii="Times New Roman" w:hAnsi="Times New Roman" w:cs="Times New Roman"/>
            <w:noProof/>
          </w:rPr>
          <w:t>i</w:t>
        </w:r>
        <w:r w:rsidRPr="003A1FDE">
          <w:rPr>
            <w:rFonts w:ascii="Times New Roman" w:hAnsi="Times New Roman" w:cs="Times New Roman"/>
            <w:noProof/>
          </w:rPr>
          <w:fldChar w:fldCharType="end"/>
        </w:r>
      </w:p>
    </w:sdtContent>
  </w:sdt>
  <w:p w:rsidR="00A33A0A" w:rsidRDefault="00A33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6A29" w:rsidRDefault="00EF6A29" w:rsidP="00717F01">
      <w:pPr>
        <w:spacing w:after="0" w:line="240" w:lineRule="auto"/>
      </w:pPr>
      <w:r>
        <w:separator/>
      </w:r>
    </w:p>
  </w:footnote>
  <w:footnote w:type="continuationSeparator" w:id="0">
    <w:p w:rsidR="00EF6A29" w:rsidRDefault="00EF6A29" w:rsidP="00717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3A0A" w:rsidRDefault="00A33A0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9999"/>
      </v:shape>
    </w:pict>
  </w:numPicBullet>
  <w:abstractNum w:abstractNumId="0" w15:restartNumberingAfterBreak="0">
    <w:nsid w:val="050372A3"/>
    <w:multiLevelType w:val="hybridMultilevel"/>
    <w:tmpl w:val="63702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7088"/>
    <w:multiLevelType w:val="hybridMultilevel"/>
    <w:tmpl w:val="80662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742C4"/>
    <w:multiLevelType w:val="multilevel"/>
    <w:tmpl w:val="4F8E5E78"/>
    <w:lvl w:ilvl="0">
      <w:start w:val="1"/>
      <w:numFmt w:val="decimal"/>
      <w:lvlText w:val="%1."/>
      <w:lvlJc w:val="left"/>
      <w:pPr>
        <w:ind w:left="720" w:hanging="360"/>
      </w:pPr>
      <w:rPr>
        <w:rFonts w:hint="default"/>
      </w:rPr>
    </w:lvl>
    <w:lvl w:ilvl="1">
      <w:start w:val="1"/>
      <w:numFmt w:val="upp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177631"/>
    <w:multiLevelType w:val="multilevel"/>
    <w:tmpl w:val="2ACA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602C2"/>
    <w:multiLevelType w:val="multilevel"/>
    <w:tmpl w:val="13D40F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0761CA"/>
    <w:multiLevelType w:val="hybridMultilevel"/>
    <w:tmpl w:val="9FFC25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41CC4"/>
    <w:multiLevelType w:val="hybridMultilevel"/>
    <w:tmpl w:val="B944E748"/>
    <w:lvl w:ilvl="0" w:tplc="26D89F1A">
      <w:start w:val="1"/>
      <w:numFmt w:val="bullet"/>
      <w:lvlText w:val=""/>
      <w:lvlJc w:val="left"/>
      <w:pPr>
        <w:ind w:left="720" w:hanging="360"/>
      </w:pPr>
      <w:rPr>
        <w:rFonts w:ascii="Wingdings" w:hAnsi="Wingdings" w:hint="default"/>
      </w:rPr>
    </w:lvl>
    <w:lvl w:ilvl="1" w:tplc="46B8976E">
      <w:start w:val="1"/>
      <w:numFmt w:val="bullet"/>
      <w:lvlText w:val="o"/>
      <w:lvlJc w:val="left"/>
      <w:pPr>
        <w:ind w:left="1440" w:hanging="360"/>
      </w:pPr>
      <w:rPr>
        <w:rFonts w:ascii="Courier New" w:hAnsi="Courier New" w:cs="Courier New" w:hint="default"/>
      </w:rPr>
    </w:lvl>
    <w:lvl w:ilvl="2" w:tplc="BE9AAC94">
      <w:start w:val="1"/>
      <w:numFmt w:val="bullet"/>
      <w:lvlText w:val=""/>
      <w:lvlJc w:val="left"/>
      <w:pPr>
        <w:ind w:left="2160" w:hanging="360"/>
      </w:pPr>
      <w:rPr>
        <w:rFonts w:ascii="Wingdings" w:hAnsi="Wingdings" w:hint="default"/>
      </w:rPr>
    </w:lvl>
    <w:lvl w:ilvl="3" w:tplc="48F68CCC">
      <w:start w:val="1"/>
      <w:numFmt w:val="bullet"/>
      <w:lvlText w:val=""/>
      <w:lvlJc w:val="left"/>
      <w:pPr>
        <w:ind w:left="2880" w:hanging="360"/>
      </w:pPr>
      <w:rPr>
        <w:rFonts w:ascii="Symbol" w:hAnsi="Symbol" w:hint="default"/>
      </w:rPr>
    </w:lvl>
    <w:lvl w:ilvl="4" w:tplc="E30E532E">
      <w:start w:val="1"/>
      <w:numFmt w:val="bullet"/>
      <w:lvlText w:val="o"/>
      <w:lvlJc w:val="left"/>
      <w:pPr>
        <w:ind w:left="3600" w:hanging="360"/>
      </w:pPr>
      <w:rPr>
        <w:rFonts w:ascii="Courier New" w:hAnsi="Courier New" w:cs="Courier New" w:hint="default"/>
      </w:rPr>
    </w:lvl>
    <w:lvl w:ilvl="5" w:tplc="61404CF8">
      <w:start w:val="1"/>
      <w:numFmt w:val="bullet"/>
      <w:lvlText w:val=""/>
      <w:lvlJc w:val="left"/>
      <w:pPr>
        <w:ind w:left="4320" w:hanging="360"/>
      </w:pPr>
      <w:rPr>
        <w:rFonts w:ascii="Wingdings" w:hAnsi="Wingdings" w:hint="default"/>
      </w:rPr>
    </w:lvl>
    <w:lvl w:ilvl="6" w:tplc="58F2C594">
      <w:start w:val="1"/>
      <w:numFmt w:val="bullet"/>
      <w:lvlText w:val=""/>
      <w:lvlJc w:val="left"/>
      <w:pPr>
        <w:ind w:left="5040" w:hanging="360"/>
      </w:pPr>
      <w:rPr>
        <w:rFonts w:ascii="Symbol" w:hAnsi="Symbol" w:hint="default"/>
      </w:rPr>
    </w:lvl>
    <w:lvl w:ilvl="7" w:tplc="3F062B4C">
      <w:start w:val="1"/>
      <w:numFmt w:val="bullet"/>
      <w:lvlText w:val="o"/>
      <w:lvlJc w:val="left"/>
      <w:pPr>
        <w:ind w:left="5760" w:hanging="360"/>
      </w:pPr>
      <w:rPr>
        <w:rFonts w:ascii="Courier New" w:hAnsi="Courier New" w:cs="Courier New" w:hint="default"/>
      </w:rPr>
    </w:lvl>
    <w:lvl w:ilvl="8" w:tplc="5D2856A6">
      <w:start w:val="1"/>
      <w:numFmt w:val="bullet"/>
      <w:lvlText w:val=""/>
      <w:lvlJc w:val="left"/>
      <w:pPr>
        <w:ind w:left="6480" w:hanging="360"/>
      </w:pPr>
      <w:rPr>
        <w:rFonts w:ascii="Wingdings" w:hAnsi="Wingdings" w:hint="default"/>
      </w:rPr>
    </w:lvl>
  </w:abstractNum>
  <w:abstractNum w:abstractNumId="7" w15:restartNumberingAfterBreak="0">
    <w:nsid w:val="1913255B"/>
    <w:multiLevelType w:val="hybridMultilevel"/>
    <w:tmpl w:val="A79CBAEA"/>
    <w:lvl w:ilvl="0" w:tplc="AD08AD4C">
      <w:numFmt w:val="bullet"/>
      <w:lvlText w:val=""/>
      <w:lvlJc w:val="left"/>
      <w:pPr>
        <w:ind w:left="720" w:hanging="360"/>
      </w:pPr>
      <w:rPr>
        <w:rFonts w:ascii="Symbol" w:eastAsiaTheme="minorHAnsi"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92E2C"/>
    <w:multiLevelType w:val="multilevel"/>
    <w:tmpl w:val="2A380B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EE528C"/>
    <w:multiLevelType w:val="hybridMultilevel"/>
    <w:tmpl w:val="DF6E3CEE"/>
    <w:lvl w:ilvl="0" w:tplc="DC4E3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784525"/>
    <w:multiLevelType w:val="hybridMultilevel"/>
    <w:tmpl w:val="BAAA979E"/>
    <w:lvl w:ilvl="0" w:tplc="08B09676">
      <w:start w:val="1"/>
      <w:numFmt w:val="bullet"/>
      <w:lvlText w:val="•"/>
      <w:lvlJc w:val="left"/>
      <w:pPr>
        <w:tabs>
          <w:tab w:val="num" w:pos="720"/>
        </w:tabs>
        <w:ind w:left="720" w:hanging="360"/>
      </w:pPr>
      <w:rPr>
        <w:rFonts w:ascii="Arial" w:hAnsi="Arial" w:hint="default"/>
      </w:rPr>
    </w:lvl>
    <w:lvl w:ilvl="1" w:tplc="9D6A7E90" w:tentative="1">
      <w:start w:val="1"/>
      <w:numFmt w:val="bullet"/>
      <w:lvlText w:val="•"/>
      <w:lvlJc w:val="left"/>
      <w:pPr>
        <w:tabs>
          <w:tab w:val="num" w:pos="1440"/>
        </w:tabs>
        <w:ind w:left="1440" w:hanging="360"/>
      </w:pPr>
      <w:rPr>
        <w:rFonts w:ascii="Arial" w:hAnsi="Arial" w:hint="default"/>
      </w:rPr>
    </w:lvl>
    <w:lvl w:ilvl="2" w:tplc="D1AE9FF8" w:tentative="1">
      <w:start w:val="1"/>
      <w:numFmt w:val="bullet"/>
      <w:lvlText w:val="•"/>
      <w:lvlJc w:val="left"/>
      <w:pPr>
        <w:tabs>
          <w:tab w:val="num" w:pos="2160"/>
        </w:tabs>
        <w:ind w:left="2160" w:hanging="360"/>
      </w:pPr>
      <w:rPr>
        <w:rFonts w:ascii="Arial" w:hAnsi="Arial" w:hint="default"/>
      </w:rPr>
    </w:lvl>
    <w:lvl w:ilvl="3" w:tplc="97E26272" w:tentative="1">
      <w:start w:val="1"/>
      <w:numFmt w:val="bullet"/>
      <w:lvlText w:val="•"/>
      <w:lvlJc w:val="left"/>
      <w:pPr>
        <w:tabs>
          <w:tab w:val="num" w:pos="2880"/>
        </w:tabs>
        <w:ind w:left="2880" w:hanging="360"/>
      </w:pPr>
      <w:rPr>
        <w:rFonts w:ascii="Arial" w:hAnsi="Arial" w:hint="default"/>
      </w:rPr>
    </w:lvl>
    <w:lvl w:ilvl="4" w:tplc="100CDBFA" w:tentative="1">
      <w:start w:val="1"/>
      <w:numFmt w:val="bullet"/>
      <w:lvlText w:val="•"/>
      <w:lvlJc w:val="left"/>
      <w:pPr>
        <w:tabs>
          <w:tab w:val="num" w:pos="3600"/>
        </w:tabs>
        <w:ind w:left="3600" w:hanging="360"/>
      </w:pPr>
      <w:rPr>
        <w:rFonts w:ascii="Arial" w:hAnsi="Arial" w:hint="default"/>
      </w:rPr>
    </w:lvl>
    <w:lvl w:ilvl="5" w:tplc="C852A01C" w:tentative="1">
      <w:start w:val="1"/>
      <w:numFmt w:val="bullet"/>
      <w:lvlText w:val="•"/>
      <w:lvlJc w:val="left"/>
      <w:pPr>
        <w:tabs>
          <w:tab w:val="num" w:pos="4320"/>
        </w:tabs>
        <w:ind w:left="4320" w:hanging="360"/>
      </w:pPr>
      <w:rPr>
        <w:rFonts w:ascii="Arial" w:hAnsi="Arial" w:hint="default"/>
      </w:rPr>
    </w:lvl>
    <w:lvl w:ilvl="6" w:tplc="FEF0D91E" w:tentative="1">
      <w:start w:val="1"/>
      <w:numFmt w:val="bullet"/>
      <w:lvlText w:val="•"/>
      <w:lvlJc w:val="left"/>
      <w:pPr>
        <w:tabs>
          <w:tab w:val="num" w:pos="5040"/>
        </w:tabs>
        <w:ind w:left="5040" w:hanging="360"/>
      </w:pPr>
      <w:rPr>
        <w:rFonts w:ascii="Arial" w:hAnsi="Arial" w:hint="default"/>
      </w:rPr>
    </w:lvl>
    <w:lvl w:ilvl="7" w:tplc="146A8CAA" w:tentative="1">
      <w:start w:val="1"/>
      <w:numFmt w:val="bullet"/>
      <w:lvlText w:val="•"/>
      <w:lvlJc w:val="left"/>
      <w:pPr>
        <w:tabs>
          <w:tab w:val="num" w:pos="5760"/>
        </w:tabs>
        <w:ind w:left="5760" w:hanging="360"/>
      </w:pPr>
      <w:rPr>
        <w:rFonts w:ascii="Arial" w:hAnsi="Arial" w:hint="default"/>
      </w:rPr>
    </w:lvl>
    <w:lvl w:ilvl="8" w:tplc="F15AB1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4735DD"/>
    <w:multiLevelType w:val="multilevel"/>
    <w:tmpl w:val="B83C7484"/>
    <w:lvl w:ilvl="0">
      <w:start w:val="1"/>
      <w:numFmt w:val="decimal"/>
      <w:lvlText w:val="%1."/>
      <w:lvlJc w:val="left"/>
      <w:pPr>
        <w:ind w:left="360" w:hanging="360"/>
      </w:pPr>
      <w:rPr>
        <w:rFonts w:hint="default"/>
      </w:rPr>
    </w:lvl>
    <w:lvl w:ilvl="1">
      <w:start w:val="2"/>
      <w:numFmt w:val="decimal"/>
      <w:isLgl/>
      <w:lvlText w:val="%1.%2."/>
      <w:lvlJc w:val="left"/>
      <w:pPr>
        <w:ind w:left="600" w:hanging="600"/>
      </w:pPr>
      <w:rPr>
        <w:rFonts w:hint="default"/>
        <w:sz w:val="22"/>
      </w:rPr>
    </w:lvl>
    <w:lvl w:ilvl="2">
      <w:start w:val="2"/>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12" w15:restartNumberingAfterBreak="0">
    <w:nsid w:val="305C68B9"/>
    <w:multiLevelType w:val="multilevel"/>
    <w:tmpl w:val="E7F2F3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ED2B3A"/>
    <w:multiLevelType w:val="hybridMultilevel"/>
    <w:tmpl w:val="D278D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D4C2F"/>
    <w:multiLevelType w:val="hybridMultilevel"/>
    <w:tmpl w:val="FD36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7F428F"/>
    <w:multiLevelType w:val="hybridMultilevel"/>
    <w:tmpl w:val="9B02401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A7096"/>
    <w:multiLevelType w:val="hybridMultilevel"/>
    <w:tmpl w:val="DBC6DF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A0A25"/>
    <w:multiLevelType w:val="hybridMultilevel"/>
    <w:tmpl w:val="BCD83320"/>
    <w:lvl w:ilvl="0" w:tplc="B07634FA">
      <w:start w:val="1"/>
      <w:numFmt w:val="bullet"/>
      <w:lvlText w:val=""/>
      <w:lvlJc w:val="left"/>
      <w:pPr>
        <w:tabs>
          <w:tab w:val="num" w:pos="720"/>
        </w:tabs>
        <w:ind w:left="720" w:hanging="360"/>
      </w:pPr>
      <w:rPr>
        <w:rFonts w:ascii="Wingdings" w:hAnsi="Wingdings" w:hint="default"/>
      </w:rPr>
    </w:lvl>
    <w:lvl w:ilvl="1" w:tplc="A73C3D36" w:tentative="1">
      <w:start w:val="1"/>
      <w:numFmt w:val="bullet"/>
      <w:lvlText w:val=""/>
      <w:lvlJc w:val="left"/>
      <w:pPr>
        <w:tabs>
          <w:tab w:val="num" w:pos="1440"/>
        </w:tabs>
        <w:ind w:left="1440" w:hanging="360"/>
      </w:pPr>
      <w:rPr>
        <w:rFonts w:ascii="Wingdings" w:hAnsi="Wingdings" w:hint="default"/>
      </w:rPr>
    </w:lvl>
    <w:lvl w:ilvl="2" w:tplc="C728DCAC" w:tentative="1">
      <w:start w:val="1"/>
      <w:numFmt w:val="bullet"/>
      <w:lvlText w:val=""/>
      <w:lvlJc w:val="left"/>
      <w:pPr>
        <w:tabs>
          <w:tab w:val="num" w:pos="2160"/>
        </w:tabs>
        <w:ind w:left="2160" w:hanging="360"/>
      </w:pPr>
      <w:rPr>
        <w:rFonts w:ascii="Wingdings" w:hAnsi="Wingdings" w:hint="default"/>
      </w:rPr>
    </w:lvl>
    <w:lvl w:ilvl="3" w:tplc="55AE5C98" w:tentative="1">
      <w:start w:val="1"/>
      <w:numFmt w:val="bullet"/>
      <w:lvlText w:val=""/>
      <w:lvlJc w:val="left"/>
      <w:pPr>
        <w:tabs>
          <w:tab w:val="num" w:pos="2880"/>
        </w:tabs>
        <w:ind w:left="2880" w:hanging="360"/>
      </w:pPr>
      <w:rPr>
        <w:rFonts w:ascii="Wingdings" w:hAnsi="Wingdings" w:hint="default"/>
      </w:rPr>
    </w:lvl>
    <w:lvl w:ilvl="4" w:tplc="C41AA13A" w:tentative="1">
      <w:start w:val="1"/>
      <w:numFmt w:val="bullet"/>
      <w:lvlText w:val=""/>
      <w:lvlJc w:val="left"/>
      <w:pPr>
        <w:tabs>
          <w:tab w:val="num" w:pos="3600"/>
        </w:tabs>
        <w:ind w:left="3600" w:hanging="360"/>
      </w:pPr>
      <w:rPr>
        <w:rFonts w:ascii="Wingdings" w:hAnsi="Wingdings" w:hint="default"/>
      </w:rPr>
    </w:lvl>
    <w:lvl w:ilvl="5" w:tplc="CA90B4D8" w:tentative="1">
      <w:start w:val="1"/>
      <w:numFmt w:val="bullet"/>
      <w:lvlText w:val=""/>
      <w:lvlJc w:val="left"/>
      <w:pPr>
        <w:tabs>
          <w:tab w:val="num" w:pos="4320"/>
        </w:tabs>
        <w:ind w:left="4320" w:hanging="360"/>
      </w:pPr>
      <w:rPr>
        <w:rFonts w:ascii="Wingdings" w:hAnsi="Wingdings" w:hint="default"/>
      </w:rPr>
    </w:lvl>
    <w:lvl w:ilvl="6" w:tplc="47247C5C" w:tentative="1">
      <w:start w:val="1"/>
      <w:numFmt w:val="bullet"/>
      <w:lvlText w:val=""/>
      <w:lvlJc w:val="left"/>
      <w:pPr>
        <w:tabs>
          <w:tab w:val="num" w:pos="5040"/>
        </w:tabs>
        <w:ind w:left="5040" w:hanging="360"/>
      </w:pPr>
      <w:rPr>
        <w:rFonts w:ascii="Wingdings" w:hAnsi="Wingdings" w:hint="default"/>
      </w:rPr>
    </w:lvl>
    <w:lvl w:ilvl="7" w:tplc="50DEE6F8" w:tentative="1">
      <w:start w:val="1"/>
      <w:numFmt w:val="bullet"/>
      <w:lvlText w:val=""/>
      <w:lvlJc w:val="left"/>
      <w:pPr>
        <w:tabs>
          <w:tab w:val="num" w:pos="5760"/>
        </w:tabs>
        <w:ind w:left="5760" w:hanging="360"/>
      </w:pPr>
      <w:rPr>
        <w:rFonts w:ascii="Wingdings" w:hAnsi="Wingdings" w:hint="default"/>
      </w:rPr>
    </w:lvl>
    <w:lvl w:ilvl="8" w:tplc="5FA6B9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AC4238"/>
    <w:multiLevelType w:val="hybridMultilevel"/>
    <w:tmpl w:val="445A8F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15D"/>
    <w:multiLevelType w:val="hybridMultilevel"/>
    <w:tmpl w:val="19D8E5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26525"/>
    <w:multiLevelType w:val="multilevel"/>
    <w:tmpl w:val="B6125B76"/>
    <w:lvl w:ilvl="0">
      <w:start w:val="4"/>
      <w:numFmt w:val="decimal"/>
      <w:lvlText w:val="%1."/>
      <w:lvlJc w:val="left"/>
      <w:pPr>
        <w:ind w:left="360" w:hanging="360"/>
      </w:pPr>
      <w:rPr>
        <w:rFonts w:hint="default"/>
      </w:rPr>
    </w:lvl>
    <w:lvl w:ilvl="1">
      <w:start w:val="1"/>
      <w:numFmt w:val="decimal"/>
      <w:isLgl/>
      <w:lvlText w:val="%1.%2."/>
      <w:lvlJc w:val="left"/>
      <w:pPr>
        <w:ind w:left="840" w:hanging="39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5C057040"/>
    <w:multiLevelType w:val="hybridMultilevel"/>
    <w:tmpl w:val="506CD7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904160"/>
    <w:multiLevelType w:val="multilevel"/>
    <w:tmpl w:val="92C4D7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540757"/>
    <w:multiLevelType w:val="hybridMultilevel"/>
    <w:tmpl w:val="73E239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FC3CA9"/>
    <w:multiLevelType w:val="hybridMultilevel"/>
    <w:tmpl w:val="826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53593"/>
    <w:multiLevelType w:val="hybridMultilevel"/>
    <w:tmpl w:val="EB62D29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CA7482"/>
    <w:multiLevelType w:val="hybridMultilevel"/>
    <w:tmpl w:val="D5FE32A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7F6B7A38"/>
    <w:multiLevelType w:val="hybridMultilevel"/>
    <w:tmpl w:val="787CAC5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968280">
    <w:abstractNumId w:val="6"/>
  </w:num>
  <w:num w:numId="2" w16cid:durableId="1361660461">
    <w:abstractNumId w:val="14"/>
  </w:num>
  <w:num w:numId="3" w16cid:durableId="1603562080">
    <w:abstractNumId w:val="26"/>
  </w:num>
  <w:num w:numId="4" w16cid:durableId="889459756">
    <w:abstractNumId w:val="8"/>
  </w:num>
  <w:num w:numId="5" w16cid:durableId="401562184">
    <w:abstractNumId w:val="27"/>
  </w:num>
  <w:num w:numId="6" w16cid:durableId="192229959">
    <w:abstractNumId w:val="24"/>
  </w:num>
  <w:num w:numId="7" w16cid:durableId="574239775">
    <w:abstractNumId w:val="2"/>
  </w:num>
  <w:num w:numId="8" w16cid:durableId="120654282">
    <w:abstractNumId w:val="7"/>
  </w:num>
  <w:num w:numId="9" w16cid:durableId="1673796731">
    <w:abstractNumId w:val="10"/>
  </w:num>
  <w:num w:numId="10" w16cid:durableId="2050186021">
    <w:abstractNumId w:val="18"/>
  </w:num>
  <w:num w:numId="11" w16cid:durableId="1343043172">
    <w:abstractNumId w:val="1"/>
  </w:num>
  <w:num w:numId="12" w16cid:durableId="1852063956">
    <w:abstractNumId w:val="4"/>
  </w:num>
  <w:num w:numId="13" w16cid:durableId="1101023908">
    <w:abstractNumId w:val="5"/>
  </w:num>
  <w:num w:numId="14" w16cid:durableId="50420870">
    <w:abstractNumId w:val="16"/>
  </w:num>
  <w:num w:numId="15" w16cid:durableId="1594515457">
    <w:abstractNumId w:val="23"/>
  </w:num>
  <w:num w:numId="16" w16cid:durableId="350648966">
    <w:abstractNumId w:val="20"/>
  </w:num>
  <w:num w:numId="17" w16cid:durableId="1287857442">
    <w:abstractNumId w:val="25"/>
  </w:num>
  <w:num w:numId="18" w16cid:durableId="1162162444">
    <w:abstractNumId w:val="12"/>
  </w:num>
  <w:num w:numId="19" w16cid:durableId="953748825">
    <w:abstractNumId w:val="17"/>
  </w:num>
  <w:num w:numId="20" w16cid:durableId="1821918990">
    <w:abstractNumId w:val="9"/>
  </w:num>
  <w:num w:numId="21" w16cid:durableId="1096443344">
    <w:abstractNumId w:val="11"/>
  </w:num>
  <w:num w:numId="22" w16cid:durableId="1216624300">
    <w:abstractNumId w:val="21"/>
  </w:num>
  <w:num w:numId="23" w16cid:durableId="834497653">
    <w:abstractNumId w:val="13"/>
  </w:num>
  <w:num w:numId="24" w16cid:durableId="1311136186">
    <w:abstractNumId w:val="15"/>
  </w:num>
  <w:num w:numId="25" w16cid:durableId="1672291697">
    <w:abstractNumId w:val="0"/>
  </w:num>
  <w:num w:numId="26" w16cid:durableId="932857641">
    <w:abstractNumId w:val="19"/>
  </w:num>
  <w:num w:numId="27" w16cid:durableId="1139420331">
    <w:abstractNumId w:val="22"/>
  </w:num>
  <w:num w:numId="28" w16cid:durableId="1940985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Zoonoses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ee0etwro2xdtheaap2xr5f6dpxvrsx2v0t5&quot;&gt;My EndNote Library&lt;record-ids&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record-ids&gt;&lt;/item&gt;&lt;/Libraries&gt;"/>
  </w:docVars>
  <w:rsids>
    <w:rsidRoot w:val="002460E2"/>
    <w:rsid w:val="00000DA2"/>
    <w:rsid w:val="0000134E"/>
    <w:rsid w:val="00001BA8"/>
    <w:rsid w:val="00002719"/>
    <w:rsid w:val="00003023"/>
    <w:rsid w:val="00003088"/>
    <w:rsid w:val="00003C9B"/>
    <w:rsid w:val="00004159"/>
    <w:rsid w:val="000041CD"/>
    <w:rsid w:val="0000481C"/>
    <w:rsid w:val="00004E62"/>
    <w:rsid w:val="00005A00"/>
    <w:rsid w:val="00005B9B"/>
    <w:rsid w:val="00005BDC"/>
    <w:rsid w:val="00005E5E"/>
    <w:rsid w:val="00006364"/>
    <w:rsid w:val="000065B0"/>
    <w:rsid w:val="000065FB"/>
    <w:rsid w:val="00006B59"/>
    <w:rsid w:val="00006F40"/>
    <w:rsid w:val="00007004"/>
    <w:rsid w:val="000071A3"/>
    <w:rsid w:val="00010018"/>
    <w:rsid w:val="000101CC"/>
    <w:rsid w:val="0001051A"/>
    <w:rsid w:val="00010DA9"/>
    <w:rsid w:val="000114AC"/>
    <w:rsid w:val="0001254B"/>
    <w:rsid w:val="000126A6"/>
    <w:rsid w:val="0001317F"/>
    <w:rsid w:val="00013674"/>
    <w:rsid w:val="00013747"/>
    <w:rsid w:val="00013B85"/>
    <w:rsid w:val="00013DA7"/>
    <w:rsid w:val="0001431B"/>
    <w:rsid w:val="000146A0"/>
    <w:rsid w:val="00014F96"/>
    <w:rsid w:val="0001519D"/>
    <w:rsid w:val="0001654E"/>
    <w:rsid w:val="00016ECC"/>
    <w:rsid w:val="000176C9"/>
    <w:rsid w:val="00017D6A"/>
    <w:rsid w:val="00020680"/>
    <w:rsid w:val="00020AF9"/>
    <w:rsid w:val="00021194"/>
    <w:rsid w:val="000215E3"/>
    <w:rsid w:val="0002164F"/>
    <w:rsid w:val="00021A93"/>
    <w:rsid w:val="00021EF8"/>
    <w:rsid w:val="00021F6A"/>
    <w:rsid w:val="000228CF"/>
    <w:rsid w:val="00022FC6"/>
    <w:rsid w:val="0002312D"/>
    <w:rsid w:val="00023AF8"/>
    <w:rsid w:val="00024062"/>
    <w:rsid w:val="00024C39"/>
    <w:rsid w:val="00026335"/>
    <w:rsid w:val="00026565"/>
    <w:rsid w:val="00027612"/>
    <w:rsid w:val="0002781D"/>
    <w:rsid w:val="0003038C"/>
    <w:rsid w:val="00030806"/>
    <w:rsid w:val="00030B4F"/>
    <w:rsid w:val="00031955"/>
    <w:rsid w:val="00032BBE"/>
    <w:rsid w:val="00034035"/>
    <w:rsid w:val="00034634"/>
    <w:rsid w:val="00034EC1"/>
    <w:rsid w:val="00035203"/>
    <w:rsid w:val="000352E4"/>
    <w:rsid w:val="00035C28"/>
    <w:rsid w:val="00035E73"/>
    <w:rsid w:val="00036746"/>
    <w:rsid w:val="00036784"/>
    <w:rsid w:val="00036A22"/>
    <w:rsid w:val="00036A3C"/>
    <w:rsid w:val="00036D54"/>
    <w:rsid w:val="00036F94"/>
    <w:rsid w:val="000372F0"/>
    <w:rsid w:val="000378E5"/>
    <w:rsid w:val="00037A5E"/>
    <w:rsid w:val="0004032C"/>
    <w:rsid w:val="000409FF"/>
    <w:rsid w:val="00041456"/>
    <w:rsid w:val="00041616"/>
    <w:rsid w:val="000422E6"/>
    <w:rsid w:val="000428B4"/>
    <w:rsid w:val="0004295A"/>
    <w:rsid w:val="00042D0B"/>
    <w:rsid w:val="00043099"/>
    <w:rsid w:val="000431F0"/>
    <w:rsid w:val="000440FE"/>
    <w:rsid w:val="00044E06"/>
    <w:rsid w:val="000452D4"/>
    <w:rsid w:val="00045565"/>
    <w:rsid w:val="000455FC"/>
    <w:rsid w:val="00045625"/>
    <w:rsid w:val="000459FF"/>
    <w:rsid w:val="0004665F"/>
    <w:rsid w:val="00047064"/>
    <w:rsid w:val="0004726E"/>
    <w:rsid w:val="00050E02"/>
    <w:rsid w:val="00051004"/>
    <w:rsid w:val="000514B2"/>
    <w:rsid w:val="00051548"/>
    <w:rsid w:val="00051CAE"/>
    <w:rsid w:val="00052073"/>
    <w:rsid w:val="00052FC5"/>
    <w:rsid w:val="000530EC"/>
    <w:rsid w:val="00053622"/>
    <w:rsid w:val="000536B3"/>
    <w:rsid w:val="0005391E"/>
    <w:rsid w:val="000539E2"/>
    <w:rsid w:val="00053FED"/>
    <w:rsid w:val="00054EE7"/>
    <w:rsid w:val="00055726"/>
    <w:rsid w:val="000560B6"/>
    <w:rsid w:val="00056950"/>
    <w:rsid w:val="000572CB"/>
    <w:rsid w:val="000572E2"/>
    <w:rsid w:val="000576D5"/>
    <w:rsid w:val="00057C8B"/>
    <w:rsid w:val="00057CF1"/>
    <w:rsid w:val="00060162"/>
    <w:rsid w:val="000604AA"/>
    <w:rsid w:val="00062D62"/>
    <w:rsid w:val="00064014"/>
    <w:rsid w:val="000643B4"/>
    <w:rsid w:val="000644BD"/>
    <w:rsid w:val="000644F0"/>
    <w:rsid w:val="00064C3A"/>
    <w:rsid w:val="00065523"/>
    <w:rsid w:val="00066244"/>
    <w:rsid w:val="000667F1"/>
    <w:rsid w:val="00066AFC"/>
    <w:rsid w:val="00067D5E"/>
    <w:rsid w:val="000712E1"/>
    <w:rsid w:val="00071893"/>
    <w:rsid w:val="000722DA"/>
    <w:rsid w:val="00072A47"/>
    <w:rsid w:val="00073363"/>
    <w:rsid w:val="00073E4D"/>
    <w:rsid w:val="000742F4"/>
    <w:rsid w:val="0007484E"/>
    <w:rsid w:val="00074A49"/>
    <w:rsid w:val="00074F63"/>
    <w:rsid w:val="000750CE"/>
    <w:rsid w:val="00075807"/>
    <w:rsid w:val="000758AC"/>
    <w:rsid w:val="00075C12"/>
    <w:rsid w:val="000766F1"/>
    <w:rsid w:val="000768AE"/>
    <w:rsid w:val="00076D0D"/>
    <w:rsid w:val="00077262"/>
    <w:rsid w:val="00080144"/>
    <w:rsid w:val="00080DE2"/>
    <w:rsid w:val="0008160B"/>
    <w:rsid w:val="000819A4"/>
    <w:rsid w:val="00083375"/>
    <w:rsid w:val="00083A27"/>
    <w:rsid w:val="00083EAA"/>
    <w:rsid w:val="000845A7"/>
    <w:rsid w:val="00085F95"/>
    <w:rsid w:val="00086523"/>
    <w:rsid w:val="00086755"/>
    <w:rsid w:val="000869F8"/>
    <w:rsid w:val="00087D95"/>
    <w:rsid w:val="00090480"/>
    <w:rsid w:val="00090E5E"/>
    <w:rsid w:val="0009146C"/>
    <w:rsid w:val="00091610"/>
    <w:rsid w:val="00091A80"/>
    <w:rsid w:val="00091F1D"/>
    <w:rsid w:val="00092430"/>
    <w:rsid w:val="00092DE3"/>
    <w:rsid w:val="000930D2"/>
    <w:rsid w:val="00093262"/>
    <w:rsid w:val="000932FE"/>
    <w:rsid w:val="000936EF"/>
    <w:rsid w:val="000937B0"/>
    <w:rsid w:val="00094474"/>
    <w:rsid w:val="000944E3"/>
    <w:rsid w:val="00094580"/>
    <w:rsid w:val="000946F8"/>
    <w:rsid w:val="000947AB"/>
    <w:rsid w:val="00094800"/>
    <w:rsid w:val="00094CAC"/>
    <w:rsid w:val="0009524B"/>
    <w:rsid w:val="00095A72"/>
    <w:rsid w:val="00095C06"/>
    <w:rsid w:val="000962FE"/>
    <w:rsid w:val="00096D86"/>
    <w:rsid w:val="00096F9A"/>
    <w:rsid w:val="00097466"/>
    <w:rsid w:val="0009767E"/>
    <w:rsid w:val="000A0E07"/>
    <w:rsid w:val="000A1C8D"/>
    <w:rsid w:val="000A208C"/>
    <w:rsid w:val="000A2BC4"/>
    <w:rsid w:val="000A3294"/>
    <w:rsid w:val="000A3B74"/>
    <w:rsid w:val="000A3EAE"/>
    <w:rsid w:val="000A4536"/>
    <w:rsid w:val="000A4E89"/>
    <w:rsid w:val="000A4F1F"/>
    <w:rsid w:val="000A51B3"/>
    <w:rsid w:val="000A58FD"/>
    <w:rsid w:val="000A5C14"/>
    <w:rsid w:val="000A602C"/>
    <w:rsid w:val="000A6A8D"/>
    <w:rsid w:val="000A6CE3"/>
    <w:rsid w:val="000A7467"/>
    <w:rsid w:val="000A7BA2"/>
    <w:rsid w:val="000B0207"/>
    <w:rsid w:val="000B061D"/>
    <w:rsid w:val="000B1004"/>
    <w:rsid w:val="000B1E25"/>
    <w:rsid w:val="000B1F16"/>
    <w:rsid w:val="000B27A3"/>
    <w:rsid w:val="000B3241"/>
    <w:rsid w:val="000B337A"/>
    <w:rsid w:val="000B3601"/>
    <w:rsid w:val="000B3F90"/>
    <w:rsid w:val="000B41D5"/>
    <w:rsid w:val="000B4A5E"/>
    <w:rsid w:val="000B4EB3"/>
    <w:rsid w:val="000B4ED9"/>
    <w:rsid w:val="000B54CF"/>
    <w:rsid w:val="000B5531"/>
    <w:rsid w:val="000B5920"/>
    <w:rsid w:val="000B5BAD"/>
    <w:rsid w:val="000B620E"/>
    <w:rsid w:val="000B6762"/>
    <w:rsid w:val="000B6799"/>
    <w:rsid w:val="000B6A50"/>
    <w:rsid w:val="000B7A66"/>
    <w:rsid w:val="000B7BA6"/>
    <w:rsid w:val="000B7D27"/>
    <w:rsid w:val="000C180E"/>
    <w:rsid w:val="000C22F4"/>
    <w:rsid w:val="000C23F9"/>
    <w:rsid w:val="000C2C8E"/>
    <w:rsid w:val="000C431B"/>
    <w:rsid w:val="000C4390"/>
    <w:rsid w:val="000C43C4"/>
    <w:rsid w:val="000C4B9C"/>
    <w:rsid w:val="000C4D78"/>
    <w:rsid w:val="000C53D7"/>
    <w:rsid w:val="000C55E7"/>
    <w:rsid w:val="000C7981"/>
    <w:rsid w:val="000D073F"/>
    <w:rsid w:val="000D1386"/>
    <w:rsid w:val="000D2BCF"/>
    <w:rsid w:val="000D2C73"/>
    <w:rsid w:val="000D2CC4"/>
    <w:rsid w:val="000D34D0"/>
    <w:rsid w:val="000D3A97"/>
    <w:rsid w:val="000D423A"/>
    <w:rsid w:val="000D5AE6"/>
    <w:rsid w:val="000D6068"/>
    <w:rsid w:val="000D6120"/>
    <w:rsid w:val="000D6538"/>
    <w:rsid w:val="000D70DF"/>
    <w:rsid w:val="000D72D1"/>
    <w:rsid w:val="000D7642"/>
    <w:rsid w:val="000D7B45"/>
    <w:rsid w:val="000E0D67"/>
    <w:rsid w:val="000E0DC4"/>
    <w:rsid w:val="000E13D5"/>
    <w:rsid w:val="000E19C3"/>
    <w:rsid w:val="000E29B0"/>
    <w:rsid w:val="000E3399"/>
    <w:rsid w:val="000E33E0"/>
    <w:rsid w:val="000E3D18"/>
    <w:rsid w:val="000E3D47"/>
    <w:rsid w:val="000E3FF8"/>
    <w:rsid w:val="000E43BA"/>
    <w:rsid w:val="000E5800"/>
    <w:rsid w:val="000E5C06"/>
    <w:rsid w:val="000E797A"/>
    <w:rsid w:val="000E797B"/>
    <w:rsid w:val="000E7A71"/>
    <w:rsid w:val="000F0380"/>
    <w:rsid w:val="000F1DD7"/>
    <w:rsid w:val="000F23E6"/>
    <w:rsid w:val="000F33F5"/>
    <w:rsid w:val="000F40AF"/>
    <w:rsid w:val="000F4601"/>
    <w:rsid w:val="000F46C0"/>
    <w:rsid w:val="000F4B3A"/>
    <w:rsid w:val="000F56E2"/>
    <w:rsid w:val="000F5DB3"/>
    <w:rsid w:val="000F5EDD"/>
    <w:rsid w:val="000F64D4"/>
    <w:rsid w:val="000F6A1F"/>
    <w:rsid w:val="000F6E7C"/>
    <w:rsid w:val="000F6F11"/>
    <w:rsid w:val="000F7209"/>
    <w:rsid w:val="000F73D0"/>
    <w:rsid w:val="001008AA"/>
    <w:rsid w:val="001008FC"/>
    <w:rsid w:val="00101081"/>
    <w:rsid w:val="001018D4"/>
    <w:rsid w:val="00101B47"/>
    <w:rsid w:val="001022E7"/>
    <w:rsid w:val="001024EC"/>
    <w:rsid w:val="001029B7"/>
    <w:rsid w:val="0010388E"/>
    <w:rsid w:val="00105435"/>
    <w:rsid w:val="0010640F"/>
    <w:rsid w:val="0010657B"/>
    <w:rsid w:val="001066CA"/>
    <w:rsid w:val="00106720"/>
    <w:rsid w:val="0010693F"/>
    <w:rsid w:val="00106E18"/>
    <w:rsid w:val="001078BD"/>
    <w:rsid w:val="001101A9"/>
    <w:rsid w:val="00110315"/>
    <w:rsid w:val="001104B5"/>
    <w:rsid w:val="00110B5C"/>
    <w:rsid w:val="00111489"/>
    <w:rsid w:val="001115A7"/>
    <w:rsid w:val="001118E9"/>
    <w:rsid w:val="00111C43"/>
    <w:rsid w:val="001128EA"/>
    <w:rsid w:val="00113864"/>
    <w:rsid w:val="00113AB0"/>
    <w:rsid w:val="00113F0A"/>
    <w:rsid w:val="00114EE4"/>
    <w:rsid w:val="00114F48"/>
    <w:rsid w:val="0011504F"/>
    <w:rsid w:val="001158A8"/>
    <w:rsid w:val="00115E65"/>
    <w:rsid w:val="001161EA"/>
    <w:rsid w:val="0011684B"/>
    <w:rsid w:val="001168F9"/>
    <w:rsid w:val="00116BA1"/>
    <w:rsid w:val="00117112"/>
    <w:rsid w:val="00120072"/>
    <w:rsid w:val="0012097C"/>
    <w:rsid w:val="00121254"/>
    <w:rsid w:val="0012129E"/>
    <w:rsid w:val="001217CE"/>
    <w:rsid w:val="00122299"/>
    <w:rsid w:val="00122952"/>
    <w:rsid w:val="00122D25"/>
    <w:rsid w:val="001236FF"/>
    <w:rsid w:val="0012372B"/>
    <w:rsid w:val="00123DE8"/>
    <w:rsid w:val="00123EFC"/>
    <w:rsid w:val="0012485F"/>
    <w:rsid w:val="00124BD0"/>
    <w:rsid w:val="00125D07"/>
    <w:rsid w:val="00126AC2"/>
    <w:rsid w:val="001302C4"/>
    <w:rsid w:val="00130A2B"/>
    <w:rsid w:val="00131416"/>
    <w:rsid w:val="0013144D"/>
    <w:rsid w:val="001319E1"/>
    <w:rsid w:val="00131FC8"/>
    <w:rsid w:val="001323AA"/>
    <w:rsid w:val="001329F0"/>
    <w:rsid w:val="00132E89"/>
    <w:rsid w:val="001330C1"/>
    <w:rsid w:val="00133329"/>
    <w:rsid w:val="00133AE6"/>
    <w:rsid w:val="00133C75"/>
    <w:rsid w:val="001344FE"/>
    <w:rsid w:val="00134A68"/>
    <w:rsid w:val="001360CD"/>
    <w:rsid w:val="0013614E"/>
    <w:rsid w:val="001366E2"/>
    <w:rsid w:val="00137154"/>
    <w:rsid w:val="001410FF"/>
    <w:rsid w:val="0014125E"/>
    <w:rsid w:val="0014194E"/>
    <w:rsid w:val="00141AC0"/>
    <w:rsid w:val="00142BBB"/>
    <w:rsid w:val="00142E69"/>
    <w:rsid w:val="00144087"/>
    <w:rsid w:val="00144D52"/>
    <w:rsid w:val="00144EE5"/>
    <w:rsid w:val="00145ACE"/>
    <w:rsid w:val="0014633F"/>
    <w:rsid w:val="001465E6"/>
    <w:rsid w:val="001501C5"/>
    <w:rsid w:val="001506F3"/>
    <w:rsid w:val="001508F2"/>
    <w:rsid w:val="00150C85"/>
    <w:rsid w:val="00150FBB"/>
    <w:rsid w:val="00151475"/>
    <w:rsid w:val="00151937"/>
    <w:rsid w:val="00152478"/>
    <w:rsid w:val="001528FA"/>
    <w:rsid w:val="0015297D"/>
    <w:rsid w:val="001532D8"/>
    <w:rsid w:val="00153643"/>
    <w:rsid w:val="001537DA"/>
    <w:rsid w:val="001546DF"/>
    <w:rsid w:val="00154AAA"/>
    <w:rsid w:val="00154AFB"/>
    <w:rsid w:val="00154B8A"/>
    <w:rsid w:val="00155D0D"/>
    <w:rsid w:val="0015618D"/>
    <w:rsid w:val="00156765"/>
    <w:rsid w:val="00156B22"/>
    <w:rsid w:val="00156C63"/>
    <w:rsid w:val="001574E9"/>
    <w:rsid w:val="001577C2"/>
    <w:rsid w:val="001609DE"/>
    <w:rsid w:val="00160E86"/>
    <w:rsid w:val="00161663"/>
    <w:rsid w:val="001616EA"/>
    <w:rsid w:val="0016186D"/>
    <w:rsid w:val="001628EC"/>
    <w:rsid w:val="00162B60"/>
    <w:rsid w:val="0016309F"/>
    <w:rsid w:val="001634D1"/>
    <w:rsid w:val="00163520"/>
    <w:rsid w:val="001643A5"/>
    <w:rsid w:val="0016481D"/>
    <w:rsid w:val="00164873"/>
    <w:rsid w:val="001648E4"/>
    <w:rsid w:val="00164DA9"/>
    <w:rsid w:val="001660F7"/>
    <w:rsid w:val="00166F0E"/>
    <w:rsid w:val="00167226"/>
    <w:rsid w:val="00167EFA"/>
    <w:rsid w:val="0017006D"/>
    <w:rsid w:val="0017045A"/>
    <w:rsid w:val="00171682"/>
    <w:rsid w:val="00171A5D"/>
    <w:rsid w:val="00171FA4"/>
    <w:rsid w:val="001726F9"/>
    <w:rsid w:val="0017339C"/>
    <w:rsid w:val="00173959"/>
    <w:rsid w:val="00173D56"/>
    <w:rsid w:val="00173DF9"/>
    <w:rsid w:val="001743DA"/>
    <w:rsid w:val="00174796"/>
    <w:rsid w:val="001748CC"/>
    <w:rsid w:val="00176612"/>
    <w:rsid w:val="00176FFF"/>
    <w:rsid w:val="00177AAC"/>
    <w:rsid w:val="00177BB5"/>
    <w:rsid w:val="001805AC"/>
    <w:rsid w:val="001807AA"/>
    <w:rsid w:val="00180CBC"/>
    <w:rsid w:val="00181483"/>
    <w:rsid w:val="00181FF0"/>
    <w:rsid w:val="001822FE"/>
    <w:rsid w:val="001829BF"/>
    <w:rsid w:val="00182B46"/>
    <w:rsid w:val="00183270"/>
    <w:rsid w:val="00183AC5"/>
    <w:rsid w:val="00183AD8"/>
    <w:rsid w:val="00183ADC"/>
    <w:rsid w:val="00184296"/>
    <w:rsid w:val="0018552D"/>
    <w:rsid w:val="00185602"/>
    <w:rsid w:val="00185E9F"/>
    <w:rsid w:val="00185ECA"/>
    <w:rsid w:val="00186351"/>
    <w:rsid w:val="001863FE"/>
    <w:rsid w:val="001864EC"/>
    <w:rsid w:val="001866D5"/>
    <w:rsid w:val="00187E72"/>
    <w:rsid w:val="00190B78"/>
    <w:rsid w:val="001916A6"/>
    <w:rsid w:val="00192471"/>
    <w:rsid w:val="00193829"/>
    <w:rsid w:val="00193E5A"/>
    <w:rsid w:val="00194988"/>
    <w:rsid w:val="00195230"/>
    <w:rsid w:val="00195D35"/>
    <w:rsid w:val="001968E7"/>
    <w:rsid w:val="00196C9D"/>
    <w:rsid w:val="0019738A"/>
    <w:rsid w:val="001977FF"/>
    <w:rsid w:val="001979CE"/>
    <w:rsid w:val="00197A18"/>
    <w:rsid w:val="00197A50"/>
    <w:rsid w:val="001A1405"/>
    <w:rsid w:val="001A15D5"/>
    <w:rsid w:val="001A1992"/>
    <w:rsid w:val="001A1B39"/>
    <w:rsid w:val="001A1F70"/>
    <w:rsid w:val="001A23EE"/>
    <w:rsid w:val="001A27E8"/>
    <w:rsid w:val="001A2F32"/>
    <w:rsid w:val="001A33D7"/>
    <w:rsid w:val="001A33DA"/>
    <w:rsid w:val="001A3952"/>
    <w:rsid w:val="001A3AE6"/>
    <w:rsid w:val="001A3C7B"/>
    <w:rsid w:val="001A44DD"/>
    <w:rsid w:val="001A4924"/>
    <w:rsid w:val="001A4B8A"/>
    <w:rsid w:val="001A5BAC"/>
    <w:rsid w:val="001A6DA9"/>
    <w:rsid w:val="001A7010"/>
    <w:rsid w:val="001A7425"/>
    <w:rsid w:val="001A7507"/>
    <w:rsid w:val="001B023F"/>
    <w:rsid w:val="001B08E7"/>
    <w:rsid w:val="001B0CEA"/>
    <w:rsid w:val="001B0EEB"/>
    <w:rsid w:val="001B205F"/>
    <w:rsid w:val="001B22C3"/>
    <w:rsid w:val="001B2BE7"/>
    <w:rsid w:val="001B3845"/>
    <w:rsid w:val="001B39F5"/>
    <w:rsid w:val="001B3BE6"/>
    <w:rsid w:val="001B3C74"/>
    <w:rsid w:val="001B3DEA"/>
    <w:rsid w:val="001B3F1D"/>
    <w:rsid w:val="001B4938"/>
    <w:rsid w:val="001B4CBD"/>
    <w:rsid w:val="001B4EF8"/>
    <w:rsid w:val="001B58DF"/>
    <w:rsid w:val="001B597F"/>
    <w:rsid w:val="001B5F8E"/>
    <w:rsid w:val="001B61E7"/>
    <w:rsid w:val="001B677B"/>
    <w:rsid w:val="001B6F8A"/>
    <w:rsid w:val="001C011C"/>
    <w:rsid w:val="001C0675"/>
    <w:rsid w:val="001C0711"/>
    <w:rsid w:val="001C0CEF"/>
    <w:rsid w:val="001C0FD0"/>
    <w:rsid w:val="001C1D38"/>
    <w:rsid w:val="001C1F88"/>
    <w:rsid w:val="001C2158"/>
    <w:rsid w:val="001C2323"/>
    <w:rsid w:val="001C314C"/>
    <w:rsid w:val="001C347B"/>
    <w:rsid w:val="001C3857"/>
    <w:rsid w:val="001C398D"/>
    <w:rsid w:val="001C3DF5"/>
    <w:rsid w:val="001C4178"/>
    <w:rsid w:val="001C51A3"/>
    <w:rsid w:val="001C53DC"/>
    <w:rsid w:val="001C61C3"/>
    <w:rsid w:val="001C634E"/>
    <w:rsid w:val="001D03FC"/>
    <w:rsid w:val="001D2AE0"/>
    <w:rsid w:val="001D40DD"/>
    <w:rsid w:val="001D418D"/>
    <w:rsid w:val="001D5467"/>
    <w:rsid w:val="001D6241"/>
    <w:rsid w:val="001D681F"/>
    <w:rsid w:val="001E0128"/>
    <w:rsid w:val="001E0139"/>
    <w:rsid w:val="001E04F3"/>
    <w:rsid w:val="001E0628"/>
    <w:rsid w:val="001E1088"/>
    <w:rsid w:val="001E1F9C"/>
    <w:rsid w:val="001E1FDD"/>
    <w:rsid w:val="001E35D4"/>
    <w:rsid w:val="001E42BA"/>
    <w:rsid w:val="001E493B"/>
    <w:rsid w:val="001E6114"/>
    <w:rsid w:val="001E648C"/>
    <w:rsid w:val="001E6BC5"/>
    <w:rsid w:val="001E6C3E"/>
    <w:rsid w:val="001E7082"/>
    <w:rsid w:val="001E7322"/>
    <w:rsid w:val="001E74B7"/>
    <w:rsid w:val="001E7F0E"/>
    <w:rsid w:val="001F0374"/>
    <w:rsid w:val="001F0743"/>
    <w:rsid w:val="001F1DC9"/>
    <w:rsid w:val="001F2130"/>
    <w:rsid w:val="001F2133"/>
    <w:rsid w:val="001F3029"/>
    <w:rsid w:val="001F35B0"/>
    <w:rsid w:val="001F3985"/>
    <w:rsid w:val="001F3C50"/>
    <w:rsid w:val="001F3CB5"/>
    <w:rsid w:val="001F44FB"/>
    <w:rsid w:val="001F4C57"/>
    <w:rsid w:val="001F4CE2"/>
    <w:rsid w:val="001F5308"/>
    <w:rsid w:val="001F5482"/>
    <w:rsid w:val="001F5FFB"/>
    <w:rsid w:val="001F7059"/>
    <w:rsid w:val="001F7192"/>
    <w:rsid w:val="001F781C"/>
    <w:rsid w:val="001F7E11"/>
    <w:rsid w:val="00200D7B"/>
    <w:rsid w:val="00200D93"/>
    <w:rsid w:val="002010C9"/>
    <w:rsid w:val="00201BAE"/>
    <w:rsid w:val="002023D2"/>
    <w:rsid w:val="002033C7"/>
    <w:rsid w:val="00203D29"/>
    <w:rsid w:val="00204BE4"/>
    <w:rsid w:val="00205091"/>
    <w:rsid w:val="00205535"/>
    <w:rsid w:val="00205921"/>
    <w:rsid w:val="002059C4"/>
    <w:rsid w:val="00205A72"/>
    <w:rsid w:val="00205EA6"/>
    <w:rsid w:val="00206340"/>
    <w:rsid w:val="00206551"/>
    <w:rsid w:val="00206E36"/>
    <w:rsid w:val="002075CD"/>
    <w:rsid w:val="00207DB9"/>
    <w:rsid w:val="0021015C"/>
    <w:rsid w:val="0021049A"/>
    <w:rsid w:val="00210F6E"/>
    <w:rsid w:val="00211D12"/>
    <w:rsid w:val="002128B5"/>
    <w:rsid w:val="002128D3"/>
    <w:rsid w:val="0021324A"/>
    <w:rsid w:val="00213641"/>
    <w:rsid w:val="0021366A"/>
    <w:rsid w:val="002138B1"/>
    <w:rsid w:val="002145C5"/>
    <w:rsid w:val="00214C5D"/>
    <w:rsid w:val="00215BB7"/>
    <w:rsid w:val="0021655C"/>
    <w:rsid w:val="00216C61"/>
    <w:rsid w:val="002171E3"/>
    <w:rsid w:val="00217441"/>
    <w:rsid w:val="00220BA2"/>
    <w:rsid w:val="00220F96"/>
    <w:rsid w:val="00221228"/>
    <w:rsid w:val="00221DC5"/>
    <w:rsid w:val="00222411"/>
    <w:rsid w:val="00223689"/>
    <w:rsid w:val="00223FC3"/>
    <w:rsid w:val="002241B2"/>
    <w:rsid w:val="00224375"/>
    <w:rsid w:val="00225CF3"/>
    <w:rsid w:val="0022618D"/>
    <w:rsid w:val="002265A9"/>
    <w:rsid w:val="0022684C"/>
    <w:rsid w:val="00226A95"/>
    <w:rsid w:val="002276D2"/>
    <w:rsid w:val="002279B2"/>
    <w:rsid w:val="002300FE"/>
    <w:rsid w:val="0023045B"/>
    <w:rsid w:val="00230630"/>
    <w:rsid w:val="00230F08"/>
    <w:rsid w:val="002311F7"/>
    <w:rsid w:val="00231759"/>
    <w:rsid w:val="00231837"/>
    <w:rsid w:val="00231907"/>
    <w:rsid w:val="00231D3B"/>
    <w:rsid w:val="00233CE6"/>
    <w:rsid w:val="00234322"/>
    <w:rsid w:val="00234386"/>
    <w:rsid w:val="002343F3"/>
    <w:rsid w:val="0023468B"/>
    <w:rsid w:val="00234F13"/>
    <w:rsid w:val="0023503C"/>
    <w:rsid w:val="00235F22"/>
    <w:rsid w:val="0023654B"/>
    <w:rsid w:val="002375E7"/>
    <w:rsid w:val="002378F9"/>
    <w:rsid w:val="00237D31"/>
    <w:rsid w:val="00237E1C"/>
    <w:rsid w:val="00240736"/>
    <w:rsid w:val="00240DB5"/>
    <w:rsid w:val="002417C8"/>
    <w:rsid w:val="00241829"/>
    <w:rsid w:val="0024185D"/>
    <w:rsid w:val="0024193C"/>
    <w:rsid w:val="0024210C"/>
    <w:rsid w:val="00242EEF"/>
    <w:rsid w:val="00243639"/>
    <w:rsid w:val="00243683"/>
    <w:rsid w:val="00243930"/>
    <w:rsid w:val="0024418B"/>
    <w:rsid w:val="002447F1"/>
    <w:rsid w:val="00244C67"/>
    <w:rsid w:val="002460E2"/>
    <w:rsid w:val="0024647A"/>
    <w:rsid w:val="002468EE"/>
    <w:rsid w:val="00246BC1"/>
    <w:rsid w:val="00246C40"/>
    <w:rsid w:val="00246E9B"/>
    <w:rsid w:val="0024784A"/>
    <w:rsid w:val="00250067"/>
    <w:rsid w:val="00250113"/>
    <w:rsid w:val="002504C8"/>
    <w:rsid w:val="002509E6"/>
    <w:rsid w:val="00250D6F"/>
    <w:rsid w:val="00250E3D"/>
    <w:rsid w:val="0025117B"/>
    <w:rsid w:val="002514E2"/>
    <w:rsid w:val="0025213E"/>
    <w:rsid w:val="0025262A"/>
    <w:rsid w:val="00253520"/>
    <w:rsid w:val="00253B88"/>
    <w:rsid w:val="00254496"/>
    <w:rsid w:val="002547A4"/>
    <w:rsid w:val="0025491A"/>
    <w:rsid w:val="0025566F"/>
    <w:rsid w:val="00256ED4"/>
    <w:rsid w:val="0025795B"/>
    <w:rsid w:val="00257CF1"/>
    <w:rsid w:val="00260099"/>
    <w:rsid w:val="0026077A"/>
    <w:rsid w:val="00261344"/>
    <w:rsid w:val="002617B9"/>
    <w:rsid w:val="00262ACD"/>
    <w:rsid w:val="00262C6B"/>
    <w:rsid w:val="00262EF5"/>
    <w:rsid w:val="0026353B"/>
    <w:rsid w:val="00263603"/>
    <w:rsid w:val="00263626"/>
    <w:rsid w:val="00263DBE"/>
    <w:rsid w:val="00265D30"/>
    <w:rsid w:val="002668C9"/>
    <w:rsid w:val="00266AC8"/>
    <w:rsid w:val="002674BC"/>
    <w:rsid w:val="00267701"/>
    <w:rsid w:val="00267D4B"/>
    <w:rsid w:val="00267E86"/>
    <w:rsid w:val="00267E99"/>
    <w:rsid w:val="00270CFF"/>
    <w:rsid w:val="002717A2"/>
    <w:rsid w:val="002718B9"/>
    <w:rsid w:val="00271F2A"/>
    <w:rsid w:val="0027230D"/>
    <w:rsid w:val="002727B6"/>
    <w:rsid w:val="00272CC0"/>
    <w:rsid w:val="00273903"/>
    <w:rsid w:val="00273A79"/>
    <w:rsid w:val="00274B9F"/>
    <w:rsid w:val="00275CE0"/>
    <w:rsid w:val="002761A5"/>
    <w:rsid w:val="00277302"/>
    <w:rsid w:val="002800CA"/>
    <w:rsid w:val="00280162"/>
    <w:rsid w:val="002802A9"/>
    <w:rsid w:val="00280734"/>
    <w:rsid w:val="0028078D"/>
    <w:rsid w:val="002813F4"/>
    <w:rsid w:val="00281D14"/>
    <w:rsid w:val="0028228C"/>
    <w:rsid w:val="00282BBC"/>
    <w:rsid w:val="00282E89"/>
    <w:rsid w:val="00283EC5"/>
    <w:rsid w:val="00284188"/>
    <w:rsid w:val="002843A5"/>
    <w:rsid w:val="0028460D"/>
    <w:rsid w:val="00284B4C"/>
    <w:rsid w:val="00284D86"/>
    <w:rsid w:val="002854E2"/>
    <w:rsid w:val="002857D9"/>
    <w:rsid w:val="00286049"/>
    <w:rsid w:val="0028760C"/>
    <w:rsid w:val="002876FF"/>
    <w:rsid w:val="002877C8"/>
    <w:rsid w:val="00287A0D"/>
    <w:rsid w:val="00287E3F"/>
    <w:rsid w:val="00287F92"/>
    <w:rsid w:val="0029026E"/>
    <w:rsid w:val="00290A0C"/>
    <w:rsid w:val="0029111F"/>
    <w:rsid w:val="0029132E"/>
    <w:rsid w:val="002921CE"/>
    <w:rsid w:val="00292227"/>
    <w:rsid w:val="00292993"/>
    <w:rsid w:val="002931E1"/>
    <w:rsid w:val="00293743"/>
    <w:rsid w:val="00293CB4"/>
    <w:rsid w:val="00293E75"/>
    <w:rsid w:val="00293E9D"/>
    <w:rsid w:val="00294201"/>
    <w:rsid w:val="0029474B"/>
    <w:rsid w:val="00294C35"/>
    <w:rsid w:val="00294D30"/>
    <w:rsid w:val="00295E85"/>
    <w:rsid w:val="00296417"/>
    <w:rsid w:val="00296A05"/>
    <w:rsid w:val="00296C60"/>
    <w:rsid w:val="00296CD3"/>
    <w:rsid w:val="002973BC"/>
    <w:rsid w:val="002975E6"/>
    <w:rsid w:val="002A041A"/>
    <w:rsid w:val="002A0547"/>
    <w:rsid w:val="002A05BC"/>
    <w:rsid w:val="002A05F5"/>
    <w:rsid w:val="002A1BA7"/>
    <w:rsid w:val="002A1C8D"/>
    <w:rsid w:val="002A26BA"/>
    <w:rsid w:val="002A314C"/>
    <w:rsid w:val="002A314E"/>
    <w:rsid w:val="002A3334"/>
    <w:rsid w:val="002A3522"/>
    <w:rsid w:val="002A3E33"/>
    <w:rsid w:val="002A5B77"/>
    <w:rsid w:val="002A5EE2"/>
    <w:rsid w:val="002A6A7D"/>
    <w:rsid w:val="002A6E38"/>
    <w:rsid w:val="002A7819"/>
    <w:rsid w:val="002A7B02"/>
    <w:rsid w:val="002A7E73"/>
    <w:rsid w:val="002A7F5E"/>
    <w:rsid w:val="002B016A"/>
    <w:rsid w:val="002B02A3"/>
    <w:rsid w:val="002B051E"/>
    <w:rsid w:val="002B05EF"/>
    <w:rsid w:val="002B11D1"/>
    <w:rsid w:val="002B1556"/>
    <w:rsid w:val="002B182E"/>
    <w:rsid w:val="002B1B2A"/>
    <w:rsid w:val="002B1EC6"/>
    <w:rsid w:val="002B23A9"/>
    <w:rsid w:val="002B2B98"/>
    <w:rsid w:val="002B2EA3"/>
    <w:rsid w:val="002B305E"/>
    <w:rsid w:val="002B3967"/>
    <w:rsid w:val="002B3D90"/>
    <w:rsid w:val="002B414F"/>
    <w:rsid w:val="002B5747"/>
    <w:rsid w:val="002B64A3"/>
    <w:rsid w:val="002B6981"/>
    <w:rsid w:val="002B6D97"/>
    <w:rsid w:val="002B6E91"/>
    <w:rsid w:val="002B7692"/>
    <w:rsid w:val="002B7C11"/>
    <w:rsid w:val="002C16F9"/>
    <w:rsid w:val="002C1758"/>
    <w:rsid w:val="002C1935"/>
    <w:rsid w:val="002C2D8E"/>
    <w:rsid w:val="002C3797"/>
    <w:rsid w:val="002C3826"/>
    <w:rsid w:val="002C3A76"/>
    <w:rsid w:val="002C423D"/>
    <w:rsid w:val="002C4B48"/>
    <w:rsid w:val="002C5697"/>
    <w:rsid w:val="002C56C2"/>
    <w:rsid w:val="002C5D7E"/>
    <w:rsid w:val="002C6080"/>
    <w:rsid w:val="002C7F5C"/>
    <w:rsid w:val="002D05BD"/>
    <w:rsid w:val="002D07A7"/>
    <w:rsid w:val="002D1A3E"/>
    <w:rsid w:val="002D1BBB"/>
    <w:rsid w:val="002D1F35"/>
    <w:rsid w:val="002D222D"/>
    <w:rsid w:val="002D25CC"/>
    <w:rsid w:val="002D399C"/>
    <w:rsid w:val="002D3CC5"/>
    <w:rsid w:val="002D4116"/>
    <w:rsid w:val="002D474D"/>
    <w:rsid w:val="002D4850"/>
    <w:rsid w:val="002D52AA"/>
    <w:rsid w:val="002D53FF"/>
    <w:rsid w:val="002D563E"/>
    <w:rsid w:val="002D5889"/>
    <w:rsid w:val="002D5B71"/>
    <w:rsid w:val="002D64FA"/>
    <w:rsid w:val="002D69CE"/>
    <w:rsid w:val="002D6F6B"/>
    <w:rsid w:val="002D755F"/>
    <w:rsid w:val="002D782F"/>
    <w:rsid w:val="002D7F9B"/>
    <w:rsid w:val="002D7FB9"/>
    <w:rsid w:val="002E02CD"/>
    <w:rsid w:val="002E07A9"/>
    <w:rsid w:val="002E0B50"/>
    <w:rsid w:val="002E14F3"/>
    <w:rsid w:val="002E23D2"/>
    <w:rsid w:val="002E279C"/>
    <w:rsid w:val="002E2B13"/>
    <w:rsid w:val="002E3557"/>
    <w:rsid w:val="002E3AB2"/>
    <w:rsid w:val="002E3DB0"/>
    <w:rsid w:val="002E405D"/>
    <w:rsid w:val="002E4192"/>
    <w:rsid w:val="002E4492"/>
    <w:rsid w:val="002E4A09"/>
    <w:rsid w:val="002E4B43"/>
    <w:rsid w:val="002E4E0A"/>
    <w:rsid w:val="002E568D"/>
    <w:rsid w:val="002E576D"/>
    <w:rsid w:val="002E5EEF"/>
    <w:rsid w:val="002E6F9D"/>
    <w:rsid w:val="002E72FC"/>
    <w:rsid w:val="002E777C"/>
    <w:rsid w:val="002E7AB7"/>
    <w:rsid w:val="002E7B9B"/>
    <w:rsid w:val="002F05E7"/>
    <w:rsid w:val="002F107D"/>
    <w:rsid w:val="002F11FA"/>
    <w:rsid w:val="002F25FF"/>
    <w:rsid w:val="002F2633"/>
    <w:rsid w:val="002F2663"/>
    <w:rsid w:val="002F2F2B"/>
    <w:rsid w:val="002F3672"/>
    <w:rsid w:val="002F40FF"/>
    <w:rsid w:val="002F481B"/>
    <w:rsid w:val="002F5092"/>
    <w:rsid w:val="002F56F9"/>
    <w:rsid w:val="002F5FD6"/>
    <w:rsid w:val="002F6448"/>
    <w:rsid w:val="002F6690"/>
    <w:rsid w:val="002F6835"/>
    <w:rsid w:val="002F6B66"/>
    <w:rsid w:val="002F6CA7"/>
    <w:rsid w:val="002F7450"/>
    <w:rsid w:val="002F787A"/>
    <w:rsid w:val="002F7F16"/>
    <w:rsid w:val="00300090"/>
    <w:rsid w:val="00300668"/>
    <w:rsid w:val="00300970"/>
    <w:rsid w:val="00301393"/>
    <w:rsid w:val="00301B1A"/>
    <w:rsid w:val="00301CA4"/>
    <w:rsid w:val="0030276C"/>
    <w:rsid w:val="003027C4"/>
    <w:rsid w:val="003031BC"/>
    <w:rsid w:val="00303416"/>
    <w:rsid w:val="0030372B"/>
    <w:rsid w:val="00304795"/>
    <w:rsid w:val="00304D85"/>
    <w:rsid w:val="0030500B"/>
    <w:rsid w:val="0030573A"/>
    <w:rsid w:val="0030626D"/>
    <w:rsid w:val="00307B1A"/>
    <w:rsid w:val="00310130"/>
    <w:rsid w:val="0031021F"/>
    <w:rsid w:val="0031070D"/>
    <w:rsid w:val="003107D0"/>
    <w:rsid w:val="0031244D"/>
    <w:rsid w:val="003126F9"/>
    <w:rsid w:val="00312843"/>
    <w:rsid w:val="00312983"/>
    <w:rsid w:val="00312A7E"/>
    <w:rsid w:val="00312CF3"/>
    <w:rsid w:val="00312E2C"/>
    <w:rsid w:val="0031367F"/>
    <w:rsid w:val="00313AC4"/>
    <w:rsid w:val="003142BB"/>
    <w:rsid w:val="00314FAE"/>
    <w:rsid w:val="00315160"/>
    <w:rsid w:val="00315E8C"/>
    <w:rsid w:val="00315EF0"/>
    <w:rsid w:val="00315EFC"/>
    <w:rsid w:val="00315F57"/>
    <w:rsid w:val="003163E3"/>
    <w:rsid w:val="00316F1C"/>
    <w:rsid w:val="00317746"/>
    <w:rsid w:val="003178AB"/>
    <w:rsid w:val="00317D88"/>
    <w:rsid w:val="00320214"/>
    <w:rsid w:val="003213A3"/>
    <w:rsid w:val="0032194B"/>
    <w:rsid w:val="00321AFE"/>
    <w:rsid w:val="00321F7E"/>
    <w:rsid w:val="00321F87"/>
    <w:rsid w:val="00322089"/>
    <w:rsid w:val="003224E9"/>
    <w:rsid w:val="0032251F"/>
    <w:rsid w:val="00322717"/>
    <w:rsid w:val="00322775"/>
    <w:rsid w:val="00323D8B"/>
    <w:rsid w:val="003243A0"/>
    <w:rsid w:val="00324411"/>
    <w:rsid w:val="0032520E"/>
    <w:rsid w:val="003253AE"/>
    <w:rsid w:val="00325564"/>
    <w:rsid w:val="0032559D"/>
    <w:rsid w:val="003260A4"/>
    <w:rsid w:val="00326602"/>
    <w:rsid w:val="0032774A"/>
    <w:rsid w:val="0033092E"/>
    <w:rsid w:val="00330BC5"/>
    <w:rsid w:val="003310BF"/>
    <w:rsid w:val="0033112D"/>
    <w:rsid w:val="0033163B"/>
    <w:rsid w:val="00331707"/>
    <w:rsid w:val="00331F18"/>
    <w:rsid w:val="00332BCE"/>
    <w:rsid w:val="00332D13"/>
    <w:rsid w:val="00332E5A"/>
    <w:rsid w:val="00332F4D"/>
    <w:rsid w:val="0033350E"/>
    <w:rsid w:val="00334907"/>
    <w:rsid w:val="00334B17"/>
    <w:rsid w:val="00334CF8"/>
    <w:rsid w:val="00334EB1"/>
    <w:rsid w:val="00335124"/>
    <w:rsid w:val="003353C3"/>
    <w:rsid w:val="00335D6E"/>
    <w:rsid w:val="00335DC8"/>
    <w:rsid w:val="00336467"/>
    <w:rsid w:val="00336D27"/>
    <w:rsid w:val="00336DD7"/>
    <w:rsid w:val="00336E97"/>
    <w:rsid w:val="00337CB4"/>
    <w:rsid w:val="00340A3D"/>
    <w:rsid w:val="00341A33"/>
    <w:rsid w:val="003421EC"/>
    <w:rsid w:val="00342919"/>
    <w:rsid w:val="0034312D"/>
    <w:rsid w:val="003433EA"/>
    <w:rsid w:val="00343D94"/>
    <w:rsid w:val="00344109"/>
    <w:rsid w:val="003444EE"/>
    <w:rsid w:val="00344DAF"/>
    <w:rsid w:val="00345753"/>
    <w:rsid w:val="0034590C"/>
    <w:rsid w:val="0034596B"/>
    <w:rsid w:val="0034650A"/>
    <w:rsid w:val="003469DB"/>
    <w:rsid w:val="003476D5"/>
    <w:rsid w:val="003478B0"/>
    <w:rsid w:val="003478DE"/>
    <w:rsid w:val="00350068"/>
    <w:rsid w:val="00350F98"/>
    <w:rsid w:val="00351C29"/>
    <w:rsid w:val="00351E46"/>
    <w:rsid w:val="00352732"/>
    <w:rsid w:val="00352758"/>
    <w:rsid w:val="00353397"/>
    <w:rsid w:val="003536C7"/>
    <w:rsid w:val="00353B12"/>
    <w:rsid w:val="00353D19"/>
    <w:rsid w:val="00353F60"/>
    <w:rsid w:val="00354397"/>
    <w:rsid w:val="00354AF0"/>
    <w:rsid w:val="003557BE"/>
    <w:rsid w:val="003558E7"/>
    <w:rsid w:val="00355B9B"/>
    <w:rsid w:val="0035603A"/>
    <w:rsid w:val="003561FC"/>
    <w:rsid w:val="003563A6"/>
    <w:rsid w:val="003567E9"/>
    <w:rsid w:val="00356A22"/>
    <w:rsid w:val="00356A8B"/>
    <w:rsid w:val="00356E82"/>
    <w:rsid w:val="003574AD"/>
    <w:rsid w:val="0035757F"/>
    <w:rsid w:val="0035776F"/>
    <w:rsid w:val="003579DC"/>
    <w:rsid w:val="00357C63"/>
    <w:rsid w:val="00357DCA"/>
    <w:rsid w:val="003606D3"/>
    <w:rsid w:val="00361AB2"/>
    <w:rsid w:val="00361B56"/>
    <w:rsid w:val="00362329"/>
    <w:rsid w:val="003629AE"/>
    <w:rsid w:val="00362B0F"/>
    <w:rsid w:val="003637AE"/>
    <w:rsid w:val="003652B8"/>
    <w:rsid w:val="003652FC"/>
    <w:rsid w:val="00365468"/>
    <w:rsid w:val="003654B3"/>
    <w:rsid w:val="00365784"/>
    <w:rsid w:val="00365F0C"/>
    <w:rsid w:val="00366496"/>
    <w:rsid w:val="00366F0F"/>
    <w:rsid w:val="00367C44"/>
    <w:rsid w:val="003700D7"/>
    <w:rsid w:val="00370518"/>
    <w:rsid w:val="00370BC8"/>
    <w:rsid w:val="0037199E"/>
    <w:rsid w:val="00371AE9"/>
    <w:rsid w:val="00371FF9"/>
    <w:rsid w:val="0037291B"/>
    <w:rsid w:val="00372DBF"/>
    <w:rsid w:val="00373D5F"/>
    <w:rsid w:val="00374854"/>
    <w:rsid w:val="003753B7"/>
    <w:rsid w:val="00375406"/>
    <w:rsid w:val="003757CD"/>
    <w:rsid w:val="003758B4"/>
    <w:rsid w:val="00375F33"/>
    <w:rsid w:val="003765BF"/>
    <w:rsid w:val="0037662A"/>
    <w:rsid w:val="003770F7"/>
    <w:rsid w:val="00377385"/>
    <w:rsid w:val="003773AB"/>
    <w:rsid w:val="0037757D"/>
    <w:rsid w:val="003779D5"/>
    <w:rsid w:val="00380725"/>
    <w:rsid w:val="0038096D"/>
    <w:rsid w:val="00380C7A"/>
    <w:rsid w:val="00380D57"/>
    <w:rsid w:val="003810B4"/>
    <w:rsid w:val="0038180E"/>
    <w:rsid w:val="00382529"/>
    <w:rsid w:val="00382E89"/>
    <w:rsid w:val="003831F6"/>
    <w:rsid w:val="00383336"/>
    <w:rsid w:val="00384424"/>
    <w:rsid w:val="00384B9F"/>
    <w:rsid w:val="003853B6"/>
    <w:rsid w:val="00386B8C"/>
    <w:rsid w:val="00386D89"/>
    <w:rsid w:val="0038742F"/>
    <w:rsid w:val="00387434"/>
    <w:rsid w:val="00387BE6"/>
    <w:rsid w:val="00387C47"/>
    <w:rsid w:val="00387FD4"/>
    <w:rsid w:val="00390DB8"/>
    <w:rsid w:val="003919B5"/>
    <w:rsid w:val="003920B3"/>
    <w:rsid w:val="00392BD6"/>
    <w:rsid w:val="00392D27"/>
    <w:rsid w:val="00392F29"/>
    <w:rsid w:val="00393229"/>
    <w:rsid w:val="00393398"/>
    <w:rsid w:val="003939EE"/>
    <w:rsid w:val="00394405"/>
    <w:rsid w:val="0039515D"/>
    <w:rsid w:val="003951E5"/>
    <w:rsid w:val="003958F1"/>
    <w:rsid w:val="00395A1A"/>
    <w:rsid w:val="00395D4E"/>
    <w:rsid w:val="00395F36"/>
    <w:rsid w:val="00395F90"/>
    <w:rsid w:val="00396B1C"/>
    <w:rsid w:val="00396C56"/>
    <w:rsid w:val="00396C98"/>
    <w:rsid w:val="003977B8"/>
    <w:rsid w:val="00397B02"/>
    <w:rsid w:val="00397CE6"/>
    <w:rsid w:val="003A01F1"/>
    <w:rsid w:val="003A197F"/>
    <w:rsid w:val="003A1A16"/>
    <w:rsid w:val="003A1EF3"/>
    <w:rsid w:val="003A1FDE"/>
    <w:rsid w:val="003A22E3"/>
    <w:rsid w:val="003A2B8E"/>
    <w:rsid w:val="003A2CEB"/>
    <w:rsid w:val="003A2E3B"/>
    <w:rsid w:val="003A432E"/>
    <w:rsid w:val="003A4E0D"/>
    <w:rsid w:val="003A4E50"/>
    <w:rsid w:val="003A50B9"/>
    <w:rsid w:val="003A5823"/>
    <w:rsid w:val="003A58B8"/>
    <w:rsid w:val="003A608E"/>
    <w:rsid w:val="003A6221"/>
    <w:rsid w:val="003A6DEA"/>
    <w:rsid w:val="003A6F5B"/>
    <w:rsid w:val="003A770D"/>
    <w:rsid w:val="003A7D99"/>
    <w:rsid w:val="003A7E9B"/>
    <w:rsid w:val="003B0116"/>
    <w:rsid w:val="003B0360"/>
    <w:rsid w:val="003B0D21"/>
    <w:rsid w:val="003B1590"/>
    <w:rsid w:val="003B1B97"/>
    <w:rsid w:val="003B1CB5"/>
    <w:rsid w:val="003B1EFA"/>
    <w:rsid w:val="003B22B8"/>
    <w:rsid w:val="003B3019"/>
    <w:rsid w:val="003B321F"/>
    <w:rsid w:val="003B3D29"/>
    <w:rsid w:val="003B4325"/>
    <w:rsid w:val="003B49E1"/>
    <w:rsid w:val="003B4F3A"/>
    <w:rsid w:val="003B5CA0"/>
    <w:rsid w:val="003B64DD"/>
    <w:rsid w:val="003B72D9"/>
    <w:rsid w:val="003B7B4D"/>
    <w:rsid w:val="003C0371"/>
    <w:rsid w:val="003C1BB3"/>
    <w:rsid w:val="003C1C31"/>
    <w:rsid w:val="003C1C77"/>
    <w:rsid w:val="003C2376"/>
    <w:rsid w:val="003C324F"/>
    <w:rsid w:val="003C3938"/>
    <w:rsid w:val="003C3B3E"/>
    <w:rsid w:val="003C3D04"/>
    <w:rsid w:val="003C40BA"/>
    <w:rsid w:val="003C438D"/>
    <w:rsid w:val="003C4510"/>
    <w:rsid w:val="003C4656"/>
    <w:rsid w:val="003C4749"/>
    <w:rsid w:val="003C4794"/>
    <w:rsid w:val="003C57AF"/>
    <w:rsid w:val="003C5EF5"/>
    <w:rsid w:val="003C5F36"/>
    <w:rsid w:val="003C6450"/>
    <w:rsid w:val="003C6486"/>
    <w:rsid w:val="003C6AEF"/>
    <w:rsid w:val="003C6E45"/>
    <w:rsid w:val="003C743D"/>
    <w:rsid w:val="003C7517"/>
    <w:rsid w:val="003C7891"/>
    <w:rsid w:val="003C7E79"/>
    <w:rsid w:val="003D13DE"/>
    <w:rsid w:val="003D1B3C"/>
    <w:rsid w:val="003D1BFA"/>
    <w:rsid w:val="003D1DF0"/>
    <w:rsid w:val="003D250E"/>
    <w:rsid w:val="003D2B2B"/>
    <w:rsid w:val="003D38E4"/>
    <w:rsid w:val="003D401E"/>
    <w:rsid w:val="003D423D"/>
    <w:rsid w:val="003D4AA6"/>
    <w:rsid w:val="003D55FB"/>
    <w:rsid w:val="003D638B"/>
    <w:rsid w:val="003D63A7"/>
    <w:rsid w:val="003D66AE"/>
    <w:rsid w:val="003D6EB8"/>
    <w:rsid w:val="003D6FF8"/>
    <w:rsid w:val="003D7FBE"/>
    <w:rsid w:val="003E057D"/>
    <w:rsid w:val="003E0C55"/>
    <w:rsid w:val="003E110F"/>
    <w:rsid w:val="003E139A"/>
    <w:rsid w:val="003E1790"/>
    <w:rsid w:val="003E2D07"/>
    <w:rsid w:val="003E3757"/>
    <w:rsid w:val="003E3BEE"/>
    <w:rsid w:val="003E3C53"/>
    <w:rsid w:val="003E4971"/>
    <w:rsid w:val="003E4B8B"/>
    <w:rsid w:val="003E56D1"/>
    <w:rsid w:val="003E5AE8"/>
    <w:rsid w:val="003E5CFD"/>
    <w:rsid w:val="003E5D92"/>
    <w:rsid w:val="003E62A8"/>
    <w:rsid w:val="003E6C6B"/>
    <w:rsid w:val="003E743E"/>
    <w:rsid w:val="003E7D8C"/>
    <w:rsid w:val="003E7E01"/>
    <w:rsid w:val="003F0099"/>
    <w:rsid w:val="003F127C"/>
    <w:rsid w:val="003F1DA9"/>
    <w:rsid w:val="003F259E"/>
    <w:rsid w:val="003F2DAB"/>
    <w:rsid w:val="003F3231"/>
    <w:rsid w:val="003F32C3"/>
    <w:rsid w:val="003F32C8"/>
    <w:rsid w:val="003F34D4"/>
    <w:rsid w:val="003F3541"/>
    <w:rsid w:val="003F3D94"/>
    <w:rsid w:val="003F42A2"/>
    <w:rsid w:val="003F4E75"/>
    <w:rsid w:val="003F4F10"/>
    <w:rsid w:val="003F4F20"/>
    <w:rsid w:val="003F50F5"/>
    <w:rsid w:val="003F5434"/>
    <w:rsid w:val="003F55CF"/>
    <w:rsid w:val="003F5701"/>
    <w:rsid w:val="003F5975"/>
    <w:rsid w:val="003F5E7A"/>
    <w:rsid w:val="003F60B4"/>
    <w:rsid w:val="003F74A2"/>
    <w:rsid w:val="003F74A9"/>
    <w:rsid w:val="003F758B"/>
    <w:rsid w:val="003F7789"/>
    <w:rsid w:val="004009C7"/>
    <w:rsid w:val="00400A6B"/>
    <w:rsid w:val="0040190D"/>
    <w:rsid w:val="00401FFF"/>
    <w:rsid w:val="004021BC"/>
    <w:rsid w:val="004021D6"/>
    <w:rsid w:val="00402677"/>
    <w:rsid w:val="0040268D"/>
    <w:rsid w:val="004028FE"/>
    <w:rsid w:val="00402914"/>
    <w:rsid w:val="00402D60"/>
    <w:rsid w:val="0040314F"/>
    <w:rsid w:val="0040337C"/>
    <w:rsid w:val="004035F9"/>
    <w:rsid w:val="00403AF4"/>
    <w:rsid w:val="00403EEB"/>
    <w:rsid w:val="00404020"/>
    <w:rsid w:val="0040441F"/>
    <w:rsid w:val="004046D0"/>
    <w:rsid w:val="00404C9A"/>
    <w:rsid w:val="00404FB4"/>
    <w:rsid w:val="004058BC"/>
    <w:rsid w:val="00405D7E"/>
    <w:rsid w:val="0040626B"/>
    <w:rsid w:val="00406AED"/>
    <w:rsid w:val="0040759A"/>
    <w:rsid w:val="004076B0"/>
    <w:rsid w:val="00407B80"/>
    <w:rsid w:val="004106FD"/>
    <w:rsid w:val="00410CEC"/>
    <w:rsid w:val="00411470"/>
    <w:rsid w:val="0041167C"/>
    <w:rsid w:val="004116CA"/>
    <w:rsid w:val="004116E1"/>
    <w:rsid w:val="00412423"/>
    <w:rsid w:val="004126A5"/>
    <w:rsid w:val="00412A5F"/>
    <w:rsid w:val="00413109"/>
    <w:rsid w:val="00413558"/>
    <w:rsid w:val="00413A73"/>
    <w:rsid w:val="00414859"/>
    <w:rsid w:val="00414DA5"/>
    <w:rsid w:val="00414F37"/>
    <w:rsid w:val="004152A5"/>
    <w:rsid w:val="00415F48"/>
    <w:rsid w:val="00416B3B"/>
    <w:rsid w:val="00416E05"/>
    <w:rsid w:val="00416F41"/>
    <w:rsid w:val="00417062"/>
    <w:rsid w:val="004174FE"/>
    <w:rsid w:val="00417544"/>
    <w:rsid w:val="00417771"/>
    <w:rsid w:val="004201BC"/>
    <w:rsid w:val="00420DDB"/>
    <w:rsid w:val="004213AB"/>
    <w:rsid w:val="0042145C"/>
    <w:rsid w:val="00421F43"/>
    <w:rsid w:val="00421FE1"/>
    <w:rsid w:val="00422053"/>
    <w:rsid w:val="004222CD"/>
    <w:rsid w:val="004223A9"/>
    <w:rsid w:val="00422D26"/>
    <w:rsid w:val="00423F8A"/>
    <w:rsid w:val="00424081"/>
    <w:rsid w:val="004240A6"/>
    <w:rsid w:val="00424408"/>
    <w:rsid w:val="00424F25"/>
    <w:rsid w:val="004250F2"/>
    <w:rsid w:val="004253C7"/>
    <w:rsid w:val="004256B9"/>
    <w:rsid w:val="00426094"/>
    <w:rsid w:val="0042718D"/>
    <w:rsid w:val="00430092"/>
    <w:rsid w:val="00430172"/>
    <w:rsid w:val="004303AC"/>
    <w:rsid w:val="00431223"/>
    <w:rsid w:val="004318B5"/>
    <w:rsid w:val="00431DAF"/>
    <w:rsid w:val="00432112"/>
    <w:rsid w:val="00432700"/>
    <w:rsid w:val="0043311A"/>
    <w:rsid w:val="00433F79"/>
    <w:rsid w:val="0043460F"/>
    <w:rsid w:val="00434622"/>
    <w:rsid w:val="00434DF0"/>
    <w:rsid w:val="004350E6"/>
    <w:rsid w:val="00435198"/>
    <w:rsid w:val="00435720"/>
    <w:rsid w:val="0043698B"/>
    <w:rsid w:val="004370FA"/>
    <w:rsid w:val="004374B8"/>
    <w:rsid w:val="0043755C"/>
    <w:rsid w:val="004409E0"/>
    <w:rsid w:val="00440BE5"/>
    <w:rsid w:val="00440E6B"/>
    <w:rsid w:val="00441057"/>
    <w:rsid w:val="00441182"/>
    <w:rsid w:val="004414E7"/>
    <w:rsid w:val="00442D11"/>
    <w:rsid w:val="00442DB4"/>
    <w:rsid w:val="00442DCF"/>
    <w:rsid w:val="00442EEA"/>
    <w:rsid w:val="00444113"/>
    <w:rsid w:val="0044453A"/>
    <w:rsid w:val="00444709"/>
    <w:rsid w:val="0044474B"/>
    <w:rsid w:val="004449F5"/>
    <w:rsid w:val="00444AD6"/>
    <w:rsid w:val="00444FE3"/>
    <w:rsid w:val="0044527A"/>
    <w:rsid w:val="00445487"/>
    <w:rsid w:val="004457D0"/>
    <w:rsid w:val="00446627"/>
    <w:rsid w:val="0044687A"/>
    <w:rsid w:val="00446A77"/>
    <w:rsid w:val="00446AA8"/>
    <w:rsid w:val="00447344"/>
    <w:rsid w:val="004475EE"/>
    <w:rsid w:val="00447678"/>
    <w:rsid w:val="004479A8"/>
    <w:rsid w:val="0045035C"/>
    <w:rsid w:val="004503E1"/>
    <w:rsid w:val="004511DE"/>
    <w:rsid w:val="00451591"/>
    <w:rsid w:val="004535F5"/>
    <w:rsid w:val="00453A83"/>
    <w:rsid w:val="00453B17"/>
    <w:rsid w:val="00453D65"/>
    <w:rsid w:val="004550B1"/>
    <w:rsid w:val="00455385"/>
    <w:rsid w:val="00455E7F"/>
    <w:rsid w:val="00456472"/>
    <w:rsid w:val="00457FB6"/>
    <w:rsid w:val="0046083E"/>
    <w:rsid w:val="00460E69"/>
    <w:rsid w:val="00461743"/>
    <w:rsid w:val="004617EC"/>
    <w:rsid w:val="00461923"/>
    <w:rsid w:val="004624C7"/>
    <w:rsid w:val="004628E5"/>
    <w:rsid w:val="00462AB2"/>
    <w:rsid w:val="00463034"/>
    <w:rsid w:val="00463704"/>
    <w:rsid w:val="00464712"/>
    <w:rsid w:val="00464B42"/>
    <w:rsid w:val="00465F51"/>
    <w:rsid w:val="00465FD9"/>
    <w:rsid w:val="004671D8"/>
    <w:rsid w:val="004672D6"/>
    <w:rsid w:val="00467308"/>
    <w:rsid w:val="0046737F"/>
    <w:rsid w:val="0046738D"/>
    <w:rsid w:val="00467B29"/>
    <w:rsid w:val="00467D66"/>
    <w:rsid w:val="00470415"/>
    <w:rsid w:val="00470468"/>
    <w:rsid w:val="00470E92"/>
    <w:rsid w:val="004714A4"/>
    <w:rsid w:val="004714C8"/>
    <w:rsid w:val="00471EF0"/>
    <w:rsid w:val="004722BC"/>
    <w:rsid w:val="00472FE1"/>
    <w:rsid w:val="00473394"/>
    <w:rsid w:val="0047368F"/>
    <w:rsid w:val="004738A7"/>
    <w:rsid w:val="00473926"/>
    <w:rsid w:val="004744DE"/>
    <w:rsid w:val="004745A2"/>
    <w:rsid w:val="00474778"/>
    <w:rsid w:val="00474C4D"/>
    <w:rsid w:val="00474E0C"/>
    <w:rsid w:val="00474E5C"/>
    <w:rsid w:val="004759F8"/>
    <w:rsid w:val="00475E0A"/>
    <w:rsid w:val="0047608D"/>
    <w:rsid w:val="00476DD1"/>
    <w:rsid w:val="00476E48"/>
    <w:rsid w:val="0047779A"/>
    <w:rsid w:val="00480288"/>
    <w:rsid w:val="0048084A"/>
    <w:rsid w:val="0048097E"/>
    <w:rsid w:val="004810F0"/>
    <w:rsid w:val="00482C02"/>
    <w:rsid w:val="00482C11"/>
    <w:rsid w:val="00482F43"/>
    <w:rsid w:val="00483236"/>
    <w:rsid w:val="00483D22"/>
    <w:rsid w:val="0048404B"/>
    <w:rsid w:val="004848D6"/>
    <w:rsid w:val="00485533"/>
    <w:rsid w:val="00486390"/>
    <w:rsid w:val="00487780"/>
    <w:rsid w:val="004879E3"/>
    <w:rsid w:val="00490E74"/>
    <w:rsid w:val="004914AC"/>
    <w:rsid w:val="00491712"/>
    <w:rsid w:val="0049186E"/>
    <w:rsid w:val="004919C1"/>
    <w:rsid w:val="00491A8A"/>
    <w:rsid w:val="00491EF6"/>
    <w:rsid w:val="00491F17"/>
    <w:rsid w:val="00492C7E"/>
    <w:rsid w:val="00492E11"/>
    <w:rsid w:val="00492E12"/>
    <w:rsid w:val="00493801"/>
    <w:rsid w:val="00495830"/>
    <w:rsid w:val="004958C8"/>
    <w:rsid w:val="0049618D"/>
    <w:rsid w:val="0049643A"/>
    <w:rsid w:val="00496B9B"/>
    <w:rsid w:val="004973F9"/>
    <w:rsid w:val="0049761A"/>
    <w:rsid w:val="004A07A3"/>
    <w:rsid w:val="004A0CE0"/>
    <w:rsid w:val="004A101F"/>
    <w:rsid w:val="004A120A"/>
    <w:rsid w:val="004A1600"/>
    <w:rsid w:val="004A26F2"/>
    <w:rsid w:val="004A27C0"/>
    <w:rsid w:val="004A29FA"/>
    <w:rsid w:val="004A2A84"/>
    <w:rsid w:val="004A5079"/>
    <w:rsid w:val="004A5103"/>
    <w:rsid w:val="004A6E91"/>
    <w:rsid w:val="004A6F32"/>
    <w:rsid w:val="004A70E9"/>
    <w:rsid w:val="004B090B"/>
    <w:rsid w:val="004B0A05"/>
    <w:rsid w:val="004B0BC9"/>
    <w:rsid w:val="004B0E60"/>
    <w:rsid w:val="004B1524"/>
    <w:rsid w:val="004B228B"/>
    <w:rsid w:val="004B2CBD"/>
    <w:rsid w:val="004B31EB"/>
    <w:rsid w:val="004B3AF0"/>
    <w:rsid w:val="004B45C6"/>
    <w:rsid w:val="004B59CC"/>
    <w:rsid w:val="004B6300"/>
    <w:rsid w:val="004B6F22"/>
    <w:rsid w:val="004B7D3B"/>
    <w:rsid w:val="004C0AEF"/>
    <w:rsid w:val="004C1297"/>
    <w:rsid w:val="004C18F7"/>
    <w:rsid w:val="004C1F3F"/>
    <w:rsid w:val="004C2056"/>
    <w:rsid w:val="004C27FB"/>
    <w:rsid w:val="004C328F"/>
    <w:rsid w:val="004C32BF"/>
    <w:rsid w:val="004C3A19"/>
    <w:rsid w:val="004C4586"/>
    <w:rsid w:val="004C45F8"/>
    <w:rsid w:val="004C48D2"/>
    <w:rsid w:val="004C4954"/>
    <w:rsid w:val="004C4F23"/>
    <w:rsid w:val="004C513A"/>
    <w:rsid w:val="004C7438"/>
    <w:rsid w:val="004D0C72"/>
    <w:rsid w:val="004D1158"/>
    <w:rsid w:val="004D1EB4"/>
    <w:rsid w:val="004D2584"/>
    <w:rsid w:val="004D2EAA"/>
    <w:rsid w:val="004D2F5C"/>
    <w:rsid w:val="004D38A0"/>
    <w:rsid w:val="004D3AF0"/>
    <w:rsid w:val="004D419A"/>
    <w:rsid w:val="004D4201"/>
    <w:rsid w:val="004D47DA"/>
    <w:rsid w:val="004D5B26"/>
    <w:rsid w:val="004D5DCE"/>
    <w:rsid w:val="004D742A"/>
    <w:rsid w:val="004D7459"/>
    <w:rsid w:val="004D7697"/>
    <w:rsid w:val="004E041C"/>
    <w:rsid w:val="004E082A"/>
    <w:rsid w:val="004E1E78"/>
    <w:rsid w:val="004E253E"/>
    <w:rsid w:val="004E2C93"/>
    <w:rsid w:val="004E3FDD"/>
    <w:rsid w:val="004E414E"/>
    <w:rsid w:val="004E44F1"/>
    <w:rsid w:val="004E45B5"/>
    <w:rsid w:val="004E4CCB"/>
    <w:rsid w:val="004E4FB3"/>
    <w:rsid w:val="004E5BE2"/>
    <w:rsid w:val="004E5DD3"/>
    <w:rsid w:val="004E5E55"/>
    <w:rsid w:val="004E65D0"/>
    <w:rsid w:val="004E6B99"/>
    <w:rsid w:val="004E713B"/>
    <w:rsid w:val="004E7792"/>
    <w:rsid w:val="004E7A9D"/>
    <w:rsid w:val="004F01DA"/>
    <w:rsid w:val="004F0740"/>
    <w:rsid w:val="004F087F"/>
    <w:rsid w:val="004F0912"/>
    <w:rsid w:val="004F12F8"/>
    <w:rsid w:val="004F1A2C"/>
    <w:rsid w:val="004F1C71"/>
    <w:rsid w:val="004F24DD"/>
    <w:rsid w:val="004F2C49"/>
    <w:rsid w:val="004F2CA1"/>
    <w:rsid w:val="004F31C9"/>
    <w:rsid w:val="004F3433"/>
    <w:rsid w:val="004F386C"/>
    <w:rsid w:val="004F40BF"/>
    <w:rsid w:val="004F4884"/>
    <w:rsid w:val="004F4DAD"/>
    <w:rsid w:val="004F5084"/>
    <w:rsid w:val="004F57DA"/>
    <w:rsid w:val="004F649B"/>
    <w:rsid w:val="004F6691"/>
    <w:rsid w:val="004F6A07"/>
    <w:rsid w:val="004F6C80"/>
    <w:rsid w:val="004F6F10"/>
    <w:rsid w:val="004F7BE9"/>
    <w:rsid w:val="005006DC"/>
    <w:rsid w:val="00500B61"/>
    <w:rsid w:val="00500D08"/>
    <w:rsid w:val="005019E7"/>
    <w:rsid w:val="00501FCA"/>
    <w:rsid w:val="00502595"/>
    <w:rsid w:val="005031B0"/>
    <w:rsid w:val="005032E5"/>
    <w:rsid w:val="00503EA8"/>
    <w:rsid w:val="00504764"/>
    <w:rsid w:val="005053F6"/>
    <w:rsid w:val="00505605"/>
    <w:rsid w:val="005056DD"/>
    <w:rsid w:val="0050607A"/>
    <w:rsid w:val="00506209"/>
    <w:rsid w:val="005071B6"/>
    <w:rsid w:val="00507C73"/>
    <w:rsid w:val="00507F28"/>
    <w:rsid w:val="0051014D"/>
    <w:rsid w:val="005101E5"/>
    <w:rsid w:val="00510D25"/>
    <w:rsid w:val="00511040"/>
    <w:rsid w:val="00511260"/>
    <w:rsid w:val="005114D9"/>
    <w:rsid w:val="005116C5"/>
    <w:rsid w:val="00511E16"/>
    <w:rsid w:val="005121D1"/>
    <w:rsid w:val="00512EE8"/>
    <w:rsid w:val="0051318C"/>
    <w:rsid w:val="00513297"/>
    <w:rsid w:val="0051329B"/>
    <w:rsid w:val="0051336C"/>
    <w:rsid w:val="0051364B"/>
    <w:rsid w:val="00513FC8"/>
    <w:rsid w:val="005142D3"/>
    <w:rsid w:val="00514BB3"/>
    <w:rsid w:val="00514EA1"/>
    <w:rsid w:val="00515283"/>
    <w:rsid w:val="00515875"/>
    <w:rsid w:val="00516070"/>
    <w:rsid w:val="005160E4"/>
    <w:rsid w:val="00516A1E"/>
    <w:rsid w:val="0051751C"/>
    <w:rsid w:val="005175BB"/>
    <w:rsid w:val="005176E2"/>
    <w:rsid w:val="00517789"/>
    <w:rsid w:val="005201BC"/>
    <w:rsid w:val="00520424"/>
    <w:rsid w:val="00520734"/>
    <w:rsid w:val="00520CDD"/>
    <w:rsid w:val="00520D50"/>
    <w:rsid w:val="00520F53"/>
    <w:rsid w:val="0052135B"/>
    <w:rsid w:val="0052197E"/>
    <w:rsid w:val="00521AC1"/>
    <w:rsid w:val="00521E1F"/>
    <w:rsid w:val="00521FC7"/>
    <w:rsid w:val="00522B63"/>
    <w:rsid w:val="00522C06"/>
    <w:rsid w:val="00522F18"/>
    <w:rsid w:val="005231A5"/>
    <w:rsid w:val="00523889"/>
    <w:rsid w:val="0052393C"/>
    <w:rsid w:val="00524AE5"/>
    <w:rsid w:val="00524FD9"/>
    <w:rsid w:val="005255D8"/>
    <w:rsid w:val="005258B0"/>
    <w:rsid w:val="005267AD"/>
    <w:rsid w:val="005268F9"/>
    <w:rsid w:val="005276F1"/>
    <w:rsid w:val="00527DA1"/>
    <w:rsid w:val="00527E76"/>
    <w:rsid w:val="005300E6"/>
    <w:rsid w:val="00530500"/>
    <w:rsid w:val="00530ECF"/>
    <w:rsid w:val="00532083"/>
    <w:rsid w:val="005332C6"/>
    <w:rsid w:val="0053354E"/>
    <w:rsid w:val="005338EB"/>
    <w:rsid w:val="00533F94"/>
    <w:rsid w:val="00534280"/>
    <w:rsid w:val="0053444A"/>
    <w:rsid w:val="00534779"/>
    <w:rsid w:val="00534E48"/>
    <w:rsid w:val="00535A0E"/>
    <w:rsid w:val="00536799"/>
    <w:rsid w:val="00536DE5"/>
    <w:rsid w:val="00537074"/>
    <w:rsid w:val="005377F0"/>
    <w:rsid w:val="00537CC5"/>
    <w:rsid w:val="00540A03"/>
    <w:rsid w:val="00541199"/>
    <w:rsid w:val="00541203"/>
    <w:rsid w:val="005426A9"/>
    <w:rsid w:val="005429BF"/>
    <w:rsid w:val="00542C5D"/>
    <w:rsid w:val="00542CB4"/>
    <w:rsid w:val="00542E28"/>
    <w:rsid w:val="00543487"/>
    <w:rsid w:val="00543568"/>
    <w:rsid w:val="0054375C"/>
    <w:rsid w:val="00543F6D"/>
    <w:rsid w:val="00545499"/>
    <w:rsid w:val="00545AA0"/>
    <w:rsid w:val="00545BD3"/>
    <w:rsid w:val="005461C5"/>
    <w:rsid w:val="00546B3C"/>
    <w:rsid w:val="00546E62"/>
    <w:rsid w:val="00551075"/>
    <w:rsid w:val="00551976"/>
    <w:rsid w:val="005521E6"/>
    <w:rsid w:val="00552463"/>
    <w:rsid w:val="005525C9"/>
    <w:rsid w:val="00552690"/>
    <w:rsid w:val="00552824"/>
    <w:rsid w:val="005532C1"/>
    <w:rsid w:val="0055387E"/>
    <w:rsid w:val="00553DB4"/>
    <w:rsid w:val="00554117"/>
    <w:rsid w:val="005546C2"/>
    <w:rsid w:val="00554D9C"/>
    <w:rsid w:val="005551F8"/>
    <w:rsid w:val="005557A5"/>
    <w:rsid w:val="00555A3F"/>
    <w:rsid w:val="00555C31"/>
    <w:rsid w:val="00556F1D"/>
    <w:rsid w:val="00556F4D"/>
    <w:rsid w:val="00556FA7"/>
    <w:rsid w:val="0055720E"/>
    <w:rsid w:val="005579FF"/>
    <w:rsid w:val="00557C82"/>
    <w:rsid w:val="00557DE1"/>
    <w:rsid w:val="00560098"/>
    <w:rsid w:val="005602A9"/>
    <w:rsid w:val="005606C2"/>
    <w:rsid w:val="00561D19"/>
    <w:rsid w:val="00561D75"/>
    <w:rsid w:val="0056266D"/>
    <w:rsid w:val="00562A76"/>
    <w:rsid w:val="005634D6"/>
    <w:rsid w:val="0056388B"/>
    <w:rsid w:val="00563AA6"/>
    <w:rsid w:val="00563D2C"/>
    <w:rsid w:val="005640CA"/>
    <w:rsid w:val="00564313"/>
    <w:rsid w:val="005643A7"/>
    <w:rsid w:val="00564741"/>
    <w:rsid w:val="00564DBE"/>
    <w:rsid w:val="00564FB9"/>
    <w:rsid w:val="00565281"/>
    <w:rsid w:val="00565C2E"/>
    <w:rsid w:val="00566ACC"/>
    <w:rsid w:val="00566C81"/>
    <w:rsid w:val="00566DE2"/>
    <w:rsid w:val="005672BE"/>
    <w:rsid w:val="005675D4"/>
    <w:rsid w:val="00567969"/>
    <w:rsid w:val="00567B69"/>
    <w:rsid w:val="00567DA2"/>
    <w:rsid w:val="005700BE"/>
    <w:rsid w:val="005701A0"/>
    <w:rsid w:val="00570BB0"/>
    <w:rsid w:val="00571102"/>
    <w:rsid w:val="00571501"/>
    <w:rsid w:val="00571F59"/>
    <w:rsid w:val="0057394C"/>
    <w:rsid w:val="00573994"/>
    <w:rsid w:val="00573CA3"/>
    <w:rsid w:val="0057460D"/>
    <w:rsid w:val="005747B1"/>
    <w:rsid w:val="00575610"/>
    <w:rsid w:val="00576133"/>
    <w:rsid w:val="00576215"/>
    <w:rsid w:val="00576778"/>
    <w:rsid w:val="005768DA"/>
    <w:rsid w:val="00576917"/>
    <w:rsid w:val="00576ED5"/>
    <w:rsid w:val="00577045"/>
    <w:rsid w:val="0057704C"/>
    <w:rsid w:val="005771AA"/>
    <w:rsid w:val="00577A94"/>
    <w:rsid w:val="00577B7C"/>
    <w:rsid w:val="00577F62"/>
    <w:rsid w:val="00577FDB"/>
    <w:rsid w:val="00577FF9"/>
    <w:rsid w:val="005817A6"/>
    <w:rsid w:val="00581BEF"/>
    <w:rsid w:val="00582ED1"/>
    <w:rsid w:val="00583073"/>
    <w:rsid w:val="0058340F"/>
    <w:rsid w:val="00583CE3"/>
    <w:rsid w:val="0058408B"/>
    <w:rsid w:val="005843D2"/>
    <w:rsid w:val="00585551"/>
    <w:rsid w:val="00585E13"/>
    <w:rsid w:val="00586A84"/>
    <w:rsid w:val="00587067"/>
    <w:rsid w:val="00587356"/>
    <w:rsid w:val="005873D5"/>
    <w:rsid w:val="005876DD"/>
    <w:rsid w:val="00587A80"/>
    <w:rsid w:val="00587B3E"/>
    <w:rsid w:val="005906C9"/>
    <w:rsid w:val="0059092A"/>
    <w:rsid w:val="00590B2D"/>
    <w:rsid w:val="00590B89"/>
    <w:rsid w:val="00591BCA"/>
    <w:rsid w:val="00591DFC"/>
    <w:rsid w:val="00591E6E"/>
    <w:rsid w:val="005921F3"/>
    <w:rsid w:val="0059227A"/>
    <w:rsid w:val="0059294A"/>
    <w:rsid w:val="00592D2C"/>
    <w:rsid w:val="005939D9"/>
    <w:rsid w:val="00593A43"/>
    <w:rsid w:val="00594518"/>
    <w:rsid w:val="00594A01"/>
    <w:rsid w:val="00595271"/>
    <w:rsid w:val="005953EF"/>
    <w:rsid w:val="00595FF1"/>
    <w:rsid w:val="00597E32"/>
    <w:rsid w:val="005A0254"/>
    <w:rsid w:val="005A05C0"/>
    <w:rsid w:val="005A092A"/>
    <w:rsid w:val="005A0FEA"/>
    <w:rsid w:val="005A163C"/>
    <w:rsid w:val="005A191A"/>
    <w:rsid w:val="005A2246"/>
    <w:rsid w:val="005A3273"/>
    <w:rsid w:val="005A359F"/>
    <w:rsid w:val="005A3C3E"/>
    <w:rsid w:val="005A3C9A"/>
    <w:rsid w:val="005A3F4C"/>
    <w:rsid w:val="005A3FCD"/>
    <w:rsid w:val="005A459C"/>
    <w:rsid w:val="005A4BE0"/>
    <w:rsid w:val="005A5108"/>
    <w:rsid w:val="005A5949"/>
    <w:rsid w:val="005A5993"/>
    <w:rsid w:val="005A5BF4"/>
    <w:rsid w:val="005A60E9"/>
    <w:rsid w:val="005A6450"/>
    <w:rsid w:val="005A6A7B"/>
    <w:rsid w:val="005A6C1B"/>
    <w:rsid w:val="005A7162"/>
    <w:rsid w:val="005A71E1"/>
    <w:rsid w:val="005B04FB"/>
    <w:rsid w:val="005B0A08"/>
    <w:rsid w:val="005B0C11"/>
    <w:rsid w:val="005B11C4"/>
    <w:rsid w:val="005B1436"/>
    <w:rsid w:val="005B20D3"/>
    <w:rsid w:val="005B218D"/>
    <w:rsid w:val="005B219C"/>
    <w:rsid w:val="005B2734"/>
    <w:rsid w:val="005B2881"/>
    <w:rsid w:val="005B2986"/>
    <w:rsid w:val="005B2BB4"/>
    <w:rsid w:val="005B2BD4"/>
    <w:rsid w:val="005B3170"/>
    <w:rsid w:val="005B400A"/>
    <w:rsid w:val="005B4AEF"/>
    <w:rsid w:val="005B4D78"/>
    <w:rsid w:val="005B4FEC"/>
    <w:rsid w:val="005B5922"/>
    <w:rsid w:val="005B63AB"/>
    <w:rsid w:val="005B6C10"/>
    <w:rsid w:val="005B75B1"/>
    <w:rsid w:val="005B76BC"/>
    <w:rsid w:val="005B7C91"/>
    <w:rsid w:val="005C0227"/>
    <w:rsid w:val="005C13C8"/>
    <w:rsid w:val="005C1F20"/>
    <w:rsid w:val="005C225B"/>
    <w:rsid w:val="005C2269"/>
    <w:rsid w:val="005C3550"/>
    <w:rsid w:val="005C3DAB"/>
    <w:rsid w:val="005C435F"/>
    <w:rsid w:val="005C4793"/>
    <w:rsid w:val="005C5411"/>
    <w:rsid w:val="005C55AE"/>
    <w:rsid w:val="005C5930"/>
    <w:rsid w:val="005C629B"/>
    <w:rsid w:val="005C690D"/>
    <w:rsid w:val="005C6D69"/>
    <w:rsid w:val="005C73DB"/>
    <w:rsid w:val="005C7AFD"/>
    <w:rsid w:val="005D034C"/>
    <w:rsid w:val="005D0BF7"/>
    <w:rsid w:val="005D1210"/>
    <w:rsid w:val="005D1376"/>
    <w:rsid w:val="005D168A"/>
    <w:rsid w:val="005D2411"/>
    <w:rsid w:val="005D2A4A"/>
    <w:rsid w:val="005D34C4"/>
    <w:rsid w:val="005D3842"/>
    <w:rsid w:val="005D3971"/>
    <w:rsid w:val="005D4445"/>
    <w:rsid w:val="005D44AF"/>
    <w:rsid w:val="005D44E6"/>
    <w:rsid w:val="005D6FF9"/>
    <w:rsid w:val="005D74AE"/>
    <w:rsid w:val="005D789E"/>
    <w:rsid w:val="005D79EA"/>
    <w:rsid w:val="005E01C9"/>
    <w:rsid w:val="005E0C8F"/>
    <w:rsid w:val="005E0F96"/>
    <w:rsid w:val="005E1332"/>
    <w:rsid w:val="005E13DE"/>
    <w:rsid w:val="005E1719"/>
    <w:rsid w:val="005E2522"/>
    <w:rsid w:val="005E2A8D"/>
    <w:rsid w:val="005E3E88"/>
    <w:rsid w:val="005E465C"/>
    <w:rsid w:val="005E4AF7"/>
    <w:rsid w:val="005E4B8C"/>
    <w:rsid w:val="005E53DA"/>
    <w:rsid w:val="005E566C"/>
    <w:rsid w:val="005E5C15"/>
    <w:rsid w:val="005E6661"/>
    <w:rsid w:val="005E6BD8"/>
    <w:rsid w:val="005E6F59"/>
    <w:rsid w:val="005E7648"/>
    <w:rsid w:val="005E7B0E"/>
    <w:rsid w:val="005F00EC"/>
    <w:rsid w:val="005F057D"/>
    <w:rsid w:val="005F06C2"/>
    <w:rsid w:val="005F09BB"/>
    <w:rsid w:val="005F0E4A"/>
    <w:rsid w:val="005F0F42"/>
    <w:rsid w:val="005F12CA"/>
    <w:rsid w:val="005F1671"/>
    <w:rsid w:val="005F1A7A"/>
    <w:rsid w:val="005F1CBA"/>
    <w:rsid w:val="005F22AE"/>
    <w:rsid w:val="005F2469"/>
    <w:rsid w:val="005F2484"/>
    <w:rsid w:val="005F2F37"/>
    <w:rsid w:val="005F35D6"/>
    <w:rsid w:val="005F3A2D"/>
    <w:rsid w:val="005F3AFA"/>
    <w:rsid w:val="005F499F"/>
    <w:rsid w:val="005F4D24"/>
    <w:rsid w:val="005F58A9"/>
    <w:rsid w:val="005F5A03"/>
    <w:rsid w:val="005F5CC2"/>
    <w:rsid w:val="005F655D"/>
    <w:rsid w:val="005F6640"/>
    <w:rsid w:val="005F6909"/>
    <w:rsid w:val="005F6BE8"/>
    <w:rsid w:val="005F7568"/>
    <w:rsid w:val="005F78DE"/>
    <w:rsid w:val="0060003E"/>
    <w:rsid w:val="0060009B"/>
    <w:rsid w:val="00600565"/>
    <w:rsid w:val="0060088B"/>
    <w:rsid w:val="0060100B"/>
    <w:rsid w:val="00601427"/>
    <w:rsid w:val="0060143B"/>
    <w:rsid w:val="00601713"/>
    <w:rsid w:val="006018F6"/>
    <w:rsid w:val="00601900"/>
    <w:rsid w:val="00601DED"/>
    <w:rsid w:val="00602442"/>
    <w:rsid w:val="00603388"/>
    <w:rsid w:val="00603873"/>
    <w:rsid w:val="006038B0"/>
    <w:rsid w:val="00604511"/>
    <w:rsid w:val="0060464F"/>
    <w:rsid w:val="00604E11"/>
    <w:rsid w:val="00604F47"/>
    <w:rsid w:val="00605122"/>
    <w:rsid w:val="00606041"/>
    <w:rsid w:val="0060604E"/>
    <w:rsid w:val="0060625A"/>
    <w:rsid w:val="00606297"/>
    <w:rsid w:val="006068E8"/>
    <w:rsid w:val="00607903"/>
    <w:rsid w:val="00607E76"/>
    <w:rsid w:val="00607EB3"/>
    <w:rsid w:val="00611226"/>
    <w:rsid w:val="00611429"/>
    <w:rsid w:val="006116C4"/>
    <w:rsid w:val="006118AC"/>
    <w:rsid w:val="00611C30"/>
    <w:rsid w:val="00611C55"/>
    <w:rsid w:val="00611E66"/>
    <w:rsid w:val="00611F1E"/>
    <w:rsid w:val="00612730"/>
    <w:rsid w:val="006131E2"/>
    <w:rsid w:val="00613ADF"/>
    <w:rsid w:val="00613C44"/>
    <w:rsid w:val="00613F3F"/>
    <w:rsid w:val="00614515"/>
    <w:rsid w:val="00614F9C"/>
    <w:rsid w:val="00615258"/>
    <w:rsid w:val="0061550E"/>
    <w:rsid w:val="0061613D"/>
    <w:rsid w:val="006164D8"/>
    <w:rsid w:val="00616BD3"/>
    <w:rsid w:val="00616E3D"/>
    <w:rsid w:val="006173DA"/>
    <w:rsid w:val="006175D9"/>
    <w:rsid w:val="006201FC"/>
    <w:rsid w:val="006204C0"/>
    <w:rsid w:val="00620535"/>
    <w:rsid w:val="00621250"/>
    <w:rsid w:val="006214C5"/>
    <w:rsid w:val="00621840"/>
    <w:rsid w:val="00621E55"/>
    <w:rsid w:val="00623878"/>
    <w:rsid w:val="00624EFF"/>
    <w:rsid w:val="00625268"/>
    <w:rsid w:val="006254C2"/>
    <w:rsid w:val="00625D87"/>
    <w:rsid w:val="0062602D"/>
    <w:rsid w:val="00626834"/>
    <w:rsid w:val="0062695E"/>
    <w:rsid w:val="00627BFE"/>
    <w:rsid w:val="006314FF"/>
    <w:rsid w:val="0063182E"/>
    <w:rsid w:val="00632862"/>
    <w:rsid w:val="00633157"/>
    <w:rsid w:val="006332F0"/>
    <w:rsid w:val="00633548"/>
    <w:rsid w:val="00635E9C"/>
    <w:rsid w:val="006361FD"/>
    <w:rsid w:val="006379C5"/>
    <w:rsid w:val="00637D06"/>
    <w:rsid w:val="006406B8"/>
    <w:rsid w:val="00640B7B"/>
    <w:rsid w:val="00641BD7"/>
    <w:rsid w:val="00642D6B"/>
    <w:rsid w:val="006434F8"/>
    <w:rsid w:val="006439CD"/>
    <w:rsid w:val="00643BDB"/>
    <w:rsid w:val="0064438C"/>
    <w:rsid w:val="006453A6"/>
    <w:rsid w:val="00646763"/>
    <w:rsid w:val="00646854"/>
    <w:rsid w:val="00647446"/>
    <w:rsid w:val="0064789A"/>
    <w:rsid w:val="00650D1F"/>
    <w:rsid w:val="00650DF7"/>
    <w:rsid w:val="006514CC"/>
    <w:rsid w:val="00651725"/>
    <w:rsid w:val="00651B0B"/>
    <w:rsid w:val="00651B28"/>
    <w:rsid w:val="00651CF7"/>
    <w:rsid w:val="00651FAA"/>
    <w:rsid w:val="00652A0D"/>
    <w:rsid w:val="00652C35"/>
    <w:rsid w:val="0065308A"/>
    <w:rsid w:val="00653502"/>
    <w:rsid w:val="006538EC"/>
    <w:rsid w:val="0065393D"/>
    <w:rsid w:val="00653A23"/>
    <w:rsid w:val="00653AFB"/>
    <w:rsid w:val="00654F6D"/>
    <w:rsid w:val="00654F7E"/>
    <w:rsid w:val="00655286"/>
    <w:rsid w:val="00655570"/>
    <w:rsid w:val="00655578"/>
    <w:rsid w:val="00655895"/>
    <w:rsid w:val="006559F2"/>
    <w:rsid w:val="00655A70"/>
    <w:rsid w:val="0065630D"/>
    <w:rsid w:val="00657273"/>
    <w:rsid w:val="006574A1"/>
    <w:rsid w:val="0066049D"/>
    <w:rsid w:val="00660C6D"/>
    <w:rsid w:val="00661120"/>
    <w:rsid w:val="0066235B"/>
    <w:rsid w:val="00662812"/>
    <w:rsid w:val="006630B3"/>
    <w:rsid w:val="006631D0"/>
    <w:rsid w:val="006633B5"/>
    <w:rsid w:val="006633FE"/>
    <w:rsid w:val="00663AF8"/>
    <w:rsid w:val="006641E6"/>
    <w:rsid w:val="00664576"/>
    <w:rsid w:val="00664E32"/>
    <w:rsid w:val="00664EFD"/>
    <w:rsid w:val="0066522E"/>
    <w:rsid w:val="006656DB"/>
    <w:rsid w:val="00665E3B"/>
    <w:rsid w:val="006662D0"/>
    <w:rsid w:val="006673F1"/>
    <w:rsid w:val="006678ED"/>
    <w:rsid w:val="00667ACE"/>
    <w:rsid w:val="006702BE"/>
    <w:rsid w:val="006704B4"/>
    <w:rsid w:val="00670664"/>
    <w:rsid w:val="006706B2"/>
    <w:rsid w:val="0067089C"/>
    <w:rsid w:val="00670952"/>
    <w:rsid w:val="00670D0A"/>
    <w:rsid w:val="00670DA3"/>
    <w:rsid w:val="00671605"/>
    <w:rsid w:val="00672509"/>
    <w:rsid w:val="006727E8"/>
    <w:rsid w:val="006734B5"/>
    <w:rsid w:val="0067419D"/>
    <w:rsid w:val="00674C50"/>
    <w:rsid w:val="00674ED2"/>
    <w:rsid w:val="00675168"/>
    <w:rsid w:val="00675948"/>
    <w:rsid w:val="006768E8"/>
    <w:rsid w:val="006769C1"/>
    <w:rsid w:val="0067704F"/>
    <w:rsid w:val="00677685"/>
    <w:rsid w:val="00677DF5"/>
    <w:rsid w:val="00680B1D"/>
    <w:rsid w:val="00681B03"/>
    <w:rsid w:val="0068245F"/>
    <w:rsid w:val="00682F9C"/>
    <w:rsid w:val="006830C1"/>
    <w:rsid w:val="006830C4"/>
    <w:rsid w:val="00683A1B"/>
    <w:rsid w:val="00684B3B"/>
    <w:rsid w:val="00684B4A"/>
    <w:rsid w:val="00686089"/>
    <w:rsid w:val="00686892"/>
    <w:rsid w:val="00686A2E"/>
    <w:rsid w:val="00686C85"/>
    <w:rsid w:val="00686D1B"/>
    <w:rsid w:val="00687615"/>
    <w:rsid w:val="00691C66"/>
    <w:rsid w:val="00692139"/>
    <w:rsid w:val="00693380"/>
    <w:rsid w:val="00693DFD"/>
    <w:rsid w:val="00694300"/>
    <w:rsid w:val="0069435F"/>
    <w:rsid w:val="00694714"/>
    <w:rsid w:val="0069608A"/>
    <w:rsid w:val="0069659F"/>
    <w:rsid w:val="006967E1"/>
    <w:rsid w:val="00696895"/>
    <w:rsid w:val="00697D6C"/>
    <w:rsid w:val="00697E28"/>
    <w:rsid w:val="00697EEA"/>
    <w:rsid w:val="006A0A64"/>
    <w:rsid w:val="006A1125"/>
    <w:rsid w:val="006A1434"/>
    <w:rsid w:val="006A16B1"/>
    <w:rsid w:val="006A1B19"/>
    <w:rsid w:val="006A285D"/>
    <w:rsid w:val="006A29AC"/>
    <w:rsid w:val="006A4592"/>
    <w:rsid w:val="006A4EE8"/>
    <w:rsid w:val="006A4F43"/>
    <w:rsid w:val="006A56C9"/>
    <w:rsid w:val="006A5A99"/>
    <w:rsid w:val="006A5EF8"/>
    <w:rsid w:val="006A645F"/>
    <w:rsid w:val="006A6A0A"/>
    <w:rsid w:val="006A6D94"/>
    <w:rsid w:val="006A7044"/>
    <w:rsid w:val="006A7447"/>
    <w:rsid w:val="006A74B8"/>
    <w:rsid w:val="006A768E"/>
    <w:rsid w:val="006A7691"/>
    <w:rsid w:val="006A7ACA"/>
    <w:rsid w:val="006B02F2"/>
    <w:rsid w:val="006B1379"/>
    <w:rsid w:val="006B1E48"/>
    <w:rsid w:val="006B24B8"/>
    <w:rsid w:val="006B2A41"/>
    <w:rsid w:val="006B2A64"/>
    <w:rsid w:val="006B2EA7"/>
    <w:rsid w:val="006B2ED5"/>
    <w:rsid w:val="006B40C1"/>
    <w:rsid w:val="006B42DD"/>
    <w:rsid w:val="006B435A"/>
    <w:rsid w:val="006B47C7"/>
    <w:rsid w:val="006B47E9"/>
    <w:rsid w:val="006B4851"/>
    <w:rsid w:val="006B52DA"/>
    <w:rsid w:val="006B57FF"/>
    <w:rsid w:val="006B6137"/>
    <w:rsid w:val="006B66BB"/>
    <w:rsid w:val="006B6F77"/>
    <w:rsid w:val="006B7D71"/>
    <w:rsid w:val="006C03FD"/>
    <w:rsid w:val="006C065B"/>
    <w:rsid w:val="006C0B44"/>
    <w:rsid w:val="006C0DC4"/>
    <w:rsid w:val="006C3200"/>
    <w:rsid w:val="006C3334"/>
    <w:rsid w:val="006C37AF"/>
    <w:rsid w:val="006C380D"/>
    <w:rsid w:val="006C3B99"/>
    <w:rsid w:val="006C49CE"/>
    <w:rsid w:val="006C4E00"/>
    <w:rsid w:val="006C5019"/>
    <w:rsid w:val="006C636D"/>
    <w:rsid w:val="006C6559"/>
    <w:rsid w:val="006C6B84"/>
    <w:rsid w:val="006C6EDC"/>
    <w:rsid w:val="006C7B7E"/>
    <w:rsid w:val="006D0097"/>
    <w:rsid w:val="006D059C"/>
    <w:rsid w:val="006D0710"/>
    <w:rsid w:val="006D10A7"/>
    <w:rsid w:val="006D183D"/>
    <w:rsid w:val="006D1957"/>
    <w:rsid w:val="006D1B15"/>
    <w:rsid w:val="006D1EA5"/>
    <w:rsid w:val="006D1F7C"/>
    <w:rsid w:val="006D22C0"/>
    <w:rsid w:val="006D26E7"/>
    <w:rsid w:val="006D2721"/>
    <w:rsid w:val="006D299C"/>
    <w:rsid w:val="006D2E76"/>
    <w:rsid w:val="006D37C3"/>
    <w:rsid w:val="006D3E6B"/>
    <w:rsid w:val="006D4983"/>
    <w:rsid w:val="006D4A15"/>
    <w:rsid w:val="006D4A1E"/>
    <w:rsid w:val="006D4BB8"/>
    <w:rsid w:val="006D5511"/>
    <w:rsid w:val="006D5A0D"/>
    <w:rsid w:val="006D5C59"/>
    <w:rsid w:val="006D5DBB"/>
    <w:rsid w:val="006D5E1F"/>
    <w:rsid w:val="006D65F1"/>
    <w:rsid w:val="006D6C22"/>
    <w:rsid w:val="006D6E5E"/>
    <w:rsid w:val="006D763B"/>
    <w:rsid w:val="006E0415"/>
    <w:rsid w:val="006E0EB9"/>
    <w:rsid w:val="006E1271"/>
    <w:rsid w:val="006E14F3"/>
    <w:rsid w:val="006E16F4"/>
    <w:rsid w:val="006E190C"/>
    <w:rsid w:val="006E1BD8"/>
    <w:rsid w:val="006E1C55"/>
    <w:rsid w:val="006E2191"/>
    <w:rsid w:val="006E265B"/>
    <w:rsid w:val="006E2B68"/>
    <w:rsid w:val="006E2F35"/>
    <w:rsid w:val="006E3BAA"/>
    <w:rsid w:val="006E4C9D"/>
    <w:rsid w:val="006E5AFF"/>
    <w:rsid w:val="006E63B2"/>
    <w:rsid w:val="006E6487"/>
    <w:rsid w:val="006E6752"/>
    <w:rsid w:val="006E6BFB"/>
    <w:rsid w:val="006E6CEF"/>
    <w:rsid w:val="006E7079"/>
    <w:rsid w:val="006E70B3"/>
    <w:rsid w:val="006E7DEF"/>
    <w:rsid w:val="006F0481"/>
    <w:rsid w:val="006F1223"/>
    <w:rsid w:val="006F150F"/>
    <w:rsid w:val="006F1F61"/>
    <w:rsid w:val="006F2390"/>
    <w:rsid w:val="006F26ED"/>
    <w:rsid w:val="006F2C09"/>
    <w:rsid w:val="006F2D9E"/>
    <w:rsid w:val="006F356C"/>
    <w:rsid w:val="006F49F2"/>
    <w:rsid w:val="006F546B"/>
    <w:rsid w:val="006F5CC5"/>
    <w:rsid w:val="006F6A1A"/>
    <w:rsid w:val="006F6D90"/>
    <w:rsid w:val="006F706B"/>
    <w:rsid w:val="006F7113"/>
    <w:rsid w:val="006F73FC"/>
    <w:rsid w:val="006F7D7D"/>
    <w:rsid w:val="00700761"/>
    <w:rsid w:val="00700AC7"/>
    <w:rsid w:val="00701381"/>
    <w:rsid w:val="00701620"/>
    <w:rsid w:val="00701DE5"/>
    <w:rsid w:val="007023F3"/>
    <w:rsid w:val="00702943"/>
    <w:rsid w:val="0070297D"/>
    <w:rsid w:val="00702986"/>
    <w:rsid w:val="00704590"/>
    <w:rsid w:val="00704AA0"/>
    <w:rsid w:val="00704D33"/>
    <w:rsid w:val="007054C4"/>
    <w:rsid w:val="007062F2"/>
    <w:rsid w:val="00706873"/>
    <w:rsid w:val="0070696A"/>
    <w:rsid w:val="00706CB3"/>
    <w:rsid w:val="0070706A"/>
    <w:rsid w:val="0070732C"/>
    <w:rsid w:val="00707633"/>
    <w:rsid w:val="00707F03"/>
    <w:rsid w:val="007100ED"/>
    <w:rsid w:val="00710AC6"/>
    <w:rsid w:val="0071108A"/>
    <w:rsid w:val="00712A2B"/>
    <w:rsid w:val="00712E50"/>
    <w:rsid w:val="00713062"/>
    <w:rsid w:val="007132B3"/>
    <w:rsid w:val="00713707"/>
    <w:rsid w:val="007139FA"/>
    <w:rsid w:val="0071456E"/>
    <w:rsid w:val="0071485C"/>
    <w:rsid w:val="00714EDF"/>
    <w:rsid w:val="00715669"/>
    <w:rsid w:val="00715D4E"/>
    <w:rsid w:val="0071610B"/>
    <w:rsid w:val="007171E3"/>
    <w:rsid w:val="00717A52"/>
    <w:rsid w:val="00717BE3"/>
    <w:rsid w:val="00717C4B"/>
    <w:rsid w:val="00717F01"/>
    <w:rsid w:val="00717FBC"/>
    <w:rsid w:val="00720148"/>
    <w:rsid w:val="00720A32"/>
    <w:rsid w:val="00720E79"/>
    <w:rsid w:val="00720F52"/>
    <w:rsid w:val="00720F8D"/>
    <w:rsid w:val="00721099"/>
    <w:rsid w:val="0072126C"/>
    <w:rsid w:val="0072158C"/>
    <w:rsid w:val="00722192"/>
    <w:rsid w:val="00722830"/>
    <w:rsid w:val="00722D4A"/>
    <w:rsid w:val="00723500"/>
    <w:rsid w:val="007244BC"/>
    <w:rsid w:val="00724673"/>
    <w:rsid w:val="00724AB6"/>
    <w:rsid w:val="00725B4C"/>
    <w:rsid w:val="00725C90"/>
    <w:rsid w:val="00725DF8"/>
    <w:rsid w:val="007267A3"/>
    <w:rsid w:val="007268F3"/>
    <w:rsid w:val="00726991"/>
    <w:rsid w:val="00726C78"/>
    <w:rsid w:val="00726DFB"/>
    <w:rsid w:val="0072733F"/>
    <w:rsid w:val="00727461"/>
    <w:rsid w:val="00727D49"/>
    <w:rsid w:val="007300B9"/>
    <w:rsid w:val="007304DD"/>
    <w:rsid w:val="00730B92"/>
    <w:rsid w:val="00730BA1"/>
    <w:rsid w:val="007312D7"/>
    <w:rsid w:val="00733A96"/>
    <w:rsid w:val="00733CEB"/>
    <w:rsid w:val="007344DD"/>
    <w:rsid w:val="00734646"/>
    <w:rsid w:val="00734887"/>
    <w:rsid w:val="007349AF"/>
    <w:rsid w:val="00735423"/>
    <w:rsid w:val="00735BD6"/>
    <w:rsid w:val="007369FC"/>
    <w:rsid w:val="00736AAD"/>
    <w:rsid w:val="00737580"/>
    <w:rsid w:val="00737D58"/>
    <w:rsid w:val="00740295"/>
    <w:rsid w:val="007403DC"/>
    <w:rsid w:val="00740DF0"/>
    <w:rsid w:val="00741DE7"/>
    <w:rsid w:val="007421E5"/>
    <w:rsid w:val="0074267F"/>
    <w:rsid w:val="007431CB"/>
    <w:rsid w:val="0074390D"/>
    <w:rsid w:val="0074398B"/>
    <w:rsid w:val="00743BA5"/>
    <w:rsid w:val="00744D8E"/>
    <w:rsid w:val="00745150"/>
    <w:rsid w:val="007457BE"/>
    <w:rsid w:val="0074592B"/>
    <w:rsid w:val="00745B81"/>
    <w:rsid w:val="00745F65"/>
    <w:rsid w:val="007466FB"/>
    <w:rsid w:val="00747024"/>
    <w:rsid w:val="00747429"/>
    <w:rsid w:val="00747D91"/>
    <w:rsid w:val="00747E3B"/>
    <w:rsid w:val="00750496"/>
    <w:rsid w:val="007504A9"/>
    <w:rsid w:val="00750DC2"/>
    <w:rsid w:val="00750E81"/>
    <w:rsid w:val="00751C8F"/>
    <w:rsid w:val="0075262A"/>
    <w:rsid w:val="007532CA"/>
    <w:rsid w:val="007535D4"/>
    <w:rsid w:val="007538A5"/>
    <w:rsid w:val="00753BEA"/>
    <w:rsid w:val="00754A4F"/>
    <w:rsid w:val="00755018"/>
    <w:rsid w:val="007553B1"/>
    <w:rsid w:val="00755CA2"/>
    <w:rsid w:val="007561DF"/>
    <w:rsid w:val="00756520"/>
    <w:rsid w:val="00756B2E"/>
    <w:rsid w:val="00757A29"/>
    <w:rsid w:val="00760469"/>
    <w:rsid w:val="00760565"/>
    <w:rsid w:val="00760E57"/>
    <w:rsid w:val="007616A0"/>
    <w:rsid w:val="00761854"/>
    <w:rsid w:val="00761D46"/>
    <w:rsid w:val="00761D53"/>
    <w:rsid w:val="0076342A"/>
    <w:rsid w:val="007635A8"/>
    <w:rsid w:val="00763699"/>
    <w:rsid w:val="00763ABD"/>
    <w:rsid w:val="007654EF"/>
    <w:rsid w:val="00765783"/>
    <w:rsid w:val="00766146"/>
    <w:rsid w:val="007665A1"/>
    <w:rsid w:val="007666A6"/>
    <w:rsid w:val="007667D6"/>
    <w:rsid w:val="00766BB9"/>
    <w:rsid w:val="00766BF4"/>
    <w:rsid w:val="00766C35"/>
    <w:rsid w:val="00767961"/>
    <w:rsid w:val="00767A5A"/>
    <w:rsid w:val="00770686"/>
    <w:rsid w:val="007716B9"/>
    <w:rsid w:val="007717C8"/>
    <w:rsid w:val="00771947"/>
    <w:rsid w:val="00772341"/>
    <w:rsid w:val="0077234A"/>
    <w:rsid w:val="00772936"/>
    <w:rsid w:val="00772B22"/>
    <w:rsid w:val="00773102"/>
    <w:rsid w:val="00773CF4"/>
    <w:rsid w:val="00774668"/>
    <w:rsid w:val="0077466F"/>
    <w:rsid w:val="007746E1"/>
    <w:rsid w:val="00774CDB"/>
    <w:rsid w:val="0077501F"/>
    <w:rsid w:val="0077531E"/>
    <w:rsid w:val="00775B99"/>
    <w:rsid w:val="007766C2"/>
    <w:rsid w:val="0077694F"/>
    <w:rsid w:val="007771E5"/>
    <w:rsid w:val="007807B1"/>
    <w:rsid w:val="00780AA2"/>
    <w:rsid w:val="007811E0"/>
    <w:rsid w:val="00781336"/>
    <w:rsid w:val="0078144D"/>
    <w:rsid w:val="00781EDB"/>
    <w:rsid w:val="00782806"/>
    <w:rsid w:val="00782F5F"/>
    <w:rsid w:val="0078307A"/>
    <w:rsid w:val="0078325B"/>
    <w:rsid w:val="00783501"/>
    <w:rsid w:val="00783511"/>
    <w:rsid w:val="00783C33"/>
    <w:rsid w:val="00783D24"/>
    <w:rsid w:val="007842EE"/>
    <w:rsid w:val="007845CC"/>
    <w:rsid w:val="00784827"/>
    <w:rsid w:val="00784E4D"/>
    <w:rsid w:val="007857E1"/>
    <w:rsid w:val="0078649C"/>
    <w:rsid w:val="00786DCF"/>
    <w:rsid w:val="00787139"/>
    <w:rsid w:val="007873E8"/>
    <w:rsid w:val="007877A0"/>
    <w:rsid w:val="00790044"/>
    <w:rsid w:val="0079112C"/>
    <w:rsid w:val="007916DF"/>
    <w:rsid w:val="007918BF"/>
    <w:rsid w:val="00792919"/>
    <w:rsid w:val="0079324C"/>
    <w:rsid w:val="0079458A"/>
    <w:rsid w:val="00795239"/>
    <w:rsid w:val="00795941"/>
    <w:rsid w:val="00795E1F"/>
    <w:rsid w:val="00796BDD"/>
    <w:rsid w:val="007977A8"/>
    <w:rsid w:val="00797F69"/>
    <w:rsid w:val="007A0984"/>
    <w:rsid w:val="007A0A72"/>
    <w:rsid w:val="007A1629"/>
    <w:rsid w:val="007A18DA"/>
    <w:rsid w:val="007A206A"/>
    <w:rsid w:val="007A210C"/>
    <w:rsid w:val="007A25E9"/>
    <w:rsid w:val="007A27F4"/>
    <w:rsid w:val="007A32A4"/>
    <w:rsid w:val="007A3F57"/>
    <w:rsid w:val="007A4596"/>
    <w:rsid w:val="007A4B1C"/>
    <w:rsid w:val="007A51C5"/>
    <w:rsid w:val="007A5762"/>
    <w:rsid w:val="007A5A20"/>
    <w:rsid w:val="007A622B"/>
    <w:rsid w:val="007A6ACB"/>
    <w:rsid w:val="007A6D6F"/>
    <w:rsid w:val="007A6D80"/>
    <w:rsid w:val="007A7A95"/>
    <w:rsid w:val="007B082C"/>
    <w:rsid w:val="007B09F8"/>
    <w:rsid w:val="007B1C63"/>
    <w:rsid w:val="007B1EEB"/>
    <w:rsid w:val="007B27F5"/>
    <w:rsid w:val="007B334C"/>
    <w:rsid w:val="007B38C4"/>
    <w:rsid w:val="007B3971"/>
    <w:rsid w:val="007B3AEE"/>
    <w:rsid w:val="007B44F6"/>
    <w:rsid w:val="007B50BB"/>
    <w:rsid w:val="007B50EB"/>
    <w:rsid w:val="007B59A0"/>
    <w:rsid w:val="007B5EDD"/>
    <w:rsid w:val="007B61DC"/>
    <w:rsid w:val="007B6A13"/>
    <w:rsid w:val="007B6AF8"/>
    <w:rsid w:val="007B6D1C"/>
    <w:rsid w:val="007B78AA"/>
    <w:rsid w:val="007B7A78"/>
    <w:rsid w:val="007B7EB5"/>
    <w:rsid w:val="007C01F9"/>
    <w:rsid w:val="007C0950"/>
    <w:rsid w:val="007C1076"/>
    <w:rsid w:val="007C18F4"/>
    <w:rsid w:val="007C2382"/>
    <w:rsid w:val="007C2639"/>
    <w:rsid w:val="007C2BCC"/>
    <w:rsid w:val="007C2FC2"/>
    <w:rsid w:val="007C3147"/>
    <w:rsid w:val="007C3386"/>
    <w:rsid w:val="007C35EA"/>
    <w:rsid w:val="007C36F6"/>
    <w:rsid w:val="007C487E"/>
    <w:rsid w:val="007C4950"/>
    <w:rsid w:val="007C4E3B"/>
    <w:rsid w:val="007C4F63"/>
    <w:rsid w:val="007C502C"/>
    <w:rsid w:val="007C53C7"/>
    <w:rsid w:val="007C6418"/>
    <w:rsid w:val="007C64FE"/>
    <w:rsid w:val="007C6DC6"/>
    <w:rsid w:val="007C71B4"/>
    <w:rsid w:val="007C729A"/>
    <w:rsid w:val="007C75BE"/>
    <w:rsid w:val="007C7A31"/>
    <w:rsid w:val="007C7BE3"/>
    <w:rsid w:val="007C7C4B"/>
    <w:rsid w:val="007D0996"/>
    <w:rsid w:val="007D0A46"/>
    <w:rsid w:val="007D0C27"/>
    <w:rsid w:val="007D0FE4"/>
    <w:rsid w:val="007D14ED"/>
    <w:rsid w:val="007D166C"/>
    <w:rsid w:val="007D1CBA"/>
    <w:rsid w:val="007D2B1B"/>
    <w:rsid w:val="007D32E7"/>
    <w:rsid w:val="007D33EA"/>
    <w:rsid w:val="007D49AB"/>
    <w:rsid w:val="007D4BC3"/>
    <w:rsid w:val="007D57BA"/>
    <w:rsid w:val="007D5DCC"/>
    <w:rsid w:val="007D6211"/>
    <w:rsid w:val="007D639C"/>
    <w:rsid w:val="007D730F"/>
    <w:rsid w:val="007E0236"/>
    <w:rsid w:val="007E02D4"/>
    <w:rsid w:val="007E042F"/>
    <w:rsid w:val="007E0B53"/>
    <w:rsid w:val="007E0EC0"/>
    <w:rsid w:val="007E23A1"/>
    <w:rsid w:val="007E26AD"/>
    <w:rsid w:val="007E26F5"/>
    <w:rsid w:val="007E283F"/>
    <w:rsid w:val="007E2A72"/>
    <w:rsid w:val="007E3289"/>
    <w:rsid w:val="007E3BBA"/>
    <w:rsid w:val="007E4761"/>
    <w:rsid w:val="007E49AC"/>
    <w:rsid w:val="007E4CAB"/>
    <w:rsid w:val="007E4FEC"/>
    <w:rsid w:val="007E50A7"/>
    <w:rsid w:val="007E5603"/>
    <w:rsid w:val="007E5D61"/>
    <w:rsid w:val="007E679C"/>
    <w:rsid w:val="007E6E6A"/>
    <w:rsid w:val="007E7019"/>
    <w:rsid w:val="007E73B9"/>
    <w:rsid w:val="007E7DAA"/>
    <w:rsid w:val="007E7ED9"/>
    <w:rsid w:val="007F08E6"/>
    <w:rsid w:val="007F0A5A"/>
    <w:rsid w:val="007F0F75"/>
    <w:rsid w:val="007F1544"/>
    <w:rsid w:val="007F18C4"/>
    <w:rsid w:val="007F356E"/>
    <w:rsid w:val="007F3923"/>
    <w:rsid w:val="007F4BE3"/>
    <w:rsid w:val="007F5E4E"/>
    <w:rsid w:val="007F756C"/>
    <w:rsid w:val="00800047"/>
    <w:rsid w:val="00800257"/>
    <w:rsid w:val="008006C0"/>
    <w:rsid w:val="0080138E"/>
    <w:rsid w:val="008013BE"/>
    <w:rsid w:val="00801427"/>
    <w:rsid w:val="00801C0C"/>
    <w:rsid w:val="00801F32"/>
    <w:rsid w:val="00802EEC"/>
    <w:rsid w:val="008032EC"/>
    <w:rsid w:val="00803958"/>
    <w:rsid w:val="00803B41"/>
    <w:rsid w:val="008052E9"/>
    <w:rsid w:val="00805382"/>
    <w:rsid w:val="00805915"/>
    <w:rsid w:val="008059BD"/>
    <w:rsid w:val="00805BD1"/>
    <w:rsid w:val="00805E27"/>
    <w:rsid w:val="00805E89"/>
    <w:rsid w:val="00805E99"/>
    <w:rsid w:val="00806312"/>
    <w:rsid w:val="0080634C"/>
    <w:rsid w:val="00806B3A"/>
    <w:rsid w:val="00806C13"/>
    <w:rsid w:val="008071F3"/>
    <w:rsid w:val="0080755D"/>
    <w:rsid w:val="00807A2A"/>
    <w:rsid w:val="00807AB2"/>
    <w:rsid w:val="008118A2"/>
    <w:rsid w:val="0081228D"/>
    <w:rsid w:val="00812439"/>
    <w:rsid w:val="00812660"/>
    <w:rsid w:val="00812BD9"/>
    <w:rsid w:val="00813FA8"/>
    <w:rsid w:val="00814035"/>
    <w:rsid w:val="0081461C"/>
    <w:rsid w:val="008149EA"/>
    <w:rsid w:val="00815DAE"/>
    <w:rsid w:val="008168C6"/>
    <w:rsid w:val="00816D96"/>
    <w:rsid w:val="008176AB"/>
    <w:rsid w:val="00817E0C"/>
    <w:rsid w:val="00817F05"/>
    <w:rsid w:val="008201AA"/>
    <w:rsid w:val="00821759"/>
    <w:rsid w:val="00821ECD"/>
    <w:rsid w:val="00821FC6"/>
    <w:rsid w:val="00822FBF"/>
    <w:rsid w:val="008234D5"/>
    <w:rsid w:val="008237B0"/>
    <w:rsid w:val="008238B8"/>
    <w:rsid w:val="008241F3"/>
    <w:rsid w:val="008247A6"/>
    <w:rsid w:val="00824A79"/>
    <w:rsid w:val="00825A80"/>
    <w:rsid w:val="008263EB"/>
    <w:rsid w:val="008264AA"/>
    <w:rsid w:val="008266F3"/>
    <w:rsid w:val="0082687F"/>
    <w:rsid w:val="0082733D"/>
    <w:rsid w:val="00830330"/>
    <w:rsid w:val="008314AD"/>
    <w:rsid w:val="00831B39"/>
    <w:rsid w:val="00831CB1"/>
    <w:rsid w:val="0083226E"/>
    <w:rsid w:val="00832574"/>
    <w:rsid w:val="00832A69"/>
    <w:rsid w:val="0083361F"/>
    <w:rsid w:val="0083373E"/>
    <w:rsid w:val="00833937"/>
    <w:rsid w:val="00833FF1"/>
    <w:rsid w:val="00834DA4"/>
    <w:rsid w:val="008353C6"/>
    <w:rsid w:val="008374FE"/>
    <w:rsid w:val="008379F2"/>
    <w:rsid w:val="00837B92"/>
    <w:rsid w:val="00840065"/>
    <w:rsid w:val="008405CA"/>
    <w:rsid w:val="00840AD6"/>
    <w:rsid w:val="00840F4D"/>
    <w:rsid w:val="008415F3"/>
    <w:rsid w:val="0084167C"/>
    <w:rsid w:val="00841B4F"/>
    <w:rsid w:val="00841C2E"/>
    <w:rsid w:val="00842952"/>
    <w:rsid w:val="00842AAA"/>
    <w:rsid w:val="00842B34"/>
    <w:rsid w:val="008434B7"/>
    <w:rsid w:val="008438B2"/>
    <w:rsid w:val="008439BE"/>
    <w:rsid w:val="00843B97"/>
    <w:rsid w:val="00844720"/>
    <w:rsid w:val="00844A23"/>
    <w:rsid w:val="00844DAA"/>
    <w:rsid w:val="00844E1B"/>
    <w:rsid w:val="008451A8"/>
    <w:rsid w:val="00846775"/>
    <w:rsid w:val="0084699B"/>
    <w:rsid w:val="00847CA7"/>
    <w:rsid w:val="00851363"/>
    <w:rsid w:val="00851400"/>
    <w:rsid w:val="00851909"/>
    <w:rsid w:val="008524A6"/>
    <w:rsid w:val="0085258B"/>
    <w:rsid w:val="00853319"/>
    <w:rsid w:val="008537CD"/>
    <w:rsid w:val="008537D4"/>
    <w:rsid w:val="00854D50"/>
    <w:rsid w:val="008554B0"/>
    <w:rsid w:val="0085569F"/>
    <w:rsid w:val="00855A9F"/>
    <w:rsid w:val="008567FF"/>
    <w:rsid w:val="00857017"/>
    <w:rsid w:val="00860E55"/>
    <w:rsid w:val="00860FBA"/>
    <w:rsid w:val="0086103E"/>
    <w:rsid w:val="00861D2F"/>
    <w:rsid w:val="00862F41"/>
    <w:rsid w:val="008630F6"/>
    <w:rsid w:val="0086326F"/>
    <w:rsid w:val="00864CB4"/>
    <w:rsid w:val="00864DEC"/>
    <w:rsid w:val="0086583A"/>
    <w:rsid w:val="00865AAD"/>
    <w:rsid w:val="0086613F"/>
    <w:rsid w:val="00866AB5"/>
    <w:rsid w:val="00866BAC"/>
    <w:rsid w:val="00866C79"/>
    <w:rsid w:val="00866CD4"/>
    <w:rsid w:val="0086713B"/>
    <w:rsid w:val="00867569"/>
    <w:rsid w:val="00871726"/>
    <w:rsid w:val="00871783"/>
    <w:rsid w:val="00872828"/>
    <w:rsid w:val="00872E92"/>
    <w:rsid w:val="00873187"/>
    <w:rsid w:val="00873D2E"/>
    <w:rsid w:val="00873EAE"/>
    <w:rsid w:val="00874A29"/>
    <w:rsid w:val="00874A52"/>
    <w:rsid w:val="00875F15"/>
    <w:rsid w:val="0087655E"/>
    <w:rsid w:val="00876FFE"/>
    <w:rsid w:val="008770C2"/>
    <w:rsid w:val="008774DD"/>
    <w:rsid w:val="0087761E"/>
    <w:rsid w:val="00877C65"/>
    <w:rsid w:val="008802BC"/>
    <w:rsid w:val="00880A29"/>
    <w:rsid w:val="00880D99"/>
    <w:rsid w:val="0088143B"/>
    <w:rsid w:val="00881525"/>
    <w:rsid w:val="008820E1"/>
    <w:rsid w:val="008825B4"/>
    <w:rsid w:val="0088326A"/>
    <w:rsid w:val="00883631"/>
    <w:rsid w:val="00883A22"/>
    <w:rsid w:val="00883E6A"/>
    <w:rsid w:val="00883F23"/>
    <w:rsid w:val="0088425D"/>
    <w:rsid w:val="00884B8D"/>
    <w:rsid w:val="008853C6"/>
    <w:rsid w:val="00886408"/>
    <w:rsid w:val="00887224"/>
    <w:rsid w:val="00887C99"/>
    <w:rsid w:val="00887DA5"/>
    <w:rsid w:val="00890BAC"/>
    <w:rsid w:val="0089101C"/>
    <w:rsid w:val="008913D3"/>
    <w:rsid w:val="008914E8"/>
    <w:rsid w:val="00891A7D"/>
    <w:rsid w:val="00891C6C"/>
    <w:rsid w:val="008927EF"/>
    <w:rsid w:val="00892C12"/>
    <w:rsid w:val="00892C8A"/>
    <w:rsid w:val="00893182"/>
    <w:rsid w:val="00893A4E"/>
    <w:rsid w:val="008946B0"/>
    <w:rsid w:val="00894A2A"/>
    <w:rsid w:val="00894A2E"/>
    <w:rsid w:val="00894EAD"/>
    <w:rsid w:val="008951A8"/>
    <w:rsid w:val="0089589B"/>
    <w:rsid w:val="00896454"/>
    <w:rsid w:val="00896A77"/>
    <w:rsid w:val="00896B9E"/>
    <w:rsid w:val="00897138"/>
    <w:rsid w:val="00897851"/>
    <w:rsid w:val="00897989"/>
    <w:rsid w:val="008A0C4D"/>
    <w:rsid w:val="008A1270"/>
    <w:rsid w:val="008A19C0"/>
    <w:rsid w:val="008A2152"/>
    <w:rsid w:val="008A24B4"/>
    <w:rsid w:val="008A24E7"/>
    <w:rsid w:val="008A2724"/>
    <w:rsid w:val="008A2D4B"/>
    <w:rsid w:val="008A2E55"/>
    <w:rsid w:val="008A2F9D"/>
    <w:rsid w:val="008A3346"/>
    <w:rsid w:val="008A4134"/>
    <w:rsid w:val="008A422B"/>
    <w:rsid w:val="008A5A56"/>
    <w:rsid w:val="008A5FB5"/>
    <w:rsid w:val="008A6497"/>
    <w:rsid w:val="008A64B2"/>
    <w:rsid w:val="008A673F"/>
    <w:rsid w:val="008A7B17"/>
    <w:rsid w:val="008A7DDD"/>
    <w:rsid w:val="008B035C"/>
    <w:rsid w:val="008B057D"/>
    <w:rsid w:val="008B078E"/>
    <w:rsid w:val="008B1007"/>
    <w:rsid w:val="008B21A8"/>
    <w:rsid w:val="008B21AE"/>
    <w:rsid w:val="008B234D"/>
    <w:rsid w:val="008B2F52"/>
    <w:rsid w:val="008B3971"/>
    <w:rsid w:val="008B3AF9"/>
    <w:rsid w:val="008B40E9"/>
    <w:rsid w:val="008B4390"/>
    <w:rsid w:val="008B47F9"/>
    <w:rsid w:val="008B4B55"/>
    <w:rsid w:val="008B4D44"/>
    <w:rsid w:val="008B4DCA"/>
    <w:rsid w:val="008B4F7B"/>
    <w:rsid w:val="008B54B6"/>
    <w:rsid w:val="008B5A64"/>
    <w:rsid w:val="008B67ED"/>
    <w:rsid w:val="008B6DA9"/>
    <w:rsid w:val="008C148E"/>
    <w:rsid w:val="008C3324"/>
    <w:rsid w:val="008C40E6"/>
    <w:rsid w:val="008C432D"/>
    <w:rsid w:val="008C49CD"/>
    <w:rsid w:val="008C4F9D"/>
    <w:rsid w:val="008C55AE"/>
    <w:rsid w:val="008C5F43"/>
    <w:rsid w:val="008C66CC"/>
    <w:rsid w:val="008C706B"/>
    <w:rsid w:val="008C712C"/>
    <w:rsid w:val="008C78AE"/>
    <w:rsid w:val="008C7BC7"/>
    <w:rsid w:val="008D0209"/>
    <w:rsid w:val="008D04BB"/>
    <w:rsid w:val="008D08A9"/>
    <w:rsid w:val="008D0BF7"/>
    <w:rsid w:val="008D0FF9"/>
    <w:rsid w:val="008D129F"/>
    <w:rsid w:val="008D2036"/>
    <w:rsid w:val="008D227C"/>
    <w:rsid w:val="008D24BA"/>
    <w:rsid w:val="008D2C99"/>
    <w:rsid w:val="008D3423"/>
    <w:rsid w:val="008D3582"/>
    <w:rsid w:val="008D3648"/>
    <w:rsid w:val="008D3E90"/>
    <w:rsid w:val="008D4785"/>
    <w:rsid w:val="008D4B66"/>
    <w:rsid w:val="008D4CF3"/>
    <w:rsid w:val="008D57D9"/>
    <w:rsid w:val="008D5BDB"/>
    <w:rsid w:val="008D5D6E"/>
    <w:rsid w:val="008D6408"/>
    <w:rsid w:val="008D67F8"/>
    <w:rsid w:val="008D68D4"/>
    <w:rsid w:val="008D7AD1"/>
    <w:rsid w:val="008D7D38"/>
    <w:rsid w:val="008E0246"/>
    <w:rsid w:val="008E0532"/>
    <w:rsid w:val="008E06B5"/>
    <w:rsid w:val="008E08B2"/>
    <w:rsid w:val="008E0C3E"/>
    <w:rsid w:val="008E1251"/>
    <w:rsid w:val="008E15BB"/>
    <w:rsid w:val="008E196E"/>
    <w:rsid w:val="008E1A47"/>
    <w:rsid w:val="008E1E97"/>
    <w:rsid w:val="008E2683"/>
    <w:rsid w:val="008E2A49"/>
    <w:rsid w:val="008E2D89"/>
    <w:rsid w:val="008E2D9B"/>
    <w:rsid w:val="008E2EEF"/>
    <w:rsid w:val="008E3232"/>
    <w:rsid w:val="008E367A"/>
    <w:rsid w:val="008E42F3"/>
    <w:rsid w:val="008E46D5"/>
    <w:rsid w:val="008E4848"/>
    <w:rsid w:val="008E4AA6"/>
    <w:rsid w:val="008E4C90"/>
    <w:rsid w:val="008E532A"/>
    <w:rsid w:val="008E5406"/>
    <w:rsid w:val="008E56C8"/>
    <w:rsid w:val="008E5966"/>
    <w:rsid w:val="008E5BD5"/>
    <w:rsid w:val="008E5EA3"/>
    <w:rsid w:val="008E6351"/>
    <w:rsid w:val="008E693F"/>
    <w:rsid w:val="008E6D60"/>
    <w:rsid w:val="008E6FD1"/>
    <w:rsid w:val="008E71AB"/>
    <w:rsid w:val="008F0BB5"/>
    <w:rsid w:val="008F0F40"/>
    <w:rsid w:val="008F2C1A"/>
    <w:rsid w:val="008F35C0"/>
    <w:rsid w:val="008F38C9"/>
    <w:rsid w:val="008F438B"/>
    <w:rsid w:val="008F4452"/>
    <w:rsid w:val="008F4527"/>
    <w:rsid w:val="008F456B"/>
    <w:rsid w:val="008F4607"/>
    <w:rsid w:val="008F47D0"/>
    <w:rsid w:val="008F4C74"/>
    <w:rsid w:val="008F4FEA"/>
    <w:rsid w:val="008F5747"/>
    <w:rsid w:val="008F658C"/>
    <w:rsid w:val="008F6A72"/>
    <w:rsid w:val="008F6AC1"/>
    <w:rsid w:val="008F6CAF"/>
    <w:rsid w:val="008F7087"/>
    <w:rsid w:val="008F73E4"/>
    <w:rsid w:val="008F754D"/>
    <w:rsid w:val="008F779B"/>
    <w:rsid w:val="008F7C07"/>
    <w:rsid w:val="008F7C5B"/>
    <w:rsid w:val="00900825"/>
    <w:rsid w:val="0090097F"/>
    <w:rsid w:val="00900BE2"/>
    <w:rsid w:val="00900DE5"/>
    <w:rsid w:val="00901E7F"/>
    <w:rsid w:val="0090229D"/>
    <w:rsid w:val="00902776"/>
    <w:rsid w:val="0090277C"/>
    <w:rsid w:val="00902BCA"/>
    <w:rsid w:val="00902C03"/>
    <w:rsid w:val="00902D8B"/>
    <w:rsid w:val="00902E63"/>
    <w:rsid w:val="00904057"/>
    <w:rsid w:val="009043DC"/>
    <w:rsid w:val="009046A5"/>
    <w:rsid w:val="00904E00"/>
    <w:rsid w:val="009050C6"/>
    <w:rsid w:val="00905AB1"/>
    <w:rsid w:val="00905B60"/>
    <w:rsid w:val="00905CCD"/>
    <w:rsid w:val="0090602A"/>
    <w:rsid w:val="00906374"/>
    <w:rsid w:val="009065B9"/>
    <w:rsid w:val="00906A43"/>
    <w:rsid w:val="00906FC5"/>
    <w:rsid w:val="009074F9"/>
    <w:rsid w:val="009075A4"/>
    <w:rsid w:val="009079A0"/>
    <w:rsid w:val="0091068C"/>
    <w:rsid w:val="00910AAB"/>
    <w:rsid w:val="00910DCE"/>
    <w:rsid w:val="00912C3E"/>
    <w:rsid w:val="00913807"/>
    <w:rsid w:val="00913A3E"/>
    <w:rsid w:val="00913D43"/>
    <w:rsid w:val="009146B4"/>
    <w:rsid w:val="00914D78"/>
    <w:rsid w:val="00915748"/>
    <w:rsid w:val="00915C87"/>
    <w:rsid w:val="009161AC"/>
    <w:rsid w:val="00916BC6"/>
    <w:rsid w:val="00916EDD"/>
    <w:rsid w:val="00917ECA"/>
    <w:rsid w:val="0092041A"/>
    <w:rsid w:val="0092101E"/>
    <w:rsid w:val="00921266"/>
    <w:rsid w:val="009214E8"/>
    <w:rsid w:val="00921CD6"/>
    <w:rsid w:val="00922EE8"/>
    <w:rsid w:val="00923BBF"/>
    <w:rsid w:val="00923D6C"/>
    <w:rsid w:val="009241EE"/>
    <w:rsid w:val="00924F65"/>
    <w:rsid w:val="009250D1"/>
    <w:rsid w:val="00925B2D"/>
    <w:rsid w:val="00925C52"/>
    <w:rsid w:val="00925DCA"/>
    <w:rsid w:val="00926166"/>
    <w:rsid w:val="00927187"/>
    <w:rsid w:val="0092728E"/>
    <w:rsid w:val="00927580"/>
    <w:rsid w:val="009301F1"/>
    <w:rsid w:val="00930DE9"/>
    <w:rsid w:val="00930E54"/>
    <w:rsid w:val="00931322"/>
    <w:rsid w:val="00932118"/>
    <w:rsid w:val="0093293F"/>
    <w:rsid w:val="009329EA"/>
    <w:rsid w:val="00932CAC"/>
    <w:rsid w:val="00932E6C"/>
    <w:rsid w:val="009333CB"/>
    <w:rsid w:val="00933B5E"/>
    <w:rsid w:val="009341D8"/>
    <w:rsid w:val="0093450D"/>
    <w:rsid w:val="009347B3"/>
    <w:rsid w:val="00935588"/>
    <w:rsid w:val="009357A2"/>
    <w:rsid w:val="00935805"/>
    <w:rsid w:val="00936B9A"/>
    <w:rsid w:val="00936F55"/>
    <w:rsid w:val="009373B9"/>
    <w:rsid w:val="00937E75"/>
    <w:rsid w:val="00940E13"/>
    <w:rsid w:val="00941A40"/>
    <w:rsid w:val="00941FC4"/>
    <w:rsid w:val="009427A7"/>
    <w:rsid w:val="00943518"/>
    <w:rsid w:val="00943B9F"/>
    <w:rsid w:val="00943BC9"/>
    <w:rsid w:val="00944A52"/>
    <w:rsid w:val="00944CA0"/>
    <w:rsid w:val="00944FAA"/>
    <w:rsid w:val="009453F8"/>
    <w:rsid w:val="00945469"/>
    <w:rsid w:val="009459D3"/>
    <w:rsid w:val="00945B3A"/>
    <w:rsid w:val="00945E3C"/>
    <w:rsid w:val="00945FCC"/>
    <w:rsid w:val="00946313"/>
    <w:rsid w:val="0094658A"/>
    <w:rsid w:val="00946800"/>
    <w:rsid w:val="00947E23"/>
    <w:rsid w:val="009506D0"/>
    <w:rsid w:val="00950932"/>
    <w:rsid w:val="00950DCA"/>
    <w:rsid w:val="00951628"/>
    <w:rsid w:val="00951F79"/>
    <w:rsid w:val="00952851"/>
    <w:rsid w:val="009539EB"/>
    <w:rsid w:val="00953C4C"/>
    <w:rsid w:val="00954235"/>
    <w:rsid w:val="00954459"/>
    <w:rsid w:val="0095468B"/>
    <w:rsid w:val="009547D4"/>
    <w:rsid w:val="00954915"/>
    <w:rsid w:val="00954B70"/>
    <w:rsid w:val="00954CF0"/>
    <w:rsid w:val="00954F87"/>
    <w:rsid w:val="00955982"/>
    <w:rsid w:val="00955E3F"/>
    <w:rsid w:val="00957178"/>
    <w:rsid w:val="00957576"/>
    <w:rsid w:val="009614CE"/>
    <w:rsid w:val="00961709"/>
    <w:rsid w:val="00961C6B"/>
    <w:rsid w:val="00963337"/>
    <w:rsid w:val="0096382D"/>
    <w:rsid w:val="00963BA5"/>
    <w:rsid w:val="00963D2E"/>
    <w:rsid w:val="00964219"/>
    <w:rsid w:val="009645E4"/>
    <w:rsid w:val="009648D7"/>
    <w:rsid w:val="00964EFB"/>
    <w:rsid w:val="00965188"/>
    <w:rsid w:val="0096544A"/>
    <w:rsid w:val="00965621"/>
    <w:rsid w:val="00965F2E"/>
    <w:rsid w:val="00966CE7"/>
    <w:rsid w:val="009671EF"/>
    <w:rsid w:val="00967625"/>
    <w:rsid w:val="009679B9"/>
    <w:rsid w:val="00967BCF"/>
    <w:rsid w:val="00967CEF"/>
    <w:rsid w:val="0097003D"/>
    <w:rsid w:val="00970537"/>
    <w:rsid w:val="00970A65"/>
    <w:rsid w:val="00970F41"/>
    <w:rsid w:val="009710D8"/>
    <w:rsid w:val="00971554"/>
    <w:rsid w:val="00971BE6"/>
    <w:rsid w:val="00972109"/>
    <w:rsid w:val="00972D4B"/>
    <w:rsid w:val="0097310A"/>
    <w:rsid w:val="00973169"/>
    <w:rsid w:val="009737E5"/>
    <w:rsid w:val="00973958"/>
    <w:rsid w:val="00973B07"/>
    <w:rsid w:val="00973DBD"/>
    <w:rsid w:val="00973EB0"/>
    <w:rsid w:val="00974500"/>
    <w:rsid w:val="00974545"/>
    <w:rsid w:val="009757F0"/>
    <w:rsid w:val="00975972"/>
    <w:rsid w:val="009759EB"/>
    <w:rsid w:val="009763EC"/>
    <w:rsid w:val="00976974"/>
    <w:rsid w:val="00976D41"/>
    <w:rsid w:val="00976DD9"/>
    <w:rsid w:val="00980131"/>
    <w:rsid w:val="009801B5"/>
    <w:rsid w:val="00980379"/>
    <w:rsid w:val="00980549"/>
    <w:rsid w:val="009805B6"/>
    <w:rsid w:val="009807B5"/>
    <w:rsid w:val="0098123A"/>
    <w:rsid w:val="0098133B"/>
    <w:rsid w:val="009827D5"/>
    <w:rsid w:val="009827EC"/>
    <w:rsid w:val="009830C0"/>
    <w:rsid w:val="009834DE"/>
    <w:rsid w:val="00983D15"/>
    <w:rsid w:val="00984746"/>
    <w:rsid w:val="009858DB"/>
    <w:rsid w:val="00985A9F"/>
    <w:rsid w:val="00985AC2"/>
    <w:rsid w:val="009860E9"/>
    <w:rsid w:val="009865B9"/>
    <w:rsid w:val="00986924"/>
    <w:rsid w:val="0098744D"/>
    <w:rsid w:val="0098775C"/>
    <w:rsid w:val="00990850"/>
    <w:rsid w:val="00990D69"/>
    <w:rsid w:val="00991189"/>
    <w:rsid w:val="00991363"/>
    <w:rsid w:val="00991828"/>
    <w:rsid w:val="00991BE7"/>
    <w:rsid w:val="00991F0D"/>
    <w:rsid w:val="0099248C"/>
    <w:rsid w:val="0099285F"/>
    <w:rsid w:val="009928D1"/>
    <w:rsid w:val="00992A39"/>
    <w:rsid w:val="009935B3"/>
    <w:rsid w:val="00993781"/>
    <w:rsid w:val="00993B25"/>
    <w:rsid w:val="00993EB7"/>
    <w:rsid w:val="009950B8"/>
    <w:rsid w:val="00995966"/>
    <w:rsid w:val="00996349"/>
    <w:rsid w:val="00996581"/>
    <w:rsid w:val="00996709"/>
    <w:rsid w:val="00996E35"/>
    <w:rsid w:val="009A0077"/>
    <w:rsid w:val="009A057E"/>
    <w:rsid w:val="009A0679"/>
    <w:rsid w:val="009A0C03"/>
    <w:rsid w:val="009A0EC7"/>
    <w:rsid w:val="009A12FD"/>
    <w:rsid w:val="009A25EB"/>
    <w:rsid w:val="009A308D"/>
    <w:rsid w:val="009A30F8"/>
    <w:rsid w:val="009A4169"/>
    <w:rsid w:val="009A460F"/>
    <w:rsid w:val="009A4BC7"/>
    <w:rsid w:val="009A4BE3"/>
    <w:rsid w:val="009A4CD9"/>
    <w:rsid w:val="009A5FB9"/>
    <w:rsid w:val="009A6260"/>
    <w:rsid w:val="009A6D97"/>
    <w:rsid w:val="009A70F8"/>
    <w:rsid w:val="009A77E6"/>
    <w:rsid w:val="009A79FB"/>
    <w:rsid w:val="009B0D75"/>
    <w:rsid w:val="009B1943"/>
    <w:rsid w:val="009B1A68"/>
    <w:rsid w:val="009B1F49"/>
    <w:rsid w:val="009B1F4E"/>
    <w:rsid w:val="009B34E8"/>
    <w:rsid w:val="009B3A20"/>
    <w:rsid w:val="009B3FCD"/>
    <w:rsid w:val="009B41D7"/>
    <w:rsid w:val="009B5523"/>
    <w:rsid w:val="009B5604"/>
    <w:rsid w:val="009B6602"/>
    <w:rsid w:val="009B6C29"/>
    <w:rsid w:val="009B7406"/>
    <w:rsid w:val="009C0999"/>
    <w:rsid w:val="009C0AA5"/>
    <w:rsid w:val="009C0B3B"/>
    <w:rsid w:val="009C0DC5"/>
    <w:rsid w:val="009C16AC"/>
    <w:rsid w:val="009C1813"/>
    <w:rsid w:val="009C1C3A"/>
    <w:rsid w:val="009C1F6A"/>
    <w:rsid w:val="009C24B5"/>
    <w:rsid w:val="009C254B"/>
    <w:rsid w:val="009C265A"/>
    <w:rsid w:val="009C26A2"/>
    <w:rsid w:val="009C3DF3"/>
    <w:rsid w:val="009C3F0C"/>
    <w:rsid w:val="009C577E"/>
    <w:rsid w:val="009C61CA"/>
    <w:rsid w:val="009C63AE"/>
    <w:rsid w:val="009C6501"/>
    <w:rsid w:val="009C667C"/>
    <w:rsid w:val="009C782E"/>
    <w:rsid w:val="009D0261"/>
    <w:rsid w:val="009D0C51"/>
    <w:rsid w:val="009D0E20"/>
    <w:rsid w:val="009D0F03"/>
    <w:rsid w:val="009D1200"/>
    <w:rsid w:val="009D1A8D"/>
    <w:rsid w:val="009D2221"/>
    <w:rsid w:val="009D23DF"/>
    <w:rsid w:val="009D2C1E"/>
    <w:rsid w:val="009D2F91"/>
    <w:rsid w:val="009D42EE"/>
    <w:rsid w:val="009D566A"/>
    <w:rsid w:val="009D5692"/>
    <w:rsid w:val="009D5975"/>
    <w:rsid w:val="009D5A10"/>
    <w:rsid w:val="009D6BDE"/>
    <w:rsid w:val="009D7096"/>
    <w:rsid w:val="009D7146"/>
    <w:rsid w:val="009D7242"/>
    <w:rsid w:val="009D74E9"/>
    <w:rsid w:val="009D7686"/>
    <w:rsid w:val="009D7CE9"/>
    <w:rsid w:val="009D7E7C"/>
    <w:rsid w:val="009E0256"/>
    <w:rsid w:val="009E0DC1"/>
    <w:rsid w:val="009E0E5C"/>
    <w:rsid w:val="009E0FE5"/>
    <w:rsid w:val="009E1929"/>
    <w:rsid w:val="009E19C5"/>
    <w:rsid w:val="009E1DE0"/>
    <w:rsid w:val="009E1FD0"/>
    <w:rsid w:val="009E27E6"/>
    <w:rsid w:val="009E3416"/>
    <w:rsid w:val="009E3BD7"/>
    <w:rsid w:val="009E3EF6"/>
    <w:rsid w:val="009E3F7C"/>
    <w:rsid w:val="009E46B9"/>
    <w:rsid w:val="009E47C6"/>
    <w:rsid w:val="009E5884"/>
    <w:rsid w:val="009E652A"/>
    <w:rsid w:val="009E67F4"/>
    <w:rsid w:val="009E67FF"/>
    <w:rsid w:val="009E6811"/>
    <w:rsid w:val="009E714F"/>
    <w:rsid w:val="009E756F"/>
    <w:rsid w:val="009E77E3"/>
    <w:rsid w:val="009E7A71"/>
    <w:rsid w:val="009F0179"/>
    <w:rsid w:val="009F02B7"/>
    <w:rsid w:val="009F0B1D"/>
    <w:rsid w:val="009F1761"/>
    <w:rsid w:val="009F205C"/>
    <w:rsid w:val="009F2108"/>
    <w:rsid w:val="009F28BA"/>
    <w:rsid w:val="009F2ED2"/>
    <w:rsid w:val="009F3115"/>
    <w:rsid w:val="009F3900"/>
    <w:rsid w:val="009F39EF"/>
    <w:rsid w:val="009F493C"/>
    <w:rsid w:val="009F5203"/>
    <w:rsid w:val="009F59B4"/>
    <w:rsid w:val="009F7842"/>
    <w:rsid w:val="009F7DA6"/>
    <w:rsid w:val="00A0009E"/>
    <w:rsid w:val="00A00929"/>
    <w:rsid w:val="00A01018"/>
    <w:rsid w:val="00A01381"/>
    <w:rsid w:val="00A0525E"/>
    <w:rsid w:val="00A055A8"/>
    <w:rsid w:val="00A05A6C"/>
    <w:rsid w:val="00A06590"/>
    <w:rsid w:val="00A06A47"/>
    <w:rsid w:val="00A070E5"/>
    <w:rsid w:val="00A07A41"/>
    <w:rsid w:val="00A104BB"/>
    <w:rsid w:val="00A10B43"/>
    <w:rsid w:val="00A10BC8"/>
    <w:rsid w:val="00A10BF9"/>
    <w:rsid w:val="00A112A8"/>
    <w:rsid w:val="00A112F7"/>
    <w:rsid w:val="00A11492"/>
    <w:rsid w:val="00A1175F"/>
    <w:rsid w:val="00A11AAB"/>
    <w:rsid w:val="00A11B9E"/>
    <w:rsid w:val="00A11EED"/>
    <w:rsid w:val="00A1213B"/>
    <w:rsid w:val="00A122F9"/>
    <w:rsid w:val="00A1296E"/>
    <w:rsid w:val="00A12989"/>
    <w:rsid w:val="00A12D1D"/>
    <w:rsid w:val="00A12E0C"/>
    <w:rsid w:val="00A1308F"/>
    <w:rsid w:val="00A13AE2"/>
    <w:rsid w:val="00A13E2F"/>
    <w:rsid w:val="00A150CB"/>
    <w:rsid w:val="00A151BE"/>
    <w:rsid w:val="00A16479"/>
    <w:rsid w:val="00A1652C"/>
    <w:rsid w:val="00A16B2B"/>
    <w:rsid w:val="00A16C70"/>
    <w:rsid w:val="00A16E3B"/>
    <w:rsid w:val="00A17859"/>
    <w:rsid w:val="00A17EB0"/>
    <w:rsid w:val="00A20A0F"/>
    <w:rsid w:val="00A20EE4"/>
    <w:rsid w:val="00A218DF"/>
    <w:rsid w:val="00A21AA4"/>
    <w:rsid w:val="00A22285"/>
    <w:rsid w:val="00A2265D"/>
    <w:rsid w:val="00A2277F"/>
    <w:rsid w:val="00A228D4"/>
    <w:rsid w:val="00A22B52"/>
    <w:rsid w:val="00A22DAF"/>
    <w:rsid w:val="00A234B0"/>
    <w:rsid w:val="00A2363F"/>
    <w:rsid w:val="00A23E5E"/>
    <w:rsid w:val="00A2459F"/>
    <w:rsid w:val="00A256E4"/>
    <w:rsid w:val="00A26405"/>
    <w:rsid w:val="00A276FF"/>
    <w:rsid w:val="00A30B08"/>
    <w:rsid w:val="00A315C3"/>
    <w:rsid w:val="00A318BA"/>
    <w:rsid w:val="00A31A93"/>
    <w:rsid w:val="00A31C5D"/>
    <w:rsid w:val="00A31EA9"/>
    <w:rsid w:val="00A32542"/>
    <w:rsid w:val="00A32701"/>
    <w:rsid w:val="00A32911"/>
    <w:rsid w:val="00A33104"/>
    <w:rsid w:val="00A335F0"/>
    <w:rsid w:val="00A3384B"/>
    <w:rsid w:val="00A33A0A"/>
    <w:rsid w:val="00A34435"/>
    <w:rsid w:val="00A347AE"/>
    <w:rsid w:val="00A349D9"/>
    <w:rsid w:val="00A34EF6"/>
    <w:rsid w:val="00A35158"/>
    <w:rsid w:val="00A3552E"/>
    <w:rsid w:val="00A358C6"/>
    <w:rsid w:val="00A35FA0"/>
    <w:rsid w:val="00A36A8A"/>
    <w:rsid w:val="00A3734A"/>
    <w:rsid w:val="00A376B1"/>
    <w:rsid w:val="00A402E7"/>
    <w:rsid w:val="00A40327"/>
    <w:rsid w:val="00A403FC"/>
    <w:rsid w:val="00A40684"/>
    <w:rsid w:val="00A406E8"/>
    <w:rsid w:val="00A407EB"/>
    <w:rsid w:val="00A408B2"/>
    <w:rsid w:val="00A40EA9"/>
    <w:rsid w:val="00A4126F"/>
    <w:rsid w:val="00A42149"/>
    <w:rsid w:val="00A421E1"/>
    <w:rsid w:val="00A42555"/>
    <w:rsid w:val="00A4271C"/>
    <w:rsid w:val="00A42834"/>
    <w:rsid w:val="00A42F2E"/>
    <w:rsid w:val="00A43A6C"/>
    <w:rsid w:val="00A43F9F"/>
    <w:rsid w:val="00A44D07"/>
    <w:rsid w:val="00A45397"/>
    <w:rsid w:val="00A453CD"/>
    <w:rsid w:val="00A45450"/>
    <w:rsid w:val="00A45A39"/>
    <w:rsid w:val="00A45BDA"/>
    <w:rsid w:val="00A45D13"/>
    <w:rsid w:val="00A466EA"/>
    <w:rsid w:val="00A46B43"/>
    <w:rsid w:val="00A50070"/>
    <w:rsid w:val="00A51352"/>
    <w:rsid w:val="00A51602"/>
    <w:rsid w:val="00A516D1"/>
    <w:rsid w:val="00A5194C"/>
    <w:rsid w:val="00A52381"/>
    <w:rsid w:val="00A526CF"/>
    <w:rsid w:val="00A5284A"/>
    <w:rsid w:val="00A5292B"/>
    <w:rsid w:val="00A5397C"/>
    <w:rsid w:val="00A54DA2"/>
    <w:rsid w:val="00A55003"/>
    <w:rsid w:val="00A55004"/>
    <w:rsid w:val="00A559BD"/>
    <w:rsid w:val="00A55B1C"/>
    <w:rsid w:val="00A55FA1"/>
    <w:rsid w:val="00A56AC0"/>
    <w:rsid w:val="00A56B7D"/>
    <w:rsid w:val="00A56B95"/>
    <w:rsid w:val="00A57513"/>
    <w:rsid w:val="00A5752A"/>
    <w:rsid w:val="00A5754A"/>
    <w:rsid w:val="00A5769F"/>
    <w:rsid w:val="00A5780D"/>
    <w:rsid w:val="00A57A65"/>
    <w:rsid w:val="00A57D63"/>
    <w:rsid w:val="00A606B6"/>
    <w:rsid w:val="00A60E57"/>
    <w:rsid w:val="00A613E4"/>
    <w:rsid w:val="00A613FE"/>
    <w:rsid w:val="00A61CB3"/>
    <w:rsid w:val="00A61CEA"/>
    <w:rsid w:val="00A62084"/>
    <w:rsid w:val="00A62878"/>
    <w:rsid w:val="00A62B5A"/>
    <w:rsid w:val="00A6370F"/>
    <w:rsid w:val="00A63C39"/>
    <w:rsid w:val="00A645B9"/>
    <w:rsid w:val="00A651EB"/>
    <w:rsid w:val="00A6545C"/>
    <w:rsid w:val="00A657FB"/>
    <w:rsid w:val="00A65B75"/>
    <w:rsid w:val="00A65E96"/>
    <w:rsid w:val="00A65F5D"/>
    <w:rsid w:val="00A65F7D"/>
    <w:rsid w:val="00A6604F"/>
    <w:rsid w:val="00A6644C"/>
    <w:rsid w:val="00A664B9"/>
    <w:rsid w:val="00A668AA"/>
    <w:rsid w:val="00A66967"/>
    <w:rsid w:val="00A66C07"/>
    <w:rsid w:val="00A66E07"/>
    <w:rsid w:val="00A67197"/>
    <w:rsid w:val="00A671D2"/>
    <w:rsid w:val="00A675CA"/>
    <w:rsid w:val="00A706B2"/>
    <w:rsid w:val="00A7088A"/>
    <w:rsid w:val="00A70BC0"/>
    <w:rsid w:val="00A70D36"/>
    <w:rsid w:val="00A70E3A"/>
    <w:rsid w:val="00A71EBA"/>
    <w:rsid w:val="00A72520"/>
    <w:rsid w:val="00A72640"/>
    <w:rsid w:val="00A7278A"/>
    <w:rsid w:val="00A727C2"/>
    <w:rsid w:val="00A73033"/>
    <w:rsid w:val="00A73491"/>
    <w:rsid w:val="00A7373C"/>
    <w:rsid w:val="00A7436C"/>
    <w:rsid w:val="00A746D7"/>
    <w:rsid w:val="00A74882"/>
    <w:rsid w:val="00A7495E"/>
    <w:rsid w:val="00A749DC"/>
    <w:rsid w:val="00A74E8D"/>
    <w:rsid w:val="00A7578C"/>
    <w:rsid w:val="00A75D31"/>
    <w:rsid w:val="00A762BB"/>
    <w:rsid w:val="00A76C0D"/>
    <w:rsid w:val="00A7751C"/>
    <w:rsid w:val="00A776B6"/>
    <w:rsid w:val="00A77E27"/>
    <w:rsid w:val="00A804E5"/>
    <w:rsid w:val="00A806A4"/>
    <w:rsid w:val="00A80E44"/>
    <w:rsid w:val="00A817D6"/>
    <w:rsid w:val="00A83F66"/>
    <w:rsid w:val="00A8577E"/>
    <w:rsid w:val="00A86026"/>
    <w:rsid w:val="00A8675D"/>
    <w:rsid w:val="00A87893"/>
    <w:rsid w:val="00A87DE6"/>
    <w:rsid w:val="00A87E64"/>
    <w:rsid w:val="00A90259"/>
    <w:rsid w:val="00A90723"/>
    <w:rsid w:val="00A91097"/>
    <w:rsid w:val="00A915C6"/>
    <w:rsid w:val="00A92371"/>
    <w:rsid w:val="00A927AA"/>
    <w:rsid w:val="00A92A54"/>
    <w:rsid w:val="00A92C5B"/>
    <w:rsid w:val="00A935A7"/>
    <w:rsid w:val="00A9374A"/>
    <w:rsid w:val="00A93D3E"/>
    <w:rsid w:val="00A93FF9"/>
    <w:rsid w:val="00A94AE3"/>
    <w:rsid w:val="00A94E9A"/>
    <w:rsid w:val="00A9532F"/>
    <w:rsid w:val="00A955E6"/>
    <w:rsid w:val="00A95F8F"/>
    <w:rsid w:val="00A96878"/>
    <w:rsid w:val="00A97048"/>
    <w:rsid w:val="00A97371"/>
    <w:rsid w:val="00A97D88"/>
    <w:rsid w:val="00A97E90"/>
    <w:rsid w:val="00AA0180"/>
    <w:rsid w:val="00AA0918"/>
    <w:rsid w:val="00AA092D"/>
    <w:rsid w:val="00AA0B90"/>
    <w:rsid w:val="00AA0DD1"/>
    <w:rsid w:val="00AA0F98"/>
    <w:rsid w:val="00AA16EA"/>
    <w:rsid w:val="00AA19FC"/>
    <w:rsid w:val="00AA20C4"/>
    <w:rsid w:val="00AA3877"/>
    <w:rsid w:val="00AA391B"/>
    <w:rsid w:val="00AA3F35"/>
    <w:rsid w:val="00AA40D7"/>
    <w:rsid w:val="00AA46C9"/>
    <w:rsid w:val="00AA48B0"/>
    <w:rsid w:val="00AA5360"/>
    <w:rsid w:val="00AA5962"/>
    <w:rsid w:val="00AA6C7D"/>
    <w:rsid w:val="00AA7C8D"/>
    <w:rsid w:val="00AB01E8"/>
    <w:rsid w:val="00AB0541"/>
    <w:rsid w:val="00AB0964"/>
    <w:rsid w:val="00AB0DA9"/>
    <w:rsid w:val="00AB0E55"/>
    <w:rsid w:val="00AB0EAE"/>
    <w:rsid w:val="00AB1958"/>
    <w:rsid w:val="00AB2B52"/>
    <w:rsid w:val="00AB2FB4"/>
    <w:rsid w:val="00AB2FDF"/>
    <w:rsid w:val="00AB3866"/>
    <w:rsid w:val="00AB3C5E"/>
    <w:rsid w:val="00AB406D"/>
    <w:rsid w:val="00AB416E"/>
    <w:rsid w:val="00AB4D0B"/>
    <w:rsid w:val="00AB4E9C"/>
    <w:rsid w:val="00AB533C"/>
    <w:rsid w:val="00AB558D"/>
    <w:rsid w:val="00AB571E"/>
    <w:rsid w:val="00AB5B2E"/>
    <w:rsid w:val="00AB6615"/>
    <w:rsid w:val="00AB688A"/>
    <w:rsid w:val="00AB6FBF"/>
    <w:rsid w:val="00AB756F"/>
    <w:rsid w:val="00AC053C"/>
    <w:rsid w:val="00AC14FD"/>
    <w:rsid w:val="00AC1602"/>
    <w:rsid w:val="00AC168D"/>
    <w:rsid w:val="00AC1908"/>
    <w:rsid w:val="00AC2728"/>
    <w:rsid w:val="00AC306F"/>
    <w:rsid w:val="00AC31D2"/>
    <w:rsid w:val="00AC4A49"/>
    <w:rsid w:val="00AC4BB9"/>
    <w:rsid w:val="00AC4F12"/>
    <w:rsid w:val="00AC4FB6"/>
    <w:rsid w:val="00AC5275"/>
    <w:rsid w:val="00AC540D"/>
    <w:rsid w:val="00AC5AD9"/>
    <w:rsid w:val="00AC62D6"/>
    <w:rsid w:val="00AC65B4"/>
    <w:rsid w:val="00AC6AF5"/>
    <w:rsid w:val="00AC6B2F"/>
    <w:rsid w:val="00AC71FE"/>
    <w:rsid w:val="00AC7F36"/>
    <w:rsid w:val="00AD0701"/>
    <w:rsid w:val="00AD2752"/>
    <w:rsid w:val="00AD3EAF"/>
    <w:rsid w:val="00AD5736"/>
    <w:rsid w:val="00AD57D5"/>
    <w:rsid w:val="00AD5C57"/>
    <w:rsid w:val="00AD5F7C"/>
    <w:rsid w:val="00AD60E0"/>
    <w:rsid w:val="00AD630E"/>
    <w:rsid w:val="00AD64AF"/>
    <w:rsid w:val="00AD6BF1"/>
    <w:rsid w:val="00AD71A6"/>
    <w:rsid w:val="00AD76E1"/>
    <w:rsid w:val="00AD78F6"/>
    <w:rsid w:val="00AD7FB2"/>
    <w:rsid w:val="00AE0372"/>
    <w:rsid w:val="00AE0F69"/>
    <w:rsid w:val="00AE1006"/>
    <w:rsid w:val="00AE1236"/>
    <w:rsid w:val="00AE1ED7"/>
    <w:rsid w:val="00AE1FB2"/>
    <w:rsid w:val="00AE2055"/>
    <w:rsid w:val="00AE21D8"/>
    <w:rsid w:val="00AE242E"/>
    <w:rsid w:val="00AE2EB8"/>
    <w:rsid w:val="00AE2F34"/>
    <w:rsid w:val="00AE4189"/>
    <w:rsid w:val="00AE4EEF"/>
    <w:rsid w:val="00AE67D8"/>
    <w:rsid w:val="00AE6873"/>
    <w:rsid w:val="00AE6CF9"/>
    <w:rsid w:val="00AF0051"/>
    <w:rsid w:val="00AF0D3A"/>
    <w:rsid w:val="00AF162E"/>
    <w:rsid w:val="00AF1814"/>
    <w:rsid w:val="00AF27E8"/>
    <w:rsid w:val="00AF336D"/>
    <w:rsid w:val="00AF33A0"/>
    <w:rsid w:val="00AF366C"/>
    <w:rsid w:val="00AF36C7"/>
    <w:rsid w:val="00AF3ACF"/>
    <w:rsid w:val="00AF3CC8"/>
    <w:rsid w:val="00AF44B5"/>
    <w:rsid w:val="00AF451A"/>
    <w:rsid w:val="00AF478E"/>
    <w:rsid w:val="00AF4ABA"/>
    <w:rsid w:val="00AF5B27"/>
    <w:rsid w:val="00AF5D09"/>
    <w:rsid w:val="00AF6DB0"/>
    <w:rsid w:val="00AF7447"/>
    <w:rsid w:val="00AF7464"/>
    <w:rsid w:val="00AF748A"/>
    <w:rsid w:val="00AF792C"/>
    <w:rsid w:val="00AF7AA9"/>
    <w:rsid w:val="00AF7DD3"/>
    <w:rsid w:val="00B001F1"/>
    <w:rsid w:val="00B00370"/>
    <w:rsid w:val="00B00567"/>
    <w:rsid w:val="00B0068B"/>
    <w:rsid w:val="00B0070F"/>
    <w:rsid w:val="00B01016"/>
    <w:rsid w:val="00B01173"/>
    <w:rsid w:val="00B01899"/>
    <w:rsid w:val="00B01C10"/>
    <w:rsid w:val="00B01D33"/>
    <w:rsid w:val="00B02830"/>
    <w:rsid w:val="00B0350F"/>
    <w:rsid w:val="00B0363A"/>
    <w:rsid w:val="00B036EE"/>
    <w:rsid w:val="00B0376A"/>
    <w:rsid w:val="00B03832"/>
    <w:rsid w:val="00B038F5"/>
    <w:rsid w:val="00B0477B"/>
    <w:rsid w:val="00B0509F"/>
    <w:rsid w:val="00B05270"/>
    <w:rsid w:val="00B0580F"/>
    <w:rsid w:val="00B0618D"/>
    <w:rsid w:val="00B06B8D"/>
    <w:rsid w:val="00B07751"/>
    <w:rsid w:val="00B07D08"/>
    <w:rsid w:val="00B10E9A"/>
    <w:rsid w:val="00B1126F"/>
    <w:rsid w:val="00B1270A"/>
    <w:rsid w:val="00B128BC"/>
    <w:rsid w:val="00B138A2"/>
    <w:rsid w:val="00B13B24"/>
    <w:rsid w:val="00B1428B"/>
    <w:rsid w:val="00B143E8"/>
    <w:rsid w:val="00B14896"/>
    <w:rsid w:val="00B149E0"/>
    <w:rsid w:val="00B15F67"/>
    <w:rsid w:val="00B16874"/>
    <w:rsid w:val="00B168D2"/>
    <w:rsid w:val="00B168D8"/>
    <w:rsid w:val="00B16EF3"/>
    <w:rsid w:val="00B17CDB"/>
    <w:rsid w:val="00B201C7"/>
    <w:rsid w:val="00B20DD0"/>
    <w:rsid w:val="00B216B2"/>
    <w:rsid w:val="00B21888"/>
    <w:rsid w:val="00B22EBA"/>
    <w:rsid w:val="00B2375F"/>
    <w:rsid w:val="00B24258"/>
    <w:rsid w:val="00B25188"/>
    <w:rsid w:val="00B260D6"/>
    <w:rsid w:val="00B2691F"/>
    <w:rsid w:val="00B26D61"/>
    <w:rsid w:val="00B26E16"/>
    <w:rsid w:val="00B27337"/>
    <w:rsid w:val="00B27688"/>
    <w:rsid w:val="00B30423"/>
    <w:rsid w:val="00B3054C"/>
    <w:rsid w:val="00B30D4E"/>
    <w:rsid w:val="00B30E76"/>
    <w:rsid w:val="00B31158"/>
    <w:rsid w:val="00B31607"/>
    <w:rsid w:val="00B31861"/>
    <w:rsid w:val="00B3186B"/>
    <w:rsid w:val="00B31BED"/>
    <w:rsid w:val="00B32264"/>
    <w:rsid w:val="00B323B9"/>
    <w:rsid w:val="00B32713"/>
    <w:rsid w:val="00B328EE"/>
    <w:rsid w:val="00B32E51"/>
    <w:rsid w:val="00B330B8"/>
    <w:rsid w:val="00B34483"/>
    <w:rsid w:val="00B3592C"/>
    <w:rsid w:val="00B359AD"/>
    <w:rsid w:val="00B35EC0"/>
    <w:rsid w:val="00B362BD"/>
    <w:rsid w:val="00B366F0"/>
    <w:rsid w:val="00B36788"/>
    <w:rsid w:val="00B367E5"/>
    <w:rsid w:val="00B368F6"/>
    <w:rsid w:val="00B3697E"/>
    <w:rsid w:val="00B37116"/>
    <w:rsid w:val="00B372B6"/>
    <w:rsid w:val="00B37737"/>
    <w:rsid w:val="00B37B70"/>
    <w:rsid w:val="00B37F37"/>
    <w:rsid w:val="00B42069"/>
    <w:rsid w:val="00B4251A"/>
    <w:rsid w:val="00B425DE"/>
    <w:rsid w:val="00B42947"/>
    <w:rsid w:val="00B42CB7"/>
    <w:rsid w:val="00B42ECE"/>
    <w:rsid w:val="00B43828"/>
    <w:rsid w:val="00B44443"/>
    <w:rsid w:val="00B447EC"/>
    <w:rsid w:val="00B44AA5"/>
    <w:rsid w:val="00B44DEE"/>
    <w:rsid w:val="00B45137"/>
    <w:rsid w:val="00B456B3"/>
    <w:rsid w:val="00B4577A"/>
    <w:rsid w:val="00B4645F"/>
    <w:rsid w:val="00B46B20"/>
    <w:rsid w:val="00B4729A"/>
    <w:rsid w:val="00B504BB"/>
    <w:rsid w:val="00B50C40"/>
    <w:rsid w:val="00B50F8C"/>
    <w:rsid w:val="00B50FD7"/>
    <w:rsid w:val="00B512AB"/>
    <w:rsid w:val="00B5148A"/>
    <w:rsid w:val="00B51702"/>
    <w:rsid w:val="00B53075"/>
    <w:rsid w:val="00B53893"/>
    <w:rsid w:val="00B53E7A"/>
    <w:rsid w:val="00B53F2E"/>
    <w:rsid w:val="00B54595"/>
    <w:rsid w:val="00B56D36"/>
    <w:rsid w:val="00B577F6"/>
    <w:rsid w:val="00B57BD5"/>
    <w:rsid w:val="00B57CA3"/>
    <w:rsid w:val="00B57CA7"/>
    <w:rsid w:val="00B60D27"/>
    <w:rsid w:val="00B60DA4"/>
    <w:rsid w:val="00B60F39"/>
    <w:rsid w:val="00B611E2"/>
    <w:rsid w:val="00B619E3"/>
    <w:rsid w:val="00B620BB"/>
    <w:rsid w:val="00B620BE"/>
    <w:rsid w:val="00B62778"/>
    <w:rsid w:val="00B62FBB"/>
    <w:rsid w:val="00B6326D"/>
    <w:rsid w:val="00B634CA"/>
    <w:rsid w:val="00B63BEE"/>
    <w:rsid w:val="00B6425A"/>
    <w:rsid w:val="00B64D53"/>
    <w:rsid w:val="00B65511"/>
    <w:rsid w:val="00B656A1"/>
    <w:rsid w:val="00B65749"/>
    <w:rsid w:val="00B659E4"/>
    <w:rsid w:val="00B65A0A"/>
    <w:rsid w:val="00B662B6"/>
    <w:rsid w:val="00B6674A"/>
    <w:rsid w:val="00B66DC8"/>
    <w:rsid w:val="00B6719B"/>
    <w:rsid w:val="00B677B5"/>
    <w:rsid w:val="00B67A6C"/>
    <w:rsid w:val="00B67EE5"/>
    <w:rsid w:val="00B7081E"/>
    <w:rsid w:val="00B70D69"/>
    <w:rsid w:val="00B71893"/>
    <w:rsid w:val="00B71946"/>
    <w:rsid w:val="00B729C5"/>
    <w:rsid w:val="00B73F2F"/>
    <w:rsid w:val="00B74688"/>
    <w:rsid w:val="00B7498B"/>
    <w:rsid w:val="00B75194"/>
    <w:rsid w:val="00B7569D"/>
    <w:rsid w:val="00B756C5"/>
    <w:rsid w:val="00B7691D"/>
    <w:rsid w:val="00B773B5"/>
    <w:rsid w:val="00B81401"/>
    <w:rsid w:val="00B81514"/>
    <w:rsid w:val="00B81A18"/>
    <w:rsid w:val="00B81DC0"/>
    <w:rsid w:val="00B8246C"/>
    <w:rsid w:val="00B82CA9"/>
    <w:rsid w:val="00B8306C"/>
    <w:rsid w:val="00B83430"/>
    <w:rsid w:val="00B8363F"/>
    <w:rsid w:val="00B844E7"/>
    <w:rsid w:val="00B85188"/>
    <w:rsid w:val="00B857AE"/>
    <w:rsid w:val="00B85CA8"/>
    <w:rsid w:val="00B85F8E"/>
    <w:rsid w:val="00B86414"/>
    <w:rsid w:val="00B8649B"/>
    <w:rsid w:val="00B8656B"/>
    <w:rsid w:val="00B87221"/>
    <w:rsid w:val="00B87ED4"/>
    <w:rsid w:val="00B90E4D"/>
    <w:rsid w:val="00B91694"/>
    <w:rsid w:val="00B91796"/>
    <w:rsid w:val="00B918D1"/>
    <w:rsid w:val="00B91F5A"/>
    <w:rsid w:val="00B9254E"/>
    <w:rsid w:val="00B9271F"/>
    <w:rsid w:val="00B9274A"/>
    <w:rsid w:val="00B928DE"/>
    <w:rsid w:val="00B933A3"/>
    <w:rsid w:val="00B9368B"/>
    <w:rsid w:val="00B93ADE"/>
    <w:rsid w:val="00B93E91"/>
    <w:rsid w:val="00B94195"/>
    <w:rsid w:val="00B948E0"/>
    <w:rsid w:val="00B94E69"/>
    <w:rsid w:val="00B95399"/>
    <w:rsid w:val="00B957E3"/>
    <w:rsid w:val="00B95A81"/>
    <w:rsid w:val="00B95CC7"/>
    <w:rsid w:val="00B9638D"/>
    <w:rsid w:val="00B96456"/>
    <w:rsid w:val="00B96C6A"/>
    <w:rsid w:val="00B97914"/>
    <w:rsid w:val="00B979FC"/>
    <w:rsid w:val="00B97F06"/>
    <w:rsid w:val="00BA0822"/>
    <w:rsid w:val="00BA09BC"/>
    <w:rsid w:val="00BA0A8A"/>
    <w:rsid w:val="00BA0BA4"/>
    <w:rsid w:val="00BA14E8"/>
    <w:rsid w:val="00BA241D"/>
    <w:rsid w:val="00BA36CC"/>
    <w:rsid w:val="00BA3E30"/>
    <w:rsid w:val="00BA4098"/>
    <w:rsid w:val="00BA46AA"/>
    <w:rsid w:val="00BA46BC"/>
    <w:rsid w:val="00BA5824"/>
    <w:rsid w:val="00BA59D5"/>
    <w:rsid w:val="00BA5C37"/>
    <w:rsid w:val="00BA6086"/>
    <w:rsid w:val="00BA61EB"/>
    <w:rsid w:val="00BA61FF"/>
    <w:rsid w:val="00BA678D"/>
    <w:rsid w:val="00BA6C30"/>
    <w:rsid w:val="00BA75D3"/>
    <w:rsid w:val="00BA78B6"/>
    <w:rsid w:val="00BA78FA"/>
    <w:rsid w:val="00BA7950"/>
    <w:rsid w:val="00BB0E0A"/>
    <w:rsid w:val="00BB178C"/>
    <w:rsid w:val="00BB2009"/>
    <w:rsid w:val="00BB2CFD"/>
    <w:rsid w:val="00BB2E08"/>
    <w:rsid w:val="00BB35BD"/>
    <w:rsid w:val="00BB39D7"/>
    <w:rsid w:val="00BB3BB1"/>
    <w:rsid w:val="00BB3C99"/>
    <w:rsid w:val="00BB3D87"/>
    <w:rsid w:val="00BB4150"/>
    <w:rsid w:val="00BB4604"/>
    <w:rsid w:val="00BB4DA5"/>
    <w:rsid w:val="00BB4F5F"/>
    <w:rsid w:val="00BB5A84"/>
    <w:rsid w:val="00BB650B"/>
    <w:rsid w:val="00BB73D6"/>
    <w:rsid w:val="00BB7419"/>
    <w:rsid w:val="00BB75D5"/>
    <w:rsid w:val="00BB7C67"/>
    <w:rsid w:val="00BC0500"/>
    <w:rsid w:val="00BC078E"/>
    <w:rsid w:val="00BC0B65"/>
    <w:rsid w:val="00BC1198"/>
    <w:rsid w:val="00BC2665"/>
    <w:rsid w:val="00BC2800"/>
    <w:rsid w:val="00BC28FC"/>
    <w:rsid w:val="00BC3A76"/>
    <w:rsid w:val="00BC425D"/>
    <w:rsid w:val="00BC495E"/>
    <w:rsid w:val="00BC4E2E"/>
    <w:rsid w:val="00BC5712"/>
    <w:rsid w:val="00BC59D5"/>
    <w:rsid w:val="00BC5EB8"/>
    <w:rsid w:val="00BC5F54"/>
    <w:rsid w:val="00BC6D01"/>
    <w:rsid w:val="00BC7817"/>
    <w:rsid w:val="00BC7A0F"/>
    <w:rsid w:val="00BC7D67"/>
    <w:rsid w:val="00BC7E90"/>
    <w:rsid w:val="00BD083D"/>
    <w:rsid w:val="00BD10DB"/>
    <w:rsid w:val="00BD1347"/>
    <w:rsid w:val="00BD1541"/>
    <w:rsid w:val="00BD3493"/>
    <w:rsid w:val="00BD3557"/>
    <w:rsid w:val="00BD3580"/>
    <w:rsid w:val="00BD4304"/>
    <w:rsid w:val="00BD4522"/>
    <w:rsid w:val="00BD4ABD"/>
    <w:rsid w:val="00BD4B0D"/>
    <w:rsid w:val="00BD4CF0"/>
    <w:rsid w:val="00BD54A2"/>
    <w:rsid w:val="00BD61C5"/>
    <w:rsid w:val="00BD653C"/>
    <w:rsid w:val="00BD66F1"/>
    <w:rsid w:val="00BD6F47"/>
    <w:rsid w:val="00BE034F"/>
    <w:rsid w:val="00BE084B"/>
    <w:rsid w:val="00BE0B01"/>
    <w:rsid w:val="00BE15DE"/>
    <w:rsid w:val="00BE1609"/>
    <w:rsid w:val="00BE1664"/>
    <w:rsid w:val="00BE1684"/>
    <w:rsid w:val="00BE176E"/>
    <w:rsid w:val="00BE1A8D"/>
    <w:rsid w:val="00BE1E7A"/>
    <w:rsid w:val="00BE2F94"/>
    <w:rsid w:val="00BE3177"/>
    <w:rsid w:val="00BE35D0"/>
    <w:rsid w:val="00BE3E81"/>
    <w:rsid w:val="00BE4D14"/>
    <w:rsid w:val="00BE558D"/>
    <w:rsid w:val="00BE6A16"/>
    <w:rsid w:val="00BE6A1B"/>
    <w:rsid w:val="00BE6F33"/>
    <w:rsid w:val="00BE727E"/>
    <w:rsid w:val="00BE7C34"/>
    <w:rsid w:val="00BF03D2"/>
    <w:rsid w:val="00BF28D5"/>
    <w:rsid w:val="00BF2FC9"/>
    <w:rsid w:val="00BF3402"/>
    <w:rsid w:val="00BF3554"/>
    <w:rsid w:val="00BF38BC"/>
    <w:rsid w:val="00BF40C9"/>
    <w:rsid w:val="00BF4B10"/>
    <w:rsid w:val="00BF4B56"/>
    <w:rsid w:val="00BF4C59"/>
    <w:rsid w:val="00BF4DC0"/>
    <w:rsid w:val="00BF668A"/>
    <w:rsid w:val="00BF7873"/>
    <w:rsid w:val="00C00945"/>
    <w:rsid w:val="00C00D62"/>
    <w:rsid w:val="00C01DA8"/>
    <w:rsid w:val="00C01F9E"/>
    <w:rsid w:val="00C02B4B"/>
    <w:rsid w:val="00C03300"/>
    <w:rsid w:val="00C03B6A"/>
    <w:rsid w:val="00C041C6"/>
    <w:rsid w:val="00C045CB"/>
    <w:rsid w:val="00C045FB"/>
    <w:rsid w:val="00C058D8"/>
    <w:rsid w:val="00C063BF"/>
    <w:rsid w:val="00C0656A"/>
    <w:rsid w:val="00C06CA0"/>
    <w:rsid w:val="00C06CFB"/>
    <w:rsid w:val="00C0747D"/>
    <w:rsid w:val="00C1001B"/>
    <w:rsid w:val="00C10245"/>
    <w:rsid w:val="00C103C1"/>
    <w:rsid w:val="00C10CBD"/>
    <w:rsid w:val="00C1169A"/>
    <w:rsid w:val="00C11A44"/>
    <w:rsid w:val="00C1208C"/>
    <w:rsid w:val="00C12916"/>
    <w:rsid w:val="00C1319B"/>
    <w:rsid w:val="00C14943"/>
    <w:rsid w:val="00C149FA"/>
    <w:rsid w:val="00C14DD5"/>
    <w:rsid w:val="00C15A2C"/>
    <w:rsid w:val="00C1606E"/>
    <w:rsid w:val="00C17B0C"/>
    <w:rsid w:val="00C17E24"/>
    <w:rsid w:val="00C22327"/>
    <w:rsid w:val="00C2288F"/>
    <w:rsid w:val="00C2299D"/>
    <w:rsid w:val="00C235F8"/>
    <w:rsid w:val="00C23F07"/>
    <w:rsid w:val="00C246A8"/>
    <w:rsid w:val="00C24977"/>
    <w:rsid w:val="00C2502B"/>
    <w:rsid w:val="00C25F27"/>
    <w:rsid w:val="00C260D5"/>
    <w:rsid w:val="00C264AE"/>
    <w:rsid w:val="00C306A1"/>
    <w:rsid w:val="00C31481"/>
    <w:rsid w:val="00C31E20"/>
    <w:rsid w:val="00C32415"/>
    <w:rsid w:val="00C32AD1"/>
    <w:rsid w:val="00C33343"/>
    <w:rsid w:val="00C3380A"/>
    <w:rsid w:val="00C33972"/>
    <w:rsid w:val="00C34825"/>
    <w:rsid w:val="00C3570B"/>
    <w:rsid w:val="00C35933"/>
    <w:rsid w:val="00C36077"/>
    <w:rsid w:val="00C36279"/>
    <w:rsid w:val="00C36FC5"/>
    <w:rsid w:val="00C401A9"/>
    <w:rsid w:val="00C40301"/>
    <w:rsid w:val="00C40543"/>
    <w:rsid w:val="00C40ADD"/>
    <w:rsid w:val="00C41203"/>
    <w:rsid w:val="00C41D5A"/>
    <w:rsid w:val="00C429F1"/>
    <w:rsid w:val="00C42B40"/>
    <w:rsid w:val="00C443D5"/>
    <w:rsid w:val="00C44B30"/>
    <w:rsid w:val="00C44CF1"/>
    <w:rsid w:val="00C45211"/>
    <w:rsid w:val="00C4549D"/>
    <w:rsid w:val="00C45545"/>
    <w:rsid w:val="00C4555C"/>
    <w:rsid w:val="00C457B7"/>
    <w:rsid w:val="00C4590B"/>
    <w:rsid w:val="00C459A7"/>
    <w:rsid w:val="00C45AEF"/>
    <w:rsid w:val="00C45E4E"/>
    <w:rsid w:val="00C461E5"/>
    <w:rsid w:val="00C46585"/>
    <w:rsid w:val="00C465E6"/>
    <w:rsid w:val="00C4682D"/>
    <w:rsid w:val="00C471BD"/>
    <w:rsid w:val="00C476D0"/>
    <w:rsid w:val="00C47760"/>
    <w:rsid w:val="00C47791"/>
    <w:rsid w:val="00C50A7E"/>
    <w:rsid w:val="00C519A2"/>
    <w:rsid w:val="00C51C92"/>
    <w:rsid w:val="00C520BB"/>
    <w:rsid w:val="00C52214"/>
    <w:rsid w:val="00C524C3"/>
    <w:rsid w:val="00C52A2A"/>
    <w:rsid w:val="00C541E3"/>
    <w:rsid w:val="00C542CD"/>
    <w:rsid w:val="00C54648"/>
    <w:rsid w:val="00C5550A"/>
    <w:rsid w:val="00C55534"/>
    <w:rsid w:val="00C5623F"/>
    <w:rsid w:val="00C56356"/>
    <w:rsid w:val="00C56C40"/>
    <w:rsid w:val="00C56EA3"/>
    <w:rsid w:val="00C576B6"/>
    <w:rsid w:val="00C57752"/>
    <w:rsid w:val="00C6076F"/>
    <w:rsid w:val="00C608E0"/>
    <w:rsid w:val="00C609C2"/>
    <w:rsid w:val="00C60E85"/>
    <w:rsid w:val="00C61BA5"/>
    <w:rsid w:val="00C62064"/>
    <w:rsid w:val="00C620BF"/>
    <w:rsid w:val="00C62503"/>
    <w:rsid w:val="00C62998"/>
    <w:rsid w:val="00C637E5"/>
    <w:rsid w:val="00C63DC0"/>
    <w:rsid w:val="00C640A2"/>
    <w:rsid w:val="00C6496A"/>
    <w:rsid w:val="00C64A66"/>
    <w:rsid w:val="00C64CDA"/>
    <w:rsid w:val="00C64F38"/>
    <w:rsid w:val="00C65E9B"/>
    <w:rsid w:val="00C66824"/>
    <w:rsid w:val="00C6689E"/>
    <w:rsid w:val="00C6766D"/>
    <w:rsid w:val="00C67B43"/>
    <w:rsid w:val="00C67FC4"/>
    <w:rsid w:val="00C701EF"/>
    <w:rsid w:val="00C70572"/>
    <w:rsid w:val="00C70CFA"/>
    <w:rsid w:val="00C710CD"/>
    <w:rsid w:val="00C71359"/>
    <w:rsid w:val="00C71390"/>
    <w:rsid w:val="00C71BB3"/>
    <w:rsid w:val="00C71FCA"/>
    <w:rsid w:val="00C723BF"/>
    <w:rsid w:val="00C724A9"/>
    <w:rsid w:val="00C72567"/>
    <w:rsid w:val="00C725FA"/>
    <w:rsid w:val="00C73254"/>
    <w:rsid w:val="00C7330C"/>
    <w:rsid w:val="00C73383"/>
    <w:rsid w:val="00C734F9"/>
    <w:rsid w:val="00C735E9"/>
    <w:rsid w:val="00C74977"/>
    <w:rsid w:val="00C74A0F"/>
    <w:rsid w:val="00C74C2F"/>
    <w:rsid w:val="00C75215"/>
    <w:rsid w:val="00C75985"/>
    <w:rsid w:val="00C7763F"/>
    <w:rsid w:val="00C77851"/>
    <w:rsid w:val="00C77AA3"/>
    <w:rsid w:val="00C77B1F"/>
    <w:rsid w:val="00C80BAE"/>
    <w:rsid w:val="00C80CF3"/>
    <w:rsid w:val="00C816D8"/>
    <w:rsid w:val="00C8180D"/>
    <w:rsid w:val="00C8192C"/>
    <w:rsid w:val="00C823AF"/>
    <w:rsid w:val="00C824FD"/>
    <w:rsid w:val="00C83F13"/>
    <w:rsid w:val="00C843BB"/>
    <w:rsid w:val="00C84850"/>
    <w:rsid w:val="00C84AA3"/>
    <w:rsid w:val="00C86772"/>
    <w:rsid w:val="00C87979"/>
    <w:rsid w:val="00C87ACA"/>
    <w:rsid w:val="00C90025"/>
    <w:rsid w:val="00C90312"/>
    <w:rsid w:val="00C904E1"/>
    <w:rsid w:val="00C907DD"/>
    <w:rsid w:val="00C90BED"/>
    <w:rsid w:val="00C90D9A"/>
    <w:rsid w:val="00C90DCC"/>
    <w:rsid w:val="00C911BC"/>
    <w:rsid w:val="00C91820"/>
    <w:rsid w:val="00C919B8"/>
    <w:rsid w:val="00C91BD0"/>
    <w:rsid w:val="00C92256"/>
    <w:rsid w:val="00C92375"/>
    <w:rsid w:val="00C928E8"/>
    <w:rsid w:val="00C928F1"/>
    <w:rsid w:val="00C93184"/>
    <w:rsid w:val="00C93217"/>
    <w:rsid w:val="00C94BBA"/>
    <w:rsid w:val="00C94C34"/>
    <w:rsid w:val="00C9504C"/>
    <w:rsid w:val="00C954BA"/>
    <w:rsid w:val="00C95704"/>
    <w:rsid w:val="00C959DB"/>
    <w:rsid w:val="00C95A94"/>
    <w:rsid w:val="00C95C0C"/>
    <w:rsid w:val="00C96C02"/>
    <w:rsid w:val="00C972B4"/>
    <w:rsid w:val="00C9738C"/>
    <w:rsid w:val="00C9761A"/>
    <w:rsid w:val="00CA0295"/>
    <w:rsid w:val="00CA06C2"/>
    <w:rsid w:val="00CA169E"/>
    <w:rsid w:val="00CA1AF9"/>
    <w:rsid w:val="00CA1C79"/>
    <w:rsid w:val="00CA2CE6"/>
    <w:rsid w:val="00CA2DC5"/>
    <w:rsid w:val="00CA3924"/>
    <w:rsid w:val="00CA3E4D"/>
    <w:rsid w:val="00CA3F91"/>
    <w:rsid w:val="00CA4316"/>
    <w:rsid w:val="00CA4622"/>
    <w:rsid w:val="00CA4794"/>
    <w:rsid w:val="00CA49F2"/>
    <w:rsid w:val="00CA4AD7"/>
    <w:rsid w:val="00CA56A3"/>
    <w:rsid w:val="00CA56D2"/>
    <w:rsid w:val="00CA578D"/>
    <w:rsid w:val="00CA643D"/>
    <w:rsid w:val="00CA6F79"/>
    <w:rsid w:val="00CA7B26"/>
    <w:rsid w:val="00CB00B1"/>
    <w:rsid w:val="00CB06EA"/>
    <w:rsid w:val="00CB1F01"/>
    <w:rsid w:val="00CB275E"/>
    <w:rsid w:val="00CB4887"/>
    <w:rsid w:val="00CB4AE5"/>
    <w:rsid w:val="00CB4DD6"/>
    <w:rsid w:val="00CB5246"/>
    <w:rsid w:val="00CB5253"/>
    <w:rsid w:val="00CB530D"/>
    <w:rsid w:val="00CB543F"/>
    <w:rsid w:val="00CB5BC5"/>
    <w:rsid w:val="00CB5FAC"/>
    <w:rsid w:val="00CB627D"/>
    <w:rsid w:val="00CB652C"/>
    <w:rsid w:val="00CB7E95"/>
    <w:rsid w:val="00CB7FA5"/>
    <w:rsid w:val="00CC18CB"/>
    <w:rsid w:val="00CC231D"/>
    <w:rsid w:val="00CC241F"/>
    <w:rsid w:val="00CC271F"/>
    <w:rsid w:val="00CC33A4"/>
    <w:rsid w:val="00CC368C"/>
    <w:rsid w:val="00CC37A5"/>
    <w:rsid w:val="00CC37DD"/>
    <w:rsid w:val="00CC3D0C"/>
    <w:rsid w:val="00CC433B"/>
    <w:rsid w:val="00CC44FF"/>
    <w:rsid w:val="00CC4AA6"/>
    <w:rsid w:val="00CC5D65"/>
    <w:rsid w:val="00CC638B"/>
    <w:rsid w:val="00CC7AFD"/>
    <w:rsid w:val="00CD0411"/>
    <w:rsid w:val="00CD079C"/>
    <w:rsid w:val="00CD089D"/>
    <w:rsid w:val="00CD0BD0"/>
    <w:rsid w:val="00CD118A"/>
    <w:rsid w:val="00CD1221"/>
    <w:rsid w:val="00CD12A9"/>
    <w:rsid w:val="00CD14B2"/>
    <w:rsid w:val="00CD1941"/>
    <w:rsid w:val="00CD1A94"/>
    <w:rsid w:val="00CD1B27"/>
    <w:rsid w:val="00CD1CC0"/>
    <w:rsid w:val="00CD1FA8"/>
    <w:rsid w:val="00CD2547"/>
    <w:rsid w:val="00CD3750"/>
    <w:rsid w:val="00CD426C"/>
    <w:rsid w:val="00CD43F9"/>
    <w:rsid w:val="00CD53EC"/>
    <w:rsid w:val="00CD5B23"/>
    <w:rsid w:val="00CD5EE1"/>
    <w:rsid w:val="00CD60D6"/>
    <w:rsid w:val="00CD64A4"/>
    <w:rsid w:val="00CD650B"/>
    <w:rsid w:val="00CD6C0E"/>
    <w:rsid w:val="00CD7187"/>
    <w:rsid w:val="00CD7377"/>
    <w:rsid w:val="00CD76E1"/>
    <w:rsid w:val="00CD7834"/>
    <w:rsid w:val="00CD7F82"/>
    <w:rsid w:val="00CE0721"/>
    <w:rsid w:val="00CE0A99"/>
    <w:rsid w:val="00CE13CD"/>
    <w:rsid w:val="00CE20F7"/>
    <w:rsid w:val="00CE26E1"/>
    <w:rsid w:val="00CE290C"/>
    <w:rsid w:val="00CE37B4"/>
    <w:rsid w:val="00CE3C77"/>
    <w:rsid w:val="00CE5321"/>
    <w:rsid w:val="00CE561B"/>
    <w:rsid w:val="00CE6C09"/>
    <w:rsid w:val="00CE71DE"/>
    <w:rsid w:val="00CE7251"/>
    <w:rsid w:val="00CE78AD"/>
    <w:rsid w:val="00CE7AE9"/>
    <w:rsid w:val="00CF0410"/>
    <w:rsid w:val="00CF0669"/>
    <w:rsid w:val="00CF1167"/>
    <w:rsid w:val="00CF1779"/>
    <w:rsid w:val="00CF2A11"/>
    <w:rsid w:val="00CF2C40"/>
    <w:rsid w:val="00CF2CBC"/>
    <w:rsid w:val="00CF2D8C"/>
    <w:rsid w:val="00CF3A3E"/>
    <w:rsid w:val="00CF3B75"/>
    <w:rsid w:val="00CF4BE6"/>
    <w:rsid w:val="00CF4F88"/>
    <w:rsid w:val="00CF53DF"/>
    <w:rsid w:val="00CF58BC"/>
    <w:rsid w:val="00CF5C25"/>
    <w:rsid w:val="00CF6B50"/>
    <w:rsid w:val="00CF7D4F"/>
    <w:rsid w:val="00D003AF"/>
    <w:rsid w:val="00D00A8A"/>
    <w:rsid w:val="00D0147F"/>
    <w:rsid w:val="00D01C12"/>
    <w:rsid w:val="00D02837"/>
    <w:rsid w:val="00D02EE1"/>
    <w:rsid w:val="00D03289"/>
    <w:rsid w:val="00D03581"/>
    <w:rsid w:val="00D036C7"/>
    <w:rsid w:val="00D0436F"/>
    <w:rsid w:val="00D043CF"/>
    <w:rsid w:val="00D0546B"/>
    <w:rsid w:val="00D05735"/>
    <w:rsid w:val="00D05885"/>
    <w:rsid w:val="00D0634C"/>
    <w:rsid w:val="00D063B9"/>
    <w:rsid w:val="00D064C0"/>
    <w:rsid w:val="00D066D7"/>
    <w:rsid w:val="00D07151"/>
    <w:rsid w:val="00D072C2"/>
    <w:rsid w:val="00D07405"/>
    <w:rsid w:val="00D075DA"/>
    <w:rsid w:val="00D07655"/>
    <w:rsid w:val="00D07D12"/>
    <w:rsid w:val="00D07FEE"/>
    <w:rsid w:val="00D102D0"/>
    <w:rsid w:val="00D107BF"/>
    <w:rsid w:val="00D10A74"/>
    <w:rsid w:val="00D10BD4"/>
    <w:rsid w:val="00D10EBB"/>
    <w:rsid w:val="00D11CAD"/>
    <w:rsid w:val="00D11E84"/>
    <w:rsid w:val="00D123D1"/>
    <w:rsid w:val="00D1247E"/>
    <w:rsid w:val="00D13ED7"/>
    <w:rsid w:val="00D14877"/>
    <w:rsid w:val="00D155D4"/>
    <w:rsid w:val="00D16E0B"/>
    <w:rsid w:val="00D1762D"/>
    <w:rsid w:val="00D1767D"/>
    <w:rsid w:val="00D17B4B"/>
    <w:rsid w:val="00D2133E"/>
    <w:rsid w:val="00D215F9"/>
    <w:rsid w:val="00D219CC"/>
    <w:rsid w:val="00D23447"/>
    <w:rsid w:val="00D238BE"/>
    <w:rsid w:val="00D23FAE"/>
    <w:rsid w:val="00D24A27"/>
    <w:rsid w:val="00D24A50"/>
    <w:rsid w:val="00D25678"/>
    <w:rsid w:val="00D25B06"/>
    <w:rsid w:val="00D25D2C"/>
    <w:rsid w:val="00D25F8F"/>
    <w:rsid w:val="00D26382"/>
    <w:rsid w:val="00D263DD"/>
    <w:rsid w:val="00D2693C"/>
    <w:rsid w:val="00D27009"/>
    <w:rsid w:val="00D27701"/>
    <w:rsid w:val="00D279E1"/>
    <w:rsid w:val="00D27F9D"/>
    <w:rsid w:val="00D309EF"/>
    <w:rsid w:val="00D30D2F"/>
    <w:rsid w:val="00D31D69"/>
    <w:rsid w:val="00D32963"/>
    <w:rsid w:val="00D329B9"/>
    <w:rsid w:val="00D32E61"/>
    <w:rsid w:val="00D34519"/>
    <w:rsid w:val="00D351B8"/>
    <w:rsid w:val="00D356E6"/>
    <w:rsid w:val="00D359BF"/>
    <w:rsid w:val="00D35E75"/>
    <w:rsid w:val="00D36000"/>
    <w:rsid w:val="00D36065"/>
    <w:rsid w:val="00D3621A"/>
    <w:rsid w:val="00D364D3"/>
    <w:rsid w:val="00D36960"/>
    <w:rsid w:val="00D36ADA"/>
    <w:rsid w:val="00D36C4B"/>
    <w:rsid w:val="00D36DDF"/>
    <w:rsid w:val="00D36E03"/>
    <w:rsid w:val="00D374E9"/>
    <w:rsid w:val="00D37F40"/>
    <w:rsid w:val="00D4025D"/>
    <w:rsid w:val="00D40BE4"/>
    <w:rsid w:val="00D40CBD"/>
    <w:rsid w:val="00D411CA"/>
    <w:rsid w:val="00D412EF"/>
    <w:rsid w:val="00D42583"/>
    <w:rsid w:val="00D440A1"/>
    <w:rsid w:val="00D45424"/>
    <w:rsid w:val="00D46275"/>
    <w:rsid w:val="00D471E5"/>
    <w:rsid w:val="00D475AE"/>
    <w:rsid w:val="00D47AFB"/>
    <w:rsid w:val="00D47BDB"/>
    <w:rsid w:val="00D50705"/>
    <w:rsid w:val="00D51157"/>
    <w:rsid w:val="00D5197A"/>
    <w:rsid w:val="00D51B8F"/>
    <w:rsid w:val="00D52D38"/>
    <w:rsid w:val="00D52DEF"/>
    <w:rsid w:val="00D53294"/>
    <w:rsid w:val="00D53439"/>
    <w:rsid w:val="00D540CC"/>
    <w:rsid w:val="00D5430E"/>
    <w:rsid w:val="00D546AD"/>
    <w:rsid w:val="00D5546F"/>
    <w:rsid w:val="00D55A28"/>
    <w:rsid w:val="00D563F6"/>
    <w:rsid w:val="00D56C6E"/>
    <w:rsid w:val="00D56DAA"/>
    <w:rsid w:val="00D56E6F"/>
    <w:rsid w:val="00D56EB7"/>
    <w:rsid w:val="00D572F8"/>
    <w:rsid w:val="00D5778A"/>
    <w:rsid w:val="00D577D6"/>
    <w:rsid w:val="00D57AC9"/>
    <w:rsid w:val="00D57B59"/>
    <w:rsid w:val="00D601E3"/>
    <w:rsid w:val="00D602F0"/>
    <w:rsid w:val="00D60905"/>
    <w:rsid w:val="00D60B20"/>
    <w:rsid w:val="00D60D4D"/>
    <w:rsid w:val="00D61254"/>
    <w:rsid w:val="00D61432"/>
    <w:rsid w:val="00D6159F"/>
    <w:rsid w:val="00D61D50"/>
    <w:rsid w:val="00D63122"/>
    <w:rsid w:val="00D6313F"/>
    <w:rsid w:val="00D63187"/>
    <w:rsid w:val="00D631E8"/>
    <w:rsid w:val="00D6363A"/>
    <w:rsid w:val="00D638C8"/>
    <w:rsid w:val="00D63DE7"/>
    <w:rsid w:val="00D645A7"/>
    <w:rsid w:val="00D64659"/>
    <w:rsid w:val="00D64FE5"/>
    <w:rsid w:val="00D6584C"/>
    <w:rsid w:val="00D66AD1"/>
    <w:rsid w:val="00D673EA"/>
    <w:rsid w:val="00D67A91"/>
    <w:rsid w:val="00D70650"/>
    <w:rsid w:val="00D70B9D"/>
    <w:rsid w:val="00D70EEE"/>
    <w:rsid w:val="00D70FC1"/>
    <w:rsid w:val="00D710DE"/>
    <w:rsid w:val="00D71FF8"/>
    <w:rsid w:val="00D72FE4"/>
    <w:rsid w:val="00D73231"/>
    <w:rsid w:val="00D73345"/>
    <w:rsid w:val="00D73AB8"/>
    <w:rsid w:val="00D73DCD"/>
    <w:rsid w:val="00D73F05"/>
    <w:rsid w:val="00D74BA2"/>
    <w:rsid w:val="00D74C19"/>
    <w:rsid w:val="00D74FC2"/>
    <w:rsid w:val="00D760BF"/>
    <w:rsid w:val="00D7614D"/>
    <w:rsid w:val="00D7622C"/>
    <w:rsid w:val="00D764B4"/>
    <w:rsid w:val="00D76743"/>
    <w:rsid w:val="00D768FE"/>
    <w:rsid w:val="00D770DC"/>
    <w:rsid w:val="00D81179"/>
    <w:rsid w:val="00D81229"/>
    <w:rsid w:val="00D82795"/>
    <w:rsid w:val="00D827F6"/>
    <w:rsid w:val="00D8306E"/>
    <w:rsid w:val="00D83E86"/>
    <w:rsid w:val="00D84B43"/>
    <w:rsid w:val="00D84C38"/>
    <w:rsid w:val="00D84DE3"/>
    <w:rsid w:val="00D85558"/>
    <w:rsid w:val="00D8559C"/>
    <w:rsid w:val="00D85B92"/>
    <w:rsid w:val="00D85EFB"/>
    <w:rsid w:val="00D86A10"/>
    <w:rsid w:val="00D8772B"/>
    <w:rsid w:val="00D9001F"/>
    <w:rsid w:val="00D901BF"/>
    <w:rsid w:val="00D90988"/>
    <w:rsid w:val="00D91688"/>
    <w:rsid w:val="00D917AC"/>
    <w:rsid w:val="00D92138"/>
    <w:rsid w:val="00D923B1"/>
    <w:rsid w:val="00D925FC"/>
    <w:rsid w:val="00D92688"/>
    <w:rsid w:val="00D92C52"/>
    <w:rsid w:val="00D938FC"/>
    <w:rsid w:val="00D93A0E"/>
    <w:rsid w:val="00D93CEF"/>
    <w:rsid w:val="00D944F7"/>
    <w:rsid w:val="00D9463F"/>
    <w:rsid w:val="00D94749"/>
    <w:rsid w:val="00D94FA2"/>
    <w:rsid w:val="00D955D1"/>
    <w:rsid w:val="00D957C6"/>
    <w:rsid w:val="00D97913"/>
    <w:rsid w:val="00D979A1"/>
    <w:rsid w:val="00D97F81"/>
    <w:rsid w:val="00DA0D9A"/>
    <w:rsid w:val="00DA1117"/>
    <w:rsid w:val="00DA1D4F"/>
    <w:rsid w:val="00DA2040"/>
    <w:rsid w:val="00DA275B"/>
    <w:rsid w:val="00DA3CAD"/>
    <w:rsid w:val="00DA483C"/>
    <w:rsid w:val="00DA4E52"/>
    <w:rsid w:val="00DA5519"/>
    <w:rsid w:val="00DA5966"/>
    <w:rsid w:val="00DA5BBC"/>
    <w:rsid w:val="00DA6069"/>
    <w:rsid w:val="00DA6699"/>
    <w:rsid w:val="00DA680F"/>
    <w:rsid w:val="00DA6AAB"/>
    <w:rsid w:val="00DA6AE2"/>
    <w:rsid w:val="00DA6D7F"/>
    <w:rsid w:val="00DA6DAE"/>
    <w:rsid w:val="00DA701D"/>
    <w:rsid w:val="00DA75DC"/>
    <w:rsid w:val="00DA79D3"/>
    <w:rsid w:val="00DA7ADD"/>
    <w:rsid w:val="00DA7B23"/>
    <w:rsid w:val="00DB0419"/>
    <w:rsid w:val="00DB084C"/>
    <w:rsid w:val="00DB09A2"/>
    <w:rsid w:val="00DB1526"/>
    <w:rsid w:val="00DB1EFD"/>
    <w:rsid w:val="00DB20BD"/>
    <w:rsid w:val="00DB2B35"/>
    <w:rsid w:val="00DB307B"/>
    <w:rsid w:val="00DB3089"/>
    <w:rsid w:val="00DB3318"/>
    <w:rsid w:val="00DB3414"/>
    <w:rsid w:val="00DB3DCD"/>
    <w:rsid w:val="00DB480F"/>
    <w:rsid w:val="00DB50C4"/>
    <w:rsid w:val="00DB53F1"/>
    <w:rsid w:val="00DB62BD"/>
    <w:rsid w:val="00DB68A6"/>
    <w:rsid w:val="00DB6D78"/>
    <w:rsid w:val="00DB6FC0"/>
    <w:rsid w:val="00DB7264"/>
    <w:rsid w:val="00DB75A5"/>
    <w:rsid w:val="00DB78D3"/>
    <w:rsid w:val="00DC05E8"/>
    <w:rsid w:val="00DC087A"/>
    <w:rsid w:val="00DC0994"/>
    <w:rsid w:val="00DC0D57"/>
    <w:rsid w:val="00DC1A02"/>
    <w:rsid w:val="00DC272D"/>
    <w:rsid w:val="00DC2EB4"/>
    <w:rsid w:val="00DC3A2E"/>
    <w:rsid w:val="00DC3A96"/>
    <w:rsid w:val="00DC4385"/>
    <w:rsid w:val="00DC43AA"/>
    <w:rsid w:val="00DC4669"/>
    <w:rsid w:val="00DC49D6"/>
    <w:rsid w:val="00DC4C2F"/>
    <w:rsid w:val="00DC522E"/>
    <w:rsid w:val="00DC5491"/>
    <w:rsid w:val="00DC5BBE"/>
    <w:rsid w:val="00DC5BEE"/>
    <w:rsid w:val="00DC5EBE"/>
    <w:rsid w:val="00DC6D20"/>
    <w:rsid w:val="00DC6FD8"/>
    <w:rsid w:val="00DC703F"/>
    <w:rsid w:val="00DC70EE"/>
    <w:rsid w:val="00DC7218"/>
    <w:rsid w:val="00DC729E"/>
    <w:rsid w:val="00DC72DD"/>
    <w:rsid w:val="00DC73F4"/>
    <w:rsid w:val="00DC76DA"/>
    <w:rsid w:val="00DD00C1"/>
    <w:rsid w:val="00DD02E3"/>
    <w:rsid w:val="00DD0531"/>
    <w:rsid w:val="00DD11E1"/>
    <w:rsid w:val="00DD1876"/>
    <w:rsid w:val="00DD25A0"/>
    <w:rsid w:val="00DD2647"/>
    <w:rsid w:val="00DD3C9E"/>
    <w:rsid w:val="00DD3DB2"/>
    <w:rsid w:val="00DD401E"/>
    <w:rsid w:val="00DD420A"/>
    <w:rsid w:val="00DD4485"/>
    <w:rsid w:val="00DD4B37"/>
    <w:rsid w:val="00DD5B39"/>
    <w:rsid w:val="00DD5D48"/>
    <w:rsid w:val="00DD61AE"/>
    <w:rsid w:val="00DD69A7"/>
    <w:rsid w:val="00DD6D7F"/>
    <w:rsid w:val="00DD72BF"/>
    <w:rsid w:val="00DD7EC1"/>
    <w:rsid w:val="00DE0B23"/>
    <w:rsid w:val="00DE1175"/>
    <w:rsid w:val="00DE182B"/>
    <w:rsid w:val="00DE185D"/>
    <w:rsid w:val="00DE18C9"/>
    <w:rsid w:val="00DE1A21"/>
    <w:rsid w:val="00DE1C09"/>
    <w:rsid w:val="00DE1D80"/>
    <w:rsid w:val="00DE22D9"/>
    <w:rsid w:val="00DE2366"/>
    <w:rsid w:val="00DE2382"/>
    <w:rsid w:val="00DE23D3"/>
    <w:rsid w:val="00DE380E"/>
    <w:rsid w:val="00DE3B18"/>
    <w:rsid w:val="00DE4C7A"/>
    <w:rsid w:val="00DE4D0F"/>
    <w:rsid w:val="00DE4F67"/>
    <w:rsid w:val="00DE51AD"/>
    <w:rsid w:val="00DE51E6"/>
    <w:rsid w:val="00DE5AAE"/>
    <w:rsid w:val="00DE60BD"/>
    <w:rsid w:val="00DE69CA"/>
    <w:rsid w:val="00DE77A9"/>
    <w:rsid w:val="00DE7A8E"/>
    <w:rsid w:val="00DE7D56"/>
    <w:rsid w:val="00DF0490"/>
    <w:rsid w:val="00DF116D"/>
    <w:rsid w:val="00DF1213"/>
    <w:rsid w:val="00DF1556"/>
    <w:rsid w:val="00DF1CFD"/>
    <w:rsid w:val="00DF201A"/>
    <w:rsid w:val="00DF23FB"/>
    <w:rsid w:val="00DF264D"/>
    <w:rsid w:val="00DF29A1"/>
    <w:rsid w:val="00DF2B1A"/>
    <w:rsid w:val="00DF2E41"/>
    <w:rsid w:val="00DF33D0"/>
    <w:rsid w:val="00DF4883"/>
    <w:rsid w:val="00DF4A92"/>
    <w:rsid w:val="00DF55D5"/>
    <w:rsid w:val="00DF5B1A"/>
    <w:rsid w:val="00DF5C2B"/>
    <w:rsid w:val="00DF5CFD"/>
    <w:rsid w:val="00DF5F68"/>
    <w:rsid w:val="00DF6274"/>
    <w:rsid w:val="00DF7C9C"/>
    <w:rsid w:val="00DF7FB5"/>
    <w:rsid w:val="00E0097D"/>
    <w:rsid w:val="00E00BBC"/>
    <w:rsid w:val="00E00EE3"/>
    <w:rsid w:val="00E0122D"/>
    <w:rsid w:val="00E01343"/>
    <w:rsid w:val="00E017DE"/>
    <w:rsid w:val="00E0191B"/>
    <w:rsid w:val="00E01CA7"/>
    <w:rsid w:val="00E01EC1"/>
    <w:rsid w:val="00E02DA3"/>
    <w:rsid w:val="00E02FF0"/>
    <w:rsid w:val="00E030EA"/>
    <w:rsid w:val="00E03F67"/>
    <w:rsid w:val="00E03FD9"/>
    <w:rsid w:val="00E04686"/>
    <w:rsid w:val="00E04806"/>
    <w:rsid w:val="00E04A2C"/>
    <w:rsid w:val="00E04CB3"/>
    <w:rsid w:val="00E055BA"/>
    <w:rsid w:val="00E063B4"/>
    <w:rsid w:val="00E06458"/>
    <w:rsid w:val="00E066DB"/>
    <w:rsid w:val="00E06898"/>
    <w:rsid w:val="00E0748B"/>
    <w:rsid w:val="00E074AC"/>
    <w:rsid w:val="00E07627"/>
    <w:rsid w:val="00E07A36"/>
    <w:rsid w:val="00E07D9A"/>
    <w:rsid w:val="00E07E46"/>
    <w:rsid w:val="00E10974"/>
    <w:rsid w:val="00E1107A"/>
    <w:rsid w:val="00E1120E"/>
    <w:rsid w:val="00E11CDA"/>
    <w:rsid w:val="00E11EBF"/>
    <w:rsid w:val="00E120F7"/>
    <w:rsid w:val="00E121D4"/>
    <w:rsid w:val="00E129A9"/>
    <w:rsid w:val="00E13EC5"/>
    <w:rsid w:val="00E14871"/>
    <w:rsid w:val="00E15F4F"/>
    <w:rsid w:val="00E16201"/>
    <w:rsid w:val="00E1620E"/>
    <w:rsid w:val="00E16DC4"/>
    <w:rsid w:val="00E16E39"/>
    <w:rsid w:val="00E16EC8"/>
    <w:rsid w:val="00E178BE"/>
    <w:rsid w:val="00E17F17"/>
    <w:rsid w:val="00E21592"/>
    <w:rsid w:val="00E21758"/>
    <w:rsid w:val="00E21F70"/>
    <w:rsid w:val="00E23094"/>
    <w:rsid w:val="00E232AA"/>
    <w:rsid w:val="00E242D4"/>
    <w:rsid w:val="00E24889"/>
    <w:rsid w:val="00E248AE"/>
    <w:rsid w:val="00E248C9"/>
    <w:rsid w:val="00E24AD1"/>
    <w:rsid w:val="00E24BBC"/>
    <w:rsid w:val="00E25156"/>
    <w:rsid w:val="00E25F8E"/>
    <w:rsid w:val="00E26AC8"/>
    <w:rsid w:val="00E26F63"/>
    <w:rsid w:val="00E26F6B"/>
    <w:rsid w:val="00E273AE"/>
    <w:rsid w:val="00E27902"/>
    <w:rsid w:val="00E27922"/>
    <w:rsid w:val="00E27F6D"/>
    <w:rsid w:val="00E30548"/>
    <w:rsid w:val="00E30AE0"/>
    <w:rsid w:val="00E310AE"/>
    <w:rsid w:val="00E31163"/>
    <w:rsid w:val="00E31894"/>
    <w:rsid w:val="00E32244"/>
    <w:rsid w:val="00E32DDF"/>
    <w:rsid w:val="00E32EA7"/>
    <w:rsid w:val="00E331BF"/>
    <w:rsid w:val="00E33CE0"/>
    <w:rsid w:val="00E3438F"/>
    <w:rsid w:val="00E34ADA"/>
    <w:rsid w:val="00E34D47"/>
    <w:rsid w:val="00E359DC"/>
    <w:rsid w:val="00E35E11"/>
    <w:rsid w:val="00E36568"/>
    <w:rsid w:val="00E366C3"/>
    <w:rsid w:val="00E371BA"/>
    <w:rsid w:val="00E37B90"/>
    <w:rsid w:val="00E37BAF"/>
    <w:rsid w:val="00E4007F"/>
    <w:rsid w:val="00E404C6"/>
    <w:rsid w:val="00E406DE"/>
    <w:rsid w:val="00E40867"/>
    <w:rsid w:val="00E40B49"/>
    <w:rsid w:val="00E40F77"/>
    <w:rsid w:val="00E4119D"/>
    <w:rsid w:val="00E4131F"/>
    <w:rsid w:val="00E4193E"/>
    <w:rsid w:val="00E41F86"/>
    <w:rsid w:val="00E42033"/>
    <w:rsid w:val="00E422E1"/>
    <w:rsid w:val="00E42EA0"/>
    <w:rsid w:val="00E42EBA"/>
    <w:rsid w:val="00E430B1"/>
    <w:rsid w:val="00E430DE"/>
    <w:rsid w:val="00E43617"/>
    <w:rsid w:val="00E43654"/>
    <w:rsid w:val="00E43E56"/>
    <w:rsid w:val="00E44D60"/>
    <w:rsid w:val="00E4529F"/>
    <w:rsid w:val="00E467D9"/>
    <w:rsid w:val="00E47732"/>
    <w:rsid w:val="00E4782C"/>
    <w:rsid w:val="00E47FE9"/>
    <w:rsid w:val="00E5027A"/>
    <w:rsid w:val="00E50B1E"/>
    <w:rsid w:val="00E50BAD"/>
    <w:rsid w:val="00E5116D"/>
    <w:rsid w:val="00E51238"/>
    <w:rsid w:val="00E51348"/>
    <w:rsid w:val="00E5140A"/>
    <w:rsid w:val="00E5203E"/>
    <w:rsid w:val="00E5236E"/>
    <w:rsid w:val="00E5263C"/>
    <w:rsid w:val="00E52A1C"/>
    <w:rsid w:val="00E5361F"/>
    <w:rsid w:val="00E540EE"/>
    <w:rsid w:val="00E543F4"/>
    <w:rsid w:val="00E54437"/>
    <w:rsid w:val="00E5443C"/>
    <w:rsid w:val="00E54552"/>
    <w:rsid w:val="00E54C38"/>
    <w:rsid w:val="00E54F39"/>
    <w:rsid w:val="00E551FF"/>
    <w:rsid w:val="00E555EC"/>
    <w:rsid w:val="00E558B5"/>
    <w:rsid w:val="00E55ACC"/>
    <w:rsid w:val="00E55E83"/>
    <w:rsid w:val="00E55ECA"/>
    <w:rsid w:val="00E5608C"/>
    <w:rsid w:val="00E564E0"/>
    <w:rsid w:val="00E566BC"/>
    <w:rsid w:val="00E56A43"/>
    <w:rsid w:val="00E56FB2"/>
    <w:rsid w:val="00E578C3"/>
    <w:rsid w:val="00E607EA"/>
    <w:rsid w:val="00E610C8"/>
    <w:rsid w:val="00E61346"/>
    <w:rsid w:val="00E61884"/>
    <w:rsid w:val="00E618FF"/>
    <w:rsid w:val="00E61B18"/>
    <w:rsid w:val="00E61C27"/>
    <w:rsid w:val="00E61FA7"/>
    <w:rsid w:val="00E62903"/>
    <w:rsid w:val="00E62B0A"/>
    <w:rsid w:val="00E62FBC"/>
    <w:rsid w:val="00E63674"/>
    <w:rsid w:val="00E63749"/>
    <w:rsid w:val="00E63911"/>
    <w:rsid w:val="00E63AD8"/>
    <w:rsid w:val="00E63F9F"/>
    <w:rsid w:val="00E63FA3"/>
    <w:rsid w:val="00E6412D"/>
    <w:rsid w:val="00E645B9"/>
    <w:rsid w:val="00E64B73"/>
    <w:rsid w:val="00E64E0F"/>
    <w:rsid w:val="00E65293"/>
    <w:rsid w:val="00E65A95"/>
    <w:rsid w:val="00E65CE1"/>
    <w:rsid w:val="00E663D5"/>
    <w:rsid w:val="00E66A63"/>
    <w:rsid w:val="00E67512"/>
    <w:rsid w:val="00E67964"/>
    <w:rsid w:val="00E700EF"/>
    <w:rsid w:val="00E701E5"/>
    <w:rsid w:val="00E7082B"/>
    <w:rsid w:val="00E716D7"/>
    <w:rsid w:val="00E72120"/>
    <w:rsid w:val="00E73032"/>
    <w:rsid w:val="00E7349D"/>
    <w:rsid w:val="00E7395C"/>
    <w:rsid w:val="00E73BCD"/>
    <w:rsid w:val="00E7431B"/>
    <w:rsid w:val="00E74940"/>
    <w:rsid w:val="00E74E9F"/>
    <w:rsid w:val="00E74F74"/>
    <w:rsid w:val="00E751F9"/>
    <w:rsid w:val="00E75562"/>
    <w:rsid w:val="00E758D2"/>
    <w:rsid w:val="00E76A77"/>
    <w:rsid w:val="00E77120"/>
    <w:rsid w:val="00E774B1"/>
    <w:rsid w:val="00E775EF"/>
    <w:rsid w:val="00E804C7"/>
    <w:rsid w:val="00E805EF"/>
    <w:rsid w:val="00E80933"/>
    <w:rsid w:val="00E8101A"/>
    <w:rsid w:val="00E81B8C"/>
    <w:rsid w:val="00E81FDF"/>
    <w:rsid w:val="00E845D0"/>
    <w:rsid w:val="00E84B1C"/>
    <w:rsid w:val="00E84FD1"/>
    <w:rsid w:val="00E8556F"/>
    <w:rsid w:val="00E85672"/>
    <w:rsid w:val="00E86425"/>
    <w:rsid w:val="00E86A85"/>
    <w:rsid w:val="00E86CD9"/>
    <w:rsid w:val="00E87287"/>
    <w:rsid w:val="00E874EC"/>
    <w:rsid w:val="00E87AAC"/>
    <w:rsid w:val="00E87E53"/>
    <w:rsid w:val="00E90386"/>
    <w:rsid w:val="00E904C2"/>
    <w:rsid w:val="00E90C8C"/>
    <w:rsid w:val="00E93333"/>
    <w:rsid w:val="00E93824"/>
    <w:rsid w:val="00E93826"/>
    <w:rsid w:val="00E947D0"/>
    <w:rsid w:val="00E950CD"/>
    <w:rsid w:val="00E954BF"/>
    <w:rsid w:val="00E95519"/>
    <w:rsid w:val="00E95C6F"/>
    <w:rsid w:val="00E95D24"/>
    <w:rsid w:val="00E964E1"/>
    <w:rsid w:val="00E97585"/>
    <w:rsid w:val="00E97861"/>
    <w:rsid w:val="00E97921"/>
    <w:rsid w:val="00EA04C6"/>
    <w:rsid w:val="00EA0768"/>
    <w:rsid w:val="00EA0B0A"/>
    <w:rsid w:val="00EA0DA9"/>
    <w:rsid w:val="00EA1413"/>
    <w:rsid w:val="00EA1E14"/>
    <w:rsid w:val="00EA1E99"/>
    <w:rsid w:val="00EA22CE"/>
    <w:rsid w:val="00EA24A7"/>
    <w:rsid w:val="00EA2654"/>
    <w:rsid w:val="00EA2D18"/>
    <w:rsid w:val="00EA339F"/>
    <w:rsid w:val="00EA3CBC"/>
    <w:rsid w:val="00EA425B"/>
    <w:rsid w:val="00EA4429"/>
    <w:rsid w:val="00EA482D"/>
    <w:rsid w:val="00EA4980"/>
    <w:rsid w:val="00EA4D5D"/>
    <w:rsid w:val="00EA4D95"/>
    <w:rsid w:val="00EA562B"/>
    <w:rsid w:val="00EA5A45"/>
    <w:rsid w:val="00EA5C11"/>
    <w:rsid w:val="00EA5E92"/>
    <w:rsid w:val="00EA7C55"/>
    <w:rsid w:val="00EB0409"/>
    <w:rsid w:val="00EB0D19"/>
    <w:rsid w:val="00EB295A"/>
    <w:rsid w:val="00EB37FA"/>
    <w:rsid w:val="00EB4282"/>
    <w:rsid w:val="00EB42FA"/>
    <w:rsid w:val="00EB48F4"/>
    <w:rsid w:val="00EB4D1A"/>
    <w:rsid w:val="00EB5D7B"/>
    <w:rsid w:val="00EB5E2A"/>
    <w:rsid w:val="00EB78F2"/>
    <w:rsid w:val="00EC062B"/>
    <w:rsid w:val="00EC07BC"/>
    <w:rsid w:val="00EC0865"/>
    <w:rsid w:val="00EC133F"/>
    <w:rsid w:val="00EC151F"/>
    <w:rsid w:val="00EC17EE"/>
    <w:rsid w:val="00EC188A"/>
    <w:rsid w:val="00EC2CA0"/>
    <w:rsid w:val="00EC2F25"/>
    <w:rsid w:val="00EC32A7"/>
    <w:rsid w:val="00EC34AE"/>
    <w:rsid w:val="00EC3FB9"/>
    <w:rsid w:val="00EC4559"/>
    <w:rsid w:val="00EC45BD"/>
    <w:rsid w:val="00EC4E47"/>
    <w:rsid w:val="00EC67B1"/>
    <w:rsid w:val="00EC701E"/>
    <w:rsid w:val="00EC7219"/>
    <w:rsid w:val="00EC781B"/>
    <w:rsid w:val="00ED00D8"/>
    <w:rsid w:val="00ED0387"/>
    <w:rsid w:val="00ED041D"/>
    <w:rsid w:val="00ED057F"/>
    <w:rsid w:val="00ED0740"/>
    <w:rsid w:val="00ED078A"/>
    <w:rsid w:val="00ED2227"/>
    <w:rsid w:val="00ED2A98"/>
    <w:rsid w:val="00ED31C6"/>
    <w:rsid w:val="00ED505E"/>
    <w:rsid w:val="00ED5A77"/>
    <w:rsid w:val="00ED5BB1"/>
    <w:rsid w:val="00ED5D60"/>
    <w:rsid w:val="00ED6B03"/>
    <w:rsid w:val="00ED7139"/>
    <w:rsid w:val="00ED7765"/>
    <w:rsid w:val="00ED777E"/>
    <w:rsid w:val="00ED7E9A"/>
    <w:rsid w:val="00EE00F6"/>
    <w:rsid w:val="00EE0555"/>
    <w:rsid w:val="00EE1081"/>
    <w:rsid w:val="00EE13E8"/>
    <w:rsid w:val="00EE1D37"/>
    <w:rsid w:val="00EE2165"/>
    <w:rsid w:val="00EE295F"/>
    <w:rsid w:val="00EE2ACC"/>
    <w:rsid w:val="00EE2FEB"/>
    <w:rsid w:val="00EE39B3"/>
    <w:rsid w:val="00EE4220"/>
    <w:rsid w:val="00EE4378"/>
    <w:rsid w:val="00EE47A1"/>
    <w:rsid w:val="00EE4F25"/>
    <w:rsid w:val="00EE5109"/>
    <w:rsid w:val="00EE5FE1"/>
    <w:rsid w:val="00EE6AE4"/>
    <w:rsid w:val="00EE7188"/>
    <w:rsid w:val="00EE71FE"/>
    <w:rsid w:val="00EE72B5"/>
    <w:rsid w:val="00EE731B"/>
    <w:rsid w:val="00EE7538"/>
    <w:rsid w:val="00EF037C"/>
    <w:rsid w:val="00EF0FE4"/>
    <w:rsid w:val="00EF10FB"/>
    <w:rsid w:val="00EF13B3"/>
    <w:rsid w:val="00EF2196"/>
    <w:rsid w:val="00EF22E4"/>
    <w:rsid w:val="00EF2A3F"/>
    <w:rsid w:val="00EF2C8A"/>
    <w:rsid w:val="00EF2D5B"/>
    <w:rsid w:val="00EF3528"/>
    <w:rsid w:val="00EF3EBC"/>
    <w:rsid w:val="00EF47CE"/>
    <w:rsid w:val="00EF4CDB"/>
    <w:rsid w:val="00EF535E"/>
    <w:rsid w:val="00EF64C4"/>
    <w:rsid w:val="00EF65F0"/>
    <w:rsid w:val="00EF6682"/>
    <w:rsid w:val="00EF6A29"/>
    <w:rsid w:val="00EF73D3"/>
    <w:rsid w:val="00EF7682"/>
    <w:rsid w:val="00EF7B5B"/>
    <w:rsid w:val="00EF7D6A"/>
    <w:rsid w:val="00F009EF"/>
    <w:rsid w:val="00F00A66"/>
    <w:rsid w:val="00F014BC"/>
    <w:rsid w:val="00F0172A"/>
    <w:rsid w:val="00F01744"/>
    <w:rsid w:val="00F01B3F"/>
    <w:rsid w:val="00F01BFD"/>
    <w:rsid w:val="00F02508"/>
    <w:rsid w:val="00F029DD"/>
    <w:rsid w:val="00F02F90"/>
    <w:rsid w:val="00F031ED"/>
    <w:rsid w:val="00F0380D"/>
    <w:rsid w:val="00F03AD5"/>
    <w:rsid w:val="00F045AF"/>
    <w:rsid w:val="00F05824"/>
    <w:rsid w:val="00F0587C"/>
    <w:rsid w:val="00F0642C"/>
    <w:rsid w:val="00F06549"/>
    <w:rsid w:val="00F06EEC"/>
    <w:rsid w:val="00F07803"/>
    <w:rsid w:val="00F10364"/>
    <w:rsid w:val="00F104BD"/>
    <w:rsid w:val="00F10659"/>
    <w:rsid w:val="00F1100E"/>
    <w:rsid w:val="00F11134"/>
    <w:rsid w:val="00F112F1"/>
    <w:rsid w:val="00F1136D"/>
    <w:rsid w:val="00F11F28"/>
    <w:rsid w:val="00F125D8"/>
    <w:rsid w:val="00F12FFB"/>
    <w:rsid w:val="00F13267"/>
    <w:rsid w:val="00F139A5"/>
    <w:rsid w:val="00F15B30"/>
    <w:rsid w:val="00F1623E"/>
    <w:rsid w:val="00F162F9"/>
    <w:rsid w:val="00F164E5"/>
    <w:rsid w:val="00F166F4"/>
    <w:rsid w:val="00F167EB"/>
    <w:rsid w:val="00F16D96"/>
    <w:rsid w:val="00F16F23"/>
    <w:rsid w:val="00F16FF4"/>
    <w:rsid w:val="00F17A3E"/>
    <w:rsid w:val="00F17D66"/>
    <w:rsid w:val="00F17FB0"/>
    <w:rsid w:val="00F20948"/>
    <w:rsid w:val="00F2149B"/>
    <w:rsid w:val="00F214DC"/>
    <w:rsid w:val="00F22296"/>
    <w:rsid w:val="00F2323A"/>
    <w:rsid w:val="00F23495"/>
    <w:rsid w:val="00F23A4B"/>
    <w:rsid w:val="00F24A56"/>
    <w:rsid w:val="00F24DC4"/>
    <w:rsid w:val="00F2628A"/>
    <w:rsid w:val="00F26507"/>
    <w:rsid w:val="00F26596"/>
    <w:rsid w:val="00F26EF8"/>
    <w:rsid w:val="00F270AB"/>
    <w:rsid w:val="00F30276"/>
    <w:rsid w:val="00F3033B"/>
    <w:rsid w:val="00F30603"/>
    <w:rsid w:val="00F307C0"/>
    <w:rsid w:val="00F309D5"/>
    <w:rsid w:val="00F3123D"/>
    <w:rsid w:val="00F3180F"/>
    <w:rsid w:val="00F31859"/>
    <w:rsid w:val="00F3188F"/>
    <w:rsid w:val="00F31890"/>
    <w:rsid w:val="00F31B51"/>
    <w:rsid w:val="00F320BF"/>
    <w:rsid w:val="00F33B7F"/>
    <w:rsid w:val="00F33D99"/>
    <w:rsid w:val="00F36045"/>
    <w:rsid w:val="00F3612A"/>
    <w:rsid w:val="00F3670D"/>
    <w:rsid w:val="00F36BC2"/>
    <w:rsid w:val="00F36CB6"/>
    <w:rsid w:val="00F36D0A"/>
    <w:rsid w:val="00F374B2"/>
    <w:rsid w:val="00F378CA"/>
    <w:rsid w:val="00F37A36"/>
    <w:rsid w:val="00F402BA"/>
    <w:rsid w:val="00F4111A"/>
    <w:rsid w:val="00F41186"/>
    <w:rsid w:val="00F411E3"/>
    <w:rsid w:val="00F41A11"/>
    <w:rsid w:val="00F41E2F"/>
    <w:rsid w:val="00F41EBD"/>
    <w:rsid w:val="00F42558"/>
    <w:rsid w:val="00F42766"/>
    <w:rsid w:val="00F436D8"/>
    <w:rsid w:val="00F43980"/>
    <w:rsid w:val="00F43E2C"/>
    <w:rsid w:val="00F43FD9"/>
    <w:rsid w:val="00F44A8E"/>
    <w:rsid w:val="00F44F66"/>
    <w:rsid w:val="00F45127"/>
    <w:rsid w:val="00F45F25"/>
    <w:rsid w:val="00F462D7"/>
    <w:rsid w:val="00F467BC"/>
    <w:rsid w:val="00F47DCB"/>
    <w:rsid w:val="00F47E24"/>
    <w:rsid w:val="00F50275"/>
    <w:rsid w:val="00F5028E"/>
    <w:rsid w:val="00F5041F"/>
    <w:rsid w:val="00F50ADB"/>
    <w:rsid w:val="00F50C7E"/>
    <w:rsid w:val="00F50E4D"/>
    <w:rsid w:val="00F51A20"/>
    <w:rsid w:val="00F5253F"/>
    <w:rsid w:val="00F53068"/>
    <w:rsid w:val="00F53E30"/>
    <w:rsid w:val="00F54734"/>
    <w:rsid w:val="00F54FA0"/>
    <w:rsid w:val="00F560A6"/>
    <w:rsid w:val="00F56E46"/>
    <w:rsid w:val="00F5747E"/>
    <w:rsid w:val="00F57913"/>
    <w:rsid w:val="00F57F79"/>
    <w:rsid w:val="00F60265"/>
    <w:rsid w:val="00F6052D"/>
    <w:rsid w:val="00F60782"/>
    <w:rsid w:val="00F609C3"/>
    <w:rsid w:val="00F60E81"/>
    <w:rsid w:val="00F612F3"/>
    <w:rsid w:val="00F61F26"/>
    <w:rsid w:val="00F622DB"/>
    <w:rsid w:val="00F624C1"/>
    <w:rsid w:val="00F64B96"/>
    <w:rsid w:val="00F64D60"/>
    <w:rsid w:val="00F64F4E"/>
    <w:rsid w:val="00F6545F"/>
    <w:rsid w:val="00F65481"/>
    <w:rsid w:val="00F65784"/>
    <w:rsid w:val="00F658D8"/>
    <w:rsid w:val="00F65CEE"/>
    <w:rsid w:val="00F66133"/>
    <w:rsid w:val="00F661F1"/>
    <w:rsid w:val="00F669B9"/>
    <w:rsid w:val="00F66AEE"/>
    <w:rsid w:val="00F67213"/>
    <w:rsid w:val="00F67AA1"/>
    <w:rsid w:val="00F7070D"/>
    <w:rsid w:val="00F71047"/>
    <w:rsid w:val="00F71DD3"/>
    <w:rsid w:val="00F73C7B"/>
    <w:rsid w:val="00F742DD"/>
    <w:rsid w:val="00F74C8F"/>
    <w:rsid w:val="00F750A3"/>
    <w:rsid w:val="00F75C9A"/>
    <w:rsid w:val="00F7666E"/>
    <w:rsid w:val="00F76B68"/>
    <w:rsid w:val="00F76E51"/>
    <w:rsid w:val="00F777C0"/>
    <w:rsid w:val="00F77B6E"/>
    <w:rsid w:val="00F77C75"/>
    <w:rsid w:val="00F80027"/>
    <w:rsid w:val="00F80E03"/>
    <w:rsid w:val="00F81D13"/>
    <w:rsid w:val="00F8237D"/>
    <w:rsid w:val="00F8241D"/>
    <w:rsid w:val="00F826F7"/>
    <w:rsid w:val="00F827E4"/>
    <w:rsid w:val="00F829A6"/>
    <w:rsid w:val="00F832CE"/>
    <w:rsid w:val="00F833B0"/>
    <w:rsid w:val="00F833BB"/>
    <w:rsid w:val="00F83855"/>
    <w:rsid w:val="00F84D85"/>
    <w:rsid w:val="00F84F92"/>
    <w:rsid w:val="00F85515"/>
    <w:rsid w:val="00F857FA"/>
    <w:rsid w:val="00F85CA6"/>
    <w:rsid w:val="00F85DE1"/>
    <w:rsid w:val="00F86D94"/>
    <w:rsid w:val="00F87BEE"/>
    <w:rsid w:val="00F90052"/>
    <w:rsid w:val="00F906A2"/>
    <w:rsid w:val="00F90706"/>
    <w:rsid w:val="00F90AD4"/>
    <w:rsid w:val="00F922D7"/>
    <w:rsid w:val="00F923AA"/>
    <w:rsid w:val="00F92E14"/>
    <w:rsid w:val="00F92EC0"/>
    <w:rsid w:val="00F932DD"/>
    <w:rsid w:val="00F93324"/>
    <w:rsid w:val="00F93428"/>
    <w:rsid w:val="00F939DD"/>
    <w:rsid w:val="00F93C12"/>
    <w:rsid w:val="00F93C4E"/>
    <w:rsid w:val="00F94C76"/>
    <w:rsid w:val="00F94FCD"/>
    <w:rsid w:val="00F9534E"/>
    <w:rsid w:val="00F95763"/>
    <w:rsid w:val="00F95C6D"/>
    <w:rsid w:val="00F95E25"/>
    <w:rsid w:val="00F96159"/>
    <w:rsid w:val="00F961E3"/>
    <w:rsid w:val="00F9658F"/>
    <w:rsid w:val="00F97864"/>
    <w:rsid w:val="00F97FD3"/>
    <w:rsid w:val="00FA0093"/>
    <w:rsid w:val="00FA0130"/>
    <w:rsid w:val="00FA02AB"/>
    <w:rsid w:val="00FA17A5"/>
    <w:rsid w:val="00FA2161"/>
    <w:rsid w:val="00FA2322"/>
    <w:rsid w:val="00FA2A6C"/>
    <w:rsid w:val="00FA2F36"/>
    <w:rsid w:val="00FA39B4"/>
    <w:rsid w:val="00FA39C4"/>
    <w:rsid w:val="00FA3E81"/>
    <w:rsid w:val="00FA3ECD"/>
    <w:rsid w:val="00FA42CC"/>
    <w:rsid w:val="00FA443E"/>
    <w:rsid w:val="00FA5714"/>
    <w:rsid w:val="00FA5CD9"/>
    <w:rsid w:val="00FA5D16"/>
    <w:rsid w:val="00FA65DB"/>
    <w:rsid w:val="00FA6907"/>
    <w:rsid w:val="00FA6B38"/>
    <w:rsid w:val="00FA6DFC"/>
    <w:rsid w:val="00FA772B"/>
    <w:rsid w:val="00FB09A3"/>
    <w:rsid w:val="00FB13C7"/>
    <w:rsid w:val="00FB1466"/>
    <w:rsid w:val="00FB1B83"/>
    <w:rsid w:val="00FB2043"/>
    <w:rsid w:val="00FB30AE"/>
    <w:rsid w:val="00FB3C2B"/>
    <w:rsid w:val="00FB3EAA"/>
    <w:rsid w:val="00FB4095"/>
    <w:rsid w:val="00FB4509"/>
    <w:rsid w:val="00FB4BF7"/>
    <w:rsid w:val="00FB4C2C"/>
    <w:rsid w:val="00FB4F6A"/>
    <w:rsid w:val="00FB5163"/>
    <w:rsid w:val="00FB52EB"/>
    <w:rsid w:val="00FB5E66"/>
    <w:rsid w:val="00FB735C"/>
    <w:rsid w:val="00FB79AF"/>
    <w:rsid w:val="00FB7CD4"/>
    <w:rsid w:val="00FC047B"/>
    <w:rsid w:val="00FC049A"/>
    <w:rsid w:val="00FC0B3C"/>
    <w:rsid w:val="00FC0C67"/>
    <w:rsid w:val="00FC0E13"/>
    <w:rsid w:val="00FC12AB"/>
    <w:rsid w:val="00FC16AF"/>
    <w:rsid w:val="00FC1C49"/>
    <w:rsid w:val="00FC1DDA"/>
    <w:rsid w:val="00FC25BB"/>
    <w:rsid w:val="00FC270E"/>
    <w:rsid w:val="00FC315B"/>
    <w:rsid w:val="00FC33A8"/>
    <w:rsid w:val="00FC3ADC"/>
    <w:rsid w:val="00FC3B87"/>
    <w:rsid w:val="00FC3C00"/>
    <w:rsid w:val="00FC4427"/>
    <w:rsid w:val="00FC4653"/>
    <w:rsid w:val="00FC51B1"/>
    <w:rsid w:val="00FC5426"/>
    <w:rsid w:val="00FC562F"/>
    <w:rsid w:val="00FC5FDE"/>
    <w:rsid w:val="00FC6435"/>
    <w:rsid w:val="00FC6E1F"/>
    <w:rsid w:val="00FC7058"/>
    <w:rsid w:val="00FC70BE"/>
    <w:rsid w:val="00FC722C"/>
    <w:rsid w:val="00FC7F0E"/>
    <w:rsid w:val="00FD0311"/>
    <w:rsid w:val="00FD0474"/>
    <w:rsid w:val="00FD0599"/>
    <w:rsid w:val="00FD0985"/>
    <w:rsid w:val="00FD157C"/>
    <w:rsid w:val="00FD1A00"/>
    <w:rsid w:val="00FD2D00"/>
    <w:rsid w:val="00FD37BE"/>
    <w:rsid w:val="00FD410A"/>
    <w:rsid w:val="00FD4EC5"/>
    <w:rsid w:val="00FD5335"/>
    <w:rsid w:val="00FD6005"/>
    <w:rsid w:val="00FD607C"/>
    <w:rsid w:val="00FD71EC"/>
    <w:rsid w:val="00FE0367"/>
    <w:rsid w:val="00FE0583"/>
    <w:rsid w:val="00FE0B6D"/>
    <w:rsid w:val="00FE1126"/>
    <w:rsid w:val="00FE16FC"/>
    <w:rsid w:val="00FE1968"/>
    <w:rsid w:val="00FE1D53"/>
    <w:rsid w:val="00FE1EC8"/>
    <w:rsid w:val="00FE25AD"/>
    <w:rsid w:val="00FE27F1"/>
    <w:rsid w:val="00FE293D"/>
    <w:rsid w:val="00FE3026"/>
    <w:rsid w:val="00FE381C"/>
    <w:rsid w:val="00FE3C1A"/>
    <w:rsid w:val="00FE4276"/>
    <w:rsid w:val="00FE4362"/>
    <w:rsid w:val="00FE5211"/>
    <w:rsid w:val="00FE5401"/>
    <w:rsid w:val="00FE5835"/>
    <w:rsid w:val="00FE6221"/>
    <w:rsid w:val="00FE6599"/>
    <w:rsid w:val="00FE6A88"/>
    <w:rsid w:val="00FE6A8A"/>
    <w:rsid w:val="00FF0B2D"/>
    <w:rsid w:val="00FF15D5"/>
    <w:rsid w:val="00FF22CF"/>
    <w:rsid w:val="00FF267B"/>
    <w:rsid w:val="00FF2862"/>
    <w:rsid w:val="00FF351B"/>
    <w:rsid w:val="00FF371B"/>
    <w:rsid w:val="00FF3A7B"/>
    <w:rsid w:val="00FF3DE8"/>
    <w:rsid w:val="00FF49C3"/>
    <w:rsid w:val="00FF5514"/>
    <w:rsid w:val="00FF5517"/>
    <w:rsid w:val="00FF59D0"/>
    <w:rsid w:val="00FF5A58"/>
    <w:rsid w:val="00FF5EBA"/>
    <w:rsid w:val="00FF5F1D"/>
    <w:rsid w:val="00FF61C7"/>
    <w:rsid w:val="00FF687C"/>
    <w:rsid w:val="00FF68A9"/>
    <w:rsid w:val="00FF6E55"/>
    <w:rsid w:val="00FF6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98A3C5C-F215-4851-AA19-0376CDC9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61E"/>
  </w:style>
  <w:style w:type="paragraph" w:styleId="Heading1">
    <w:name w:val="heading 1"/>
    <w:basedOn w:val="Normal"/>
    <w:next w:val="Normal"/>
    <w:link w:val="Heading1Char"/>
    <w:uiPriority w:val="9"/>
    <w:qFormat/>
    <w:rsid w:val="00397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2E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2E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314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15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tn-css-rh820s">
    <w:name w:val="extn-css-rh820s"/>
    <w:basedOn w:val="DefaultParagraphFont"/>
    <w:rsid w:val="00620535"/>
  </w:style>
  <w:style w:type="character" w:customStyle="1" w:styleId="extn-css-0">
    <w:name w:val="extn-css-0"/>
    <w:basedOn w:val="DefaultParagraphFont"/>
    <w:rsid w:val="00620535"/>
  </w:style>
  <w:style w:type="character" w:styleId="Hyperlink">
    <w:name w:val="Hyperlink"/>
    <w:basedOn w:val="DefaultParagraphFont"/>
    <w:uiPriority w:val="99"/>
    <w:unhideWhenUsed/>
    <w:rsid w:val="00D97913"/>
    <w:rPr>
      <w:color w:val="0000FF"/>
      <w:u w:val="single"/>
    </w:rPr>
  </w:style>
  <w:style w:type="character" w:customStyle="1" w:styleId="Heading3Char">
    <w:name w:val="Heading 3 Char"/>
    <w:basedOn w:val="DefaultParagraphFont"/>
    <w:link w:val="Heading3"/>
    <w:uiPriority w:val="9"/>
    <w:rsid w:val="002B2EA3"/>
    <w:rPr>
      <w:rFonts w:asciiTheme="majorHAnsi" w:eastAsiaTheme="majorEastAsia" w:hAnsiTheme="majorHAnsi" w:cstheme="majorBidi"/>
      <w:b/>
      <w:bCs/>
      <w:color w:val="4F81BD" w:themeColor="accent1"/>
    </w:rPr>
  </w:style>
  <w:style w:type="paragraph" w:customStyle="1" w:styleId="Default">
    <w:name w:val="Default"/>
    <w:rsid w:val="002B2E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2B2EA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97B0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97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B02"/>
    <w:rPr>
      <w:rFonts w:ascii="Tahoma" w:hAnsi="Tahoma" w:cs="Tahoma"/>
      <w:sz w:val="16"/>
      <w:szCs w:val="16"/>
    </w:rPr>
  </w:style>
  <w:style w:type="table" w:styleId="TableGrid">
    <w:name w:val="Table Grid"/>
    <w:basedOn w:val="TableNormal"/>
    <w:uiPriority w:val="59"/>
    <w:qFormat/>
    <w:rsid w:val="00397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Colorful List - Accent 11 Char,Heading3 Char,Indent Paragraph Char,LIST OF TABLES. Char,List Bullet Mary Char,List Paragraph (numbered (a)) Char,List Paragraph nowy Char,List Paragraph1 Char,List bullet Char"/>
    <w:link w:val="ListParagraph"/>
    <w:uiPriority w:val="34"/>
    <w:locked/>
    <w:rsid w:val="00397B02"/>
    <w:rPr>
      <w:rFonts w:ascii="Calibri" w:hAnsi="Calibri" w:cs="Calibri"/>
    </w:rPr>
  </w:style>
  <w:style w:type="paragraph" w:styleId="ListParagraph">
    <w:name w:val="List Paragraph"/>
    <w:aliases w:val="Bullets,Colorful List - Accent 11,Heading3,Indent Paragraph,LIST OF TABLES.,List Bullet Mary,List Paragraph (numbered (a)),List Paragraph nowy,List Paragraph1,List bullet,Numbered List Paragraph,References,WB List Paragraph,body bullets"/>
    <w:basedOn w:val="Normal"/>
    <w:link w:val="ListParagraphChar"/>
    <w:uiPriority w:val="34"/>
    <w:qFormat/>
    <w:rsid w:val="00397B02"/>
    <w:pPr>
      <w:ind w:left="720"/>
      <w:contextualSpacing/>
    </w:pPr>
    <w:rPr>
      <w:rFonts w:ascii="Calibri" w:hAnsi="Calibri" w:cs="Calibri"/>
    </w:rPr>
  </w:style>
  <w:style w:type="character" w:customStyle="1" w:styleId="A14">
    <w:name w:val="A14"/>
    <w:uiPriority w:val="99"/>
    <w:rsid w:val="00397B02"/>
    <w:rPr>
      <w:rFonts w:cs="Cambria"/>
      <w:color w:val="000000"/>
      <w:sz w:val="18"/>
      <w:szCs w:val="18"/>
    </w:rPr>
  </w:style>
  <w:style w:type="paragraph" w:styleId="NoSpacing">
    <w:name w:val="No Spacing"/>
    <w:uiPriority w:val="1"/>
    <w:qFormat/>
    <w:rsid w:val="00397B02"/>
    <w:pPr>
      <w:spacing w:after="0" w:line="240" w:lineRule="auto"/>
    </w:pPr>
  </w:style>
  <w:style w:type="paragraph" w:styleId="Caption">
    <w:name w:val="caption"/>
    <w:basedOn w:val="Normal"/>
    <w:next w:val="Normal"/>
    <w:qFormat/>
    <w:rsid w:val="00397B02"/>
    <w:pPr>
      <w:spacing w:before="120" w:after="0" w:line="240" w:lineRule="auto"/>
      <w:jc w:val="both"/>
    </w:pPr>
    <w:rPr>
      <w:rFonts w:ascii="Times New Roman" w:eastAsia="Times New Roman" w:hAnsi="Times New Roman" w:cs="Arial"/>
      <w:b/>
      <w:bCs/>
      <w:sz w:val="20"/>
      <w:szCs w:val="20"/>
    </w:rPr>
  </w:style>
  <w:style w:type="table" w:customStyle="1" w:styleId="TableGrid1">
    <w:name w:val="Table Grid1"/>
    <w:basedOn w:val="TableNormal"/>
    <w:uiPriority w:val="59"/>
    <w:rsid w:val="00397B02"/>
    <w:pPr>
      <w:spacing w:after="0" w:line="240" w:lineRule="auto"/>
    </w:pPr>
    <w:rPr>
      <w:rFonts w:eastAsiaTheme="minorEastAsia"/>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284D86"/>
    <w:pPr>
      <w:spacing w:before="100" w:beforeAutospacing="1" w:after="100" w:afterAutospacing="1"/>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semiHidden/>
    <w:rsid w:val="00284D86"/>
    <w:rPr>
      <w:rFonts w:ascii="Times New Roman" w:eastAsia="Calibri" w:hAnsi="Times New Roman" w:cs="Times New Roman"/>
      <w:sz w:val="24"/>
      <w:szCs w:val="24"/>
    </w:rPr>
  </w:style>
  <w:style w:type="paragraph" w:styleId="Header">
    <w:name w:val="header"/>
    <w:basedOn w:val="Normal"/>
    <w:link w:val="HeaderChar"/>
    <w:uiPriority w:val="99"/>
    <w:unhideWhenUsed/>
    <w:rsid w:val="00717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F01"/>
  </w:style>
  <w:style w:type="paragraph" w:styleId="Footer">
    <w:name w:val="footer"/>
    <w:basedOn w:val="Normal"/>
    <w:link w:val="FooterChar"/>
    <w:uiPriority w:val="99"/>
    <w:unhideWhenUsed/>
    <w:rsid w:val="00717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F01"/>
  </w:style>
  <w:style w:type="table" w:customStyle="1" w:styleId="LightGrid-Accent11">
    <w:name w:val="Light Grid - Accent 11"/>
    <w:basedOn w:val="TableNormal"/>
    <w:uiPriority w:val="62"/>
    <w:rsid w:val="00370518"/>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BB4F5F"/>
    <w:rPr>
      <w:i/>
      <w:iCs/>
    </w:rPr>
  </w:style>
  <w:style w:type="paragraph" w:customStyle="1" w:styleId="TableParagraph">
    <w:name w:val="Table Paragraph"/>
    <w:basedOn w:val="Normal"/>
    <w:uiPriority w:val="1"/>
    <w:qFormat/>
    <w:rsid w:val="005643A7"/>
    <w:pPr>
      <w:widowControl w:val="0"/>
      <w:autoSpaceDE w:val="0"/>
      <w:autoSpaceDN w:val="0"/>
      <w:spacing w:before="18" w:after="0" w:line="249" w:lineRule="exact"/>
      <w:ind w:right="95"/>
      <w:jc w:val="right"/>
    </w:pPr>
    <w:rPr>
      <w:rFonts w:ascii="Calibri" w:eastAsia="Calibri" w:hAnsi="Calibri" w:cs="Calibri"/>
    </w:rPr>
  </w:style>
  <w:style w:type="character" w:styleId="CommentReference">
    <w:name w:val="annotation reference"/>
    <w:basedOn w:val="DefaultParagraphFont"/>
    <w:uiPriority w:val="99"/>
    <w:semiHidden/>
    <w:unhideWhenUsed/>
    <w:rsid w:val="001C0FD0"/>
    <w:rPr>
      <w:sz w:val="16"/>
      <w:szCs w:val="16"/>
    </w:rPr>
  </w:style>
  <w:style w:type="paragraph" w:styleId="CommentText">
    <w:name w:val="annotation text"/>
    <w:basedOn w:val="Normal"/>
    <w:link w:val="CommentTextChar"/>
    <w:uiPriority w:val="99"/>
    <w:unhideWhenUsed/>
    <w:rsid w:val="001C0FD0"/>
    <w:pPr>
      <w:spacing w:line="240" w:lineRule="auto"/>
    </w:pPr>
    <w:rPr>
      <w:sz w:val="20"/>
      <w:szCs w:val="20"/>
    </w:rPr>
  </w:style>
  <w:style w:type="character" w:customStyle="1" w:styleId="CommentTextChar">
    <w:name w:val="Comment Text Char"/>
    <w:basedOn w:val="DefaultParagraphFont"/>
    <w:link w:val="CommentText"/>
    <w:uiPriority w:val="99"/>
    <w:rsid w:val="001C0FD0"/>
    <w:rPr>
      <w:sz w:val="20"/>
      <w:szCs w:val="20"/>
    </w:rPr>
  </w:style>
  <w:style w:type="paragraph" w:styleId="CommentSubject">
    <w:name w:val="annotation subject"/>
    <w:basedOn w:val="CommentText"/>
    <w:next w:val="CommentText"/>
    <w:link w:val="CommentSubjectChar"/>
    <w:uiPriority w:val="99"/>
    <w:semiHidden/>
    <w:unhideWhenUsed/>
    <w:rsid w:val="001C0FD0"/>
    <w:rPr>
      <w:b/>
      <w:bCs/>
    </w:rPr>
  </w:style>
  <w:style w:type="character" w:customStyle="1" w:styleId="CommentSubjectChar">
    <w:name w:val="Comment Subject Char"/>
    <w:basedOn w:val="CommentTextChar"/>
    <w:link w:val="CommentSubject"/>
    <w:uiPriority w:val="99"/>
    <w:semiHidden/>
    <w:rsid w:val="001C0FD0"/>
    <w:rPr>
      <w:b/>
      <w:bCs/>
      <w:sz w:val="20"/>
      <w:szCs w:val="20"/>
    </w:rPr>
  </w:style>
  <w:style w:type="paragraph" w:styleId="NormalWeb">
    <w:name w:val="Normal (Web)"/>
    <w:basedOn w:val="Normal"/>
    <w:uiPriority w:val="99"/>
    <w:unhideWhenUsed/>
    <w:rsid w:val="00AA391B"/>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C49CD"/>
    <w:pPr>
      <w:tabs>
        <w:tab w:val="right" w:leader="dot" w:pos="9350"/>
      </w:tabs>
      <w:spacing w:after="100"/>
    </w:pPr>
  </w:style>
  <w:style w:type="paragraph" w:styleId="TOC2">
    <w:name w:val="toc 2"/>
    <w:basedOn w:val="Normal"/>
    <w:next w:val="Normal"/>
    <w:autoRedefine/>
    <w:uiPriority w:val="39"/>
    <w:unhideWhenUsed/>
    <w:rsid w:val="0028228C"/>
    <w:pPr>
      <w:spacing w:after="100"/>
      <w:ind w:left="220"/>
    </w:pPr>
  </w:style>
  <w:style w:type="paragraph" w:styleId="TOC3">
    <w:name w:val="toc 3"/>
    <w:basedOn w:val="Normal"/>
    <w:next w:val="Normal"/>
    <w:autoRedefine/>
    <w:uiPriority w:val="39"/>
    <w:unhideWhenUsed/>
    <w:rsid w:val="0028228C"/>
    <w:pPr>
      <w:spacing w:after="100"/>
      <w:ind w:left="440"/>
    </w:pPr>
  </w:style>
  <w:style w:type="paragraph" w:styleId="TOCHeading">
    <w:name w:val="TOC Heading"/>
    <w:basedOn w:val="Heading1"/>
    <w:next w:val="Normal"/>
    <w:uiPriority w:val="39"/>
    <w:semiHidden/>
    <w:unhideWhenUsed/>
    <w:qFormat/>
    <w:rsid w:val="006D5511"/>
    <w:pPr>
      <w:outlineLvl w:val="9"/>
    </w:pPr>
    <w:rPr>
      <w:lang w:eastAsia="ja-JP"/>
    </w:rPr>
  </w:style>
  <w:style w:type="paragraph" w:styleId="TableofFigures">
    <w:name w:val="table of figures"/>
    <w:basedOn w:val="Normal"/>
    <w:next w:val="Normal"/>
    <w:uiPriority w:val="99"/>
    <w:unhideWhenUsed/>
    <w:rsid w:val="007A1629"/>
    <w:pPr>
      <w:spacing w:after="0"/>
    </w:pPr>
  </w:style>
  <w:style w:type="character" w:customStyle="1" w:styleId="Heading5Char">
    <w:name w:val="Heading 5 Char"/>
    <w:basedOn w:val="DefaultParagraphFont"/>
    <w:link w:val="Heading5"/>
    <w:uiPriority w:val="9"/>
    <w:rsid w:val="00D6159F"/>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2A314C"/>
    <w:rPr>
      <w:rFonts w:asciiTheme="majorHAnsi" w:eastAsiaTheme="majorEastAsia" w:hAnsiTheme="majorHAnsi" w:cstheme="majorBidi"/>
      <w:b/>
      <w:bCs/>
      <w:i/>
      <w:iCs/>
      <w:color w:val="4F81BD" w:themeColor="accent1"/>
    </w:rPr>
  </w:style>
  <w:style w:type="character" w:customStyle="1" w:styleId="anchor-text">
    <w:name w:val="anchor-text"/>
    <w:basedOn w:val="DefaultParagraphFont"/>
    <w:rsid w:val="002A314C"/>
  </w:style>
  <w:style w:type="paragraph" w:styleId="Revision">
    <w:name w:val="Revision"/>
    <w:hidden/>
    <w:uiPriority w:val="99"/>
    <w:semiHidden/>
    <w:rsid w:val="00860FBA"/>
    <w:pPr>
      <w:spacing w:after="0" w:line="240" w:lineRule="auto"/>
    </w:pPr>
  </w:style>
  <w:style w:type="paragraph" w:styleId="HTMLPreformatted">
    <w:name w:val="HTML Preformatted"/>
    <w:basedOn w:val="Normal"/>
    <w:link w:val="HTMLPreformattedChar"/>
    <w:uiPriority w:val="99"/>
    <w:unhideWhenUsed/>
    <w:rsid w:val="002B2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2B98"/>
    <w:rPr>
      <w:rFonts w:ascii="Courier New" w:eastAsia="Times New Roman" w:hAnsi="Courier New" w:cs="Courier New"/>
      <w:sz w:val="20"/>
      <w:szCs w:val="20"/>
    </w:rPr>
  </w:style>
  <w:style w:type="character" w:customStyle="1" w:styleId="gntyacmbo3b">
    <w:name w:val="gntyacmbo3b"/>
    <w:basedOn w:val="DefaultParagraphFont"/>
    <w:rsid w:val="002B2B98"/>
  </w:style>
  <w:style w:type="table" w:customStyle="1" w:styleId="Style1">
    <w:name w:val="Style1"/>
    <w:basedOn w:val="TableNormal"/>
    <w:uiPriority w:val="99"/>
    <w:rsid w:val="00945469"/>
    <w:pPr>
      <w:spacing w:after="0" w:line="240" w:lineRule="auto"/>
    </w:pPr>
    <w:rPr>
      <w:rFonts w:ascii="Times New Roman" w:hAnsi="Times New Roman"/>
    </w:rPr>
    <w:tblPr/>
  </w:style>
  <w:style w:type="character" w:customStyle="1" w:styleId="A3">
    <w:name w:val="A3"/>
    <w:uiPriority w:val="99"/>
    <w:rsid w:val="00814035"/>
    <w:rPr>
      <w:rFonts w:cs="Minion Pro"/>
      <w:color w:val="000000"/>
      <w:sz w:val="20"/>
      <w:szCs w:val="20"/>
    </w:rPr>
  </w:style>
  <w:style w:type="character" w:customStyle="1" w:styleId="A13">
    <w:name w:val="A13"/>
    <w:uiPriority w:val="99"/>
    <w:rsid w:val="00814035"/>
    <w:rPr>
      <w:rFonts w:cs="Minion Pro"/>
      <w:color w:val="000000"/>
      <w:sz w:val="11"/>
      <w:szCs w:val="11"/>
    </w:rPr>
  </w:style>
  <w:style w:type="character" w:customStyle="1" w:styleId="t">
    <w:name w:val="t"/>
    <w:basedOn w:val="DefaultParagraphFont"/>
    <w:rsid w:val="008A422B"/>
  </w:style>
  <w:style w:type="table" w:customStyle="1" w:styleId="TableGrid2">
    <w:name w:val="Table Grid2"/>
    <w:basedOn w:val="TableNormal"/>
    <w:next w:val="TableGrid"/>
    <w:uiPriority w:val="59"/>
    <w:qFormat/>
    <w:rsid w:val="00F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F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E2522"/>
    <w:pPr>
      <w:spacing w:after="100"/>
      <w:ind w:left="660"/>
    </w:pPr>
    <w:rPr>
      <w:rFonts w:eastAsiaTheme="minorEastAsia"/>
    </w:rPr>
  </w:style>
  <w:style w:type="paragraph" w:styleId="TOC5">
    <w:name w:val="toc 5"/>
    <w:basedOn w:val="Normal"/>
    <w:next w:val="Normal"/>
    <w:autoRedefine/>
    <w:uiPriority w:val="39"/>
    <w:unhideWhenUsed/>
    <w:rsid w:val="005E2522"/>
    <w:pPr>
      <w:spacing w:after="100"/>
      <w:ind w:left="880"/>
    </w:pPr>
    <w:rPr>
      <w:rFonts w:eastAsiaTheme="minorEastAsia"/>
    </w:rPr>
  </w:style>
  <w:style w:type="paragraph" w:styleId="TOC6">
    <w:name w:val="toc 6"/>
    <w:basedOn w:val="Normal"/>
    <w:next w:val="Normal"/>
    <w:autoRedefine/>
    <w:uiPriority w:val="39"/>
    <w:unhideWhenUsed/>
    <w:rsid w:val="005E2522"/>
    <w:pPr>
      <w:spacing w:after="100"/>
      <w:ind w:left="1100"/>
    </w:pPr>
    <w:rPr>
      <w:rFonts w:eastAsiaTheme="minorEastAsia"/>
    </w:rPr>
  </w:style>
  <w:style w:type="paragraph" w:styleId="TOC7">
    <w:name w:val="toc 7"/>
    <w:basedOn w:val="Normal"/>
    <w:next w:val="Normal"/>
    <w:autoRedefine/>
    <w:uiPriority w:val="39"/>
    <w:unhideWhenUsed/>
    <w:rsid w:val="005E2522"/>
    <w:pPr>
      <w:spacing w:after="100"/>
      <w:ind w:left="1320"/>
    </w:pPr>
    <w:rPr>
      <w:rFonts w:eastAsiaTheme="minorEastAsia"/>
    </w:rPr>
  </w:style>
  <w:style w:type="paragraph" w:styleId="TOC8">
    <w:name w:val="toc 8"/>
    <w:basedOn w:val="Normal"/>
    <w:next w:val="Normal"/>
    <w:autoRedefine/>
    <w:uiPriority w:val="39"/>
    <w:unhideWhenUsed/>
    <w:rsid w:val="005E2522"/>
    <w:pPr>
      <w:spacing w:after="100"/>
      <w:ind w:left="1540"/>
    </w:pPr>
    <w:rPr>
      <w:rFonts w:eastAsiaTheme="minorEastAsia"/>
    </w:rPr>
  </w:style>
  <w:style w:type="paragraph" w:styleId="TOC9">
    <w:name w:val="toc 9"/>
    <w:basedOn w:val="Normal"/>
    <w:next w:val="Normal"/>
    <w:autoRedefine/>
    <w:uiPriority w:val="39"/>
    <w:unhideWhenUsed/>
    <w:rsid w:val="005E2522"/>
    <w:pPr>
      <w:spacing w:after="100"/>
      <w:ind w:left="1760"/>
    </w:pPr>
    <w:rPr>
      <w:rFonts w:eastAsiaTheme="minorEastAsia"/>
    </w:rPr>
  </w:style>
  <w:style w:type="table" w:customStyle="1" w:styleId="LightShading1">
    <w:name w:val="Light Shading1"/>
    <w:basedOn w:val="TableNormal"/>
    <w:uiPriority w:val="60"/>
    <w:rsid w:val="006008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y-2">
    <w:name w:val="my-2"/>
    <w:basedOn w:val="Normal"/>
    <w:rsid w:val="00DB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33112D"/>
  </w:style>
  <w:style w:type="character" w:customStyle="1" w:styleId="mord">
    <w:name w:val="mord"/>
    <w:basedOn w:val="DefaultParagraphFont"/>
    <w:rsid w:val="0033112D"/>
  </w:style>
  <w:style w:type="character" w:customStyle="1" w:styleId="mrel">
    <w:name w:val="mrel"/>
    <w:basedOn w:val="DefaultParagraphFont"/>
    <w:rsid w:val="0033112D"/>
  </w:style>
  <w:style w:type="character" w:customStyle="1" w:styleId="mbin">
    <w:name w:val="mbin"/>
    <w:basedOn w:val="DefaultParagraphFont"/>
    <w:rsid w:val="0033112D"/>
  </w:style>
  <w:style w:type="character" w:customStyle="1" w:styleId="mopen">
    <w:name w:val="mopen"/>
    <w:basedOn w:val="DefaultParagraphFont"/>
    <w:rsid w:val="0033112D"/>
  </w:style>
  <w:style w:type="character" w:customStyle="1" w:styleId="mclose">
    <w:name w:val="mclose"/>
    <w:basedOn w:val="DefaultParagraphFont"/>
    <w:rsid w:val="0033112D"/>
  </w:style>
  <w:style w:type="character" w:styleId="Strong">
    <w:name w:val="Strong"/>
    <w:basedOn w:val="DefaultParagraphFont"/>
    <w:uiPriority w:val="22"/>
    <w:qFormat/>
    <w:rsid w:val="0033112D"/>
    <w:rPr>
      <w:b/>
      <w:bCs/>
    </w:rPr>
  </w:style>
  <w:style w:type="character" w:customStyle="1" w:styleId="font-semibold">
    <w:name w:val="font-semibold"/>
    <w:basedOn w:val="DefaultParagraphFont"/>
    <w:rsid w:val="0036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39">
      <w:bodyDiv w:val="1"/>
      <w:marLeft w:val="0"/>
      <w:marRight w:val="0"/>
      <w:marTop w:val="0"/>
      <w:marBottom w:val="0"/>
      <w:divBdr>
        <w:top w:val="none" w:sz="0" w:space="0" w:color="auto"/>
        <w:left w:val="none" w:sz="0" w:space="0" w:color="auto"/>
        <w:bottom w:val="none" w:sz="0" w:space="0" w:color="auto"/>
        <w:right w:val="none" w:sz="0" w:space="0" w:color="auto"/>
      </w:divBdr>
    </w:div>
    <w:div w:id="7291589">
      <w:bodyDiv w:val="1"/>
      <w:marLeft w:val="0"/>
      <w:marRight w:val="0"/>
      <w:marTop w:val="0"/>
      <w:marBottom w:val="0"/>
      <w:divBdr>
        <w:top w:val="none" w:sz="0" w:space="0" w:color="auto"/>
        <w:left w:val="none" w:sz="0" w:space="0" w:color="auto"/>
        <w:bottom w:val="none" w:sz="0" w:space="0" w:color="auto"/>
        <w:right w:val="none" w:sz="0" w:space="0" w:color="auto"/>
      </w:divBdr>
    </w:div>
    <w:div w:id="9378029">
      <w:bodyDiv w:val="1"/>
      <w:marLeft w:val="0"/>
      <w:marRight w:val="0"/>
      <w:marTop w:val="0"/>
      <w:marBottom w:val="0"/>
      <w:divBdr>
        <w:top w:val="none" w:sz="0" w:space="0" w:color="auto"/>
        <w:left w:val="none" w:sz="0" w:space="0" w:color="auto"/>
        <w:bottom w:val="none" w:sz="0" w:space="0" w:color="auto"/>
        <w:right w:val="none" w:sz="0" w:space="0" w:color="auto"/>
      </w:divBdr>
    </w:div>
    <w:div w:id="11300677">
      <w:bodyDiv w:val="1"/>
      <w:marLeft w:val="0"/>
      <w:marRight w:val="0"/>
      <w:marTop w:val="0"/>
      <w:marBottom w:val="0"/>
      <w:divBdr>
        <w:top w:val="none" w:sz="0" w:space="0" w:color="auto"/>
        <w:left w:val="none" w:sz="0" w:space="0" w:color="auto"/>
        <w:bottom w:val="none" w:sz="0" w:space="0" w:color="auto"/>
        <w:right w:val="none" w:sz="0" w:space="0" w:color="auto"/>
      </w:divBdr>
    </w:div>
    <w:div w:id="17197933">
      <w:bodyDiv w:val="1"/>
      <w:marLeft w:val="0"/>
      <w:marRight w:val="0"/>
      <w:marTop w:val="0"/>
      <w:marBottom w:val="0"/>
      <w:divBdr>
        <w:top w:val="none" w:sz="0" w:space="0" w:color="auto"/>
        <w:left w:val="none" w:sz="0" w:space="0" w:color="auto"/>
        <w:bottom w:val="none" w:sz="0" w:space="0" w:color="auto"/>
        <w:right w:val="none" w:sz="0" w:space="0" w:color="auto"/>
      </w:divBdr>
    </w:div>
    <w:div w:id="23020350">
      <w:bodyDiv w:val="1"/>
      <w:marLeft w:val="0"/>
      <w:marRight w:val="0"/>
      <w:marTop w:val="0"/>
      <w:marBottom w:val="0"/>
      <w:divBdr>
        <w:top w:val="none" w:sz="0" w:space="0" w:color="auto"/>
        <w:left w:val="none" w:sz="0" w:space="0" w:color="auto"/>
        <w:bottom w:val="none" w:sz="0" w:space="0" w:color="auto"/>
        <w:right w:val="none" w:sz="0" w:space="0" w:color="auto"/>
      </w:divBdr>
    </w:div>
    <w:div w:id="25908421">
      <w:bodyDiv w:val="1"/>
      <w:marLeft w:val="0"/>
      <w:marRight w:val="0"/>
      <w:marTop w:val="0"/>
      <w:marBottom w:val="0"/>
      <w:divBdr>
        <w:top w:val="none" w:sz="0" w:space="0" w:color="auto"/>
        <w:left w:val="none" w:sz="0" w:space="0" w:color="auto"/>
        <w:bottom w:val="none" w:sz="0" w:space="0" w:color="auto"/>
        <w:right w:val="none" w:sz="0" w:space="0" w:color="auto"/>
      </w:divBdr>
    </w:div>
    <w:div w:id="26218532">
      <w:bodyDiv w:val="1"/>
      <w:marLeft w:val="0"/>
      <w:marRight w:val="0"/>
      <w:marTop w:val="0"/>
      <w:marBottom w:val="0"/>
      <w:divBdr>
        <w:top w:val="none" w:sz="0" w:space="0" w:color="auto"/>
        <w:left w:val="none" w:sz="0" w:space="0" w:color="auto"/>
        <w:bottom w:val="none" w:sz="0" w:space="0" w:color="auto"/>
        <w:right w:val="none" w:sz="0" w:space="0" w:color="auto"/>
      </w:divBdr>
    </w:div>
    <w:div w:id="27730954">
      <w:bodyDiv w:val="1"/>
      <w:marLeft w:val="0"/>
      <w:marRight w:val="0"/>
      <w:marTop w:val="0"/>
      <w:marBottom w:val="0"/>
      <w:divBdr>
        <w:top w:val="none" w:sz="0" w:space="0" w:color="auto"/>
        <w:left w:val="none" w:sz="0" w:space="0" w:color="auto"/>
        <w:bottom w:val="none" w:sz="0" w:space="0" w:color="auto"/>
        <w:right w:val="none" w:sz="0" w:space="0" w:color="auto"/>
      </w:divBdr>
    </w:div>
    <w:div w:id="39986670">
      <w:bodyDiv w:val="1"/>
      <w:marLeft w:val="0"/>
      <w:marRight w:val="0"/>
      <w:marTop w:val="0"/>
      <w:marBottom w:val="0"/>
      <w:divBdr>
        <w:top w:val="none" w:sz="0" w:space="0" w:color="auto"/>
        <w:left w:val="none" w:sz="0" w:space="0" w:color="auto"/>
        <w:bottom w:val="none" w:sz="0" w:space="0" w:color="auto"/>
        <w:right w:val="none" w:sz="0" w:space="0" w:color="auto"/>
      </w:divBdr>
    </w:div>
    <w:div w:id="40643299">
      <w:bodyDiv w:val="1"/>
      <w:marLeft w:val="0"/>
      <w:marRight w:val="0"/>
      <w:marTop w:val="0"/>
      <w:marBottom w:val="0"/>
      <w:divBdr>
        <w:top w:val="none" w:sz="0" w:space="0" w:color="auto"/>
        <w:left w:val="none" w:sz="0" w:space="0" w:color="auto"/>
        <w:bottom w:val="none" w:sz="0" w:space="0" w:color="auto"/>
        <w:right w:val="none" w:sz="0" w:space="0" w:color="auto"/>
      </w:divBdr>
    </w:div>
    <w:div w:id="43454014">
      <w:bodyDiv w:val="1"/>
      <w:marLeft w:val="0"/>
      <w:marRight w:val="0"/>
      <w:marTop w:val="0"/>
      <w:marBottom w:val="0"/>
      <w:divBdr>
        <w:top w:val="none" w:sz="0" w:space="0" w:color="auto"/>
        <w:left w:val="none" w:sz="0" w:space="0" w:color="auto"/>
        <w:bottom w:val="none" w:sz="0" w:space="0" w:color="auto"/>
        <w:right w:val="none" w:sz="0" w:space="0" w:color="auto"/>
      </w:divBdr>
    </w:div>
    <w:div w:id="49694871">
      <w:bodyDiv w:val="1"/>
      <w:marLeft w:val="0"/>
      <w:marRight w:val="0"/>
      <w:marTop w:val="0"/>
      <w:marBottom w:val="0"/>
      <w:divBdr>
        <w:top w:val="none" w:sz="0" w:space="0" w:color="auto"/>
        <w:left w:val="none" w:sz="0" w:space="0" w:color="auto"/>
        <w:bottom w:val="none" w:sz="0" w:space="0" w:color="auto"/>
        <w:right w:val="none" w:sz="0" w:space="0" w:color="auto"/>
      </w:divBdr>
    </w:div>
    <w:div w:id="51120084">
      <w:bodyDiv w:val="1"/>
      <w:marLeft w:val="0"/>
      <w:marRight w:val="0"/>
      <w:marTop w:val="0"/>
      <w:marBottom w:val="0"/>
      <w:divBdr>
        <w:top w:val="none" w:sz="0" w:space="0" w:color="auto"/>
        <w:left w:val="none" w:sz="0" w:space="0" w:color="auto"/>
        <w:bottom w:val="none" w:sz="0" w:space="0" w:color="auto"/>
        <w:right w:val="none" w:sz="0" w:space="0" w:color="auto"/>
      </w:divBdr>
    </w:div>
    <w:div w:id="62142102">
      <w:bodyDiv w:val="1"/>
      <w:marLeft w:val="0"/>
      <w:marRight w:val="0"/>
      <w:marTop w:val="0"/>
      <w:marBottom w:val="0"/>
      <w:divBdr>
        <w:top w:val="none" w:sz="0" w:space="0" w:color="auto"/>
        <w:left w:val="none" w:sz="0" w:space="0" w:color="auto"/>
        <w:bottom w:val="none" w:sz="0" w:space="0" w:color="auto"/>
        <w:right w:val="none" w:sz="0" w:space="0" w:color="auto"/>
      </w:divBdr>
    </w:div>
    <w:div w:id="65880915">
      <w:bodyDiv w:val="1"/>
      <w:marLeft w:val="0"/>
      <w:marRight w:val="0"/>
      <w:marTop w:val="0"/>
      <w:marBottom w:val="0"/>
      <w:divBdr>
        <w:top w:val="none" w:sz="0" w:space="0" w:color="auto"/>
        <w:left w:val="none" w:sz="0" w:space="0" w:color="auto"/>
        <w:bottom w:val="none" w:sz="0" w:space="0" w:color="auto"/>
        <w:right w:val="none" w:sz="0" w:space="0" w:color="auto"/>
      </w:divBdr>
    </w:div>
    <w:div w:id="73554500">
      <w:bodyDiv w:val="1"/>
      <w:marLeft w:val="0"/>
      <w:marRight w:val="0"/>
      <w:marTop w:val="0"/>
      <w:marBottom w:val="0"/>
      <w:divBdr>
        <w:top w:val="none" w:sz="0" w:space="0" w:color="auto"/>
        <w:left w:val="none" w:sz="0" w:space="0" w:color="auto"/>
        <w:bottom w:val="none" w:sz="0" w:space="0" w:color="auto"/>
        <w:right w:val="none" w:sz="0" w:space="0" w:color="auto"/>
      </w:divBdr>
    </w:div>
    <w:div w:id="76245516">
      <w:bodyDiv w:val="1"/>
      <w:marLeft w:val="0"/>
      <w:marRight w:val="0"/>
      <w:marTop w:val="0"/>
      <w:marBottom w:val="0"/>
      <w:divBdr>
        <w:top w:val="none" w:sz="0" w:space="0" w:color="auto"/>
        <w:left w:val="none" w:sz="0" w:space="0" w:color="auto"/>
        <w:bottom w:val="none" w:sz="0" w:space="0" w:color="auto"/>
        <w:right w:val="none" w:sz="0" w:space="0" w:color="auto"/>
      </w:divBdr>
    </w:div>
    <w:div w:id="78337560">
      <w:bodyDiv w:val="1"/>
      <w:marLeft w:val="0"/>
      <w:marRight w:val="0"/>
      <w:marTop w:val="0"/>
      <w:marBottom w:val="0"/>
      <w:divBdr>
        <w:top w:val="none" w:sz="0" w:space="0" w:color="auto"/>
        <w:left w:val="none" w:sz="0" w:space="0" w:color="auto"/>
        <w:bottom w:val="none" w:sz="0" w:space="0" w:color="auto"/>
        <w:right w:val="none" w:sz="0" w:space="0" w:color="auto"/>
      </w:divBdr>
    </w:div>
    <w:div w:id="82075932">
      <w:bodyDiv w:val="1"/>
      <w:marLeft w:val="0"/>
      <w:marRight w:val="0"/>
      <w:marTop w:val="0"/>
      <w:marBottom w:val="0"/>
      <w:divBdr>
        <w:top w:val="none" w:sz="0" w:space="0" w:color="auto"/>
        <w:left w:val="none" w:sz="0" w:space="0" w:color="auto"/>
        <w:bottom w:val="none" w:sz="0" w:space="0" w:color="auto"/>
        <w:right w:val="none" w:sz="0" w:space="0" w:color="auto"/>
      </w:divBdr>
    </w:div>
    <w:div w:id="90392909">
      <w:bodyDiv w:val="1"/>
      <w:marLeft w:val="0"/>
      <w:marRight w:val="0"/>
      <w:marTop w:val="0"/>
      <w:marBottom w:val="0"/>
      <w:divBdr>
        <w:top w:val="none" w:sz="0" w:space="0" w:color="auto"/>
        <w:left w:val="none" w:sz="0" w:space="0" w:color="auto"/>
        <w:bottom w:val="none" w:sz="0" w:space="0" w:color="auto"/>
        <w:right w:val="none" w:sz="0" w:space="0" w:color="auto"/>
      </w:divBdr>
    </w:div>
    <w:div w:id="90979263">
      <w:bodyDiv w:val="1"/>
      <w:marLeft w:val="0"/>
      <w:marRight w:val="0"/>
      <w:marTop w:val="0"/>
      <w:marBottom w:val="0"/>
      <w:divBdr>
        <w:top w:val="none" w:sz="0" w:space="0" w:color="auto"/>
        <w:left w:val="none" w:sz="0" w:space="0" w:color="auto"/>
        <w:bottom w:val="none" w:sz="0" w:space="0" w:color="auto"/>
        <w:right w:val="none" w:sz="0" w:space="0" w:color="auto"/>
      </w:divBdr>
    </w:div>
    <w:div w:id="91782821">
      <w:bodyDiv w:val="1"/>
      <w:marLeft w:val="0"/>
      <w:marRight w:val="0"/>
      <w:marTop w:val="0"/>
      <w:marBottom w:val="0"/>
      <w:divBdr>
        <w:top w:val="none" w:sz="0" w:space="0" w:color="auto"/>
        <w:left w:val="none" w:sz="0" w:space="0" w:color="auto"/>
        <w:bottom w:val="none" w:sz="0" w:space="0" w:color="auto"/>
        <w:right w:val="none" w:sz="0" w:space="0" w:color="auto"/>
      </w:divBdr>
    </w:div>
    <w:div w:id="92946328">
      <w:bodyDiv w:val="1"/>
      <w:marLeft w:val="0"/>
      <w:marRight w:val="0"/>
      <w:marTop w:val="0"/>
      <w:marBottom w:val="0"/>
      <w:divBdr>
        <w:top w:val="none" w:sz="0" w:space="0" w:color="auto"/>
        <w:left w:val="none" w:sz="0" w:space="0" w:color="auto"/>
        <w:bottom w:val="none" w:sz="0" w:space="0" w:color="auto"/>
        <w:right w:val="none" w:sz="0" w:space="0" w:color="auto"/>
      </w:divBdr>
    </w:div>
    <w:div w:id="93208260">
      <w:bodyDiv w:val="1"/>
      <w:marLeft w:val="0"/>
      <w:marRight w:val="0"/>
      <w:marTop w:val="0"/>
      <w:marBottom w:val="0"/>
      <w:divBdr>
        <w:top w:val="none" w:sz="0" w:space="0" w:color="auto"/>
        <w:left w:val="none" w:sz="0" w:space="0" w:color="auto"/>
        <w:bottom w:val="none" w:sz="0" w:space="0" w:color="auto"/>
        <w:right w:val="none" w:sz="0" w:space="0" w:color="auto"/>
      </w:divBdr>
    </w:div>
    <w:div w:id="95178025">
      <w:bodyDiv w:val="1"/>
      <w:marLeft w:val="0"/>
      <w:marRight w:val="0"/>
      <w:marTop w:val="0"/>
      <w:marBottom w:val="0"/>
      <w:divBdr>
        <w:top w:val="none" w:sz="0" w:space="0" w:color="auto"/>
        <w:left w:val="none" w:sz="0" w:space="0" w:color="auto"/>
        <w:bottom w:val="none" w:sz="0" w:space="0" w:color="auto"/>
        <w:right w:val="none" w:sz="0" w:space="0" w:color="auto"/>
      </w:divBdr>
    </w:div>
    <w:div w:id="100029715">
      <w:bodyDiv w:val="1"/>
      <w:marLeft w:val="0"/>
      <w:marRight w:val="0"/>
      <w:marTop w:val="0"/>
      <w:marBottom w:val="0"/>
      <w:divBdr>
        <w:top w:val="none" w:sz="0" w:space="0" w:color="auto"/>
        <w:left w:val="none" w:sz="0" w:space="0" w:color="auto"/>
        <w:bottom w:val="none" w:sz="0" w:space="0" w:color="auto"/>
        <w:right w:val="none" w:sz="0" w:space="0" w:color="auto"/>
      </w:divBdr>
    </w:div>
    <w:div w:id="101196246">
      <w:bodyDiv w:val="1"/>
      <w:marLeft w:val="0"/>
      <w:marRight w:val="0"/>
      <w:marTop w:val="0"/>
      <w:marBottom w:val="0"/>
      <w:divBdr>
        <w:top w:val="none" w:sz="0" w:space="0" w:color="auto"/>
        <w:left w:val="none" w:sz="0" w:space="0" w:color="auto"/>
        <w:bottom w:val="none" w:sz="0" w:space="0" w:color="auto"/>
        <w:right w:val="none" w:sz="0" w:space="0" w:color="auto"/>
      </w:divBdr>
    </w:div>
    <w:div w:id="104036909">
      <w:bodyDiv w:val="1"/>
      <w:marLeft w:val="0"/>
      <w:marRight w:val="0"/>
      <w:marTop w:val="0"/>
      <w:marBottom w:val="0"/>
      <w:divBdr>
        <w:top w:val="none" w:sz="0" w:space="0" w:color="auto"/>
        <w:left w:val="none" w:sz="0" w:space="0" w:color="auto"/>
        <w:bottom w:val="none" w:sz="0" w:space="0" w:color="auto"/>
        <w:right w:val="none" w:sz="0" w:space="0" w:color="auto"/>
      </w:divBdr>
    </w:div>
    <w:div w:id="105856605">
      <w:bodyDiv w:val="1"/>
      <w:marLeft w:val="0"/>
      <w:marRight w:val="0"/>
      <w:marTop w:val="0"/>
      <w:marBottom w:val="0"/>
      <w:divBdr>
        <w:top w:val="none" w:sz="0" w:space="0" w:color="auto"/>
        <w:left w:val="none" w:sz="0" w:space="0" w:color="auto"/>
        <w:bottom w:val="none" w:sz="0" w:space="0" w:color="auto"/>
        <w:right w:val="none" w:sz="0" w:space="0" w:color="auto"/>
      </w:divBdr>
    </w:div>
    <w:div w:id="119614994">
      <w:bodyDiv w:val="1"/>
      <w:marLeft w:val="0"/>
      <w:marRight w:val="0"/>
      <w:marTop w:val="0"/>
      <w:marBottom w:val="0"/>
      <w:divBdr>
        <w:top w:val="none" w:sz="0" w:space="0" w:color="auto"/>
        <w:left w:val="none" w:sz="0" w:space="0" w:color="auto"/>
        <w:bottom w:val="none" w:sz="0" w:space="0" w:color="auto"/>
        <w:right w:val="none" w:sz="0" w:space="0" w:color="auto"/>
      </w:divBdr>
    </w:div>
    <w:div w:id="126827216">
      <w:bodyDiv w:val="1"/>
      <w:marLeft w:val="0"/>
      <w:marRight w:val="0"/>
      <w:marTop w:val="0"/>
      <w:marBottom w:val="0"/>
      <w:divBdr>
        <w:top w:val="none" w:sz="0" w:space="0" w:color="auto"/>
        <w:left w:val="none" w:sz="0" w:space="0" w:color="auto"/>
        <w:bottom w:val="none" w:sz="0" w:space="0" w:color="auto"/>
        <w:right w:val="none" w:sz="0" w:space="0" w:color="auto"/>
      </w:divBdr>
    </w:div>
    <w:div w:id="130949764">
      <w:bodyDiv w:val="1"/>
      <w:marLeft w:val="0"/>
      <w:marRight w:val="0"/>
      <w:marTop w:val="0"/>
      <w:marBottom w:val="0"/>
      <w:divBdr>
        <w:top w:val="none" w:sz="0" w:space="0" w:color="auto"/>
        <w:left w:val="none" w:sz="0" w:space="0" w:color="auto"/>
        <w:bottom w:val="none" w:sz="0" w:space="0" w:color="auto"/>
        <w:right w:val="none" w:sz="0" w:space="0" w:color="auto"/>
      </w:divBdr>
    </w:div>
    <w:div w:id="136532045">
      <w:bodyDiv w:val="1"/>
      <w:marLeft w:val="0"/>
      <w:marRight w:val="0"/>
      <w:marTop w:val="0"/>
      <w:marBottom w:val="0"/>
      <w:divBdr>
        <w:top w:val="none" w:sz="0" w:space="0" w:color="auto"/>
        <w:left w:val="none" w:sz="0" w:space="0" w:color="auto"/>
        <w:bottom w:val="none" w:sz="0" w:space="0" w:color="auto"/>
        <w:right w:val="none" w:sz="0" w:space="0" w:color="auto"/>
      </w:divBdr>
    </w:div>
    <w:div w:id="145097412">
      <w:bodyDiv w:val="1"/>
      <w:marLeft w:val="0"/>
      <w:marRight w:val="0"/>
      <w:marTop w:val="0"/>
      <w:marBottom w:val="0"/>
      <w:divBdr>
        <w:top w:val="none" w:sz="0" w:space="0" w:color="auto"/>
        <w:left w:val="none" w:sz="0" w:space="0" w:color="auto"/>
        <w:bottom w:val="none" w:sz="0" w:space="0" w:color="auto"/>
        <w:right w:val="none" w:sz="0" w:space="0" w:color="auto"/>
      </w:divBdr>
    </w:div>
    <w:div w:id="154490415">
      <w:bodyDiv w:val="1"/>
      <w:marLeft w:val="0"/>
      <w:marRight w:val="0"/>
      <w:marTop w:val="0"/>
      <w:marBottom w:val="0"/>
      <w:divBdr>
        <w:top w:val="none" w:sz="0" w:space="0" w:color="auto"/>
        <w:left w:val="none" w:sz="0" w:space="0" w:color="auto"/>
        <w:bottom w:val="none" w:sz="0" w:space="0" w:color="auto"/>
        <w:right w:val="none" w:sz="0" w:space="0" w:color="auto"/>
      </w:divBdr>
    </w:div>
    <w:div w:id="155075830">
      <w:bodyDiv w:val="1"/>
      <w:marLeft w:val="0"/>
      <w:marRight w:val="0"/>
      <w:marTop w:val="0"/>
      <w:marBottom w:val="0"/>
      <w:divBdr>
        <w:top w:val="none" w:sz="0" w:space="0" w:color="auto"/>
        <w:left w:val="none" w:sz="0" w:space="0" w:color="auto"/>
        <w:bottom w:val="none" w:sz="0" w:space="0" w:color="auto"/>
        <w:right w:val="none" w:sz="0" w:space="0" w:color="auto"/>
      </w:divBdr>
    </w:div>
    <w:div w:id="158665584">
      <w:bodyDiv w:val="1"/>
      <w:marLeft w:val="0"/>
      <w:marRight w:val="0"/>
      <w:marTop w:val="0"/>
      <w:marBottom w:val="0"/>
      <w:divBdr>
        <w:top w:val="none" w:sz="0" w:space="0" w:color="auto"/>
        <w:left w:val="none" w:sz="0" w:space="0" w:color="auto"/>
        <w:bottom w:val="none" w:sz="0" w:space="0" w:color="auto"/>
        <w:right w:val="none" w:sz="0" w:space="0" w:color="auto"/>
      </w:divBdr>
    </w:div>
    <w:div w:id="160975665">
      <w:bodyDiv w:val="1"/>
      <w:marLeft w:val="0"/>
      <w:marRight w:val="0"/>
      <w:marTop w:val="0"/>
      <w:marBottom w:val="0"/>
      <w:divBdr>
        <w:top w:val="none" w:sz="0" w:space="0" w:color="auto"/>
        <w:left w:val="none" w:sz="0" w:space="0" w:color="auto"/>
        <w:bottom w:val="none" w:sz="0" w:space="0" w:color="auto"/>
        <w:right w:val="none" w:sz="0" w:space="0" w:color="auto"/>
      </w:divBdr>
    </w:div>
    <w:div w:id="161703449">
      <w:bodyDiv w:val="1"/>
      <w:marLeft w:val="0"/>
      <w:marRight w:val="0"/>
      <w:marTop w:val="0"/>
      <w:marBottom w:val="0"/>
      <w:divBdr>
        <w:top w:val="none" w:sz="0" w:space="0" w:color="auto"/>
        <w:left w:val="none" w:sz="0" w:space="0" w:color="auto"/>
        <w:bottom w:val="none" w:sz="0" w:space="0" w:color="auto"/>
        <w:right w:val="none" w:sz="0" w:space="0" w:color="auto"/>
      </w:divBdr>
    </w:div>
    <w:div w:id="167984007">
      <w:bodyDiv w:val="1"/>
      <w:marLeft w:val="0"/>
      <w:marRight w:val="0"/>
      <w:marTop w:val="0"/>
      <w:marBottom w:val="0"/>
      <w:divBdr>
        <w:top w:val="none" w:sz="0" w:space="0" w:color="auto"/>
        <w:left w:val="none" w:sz="0" w:space="0" w:color="auto"/>
        <w:bottom w:val="none" w:sz="0" w:space="0" w:color="auto"/>
        <w:right w:val="none" w:sz="0" w:space="0" w:color="auto"/>
      </w:divBdr>
    </w:div>
    <w:div w:id="169102063">
      <w:bodyDiv w:val="1"/>
      <w:marLeft w:val="0"/>
      <w:marRight w:val="0"/>
      <w:marTop w:val="0"/>
      <w:marBottom w:val="0"/>
      <w:divBdr>
        <w:top w:val="none" w:sz="0" w:space="0" w:color="auto"/>
        <w:left w:val="none" w:sz="0" w:space="0" w:color="auto"/>
        <w:bottom w:val="none" w:sz="0" w:space="0" w:color="auto"/>
        <w:right w:val="none" w:sz="0" w:space="0" w:color="auto"/>
      </w:divBdr>
    </w:div>
    <w:div w:id="169418833">
      <w:bodyDiv w:val="1"/>
      <w:marLeft w:val="0"/>
      <w:marRight w:val="0"/>
      <w:marTop w:val="0"/>
      <w:marBottom w:val="0"/>
      <w:divBdr>
        <w:top w:val="none" w:sz="0" w:space="0" w:color="auto"/>
        <w:left w:val="none" w:sz="0" w:space="0" w:color="auto"/>
        <w:bottom w:val="none" w:sz="0" w:space="0" w:color="auto"/>
        <w:right w:val="none" w:sz="0" w:space="0" w:color="auto"/>
      </w:divBdr>
    </w:div>
    <w:div w:id="174809819">
      <w:bodyDiv w:val="1"/>
      <w:marLeft w:val="0"/>
      <w:marRight w:val="0"/>
      <w:marTop w:val="0"/>
      <w:marBottom w:val="0"/>
      <w:divBdr>
        <w:top w:val="none" w:sz="0" w:space="0" w:color="auto"/>
        <w:left w:val="none" w:sz="0" w:space="0" w:color="auto"/>
        <w:bottom w:val="none" w:sz="0" w:space="0" w:color="auto"/>
        <w:right w:val="none" w:sz="0" w:space="0" w:color="auto"/>
      </w:divBdr>
    </w:div>
    <w:div w:id="181362530">
      <w:bodyDiv w:val="1"/>
      <w:marLeft w:val="0"/>
      <w:marRight w:val="0"/>
      <w:marTop w:val="0"/>
      <w:marBottom w:val="0"/>
      <w:divBdr>
        <w:top w:val="none" w:sz="0" w:space="0" w:color="auto"/>
        <w:left w:val="none" w:sz="0" w:space="0" w:color="auto"/>
        <w:bottom w:val="none" w:sz="0" w:space="0" w:color="auto"/>
        <w:right w:val="none" w:sz="0" w:space="0" w:color="auto"/>
      </w:divBdr>
    </w:div>
    <w:div w:id="189803979">
      <w:bodyDiv w:val="1"/>
      <w:marLeft w:val="0"/>
      <w:marRight w:val="0"/>
      <w:marTop w:val="0"/>
      <w:marBottom w:val="0"/>
      <w:divBdr>
        <w:top w:val="none" w:sz="0" w:space="0" w:color="auto"/>
        <w:left w:val="none" w:sz="0" w:space="0" w:color="auto"/>
        <w:bottom w:val="none" w:sz="0" w:space="0" w:color="auto"/>
        <w:right w:val="none" w:sz="0" w:space="0" w:color="auto"/>
      </w:divBdr>
    </w:div>
    <w:div w:id="192503053">
      <w:bodyDiv w:val="1"/>
      <w:marLeft w:val="0"/>
      <w:marRight w:val="0"/>
      <w:marTop w:val="0"/>
      <w:marBottom w:val="0"/>
      <w:divBdr>
        <w:top w:val="none" w:sz="0" w:space="0" w:color="auto"/>
        <w:left w:val="none" w:sz="0" w:space="0" w:color="auto"/>
        <w:bottom w:val="none" w:sz="0" w:space="0" w:color="auto"/>
        <w:right w:val="none" w:sz="0" w:space="0" w:color="auto"/>
      </w:divBdr>
    </w:div>
    <w:div w:id="195385771">
      <w:bodyDiv w:val="1"/>
      <w:marLeft w:val="0"/>
      <w:marRight w:val="0"/>
      <w:marTop w:val="0"/>
      <w:marBottom w:val="0"/>
      <w:divBdr>
        <w:top w:val="none" w:sz="0" w:space="0" w:color="auto"/>
        <w:left w:val="none" w:sz="0" w:space="0" w:color="auto"/>
        <w:bottom w:val="none" w:sz="0" w:space="0" w:color="auto"/>
        <w:right w:val="none" w:sz="0" w:space="0" w:color="auto"/>
      </w:divBdr>
    </w:div>
    <w:div w:id="199512514">
      <w:bodyDiv w:val="1"/>
      <w:marLeft w:val="0"/>
      <w:marRight w:val="0"/>
      <w:marTop w:val="0"/>
      <w:marBottom w:val="0"/>
      <w:divBdr>
        <w:top w:val="none" w:sz="0" w:space="0" w:color="auto"/>
        <w:left w:val="none" w:sz="0" w:space="0" w:color="auto"/>
        <w:bottom w:val="none" w:sz="0" w:space="0" w:color="auto"/>
        <w:right w:val="none" w:sz="0" w:space="0" w:color="auto"/>
      </w:divBdr>
    </w:div>
    <w:div w:id="205799512">
      <w:bodyDiv w:val="1"/>
      <w:marLeft w:val="0"/>
      <w:marRight w:val="0"/>
      <w:marTop w:val="0"/>
      <w:marBottom w:val="0"/>
      <w:divBdr>
        <w:top w:val="none" w:sz="0" w:space="0" w:color="auto"/>
        <w:left w:val="none" w:sz="0" w:space="0" w:color="auto"/>
        <w:bottom w:val="none" w:sz="0" w:space="0" w:color="auto"/>
        <w:right w:val="none" w:sz="0" w:space="0" w:color="auto"/>
      </w:divBdr>
    </w:div>
    <w:div w:id="217283405">
      <w:bodyDiv w:val="1"/>
      <w:marLeft w:val="0"/>
      <w:marRight w:val="0"/>
      <w:marTop w:val="0"/>
      <w:marBottom w:val="0"/>
      <w:divBdr>
        <w:top w:val="none" w:sz="0" w:space="0" w:color="auto"/>
        <w:left w:val="none" w:sz="0" w:space="0" w:color="auto"/>
        <w:bottom w:val="none" w:sz="0" w:space="0" w:color="auto"/>
        <w:right w:val="none" w:sz="0" w:space="0" w:color="auto"/>
      </w:divBdr>
    </w:div>
    <w:div w:id="219832901">
      <w:bodyDiv w:val="1"/>
      <w:marLeft w:val="0"/>
      <w:marRight w:val="0"/>
      <w:marTop w:val="0"/>
      <w:marBottom w:val="0"/>
      <w:divBdr>
        <w:top w:val="none" w:sz="0" w:space="0" w:color="auto"/>
        <w:left w:val="none" w:sz="0" w:space="0" w:color="auto"/>
        <w:bottom w:val="none" w:sz="0" w:space="0" w:color="auto"/>
        <w:right w:val="none" w:sz="0" w:space="0" w:color="auto"/>
      </w:divBdr>
    </w:div>
    <w:div w:id="224223701">
      <w:bodyDiv w:val="1"/>
      <w:marLeft w:val="0"/>
      <w:marRight w:val="0"/>
      <w:marTop w:val="0"/>
      <w:marBottom w:val="0"/>
      <w:divBdr>
        <w:top w:val="none" w:sz="0" w:space="0" w:color="auto"/>
        <w:left w:val="none" w:sz="0" w:space="0" w:color="auto"/>
        <w:bottom w:val="none" w:sz="0" w:space="0" w:color="auto"/>
        <w:right w:val="none" w:sz="0" w:space="0" w:color="auto"/>
      </w:divBdr>
    </w:div>
    <w:div w:id="227687347">
      <w:bodyDiv w:val="1"/>
      <w:marLeft w:val="0"/>
      <w:marRight w:val="0"/>
      <w:marTop w:val="0"/>
      <w:marBottom w:val="0"/>
      <w:divBdr>
        <w:top w:val="none" w:sz="0" w:space="0" w:color="auto"/>
        <w:left w:val="none" w:sz="0" w:space="0" w:color="auto"/>
        <w:bottom w:val="none" w:sz="0" w:space="0" w:color="auto"/>
        <w:right w:val="none" w:sz="0" w:space="0" w:color="auto"/>
      </w:divBdr>
    </w:div>
    <w:div w:id="238684861">
      <w:bodyDiv w:val="1"/>
      <w:marLeft w:val="0"/>
      <w:marRight w:val="0"/>
      <w:marTop w:val="0"/>
      <w:marBottom w:val="0"/>
      <w:divBdr>
        <w:top w:val="none" w:sz="0" w:space="0" w:color="auto"/>
        <w:left w:val="none" w:sz="0" w:space="0" w:color="auto"/>
        <w:bottom w:val="none" w:sz="0" w:space="0" w:color="auto"/>
        <w:right w:val="none" w:sz="0" w:space="0" w:color="auto"/>
      </w:divBdr>
    </w:div>
    <w:div w:id="238830243">
      <w:bodyDiv w:val="1"/>
      <w:marLeft w:val="0"/>
      <w:marRight w:val="0"/>
      <w:marTop w:val="0"/>
      <w:marBottom w:val="0"/>
      <w:divBdr>
        <w:top w:val="none" w:sz="0" w:space="0" w:color="auto"/>
        <w:left w:val="none" w:sz="0" w:space="0" w:color="auto"/>
        <w:bottom w:val="none" w:sz="0" w:space="0" w:color="auto"/>
        <w:right w:val="none" w:sz="0" w:space="0" w:color="auto"/>
      </w:divBdr>
    </w:div>
    <w:div w:id="239601354">
      <w:bodyDiv w:val="1"/>
      <w:marLeft w:val="0"/>
      <w:marRight w:val="0"/>
      <w:marTop w:val="0"/>
      <w:marBottom w:val="0"/>
      <w:divBdr>
        <w:top w:val="none" w:sz="0" w:space="0" w:color="auto"/>
        <w:left w:val="none" w:sz="0" w:space="0" w:color="auto"/>
        <w:bottom w:val="none" w:sz="0" w:space="0" w:color="auto"/>
        <w:right w:val="none" w:sz="0" w:space="0" w:color="auto"/>
      </w:divBdr>
    </w:div>
    <w:div w:id="257179256">
      <w:bodyDiv w:val="1"/>
      <w:marLeft w:val="0"/>
      <w:marRight w:val="0"/>
      <w:marTop w:val="0"/>
      <w:marBottom w:val="0"/>
      <w:divBdr>
        <w:top w:val="none" w:sz="0" w:space="0" w:color="auto"/>
        <w:left w:val="none" w:sz="0" w:space="0" w:color="auto"/>
        <w:bottom w:val="none" w:sz="0" w:space="0" w:color="auto"/>
        <w:right w:val="none" w:sz="0" w:space="0" w:color="auto"/>
      </w:divBdr>
    </w:div>
    <w:div w:id="267272936">
      <w:bodyDiv w:val="1"/>
      <w:marLeft w:val="0"/>
      <w:marRight w:val="0"/>
      <w:marTop w:val="0"/>
      <w:marBottom w:val="0"/>
      <w:divBdr>
        <w:top w:val="none" w:sz="0" w:space="0" w:color="auto"/>
        <w:left w:val="none" w:sz="0" w:space="0" w:color="auto"/>
        <w:bottom w:val="none" w:sz="0" w:space="0" w:color="auto"/>
        <w:right w:val="none" w:sz="0" w:space="0" w:color="auto"/>
      </w:divBdr>
    </w:div>
    <w:div w:id="267811335">
      <w:bodyDiv w:val="1"/>
      <w:marLeft w:val="0"/>
      <w:marRight w:val="0"/>
      <w:marTop w:val="0"/>
      <w:marBottom w:val="0"/>
      <w:divBdr>
        <w:top w:val="none" w:sz="0" w:space="0" w:color="auto"/>
        <w:left w:val="none" w:sz="0" w:space="0" w:color="auto"/>
        <w:bottom w:val="none" w:sz="0" w:space="0" w:color="auto"/>
        <w:right w:val="none" w:sz="0" w:space="0" w:color="auto"/>
      </w:divBdr>
    </w:div>
    <w:div w:id="269553570">
      <w:bodyDiv w:val="1"/>
      <w:marLeft w:val="0"/>
      <w:marRight w:val="0"/>
      <w:marTop w:val="0"/>
      <w:marBottom w:val="0"/>
      <w:divBdr>
        <w:top w:val="none" w:sz="0" w:space="0" w:color="auto"/>
        <w:left w:val="none" w:sz="0" w:space="0" w:color="auto"/>
        <w:bottom w:val="none" w:sz="0" w:space="0" w:color="auto"/>
        <w:right w:val="none" w:sz="0" w:space="0" w:color="auto"/>
      </w:divBdr>
    </w:div>
    <w:div w:id="277759504">
      <w:bodyDiv w:val="1"/>
      <w:marLeft w:val="0"/>
      <w:marRight w:val="0"/>
      <w:marTop w:val="0"/>
      <w:marBottom w:val="0"/>
      <w:divBdr>
        <w:top w:val="none" w:sz="0" w:space="0" w:color="auto"/>
        <w:left w:val="none" w:sz="0" w:space="0" w:color="auto"/>
        <w:bottom w:val="none" w:sz="0" w:space="0" w:color="auto"/>
        <w:right w:val="none" w:sz="0" w:space="0" w:color="auto"/>
      </w:divBdr>
    </w:div>
    <w:div w:id="282925204">
      <w:bodyDiv w:val="1"/>
      <w:marLeft w:val="0"/>
      <w:marRight w:val="0"/>
      <w:marTop w:val="0"/>
      <w:marBottom w:val="0"/>
      <w:divBdr>
        <w:top w:val="none" w:sz="0" w:space="0" w:color="auto"/>
        <w:left w:val="none" w:sz="0" w:space="0" w:color="auto"/>
        <w:bottom w:val="none" w:sz="0" w:space="0" w:color="auto"/>
        <w:right w:val="none" w:sz="0" w:space="0" w:color="auto"/>
      </w:divBdr>
    </w:div>
    <w:div w:id="287669266">
      <w:bodyDiv w:val="1"/>
      <w:marLeft w:val="0"/>
      <w:marRight w:val="0"/>
      <w:marTop w:val="0"/>
      <w:marBottom w:val="0"/>
      <w:divBdr>
        <w:top w:val="none" w:sz="0" w:space="0" w:color="auto"/>
        <w:left w:val="none" w:sz="0" w:space="0" w:color="auto"/>
        <w:bottom w:val="none" w:sz="0" w:space="0" w:color="auto"/>
        <w:right w:val="none" w:sz="0" w:space="0" w:color="auto"/>
      </w:divBdr>
    </w:div>
    <w:div w:id="288367068">
      <w:bodyDiv w:val="1"/>
      <w:marLeft w:val="0"/>
      <w:marRight w:val="0"/>
      <w:marTop w:val="0"/>
      <w:marBottom w:val="0"/>
      <w:divBdr>
        <w:top w:val="none" w:sz="0" w:space="0" w:color="auto"/>
        <w:left w:val="none" w:sz="0" w:space="0" w:color="auto"/>
        <w:bottom w:val="none" w:sz="0" w:space="0" w:color="auto"/>
        <w:right w:val="none" w:sz="0" w:space="0" w:color="auto"/>
      </w:divBdr>
    </w:div>
    <w:div w:id="293953673">
      <w:bodyDiv w:val="1"/>
      <w:marLeft w:val="0"/>
      <w:marRight w:val="0"/>
      <w:marTop w:val="0"/>
      <w:marBottom w:val="0"/>
      <w:divBdr>
        <w:top w:val="none" w:sz="0" w:space="0" w:color="auto"/>
        <w:left w:val="none" w:sz="0" w:space="0" w:color="auto"/>
        <w:bottom w:val="none" w:sz="0" w:space="0" w:color="auto"/>
        <w:right w:val="none" w:sz="0" w:space="0" w:color="auto"/>
      </w:divBdr>
    </w:div>
    <w:div w:id="294458428">
      <w:bodyDiv w:val="1"/>
      <w:marLeft w:val="0"/>
      <w:marRight w:val="0"/>
      <w:marTop w:val="0"/>
      <w:marBottom w:val="0"/>
      <w:divBdr>
        <w:top w:val="none" w:sz="0" w:space="0" w:color="auto"/>
        <w:left w:val="none" w:sz="0" w:space="0" w:color="auto"/>
        <w:bottom w:val="none" w:sz="0" w:space="0" w:color="auto"/>
        <w:right w:val="none" w:sz="0" w:space="0" w:color="auto"/>
      </w:divBdr>
    </w:div>
    <w:div w:id="306201217">
      <w:bodyDiv w:val="1"/>
      <w:marLeft w:val="0"/>
      <w:marRight w:val="0"/>
      <w:marTop w:val="0"/>
      <w:marBottom w:val="0"/>
      <w:divBdr>
        <w:top w:val="none" w:sz="0" w:space="0" w:color="auto"/>
        <w:left w:val="none" w:sz="0" w:space="0" w:color="auto"/>
        <w:bottom w:val="none" w:sz="0" w:space="0" w:color="auto"/>
        <w:right w:val="none" w:sz="0" w:space="0" w:color="auto"/>
      </w:divBdr>
    </w:div>
    <w:div w:id="310520716">
      <w:bodyDiv w:val="1"/>
      <w:marLeft w:val="0"/>
      <w:marRight w:val="0"/>
      <w:marTop w:val="0"/>
      <w:marBottom w:val="0"/>
      <w:divBdr>
        <w:top w:val="none" w:sz="0" w:space="0" w:color="auto"/>
        <w:left w:val="none" w:sz="0" w:space="0" w:color="auto"/>
        <w:bottom w:val="none" w:sz="0" w:space="0" w:color="auto"/>
        <w:right w:val="none" w:sz="0" w:space="0" w:color="auto"/>
      </w:divBdr>
    </w:div>
    <w:div w:id="323319352">
      <w:bodyDiv w:val="1"/>
      <w:marLeft w:val="0"/>
      <w:marRight w:val="0"/>
      <w:marTop w:val="0"/>
      <w:marBottom w:val="0"/>
      <w:divBdr>
        <w:top w:val="none" w:sz="0" w:space="0" w:color="auto"/>
        <w:left w:val="none" w:sz="0" w:space="0" w:color="auto"/>
        <w:bottom w:val="none" w:sz="0" w:space="0" w:color="auto"/>
        <w:right w:val="none" w:sz="0" w:space="0" w:color="auto"/>
      </w:divBdr>
    </w:div>
    <w:div w:id="352267407">
      <w:bodyDiv w:val="1"/>
      <w:marLeft w:val="0"/>
      <w:marRight w:val="0"/>
      <w:marTop w:val="0"/>
      <w:marBottom w:val="0"/>
      <w:divBdr>
        <w:top w:val="none" w:sz="0" w:space="0" w:color="auto"/>
        <w:left w:val="none" w:sz="0" w:space="0" w:color="auto"/>
        <w:bottom w:val="none" w:sz="0" w:space="0" w:color="auto"/>
        <w:right w:val="none" w:sz="0" w:space="0" w:color="auto"/>
      </w:divBdr>
    </w:div>
    <w:div w:id="360327261">
      <w:bodyDiv w:val="1"/>
      <w:marLeft w:val="0"/>
      <w:marRight w:val="0"/>
      <w:marTop w:val="0"/>
      <w:marBottom w:val="0"/>
      <w:divBdr>
        <w:top w:val="none" w:sz="0" w:space="0" w:color="auto"/>
        <w:left w:val="none" w:sz="0" w:space="0" w:color="auto"/>
        <w:bottom w:val="none" w:sz="0" w:space="0" w:color="auto"/>
        <w:right w:val="none" w:sz="0" w:space="0" w:color="auto"/>
      </w:divBdr>
    </w:div>
    <w:div w:id="362824983">
      <w:bodyDiv w:val="1"/>
      <w:marLeft w:val="0"/>
      <w:marRight w:val="0"/>
      <w:marTop w:val="0"/>
      <w:marBottom w:val="0"/>
      <w:divBdr>
        <w:top w:val="none" w:sz="0" w:space="0" w:color="auto"/>
        <w:left w:val="none" w:sz="0" w:space="0" w:color="auto"/>
        <w:bottom w:val="none" w:sz="0" w:space="0" w:color="auto"/>
        <w:right w:val="none" w:sz="0" w:space="0" w:color="auto"/>
      </w:divBdr>
    </w:div>
    <w:div w:id="363137155">
      <w:bodyDiv w:val="1"/>
      <w:marLeft w:val="0"/>
      <w:marRight w:val="0"/>
      <w:marTop w:val="0"/>
      <w:marBottom w:val="0"/>
      <w:divBdr>
        <w:top w:val="none" w:sz="0" w:space="0" w:color="auto"/>
        <w:left w:val="none" w:sz="0" w:space="0" w:color="auto"/>
        <w:bottom w:val="none" w:sz="0" w:space="0" w:color="auto"/>
        <w:right w:val="none" w:sz="0" w:space="0" w:color="auto"/>
      </w:divBdr>
    </w:div>
    <w:div w:id="373115549">
      <w:bodyDiv w:val="1"/>
      <w:marLeft w:val="0"/>
      <w:marRight w:val="0"/>
      <w:marTop w:val="0"/>
      <w:marBottom w:val="0"/>
      <w:divBdr>
        <w:top w:val="none" w:sz="0" w:space="0" w:color="auto"/>
        <w:left w:val="none" w:sz="0" w:space="0" w:color="auto"/>
        <w:bottom w:val="none" w:sz="0" w:space="0" w:color="auto"/>
        <w:right w:val="none" w:sz="0" w:space="0" w:color="auto"/>
      </w:divBdr>
    </w:div>
    <w:div w:id="375737869">
      <w:bodyDiv w:val="1"/>
      <w:marLeft w:val="0"/>
      <w:marRight w:val="0"/>
      <w:marTop w:val="0"/>
      <w:marBottom w:val="0"/>
      <w:divBdr>
        <w:top w:val="none" w:sz="0" w:space="0" w:color="auto"/>
        <w:left w:val="none" w:sz="0" w:space="0" w:color="auto"/>
        <w:bottom w:val="none" w:sz="0" w:space="0" w:color="auto"/>
        <w:right w:val="none" w:sz="0" w:space="0" w:color="auto"/>
      </w:divBdr>
    </w:div>
    <w:div w:id="376200116">
      <w:bodyDiv w:val="1"/>
      <w:marLeft w:val="0"/>
      <w:marRight w:val="0"/>
      <w:marTop w:val="0"/>
      <w:marBottom w:val="0"/>
      <w:divBdr>
        <w:top w:val="none" w:sz="0" w:space="0" w:color="auto"/>
        <w:left w:val="none" w:sz="0" w:space="0" w:color="auto"/>
        <w:bottom w:val="none" w:sz="0" w:space="0" w:color="auto"/>
        <w:right w:val="none" w:sz="0" w:space="0" w:color="auto"/>
      </w:divBdr>
    </w:div>
    <w:div w:id="378163247">
      <w:bodyDiv w:val="1"/>
      <w:marLeft w:val="0"/>
      <w:marRight w:val="0"/>
      <w:marTop w:val="0"/>
      <w:marBottom w:val="0"/>
      <w:divBdr>
        <w:top w:val="none" w:sz="0" w:space="0" w:color="auto"/>
        <w:left w:val="none" w:sz="0" w:space="0" w:color="auto"/>
        <w:bottom w:val="none" w:sz="0" w:space="0" w:color="auto"/>
        <w:right w:val="none" w:sz="0" w:space="0" w:color="auto"/>
      </w:divBdr>
    </w:div>
    <w:div w:id="378819014">
      <w:bodyDiv w:val="1"/>
      <w:marLeft w:val="0"/>
      <w:marRight w:val="0"/>
      <w:marTop w:val="0"/>
      <w:marBottom w:val="0"/>
      <w:divBdr>
        <w:top w:val="none" w:sz="0" w:space="0" w:color="auto"/>
        <w:left w:val="none" w:sz="0" w:space="0" w:color="auto"/>
        <w:bottom w:val="none" w:sz="0" w:space="0" w:color="auto"/>
        <w:right w:val="none" w:sz="0" w:space="0" w:color="auto"/>
      </w:divBdr>
    </w:div>
    <w:div w:id="387187839">
      <w:bodyDiv w:val="1"/>
      <w:marLeft w:val="0"/>
      <w:marRight w:val="0"/>
      <w:marTop w:val="0"/>
      <w:marBottom w:val="0"/>
      <w:divBdr>
        <w:top w:val="none" w:sz="0" w:space="0" w:color="auto"/>
        <w:left w:val="none" w:sz="0" w:space="0" w:color="auto"/>
        <w:bottom w:val="none" w:sz="0" w:space="0" w:color="auto"/>
        <w:right w:val="none" w:sz="0" w:space="0" w:color="auto"/>
      </w:divBdr>
    </w:div>
    <w:div w:id="389231754">
      <w:bodyDiv w:val="1"/>
      <w:marLeft w:val="0"/>
      <w:marRight w:val="0"/>
      <w:marTop w:val="0"/>
      <w:marBottom w:val="0"/>
      <w:divBdr>
        <w:top w:val="none" w:sz="0" w:space="0" w:color="auto"/>
        <w:left w:val="none" w:sz="0" w:space="0" w:color="auto"/>
        <w:bottom w:val="none" w:sz="0" w:space="0" w:color="auto"/>
        <w:right w:val="none" w:sz="0" w:space="0" w:color="auto"/>
      </w:divBdr>
    </w:div>
    <w:div w:id="401685133">
      <w:bodyDiv w:val="1"/>
      <w:marLeft w:val="0"/>
      <w:marRight w:val="0"/>
      <w:marTop w:val="0"/>
      <w:marBottom w:val="0"/>
      <w:divBdr>
        <w:top w:val="none" w:sz="0" w:space="0" w:color="auto"/>
        <w:left w:val="none" w:sz="0" w:space="0" w:color="auto"/>
        <w:bottom w:val="none" w:sz="0" w:space="0" w:color="auto"/>
        <w:right w:val="none" w:sz="0" w:space="0" w:color="auto"/>
      </w:divBdr>
    </w:div>
    <w:div w:id="407004000">
      <w:bodyDiv w:val="1"/>
      <w:marLeft w:val="0"/>
      <w:marRight w:val="0"/>
      <w:marTop w:val="0"/>
      <w:marBottom w:val="0"/>
      <w:divBdr>
        <w:top w:val="none" w:sz="0" w:space="0" w:color="auto"/>
        <w:left w:val="none" w:sz="0" w:space="0" w:color="auto"/>
        <w:bottom w:val="none" w:sz="0" w:space="0" w:color="auto"/>
        <w:right w:val="none" w:sz="0" w:space="0" w:color="auto"/>
      </w:divBdr>
    </w:div>
    <w:div w:id="418869167">
      <w:bodyDiv w:val="1"/>
      <w:marLeft w:val="0"/>
      <w:marRight w:val="0"/>
      <w:marTop w:val="0"/>
      <w:marBottom w:val="0"/>
      <w:divBdr>
        <w:top w:val="none" w:sz="0" w:space="0" w:color="auto"/>
        <w:left w:val="none" w:sz="0" w:space="0" w:color="auto"/>
        <w:bottom w:val="none" w:sz="0" w:space="0" w:color="auto"/>
        <w:right w:val="none" w:sz="0" w:space="0" w:color="auto"/>
      </w:divBdr>
    </w:div>
    <w:div w:id="427388240">
      <w:bodyDiv w:val="1"/>
      <w:marLeft w:val="0"/>
      <w:marRight w:val="0"/>
      <w:marTop w:val="0"/>
      <w:marBottom w:val="0"/>
      <w:divBdr>
        <w:top w:val="none" w:sz="0" w:space="0" w:color="auto"/>
        <w:left w:val="none" w:sz="0" w:space="0" w:color="auto"/>
        <w:bottom w:val="none" w:sz="0" w:space="0" w:color="auto"/>
        <w:right w:val="none" w:sz="0" w:space="0" w:color="auto"/>
      </w:divBdr>
    </w:div>
    <w:div w:id="431973578">
      <w:bodyDiv w:val="1"/>
      <w:marLeft w:val="0"/>
      <w:marRight w:val="0"/>
      <w:marTop w:val="0"/>
      <w:marBottom w:val="0"/>
      <w:divBdr>
        <w:top w:val="none" w:sz="0" w:space="0" w:color="auto"/>
        <w:left w:val="none" w:sz="0" w:space="0" w:color="auto"/>
        <w:bottom w:val="none" w:sz="0" w:space="0" w:color="auto"/>
        <w:right w:val="none" w:sz="0" w:space="0" w:color="auto"/>
      </w:divBdr>
    </w:div>
    <w:div w:id="433746003">
      <w:bodyDiv w:val="1"/>
      <w:marLeft w:val="0"/>
      <w:marRight w:val="0"/>
      <w:marTop w:val="0"/>
      <w:marBottom w:val="0"/>
      <w:divBdr>
        <w:top w:val="none" w:sz="0" w:space="0" w:color="auto"/>
        <w:left w:val="none" w:sz="0" w:space="0" w:color="auto"/>
        <w:bottom w:val="none" w:sz="0" w:space="0" w:color="auto"/>
        <w:right w:val="none" w:sz="0" w:space="0" w:color="auto"/>
      </w:divBdr>
    </w:div>
    <w:div w:id="436486499">
      <w:bodyDiv w:val="1"/>
      <w:marLeft w:val="0"/>
      <w:marRight w:val="0"/>
      <w:marTop w:val="0"/>
      <w:marBottom w:val="0"/>
      <w:divBdr>
        <w:top w:val="none" w:sz="0" w:space="0" w:color="auto"/>
        <w:left w:val="none" w:sz="0" w:space="0" w:color="auto"/>
        <w:bottom w:val="none" w:sz="0" w:space="0" w:color="auto"/>
        <w:right w:val="none" w:sz="0" w:space="0" w:color="auto"/>
      </w:divBdr>
    </w:div>
    <w:div w:id="447237235">
      <w:bodyDiv w:val="1"/>
      <w:marLeft w:val="0"/>
      <w:marRight w:val="0"/>
      <w:marTop w:val="0"/>
      <w:marBottom w:val="0"/>
      <w:divBdr>
        <w:top w:val="none" w:sz="0" w:space="0" w:color="auto"/>
        <w:left w:val="none" w:sz="0" w:space="0" w:color="auto"/>
        <w:bottom w:val="none" w:sz="0" w:space="0" w:color="auto"/>
        <w:right w:val="none" w:sz="0" w:space="0" w:color="auto"/>
      </w:divBdr>
    </w:div>
    <w:div w:id="453252161">
      <w:bodyDiv w:val="1"/>
      <w:marLeft w:val="0"/>
      <w:marRight w:val="0"/>
      <w:marTop w:val="0"/>
      <w:marBottom w:val="0"/>
      <w:divBdr>
        <w:top w:val="none" w:sz="0" w:space="0" w:color="auto"/>
        <w:left w:val="none" w:sz="0" w:space="0" w:color="auto"/>
        <w:bottom w:val="none" w:sz="0" w:space="0" w:color="auto"/>
        <w:right w:val="none" w:sz="0" w:space="0" w:color="auto"/>
      </w:divBdr>
    </w:div>
    <w:div w:id="463281364">
      <w:bodyDiv w:val="1"/>
      <w:marLeft w:val="0"/>
      <w:marRight w:val="0"/>
      <w:marTop w:val="0"/>
      <w:marBottom w:val="0"/>
      <w:divBdr>
        <w:top w:val="none" w:sz="0" w:space="0" w:color="auto"/>
        <w:left w:val="none" w:sz="0" w:space="0" w:color="auto"/>
        <w:bottom w:val="none" w:sz="0" w:space="0" w:color="auto"/>
        <w:right w:val="none" w:sz="0" w:space="0" w:color="auto"/>
      </w:divBdr>
    </w:div>
    <w:div w:id="469178216">
      <w:bodyDiv w:val="1"/>
      <w:marLeft w:val="0"/>
      <w:marRight w:val="0"/>
      <w:marTop w:val="0"/>
      <w:marBottom w:val="0"/>
      <w:divBdr>
        <w:top w:val="none" w:sz="0" w:space="0" w:color="auto"/>
        <w:left w:val="none" w:sz="0" w:space="0" w:color="auto"/>
        <w:bottom w:val="none" w:sz="0" w:space="0" w:color="auto"/>
        <w:right w:val="none" w:sz="0" w:space="0" w:color="auto"/>
      </w:divBdr>
    </w:div>
    <w:div w:id="469591234">
      <w:bodyDiv w:val="1"/>
      <w:marLeft w:val="0"/>
      <w:marRight w:val="0"/>
      <w:marTop w:val="0"/>
      <w:marBottom w:val="0"/>
      <w:divBdr>
        <w:top w:val="none" w:sz="0" w:space="0" w:color="auto"/>
        <w:left w:val="none" w:sz="0" w:space="0" w:color="auto"/>
        <w:bottom w:val="none" w:sz="0" w:space="0" w:color="auto"/>
        <w:right w:val="none" w:sz="0" w:space="0" w:color="auto"/>
      </w:divBdr>
    </w:div>
    <w:div w:id="469985255">
      <w:bodyDiv w:val="1"/>
      <w:marLeft w:val="0"/>
      <w:marRight w:val="0"/>
      <w:marTop w:val="0"/>
      <w:marBottom w:val="0"/>
      <w:divBdr>
        <w:top w:val="none" w:sz="0" w:space="0" w:color="auto"/>
        <w:left w:val="none" w:sz="0" w:space="0" w:color="auto"/>
        <w:bottom w:val="none" w:sz="0" w:space="0" w:color="auto"/>
        <w:right w:val="none" w:sz="0" w:space="0" w:color="auto"/>
      </w:divBdr>
    </w:div>
    <w:div w:id="470514161">
      <w:bodyDiv w:val="1"/>
      <w:marLeft w:val="0"/>
      <w:marRight w:val="0"/>
      <w:marTop w:val="0"/>
      <w:marBottom w:val="0"/>
      <w:divBdr>
        <w:top w:val="none" w:sz="0" w:space="0" w:color="auto"/>
        <w:left w:val="none" w:sz="0" w:space="0" w:color="auto"/>
        <w:bottom w:val="none" w:sz="0" w:space="0" w:color="auto"/>
        <w:right w:val="none" w:sz="0" w:space="0" w:color="auto"/>
      </w:divBdr>
    </w:div>
    <w:div w:id="475757063">
      <w:bodyDiv w:val="1"/>
      <w:marLeft w:val="0"/>
      <w:marRight w:val="0"/>
      <w:marTop w:val="0"/>
      <w:marBottom w:val="0"/>
      <w:divBdr>
        <w:top w:val="none" w:sz="0" w:space="0" w:color="auto"/>
        <w:left w:val="none" w:sz="0" w:space="0" w:color="auto"/>
        <w:bottom w:val="none" w:sz="0" w:space="0" w:color="auto"/>
        <w:right w:val="none" w:sz="0" w:space="0" w:color="auto"/>
      </w:divBdr>
    </w:div>
    <w:div w:id="481315964">
      <w:bodyDiv w:val="1"/>
      <w:marLeft w:val="0"/>
      <w:marRight w:val="0"/>
      <w:marTop w:val="0"/>
      <w:marBottom w:val="0"/>
      <w:divBdr>
        <w:top w:val="none" w:sz="0" w:space="0" w:color="auto"/>
        <w:left w:val="none" w:sz="0" w:space="0" w:color="auto"/>
        <w:bottom w:val="none" w:sz="0" w:space="0" w:color="auto"/>
        <w:right w:val="none" w:sz="0" w:space="0" w:color="auto"/>
      </w:divBdr>
    </w:div>
    <w:div w:id="483283621">
      <w:bodyDiv w:val="1"/>
      <w:marLeft w:val="0"/>
      <w:marRight w:val="0"/>
      <w:marTop w:val="0"/>
      <w:marBottom w:val="0"/>
      <w:divBdr>
        <w:top w:val="none" w:sz="0" w:space="0" w:color="auto"/>
        <w:left w:val="none" w:sz="0" w:space="0" w:color="auto"/>
        <w:bottom w:val="none" w:sz="0" w:space="0" w:color="auto"/>
        <w:right w:val="none" w:sz="0" w:space="0" w:color="auto"/>
      </w:divBdr>
    </w:div>
    <w:div w:id="491528614">
      <w:bodyDiv w:val="1"/>
      <w:marLeft w:val="0"/>
      <w:marRight w:val="0"/>
      <w:marTop w:val="0"/>
      <w:marBottom w:val="0"/>
      <w:divBdr>
        <w:top w:val="none" w:sz="0" w:space="0" w:color="auto"/>
        <w:left w:val="none" w:sz="0" w:space="0" w:color="auto"/>
        <w:bottom w:val="none" w:sz="0" w:space="0" w:color="auto"/>
        <w:right w:val="none" w:sz="0" w:space="0" w:color="auto"/>
      </w:divBdr>
    </w:div>
    <w:div w:id="492187708">
      <w:bodyDiv w:val="1"/>
      <w:marLeft w:val="0"/>
      <w:marRight w:val="0"/>
      <w:marTop w:val="0"/>
      <w:marBottom w:val="0"/>
      <w:divBdr>
        <w:top w:val="none" w:sz="0" w:space="0" w:color="auto"/>
        <w:left w:val="none" w:sz="0" w:space="0" w:color="auto"/>
        <w:bottom w:val="none" w:sz="0" w:space="0" w:color="auto"/>
        <w:right w:val="none" w:sz="0" w:space="0" w:color="auto"/>
      </w:divBdr>
    </w:div>
    <w:div w:id="493298285">
      <w:bodyDiv w:val="1"/>
      <w:marLeft w:val="0"/>
      <w:marRight w:val="0"/>
      <w:marTop w:val="0"/>
      <w:marBottom w:val="0"/>
      <w:divBdr>
        <w:top w:val="none" w:sz="0" w:space="0" w:color="auto"/>
        <w:left w:val="none" w:sz="0" w:space="0" w:color="auto"/>
        <w:bottom w:val="none" w:sz="0" w:space="0" w:color="auto"/>
        <w:right w:val="none" w:sz="0" w:space="0" w:color="auto"/>
      </w:divBdr>
    </w:div>
    <w:div w:id="497040879">
      <w:bodyDiv w:val="1"/>
      <w:marLeft w:val="0"/>
      <w:marRight w:val="0"/>
      <w:marTop w:val="0"/>
      <w:marBottom w:val="0"/>
      <w:divBdr>
        <w:top w:val="none" w:sz="0" w:space="0" w:color="auto"/>
        <w:left w:val="none" w:sz="0" w:space="0" w:color="auto"/>
        <w:bottom w:val="none" w:sz="0" w:space="0" w:color="auto"/>
        <w:right w:val="none" w:sz="0" w:space="0" w:color="auto"/>
      </w:divBdr>
    </w:div>
    <w:div w:id="497383298">
      <w:bodyDiv w:val="1"/>
      <w:marLeft w:val="0"/>
      <w:marRight w:val="0"/>
      <w:marTop w:val="0"/>
      <w:marBottom w:val="0"/>
      <w:divBdr>
        <w:top w:val="none" w:sz="0" w:space="0" w:color="auto"/>
        <w:left w:val="none" w:sz="0" w:space="0" w:color="auto"/>
        <w:bottom w:val="none" w:sz="0" w:space="0" w:color="auto"/>
        <w:right w:val="none" w:sz="0" w:space="0" w:color="auto"/>
      </w:divBdr>
    </w:div>
    <w:div w:id="498807988">
      <w:bodyDiv w:val="1"/>
      <w:marLeft w:val="0"/>
      <w:marRight w:val="0"/>
      <w:marTop w:val="0"/>
      <w:marBottom w:val="0"/>
      <w:divBdr>
        <w:top w:val="none" w:sz="0" w:space="0" w:color="auto"/>
        <w:left w:val="none" w:sz="0" w:space="0" w:color="auto"/>
        <w:bottom w:val="none" w:sz="0" w:space="0" w:color="auto"/>
        <w:right w:val="none" w:sz="0" w:space="0" w:color="auto"/>
      </w:divBdr>
    </w:div>
    <w:div w:id="507260291">
      <w:bodyDiv w:val="1"/>
      <w:marLeft w:val="0"/>
      <w:marRight w:val="0"/>
      <w:marTop w:val="0"/>
      <w:marBottom w:val="0"/>
      <w:divBdr>
        <w:top w:val="none" w:sz="0" w:space="0" w:color="auto"/>
        <w:left w:val="none" w:sz="0" w:space="0" w:color="auto"/>
        <w:bottom w:val="none" w:sz="0" w:space="0" w:color="auto"/>
        <w:right w:val="none" w:sz="0" w:space="0" w:color="auto"/>
      </w:divBdr>
    </w:div>
    <w:div w:id="525021816">
      <w:bodyDiv w:val="1"/>
      <w:marLeft w:val="0"/>
      <w:marRight w:val="0"/>
      <w:marTop w:val="0"/>
      <w:marBottom w:val="0"/>
      <w:divBdr>
        <w:top w:val="none" w:sz="0" w:space="0" w:color="auto"/>
        <w:left w:val="none" w:sz="0" w:space="0" w:color="auto"/>
        <w:bottom w:val="none" w:sz="0" w:space="0" w:color="auto"/>
        <w:right w:val="none" w:sz="0" w:space="0" w:color="auto"/>
      </w:divBdr>
    </w:div>
    <w:div w:id="526455897">
      <w:bodyDiv w:val="1"/>
      <w:marLeft w:val="0"/>
      <w:marRight w:val="0"/>
      <w:marTop w:val="0"/>
      <w:marBottom w:val="0"/>
      <w:divBdr>
        <w:top w:val="none" w:sz="0" w:space="0" w:color="auto"/>
        <w:left w:val="none" w:sz="0" w:space="0" w:color="auto"/>
        <w:bottom w:val="none" w:sz="0" w:space="0" w:color="auto"/>
        <w:right w:val="none" w:sz="0" w:space="0" w:color="auto"/>
      </w:divBdr>
    </w:div>
    <w:div w:id="530457419">
      <w:bodyDiv w:val="1"/>
      <w:marLeft w:val="0"/>
      <w:marRight w:val="0"/>
      <w:marTop w:val="0"/>
      <w:marBottom w:val="0"/>
      <w:divBdr>
        <w:top w:val="none" w:sz="0" w:space="0" w:color="auto"/>
        <w:left w:val="none" w:sz="0" w:space="0" w:color="auto"/>
        <w:bottom w:val="none" w:sz="0" w:space="0" w:color="auto"/>
        <w:right w:val="none" w:sz="0" w:space="0" w:color="auto"/>
      </w:divBdr>
    </w:div>
    <w:div w:id="547642121">
      <w:bodyDiv w:val="1"/>
      <w:marLeft w:val="0"/>
      <w:marRight w:val="0"/>
      <w:marTop w:val="0"/>
      <w:marBottom w:val="0"/>
      <w:divBdr>
        <w:top w:val="none" w:sz="0" w:space="0" w:color="auto"/>
        <w:left w:val="none" w:sz="0" w:space="0" w:color="auto"/>
        <w:bottom w:val="none" w:sz="0" w:space="0" w:color="auto"/>
        <w:right w:val="none" w:sz="0" w:space="0" w:color="auto"/>
      </w:divBdr>
    </w:div>
    <w:div w:id="549995301">
      <w:bodyDiv w:val="1"/>
      <w:marLeft w:val="0"/>
      <w:marRight w:val="0"/>
      <w:marTop w:val="0"/>
      <w:marBottom w:val="0"/>
      <w:divBdr>
        <w:top w:val="none" w:sz="0" w:space="0" w:color="auto"/>
        <w:left w:val="none" w:sz="0" w:space="0" w:color="auto"/>
        <w:bottom w:val="none" w:sz="0" w:space="0" w:color="auto"/>
        <w:right w:val="none" w:sz="0" w:space="0" w:color="auto"/>
      </w:divBdr>
    </w:div>
    <w:div w:id="553659296">
      <w:bodyDiv w:val="1"/>
      <w:marLeft w:val="0"/>
      <w:marRight w:val="0"/>
      <w:marTop w:val="0"/>
      <w:marBottom w:val="0"/>
      <w:divBdr>
        <w:top w:val="none" w:sz="0" w:space="0" w:color="auto"/>
        <w:left w:val="none" w:sz="0" w:space="0" w:color="auto"/>
        <w:bottom w:val="none" w:sz="0" w:space="0" w:color="auto"/>
        <w:right w:val="none" w:sz="0" w:space="0" w:color="auto"/>
      </w:divBdr>
    </w:div>
    <w:div w:id="560293717">
      <w:bodyDiv w:val="1"/>
      <w:marLeft w:val="0"/>
      <w:marRight w:val="0"/>
      <w:marTop w:val="0"/>
      <w:marBottom w:val="0"/>
      <w:divBdr>
        <w:top w:val="none" w:sz="0" w:space="0" w:color="auto"/>
        <w:left w:val="none" w:sz="0" w:space="0" w:color="auto"/>
        <w:bottom w:val="none" w:sz="0" w:space="0" w:color="auto"/>
        <w:right w:val="none" w:sz="0" w:space="0" w:color="auto"/>
      </w:divBdr>
    </w:div>
    <w:div w:id="561523353">
      <w:bodyDiv w:val="1"/>
      <w:marLeft w:val="0"/>
      <w:marRight w:val="0"/>
      <w:marTop w:val="0"/>
      <w:marBottom w:val="0"/>
      <w:divBdr>
        <w:top w:val="none" w:sz="0" w:space="0" w:color="auto"/>
        <w:left w:val="none" w:sz="0" w:space="0" w:color="auto"/>
        <w:bottom w:val="none" w:sz="0" w:space="0" w:color="auto"/>
        <w:right w:val="none" w:sz="0" w:space="0" w:color="auto"/>
      </w:divBdr>
    </w:div>
    <w:div w:id="562715208">
      <w:bodyDiv w:val="1"/>
      <w:marLeft w:val="0"/>
      <w:marRight w:val="0"/>
      <w:marTop w:val="0"/>
      <w:marBottom w:val="0"/>
      <w:divBdr>
        <w:top w:val="none" w:sz="0" w:space="0" w:color="auto"/>
        <w:left w:val="none" w:sz="0" w:space="0" w:color="auto"/>
        <w:bottom w:val="none" w:sz="0" w:space="0" w:color="auto"/>
        <w:right w:val="none" w:sz="0" w:space="0" w:color="auto"/>
      </w:divBdr>
    </w:div>
    <w:div w:id="565578703">
      <w:bodyDiv w:val="1"/>
      <w:marLeft w:val="0"/>
      <w:marRight w:val="0"/>
      <w:marTop w:val="0"/>
      <w:marBottom w:val="0"/>
      <w:divBdr>
        <w:top w:val="none" w:sz="0" w:space="0" w:color="auto"/>
        <w:left w:val="none" w:sz="0" w:space="0" w:color="auto"/>
        <w:bottom w:val="none" w:sz="0" w:space="0" w:color="auto"/>
        <w:right w:val="none" w:sz="0" w:space="0" w:color="auto"/>
      </w:divBdr>
    </w:div>
    <w:div w:id="582303212">
      <w:bodyDiv w:val="1"/>
      <w:marLeft w:val="0"/>
      <w:marRight w:val="0"/>
      <w:marTop w:val="0"/>
      <w:marBottom w:val="0"/>
      <w:divBdr>
        <w:top w:val="none" w:sz="0" w:space="0" w:color="auto"/>
        <w:left w:val="none" w:sz="0" w:space="0" w:color="auto"/>
        <w:bottom w:val="none" w:sz="0" w:space="0" w:color="auto"/>
        <w:right w:val="none" w:sz="0" w:space="0" w:color="auto"/>
      </w:divBdr>
    </w:div>
    <w:div w:id="591159279">
      <w:bodyDiv w:val="1"/>
      <w:marLeft w:val="0"/>
      <w:marRight w:val="0"/>
      <w:marTop w:val="0"/>
      <w:marBottom w:val="0"/>
      <w:divBdr>
        <w:top w:val="none" w:sz="0" w:space="0" w:color="auto"/>
        <w:left w:val="none" w:sz="0" w:space="0" w:color="auto"/>
        <w:bottom w:val="none" w:sz="0" w:space="0" w:color="auto"/>
        <w:right w:val="none" w:sz="0" w:space="0" w:color="auto"/>
      </w:divBdr>
    </w:div>
    <w:div w:id="594678852">
      <w:bodyDiv w:val="1"/>
      <w:marLeft w:val="0"/>
      <w:marRight w:val="0"/>
      <w:marTop w:val="0"/>
      <w:marBottom w:val="0"/>
      <w:divBdr>
        <w:top w:val="none" w:sz="0" w:space="0" w:color="auto"/>
        <w:left w:val="none" w:sz="0" w:space="0" w:color="auto"/>
        <w:bottom w:val="none" w:sz="0" w:space="0" w:color="auto"/>
        <w:right w:val="none" w:sz="0" w:space="0" w:color="auto"/>
      </w:divBdr>
    </w:div>
    <w:div w:id="595745844">
      <w:bodyDiv w:val="1"/>
      <w:marLeft w:val="0"/>
      <w:marRight w:val="0"/>
      <w:marTop w:val="0"/>
      <w:marBottom w:val="0"/>
      <w:divBdr>
        <w:top w:val="none" w:sz="0" w:space="0" w:color="auto"/>
        <w:left w:val="none" w:sz="0" w:space="0" w:color="auto"/>
        <w:bottom w:val="none" w:sz="0" w:space="0" w:color="auto"/>
        <w:right w:val="none" w:sz="0" w:space="0" w:color="auto"/>
      </w:divBdr>
      <w:divsChild>
        <w:div w:id="1259875474">
          <w:marLeft w:val="547"/>
          <w:marRight w:val="0"/>
          <w:marTop w:val="115"/>
          <w:marBottom w:val="0"/>
          <w:divBdr>
            <w:top w:val="none" w:sz="0" w:space="0" w:color="auto"/>
            <w:left w:val="none" w:sz="0" w:space="0" w:color="auto"/>
            <w:bottom w:val="none" w:sz="0" w:space="0" w:color="auto"/>
            <w:right w:val="none" w:sz="0" w:space="0" w:color="auto"/>
          </w:divBdr>
        </w:div>
        <w:div w:id="1504933167">
          <w:marLeft w:val="547"/>
          <w:marRight w:val="0"/>
          <w:marTop w:val="115"/>
          <w:marBottom w:val="0"/>
          <w:divBdr>
            <w:top w:val="none" w:sz="0" w:space="0" w:color="auto"/>
            <w:left w:val="none" w:sz="0" w:space="0" w:color="auto"/>
            <w:bottom w:val="none" w:sz="0" w:space="0" w:color="auto"/>
            <w:right w:val="none" w:sz="0" w:space="0" w:color="auto"/>
          </w:divBdr>
        </w:div>
        <w:div w:id="430590348">
          <w:marLeft w:val="547"/>
          <w:marRight w:val="0"/>
          <w:marTop w:val="115"/>
          <w:marBottom w:val="0"/>
          <w:divBdr>
            <w:top w:val="none" w:sz="0" w:space="0" w:color="auto"/>
            <w:left w:val="none" w:sz="0" w:space="0" w:color="auto"/>
            <w:bottom w:val="none" w:sz="0" w:space="0" w:color="auto"/>
            <w:right w:val="none" w:sz="0" w:space="0" w:color="auto"/>
          </w:divBdr>
        </w:div>
      </w:divsChild>
    </w:div>
    <w:div w:id="596251171">
      <w:bodyDiv w:val="1"/>
      <w:marLeft w:val="0"/>
      <w:marRight w:val="0"/>
      <w:marTop w:val="0"/>
      <w:marBottom w:val="0"/>
      <w:divBdr>
        <w:top w:val="none" w:sz="0" w:space="0" w:color="auto"/>
        <w:left w:val="none" w:sz="0" w:space="0" w:color="auto"/>
        <w:bottom w:val="none" w:sz="0" w:space="0" w:color="auto"/>
        <w:right w:val="none" w:sz="0" w:space="0" w:color="auto"/>
      </w:divBdr>
    </w:div>
    <w:div w:id="598417599">
      <w:bodyDiv w:val="1"/>
      <w:marLeft w:val="0"/>
      <w:marRight w:val="0"/>
      <w:marTop w:val="0"/>
      <w:marBottom w:val="0"/>
      <w:divBdr>
        <w:top w:val="none" w:sz="0" w:space="0" w:color="auto"/>
        <w:left w:val="none" w:sz="0" w:space="0" w:color="auto"/>
        <w:bottom w:val="none" w:sz="0" w:space="0" w:color="auto"/>
        <w:right w:val="none" w:sz="0" w:space="0" w:color="auto"/>
      </w:divBdr>
    </w:div>
    <w:div w:id="602344139">
      <w:bodyDiv w:val="1"/>
      <w:marLeft w:val="0"/>
      <w:marRight w:val="0"/>
      <w:marTop w:val="0"/>
      <w:marBottom w:val="0"/>
      <w:divBdr>
        <w:top w:val="none" w:sz="0" w:space="0" w:color="auto"/>
        <w:left w:val="none" w:sz="0" w:space="0" w:color="auto"/>
        <w:bottom w:val="none" w:sz="0" w:space="0" w:color="auto"/>
        <w:right w:val="none" w:sz="0" w:space="0" w:color="auto"/>
      </w:divBdr>
    </w:div>
    <w:div w:id="613024083">
      <w:bodyDiv w:val="1"/>
      <w:marLeft w:val="0"/>
      <w:marRight w:val="0"/>
      <w:marTop w:val="0"/>
      <w:marBottom w:val="0"/>
      <w:divBdr>
        <w:top w:val="none" w:sz="0" w:space="0" w:color="auto"/>
        <w:left w:val="none" w:sz="0" w:space="0" w:color="auto"/>
        <w:bottom w:val="none" w:sz="0" w:space="0" w:color="auto"/>
        <w:right w:val="none" w:sz="0" w:space="0" w:color="auto"/>
      </w:divBdr>
    </w:div>
    <w:div w:id="619338086">
      <w:bodyDiv w:val="1"/>
      <w:marLeft w:val="0"/>
      <w:marRight w:val="0"/>
      <w:marTop w:val="0"/>
      <w:marBottom w:val="0"/>
      <w:divBdr>
        <w:top w:val="none" w:sz="0" w:space="0" w:color="auto"/>
        <w:left w:val="none" w:sz="0" w:space="0" w:color="auto"/>
        <w:bottom w:val="none" w:sz="0" w:space="0" w:color="auto"/>
        <w:right w:val="none" w:sz="0" w:space="0" w:color="auto"/>
      </w:divBdr>
    </w:div>
    <w:div w:id="627862089">
      <w:bodyDiv w:val="1"/>
      <w:marLeft w:val="0"/>
      <w:marRight w:val="0"/>
      <w:marTop w:val="0"/>
      <w:marBottom w:val="0"/>
      <w:divBdr>
        <w:top w:val="none" w:sz="0" w:space="0" w:color="auto"/>
        <w:left w:val="none" w:sz="0" w:space="0" w:color="auto"/>
        <w:bottom w:val="none" w:sz="0" w:space="0" w:color="auto"/>
        <w:right w:val="none" w:sz="0" w:space="0" w:color="auto"/>
      </w:divBdr>
    </w:div>
    <w:div w:id="634483165">
      <w:bodyDiv w:val="1"/>
      <w:marLeft w:val="0"/>
      <w:marRight w:val="0"/>
      <w:marTop w:val="0"/>
      <w:marBottom w:val="0"/>
      <w:divBdr>
        <w:top w:val="none" w:sz="0" w:space="0" w:color="auto"/>
        <w:left w:val="none" w:sz="0" w:space="0" w:color="auto"/>
        <w:bottom w:val="none" w:sz="0" w:space="0" w:color="auto"/>
        <w:right w:val="none" w:sz="0" w:space="0" w:color="auto"/>
      </w:divBdr>
    </w:div>
    <w:div w:id="638728510">
      <w:bodyDiv w:val="1"/>
      <w:marLeft w:val="0"/>
      <w:marRight w:val="0"/>
      <w:marTop w:val="0"/>
      <w:marBottom w:val="0"/>
      <w:divBdr>
        <w:top w:val="none" w:sz="0" w:space="0" w:color="auto"/>
        <w:left w:val="none" w:sz="0" w:space="0" w:color="auto"/>
        <w:bottom w:val="none" w:sz="0" w:space="0" w:color="auto"/>
        <w:right w:val="none" w:sz="0" w:space="0" w:color="auto"/>
      </w:divBdr>
    </w:div>
    <w:div w:id="644966831">
      <w:bodyDiv w:val="1"/>
      <w:marLeft w:val="0"/>
      <w:marRight w:val="0"/>
      <w:marTop w:val="0"/>
      <w:marBottom w:val="0"/>
      <w:divBdr>
        <w:top w:val="none" w:sz="0" w:space="0" w:color="auto"/>
        <w:left w:val="none" w:sz="0" w:space="0" w:color="auto"/>
        <w:bottom w:val="none" w:sz="0" w:space="0" w:color="auto"/>
        <w:right w:val="none" w:sz="0" w:space="0" w:color="auto"/>
      </w:divBdr>
    </w:div>
    <w:div w:id="647705413">
      <w:bodyDiv w:val="1"/>
      <w:marLeft w:val="0"/>
      <w:marRight w:val="0"/>
      <w:marTop w:val="0"/>
      <w:marBottom w:val="0"/>
      <w:divBdr>
        <w:top w:val="none" w:sz="0" w:space="0" w:color="auto"/>
        <w:left w:val="none" w:sz="0" w:space="0" w:color="auto"/>
        <w:bottom w:val="none" w:sz="0" w:space="0" w:color="auto"/>
        <w:right w:val="none" w:sz="0" w:space="0" w:color="auto"/>
      </w:divBdr>
    </w:div>
    <w:div w:id="669257382">
      <w:bodyDiv w:val="1"/>
      <w:marLeft w:val="0"/>
      <w:marRight w:val="0"/>
      <w:marTop w:val="0"/>
      <w:marBottom w:val="0"/>
      <w:divBdr>
        <w:top w:val="none" w:sz="0" w:space="0" w:color="auto"/>
        <w:left w:val="none" w:sz="0" w:space="0" w:color="auto"/>
        <w:bottom w:val="none" w:sz="0" w:space="0" w:color="auto"/>
        <w:right w:val="none" w:sz="0" w:space="0" w:color="auto"/>
      </w:divBdr>
    </w:div>
    <w:div w:id="674118015">
      <w:bodyDiv w:val="1"/>
      <w:marLeft w:val="0"/>
      <w:marRight w:val="0"/>
      <w:marTop w:val="0"/>
      <w:marBottom w:val="0"/>
      <w:divBdr>
        <w:top w:val="none" w:sz="0" w:space="0" w:color="auto"/>
        <w:left w:val="none" w:sz="0" w:space="0" w:color="auto"/>
        <w:bottom w:val="none" w:sz="0" w:space="0" w:color="auto"/>
        <w:right w:val="none" w:sz="0" w:space="0" w:color="auto"/>
      </w:divBdr>
    </w:div>
    <w:div w:id="677542680">
      <w:bodyDiv w:val="1"/>
      <w:marLeft w:val="0"/>
      <w:marRight w:val="0"/>
      <w:marTop w:val="0"/>
      <w:marBottom w:val="0"/>
      <w:divBdr>
        <w:top w:val="none" w:sz="0" w:space="0" w:color="auto"/>
        <w:left w:val="none" w:sz="0" w:space="0" w:color="auto"/>
        <w:bottom w:val="none" w:sz="0" w:space="0" w:color="auto"/>
        <w:right w:val="none" w:sz="0" w:space="0" w:color="auto"/>
      </w:divBdr>
    </w:div>
    <w:div w:id="677931514">
      <w:bodyDiv w:val="1"/>
      <w:marLeft w:val="0"/>
      <w:marRight w:val="0"/>
      <w:marTop w:val="0"/>
      <w:marBottom w:val="0"/>
      <w:divBdr>
        <w:top w:val="none" w:sz="0" w:space="0" w:color="auto"/>
        <w:left w:val="none" w:sz="0" w:space="0" w:color="auto"/>
        <w:bottom w:val="none" w:sz="0" w:space="0" w:color="auto"/>
        <w:right w:val="none" w:sz="0" w:space="0" w:color="auto"/>
      </w:divBdr>
    </w:div>
    <w:div w:id="678776351">
      <w:bodyDiv w:val="1"/>
      <w:marLeft w:val="0"/>
      <w:marRight w:val="0"/>
      <w:marTop w:val="0"/>
      <w:marBottom w:val="0"/>
      <w:divBdr>
        <w:top w:val="none" w:sz="0" w:space="0" w:color="auto"/>
        <w:left w:val="none" w:sz="0" w:space="0" w:color="auto"/>
        <w:bottom w:val="none" w:sz="0" w:space="0" w:color="auto"/>
        <w:right w:val="none" w:sz="0" w:space="0" w:color="auto"/>
      </w:divBdr>
    </w:div>
    <w:div w:id="681780976">
      <w:bodyDiv w:val="1"/>
      <w:marLeft w:val="0"/>
      <w:marRight w:val="0"/>
      <w:marTop w:val="0"/>
      <w:marBottom w:val="0"/>
      <w:divBdr>
        <w:top w:val="none" w:sz="0" w:space="0" w:color="auto"/>
        <w:left w:val="none" w:sz="0" w:space="0" w:color="auto"/>
        <w:bottom w:val="none" w:sz="0" w:space="0" w:color="auto"/>
        <w:right w:val="none" w:sz="0" w:space="0" w:color="auto"/>
      </w:divBdr>
    </w:div>
    <w:div w:id="683871564">
      <w:bodyDiv w:val="1"/>
      <w:marLeft w:val="0"/>
      <w:marRight w:val="0"/>
      <w:marTop w:val="0"/>
      <w:marBottom w:val="0"/>
      <w:divBdr>
        <w:top w:val="none" w:sz="0" w:space="0" w:color="auto"/>
        <w:left w:val="none" w:sz="0" w:space="0" w:color="auto"/>
        <w:bottom w:val="none" w:sz="0" w:space="0" w:color="auto"/>
        <w:right w:val="none" w:sz="0" w:space="0" w:color="auto"/>
      </w:divBdr>
    </w:div>
    <w:div w:id="683898555">
      <w:bodyDiv w:val="1"/>
      <w:marLeft w:val="0"/>
      <w:marRight w:val="0"/>
      <w:marTop w:val="0"/>
      <w:marBottom w:val="0"/>
      <w:divBdr>
        <w:top w:val="none" w:sz="0" w:space="0" w:color="auto"/>
        <w:left w:val="none" w:sz="0" w:space="0" w:color="auto"/>
        <w:bottom w:val="none" w:sz="0" w:space="0" w:color="auto"/>
        <w:right w:val="none" w:sz="0" w:space="0" w:color="auto"/>
      </w:divBdr>
    </w:div>
    <w:div w:id="686714317">
      <w:bodyDiv w:val="1"/>
      <w:marLeft w:val="0"/>
      <w:marRight w:val="0"/>
      <w:marTop w:val="0"/>
      <w:marBottom w:val="0"/>
      <w:divBdr>
        <w:top w:val="none" w:sz="0" w:space="0" w:color="auto"/>
        <w:left w:val="none" w:sz="0" w:space="0" w:color="auto"/>
        <w:bottom w:val="none" w:sz="0" w:space="0" w:color="auto"/>
        <w:right w:val="none" w:sz="0" w:space="0" w:color="auto"/>
      </w:divBdr>
    </w:div>
    <w:div w:id="686836896">
      <w:bodyDiv w:val="1"/>
      <w:marLeft w:val="0"/>
      <w:marRight w:val="0"/>
      <w:marTop w:val="0"/>
      <w:marBottom w:val="0"/>
      <w:divBdr>
        <w:top w:val="none" w:sz="0" w:space="0" w:color="auto"/>
        <w:left w:val="none" w:sz="0" w:space="0" w:color="auto"/>
        <w:bottom w:val="none" w:sz="0" w:space="0" w:color="auto"/>
        <w:right w:val="none" w:sz="0" w:space="0" w:color="auto"/>
      </w:divBdr>
    </w:div>
    <w:div w:id="694965170">
      <w:bodyDiv w:val="1"/>
      <w:marLeft w:val="0"/>
      <w:marRight w:val="0"/>
      <w:marTop w:val="0"/>
      <w:marBottom w:val="0"/>
      <w:divBdr>
        <w:top w:val="none" w:sz="0" w:space="0" w:color="auto"/>
        <w:left w:val="none" w:sz="0" w:space="0" w:color="auto"/>
        <w:bottom w:val="none" w:sz="0" w:space="0" w:color="auto"/>
        <w:right w:val="none" w:sz="0" w:space="0" w:color="auto"/>
      </w:divBdr>
    </w:div>
    <w:div w:id="697240269">
      <w:bodyDiv w:val="1"/>
      <w:marLeft w:val="0"/>
      <w:marRight w:val="0"/>
      <w:marTop w:val="0"/>
      <w:marBottom w:val="0"/>
      <w:divBdr>
        <w:top w:val="none" w:sz="0" w:space="0" w:color="auto"/>
        <w:left w:val="none" w:sz="0" w:space="0" w:color="auto"/>
        <w:bottom w:val="none" w:sz="0" w:space="0" w:color="auto"/>
        <w:right w:val="none" w:sz="0" w:space="0" w:color="auto"/>
      </w:divBdr>
    </w:div>
    <w:div w:id="699362351">
      <w:bodyDiv w:val="1"/>
      <w:marLeft w:val="0"/>
      <w:marRight w:val="0"/>
      <w:marTop w:val="0"/>
      <w:marBottom w:val="0"/>
      <w:divBdr>
        <w:top w:val="none" w:sz="0" w:space="0" w:color="auto"/>
        <w:left w:val="none" w:sz="0" w:space="0" w:color="auto"/>
        <w:bottom w:val="none" w:sz="0" w:space="0" w:color="auto"/>
        <w:right w:val="none" w:sz="0" w:space="0" w:color="auto"/>
      </w:divBdr>
    </w:div>
    <w:div w:id="701709800">
      <w:bodyDiv w:val="1"/>
      <w:marLeft w:val="0"/>
      <w:marRight w:val="0"/>
      <w:marTop w:val="0"/>
      <w:marBottom w:val="0"/>
      <w:divBdr>
        <w:top w:val="none" w:sz="0" w:space="0" w:color="auto"/>
        <w:left w:val="none" w:sz="0" w:space="0" w:color="auto"/>
        <w:bottom w:val="none" w:sz="0" w:space="0" w:color="auto"/>
        <w:right w:val="none" w:sz="0" w:space="0" w:color="auto"/>
      </w:divBdr>
    </w:div>
    <w:div w:id="708602583">
      <w:bodyDiv w:val="1"/>
      <w:marLeft w:val="0"/>
      <w:marRight w:val="0"/>
      <w:marTop w:val="0"/>
      <w:marBottom w:val="0"/>
      <w:divBdr>
        <w:top w:val="none" w:sz="0" w:space="0" w:color="auto"/>
        <w:left w:val="none" w:sz="0" w:space="0" w:color="auto"/>
        <w:bottom w:val="none" w:sz="0" w:space="0" w:color="auto"/>
        <w:right w:val="none" w:sz="0" w:space="0" w:color="auto"/>
      </w:divBdr>
    </w:div>
    <w:div w:id="709769055">
      <w:bodyDiv w:val="1"/>
      <w:marLeft w:val="0"/>
      <w:marRight w:val="0"/>
      <w:marTop w:val="0"/>
      <w:marBottom w:val="0"/>
      <w:divBdr>
        <w:top w:val="none" w:sz="0" w:space="0" w:color="auto"/>
        <w:left w:val="none" w:sz="0" w:space="0" w:color="auto"/>
        <w:bottom w:val="none" w:sz="0" w:space="0" w:color="auto"/>
        <w:right w:val="none" w:sz="0" w:space="0" w:color="auto"/>
      </w:divBdr>
    </w:div>
    <w:div w:id="713195121">
      <w:bodyDiv w:val="1"/>
      <w:marLeft w:val="0"/>
      <w:marRight w:val="0"/>
      <w:marTop w:val="0"/>
      <w:marBottom w:val="0"/>
      <w:divBdr>
        <w:top w:val="none" w:sz="0" w:space="0" w:color="auto"/>
        <w:left w:val="none" w:sz="0" w:space="0" w:color="auto"/>
        <w:bottom w:val="none" w:sz="0" w:space="0" w:color="auto"/>
        <w:right w:val="none" w:sz="0" w:space="0" w:color="auto"/>
      </w:divBdr>
    </w:div>
    <w:div w:id="719286506">
      <w:bodyDiv w:val="1"/>
      <w:marLeft w:val="0"/>
      <w:marRight w:val="0"/>
      <w:marTop w:val="0"/>
      <w:marBottom w:val="0"/>
      <w:divBdr>
        <w:top w:val="none" w:sz="0" w:space="0" w:color="auto"/>
        <w:left w:val="none" w:sz="0" w:space="0" w:color="auto"/>
        <w:bottom w:val="none" w:sz="0" w:space="0" w:color="auto"/>
        <w:right w:val="none" w:sz="0" w:space="0" w:color="auto"/>
      </w:divBdr>
    </w:div>
    <w:div w:id="720178240">
      <w:bodyDiv w:val="1"/>
      <w:marLeft w:val="0"/>
      <w:marRight w:val="0"/>
      <w:marTop w:val="0"/>
      <w:marBottom w:val="0"/>
      <w:divBdr>
        <w:top w:val="none" w:sz="0" w:space="0" w:color="auto"/>
        <w:left w:val="none" w:sz="0" w:space="0" w:color="auto"/>
        <w:bottom w:val="none" w:sz="0" w:space="0" w:color="auto"/>
        <w:right w:val="none" w:sz="0" w:space="0" w:color="auto"/>
      </w:divBdr>
    </w:div>
    <w:div w:id="724990983">
      <w:bodyDiv w:val="1"/>
      <w:marLeft w:val="0"/>
      <w:marRight w:val="0"/>
      <w:marTop w:val="0"/>
      <w:marBottom w:val="0"/>
      <w:divBdr>
        <w:top w:val="none" w:sz="0" w:space="0" w:color="auto"/>
        <w:left w:val="none" w:sz="0" w:space="0" w:color="auto"/>
        <w:bottom w:val="none" w:sz="0" w:space="0" w:color="auto"/>
        <w:right w:val="none" w:sz="0" w:space="0" w:color="auto"/>
      </w:divBdr>
    </w:div>
    <w:div w:id="725297062">
      <w:bodyDiv w:val="1"/>
      <w:marLeft w:val="0"/>
      <w:marRight w:val="0"/>
      <w:marTop w:val="0"/>
      <w:marBottom w:val="0"/>
      <w:divBdr>
        <w:top w:val="none" w:sz="0" w:space="0" w:color="auto"/>
        <w:left w:val="none" w:sz="0" w:space="0" w:color="auto"/>
        <w:bottom w:val="none" w:sz="0" w:space="0" w:color="auto"/>
        <w:right w:val="none" w:sz="0" w:space="0" w:color="auto"/>
      </w:divBdr>
    </w:div>
    <w:div w:id="728650498">
      <w:bodyDiv w:val="1"/>
      <w:marLeft w:val="0"/>
      <w:marRight w:val="0"/>
      <w:marTop w:val="0"/>
      <w:marBottom w:val="0"/>
      <w:divBdr>
        <w:top w:val="none" w:sz="0" w:space="0" w:color="auto"/>
        <w:left w:val="none" w:sz="0" w:space="0" w:color="auto"/>
        <w:bottom w:val="none" w:sz="0" w:space="0" w:color="auto"/>
        <w:right w:val="none" w:sz="0" w:space="0" w:color="auto"/>
      </w:divBdr>
    </w:div>
    <w:div w:id="750350354">
      <w:bodyDiv w:val="1"/>
      <w:marLeft w:val="0"/>
      <w:marRight w:val="0"/>
      <w:marTop w:val="0"/>
      <w:marBottom w:val="0"/>
      <w:divBdr>
        <w:top w:val="none" w:sz="0" w:space="0" w:color="auto"/>
        <w:left w:val="none" w:sz="0" w:space="0" w:color="auto"/>
        <w:bottom w:val="none" w:sz="0" w:space="0" w:color="auto"/>
        <w:right w:val="none" w:sz="0" w:space="0" w:color="auto"/>
      </w:divBdr>
    </w:div>
    <w:div w:id="752355426">
      <w:bodyDiv w:val="1"/>
      <w:marLeft w:val="0"/>
      <w:marRight w:val="0"/>
      <w:marTop w:val="0"/>
      <w:marBottom w:val="0"/>
      <w:divBdr>
        <w:top w:val="none" w:sz="0" w:space="0" w:color="auto"/>
        <w:left w:val="none" w:sz="0" w:space="0" w:color="auto"/>
        <w:bottom w:val="none" w:sz="0" w:space="0" w:color="auto"/>
        <w:right w:val="none" w:sz="0" w:space="0" w:color="auto"/>
      </w:divBdr>
    </w:div>
    <w:div w:id="762846131">
      <w:bodyDiv w:val="1"/>
      <w:marLeft w:val="0"/>
      <w:marRight w:val="0"/>
      <w:marTop w:val="0"/>
      <w:marBottom w:val="0"/>
      <w:divBdr>
        <w:top w:val="none" w:sz="0" w:space="0" w:color="auto"/>
        <w:left w:val="none" w:sz="0" w:space="0" w:color="auto"/>
        <w:bottom w:val="none" w:sz="0" w:space="0" w:color="auto"/>
        <w:right w:val="none" w:sz="0" w:space="0" w:color="auto"/>
      </w:divBdr>
    </w:div>
    <w:div w:id="765417027">
      <w:bodyDiv w:val="1"/>
      <w:marLeft w:val="0"/>
      <w:marRight w:val="0"/>
      <w:marTop w:val="0"/>
      <w:marBottom w:val="0"/>
      <w:divBdr>
        <w:top w:val="none" w:sz="0" w:space="0" w:color="auto"/>
        <w:left w:val="none" w:sz="0" w:space="0" w:color="auto"/>
        <w:bottom w:val="none" w:sz="0" w:space="0" w:color="auto"/>
        <w:right w:val="none" w:sz="0" w:space="0" w:color="auto"/>
      </w:divBdr>
    </w:div>
    <w:div w:id="773016497">
      <w:bodyDiv w:val="1"/>
      <w:marLeft w:val="0"/>
      <w:marRight w:val="0"/>
      <w:marTop w:val="0"/>
      <w:marBottom w:val="0"/>
      <w:divBdr>
        <w:top w:val="none" w:sz="0" w:space="0" w:color="auto"/>
        <w:left w:val="none" w:sz="0" w:space="0" w:color="auto"/>
        <w:bottom w:val="none" w:sz="0" w:space="0" w:color="auto"/>
        <w:right w:val="none" w:sz="0" w:space="0" w:color="auto"/>
      </w:divBdr>
    </w:div>
    <w:div w:id="774443714">
      <w:bodyDiv w:val="1"/>
      <w:marLeft w:val="0"/>
      <w:marRight w:val="0"/>
      <w:marTop w:val="0"/>
      <w:marBottom w:val="0"/>
      <w:divBdr>
        <w:top w:val="none" w:sz="0" w:space="0" w:color="auto"/>
        <w:left w:val="none" w:sz="0" w:space="0" w:color="auto"/>
        <w:bottom w:val="none" w:sz="0" w:space="0" w:color="auto"/>
        <w:right w:val="none" w:sz="0" w:space="0" w:color="auto"/>
      </w:divBdr>
    </w:div>
    <w:div w:id="774712168">
      <w:bodyDiv w:val="1"/>
      <w:marLeft w:val="0"/>
      <w:marRight w:val="0"/>
      <w:marTop w:val="0"/>
      <w:marBottom w:val="0"/>
      <w:divBdr>
        <w:top w:val="none" w:sz="0" w:space="0" w:color="auto"/>
        <w:left w:val="none" w:sz="0" w:space="0" w:color="auto"/>
        <w:bottom w:val="none" w:sz="0" w:space="0" w:color="auto"/>
        <w:right w:val="none" w:sz="0" w:space="0" w:color="auto"/>
      </w:divBdr>
    </w:div>
    <w:div w:id="776415086">
      <w:bodyDiv w:val="1"/>
      <w:marLeft w:val="0"/>
      <w:marRight w:val="0"/>
      <w:marTop w:val="0"/>
      <w:marBottom w:val="0"/>
      <w:divBdr>
        <w:top w:val="none" w:sz="0" w:space="0" w:color="auto"/>
        <w:left w:val="none" w:sz="0" w:space="0" w:color="auto"/>
        <w:bottom w:val="none" w:sz="0" w:space="0" w:color="auto"/>
        <w:right w:val="none" w:sz="0" w:space="0" w:color="auto"/>
      </w:divBdr>
    </w:div>
    <w:div w:id="777870128">
      <w:bodyDiv w:val="1"/>
      <w:marLeft w:val="0"/>
      <w:marRight w:val="0"/>
      <w:marTop w:val="0"/>
      <w:marBottom w:val="0"/>
      <w:divBdr>
        <w:top w:val="none" w:sz="0" w:space="0" w:color="auto"/>
        <w:left w:val="none" w:sz="0" w:space="0" w:color="auto"/>
        <w:bottom w:val="none" w:sz="0" w:space="0" w:color="auto"/>
        <w:right w:val="none" w:sz="0" w:space="0" w:color="auto"/>
      </w:divBdr>
    </w:div>
    <w:div w:id="784929852">
      <w:bodyDiv w:val="1"/>
      <w:marLeft w:val="0"/>
      <w:marRight w:val="0"/>
      <w:marTop w:val="0"/>
      <w:marBottom w:val="0"/>
      <w:divBdr>
        <w:top w:val="none" w:sz="0" w:space="0" w:color="auto"/>
        <w:left w:val="none" w:sz="0" w:space="0" w:color="auto"/>
        <w:bottom w:val="none" w:sz="0" w:space="0" w:color="auto"/>
        <w:right w:val="none" w:sz="0" w:space="0" w:color="auto"/>
      </w:divBdr>
    </w:div>
    <w:div w:id="786000240">
      <w:bodyDiv w:val="1"/>
      <w:marLeft w:val="0"/>
      <w:marRight w:val="0"/>
      <w:marTop w:val="0"/>
      <w:marBottom w:val="0"/>
      <w:divBdr>
        <w:top w:val="none" w:sz="0" w:space="0" w:color="auto"/>
        <w:left w:val="none" w:sz="0" w:space="0" w:color="auto"/>
        <w:bottom w:val="none" w:sz="0" w:space="0" w:color="auto"/>
        <w:right w:val="none" w:sz="0" w:space="0" w:color="auto"/>
      </w:divBdr>
    </w:div>
    <w:div w:id="788009239">
      <w:bodyDiv w:val="1"/>
      <w:marLeft w:val="0"/>
      <w:marRight w:val="0"/>
      <w:marTop w:val="0"/>
      <w:marBottom w:val="0"/>
      <w:divBdr>
        <w:top w:val="none" w:sz="0" w:space="0" w:color="auto"/>
        <w:left w:val="none" w:sz="0" w:space="0" w:color="auto"/>
        <w:bottom w:val="none" w:sz="0" w:space="0" w:color="auto"/>
        <w:right w:val="none" w:sz="0" w:space="0" w:color="auto"/>
      </w:divBdr>
    </w:div>
    <w:div w:id="791366677">
      <w:bodyDiv w:val="1"/>
      <w:marLeft w:val="0"/>
      <w:marRight w:val="0"/>
      <w:marTop w:val="0"/>
      <w:marBottom w:val="0"/>
      <w:divBdr>
        <w:top w:val="none" w:sz="0" w:space="0" w:color="auto"/>
        <w:left w:val="none" w:sz="0" w:space="0" w:color="auto"/>
        <w:bottom w:val="none" w:sz="0" w:space="0" w:color="auto"/>
        <w:right w:val="none" w:sz="0" w:space="0" w:color="auto"/>
      </w:divBdr>
    </w:div>
    <w:div w:id="796877261">
      <w:bodyDiv w:val="1"/>
      <w:marLeft w:val="0"/>
      <w:marRight w:val="0"/>
      <w:marTop w:val="0"/>
      <w:marBottom w:val="0"/>
      <w:divBdr>
        <w:top w:val="none" w:sz="0" w:space="0" w:color="auto"/>
        <w:left w:val="none" w:sz="0" w:space="0" w:color="auto"/>
        <w:bottom w:val="none" w:sz="0" w:space="0" w:color="auto"/>
        <w:right w:val="none" w:sz="0" w:space="0" w:color="auto"/>
      </w:divBdr>
    </w:div>
    <w:div w:id="797573691">
      <w:bodyDiv w:val="1"/>
      <w:marLeft w:val="0"/>
      <w:marRight w:val="0"/>
      <w:marTop w:val="0"/>
      <w:marBottom w:val="0"/>
      <w:divBdr>
        <w:top w:val="none" w:sz="0" w:space="0" w:color="auto"/>
        <w:left w:val="none" w:sz="0" w:space="0" w:color="auto"/>
        <w:bottom w:val="none" w:sz="0" w:space="0" w:color="auto"/>
        <w:right w:val="none" w:sz="0" w:space="0" w:color="auto"/>
      </w:divBdr>
    </w:div>
    <w:div w:id="802620729">
      <w:bodyDiv w:val="1"/>
      <w:marLeft w:val="0"/>
      <w:marRight w:val="0"/>
      <w:marTop w:val="0"/>
      <w:marBottom w:val="0"/>
      <w:divBdr>
        <w:top w:val="none" w:sz="0" w:space="0" w:color="auto"/>
        <w:left w:val="none" w:sz="0" w:space="0" w:color="auto"/>
        <w:bottom w:val="none" w:sz="0" w:space="0" w:color="auto"/>
        <w:right w:val="none" w:sz="0" w:space="0" w:color="auto"/>
      </w:divBdr>
    </w:div>
    <w:div w:id="803622901">
      <w:bodyDiv w:val="1"/>
      <w:marLeft w:val="0"/>
      <w:marRight w:val="0"/>
      <w:marTop w:val="0"/>
      <w:marBottom w:val="0"/>
      <w:divBdr>
        <w:top w:val="none" w:sz="0" w:space="0" w:color="auto"/>
        <w:left w:val="none" w:sz="0" w:space="0" w:color="auto"/>
        <w:bottom w:val="none" w:sz="0" w:space="0" w:color="auto"/>
        <w:right w:val="none" w:sz="0" w:space="0" w:color="auto"/>
      </w:divBdr>
    </w:div>
    <w:div w:id="811681061">
      <w:bodyDiv w:val="1"/>
      <w:marLeft w:val="0"/>
      <w:marRight w:val="0"/>
      <w:marTop w:val="0"/>
      <w:marBottom w:val="0"/>
      <w:divBdr>
        <w:top w:val="none" w:sz="0" w:space="0" w:color="auto"/>
        <w:left w:val="none" w:sz="0" w:space="0" w:color="auto"/>
        <w:bottom w:val="none" w:sz="0" w:space="0" w:color="auto"/>
        <w:right w:val="none" w:sz="0" w:space="0" w:color="auto"/>
      </w:divBdr>
    </w:div>
    <w:div w:id="812722799">
      <w:bodyDiv w:val="1"/>
      <w:marLeft w:val="0"/>
      <w:marRight w:val="0"/>
      <w:marTop w:val="0"/>
      <w:marBottom w:val="0"/>
      <w:divBdr>
        <w:top w:val="none" w:sz="0" w:space="0" w:color="auto"/>
        <w:left w:val="none" w:sz="0" w:space="0" w:color="auto"/>
        <w:bottom w:val="none" w:sz="0" w:space="0" w:color="auto"/>
        <w:right w:val="none" w:sz="0" w:space="0" w:color="auto"/>
      </w:divBdr>
    </w:div>
    <w:div w:id="814956132">
      <w:bodyDiv w:val="1"/>
      <w:marLeft w:val="0"/>
      <w:marRight w:val="0"/>
      <w:marTop w:val="0"/>
      <w:marBottom w:val="0"/>
      <w:divBdr>
        <w:top w:val="none" w:sz="0" w:space="0" w:color="auto"/>
        <w:left w:val="none" w:sz="0" w:space="0" w:color="auto"/>
        <w:bottom w:val="none" w:sz="0" w:space="0" w:color="auto"/>
        <w:right w:val="none" w:sz="0" w:space="0" w:color="auto"/>
      </w:divBdr>
    </w:div>
    <w:div w:id="821191720">
      <w:bodyDiv w:val="1"/>
      <w:marLeft w:val="0"/>
      <w:marRight w:val="0"/>
      <w:marTop w:val="0"/>
      <w:marBottom w:val="0"/>
      <w:divBdr>
        <w:top w:val="none" w:sz="0" w:space="0" w:color="auto"/>
        <w:left w:val="none" w:sz="0" w:space="0" w:color="auto"/>
        <w:bottom w:val="none" w:sz="0" w:space="0" w:color="auto"/>
        <w:right w:val="none" w:sz="0" w:space="0" w:color="auto"/>
      </w:divBdr>
    </w:div>
    <w:div w:id="822238910">
      <w:bodyDiv w:val="1"/>
      <w:marLeft w:val="0"/>
      <w:marRight w:val="0"/>
      <w:marTop w:val="0"/>
      <w:marBottom w:val="0"/>
      <w:divBdr>
        <w:top w:val="none" w:sz="0" w:space="0" w:color="auto"/>
        <w:left w:val="none" w:sz="0" w:space="0" w:color="auto"/>
        <w:bottom w:val="none" w:sz="0" w:space="0" w:color="auto"/>
        <w:right w:val="none" w:sz="0" w:space="0" w:color="auto"/>
      </w:divBdr>
    </w:div>
    <w:div w:id="832916869">
      <w:bodyDiv w:val="1"/>
      <w:marLeft w:val="0"/>
      <w:marRight w:val="0"/>
      <w:marTop w:val="0"/>
      <w:marBottom w:val="0"/>
      <w:divBdr>
        <w:top w:val="none" w:sz="0" w:space="0" w:color="auto"/>
        <w:left w:val="none" w:sz="0" w:space="0" w:color="auto"/>
        <w:bottom w:val="none" w:sz="0" w:space="0" w:color="auto"/>
        <w:right w:val="none" w:sz="0" w:space="0" w:color="auto"/>
      </w:divBdr>
    </w:div>
    <w:div w:id="839196671">
      <w:bodyDiv w:val="1"/>
      <w:marLeft w:val="0"/>
      <w:marRight w:val="0"/>
      <w:marTop w:val="0"/>
      <w:marBottom w:val="0"/>
      <w:divBdr>
        <w:top w:val="none" w:sz="0" w:space="0" w:color="auto"/>
        <w:left w:val="none" w:sz="0" w:space="0" w:color="auto"/>
        <w:bottom w:val="none" w:sz="0" w:space="0" w:color="auto"/>
        <w:right w:val="none" w:sz="0" w:space="0" w:color="auto"/>
      </w:divBdr>
    </w:div>
    <w:div w:id="841705766">
      <w:bodyDiv w:val="1"/>
      <w:marLeft w:val="0"/>
      <w:marRight w:val="0"/>
      <w:marTop w:val="0"/>
      <w:marBottom w:val="0"/>
      <w:divBdr>
        <w:top w:val="none" w:sz="0" w:space="0" w:color="auto"/>
        <w:left w:val="none" w:sz="0" w:space="0" w:color="auto"/>
        <w:bottom w:val="none" w:sz="0" w:space="0" w:color="auto"/>
        <w:right w:val="none" w:sz="0" w:space="0" w:color="auto"/>
      </w:divBdr>
    </w:div>
    <w:div w:id="842738917">
      <w:bodyDiv w:val="1"/>
      <w:marLeft w:val="0"/>
      <w:marRight w:val="0"/>
      <w:marTop w:val="0"/>
      <w:marBottom w:val="0"/>
      <w:divBdr>
        <w:top w:val="none" w:sz="0" w:space="0" w:color="auto"/>
        <w:left w:val="none" w:sz="0" w:space="0" w:color="auto"/>
        <w:bottom w:val="none" w:sz="0" w:space="0" w:color="auto"/>
        <w:right w:val="none" w:sz="0" w:space="0" w:color="auto"/>
      </w:divBdr>
    </w:div>
    <w:div w:id="852304339">
      <w:bodyDiv w:val="1"/>
      <w:marLeft w:val="0"/>
      <w:marRight w:val="0"/>
      <w:marTop w:val="0"/>
      <w:marBottom w:val="0"/>
      <w:divBdr>
        <w:top w:val="none" w:sz="0" w:space="0" w:color="auto"/>
        <w:left w:val="none" w:sz="0" w:space="0" w:color="auto"/>
        <w:bottom w:val="none" w:sz="0" w:space="0" w:color="auto"/>
        <w:right w:val="none" w:sz="0" w:space="0" w:color="auto"/>
      </w:divBdr>
    </w:div>
    <w:div w:id="856698848">
      <w:bodyDiv w:val="1"/>
      <w:marLeft w:val="0"/>
      <w:marRight w:val="0"/>
      <w:marTop w:val="0"/>
      <w:marBottom w:val="0"/>
      <w:divBdr>
        <w:top w:val="none" w:sz="0" w:space="0" w:color="auto"/>
        <w:left w:val="none" w:sz="0" w:space="0" w:color="auto"/>
        <w:bottom w:val="none" w:sz="0" w:space="0" w:color="auto"/>
        <w:right w:val="none" w:sz="0" w:space="0" w:color="auto"/>
      </w:divBdr>
    </w:div>
    <w:div w:id="862788006">
      <w:bodyDiv w:val="1"/>
      <w:marLeft w:val="0"/>
      <w:marRight w:val="0"/>
      <w:marTop w:val="0"/>
      <w:marBottom w:val="0"/>
      <w:divBdr>
        <w:top w:val="none" w:sz="0" w:space="0" w:color="auto"/>
        <w:left w:val="none" w:sz="0" w:space="0" w:color="auto"/>
        <w:bottom w:val="none" w:sz="0" w:space="0" w:color="auto"/>
        <w:right w:val="none" w:sz="0" w:space="0" w:color="auto"/>
      </w:divBdr>
    </w:div>
    <w:div w:id="867184886">
      <w:bodyDiv w:val="1"/>
      <w:marLeft w:val="0"/>
      <w:marRight w:val="0"/>
      <w:marTop w:val="0"/>
      <w:marBottom w:val="0"/>
      <w:divBdr>
        <w:top w:val="none" w:sz="0" w:space="0" w:color="auto"/>
        <w:left w:val="none" w:sz="0" w:space="0" w:color="auto"/>
        <w:bottom w:val="none" w:sz="0" w:space="0" w:color="auto"/>
        <w:right w:val="none" w:sz="0" w:space="0" w:color="auto"/>
      </w:divBdr>
    </w:div>
    <w:div w:id="867762444">
      <w:bodyDiv w:val="1"/>
      <w:marLeft w:val="0"/>
      <w:marRight w:val="0"/>
      <w:marTop w:val="0"/>
      <w:marBottom w:val="0"/>
      <w:divBdr>
        <w:top w:val="none" w:sz="0" w:space="0" w:color="auto"/>
        <w:left w:val="none" w:sz="0" w:space="0" w:color="auto"/>
        <w:bottom w:val="none" w:sz="0" w:space="0" w:color="auto"/>
        <w:right w:val="none" w:sz="0" w:space="0" w:color="auto"/>
      </w:divBdr>
    </w:div>
    <w:div w:id="872377427">
      <w:bodyDiv w:val="1"/>
      <w:marLeft w:val="0"/>
      <w:marRight w:val="0"/>
      <w:marTop w:val="0"/>
      <w:marBottom w:val="0"/>
      <w:divBdr>
        <w:top w:val="none" w:sz="0" w:space="0" w:color="auto"/>
        <w:left w:val="none" w:sz="0" w:space="0" w:color="auto"/>
        <w:bottom w:val="none" w:sz="0" w:space="0" w:color="auto"/>
        <w:right w:val="none" w:sz="0" w:space="0" w:color="auto"/>
      </w:divBdr>
    </w:div>
    <w:div w:id="872573409">
      <w:bodyDiv w:val="1"/>
      <w:marLeft w:val="0"/>
      <w:marRight w:val="0"/>
      <w:marTop w:val="0"/>
      <w:marBottom w:val="0"/>
      <w:divBdr>
        <w:top w:val="none" w:sz="0" w:space="0" w:color="auto"/>
        <w:left w:val="none" w:sz="0" w:space="0" w:color="auto"/>
        <w:bottom w:val="none" w:sz="0" w:space="0" w:color="auto"/>
        <w:right w:val="none" w:sz="0" w:space="0" w:color="auto"/>
      </w:divBdr>
    </w:div>
    <w:div w:id="875507676">
      <w:bodyDiv w:val="1"/>
      <w:marLeft w:val="0"/>
      <w:marRight w:val="0"/>
      <w:marTop w:val="0"/>
      <w:marBottom w:val="0"/>
      <w:divBdr>
        <w:top w:val="none" w:sz="0" w:space="0" w:color="auto"/>
        <w:left w:val="none" w:sz="0" w:space="0" w:color="auto"/>
        <w:bottom w:val="none" w:sz="0" w:space="0" w:color="auto"/>
        <w:right w:val="none" w:sz="0" w:space="0" w:color="auto"/>
      </w:divBdr>
    </w:div>
    <w:div w:id="877157775">
      <w:bodyDiv w:val="1"/>
      <w:marLeft w:val="0"/>
      <w:marRight w:val="0"/>
      <w:marTop w:val="0"/>
      <w:marBottom w:val="0"/>
      <w:divBdr>
        <w:top w:val="none" w:sz="0" w:space="0" w:color="auto"/>
        <w:left w:val="none" w:sz="0" w:space="0" w:color="auto"/>
        <w:bottom w:val="none" w:sz="0" w:space="0" w:color="auto"/>
        <w:right w:val="none" w:sz="0" w:space="0" w:color="auto"/>
      </w:divBdr>
    </w:div>
    <w:div w:id="886575008">
      <w:bodyDiv w:val="1"/>
      <w:marLeft w:val="0"/>
      <w:marRight w:val="0"/>
      <w:marTop w:val="0"/>
      <w:marBottom w:val="0"/>
      <w:divBdr>
        <w:top w:val="none" w:sz="0" w:space="0" w:color="auto"/>
        <w:left w:val="none" w:sz="0" w:space="0" w:color="auto"/>
        <w:bottom w:val="none" w:sz="0" w:space="0" w:color="auto"/>
        <w:right w:val="none" w:sz="0" w:space="0" w:color="auto"/>
      </w:divBdr>
    </w:div>
    <w:div w:id="888225619">
      <w:bodyDiv w:val="1"/>
      <w:marLeft w:val="0"/>
      <w:marRight w:val="0"/>
      <w:marTop w:val="0"/>
      <w:marBottom w:val="0"/>
      <w:divBdr>
        <w:top w:val="none" w:sz="0" w:space="0" w:color="auto"/>
        <w:left w:val="none" w:sz="0" w:space="0" w:color="auto"/>
        <w:bottom w:val="none" w:sz="0" w:space="0" w:color="auto"/>
        <w:right w:val="none" w:sz="0" w:space="0" w:color="auto"/>
      </w:divBdr>
    </w:div>
    <w:div w:id="891503366">
      <w:bodyDiv w:val="1"/>
      <w:marLeft w:val="0"/>
      <w:marRight w:val="0"/>
      <w:marTop w:val="0"/>
      <w:marBottom w:val="0"/>
      <w:divBdr>
        <w:top w:val="none" w:sz="0" w:space="0" w:color="auto"/>
        <w:left w:val="none" w:sz="0" w:space="0" w:color="auto"/>
        <w:bottom w:val="none" w:sz="0" w:space="0" w:color="auto"/>
        <w:right w:val="none" w:sz="0" w:space="0" w:color="auto"/>
      </w:divBdr>
    </w:div>
    <w:div w:id="891772879">
      <w:bodyDiv w:val="1"/>
      <w:marLeft w:val="0"/>
      <w:marRight w:val="0"/>
      <w:marTop w:val="0"/>
      <w:marBottom w:val="0"/>
      <w:divBdr>
        <w:top w:val="none" w:sz="0" w:space="0" w:color="auto"/>
        <w:left w:val="none" w:sz="0" w:space="0" w:color="auto"/>
        <w:bottom w:val="none" w:sz="0" w:space="0" w:color="auto"/>
        <w:right w:val="none" w:sz="0" w:space="0" w:color="auto"/>
      </w:divBdr>
    </w:div>
    <w:div w:id="893008402">
      <w:bodyDiv w:val="1"/>
      <w:marLeft w:val="0"/>
      <w:marRight w:val="0"/>
      <w:marTop w:val="0"/>
      <w:marBottom w:val="0"/>
      <w:divBdr>
        <w:top w:val="none" w:sz="0" w:space="0" w:color="auto"/>
        <w:left w:val="none" w:sz="0" w:space="0" w:color="auto"/>
        <w:bottom w:val="none" w:sz="0" w:space="0" w:color="auto"/>
        <w:right w:val="none" w:sz="0" w:space="0" w:color="auto"/>
      </w:divBdr>
    </w:div>
    <w:div w:id="894003746">
      <w:bodyDiv w:val="1"/>
      <w:marLeft w:val="0"/>
      <w:marRight w:val="0"/>
      <w:marTop w:val="0"/>
      <w:marBottom w:val="0"/>
      <w:divBdr>
        <w:top w:val="none" w:sz="0" w:space="0" w:color="auto"/>
        <w:left w:val="none" w:sz="0" w:space="0" w:color="auto"/>
        <w:bottom w:val="none" w:sz="0" w:space="0" w:color="auto"/>
        <w:right w:val="none" w:sz="0" w:space="0" w:color="auto"/>
      </w:divBdr>
    </w:div>
    <w:div w:id="898780845">
      <w:bodyDiv w:val="1"/>
      <w:marLeft w:val="0"/>
      <w:marRight w:val="0"/>
      <w:marTop w:val="0"/>
      <w:marBottom w:val="0"/>
      <w:divBdr>
        <w:top w:val="none" w:sz="0" w:space="0" w:color="auto"/>
        <w:left w:val="none" w:sz="0" w:space="0" w:color="auto"/>
        <w:bottom w:val="none" w:sz="0" w:space="0" w:color="auto"/>
        <w:right w:val="none" w:sz="0" w:space="0" w:color="auto"/>
      </w:divBdr>
    </w:div>
    <w:div w:id="901675245">
      <w:bodyDiv w:val="1"/>
      <w:marLeft w:val="0"/>
      <w:marRight w:val="0"/>
      <w:marTop w:val="0"/>
      <w:marBottom w:val="0"/>
      <w:divBdr>
        <w:top w:val="none" w:sz="0" w:space="0" w:color="auto"/>
        <w:left w:val="none" w:sz="0" w:space="0" w:color="auto"/>
        <w:bottom w:val="none" w:sz="0" w:space="0" w:color="auto"/>
        <w:right w:val="none" w:sz="0" w:space="0" w:color="auto"/>
      </w:divBdr>
    </w:div>
    <w:div w:id="901909798">
      <w:bodyDiv w:val="1"/>
      <w:marLeft w:val="0"/>
      <w:marRight w:val="0"/>
      <w:marTop w:val="0"/>
      <w:marBottom w:val="0"/>
      <w:divBdr>
        <w:top w:val="none" w:sz="0" w:space="0" w:color="auto"/>
        <w:left w:val="none" w:sz="0" w:space="0" w:color="auto"/>
        <w:bottom w:val="none" w:sz="0" w:space="0" w:color="auto"/>
        <w:right w:val="none" w:sz="0" w:space="0" w:color="auto"/>
      </w:divBdr>
    </w:div>
    <w:div w:id="905334398">
      <w:bodyDiv w:val="1"/>
      <w:marLeft w:val="0"/>
      <w:marRight w:val="0"/>
      <w:marTop w:val="0"/>
      <w:marBottom w:val="0"/>
      <w:divBdr>
        <w:top w:val="none" w:sz="0" w:space="0" w:color="auto"/>
        <w:left w:val="none" w:sz="0" w:space="0" w:color="auto"/>
        <w:bottom w:val="none" w:sz="0" w:space="0" w:color="auto"/>
        <w:right w:val="none" w:sz="0" w:space="0" w:color="auto"/>
      </w:divBdr>
    </w:div>
    <w:div w:id="907305017">
      <w:bodyDiv w:val="1"/>
      <w:marLeft w:val="0"/>
      <w:marRight w:val="0"/>
      <w:marTop w:val="0"/>
      <w:marBottom w:val="0"/>
      <w:divBdr>
        <w:top w:val="none" w:sz="0" w:space="0" w:color="auto"/>
        <w:left w:val="none" w:sz="0" w:space="0" w:color="auto"/>
        <w:bottom w:val="none" w:sz="0" w:space="0" w:color="auto"/>
        <w:right w:val="none" w:sz="0" w:space="0" w:color="auto"/>
      </w:divBdr>
    </w:div>
    <w:div w:id="910773720">
      <w:bodyDiv w:val="1"/>
      <w:marLeft w:val="0"/>
      <w:marRight w:val="0"/>
      <w:marTop w:val="0"/>
      <w:marBottom w:val="0"/>
      <w:divBdr>
        <w:top w:val="none" w:sz="0" w:space="0" w:color="auto"/>
        <w:left w:val="none" w:sz="0" w:space="0" w:color="auto"/>
        <w:bottom w:val="none" w:sz="0" w:space="0" w:color="auto"/>
        <w:right w:val="none" w:sz="0" w:space="0" w:color="auto"/>
      </w:divBdr>
    </w:div>
    <w:div w:id="920681137">
      <w:bodyDiv w:val="1"/>
      <w:marLeft w:val="0"/>
      <w:marRight w:val="0"/>
      <w:marTop w:val="0"/>
      <w:marBottom w:val="0"/>
      <w:divBdr>
        <w:top w:val="none" w:sz="0" w:space="0" w:color="auto"/>
        <w:left w:val="none" w:sz="0" w:space="0" w:color="auto"/>
        <w:bottom w:val="none" w:sz="0" w:space="0" w:color="auto"/>
        <w:right w:val="none" w:sz="0" w:space="0" w:color="auto"/>
      </w:divBdr>
    </w:div>
    <w:div w:id="925261176">
      <w:bodyDiv w:val="1"/>
      <w:marLeft w:val="0"/>
      <w:marRight w:val="0"/>
      <w:marTop w:val="0"/>
      <w:marBottom w:val="0"/>
      <w:divBdr>
        <w:top w:val="none" w:sz="0" w:space="0" w:color="auto"/>
        <w:left w:val="none" w:sz="0" w:space="0" w:color="auto"/>
        <w:bottom w:val="none" w:sz="0" w:space="0" w:color="auto"/>
        <w:right w:val="none" w:sz="0" w:space="0" w:color="auto"/>
      </w:divBdr>
    </w:div>
    <w:div w:id="957100033">
      <w:bodyDiv w:val="1"/>
      <w:marLeft w:val="0"/>
      <w:marRight w:val="0"/>
      <w:marTop w:val="0"/>
      <w:marBottom w:val="0"/>
      <w:divBdr>
        <w:top w:val="none" w:sz="0" w:space="0" w:color="auto"/>
        <w:left w:val="none" w:sz="0" w:space="0" w:color="auto"/>
        <w:bottom w:val="none" w:sz="0" w:space="0" w:color="auto"/>
        <w:right w:val="none" w:sz="0" w:space="0" w:color="auto"/>
      </w:divBdr>
    </w:div>
    <w:div w:id="958026943">
      <w:bodyDiv w:val="1"/>
      <w:marLeft w:val="0"/>
      <w:marRight w:val="0"/>
      <w:marTop w:val="0"/>
      <w:marBottom w:val="0"/>
      <w:divBdr>
        <w:top w:val="none" w:sz="0" w:space="0" w:color="auto"/>
        <w:left w:val="none" w:sz="0" w:space="0" w:color="auto"/>
        <w:bottom w:val="none" w:sz="0" w:space="0" w:color="auto"/>
        <w:right w:val="none" w:sz="0" w:space="0" w:color="auto"/>
      </w:divBdr>
    </w:div>
    <w:div w:id="962153706">
      <w:bodyDiv w:val="1"/>
      <w:marLeft w:val="0"/>
      <w:marRight w:val="0"/>
      <w:marTop w:val="0"/>
      <w:marBottom w:val="0"/>
      <w:divBdr>
        <w:top w:val="none" w:sz="0" w:space="0" w:color="auto"/>
        <w:left w:val="none" w:sz="0" w:space="0" w:color="auto"/>
        <w:bottom w:val="none" w:sz="0" w:space="0" w:color="auto"/>
        <w:right w:val="none" w:sz="0" w:space="0" w:color="auto"/>
      </w:divBdr>
    </w:div>
    <w:div w:id="965044784">
      <w:bodyDiv w:val="1"/>
      <w:marLeft w:val="0"/>
      <w:marRight w:val="0"/>
      <w:marTop w:val="0"/>
      <w:marBottom w:val="0"/>
      <w:divBdr>
        <w:top w:val="none" w:sz="0" w:space="0" w:color="auto"/>
        <w:left w:val="none" w:sz="0" w:space="0" w:color="auto"/>
        <w:bottom w:val="none" w:sz="0" w:space="0" w:color="auto"/>
        <w:right w:val="none" w:sz="0" w:space="0" w:color="auto"/>
      </w:divBdr>
    </w:div>
    <w:div w:id="966475157">
      <w:bodyDiv w:val="1"/>
      <w:marLeft w:val="0"/>
      <w:marRight w:val="0"/>
      <w:marTop w:val="0"/>
      <w:marBottom w:val="0"/>
      <w:divBdr>
        <w:top w:val="none" w:sz="0" w:space="0" w:color="auto"/>
        <w:left w:val="none" w:sz="0" w:space="0" w:color="auto"/>
        <w:bottom w:val="none" w:sz="0" w:space="0" w:color="auto"/>
        <w:right w:val="none" w:sz="0" w:space="0" w:color="auto"/>
      </w:divBdr>
    </w:div>
    <w:div w:id="967663884">
      <w:bodyDiv w:val="1"/>
      <w:marLeft w:val="0"/>
      <w:marRight w:val="0"/>
      <w:marTop w:val="0"/>
      <w:marBottom w:val="0"/>
      <w:divBdr>
        <w:top w:val="none" w:sz="0" w:space="0" w:color="auto"/>
        <w:left w:val="none" w:sz="0" w:space="0" w:color="auto"/>
        <w:bottom w:val="none" w:sz="0" w:space="0" w:color="auto"/>
        <w:right w:val="none" w:sz="0" w:space="0" w:color="auto"/>
      </w:divBdr>
    </w:div>
    <w:div w:id="975839245">
      <w:bodyDiv w:val="1"/>
      <w:marLeft w:val="0"/>
      <w:marRight w:val="0"/>
      <w:marTop w:val="0"/>
      <w:marBottom w:val="0"/>
      <w:divBdr>
        <w:top w:val="none" w:sz="0" w:space="0" w:color="auto"/>
        <w:left w:val="none" w:sz="0" w:space="0" w:color="auto"/>
        <w:bottom w:val="none" w:sz="0" w:space="0" w:color="auto"/>
        <w:right w:val="none" w:sz="0" w:space="0" w:color="auto"/>
      </w:divBdr>
    </w:div>
    <w:div w:id="985277815">
      <w:bodyDiv w:val="1"/>
      <w:marLeft w:val="0"/>
      <w:marRight w:val="0"/>
      <w:marTop w:val="0"/>
      <w:marBottom w:val="0"/>
      <w:divBdr>
        <w:top w:val="none" w:sz="0" w:space="0" w:color="auto"/>
        <w:left w:val="none" w:sz="0" w:space="0" w:color="auto"/>
        <w:bottom w:val="none" w:sz="0" w:space="0" w:color="auto"/>
        <w:right w:val="none" w:sz="0" w:space="0" w:color="auto"/>
      </w:divBdr>
    </w:div>
    <w:div w:id="987974575">
      <w:bodyDiv w:val="1"/>
      <w:marLeft w:val="0"/>
      <w:marRight w:val="0"/>
      <w:marTop w:val="0"/>
      <w:marBottom w:val="0"/>
      <w:divBdr>
        <w:top w:val="none" w:sz="0" w:space="0" w:color="auto"/>
        <w:left w:val="none" w:sz="0" w:space="0" w:color="auto"/>
        <w:bottom w:val="none" w:sz="0" w:space="0" w:color="auto"/>
        <w:right w:val="none" w:sz="0" w:space="0" w:color="auto"/>
      </w:divBdr>
    </w:div>
    <w:div w:id="994264674">
      <w:bodyDiv w:val="1"/>
      <w:marLeft w:val="0"/>
      <w:marRight w:val="0"/>
      <w:marTop w:val="0"/>
      <w:marBottom w:val="0"/>
      <w:divBdr>
        <w:top w:val="none" w:sz="0" w:space="0" w:color="auto"/>
        <w:left w:val="none" w:sz="0" w:space="0" w:color="auto"/>
        <w:bottom w:val="none" w:sz="0" w:space="0" w:color="auto"/>
        <w:right w:val="none" w:sz="0" w:space="0" w:color="auto"/>
      </w:divBdr>
    </w:div>
    <w:div w:id="995688510">
      <w:bodyDiv w:val="1"/>
      <w:marLeft w:val="0"/>
      <w:marRight w:val="0"/>
      <w:marTop w:val="0"/>
      <w:marBottom w:val="0"/>
      <w:divBdr>
        <w:top w:val="none" w:sz="0" w:space="0" w:color="auto"/>
        <w:left w:val="none" w:sz="0" w:space="0" w:color="auto"/>
        <w:bottom w:val="none" w:sz="0" w:space="0" w:color="auto"/>
        <w:right w:val="none" w:sz="0" w:space="0" w:color="auto"/>
      </w:divBdr>
    </w:div>
    <w:div w:id="998456851">
      <w:bodyDiv w:val="1"/>
      <w:marLeft w:val="0"/>
      <w:marRight w:val="0"/>
      <w:marTop w:val="0"/>
      <w:marBottom w:val="0"/>
      <w:divBdr>
        <w:top w:val="none" w:sz="0" w:space="0" w:color="auto"/>
        <w:left w:val="none" w:sz="0" w:space="0" w:color="auto"/>
        <w:bottom w:val="none" w:sz="0" w:space="0" w:color="auto"/>
        <w:right w:val="none" w:sz="0" w:space="0" w:color="auto"/>
      </w:divBdr>
    </w:div>
    <w:div w:id="1012217523">
      <w:bodyDiv w:val="1"/>
      <w:marLeft w:val="0"/>
      <w:marRight w:val="0"/>
      <w:marTop w:val="0"/>
      <w:marBottom w:val="0"/>
      <w:divBdr>
        <w:top w:val="none" w:sz="0" w:space="0" w:color="auto"/>
        <w:left w:val="none" w:sz="0" w:space="0" w:color="auto"/>
        <w:bottom w:val="none" w:sz="0" w:space="0" w:color="auto"/>
        <w:right w:val="none" w:sz="0" w:space="0" w:color="auto"/>
      </w:divBdr>
    </w:div>
    <w:div w:id="1015229271">
      <w:bodyDiv w:val="1"/>
      <w:marLeft w:val="0"/>
      <w:marRight w:val="0"/>
      <w:marTop w:val="0"/>
      <w:marBottom w:val="0"/>
      <w:divBdr>
        <w:top w:val="none" w:sz="0" w:space="0" w:color="auto"/>
        <w:left w:val="none" w:sz="0" w:space="0" w:color="auto"/>
        <w:bottom w:val="none" w:sz="0" w:space="0" w:color="auto"/>
        <w:right w:val="none" w:sz="0" w:space="0" w:color="auto"/>
      </w:divBdr>
    </w:div>
    <w:div w:id="1015615589">
      <w:bodyDiv w:val="1"/>
      <w:marLeft w:val="0"/>
      <w:marRight w:val="0"/>
      <w:marTop w:val="0"/>
      <w:marBottom w:val="0"/>
      <w:divBdr>
        <w:top w:val="none" w:sz="0" w:space="0" w:color="auto"/>
        <w:left w:val="none" w:sz="0" w:space="0" w:color="auto"/>
        <w:bottom w:val="none" w:sz="0" w:space="0" w:color="auto"/>
        <w:right w:val="none" w:sz="0" w:space="0" w:color="auto"/>
      </w:divBdr>
    </w:div>
    <w:div w:id="1021661974">
      <w:bodyDiv w:val="1"/>
      <w:marLeft w:val="0"/>
      <w:marRight w:val="0"/>
      <w:marTop w:val="0"/>
      <w:marBottom w:val="0"/>
      <w:divBdr>
        <w:top w:val="none" w:sz="0" w:space="0" w:color="auto"/>
        <w:left w:val="none" w:sz="0" w:space="0" w:color="auto"/>
        <w:bottom w:val="none" w:sz="0" w:space="0" w:color="auto"/>
        <w:right w:val="none" w:sz="0" w:space="0" w:color="auto"/>
      </w:divBdr>
    </w:div>
    <w:div w:id="1023164019">
      <w:bodyDiv w:val="1"/>
      <w:marLeft w:val="0"/>
      <w:marRight w:val="0"/>
      <w:marTop w:val="0"/>
      <w:marBottom w:val="0"/>
      <w:divBdr>
        <w:top w:val="none" w:sz="0" w:space="0" w:color="auto"/>
        <w:left w:val="none" w:sz="0" w:space="0" w:color="auto"/>
        <w:bottom w:val="none" w:sz="0" w:space="0" w:color="auto"/>
        <w:right w:val="none" w:sz="0" w:space="0" w:color="auto"/>
      </w:divBdr>
    </w:div>
    <w:div w:id="1025639524">
      <w:bodyDiv w:val="1"/>
      <w:marLeft w:val="0"/>
      <w:marRight w:val="0"/>
      <w:marTop w:val="0"/>
      <w:marBottom w:val="0"/>
      <w:divBdr>
        <w:top w:val="none" w:sz="0" w:space="0" w:color="auto"/>
        <w:left w:val="none" w:sz="0" w:space="0" w:color="auto"/>
        <w:bottom w:val="none" w:sz="0" w:space="0" w:color="auto"/>
        <w:right w:val="none" w:sz="0" w:space="0" w:color="auto"/>
      </w:divBdr>
    </w:div>
    <w:div w:id="1029919237">
      <w:bodyDiv w:val="1"/>
      <w:marLeft w:val="0"/>
      <w:marRight w:val="0"/>
      <w:marTop w:val="0"/>
      <w:marBottom w:val="0"/>
      <w:divBdr>
        <w:top w:val="none" w:sz="0" w:space="0" w:color="auto"/>
        <w:left w:val="none" w:sz="0" w:space="0" w:color="auto"/>
        <w:bottom w:val="none" w:sz="0" w:space="0" w:color="auto"/>
        <w:right w:val="none" w:sz="0" w:space="0" w:color="auto"/>
      </w:divBdr>
    </w:div>
    <w:div w:id="1052339962">
      <w:bodyDiv w:val="1"/>
      <w:marLeft w:val="0"/>
      <w:marRight w:val="0"/>
      <w:marTop w:val="0"/>
      <w:marBottom w:val="0"/>
      <w:divBdr>
        <w:top w:val="none" w:sz="0" w:space="0" w:color="auto"/>
        <w:left w:val="none" w:sz="0" w:space="0" w:color="auto"/>
        <w:bottom w:val="none" w:sz="0" w:space="0" w:color="auto"/>
        <w:right w:val="none" w:sz="0" w:space="0" w:color="auto"/>
      </w:divBdr>
    </w:div>
    <w:div w:id="1054306202">
      <w:bodyDiv w:val="1"/>
      <w:marLeft w:val="0"/>
      <w:marRight w:val="0"/>
      <w:marTop w:val="0"/>
      <w:marBottom w:val="0"/>
      <w:divBdr>
        <w:top w:val="none" w:sz="0" w:space="0" w:color="auto"/>
        <w:left w:val="none" w:sz="0" w:space="0" w:color="auto"/>
        <w:bottom w:val="none" w:sz="0" w:space="0" w:color="auto"/>
        <w:right w:val="none" w:sz="0" w:space="0" w:color="auto"/>
      </w:divBdr>
    </w:div>
    <w:div w:id="1055393127">
      <w:bodyDiv w:val="1"/>
      <w:marLeft w:val="0"/>
      <w:marRight w:val="0"/>
      <w:marTop w:val="0"/>
      <w:marBottom w:val="0"/>
      <w:divBdr>
        <w:top w:val="none" w:sz="0" w:space="0" w:color="auto"/>
        <w:left w:val="none" w:sz="0" w:space="0" w:color="auto"/>
        <w:bottom w:val="none" w:sz="0" w:space="0" w:color="auto"/>
        <w:right w:val="none" w:sz="0" w:space="0" w:color="auto"/>
      </w:divBdr>
    </w:div>
    <w:div w:id="1055927842">
      <w:bodyDiv w:val="1"/>
      <w:marLeft w:val="0"/>
      <w:marRight w:val="0"/>
      <w:marTop w:val="0"/>
      <w:marBottom w:val="0"/>
      <w:divBdr>
        <w:top w:val="none" w:sz="0" w:space="0" w:color="auto"/>
        <w:left w:val="none" w:sz="0" w:space="0" w:color="auto"/>
        <w:bottom w:val="none" w:sz="0" w:space="0" w:color="auto"/>
        <w:right w:val="none" w:sz="0" w:space="0" w:color="auto"/>
      </w:divBdr>
    </w:div>
    <w:div w:id="1059211807">
      <w:bodyDiv w:val="1"/>
      <w:marLeft w:val="0"/>
      <w:marRight w:val="0"/>
      <w:marTop w:val="0"/>
      <w:marBottom w:val="0"/>
      <w:divBdr>
        <w:top w:val="none" w:sz="0" w:space="0" w:color="auto"/>
        <w:left w:val="none" w:sz="0" w:space="0" w:color="auto"/>
        <w:bottom w:val="none" w:sz="0" w:space="0" w:color="auto"/>
        <w:right w:val="none" w:sz="0" w:space="0" w:color="auto"/>
      </w:divBdr>
    </w:div>
    <w:div w:id="1061489150">
      <w:bodyDiv w:val="1"/>
      <w:marLeft w:val="0"/>
      <w:marRight w:val="0"/>
      <w:marTop w:val="0"/>
      <w:marBottom w:val="0"/>
      <w:divBdr>
        <w:top w:val="none" w:sz="0" w:space="0" w:color="auto"/>
        <w:left w:val="none" w:sz="0" w:space="0" w:color="auto"/>
        <w:bottom w:val="none" w:sz="0" w:space="0" w:color="auto"/>
        <w:right w:val="none" w:sz="0" w:space="0" w:color="auto"/>
      </w:divBdr>
    </w:div>
    <w:div w:id="1069423444">
      <w:bodyDiv w:val="1"/>
      <w:marLeft w:val="0"/>
      <w:marRight w:val="0"/>
      <w:marTop w:val="0"/>
      <w:marBottom w:val="0"/>
      <w:divBdr>
        <w:top w:val="none" w:sz="0" w:space="0" w:color="auto"/>
        <w:left w:val="none" w:sz="0" w:space="0" w:color="auto"/>
        <w:bottom w:val="none" w:sz="0" w:space="0" w:color="auto"/>
        <w:right w:val="none" w:sz="0" w:space="0" w:color="auto"/>
      </w:divBdr>
    </w:div>
    <w:div w:id="1069838872">
      <w:bodyDiv w:val="1"/>
      <w:marLeft w:val="0"/>
      <w:marRight w:val="0"/>
      <w:marTop w:val="0"/>
      <w:marBottom w:val="0"/>
      <w:divBdr>
        <w:top w:val="none" w:sz="0" w:space="0" w:color="auto"/>
        <w:left w:val="none" w:sz="0" w:space="0" w:color="auto"/>
        <w:bottom w:val="none" w:sz="0" w:space="0" w:color="auto"/>
        <w:right w:val="none" w:sz="0" w:space="0" w:color="auto"/>
      </w:divBdr>
    </w:div>
    <w:div w:id="1071999557">
      <w:bodyDiv w:val="1"/>
      <w:marLeft w:val="0"/>
      <w:marRight w:val="0"/>
      <w:marTop w:val="0"/>
      <w:marBottom w:val="0"/>
      <w:divBdr>
        <w:top w:val="none" w:sz="0" w:space="0" w:color="auto"/>
        <w:left w:val="none" w:sz="0" w:space="0" w:color="auto"/>
        <w:bottom w:val="none" w:sz="0" w:space="0" w:color="auto"/>
        <w:right w:val="none" w:sz="0" w:space="0" w:color="auto"/>
      </w:divBdr>
    </w:div>
    <w:div w:id="1079474860">
      <w:bodyDiv w:val="1"/>
      <w:marLeft w:val="0"/>
      <w:marRight w:val="0"/>
      <w:marTop w:val="0"/>
      <w:marBottom w:val="0"/>
      <w:divBdr>
        <w:top w:val="none" w:sz="0" w:space="0" w:color="auto"/>
        <w:left w:val="none" w:sz="0" w:space="0" w:color="auto"/>
        <w:bottom w:val="none" w:sz="0" w:space="0" w:color="auto"/>
        <w:right w:val="none" w:sz="0" w:space="0" w:color="auto"/>
      </w:divBdr>
    </w:div>
    <w:div w:id="1082263040">
      <w:bodyDiv w:val="1"/>
      <w:marLeft w:val="0"/>
      <w:marRight w:val="0"/>
      <w:marTop w:val="0"/>
      <w:marBottom w:val="0"/>
      <w:divBdr>
        <w:top w:val="none" w:sz="0" w:space="0" w:color="auto"/>
        <w:left w:val="none" w:sz="0" w:space="0" w:color="auto"/>
        <w:bottom w:val="none" w:sz="0" w:space="0" w:color="auto"/>
        <w:right w:val="none" w:sz="0" w:space="0" w:color="auto"/>
      </w:divBdr>
    </w:div>
    <w:div w:id="1088961236">
      <w:bodyDiv w:val="1"/>
      <w:marLeft w:val="0"/>
      <w:marRight w:val="0"/>
      <w:marTop w:val="0"/>
      <w:marBottom w:val="0"/>
      <w:divBdr>
        <w:top w:val="none" w:sz="0" w:space="0" w:color="auto"/>
        <w:left w:val="none" w:sz="0" w:space="0" w:color="auto"/>
        <w:bottom w:val="none" w:sz="0" w:space="0" w:color="auto"/>
        <w:right w:val="none" w:sz="0" w:space="0" w:color="auto"/>
      </w:divBdr>
    </w:div>
    <w:div w:id="1090346689">
      <w:bodyDiv w:val="1"/>
      <w:marLeft w:val="0"/>
      <w:marRight w:val="0"/>
      <w:marTop w:val="0"/>
      <w:marBottom w:val="0"/>
      <w:divBdr>
        <w:top w:val="none" w:sz="0" w:space="0" w:color="auto"/>
        <w:left w:val="none" w:sz="0" w:space="0" w:color="auto"/>
        <w:bottom w:val="none" w:sz="0" w:space="0" w:color="auto"/>
        <w:right w:val="none" w:sz="0" w:space="0" w:color="auto"/>
      </w:divBdr>
    </w:div>
    <w:div w:id="1092160351">
      <w:bodyDiv w:val="1"/>
      <w:marLeft w:val="0"/>
      <w:marRight w:val="0"/>
      <w:marTop w:val="0"/>
      <w:marBottom w:val="0"/>
      <w:divBdr>
        <w:top w:val="none" w:sz="0" w:space="0" w:color="auto"/>
        <w:left w:val="none" w:sz="0" w:space="0" w:color="auto"/>
        <w:bottom w:val="none" w:sz="0" w:space="0" w:color="auto"/>
        <w:right w:val="none" w:sz="0" w:space="0" w:color="auto"/>
      </w:divBdr>
    </w:div>
    <w:div w:id="1094864506">
      <w:bodyDiv w:val="1"/>
      <w:marLeft w:val="0"/>
      <w:marRight w:val="0"/>
      <w:marTop w:val="0"/>
      <w:marBottom w:val="0"/>
      <w:divBdr>
        <w:top w:val="none" w:sz="0" w:space="0" w:color="auto"/>
        <w:left w:val="none" w:sz="0" w:space="0" w:color="auto"/>
        <w:bottom w:val="none" w:sz="0" w:space="0" w:color="auto"/>
        <w:right w:val="none" w:sz="0" w:space="0" w:color="auto"/>
      </w:divBdr>
    </w:div>
    <w:div w:id="1098913454">
      <w:bodyDiv w:val="1"/>
      <w:marLeft w:val="0"/>
      <w:marRight w:val="0"/>
      <w:marTop w:val="0"/>
      <w:marBottom w:val="0"/>
      <w:divBdr>
        <w:top w:val="none" w:sz="0" w:space="0" w:color="auto"/>
        <w:left w:val="none" w:sz="0" w:space="0" w:color="auto"/>
        <w:bottom w:val="none" w:sz="0" w:space="0" w:color="auto"/>
        <w:right w:val="none" w:sz="0" w:space="0" w:color="auto"/>
      </w:divBdr>
    </w:div>
    <w:div w:id="1110247474">
      <w:bodyDiv w:val="1"/>
      <w:marLeft w:val="0"/>
      <w:marRight w:val="0"/>
      <w:marTop w:val="0"/>
      <w:marBottom w:val="0"/>
      <w:divBdr>
        <w:top w:val="none" w:sz="0" w:space="0" w:color="auto"/>
        <w:left w:val="none" w:sz="0" w:space="0" w:color="auto"/>
        <w:bottom w:val="none" w:sz="0" w:space="0" w:color="auto"/>
        <w:right w:val="none" w:sz="0" w:space="0" w:color="auto"/>
      </w:divBdr>
    </w:div>
    <w:div w:id="1114519256">
      <w:bodyDiv w:val="1"/>
      <w:marLeft w:val="0"/>
      <w:marRight w:val="0"/>
      <w:marTop w:val="0"/>
      <w:marBottom w:val="0"/>
      <w:divBdr>
        <w:top w:val="none" w:sz="0" w:space="0" w:color="auto"/>
        <w:left w:val="none" w:sz="0" w:space="0" w:color="auto"/>
        <w:bottom w:val="none" w:sz="0" w:space="0" w:color="auto"/>
        <w:right w:val="none" w:sz="0" w:space="0" w:color="auto"/>
      </w:divBdr>
    </w:div>
    <w:div w:id="1116411448">
      <w:bodyDiv w:val="1"/>
      <w:marLeft w:val="0"/>
      <w:marRight w:val="0"/>
      <w:marTop w:val="0"/>
      <w:marBottom w:val="0"/>
      <w:divBdr>
        <w:top w:val="none" w:sz="0" w:space="0" w:color="auto"/>
        <w:left w:val="none" w:sz="0" w:space="0" w:color="auto"/>
        <w:bottom w:val="none" w:sz="0" w:space="0" w:color="auto"/>
        <w:right w:val="none" w:sz="0" w:space="0" w:color="auto"/>
      </w:divBdr>
    </w:div>
    <w:div w:id="1118450673">
      <w:bodyDiv w:val="1"/>
      <w:marLeft w:val="0"/>
      <w:marRight w:val="0"/>
      <w:marTop w:val="0"/>
      <w:marBottom w:val="0"/>
      <w:divBdr>
        <w:top w:val="none" w:sz="0" w:space="0" w:color="auto"/>
        <w:left w:val="none" w:sz="0" w:space="0" w:color="auto"/>
        <w:bottom w:val="none" w:sz="0" w:space="0" w:color="auto"/>
        <w:right w:val="none" w:sz="0" w:space="0" w:color="auto"/>
      </w:divBdr>
    </w:div>
    <w:div w:id="1118722446">
      <w:bodyDiv w:val="1"/>
      <w:marLeft w:val="0"/>
      <w:marRight w:val="0"/>
      <w:marTop w:val="0"/>
      <w:marBottom w:val="0"/>
      <w:divBdr>
        <w:top w:val="none" w:sz="0" w:space="0" w:color="auto"/>
        <w:left w:val="none" w:sz="0" w:space="0" w:color="auto"/>
        <w:bottom w:val="none" w:sz="0" w:space="0" w:color="auto"/>
        <w:right w:val="none" w:sz="0" w:space="0" w:color="auto"/>
      </w:divBdr>
    </w:div>
    <w:div w:id="1119954260">
      <w:bodyDiv w:val="1"/>
      <w:marLeft w:val="0"/>
      <w:marRight w:val="0"/>
      <w:marTop w:val="0"/>
      <w:marBottom w:val="0"/>
      <w:divBdr>
        <w:top w:val="none" w:sz="0" w:space="0" w:color="auto"/>
        <w:left w:val="none" w:sz="0" w:space="0" w:color="auto"/>
        <w:bottom w:val="none" w:sz="0" w:space="0" w:color="auto"/>
        <w:right w:val="none" w:sz="0" w:space="0" w:color="auto"/>
      </w:divBdr>
    </w:div>
    <w:div w:id="1126243807">
      <w:bodyDiv w:val="1"/>
      <w:marLeft w:val="0"/>
      <w:marRight w:val="0"/>
      <w:marTop w:val="0"/>
      <w:marBottom w:val="0"/>
      <w:divBdr>
        <w:top w:val="none" w:sz="0" w:space="0" w:color="auto"/>
        <w:left w:val="none" w:sz="0" w:space="0" w:color="auto"/>
        <w:bottom w:val="none" w:sz="0" w:space="0" w:color="auto"/>
        <w:right w:val="none" w:sz="0" w:space="0" w:color="auto"/>
      </w:divBdr>
    </w:div>
    <w:div w:id="1128426120">
      <w:bodyDiv w:val="1"/>
      <w:marLeft w:val="0"/>
      <w:marRight w:val="0"/>
      <w:marTop w:val="0"/>
      <w:marBottom w:val="0"/>
      <w:divBdr>
        <w:top w:val="none" w:sz="0" w:space="0" w:color="auto"/>
        <w:left w:val="none" w:sz="0" w:space="0" w:color="auto"/>
        <w:bottom w:val="none" w:sz="0" w:space="0" w:color="auto"/>
        <w:right w:val="none" w:sz="0" w:space="0" w:color="auto"/>
      </w:divBdr>
    </w:div>
    <w:div w:id="1130785468">
      <w:bodyDiv w:val="1"/>
      <w:marLeft w:val="0"/>
      <w:marRight w:val="0"/>
      <w:marTop w:val="0"/>
      <w:marBottom w:val="0"/>
      <w:divBdr>
        <w:top w:val="none" w:sz="0" w:space="0" w:color="auto"/>
        <w:left w:val="none" w:sz="0" w:space="0" w:color="auto"/>
        <w:bottom w:val="none" w:sz="0" w:space="0" w:color="auto"/>
        <w:right w:val="none" w:sz="0" w:space="0" w:color="auto"/>
      </w:divBdr>
    </w:div>
    <w:div w:id="1132094047">
      <w:bodyDiv w:val="1"/>
      <w:marLeft w:val="0"/>
      <w:marRight w:val="0"/>
      <w:marTop w:val="0"/>
      <w:marBottom w:val="0"/>
      <w:divBdr>
        <w:top w:val="none" w:sz="0" w:space="0" w:color="auto"/>
        <w:left w:val="none" w:sz="0" w:space="0" w:color="auto"/>
        <w:bottom w:val="none" w:sz="0" w:space="0" w:color="auto"/>
        <w:right w:val="none" w:sz="0" w:space="0" w:color="auto"/>
      </w:divBdr>
    </w:div>
    <w:div w:id="1136295622">
      <w:bodyDiv w:val="1"/>
      <w:marLeft w:val="0"/>
      <w:marRight w:val="0"/>
      <w:marTop w:val="0"/>
      <w:marBottom w:val="0"/>
      <w:divBdr>
        <w:top w:val="none" w:sz="0" w:space="0" w:color="auto"/>
        <w:left w:val="none" w:sz="0" w:space="0" w:color="auto"/>
        <w:bottom w:val="none" w:sz="0" w:space="0" w:color="auto"/>
        <w:right w:val="none" w:sz="0" w:space="0" w:color="auto"/>
      </w:divBdr>
    </w:div>
    <w:div w:id="1142620760">
      <w:bodyDiv w:val="1"/>
      <w:marLeft w:val="0"/>
      <w:marRight w:val="0"/>
      <w:marTop w:val="0"/>
      <w:marBottom w:val="0"/>
      <w:divBdr>
        <w:top w:val="none" w:sz="0" w:space="0" w:color="auto"/>
        <w:left w:val="none" w:sz="0" w:space="0" w:color="auto"/>
        <w:bottom w:val="none" w:sz="0" w:space="0" w:color="auto"/>
        <w:right w:val="none" w:sz="0" w:space="0" w:color="auto"/>
      </w:divBdr>
    </w:div>
    <w:div w:id="1143278005">
      <w:bodyDiv w:val="1"/>
      <w:marLeft w:val="0"/>
      <w:marRight w:val="0"/>
      <w:marTop w:val="0"/>
      <w:marBottom w:val="0"/>
      <w:divBdr>
        <w:top w:val="none" w:sz="0" w:space="0" w:color="auto"/>
        <w:left w:val="none" w:sz="0" w:space="0" w:color="auto"/>
        <w:bottom w:val="none" w:sz="0" w:space="0" w:color="auto"/>
        <w:right w:val="none" w:sz="0" w:space="0" w:color="auto"/>
      </w:divBdr>
    </w:div>
    <w:div w:id="1145665032">
      <w:bodyDiv w:val="1"/>
      <w:marLeft w:val="0"/>
      <w:marRight w:val="0"/>
      <w:marTop w:val="0"/>
      <w:marBottom w:val="0"/>
      <w:divBdr>
        <w:top w:val="none" w:sz="0" w:space="0" w:color="auto"/>
        <w:left w:val="none" w:sz="0" w:space="0" w:color="auto"/>
        <w:bottom w:val="none" w:sz="0" w:space="0" w:color="auto"/>
        <w:right w:val="none" w:sz="0" w:space="0" w:color="auto"/>
      </w:divBdr>
    </w:div>
    <w:div w:id="1176964644">
      <w:bodyDiv w:val="1"/>
      <w:marLeft w:val="0"/>
      <w:marRight w:val="0"/>
      <w:marTop w:val="0"/>
      <w:marBottom w:val="0"/>
      <w:divBdr>
        <w:top w:val="none" w:sz="0" w:space="0" w:color="auto"/>
        <w:left w:val="none" w:sz="0" w:space="0" w:color="auto"/>
        <w:bottom w:val="none" w:sz="0" w:space="0" w:color="auto"/>
        <w:right w:val="none" w:sz="0" w:space="0" w:color="auto"/>
      </w:divBdr>
    </w:div>
    <w:div w:id="1177114375">
      <w:bodyDiv w:val="1"/>
      <w:marLeft w:val="0"/>
      <w:marRight w:val="0"/>
      <w:marTop w:val="0"/>
      <w:marBottom w:val="0"/>
      <w:divBdr>
        <w:top w:val="none" w:sz="0" w:space="0" w:color="auto"/>
        <w:left w:val="none" w:sz="0" w:space="0" w:color="auto"/>
        <w:bottom w:val="none" w:sz="0" w:space="0" w:color="auto"/>
        <w:right w:val="none" w:sz="0" w:space="0" w:color="auto"/>
      </w:divBdr>
    </w:div>
    <w:div w:id="1178350314">
      <w:bodyDiv w:val="1"/>
      <w:marLeft w:val="0"/>
      <w:marRight w:val="0"/>
      <w:marTop w:val="0"/>
      <w:marBottom w:val="0"/>
      <w:divBdr>
        <w:top w:val="none" w:sz="0" w:space="0" w:color="auto"/>
        <w:left w:val="none" w:sz="0" w:space="0" w:color="auto"/>
        <w:bottom w:val="none" w:sz="0" w:space="0" w:color="auto"/>
        <w:right w:val="none" w:sz="0" w:space="0" w:color="auto"/>
      </w:divBdr>
    </w:div>
    <w:div w:id="1180895825">
      <w:bodyDiv w:val="1"/>
      <w:marLeft w:val="0"/>
      <w:marRight w:val="0"/>
      <w:marTop w:val="0"/>
      <w:marBottom w:val="0"/>
      <w:divBdr>
        <w:top w:val="none" w:sz="0" w:space="0" w:color="auto"/>
        <w:left w:val="none" w:sz="0" w:space="0" w:color="auto"/>
        <w:bottom w:val="none" w:sz="0" w:space="0" w:color="auto"/>
        <w:right w:val="none" w:sz="0" w:space="0" w:color="auto"/>
      </w:divBdr>
    </w:div>
    <w:div w:id="1181164560">
      <w:bodyDiv w:val="1"/>
      <w:marLeft w:val="0"/>
      <w:marRight w:val="0"/>
      <w:marTop w:val="0"/>
      <w:marBottom w:val="0"/>
      <w:divBdr>
        <w:top w:val="none" w:sz="0" w:space="0" w:color="auto"/>
        <w:left w:val="none" w:sz="0" w:space="0" w:color="auto"/>
        <w:bottom w:val="none" w:sz="0" w:space="0" w:color="auto"/>
        <w:right w:val="none" w:sz="0" w:space="0" w:color="auto"/>
      </w:divBdr>
    </w:div>
    <w:div w:id="1181624707">
      <w:bodyDiv w:val="1"/>
      <w:marLeft w:val="0"/>
      <w:marRight w:val="0"/>
      <w:marTop w:val="0"/>
      <w:marBottom w:val="0"/>
      <w:divBdr>
        <w:top w:val="none" w:sz="0" w:space="0" w:color="auto"/>
        <w:left w:val="none" w:sz="0" w:space="0" w:color="auto"/>
        <w:bottom w:val="none" w:sz="0" w:space="0" w:color="auto"/>
        <w:right w:val="none" w:sz="0" w:space="0" w:color="auto"/>
      </w:divBdr>
    </w:div>
    <w:div w:id="1195919530">
      <w:bodyDiv w:val="1"/>
      <w:marLeft w:val="0"/>
      <w:marRight w:val="0"/>
      <w:marTop w:val="0"/>
      <w:marBottom w:val="0"/>
      <w:divBdr>
        <w:top w:val="none" w:sz="0" w:space="0" w:color="auto"/>
        <w:left w:val="none" w:sz="0" w:space="0" w:color="auto"/>
        <w:bottom w:val="none" w:sz="0" w:space="0" w:color="auto"/>
        <w:right w:val="none" w:sz="0" w:space="0" w:color="auto"/>
      </w:divBdr>
    </w:div>
    <w:div w:id="1198081491">
      <w:bodyDiv w:val="1"/>
      <w:marLeft w:val="0"/>
      <w:marRight w:val="0"/>
      <w:marTop w:val="0"/>
      <w:marBottom w:val="0"/>
      <w:divBdr>
        <w:top w:val="none" w:sz="0" w:space="0" w:color="auto"/>
        <w:left w:val="none" w:sz="0" w:space="0" w:color="auto"/>
        <w:bottom w:val="none" w:sz="0" w:space="0" w:color="auto"/>
        <w:right w:val="none" w:sz="0" w:space="0" w:color="auto"/>
      </w:divBdr>
    </w:div>
    <w:div w:id="1203129003">
      <w:bodyDiv w:val="1"/>
      <w:marLeft w:val="0"/>
      <w:marRight w:val="0"/>
      <w:marTop w:val="0"/>
      <w:marBottom w:val="0"/>
      <w:divBdr>
        <w:top w:val="none" w:sz="0" w:space="0" w:color="auto"/>
        <w:left w:val="none" w:sz="0" w:space="0" w:color="auto"/>
        <w:bottom w:val="none" w:sz="0" w:space="0" w:color="auto"/>
        <w:right w:val="none" w:sz="0" w:space="0" w:color="auto"/>
      </w:divBdr>
    </w:div>
    <w:div w:id="1206988391">
      <w:bodyDiv w:val="1"/>
      <w:marLeft w:val="0"/>
      <w:marRight w:val="0"/>
      <w:marTop w:val="0"/>
      <w:marBottom w:val="0"/>
      <w:divBdr>
        <w:top w:val="none" w:sz="0" w:space="0" w:color="auto"/>
        <w:left w:val="none" w:sz="0" w:space="0" w:color="auto"/>
        <w:bottom w:val="none" w:sz="0" w:space="0" w:color="auto"/>
        <w:right w:val="none" w:sz="0" w:space="0" w:color="auto"/>
      </w:divBdr>
    </w:div>
    <w:div w:id="1211921845">
      <w:bodyDiv w:val="1"/>
      <w:marLeft w:val="0"/>
      <w:marRight w:val="0"/>
      <w:marTop w:val="0"/>
      <w:marBottom w:val="0"/>
      <w:divBdr>
        <w:top w:val="none" w:sz="0" w:space="0" w:color="auto"/>
        <w:left w:val="none" w:sz="0" w:space="0" w:color="auto"/>
        <w:bottom w:val="none" w:sz="0" w:space="0" w:color="auto"/>
        <w:right w:val="none" w:sz="0" w:space="0" w:color="auto"/>
      </w:divBdr>
    </w:div>
    <w:div w:id="1216425709">
      <w:bodyDiv w:val="1"/>
      <w:marLeft w:val="0"/>
      <w:marRight w:val="0"/>
      <w:marTop w:val="0"/>
      <w:marBottom w:val="0"/>
      <w:divBdr>
        <w:top w:val="none" w:sz="0" w:space="0" w:color="auto"/>
        <w:left w:val="none" w:sz="0" w:space="0" w:color="auto"/>
        <w:bottom w:val="none" w:sz="0" w:space="0" w:color="auto"/>
        <w:right w:val="none" w:sz="0" w:space="0" w:color="auto"/>
      </w:divBdr>
    </w:div>
    <w:div w:id="1219315177">
      <w:bodyDiv w:val="1"/>
      <w:marLeft w:val="0"/>
      <w:marRight w:val="0"/>
      <w:marTop w:val="0"/>
      <w:marBottom w:val="0"/>
      <w:divBdr>
        <w:top w:val="none" w:sz="0" w:space="0" w:color="auto"/>
        <w:left w:val="none" w:sz="0" w:space="0" w:color="auto"/>
        <w:bottom w:val="none" w:sz="0" w:space="0" w:color="auto"/>
        <w:right w:val="none" w:sz="0" w:space="0" w:color="auto"/>
      </w:divBdr>
    </w:div>
    <w:div w:id="1223365400">
      <w:bodyDiv w:val="1"/>
      <w:marLeft w:val="0"/>
      <w:marRight w:val="0"/>
      <w:marTop w:val="0"/>
      <w:marBottom w:val="0"/>
      <w:divBdr>
        <w:top w:val="none" w:sz="0" w:space="0" w:color="auto"/>
        <w:left w:val="none" w:sz="0" w:space="0" w:color="auto"/>
        <w:bottom w:val="none" w:sz="0" w:space="0" w:color="auto"/>
        <w:right w:val="none" w:sz="0" w:space="0" w:color="auto"/>
      </w:divBdr>
    </w:div>
    <w:div w:id="1227952173">
      <w:bodyDiv w:val="1"/>
      <w:marLeft w:val="0"/>
      <w:marRight w:val="0"/>
      <w:marTop w:val="0"/>
      <w:marBottom w:val="0"/>
      <w:divBdr>
        <w:top w:val="none" w:sz="0" w:space="0" w:color="auto"/>
        <w:left w:val="none" w:sz="0" w:space="0" w:color="auto"/>
        <w:bottom w:val="none" w:sz="0" w:space="0" w:color="auto"/>
        <w:right w:val="none" w:sz="0" w:space="0" w:color="auto"/>
      </w:divBdr>
    </w:div>
    <w:div w:id="1234005359">
      <w:bodyDiv w:val="1"/>
      <w:marLeft w:val="0"/>
      <w:marRight w:val="0"/>
      <w:marTop w:val="0"/>
      <w:marBottom w:val="0"/>
      <w:divBdr>
        <w:top w:val="none" w:sz="0" w:space="0" w:color="auto"/>
        <w:left w:val="none" w:sz="0" w:space="0" w:color="auto"/>
        <w:bottom w:val="none" w:sz="0" w:space="0" w:color="auto"/>
        <w:right w:val="none" w:sz="0" w:space="0" w:color="auto"/>
      </w:divBdr>
    </w:div>
    <w:div w:id="1236085942">
      <w:bodyDiv w:val="1"/>
      <w:marLeft w:val="0"/>
      <w:marRight w:val="0"/>
      <w:marTop w:val="0"/>
      <w:marBottom w:val="0"/>
      <w:divBdr>
        <w:top w:val="none" w:sz="0" w:space="0" w:color="auto"/>
        <w:left w:val="none" w:sz="0" w:space="0" w:color="auto"/>
        <w:bottom w:val="none" w:sz="0" w:space="0" w:color="auto"/>
        <w:right w:val="none" w:sz="0" w:space="0" w:color="auto"/>
      </w:divBdr>
    </w:div>
    <w:div w:id="1239705924">
      <w:bodyDiv w:val="1"/>
      <w:marLeft w:val="0"/>
      <w:marRight w:val="0"/>
      <w:marTop w:val="0"/>
      <w:marBottom w:val="0"/>
      <w:divBdr>
        <w:top w:val="none" w:sz="0" w:space="0" w:color="auto"/>
        <w:left w:val="none" w:sz="0" w:space="0" w:color="auto"/>
        <w:bottom w:val="none" w:sz="0" w:space="0" w:color="auto"/>
        <w:right w:val="none" w:sz="0" w:space="0" w:color="auto"/>
      </w:divBdr>
    </w:div>
    <w:div w:id="1252204529">
      <w:bodyDiv w:val="1"/>
      <w:marLeft w:val="0"/>
      <w:marRight w:val="0"/>
      <w:marTop w:val="0"/>
      <w:marBottom w:val="0"/>
      <w:divBdr>
        <w:top w:val="none" w:sz="0" w:space="0" w:color="auto"/>
        <w:left w:val="none" w:sz="0" w:space="0" w:color="auto"/>
        <w:bottom w:val="none" w:sz="0" w:space="0" w:color="auto"/>
        <w:right w:val="none" w:sz="0" w:space="0" w:color="auto"/>
      </w:divBdr>
    </w:div>
    <w:div w:id="1253474029">
      <w:bodyDiv w:val="1"/>
      <w:marLeft w:val="0"/>
      <w:marRight w:val="0"/>
      <w:marTop w:val="0"/>
      <w:marBottom w:val="0"/>
      <w:divBdr>
        <w:top w:val="none" w:sz="0" w:space="0" w:color="auto"/>
        <w:left w:val="none" w:sz="0" w:space="0" w:color="auto"/>
        <w:bottom w:val="none" w:sz="0" w:space="0" w:color="auto"/>
        <w:right w:val="none" w:sz="0" w:space="0" w:color="auto"/>
      </w:divBdr>
    </w:div>
    <w:div w:id="1253974164">
      <w:bodyDiv w:val="1"/>
      <w:marLeft w:val="0"/>
      <w:marRight w:val="0"/>
      <w:marTop w:val="0"/>
      <w:marBottom w:val="0"/>
      <w:divBdr>
        <w:top w:val="none" w:sz="0" w:space="0" w:color="auto"/>
        <w:left w:val="none" w:sz="0" w:space="0" w:color="auto"/>
        <w:bottom w:val="none" w:sz="0" w:space="0" w:color="auto"/>
        <w:right w:val="none" w:sz="0" w:space="0" w:color="auto"/>
      </w:divBdr>
    </w:div>
    <w:div w:id="1256397894">
      <w:bodyDiv w:val="1"/>
      <w:marLeft w:val="0"/>
      <w:marRight w:val="0"/>
      <w:marTop w:val="0"/>
      <w:marBottom w:val="0"/>
      <w:divBdr>
        <w:top w:val="none" w:sz="0" w:space="0" w:color="auto"/>
        <w:left w:val="none" w:sz="0" w:space="0" w:color="auto"/>
        <w:bottom w:val="none" w:sz="0" w:space="0" w:color="auto"/>
        <w:right w:val="none" w:sz="0" w:space="0" w:color="auto"/>
      </w:divBdr>
    </w:div>
    <w:div w:id="1260257841">
      <w:bodyDiv w:val="1"/>
      <w:marLeft w:val="0"/>
      <w:marRight w:val="0"/>
      <w:marTop w:val="0"/>
      <w:marBottom w:val="0"/>
      <w:divBdr>
        <w:top w:val="none" w:sz="0" w:space="0" w:color="auto"/>
        <w:left w:val="none" w:sz="0" w:space="0" w:color="auto"/>
        <w:bottom w:val="none" w:sz="0" w:space="0" w:color="auto"/>
        <w:right w:val="none" w:sz="0" w:space="0" w:color="auto"/>
      </w:divBdr>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
    <w:div w:id="1268195944">
      <w:bodyDiv w:val="1"/>
      <w:marLeft w:val="0"/>
      <w:marRight w:val="0"/>
      <w:marTop w:val="0"/>
      <w:marBottom w:val="0"/>
      <w:divBdr>
        <w:top w:val="none" w:sz="0" w:space="0" w:color="auto"/>
        <w:left w:val="none" w:sz="0" w:space="0" w:color="auto"/>
        <w:bottom w:val="none" w:sz="0" w:space="0" w:color="auto"/>
        <w:right w:val="none" w:sz="0" w:space="0" w:color="auto"/>
      </w:divBdr>
    </w:div>
    <w:div w:id="1268804907">
      <w:bodyDiv w:val="1"/>
      <w:marLeft w:val="0"/>
      <w:marRight w:val="0"/>
      <w:marTop w:val="0"/>
      <w:marBottom w:val="0"/>
      <w:divBdr>
        <w:top w:val="none" w:sz="0" w:space="0" w:color="auto"/>
        <w:left w:val="none" w:sz="0" w:space="0" w:color="auto"/>
        <w:bottom w:val="none" w:sz="0" w:space="0" w:color="auto"/>
        <w:right w:val="none" w:sz="0" w:space="0" w:color="auto"/>
      </w:divBdr>
    </w:div>
    <w:div w:id="1269698172">
      <w:bodyDiv w:val="1"/>
      <w:marLeft w:val="0"/>
      <w:marRight w:val="0"/>
      <w:marTop w:val="0"/>
      <w:marBottom w:val="0"/>
      <w:divBdr>
        <w:top w:val="none" w:sz="0" w:space="0" w:color="auto"/>
        <w:left w:val="none" w:sz="0" w:space="0" w:color="auto"/>
        <w:bottom w:val="none" w:sz="0" w:space="0" w:color="auto"/>
        <w:right w:val="none" w:sz="0" w:space="0" w:color="auto"/>
      </w:divBdr>
    </w:div>
    <w:div w:id="1277911855">
      <w:bodyDiv w:val="1"/>
      <w:marLeft w:val="0"/>
      <w:marRight w:val="0"/>
      <w:marTop w:val="0"/>
      <w:marBottom w:val="0"/>
      <w:divBdr>
        <w:top w:val="none" w:sz="0" w:space="0" w:color="auto"/>
        <w:left w:val="none" w:sz="0" w:space="0" w:color="auto"/>
        <w:bottom w:val="none" w:sz="0" w:space="0" w:color="auto"/>
        <w:right w:val="none" w:sz="0" w:space="0" w:color="auto"/>
      </w:divBdr>
    </w:div>
    <w:div w:id="1281689137">
      <w:bodyDiv w:val="1"/>
      <w:marLeft w:val="0"/>
      <w:marRight w:val="0"/>
      <w:marTop w:val="0"/>
      <w:marBottom w:val="0"/>
      <w:divBdr>
        <w:top w:val="none" w:sz="0" w:space="0" w:color="auto"/>
        <w:left w:val="none" w:sz="0" w:space="0" w:color="auto"/>
        <w:bottom w:val="none" w:sz="0" w:space="0" w:color="auto"/>
        <w:right w:val="none" w:sz="0" w:space="0" w:color="auto"/>
      </w:divBdr>
    </w:div>
    <w:div w:id="1289701621">
      <w:bodyDiv w:val="1"/>
      <w:marLeft w:val="0"/>
      <w:marRight w:val="0"/>
      <w:marTop w:val="0"/>
      <w:marBottom w:val="0"/>
      <w:divBdr>
        <w:top w:val="none" w:sz="0" w:space="0" w:color="auto"/>
        <w:left w:val="none" w:sz="0" w:space="0" w:color="auto"/>
        <w:bottom w:val="none" w:sz="0" w:space="0" w:color="auto"/>
        <w:right w:val="none" w:sz="0" w:space="0" w:color="auto"/>
      </w:divBdr>
    </w:div>
    <w:div w:id="1290625068">
      <w:bodyDiv w:val="1"/>
      <w:marLeft w:val="0"/>
      <w:marRight w:val="0"/>
      <w:marTop w:val="0"/>
      <w:marBottom w:val="0"/>
      <w:divBdr>
        <w:top w:val="none" w:sz="0" w:space="0" w:color="auto"/>
        <w:left w:val="none" w:sz="0" w:space="0" w:color="auto"/>
        <w:bottom w:val="none" w:sz="0" w:space="0" w:color="auto"/>
        <w:right w:val="none" w:sz="0" w:space="0" w:color="auto"/>
      </w:divBdr>
    </w:div>
    <w:div w:id="1290863850">
      <w:bodyDiv w:val="1"/>
      <w:marLeft w:val="0"/>
      <w:marRight w:val="0"/>
      <w:marTop w:val="0"/>
      <w:marBottom w:val="0"/>
      <w:divBdr>
        <w:top w:val="none" w:sz="0" w:space="0" w:color="auto"/>
        <w:left w:val="none" w:sz="0" w:space="0" w:color="auto"/>
        <w:bottom w:val="none" w:sz="0" w:space="0" w:color="auto"/>
        <w:right w:val="none" w:sz="0" w:space="0" w:color="auto"/>
      </w:divBdr>
    </w:div>
    <w:div w:id="1297879626">
      <w:bodyDiv w:val="1"/>
      <w:marLeft w:val="0"/>
      <w:marRight w:val="0"/>
      <w:marTop w:val="0"/>
      <w:marBottom w:val="0"/>
      <w:divBdr>
        <w:top w:val="none" w:sz="0" w:space="0" w:color="auto"/>
        <w:left w:val="none" w:sz="0" w:space="0" w:color="auto"/>
        <w:bottom w:val="none" w:sz="0" w:space="0" w:color="auto"/>
        <w:right w:val="none" w:sz="0" w:space="0" w:color="auto"/>
      </w:divBdr>
    </w:div>
    <w:div w:id="1298609174">
      <w:bodyDiv w:val="1"/>
      <w:marLeft w:val="0"/>
      <w:marRight w:val="0"/>
      <w:marTop w:val="0"/>
      <w:marBottom w:val="0"/>
      <w:divBdr>
        <w:top w:val="none" w:sz="0" w:space="0" w:color="auto"/>
        <w:left w:val="none" w:sz="0" w:space="0" w:color="auto"/>
        <w:bottom w:val="none" w:sz="0" w:space="0" w:color="auto"/>
        <w:right w:val="none" w:sz="0" w:space="0" w:color="auto"/>
      </w:divBdr>
    </w:div>
    <w:div w:id="1301572384">
      <w:bodyDiv w:val="1"/>
      <w:marLeft w:val="0"/>
      <w:marRight w:val="0"/>
      <w:marTop w:val="0"/>
      <w:marBottom w:val="0"/>
      <w:divBdr>
        <w:top w:val="none" w:sz="0" w:space="0" w:color="auto"/>
        <w:left w:val="none" w:sz="0" w:space="0" w:color="auto"/>
        <w:bottom w:val="none" w:sz="0" w:space="0" w:color="auto"/>
        <w:right w:val="none" w:sz="0" w:space="0" w:color="auto"/>
      </w:divBdr>
    </w:div>
    <w:div w:id="1305740152">
      <w:bodyDiv w:val="1"/>
      <w:marLeft w:val="0"/>
      <w:marRight w:val="0"/>
      <w:marTop w:val="0"/>
      <w:marBottom w:val="0"/>
      <w:divBdr>
        <w:top w:val="none" w:sz="0" w:space="0" w:color="auto"/>
        <w:left w:val="none" w:sz="0" w:space="0" w:color="auto"/>
        <w:bottom w:val="none" w:sz="0" w:space="0" w:color="auto"/>
        <w:right w:val="none" w:sz="0" w:space="0" w:color="auto"/>
      </w:divBdr>
    </w:div>
    <w:div w:id="1318728348">
      <w:bodyDiv w:val="1"/>
      <w:marLeft w:val="0"/>
      <w:marRight w:val="0"/>
      <w:marTop w:val="0"/>
      <w:marBottom w:val="0"/>
      <w:divBdr>
        <w:top w:val="none" w:sz="0" w:space="0" w:color="auto"/>
        <w:left w:val="none" w:sz="0" w:space="0" w:color="auto"/>
        <w:bottom w:val="none" w:sz="0" w:space="0" w:color="auto"/>
        <w:right w:val="none" w:sz="0" w:space="0" w:color="auto"/>
      </w:divBdr>
    </w:div>
    <w:div w:id="1324358099">
      <w:bodyDiv w:val="1"/>
      <w:marLeft w:val="0"/>
      <w:marRight w:val="0"/>
      <w:marTop w:val="0"/>
      <w:marBottom w:val="0"/>
      <w:divBdr>
        <w:top w:val="none" w:sz="0" w:space="0" w:color="auto"/>
        <w:left w:val="none" w:sz="0" w:space="0" w:color="auto"/>
        <w:bottom w:val="none" w:sz="0" w:space="0" w:color="auto"/>
        <w:right w:val="none" w:sz="0" w:space="0" w:color="auto"/>
      </w:divBdr>
    </w:div>
    <w:div w:id="1327631842">
      <w:bodyDiv w:val="1"/>
      <w:marLeft w:val="0"/>
      <w:marRight w:val="0"/>
      <w:marTop w:val="0"/>
      <w:marBottom w:val="0"/>
      <w:divBdr>
        <w:top w:val="none" w:sz="0" w:space="0" w:color="auto"/>
        <w:left w:val="none" w:sz="0" w:space="0" w:color="auto"/>
        <w:bottom w:val="none" w:sz="0" w:space="0" w:color="auto"/>
        <w:right w:val="none" w:sz="0" w:space="0" w:color="auto"/>
      </w:divBdr>
    </w:div>
    <w:div w:id="1348865203">
      <w:bodyDiv w:val="1"/>
      <w:marLeft w:val="0"/>
      <w:marRight w:val="0"/>
      <w:marTop w:val="0"/>
      <w:marBottom w:val="0"/>
      <w:divBdr>
        <w:top w:val="none" w:sz="0" w:space="0" w:color="auto"/>
        <w:left w:val="none" w:sz="0" w:space="0" w:color="auto"/>
        <w:bottom w:val="none" w:sz="0" w:space="0" w:color="auto"/>
        <w:right w:val="none" w:sz="0" w:space="0" w:color="auto"/>
      </w:divBdr>
    </w:div>
    <w:div w:id="1354452662">
      <w:bodyDiv w:val="1"/>
      <w:marLeft w:val="0"/>
      <w:marRight w:val="0"/>
      <w:marTop w:val="0"/>
      <w:marBottom w:val="0"/>
      <w:divBdr>
        <w:top w:val="none" w:sz="0" w:space="0" w:color="auto"/>
        <w:left w:val="none" w:sz="0" w:space="0" w:color="auto"/>
        <w:bottom w:val="none" w:sz="0" w:space="0" w:color="auto"/>
        <w:right w:val="none" w:sz="0" w:space="0" w:color="auto"/>
      </w:divBdr>
    </w:div>
    <w:div w:id="1362583531">
      <w:bodyDiv w:val="1"/>
      <w:marLeft w:val="0"/>
      <w:marRight w:val="0"/>
      <w:marTop w:val="0"/>
      <w:marBottom w:val="0"/>
      <w:divBdr>
        <w:top w:val="none" w:sz="0" w:space="0" w:color="auto"/>
        <w:left w:val="none" w:sz="0" w:space="0" w:color="auto"/>
        <w:bottom w:val="none" w:sz="0" w:space="0" w:color="auto"/>
        <w:right w:val="none" w:sz="0" w:space="0" w:color="auto"/>
      </w:divBdr>
    </w:div>
    <w:div w:id="1362633897">
      <w:bodyDiv w:val="1"/>
      <w:marLeft w:val="0"/>
      <w:marRight w:val="0"/>
      <w:marTop w:val="0"/>
      <w:marBottom w:val="0"/>
      <w:divBdr>
        <w:top w:val="none" w:sz="0" w:space="0" w:color="auto"/>
        <w:left w:val="none" w:sz="0" w:space="0" w:color="auto"/>
        <w:bottom w:val="none" w:sz="0" w:space="0" w:color="auto"/>
        <w:right w:val="none" w:sz="0" w:space="0" w:color="auto"/>
      </w:divBdr>
    </w:div>
    <w:div w:id="1374958818">
      <w:bodyDiv w:val="1"/>
      <w:marLeft w:val="0"/>
      <w:marRight w:val="0"/>
      <w:marTop w:val="0"/>
      <w:marBottom w:val="0"/>
      <w:divBdr>
        <w:top w:val="none" w:sz="0" w:space="0" w:color="auto"/>
        <w:left w:val="none" w:sz="0" w:space="0" w:color="auto"/>
        <w:bottom w:val="none" w:sz="0" w:space="0" w:color="auto"/>
        <w:right w:val="none" w:sz="0" w:space="0" w:color="auto"/>
      </w:divBdr>
    </w:div>
    <w:div w:id="1375739328">
      <w:bodyDiv w:val="1"/>
      <w:marLeft w:val="0"/>
      <w:marRight w:val="0"/>
      <w:marTop w:val="0"/>
      <w:marBottom w:val="0"/>
      <w:divBdr>
        <w:top w:val="none" w:sz="0" w:space="0" w:color="auto"/>
        <w:left w:val="none" w:sz="0" w:space="0" w:color="auto"/>
        <w:bottom w:val="none" w:sz="0" w:space="0" w:color="auto"/>
        <w:right w:val="none" w:sz="0" w:space="0" w:color="auto"/>
      </w:divBdr>
    </w:div>
    <w:div w:id="1377385942">
      <w:bodyDiv w:val="1"/>
      <w:marLeft w:val="0"/>
      <w:marRight w:val="0"/>
      <w:marTop w:val="0"/>
      <w:marBottom w:val="0"/>
      <w:divBdr>
        <w:top w:val="none" w:sz="0" w:space="0" w:color="auto"/>
        <w:left w:val="none" w:sz="0" w:space="0" w:color="auto"/>
        <w:bottom w:val="none" w:sz="0" w:space="0" w:color="auto"/>
        <w:right w:val="none" w:sz="0" w:space="0" w:color="auto"/>
      </w:divBdr>
    </w:div>
    <w:div w:id="1386489467">
      <w:bodyDiv w:val="1"/>
      <w:marLeft w:val="0"/>
      <w:marRight w:val="0"/>
      <w:marTop w:val="0"/>
      <w:marBottom w:val="0"/>
      <w:divBdr>
        <w:top w:val="none" w:sz="0" w:space="0" w:color="auto"/>
        <w:left w:val="none" w:sz="0" w:space="0" w:color="auto"/>
        <w:bottom w:val="none" w:sz="0" w:space="0" w:color="auto"/>
        <w:right w:val="none" w:sz="0" w:space="0" w:color="auto"/>
      </w:divBdr>
    </w:div>
    <w:div w:id="1393308979">
      <w:bodyDiv w:val="1"/>
      <w:marLeft w:val="0"/>
      <w:marRight w:val="0"/>
      <w:marTop w:val="0"/>
      <w:marBottom w:val="0"/>
      <w:divBdr>
        <w:top w:val="none" w:sz="0" w:space="0" w:color="auto"/>
        <w:left w:val="none" w:sz="0" w:space="0" w:color="auto"/>
        <w:bottom w:val="none" w:sz="0" w:space="0" w:color="auto"/>
        <w:right w:val="none" w:sz="0" w:space="0" w:color="auto"/>
      </w:divBdr>
    </w:div>
    <w:div w:id="1395662287">
      <w:bodyDiv w:val="1"/>
      <w:marLeft w:val="0"/>
      <w:marRight w:val="0"/>
      <w:marTop w:val="0"/>
      <w:marBottom w:val="0"/>
      <w:divBdr>
        <w:top w:val="none" w:sz="0" w:space="0" w:color="auto"/>
        <w:left w:val="none" w:sz="0" w:space="0" w:color="auto"/>
        <w:bottom w:val="none" w:sz="0" w:space="0" w:color="auto"/>
        <w:right w:val="none" w:sz="0" w:space="0" w:color="auto"/>
      </w:divBdr>
    </w:div>
    <w:div w:id="1396391916">
      <w:bodyDiv w:val="1"/>
      <w:marLeft w:val="0"/>
      <w:marRight w:val="0"/>
      <w:marTop w:val="0"/>
      <w:marBottom w:val="0"/>
      <w:divBdr>
        <w:top w:val="none" w:sz="0" w:space="0" w:color="auto"/>
        <w:left w:val="none" w:sz="0" w:space="0" w:color="auto"/>
        <w:bottom w:val="none" w:sz="0" w:space="0" w:color="auto"/>
        <w:right w:val="none" w:sz="0" w:space="0" w:color="auto"/>
      </w:divBdr>
    </w:div>
    <w:div w:id="1403528994">
      <w:bodyDiv w:val="1"/>
      <w:marLeft w:val="0"/>
      <w:marRight w:val="0"/>
      <w:marTop w:val="0"/>
      <w:marBottom w:val="0"/>
      <w:divBdr>
        <w:top w:val="none" w:sz="0" w:space="0" w:color="auto"/>
        <w:left w:val="none" w:sz="0" w:space="0" w:color="auto"/>
        <w:bottom w:val="none" w:sz="0" w:space="0" w:color="auto"/>
        <w:right w:val="none" w:sz="0" w:space="0" w:color="auto"/>
      </w:divBdr>
    </w:div>
    <w:div w:id="1410927756">
      <w:bodyDiv w:val="1"/>
      <w:marLeft w:val="0"/>
      <w:marRight w:val="0"/>
      <w:marTop w:val="0"/>
      <w:marBottom w:val="0"/>
      <w:divBdr>
        <w:top w:val="none" w:sz="0" w:space="0" w:color="auto"/>
        <w:left w:val="none" w:sz="0" w:space="0" w:color="auto"/>
        <w:bottom w:val="none" w:sz="0" w:space="0" w:color="auto"/>
        <w:right w:val="none" w:sz="0" w:space="0" w:color="auto"/>
      </w:divBdr>
    </w:div>
    <w:div w:id="1413041926">
      <w:bodyDiv w:val="1"/>
      <w:marLeft w:val="0"/>
      <w:marRight w:val="0"/>
      <w:marTop w:val="0"/>
      <w:marBottom w:val="0"/>
      <w:divBdr>
        <w:top w:val="none" w:sz="0" w:space="0" w:color="auto"/>
        <w:left w:val="none" w:sz="0" w:space="0" w:color="auto"/>
        <w:bottom w:val="none" w:sz="0" w:space="0" w:color="auto"/>
        <w:right w:val="none" w:sz="0" w:space="0" w:color="auto"/>
      </w:divBdr>
    </w:div>
    <w:div w:id="1423062267">
      <w:bodyDiv w:val="1"/>
      <w:marLeft w:val="0"/>
      <w:marRight w:val="0"/>
      <w:marTop w:val="0"/>
      <w:marBottom w:val="0"/>
      <w:divBdr>
        <w:top w:val="none" w:sz="0" w:space="0" w:color="auto"/>
        <w:left w:val="none" w:sz="0" w:space="0" w:color="auto"/>
        <w:bottom w:val="none" w:sz="0" w:space="0" w:color="auto"/>
        <w:right w:val="none" w:sz="0" w:space="0" w:color="auto"/>
      </w:divBdr>
    </w:div>
    <w:div w:id="1425342997">
      <w:bodyDiv w:val="1"/>
      <w:marLeft w:val="0"/>
      <w:marRight w:val="0"/>
      <w:marTop w:val="0"/>
      <w:marBottom w:val="0"/>
      <w:divBdr>
        <w:top w:val="none" w:sz="0" w:space="0" w:color="auto"/>
        <w:left w:val="none" w:sz="0" w:space="0" w:color="auto"/>
        <w:bottom w:val="none" w:sz="0" w:space="0" w:color="auto"/>
        <w:right w:val="none" w:sz="0" w:space="0" w:color="auto"/>
      </w:divBdr>
    </w:div>
    <w:div w:id="1430731242">
      <w:bodyDiv w:val="1"/>
      <w:marLeft w:val="0"/>
      <w:marRight w:val="0"/>
      <w:marTop w:val="0"/>
      <w:marBottom w:val="0"/>
      <w:divBdr>
        <w:top w:val="none" w:sz="0" w:space="0" w:color="auto"/>
        <w:left w:val="none" w:sz="0" w:space="0" w:color="auto"/>
        <w:bottom w:val="none" w:sz="0" w:space="0" w:color="auto"/>
        <w:right w:val="none" w:sz="0" w:space="0" w:color="auto"/>
      </w:divBdr>
    </w:div>
    <w:div w:id="1431046459">
      <w:bodyDiv w:val="1"/>
      <w:marLeft w:val="0"/>
      <w:marRight w:val="0"/>
      <w:marTop w:val="0"/>
      <w:marBottom w:val="0"/>
      <w:divBdr>
        <w:top w:val="none" w:sz="0" w:space="0" w:color="auto"/>
        <w:left w:val="none" w:sz="0" w:space="0" w:color="auto"/>
        <w:bottom w:val="none" w:sz="0" w:space="0" w:color="auto"/>
        <w:right w:val="none" w:sz="0" w:space="0" w:color="auto"/>
      </w:divBdr>
    </w:div>
    <w:div w:id="1443066264">
      <w:bodyDiv w:val="1"/>
      <w:marLeft w:val="0"/>
      <w:marRight w:val="0"/>
      <w:marTop w:val="0"/>
      <w:marBottom w:val="0"/>
      <w:divBdr>
        <w:top w:val="none" w:sz="0" w:space="0" w:color="auto"/>
        <w:left w:val="none" w:sz="0" w:space="0" w:color="auto"/>
        <w:bottom w:val="none" w:sz="0" w:space="0" w:color="auto"/>
        <w:right w:val="none" w:sz="0" w:space="0" w:color="auto"/>
      </w:divBdr>
    </w:div>
    <w:div w:id="1443257696">
      <w:bodyDiv w:val="1"/>
      <w:marLeft w:val="0"/>
      <w:marRight w:val="0"/>
      <w:marTop w:val="0"/>
      <w:marBottom w:val="0"/>
      <w:divBdr>
        <w:top w:val="none" w:sz="0" w:space="0" w:color="auto"/>
        <w:left w:val="none" w:sz="0" w:space="0" w:color="auto"/>
        <w:bottom w:val="none" w:sz="0" w:space="0" w:color="auto"/>
        <w:right w:val="none" w:sz="0" w:space="0" w:color="auto"/>
      </w:divBdr>
    </w:div>
    <w:div w:id="1443261699">
      <w:bodyDiv w:val="1"/>
      <w:marLeft w:val="0"/>
      <w:marRight w:val="0"/>
      <w:marTop w:val="0"/>
      <w:marBottom w:val="0"/>
      <w:divBdr>
        <w:top w:val="none" w:sz="0" w:space="0" w:color="auto"/>
        <w:left w:val="none" w:sz="0" w:space="0" w:color="auto"/>
        <w:bottom w:val="none" w:sz="0" w:space="0" w:color="auto"/>
        <w:right w:val="none" w:sz="0" w:space="0" w:color="auto"/>
      </w:divBdr>
    </w:div>
    <w:div w:id="1450390824">
      <w:bodyDiv w:val="1"/>
      <w:marLeft w:val="0"/>
      <w:marRight w:val="0"/>
      <w:marTop w:val="0"/>
      <w:marBottom w:val="0"/>
      <w:divBdr>
        <w:top w:val="none" w:sz="0" w:space="0" w:color="auto"/>
        <w:left w:val="none" w:sz="0" w:space="0" w:color="auto"/>
        <w:bottom w:val="none" w:sz="0" w:space="0" w:color="auto"/>
        <w:right w:val="none" w:sz="0" w:space="0" w:color="auto"/>
      </w:divBdr>
    </w:div>
    <w:div w:id="1467164336">
      <w:bodyDiv w:val="1"/>
      <w:marLeft w:val="0"/>
      <w:marRight w:val="0"/>
      <w:marTop w:val="0"/>
      <w:marBottom w:val="0"/>
      <w:divBdr>
        <w:top w:val="none" w:sz="0" w:space="0" w:color="auto"/>
        <w:left w:val="none" w:sz="0" w:space="0" w:color="auto"/>
        <w:bottom w:val="none" w:sz="0" w:space="0" w:color="auto"/>
        <w:right w:val="none" w:sz="0" w:space="0" w:color="auto"/>
      </w:divBdr>
    </w:div>
    <w:div w:id="1470125377">
      <w:bodyDiv w:val="1"/>
      <w:marLeft w:val="0"/>
      <w:marRight w:val="0"/>
      <w:marTop w:val="0"/>
      <w:marBottom w:val="0"/>
      <w:divBdr>
        <w:top w:val="none" w:sz="0" w:space="0" w:color="auto"/>
        <w:left w:val="none" w:sz="0" w:space="0" w:color="auto"/>
        <w:bottom w:val="none" w:sz="0" w:space="0" w:color="auto"/>
        <w:right w:val="none" w:sz="0" w:space="0" w:color="auto"/>
      </w:divBdr>
    </w:div>
    <w:div w:id="1472166637">
      <w:bodyDiv w:val="1"/>
      <w:marLeft w:val="0"/>
      <w:marRight w:val="0"/>
      <w:marTop w:val="0"/>
      <w:marBottom w:val="0"/>
      <w:divBdr>
        <w:top w:val="none" w:sz="0" w:space="0" w:color="auto"/>
        <w:left w:val="none" w:sz="0" w:space="0" w:color="auto"/>
        <w:bottom w:val="none" w:sz="0" w:space="0" w:color="auto"/>
        <w:right w:val="none" w:sz="0" w:space="0" w:color="auto"/>
      </w:divBdr>
    </w:div>
    <w:div w:id="1473132093">
      <w:bodyDiv w:val="1"/>
      <w:marLeft w:val="0"/>
      <w:marRight w:val="0"/>
      <w:marTop w:val="0"/>
      <w:marBottom w:val="0"/>
      <w:divBdr>
        <w:top w:val="none" w:sz="0" w:space="0" w:color="auto"/>
        <w:left w:val="none" w:sz="0" w:space="0" w:color="auto"/>
        <w:bottom w:val="none" w:sz="0" w:space="0" w:color="auto"/>
        <w:right w:val="none" w:sz="0" w:space="0" w:color="auto"/>
      </w:divBdr>
    </w:div>
    <w:div w:id="1476751636">
      <w:bodyDiv w:val="1"/>
      <w:marLeft w:val="0"/>
      <w:marRight w:val="0"/>
      <w:marTop w:val="0"/>
      <w:marBottom w:val="0"/>
      <w:divBdr>
        <w:top w:val="none" w:sz="0" w:space="0" w:color="auto"/>
        <w:left w:val="none" w:sz="0" w:space="0" w:color="auto"/>
        <w:bottom w:val="none" w:sz="0" w:space="0" w:color="auto"/>
        <w:right w:val="none" w:sz="0" w:space="0" w:color="auto"/>
      </w:divBdr>
    </w:div>
    <w:div w:id="1476919420">
      <w:bodyDiv w:val="1"/>
      <w:marLeft w:val="0"/>
      <w:marRight w:val="0"/>
      <w:marTop w:val="0"/>
      <w:marBottom w:val="0"/>
      <w:divBdr>
        <w:top w:val="none" w:sz="0" w:space="0" w:color="auto"/>
        <w:left w:val="none" w:sz="0" w:space="0" w:color="auto"/>
        <w:bottom w:val="none" w:sz="0" w:space="0" w:color="auto"/>
        <w:right w:val="none" w:sz="0" w:space="0" w:color="auto"/>
      </w:divBdr>
    </w:div>
    <w:div w:id="1476944221">
      <w:bodyDiv w:val="1"/>
      <w:marLeft w:val="0"/>
      <w:marRight w:val="0"/>
      <w:marTop w:val="0"/>
      <w:marBottom w:val="0"/>
      <w:divBdr>
        <w:top w:val="none" w:sz="0" w:space="0" w:color="auto"/>
        <w:left w:val="none" w:sz="0" w:space="0" w:color="auto"/>
        <w:bottom w:val="none" w:sz="0" w:space="0" w:color="auto"/>
        <w:right w:val="none" w:sz="0" w:space="0" w:color="auto"/>
      </w:divBdr>
    </w:div>
    <w:div w:id="1477382041">
      <w:bodyDiv w:val="1"/>
      <w:marLeft w:val="0"/>
      <w:marRight w:val="0"/>
      <w:marTop w:val="0"/>
      <w:marBottom w:val="0"/>
      <w:divBdr>
        <w:top w:val="none" w:sz="0" w:space="0" w:color="auto"/>
        <w:left w:val="none" w:sz="0" w:space="0" w:color="auto"/>
        <w:bottom w:val="none" w:sz="0" w:space="0" w:color="auto"/>
        <w:right w:val="none" w:sz="0" w:space="0" w:color="auto"/>
      </w:divBdr>
    </w:div>
    <w:div w:id="1477869302">
      <w:bodyDiv w:val="1"/>
      <w:marLeft w:val="0"/>
      <w:marRight w:val="0"/>
      <w:marTop w:val="0"/>
      <w:marBottom w:val="0"/>
      <w:divBdr>
        <w:top w:val="none" w:sz="0" w:space="0" w:color="auto"/>
        <w:left w:val="none" w:sz="0" w:space="0" w:color="auto"/>
        <w:bottom w:val="none" w:sz="0" w:space="0" w:color="auto"/>
        <w:right w:val="none" w:sz="0" w:space="0" w:color="auto"/>
      </w:divBdr>
    </w:div>
    <w:div w:id="1489009603">
      <w:bodyDiv w:val="1"/>
      <w:marLeft w:val="0"/>
      <w:marRight w:val="0"/>
      <w:marTop w:val="0"/>
      <w:marBottom w:val="0"/>
      <w:divBdr>
        <w:top w:val="none" w:sz="0" w:space="0" w:color="auto"/>
        <w:left w:val="none" w:sz="0" w:space="0" w:color="auto"/>
        <w:bottom w:val="none" w:sz="0" w:space="0" w:color="auto"/>
        <w:right w:val="none" w:sz="0" w:space="0" w:color="auto"/>
      </w:divBdr>
    </w:div>
    <w:div w:id="1500578334">
      <w:bodyDiv w:val="1"/>
      <w:marLeft w:val="0"/>
      <w:marRight w:val="0"/>
      <w:marTop w:val="0"/>
      <w:marBottom w:val="0"/>
      <w:divBdr>
        <w:top w:val="none" w:sz="0" w:space="0" w:color="auto"/>
        <w:left w:val="none" w:sz="0" w:space="0" w:color="auto"/>
        <w:bottom w:val="none" w:sz="0" w:space="0" w:color="auto"/>
        <w:right w:val="none" w:sz="0" w:space="0" w:color="auto"/>
      </w:divBdr>
    </w:div>
    <w:div w:id="1502310688">
      <w:bodyDiv w:val="1"/>
      <w:marLeft w:val="0"/>
      <w:marRight w:val="0"/>
      <w:marTop w:val="0"/>
      <w:marBottom w:val="0"/>
      <w:divBdr>
        <w:top w:val="none" w:sz="0" w:space="0" w:color="auto"/>
        <w:left w:val="none" w:sz="0" w:space="0" w:color="auto"/>
        <w:bottom w:val="none" w:sz="0" w:space="0" w:color="auto"/>
        <w:right w:val="none" w:sz="0" w:space="0" w:color="auto"/>
      </w:divBdr>
    </w:div>
    <w:div w:id="1503161967">
      <w:bodyDiv w:val="1"/>
      <w:marLeft w:val="0"/>
      <w:marRight w:val="0"/>
      <w:marTop w:val="0"/>
      <w:marBottom w:val="0"/>
      <w:divBdr>
        <w:top w:val="none" w:sz="0" w:space="0" w:color="auto"/>
        <w:left w:val="none" w:sz="0" w:space="0" w:color="auto"/>
        <w:bottom w:val="none" w:sz="0" w:space="0" w:color="auto"/>
        <w:right w:val="none" w:sz="0" w:space="0" w:color="auto"/>
      </w:divBdr>
    </w:div>
    <w:div w:id="1506943722">
      <w:bodyDiv w:val="1"/>
      <w:marLeft w:val="0"/>
      <w:marRight w:val="0"/>
      <w:marTop w:val="0"/>
      <w:marBottom w:val="0"/>
      <w:divBdr>
        <w:top w:val="none" w:sz="0" w:space="0" w:color="auto"/>
        <w:left w:val="none" w:sz="0" w:space="0" w:color="auto"/>
        <w:bottom w:val="none" w:sz="0" w:space="0" w:color="auto"/>
        <w:right w:val="none" w:sz="0" w:space="0" w:color="auto"/>
      </w:divBdr>
    </w:div>
    <w:div w:id="1507475369">
      <w:bodyDiv w:val="1"/>
      <w:marLeft w:val="0"/>
      <w:marRight w:val="0"/>
      <w:marTop w:val="0"/>
      <w:marBottom w:val="0"/>
      <w:divBdr>
        <w:top w:val="none" w:sz="0" w:space="0" w:color="auto"/>
        <w:left w:val="none" w:sz="0" w:space="0" w:color="auto"/>
        <w:bottom w:val="none" w:sz="0" w:space="0" w:color="auto"/>
        <w:right w:val="none" w:sz="0" w:space="0" w:color="auto"/>
      </w:divBdr>
    </w:div>
    <w:div w:id="1518544412">
      <w:bodyDiv w:val="1"/>
      <w:marLeft w:val="0"/>
      <w:marRight w:val="0"/>
      <w:marTop w:val="0"/>
      <w:marBottom w:val="0"/>
      <w:divBdr>
        <w:top w:val="none" w:sz="0" w:space="0" w:color="auto"/>
        <w:left w:val="none" w:sz="0" w:space="0" w:color="auto"/>
        <w:bottom w:val="none" w:sz="0" w:space="0" w:color="auto"/>
        <w:right w:val="none" w:sz="0" w:space="0" w:color="auto"/>
      </w:divBdr>
    </w:div>
    <w:div w:id="1523127067">
      <w:bodyDiv w:val="1"/>
      <w:marLeft w:val="0"/>
      <w:marRight w:val="0"/>
      <w:marTop w:val="0"/>
      <w:marBottom w:val="0"/>
      <w:divBdr>
        <w:top w:val="none" w:sz="0" w:space="0" w:color="auto"/>
        <w:left w:val="none" w:sz="0" w:space="0" w:color="auto"/>
        <w:bottom w:val="none" w:sz="0" w:space="0" w:color="auto"/>
        <w:right w:val="none" w:sz="0" w:space="0" w:color="auto"/>
      </w:divBdr>
    </w:div>
    <w:div w:id="1524049892">
      <w:bodyDiv w:val="1"/>
      <w:marLeft w:val="0"/>
      <w:marRight w:val="0"/>
      <w:marTop w:val="0"/>
      <w:marBottom w:val="0"/>
      <w:divBdr>
        <w:top w:val="none" w:sz="0" w:space="0" w:color="auto"/>
        <w:left w:val="none" w:sz="0" w:space="0" w:color="auto"/>
        <w:bottom w:val="none" w:sz="0" w:space="0" w:color="auto"/>
        <w:right w:val="none" w:sz="0" w:space="0" w:color="auto"/>
      </w:divBdr>
    </w:div>
    <w:div w:id="1528132066">
      <w:bodyDiv w:val="1"/>
      <w:marLeft w:val="0"/>
      <w:marRight w:val="0"/>
      <w:marTop w:val="0"/>
      <w:marBottom w:val="0"/>
      <w:divBdr>
        <w:top w:val="none" w:sz="0" w:space="0" w:color="auto"/>
        <w:left w:val="none" w:sz="0" w:space="0" w:color="auto"/>
        <w:bottom w:val="none" w:sz="0" w:space="0" w:color="auto"/>
        <w:right w:val="none" w:sz="0" w:space="0" w:color="auto"/>
      </w:divBdr>
    </w:div>
    <w:div w:id="1530290255">
      <w:bodyDiv w:val="1"/>
      <w:marLeft w:val="0"/>
      <w:marRight w:val="0"/>
      <w:marTop w:val="0"/>
      <w:marBottom w:val="0"/>
      <w:divBdr>
        <w:top w:val="none" w:sz="0" w:space="0" w:color="auto"/>
        <w:left w:val="none" w:sz="0" w:space="0" w:color="auto"/>
        <w:bottom w:val="none" w:sz="0" w:space="0" w:color="auto"/>
        <w:right w:val="none" w:sz="0" w:space="0" w:color="auto"/>
      </w:divBdr>
    </w:div>
    <w:div w:id="1530995662">
      <w:bodyDiv w:val="1"/>
      <w:marLeft w:val="0"/>
      <w:marRight w:val="0"/>
      <w:marTop w:val="0"/>
      <w:marBottom w:val="0"/>
      <w:divBdr>
        <w:top w:val="none" w:sz="0" w:space="0" w:color="auto"/>
        <w:left w:val="none" w:sz="0" w:space="0" w:color="auto"/>
        <w:bottom w:val="none" w:sz="0" w:space="0" w:color="auto"/>
        <w:right w:val="none" w:sz="0" w:space="0" w:color="auto"/>
      </w:divBdr>
    </w:div>
    <w:div w:id="1535651743">
      <w:bodyDiv w:val="1"/>
      <w:marLeft w:val="0"/>
      <w:marRight w:val="0"/>
      <w:marTop w:val="0"/>
      <w:marBottom w:val="0"/>
      <w:divBdr>
        <w:top w:val="none" w:sz="0" w:space="0" w:color="auto"/>
        <w:left w:val="none" w:sz="0" w:space="0" w:color="auto"/>
        <w:bottom w:val="none" w:sz="0" w:space="0" w:color="auto"/>
        <w:right w:val="none" w:sz="0" w:space="0" w:color="auto"/>
      </w:divBdr>
    </w:div>
    <w:div w:id="1537235489">
      <w:bodyDiv w:val="1"/>
      <w:marLeft w:val="0"/>
      <w:marRight w:val="0"/>
      <w:marTop w:val="0"/>
      <w:marBottom w:val="0"/>
      <w:divBdr>
        <w:top w:val="none" w:sz="0" w:space="0" w:color="auto"/>
        <w:left w:val="none" w:sz="0" w:space="0" w:color="auto"/>
        <w:bottom w:val="none" w:sz="0" w:space="0" w:color="auto"/>
        <w:right w:val="none" w:sz="0" w:space="0" w:color="auto"/>
      </w:divBdr>
    </w:div>
    <w:div w:id="1547254652">
      <w:bodyDiv w:val="1"/>
      <w:marLeft w:val="0"/>
      <w:marRight w:val="0"/>
      <w:marTop w:val="0"/>
      <w:marBottom w:val="0"/>
      <w:divBdr>
        <w:top w:val="none" w:sz="0" w:space="0" w:color="auto"/>
        <w:left w:val="none" w:sz="0" w:space="0" w:color="auto"/>
        <w:bottom w:val="none" w:sz="0" w:space="0" w:color="auto"/>
        <w:right w:val="none" w:sz="0" w:space="0" w:color="auto"/>
      </w:divBdr>
    </w:div>
    <w:div w:id="1561671472">
      <w:bodyDiv w:val="1"/>
      <w:marLeft w:val="0"/>
      <w:marRight w:val="0"/>
      <w:marTop w:val="0"/>
      <w:marBottom w:val="0"/>
      <w:divBdr>
        <w:top w:val="none" w:sz="0" w:space="0" w:color="auto"/>
        <w:left w:val="none" w:sz="0" w:space="0" w:color="auto"/>
        <w:bottom w:val="none" w:sz="0" w:space="0" w:color="auto"/>
        <w:right w:val="none" w:sz="0" w:space="0" w:color="auto"/>
      </w:divBdr>
    </w:div>
    <w:div w:id="1565293831">
      <w:bodyDiv w:val="1"/>
      <w:marLeft w:val="0"/>
      <w:marRight w:val="0"/>
      <w:marTop w:val="0"/>
      <w:marBottom w:val="0"/>
      <w:divBdr>
        <w:top w:val="none" w:sz="0" w:space="0" w:color="auto"/>
        <w:left w:val="none" w:sz="0" w:space="0" w:color="auto"/>
        <w:bottom w:val="none" w:sz="0" w:space="0" w:color="auto"/>
        <w:right w:val="none" w:sz="0" w:space="0" w:color="auto"/>
      </w:divBdr>
    </w:div>
    <w:div w:id="1567958752">
      <w:bodyDiv w:val="1"/>
      <w:marLeft w:val="0"/>
      <w:marRight w:val="0"/>
      <w:marTop w:val="0"/>
      <w:marBottom w:val="0"/>
      <w:divBdr>
        <w:top w:val="none" w:sz="0" w:space="0" w:color="auto"/>
        <w:left w:val="none" w:sz="0" w:space="0" w:color="auto"/>
        <w:bottom w:val="none" w:sz="0" w:space="0" w:color="auto"/>
        <w:right w:val="none" w:sz="0" w:space="0" w:color="auto"/>
      </w:divBdr>
    </w:div>
    <w:div w:id="1578710159">
      <w:bodyDiv w:val="1"/>
      <w:marLeft w:val="0"/>
      <w:marRight w:val="0"/>
      <w:marTop w:val="0"/>
      <w:marBottom w:val="0"/>
      <w:divBdr>
        <w:top w:val="none" w:sz="0" w:space="0" w:color="auto"/>
        <w:left w:val="none" w:sz="0" w:space="0" w:color="auto"/>
        <w:bottom w:val="none" w:sz="0" w:space="0" w:color="auto"/>
        <w:right w:val="none" w:sz="0" w:space="0" w:color="auto"/>
      </w:divBdr>
    </w:div>
    <w:div w:id="1578781001">
      <w:bodyDiv w:val="1"/>
      <w:marLeft w:val="0"/>
      <w:marRight w:val="0"/>
      <w:marTop w:val="0"/>
      <w:marBottom w:val="0"/>
      <w:divBdr>
        <w:top w:val="none" w:sz="0" w:space="0" w:color="auto"/>
        <w:left w:val="none" w:sz="0" w:space="0" w:color="auto"/>
        <w:bottom w:val="none" w:sz="0" w:space="0" w:color="auto"/>
        <w:right w:val="none" w:sz="0" w:space="0" w:color="auto"/>
      </w:divBdr>
    </w:div>
    <w:div w:id="1582329903">
      <w:bodyDiv w:val="1"/>
      <w:marLeft w:val="0"/>
      <w:marRight w:val="0"/>
      <w:marTop w:val="0"/>
      <w:marBottom w:val="0"/>
      <w:divBdr>
        <w:top w:val="none" w:sz="0" w:space="0" w:color="auto"/>
        <w:left w:val="none" w:sz="0" w:space="0" w:color="auto"/>
        <w:bottom w:val="none" w:sz="0" w:space="0" w:color="auto"/>
        <w:right w:val="none" w:sz="0" w:space="0" w:color="auto"/>
      </w:divBdr>
    </w:div>
    <w:div w:id="1591309022">
      <w:bodyDiv w:val="1"/>
      <w:marLeft w:val="0"/>
      <w:marRight w:val="0"/>
      <w:marTop w:val="0"/>
      <w:marBottom w:val="0"/>
      <w:divBdr>
        <w:top w:val="none" w:sz="0" w:space="0" w:color="auto"/>
        <w:left w:val="none" w:sz="0" w:space="0" w:color="auto"/>
        <w:bottom w:val="none" w:sz="0" w:space="0" w:color="auto"/>
        <w:right w:val="none" w:sz="0" w:space="0" w:color="auto"/>
      </w:divBdr>
    </w:div>
    <w:div w:id="1596477253">
      <w:bodyDiv w:val="1"/>
      <w:marLeft w:val="0"/>
      <w:marRight w:val="0"/>
      <w:marTop w:val="0"/>
      <w:marBottom w:val="0"/>
      <w:divBdr>
        <w:top w:val="none" w:sz="0" w:space="0" w:color="auto"/>
        <w:left w:val="none" w:sz="0" w:space="0" w:color="auto"/>
        <w:bottom w:val="none" w:sz="0" w:space="0" w:color="auto"/>
        <w:right w:val="none" w:sz="0" w:space="0" w:color="auto"/>
      </w:divBdr>
    </w:div>
    <w:div w:id="1599173234">
      <w:bodyDiv w:val="1"/>
      <w:marLeft w:val="0"/>
      <w:marRight w:val="0"/>
      <w:marTop w:val="0"/>
      <w:marBottom w:val="0"/>
      <w:divBdr>
        <w:top w:val="none" w:sz="0" w:space="0" w:color="auto"/>
        <w:left w:val="none" w:sz="0" w:space="0" w:color="auto"/>
        <w:bottom w:val="none" w:sz="0" w:space="0" w:color="auto"/>
        <w:right w:val="none" w:sz="0" w:space="0" w:color="auto"/>
      </w:divBdr>
    </w:div>
    <w:div w:id="1602908533">
      <w:bodyDiv w:val="1"/>
      <w:marLeft w:val="0"/>
      <w:marRight w:val="0"/>
      <w:marTop w:val="0"/>
      <w:marBottom w:val="0"/>
      <w:divBdr>
        <w:top w:val="none" w:sz="0" w:space="0" w:color="auto"/>
        <w:left w:val="none" w:sz="0" w:space="0" w:color="auto"/>
        <w:bottom w:val="none" w:sz="0" w:space="0" w:color="auto"/>
        <w:right w:val="none" w:sz="0" w:space="0" w:color="auto"/>
      </w:divBdr>
    </w:div>
    <w:div w:id="1612591563">
      <w:bodyDiv w:val="1"/>
      <w:marLeft w:val="0"/>
      <w:marRight w:val="0"/>
      <w:marTop w:val="0"/>
      <w:marBottom w:val="0"/>
      <w:divBdr>
        <w:top w:val="none" w:sz="0" w:space="0" w:color="auto"/>
        <w:left w:val="none" w:sz="0" w:space="0" w:color="auto"/>
        <w:bottom w:val="none" w:sz="0" w:space="0" w:color="auto"/>
        <w:right w:val="none" w:sz="0" w:space="0" w:color="auto"/>
      </w:divBdr>
    </w:div>
    <w:div w:id="1622228692">
      <w:bodyDiv w:val="1"/>
      <w:marLeft w:val="0"/>
      <w:marRight w:val="0"/>
      <w:marTop w:val="0"/>
      <w:marBottom w:val="0"/>
      <w:divBdr>
        <w:top w:val="none" w:sz="0" w:space="0" w:color="auto"/>
        <w:left w:val="none" w:sz="0" w:space="0" w:color="auto"/>
        <w:bottom w:val="none" w:sz="0" w:space="0" w:color="auto"/>
        <w:right w:val="none" w:sz="0" w:space="0" w:color="auto"/>
      </w:divBdr>
    </w:div>
    <w:div w:id="1626304041">
      <w:bodyDiv w:val="1"/>
      <w:marLeft w:val="0"/>
      <w:marRight w:val="0"/>
      <w:marTop w:val="0"/>
      <w:marBottom w:val="0"/>
      <w:divBdr>
        <w:top w:val="none" w:sz="0" w:space="0" w:color="auto"/>
        <w:left w:val="none" w:sz="0" w:space="0" w:color="auto"/>
        <w:bottom w:val="none" w:sz="0" w:space="0" w:color="auto"/>
        <w:right w:val="none" w:sz="0" w:space="0" w:color="auto"/>
      </w:divBdr>
    </w:div>
    <w:div w:id="1626428390">
      <w:bodyDiv w:val="1"/>
      <w:marLeft w:val="0"/>
      <w:marRight w:val="0"/>
      <w:marTop w:val="0"/>
      <w:marBottom w:val="0"/>
      <w:divBdr>
        <w:top w:val="none" w:sz="0" w:space="0" w:color="auto"/>
        <w:left w:val="none" w:sz="0" w:space="0" w:color="auto"/>
        <w:bottom w:val="none" w:sz="0" w:space="0" w:color="auto"/>
        <w:right w:val="none" w:sz="0" w:space="0" w:color="auto"/>
      </w:divBdr>
    </w:div>
    <w:div w:id="1634407158">
      <w:bodyDiv w:val="1"/>
      <w:marLeft w:val="0"/>
      <w:marRight w:val="0"/>
      <w:marTop w:val="0"/>
      <w:marBottom w:val="0"/>
      <w:divBdr>
        <w:top w:val="none" w:sz="0" w:space="0" w:color="auto"/>
        <w:left w:val="none" w:sz="0" w:space="0" w:color="auto"/>
        <w:bottom w:val="none" w:sz="0" w:space="0" w:color="auto"/>
        <w:right w:val="none" w:sz="0" w:space="0" w:color="auto"/>
      </w:divBdr>
    </w:div>
    <w:div w:id="1650741335">
      <w:bodyDiv w:val="1"/>
      <w:marLeft w:val="0"/>
      <w:marRight w:val="0"/>
      <w:marTop w:val="0"/>
      <w:marBottom w:val="0"/>
      <w:divBdr>
        <w:top w:val="none" w:sz="0" w:space="0" w:color="auto"/>
        <w:left w:val="none" w:sz="0" w:space="0" w:color="auto"/>
        <w:bottom w:val="none" w:sz="0" w:space="0" w:color="auto"/>
        <w:right w:val="none" w:sz="0" w:space="0" w:color="auto"/>
      </w:divBdr>
    </w:div>
    <w:div w:id="1663511398">
      <w:bodyDiv w:val="1"/>
      <w:marLeft w:val="0"/>
      <w:marRight w:val="0"/>
      <w:marTop w:val="0"/>
      <w:marBottom w:val="0"/>
      <w:divBdr>
        <w:top w:val="none" w:sz="0" w:space="0" w:color="auto"/>
        <w:left w:val="none" w:sz="0" w:space="0" w:color="auto"/>
        <w:bottom w:val="none" w:sz="0" w:space="0" w:color="auto"/>
        <w:right w:val="none" w:sz="0" w:space="0" w:color="auto"/>
      </w:divBdr>
    </w:div>
    <w:div w:id="1676222833">
      <w:bodyDiv w:val="1"/>
      <w:marLeft w:val="0"/>
      <w:marRight w:val="0"/>
      <w:marTop w:val="0"/>
      <w:marBottom w:val="0"/>
      <w:divBdr>
        <w:top w:val="none" w:sz="0" w:space="0" w:color="auto"/>
        <w:left w:val="none" w:sz="0" w:space="0" w:color="auto"/>
        <w:bottom w:val="none" w:sz="0" w:space="0" w:color="auto"/>
        <w:right w:val="none" w:sz="0" w:space="0" w:color="auto"/>
      </w:divBdr>
    </w:div>
    <w:div w:id="1678531371">
      <w:bodyDiv w:val="1"/>
      <w:marLeft w:val="0"/>
      <w:marRight w:val="0"/>
      <w:marTop w:val="0"/>
      <w:marBottom w:val="0"/>
      <w:divBdr>
        <w:top w:val="none" w:sz="0" w:space="0" w:color="auto"/>
        <w:left w:val="none" w:sz="0" w:space="0" w:color="auto"/>
        <w:bottom w:val="none" w:sz="0" w:space="0" w:color="auto"/>
        <w:right w:val="none" w:sz="0" w:space="0" w:color="auto"/>
      </w:divBdr>
    </w:div>
    <w:div w:id="1689796078">
      <w:bodyDiv w:val="1"/>
      <w:marLeft w:val="0"/>
      <w:marRight w:val="0"/>
      <w:marTop w:val="0"/>
      <w:marBottom w:val="0"/>
      <w:divBdr>
        <w:top w:val="none" w:sz="0" w:space="0" w:color="auto"/>
        <w:left w:val="none" w:sz="0" w:space="0" w:color="auto"/>
        <w:bottom w:val="none" w:sz="0" w:space="0" w:color="auto"/>
        <w:right w:val="none" w:sz="0" w:space="0" w:color="auto"/>
      </w:divBdr>
    </w:div>
    <w:div w:id="1698385011">
      <w:bodyDiv w:val="1"/>
      <w:marLeft w:val="0"/>
      <w:marRight w:val="0"/>
      <w:marTop w:val="0"/>
      <w:marBottom w:val="0"/>
      <w:divBdr>
        <w:top w:val="none" w:sz="0" w:space="0" w:color="auto"/>
        <w:left w:val="none" w:sz="0" w:space="0" w:color="auto"/>
        <w:bottom w:val="none" w:sz="0" w:space="0" w:color="auto"/>
        <w:right w:val="none" w:sz="0" w:space="0" w:color="auto"/>
      </w:divBdr>
    </w:div>
    <w:div w:id="1700424671">
      <w:bodyDiv w:val="1"/>
      <w:marLeft w:val="0"/>
      <w:marRight w:val="0"/>
      <w:marTop w:val="0"/>
      <w:marBottom w:val="0"/>
      <w:divBdr>
        <w:top w:val="none" w:sz="0" w:space="0" w:color="auto"/>
        <w:left w:val="none" w:sz="0" w:space="0" w:color="auto"/>
        <w:bottom w:val="none" w:sz="0" w:space="0" w:color="auto"/>
        <w:right w:val="none" w:sz="0" w:space="0" w:color="auto"/>
      </w:divBdr>
    </w:div>
    <w:div w:id="1706128340">
      <w:bodyDiv w:val="1"/>
      <w:marLeft w:val="0"/>
      <w:marRight w:val="0"/>
      <w:marTop w:val="0"/>
      <w:marBottom w:val="0"/>
      <w:divBdr>
        <w:top w:val="none" w:sz="0" w:space="0" w:color="auto"/>
        <w:left w:val="none" w:sz="0" w:space="0" w:color="auto"/>
        <w:bottom w:val="none" w:sz="0" w:space="0" w:color="auto"/>
        <w:right w:val="none" w:sz="0" w:space="0" w:color="auto"/>
      </w:divBdr>
    </w:div>
    <w:div w:id="1708750263">
      <w:bodyDiv w:val="1"/>
      <w:marLeft w:val="0"/>
      <w:marRight w:val="0"/>
      <w:marTop w:val="0"/>
      <w:marBottom w:val="0"/>
      <w:divBdr>
        <w:top w:val="none" w:sz="0" w:space="0" w:color="auto"/>
        <w:left w:val="none" w:sz="0" w:space="0" w:color="auto"/>
        <w:bottom w:val="none" w:sz="0" w:space="0" w:color="auto"/>
        <w:right w:val="none" w:sz="0" w:space="0" w:color="auto"/>
      </w:divBdr>
    </w:div>
    <w:div w:id="1708984811">
      <w:bodyDiv w:val="1"/>
      <w:marLeft w:val="0"/>
      <w:marRight w:val="0"/>
      <w:marTop w:val="0"/>
      <w:marBottom w:val="0"/>
      <w:divBdr>
        <w:top w:val="none" w:sz="0" w:space="0" w:color="auto"/>
        <w:left w:val="none" w:sz="0" w:space="0" w:color="auto"/>
        <w:bottom w:val="none" w:sz="0" w:space="0" w:color="auto"/>
        <w:right w:val="none" w:sz="0" w:space="0" w:color="auto"/>
      </w:divBdr>
    </w:div>
    <w:div w:id="1714426462">
      <w:bodyDiv w:val="1"/>
      <w:marLeft w:val="0"/>
      <w:marRight w:val="0"/>
      <w:marTop w:val="0"/>
      <w:marBottom w:val="0"/>
      <w:divBdr>
        <w:top w:val="none" w:sz="0" w:space="0" w:color="auto"/>
        <w:left w:val="none" w:sz="0" w:space="0" w:color="auto"/>
        <w:bottom w:val="none" w:sz="0" w:space="0" w:color="auto"/>
        <w:right w:val="none" w:sz="0" w:space="0" w:color="auto"/>
      </w:divBdr>
    </w:div>
    <w:div w:id="1715537879">
      <w:bodyDiv w:val="1"/>
      <w:marLeft w:val="0"/>
      <w:marRight w:val="0"/>
      <w:marTop w:val="0"/>
      <w:marBottom w:val="0"/>
      <w:divBdr>
        <w:top w:val="none" w:sz="0" w:space="0" w:color="auto"/>
        <w:left w:val="none" w:sz="0" w:space="0" w:color="auto"/>
        <w:bottom w:val="none" w:sz="0" w:space="0" w:color="auto"/>
        <w:right w:val="none" w:sz="0" w:space="0" w:color="auto"/>
      </w:divBdr>
    </w:div>
    <w:div w:id="1716343311">
      <w:bodyDiv w:val="1"/>
      <w:marLeft w:val="0"/>
      <w:marRight w:val="0"/>
      <w:marTop w:val="0"/>
      <w:marBottom w:val="0"/>
      <w:divBdr>
        <w:top w:val="none" w:sz="0" w:space="0" w:color="auto"/>
        <w:left w:val="none" w:sz="0" w:space="0" w:color="auto"/>
        <w:bottom w:val="none" w:sz="0" w:space="0" w:color="auto"/>
        <w:right w:val="none" w:sz="0" w:space="0" w:color="auto"/>
      </w:divBdr>
    </w:div>
    <w:div w:id="1718967586">
      <w:bodyDiv w:val="1"/>
      <w:marLeft w:val="0"/>
      <w:marRight w:val="0"/>
      <w:marTop w:val="0"/>
      <w:marBottom w:val="0"/>
      <w:divBdr>
        <w:top w:val="none" w:sz="0" w:space="0" w:color="auto"/>
        <w:left w:val="none" w:sz="0" w:space="0" w:color="auto"/>
        <w:bottom w:val="none" w:sz="0" w:space="0" w:color="auto"/>
        <w:right w:val="none" w:sz="0" w:space="0" w:color="auto"/>
      </w:divBdr>
    </w:div>
    <w:div w:id="1719629209">
      <w:bodyDiv w:val="1"/>
      <w:marLeft w:val="0"/>
      <w:marRight w:val="0"/>
      <w:marTop w:val="0"/>
      <w:marBottom w:val="0"/>
      <w:divBdr>
        <w:top w:val="none" w:sz="0" w:space="0" w:color="auto"/>
        <w:left w:val="none" w:sz="0" w:space="0" w:color="auto"/>
        <w:bottom w:val="none" w:sz="0" w:space="0" w:color="auto"/>
        <w:right w:val="none" w:sz="0" w:space="0" w:color="auto"/>
      </w:divBdr>
    </w:div>
    <w:div w:id="1720547008">
      <w:bodyDiv w:val="1"/>
      <w:marLeft w:val="0"/>
      <w:marRight w:val="0"/>
      <w:marTop w:val="0"/>
      <w:marBottom w:val="0"/>
      <w:divBdr>
        <w:top w:val="none" w:sz="0" w:space="0" w:color="auto"/>
        <w:left w:val="none" w:sz="0" w:space="0" w:color="auto"/>
        <w:bottom w:val="none" w:sz="0" w:space="0" w:color="auto"/>
        <w:right w:val="none" w:sz="0" w:space="0" w:color="auto"/>
      </w:divBdr>
    </w:div>
    <w:div w:id="1721976970">
      <w:bodyDiv w:val="1"/>
      <w:marLeft w:val="0"/>
      <w:marRight w:val="0"/>
      <w:marTop w:val="0"/>
      <w:marBottom w:val="0"/>
      <w:divBdr>
        <w:top w:val="none" w:sz="0" w:space="0" w:color="auto"/>
        <w:left w:val="none" w:sz="0" w:space="0" w:color="auto"/>
        <w:bottom w:val="none" w:sz="0" w:space="0" w:color="auto"/>
        <w:right w:val="none" w:sz="0" w:space="0" w:color="auto"/>
      </w:divBdr>
    </w:div>
    <w:div w:id="1725372253">
      <w:bodyDiv w:val="1"/>
      <w:marLeft w:val="0"/>
      <w:marRight w:val="0"/>
      <w:marTop w:val="0"/>
      <w:marBottom w:val="0"/>
      <w:divBdr>
        <w:top w:val="none" w:sz="0" w:space="0" w:color="auto"/>
        <w:left w:val="none" w:sz="0" w:space="0" w:color="auto"/>
        <w:bottom w:val="none" w:sz="0" w:space="0" w:color="auto"/>
        <w:right w:val="none" w:sz="0" w:space="0" w:color="auto"/>
      </w:divBdr>
    </w:div>
    <w:div w:id="1725910204">
      <w:bodyDiv w:val="1"/>
      <w:marLeft w:val="0"/>
      <w:marRight w:val="0"/>
      <w:marTop w:val="0"/>
      <w:marBottom w:val="0"/>
      <w:divBdr>
        <w:top w:val="none" w:sz="0" w:space="0" w:color="auto"/>
        <w:left w:val="none" w:sz="0" w:space="0" w:color="auto"/>
        <w:bottom w:val="none" w:sz="0" w:space="0" w:color="auto"/>
        <w:right w:val="none" w:sz="0" w:space="0" w:color="auto"/>
      </w:divBdr>
    </w:div>
    <w:div w:id="1726181011">
      <w:bodyDiv w:val="1"/>
      <w:marLeft w:val="0"/>
      <w:marRight w:val="0"/>
      <w:marTop w:val="0"/>
      <w:marBottom w:val="0"/>
      <w:divBdr>
        <w:top w:val="none" w:sz="0" w:space="0" w:color="auto"/>
        <w:left w:val="none" w:sz="0" w:space="0" w:color="auto"/>
        <w:bottom w:val="none" w:sz="0" w:space="0" w:color="auto"/>
        <w:right w:val="none" w:sz="0" w:space="0" w:color="auto"/>
      </w:divBdr>
    </w:div>
    <w:div w:id="1729256544">
      <w:bodyDiv w:val="1"/>
      <w:marLeft w:val="0"/>
      <w:marRight w:val="0"/>
      <w:marTop w:val="0"/>
      <w:marBottom w:val="0"/>
      <w:divBdr>
        <w:top w:val="none" w:sz="0" w:space="0" w:color="auto"/>
        <w:left w:val="none" w:sz="0" w:space="0" w:color="auto"/>
        <w:bottom w:val="none" w:sz="0" w:space="0" w:color="auto"/>
        <w:right w:val="none" w:sz="0" w:space="0" w:color="auto"/>
      </w:divBdr>
    </w:div>
    <w:div w:id="1745372796">
      <w:bodyDiv w:val="1"/>
      <w:marLeft w:val="0"/>
      <w:marRight w:val="0"/>
      <w:marTop w:val="0"/>
      <w:marBottom w:val="0"/>
      <w:divBdr>
        <w:top w:val="none" w:sz="0" w:space="0" w:color="auto"/>
        <w:left w:val="none" w:sz="0" w:space="0" w:color="auto"/>
        <w:bottom w:val="none" w:sz="0" w:space="0" w:color="auto"/>
        <w:right w:val="none" w:sz="0" w:space="0" w:color="auto"/>
      </w:divBdr>
    </w:div>
    <w:div w:id="1746955377">
      <w:bodyDiv w:val="1"/>
      <w:marLeft w:val="0"/>
      <w:marRight w:val="0"/>
      <w:marTop w:val="0"/>
      <w:marBottom w:val="0"/>
      <w:divBdr>
        <w:top w:val="none" w:sz="0" w:space="0" w:color="auto"/>
        <w:left w:val="none" w:sz="0" w:space="0" w:color="auto"/>
        <w:bottom w:val="none" w:sz="0" w:space="0" w:color="auto"/>
        <w:right w:val="none" w:sz="0" w:space="0" w:color="auto"/>
      </w:divBdr>
    </w:div>
    <w:div w:id="1757366083">
      <w:bodyDiv w:val="1"/>
      <w:marLeft w:val="0"/>
      <w:marRight w:val="0"/>
      <w:marTop w:val="0"/>
      <w:marBottom w:val="0"/>
      <w:divBdr>
        <w:top w:val="none" w:sz="0" w:space="0" w:color="auto"/>
        <w:left w:val="none" w:sz="0" w:space="0" w:color="auto"/>
        <w:bottom w:val="none" w:sz="0" w:space="0" w:color="auto"/>
        <w:right w:val="none" w:sz="0" w:space="0" w:color="auto"/>
      </w:divBdr>
    </w:div>
    <w:div w:id="1762800955">
      <w:bodyDiv w:val="1"/>
      <w:marLeft w:val="0"/>
      <w:marRight w:val="0"/>
      <w:marTop w:val="0"/>
      <w:marBottom w:val="0"/>
      <w:divBdr>
        <w:top w:val="none" w:sz="0" w:space="0" w:color="auto"/>
        <w:left w:val="none" w:sz="0" w:space="0" w:color="auto"/>
        <w:bottom w:val="none" w:sz="0" w:space="0" w:color="auto"/>
        <w:right w:val="none" w:sz="0" w:space="0" w:color="auto"/>
      </w:divBdr>
    </w:div>
    <w:div w:id="1765106746">
      <w:bodyDiv w:val="1"/>
      <w:marLeft w:val="0"/>
      <w:marRight w:val="0"/>
      <w:marTop w:val="0"/>
      <w:marBottom w:val="0"/>
      <w:divBdr>
        <w:top w:val="none" w:sz="0" w:space="0" w:color="auto"/>
        <w:left w:val="none" w:sz="0" w:space="0" w:color="auto"/>
        <w:bottom w:val="none" w:sz="0" w:space="0" w:color="auto"/>
        <w:right w:val="none" w:sz="0" w:space="0" w:color="auto"/>
      </w:divBdr>
    </w:div>
    <w:div w:id="1774859090">
      <w:bodyDiv w:val="1"/>
      <w:marLeft w:val="0"/>
      <w:marRight w:val="0"/>
      <w:marTop w:val="0"/>
      <w:marBottom w:val="0"/>
      <w:divBdr>
        <w:top w:val="none" w:sz="0" w:space="0" w:color="auto"/>
        <w:left w:val="none" w:sz="0" w:space="0" w:color="auto"/>
        <w:bottom w:val="none" w:sz="0" w:space="0" w:color="auto"/>
        <w:right w:val="none" w:sz="0" w:space="0" w:color="auto"/>
      </w:divBdr>
    </w:div>
    <w:div w:id="1775861164">
      <w:bodyDiv w:val="1"/>
      <w:marLeft w:val="0"/>
      <w:marRight w:val="0"/>
      <w:marTop w:val="0"/>
      <w:marBottom w:val="0"/>
      <w:divBdr>
        <w:top w:val="none" w:sz="0" w:space="0" w:color="auto"/>
        <w:left w:val="none" w:sz="0" w:space="0" w:color="auto"/>
        <w:bottom w:val="none" w:sz="0" w:space="0" w:color="auto"/>
        <w:right w:val="none" w:sz="0" w:space="0" w:color="auto"/>
      </w:divBdr>
    </w:div>
    <w:div w:id="1788037164">
      <w:bodyDiv w:val="1"/>
      <w:marLeft w:val="0"/>
      <w:marRight w:val="0"/>
      <w:marTop w:val="0"/>
      <w:marBottom w:val="0"/>
      <w:divBdr>
        <w:top w:val="none" w:sz="0" w:space="0" w:color="auto"/>
        <w:left w:val="none" w:sz="0" w:space="0" w:color="auto"/>
        <w:bottom w:val="none" w:sz="0" w:space="0" w:color="auto"/>
        <w:right w:val="none" w:sz="0" w:space="0" w:color="auto"/>
      </w:divBdr>
    </w:div>
    <w:div w:id="1797482270">
      <w:bodyDiv w:val="1"/>
      <w:marLeft w:val="0"/>
      <w:marRight w:val="0"/>
      <w:marTop w:val="0"/>
      <w:marBottom w:val="0"/>
      <w:divBdr>
        <w:top w:val="none" w:sz="0" w:space="0" w:color="auto"/>
        <w:left w:val="none" w:sz="0" w:space="0" w:color="auto"/>
        <w:bottom w:val="none" w:sz="0" w:space="0" w:color="auto"/>
        <w:right w:val="none" w:sz="0" w:space="0" w:color="auto"/>
      </w:divBdr>
    </w:div>
    <w:div w:id="1799296653">
      <w:bodyDiv w:val="1"/>
      <w:marLeft w:val="0"/>
      <w:marRight w:val="0"/>
      <w:marTop w:val="0"/>
      <w:marBottom w:val="0"/>
      <w:divBdr>
        <w:top w:val="none" w:sz="0" w:space="0" w:color="auto"/>
        <w:left w:val="none" w:sz="0" w:space="0" w:color="auto"/>
        <w:bottom w:val="none" w:sz="0" w:space="0" w:color="auto"/>
        <w:right w:val="none" w:sz="0" w:space="0" w:color="auto"/>
      </w:divBdr>
    </w:div>
    <w:div w:id="1804695110">
      <w:bodyDiv w:val="1"/>
      <w:marLeft w:val="0"/>
      <w:marRight w:val="0"/>
      <w:marTop w:val="0"/>
      <w:marBottom w:val="0"/>
      <w:divBdr>
        <w:top w:val="none" w:sz="0" w:space="0" w:color="auto"/>
        <w:left w:val="none" w:sz="0" w:space="0" w:color="auto"/>
        <w:bottom w:val="none" w:sz="0" w:space="0" w:color="auto"/>
        <w:right w:val="none" w:sz="0" w:space="0" w:color="auto"/>
      </w:divBdr>
    </w:div>
    <w:div w:id="1804730590">
      <w:bodyDiv w:val="1"/>
      <w:marLeft w:val="0"/>
      <w:marRight w:val="0"/>
      <w:marTop w:val="0"/>
      <w:marBottom w:val="0"/>
      <w:divBdr>
        <w:top w:val="none" w:sz="0" w:space="0" w:color="auto"/>
        <w:left w:val="none" w:sz="0" w:space="0" w:color="auto"/>
        <w:bottom w:val="none" w:sz="0" w:space="0" w:color="auto"/>
        <w:right w:val="none" w:sz="0" w:space="0" w:color="auto"/>
      </w:divBdr>
    </w:div>
    <w:div w:id="1816800464">
      <w:bodyDiv w:val="1"/>
      <w:marLeft w:val="0"/>
      <w:marRight w:val="0"/>
      <w:marTop w:val="0"/>
      <w:marBottom w:val="0"/>
      <w:divBdr>
        <w:top w:val="none" w:sz="0" w:space="0" w:color="auto"/>
        <w:left w:val="none" w:sz="0" w:space="0" w:color="auto"/>
        <w:bottom w:val="none" w:sz="0" w:space="0" w:color="auto"/>
        <w:right w:val="none" w:sz="0" w:space="0" w:color="auto"/>
      </w:divBdr>
    </w:div>
    <w:div w:id="1819108656">
      <w:bodyDiv w:val="1"/>
      <w:marLeft w:val="0"/>
      <w:marRight w:val="0"/>
      <w:marTop w:val="0"/>
      <w:marBottom w:val="0"/>
      <w:divBdr>
        <w:top w:val="none" w:sz="0" w:space="0" w:color="auto"/>
        <w:left w:val="none" w:sz="0" w:space="0" w:color="auto"/>
        <w:bottom w:val="none" w:sz="0" w:space="0" w:color="auto"/>
        <w:right w:val="none" w:sz="0" w:space="0" w:color="auto"/>
      </w:divBdr>
    </w:div>
    <w:div w:id="1819607878">
      <w:bodyDiv w:val="1"/>
      <w:marLeft w:val="0"/>
      <w:marRight w:val="0"/>
      <w:marTop w:val="0"/>
      <w:marBottom w:val="0"/>
      <w:divBdr>
        <w:top w:val="none" w:sz="0" w:space="0" w:color="auto"/>
        <w:left w:val="none" w:sz="0" w:space="0" w:color="auto"/>
        <w:bottom w:val="none" w:sz="0" w:space="0" w:color="auto"/>
        <w:right w:val="none" w:sz="0" w:space="0" w:color="auto"/>
      </w:divBdr>
    </w:div>
    <w:div w:id="1823035367">
      <w:bodyDiv w:val="1"/>
      <w:marLeft w:val="0"/>
      <w:marRight w:val="0"/>
      <w:marTop w:val="0"/>
      <w:marBottom w:val="0"/>
      <w:divBdr>
        <w:top w:val="none" w:sz="0" w:space="0" w:color="auto"/>
        <w:left w:val="none" w:sz="0" w:space="0" w:color="auto"/>
        <w:bottom w:val="none" w:sz="0" w:space="0" w:color="auto"/>
        <w:right w:val="none" w:sz="0" w:space="0" w:color="auto"/>
      </w:divBdr>
    </w:div>
    <w:div w:id="1823767324">
      <w:bodyDiv w:val="1"/>
      <w:marLeft w:val="0"/>
      <w:marRight w:val="0"/>
      <w:marTop w:val="0"/>
      <w:marBottom w:val="0"/>
      <w:divBdr>
        <w:top w:val="none" w:sz="0" w:space="0" w:color="auto"/>
        <w:left w:val="none" w:sz="0" w:space="0" w:color="auto"/>
        <w:bottom w:val="none" w:sz="0" w:space="0" w:color="auto"/>
        <w:right w:val="none" w:sz="0" w:space="0" w:color="auto"/>
      </w:divBdr>
    </w:div>
    <w:div w:id="1831478056">
      <w:bodyDiv w:val="1"/>
      <w:marLeft w:val="0"/>
      <w:marRight w:val="0"/>
      <w:marTop w:val="0"/>
      <w:marBottom w:val="0"/>
      <w:divBdr>
        <w:top w:val="none" w:sz="0" w:space="0" w:color="auto"/>
        <w:left w:val="none" w:sz="0" w:space="0" w:color="auto"/>
        <w:bottom w:val="none" w:sz="0" w:space="0" w:color="auto"/>
        <w:right w:val="none" w:sz="0" w:space="0" w:color="auto"/>
      </w:divBdr>
    </w:div>
    <w:div w:id="1836340606">
      <w:bodyDiv w:val="1"/>
      <w:marLeft w:val="0"/>
      <w:marRight w:val="0"/>
      <w:marTop w:val="0"/>
      <w:marBottom w:val="0"/>
      <w:divBdr>
        <w:top w:val="none" w:sz="0" w:space="0" w:color="auto"/>
        <w:left w:val="none" w:sz="0" w:space="0" w:color="auto"/>
        <w:bottom w:val="none" w:sz="0" w:space="0" w:color="auto"/>
        <w:right w:val="none" w:sz="0" w:space="0" w:color="auto"/>
      </w:divBdr>
    </w:div>
    <w:div w:id="1838108941">
      <w:bodyDiv w:val="1"/>
      <w:marLeft w:val="0"/>
      <w:marRight w:val="0"/>
      <w:marTop w:val="0"/>
      <w:marBottom w:val="0"/>
      <w:divBdr>
        <w:top w:val="none" w:sz="0" w:space="0" w:color="auto"/>
        <w:left w:val="none" w:sz="0" w:space="0" w:color="auto"/>
        <w:bottom w:val="none" w:sz="0" w:space="0" w:color="auto"/>
        <w:right w:val="none" w:sz="0" w:space="0" w:color="auto"/>
      </w:divBdr>
    </w:div>
    <w:div w:id="1838879363">
      <w:bodyDiv w:val="1"/>
      <w:marLeft w:val="0"/>
      <w:marRight w:val="0"/>
      <w:marTop w:val="0"/>
      <w:marBottom w:val="0"/>
      <w:divBdr>
        <w:top w:val="none" w:sz="0" w:space="0" w:color="auto"/>
        <w:left w:val="none" w:sz="0" w:space="0" w:color="auto"/>
        <w:bottom w:val="none" w:sz="0" w:space="0" w:color="auto"/>
        <w:right w:val="none" w:sz="0" w:space="0" w:color="auto"/>
      </w:divBdr>
    </w:div>
    <w:div w:id="1841506224">
      <w:bodyDiv w:val="1"/>
      <w:marLeft w:val="0"/>
      <w:marRight w:val="0"/>
      <w:marTop w:val="0"/>
      <w:marBottom w:val="0"/>
      <w:divBdr>
        <w:top w:val="none" w:sz="0" w:space="0" w:color="auto"/>
        <w:left w:val="none" w:sz="0" w:space="0" w:color="auto"/>
        <w:bottom w:val="none" w:sz="0" w:space="0" w:color="auto"/>
        <w:right w:val="none" w:sz="0" w:space="0" w:color="auto"/>
      </w:divBdr>
    </w:div>
    <w:div w:id="1844662744">
      <w:bodyDiv w:val="1"/>
      <w:marLeft w:val="0"/>
      <w:marRight w:val="0"/>
      <w:marTop w:val="0"/>
      <w:marBottom w:val="0"/>
      <w:divBdr>
        <w:top w:val="none" w:sz="0" w:space="0" w:color="auto"/>
        <w:left w:val="none" w:sz="0" w:space="0" w:color="auto"/>
        <w:bottom w:val="none" w:sz="0" w:space="0" w:color="auto"/>
        <w:right w:val="none" w:sz="0" w:space="0" w:color="auto"/>
      </w:divBdr>
    </w:div>
    <w:div w:id="1845625035">
      <w:bodyDiv w:val="1"/>
      <w:marLeft w:val="0"/>
      <w:marRight w:val="0"/>
      <w:marTop w:val="0"/>
      <w:marBottom w:val="0"/>
      <w:divBdr>
        <w:top w:val="none" w:sz="0" w:space="0" w:color="auto"/>
        <w:left w:val="none" w:sz="0" w:space="0" w:color="auto"/>
        <w:bottom w:val="none" w:sz="0" w:space="0" w:color="auto"/>
        <w:right w:val="none" w:sz="0" w:space="0" w:color="auto"/>
      </w:divBdr>
    </w:div>
    <w:div w:id="1848055435">
      <w:bodyDiv w:val="1"/>
      <w:marLeft w:val="0"/>
      <w:marRight w:val="0"/>
      <w:marTop w:val="0"/>
      <w:marBottom w:val="0"/>
      <w:divBdr>
        <w:top w:val="none" w:sz="0" w:space="0" w:color="auto"/>
        <w:left w:val="none" w:sz="0" w:space="0" w:color="auto"/>
        <w:bottom w:val="none" w:sz="0" w:space="0" w:color="auto"/>
        <w:right w:val="none" w:sz="0" w:space="0" w:color="auto"/>
      </w:divBdr>
    </w:div>
    <w:div w:id="1848516945">
      <w:bodyDiv w:val="1"/>
      <w:marLeft w:val="0"/>
      <w:marRight w:val="0"/>
      <w:marTop w:val="0"/>
      <w:marBottom w:val="0"/>
      <w:divBdr>
        <w:top w:val="none" w:sz="0" w:space="0" w:color="auto"/>
        <w:left w:val="none" w:sz="0" w:space="0" w:color="auto"/>
        <w:bottom w:val="none" w:sz="0" w:space="0" w:color="auto"/>
        <w:right w:val="none" w:sz="0" w:space="0" w:color="auto"/>
      </w:divBdr>
    </w:div>
    <w:div w:id="1851599949">
      <w:bodyDiv w:val="1"/>
      <w:marLeft w:val="0"/>
      <w:marRight w:val="0"/>
      <w:marTop w:val="0"/>
      <w:marBottom w:val="0"/>
      <w:divBdr>
        <w:top w:val="none" w:sz="0" w:space="0" w:color="auto"/>
        <w:left w:val="none" w:sz="0" w:space="0" w:color="auto"/>
        <w:bottom w:val="none" w:sz="0" w:space="0" w:color="auto"/>
        <w:right w:val="none" w:sz="0" w:space="0" w:color="auto"/>
      </w:divBdr>
    </w:div>
    <w:div w:id="1851794854">
      <w:bodyDiv w:val="1"/>
      <w:marLeft w:val="0"/>
      <w:marRight w:val="0"/>
      <w:marTop w:val="0"/>
      <w:marBottom w:val="0"/>
      <w:divBdr>
        <w:top w:val="none" w:sz="0" w:space="0" w:color="auto"/>
        <w:left w:val="none" w:sz="0" w:space="0" w:color="auto"/>
        <w:bottom w:val="none" w:sz="0" w:space="0" w:color="auto"/>
        <w:right w:val="none" w:sz="0" w:space="0" w:color="auto"/>
      </w:divBdr>
    </w:div>
    <w:div w:id="1852447392">
      <w:bodyDiv w:val="1"/>
      <w:marLeft w:val="0"/>
      <w:marRight w:val="0"/>
      <w:marTop w:val="0"/>
      <w:marBottom w:val="0"/>
      <w:divBdr>
        <w:top w:val="none" w:sz="0" w:space="0" w:color="auto"/>
        <w:left w:val="none" w:sz="0" w:space="0" w:color="auto"/>
        <w:bottom w:val="none" w:sz="0" w:space="0" w:color="auto"/>
        <w:right w:val="none" w:sz="0" w:space="0" w:color="auto"/>
      </w:divBdr>
    </w:div>
    <w:div w:id="1852914885">
      <w:bodyDiv w:val="1"/>
      <w:marLeft w:val="0"/>
      <w:marRight w:val="0"/>
      <w:marTop w:val="0"/>
      <w:marBottom w:val="0"/>
      <w:divBdr>
        <w:top w:val="none" w:sz="0" w:space="0" w:color="auto"/>
        <w:left w:val="none" w:sz="0" w:space="0" w:color="auto"/>
        <w:bottom w:val="none" w:sz="0" w:space="0" w:color="auto"/>
        <w:right w:val="none" w:sz="0" w:space="0" w:color="auto"/>
      </w:divBdr>
    </w:div>
    <w:div w:id="1856114258">
      <w:bodyDiv w:val="1"/>
      <w:marLeft w:val="0"/>
      <w:marRight w:val="0"/>
      <w:marTop w:val="0"/>
      <w:marBottom w:val="0"/>
      <w:divBdr>
        <w:top w:val="none" w:sz="0" w:space="0" w:color="auto"/>
        <w:left w:val="none" w:sz="0" w:space="0" w:color="auto"/>
        <w:bottom w:val="none" w:sz="0" w:space="0" w:color="auto"/>
        <w:right w:val="none" w:sz="0" w:space="0" w:color="auto"/>
      </w:divBdr>
    </w:div>
    <w:div w:id="1863010420">
      <w:bodyDiv w:val="1"/>
      <w:marLeft w:val="0"/>
      <w:marRight w:val="0"/>
      <w:marTop w:val="0"/>
      <w:marBottom w:val="0"/>
      <w:divBdr>
        <w:top w:val="none" w:sz="0" w:space="0" w:color="auto"/>
        <w:left w:val="none" w:sz="0" w:space="0" w:color="auto"/>
        <w:bottom w:val="none" w:sz="0" w:space="0" w:color="auto"/>
        <w:right w:val="none" w:sz="0" w:space="0" w:color="auto"/>
      </w:divBdr>
    </w:div>
    <w:div w:id="1864202778">
      <w:bodyDiv w:val="1"/>
      <w:marLeft w:val="0"/>
      <w:marRight w:val="0"/>
      <w:marTop w:val="0"/>
      <w:marBottom w:val="0"/>
      <w:divBdr>
        <w:top w:val="none" w:sz="0" w:space="0" w:color="auto"/>
        <w:left w:val="none" w:sz="0" w:space="0" w:color="auto"/>
        <w:bottom w:val="none" w:sz="0" w:space="0" w:color="auto"/>
        <w:right w:val="none" w:sz="0" w:space="0" w:color="auto"/>
      </w:divBdr>
    </w:div>
    <w:div w:id="1868179955">
      <w:bodyDiv w:val="1"/>
      <w:marLeft w:val="0"/>
      <w:marRight w:val="0"/>
      <w:marTop w:val="0"/>
      <w:marBottom w:val="0"/>
      <w:divBdr>
        <w:top w:val="none" w:sz="0" w:space="0" w:color="auto"/>
        <w:left w:val="none" w:sz="0" w:space="0" w:color="auto"/>
        <w:bottom w:val="none" w:sz="0" w:space="0" w:color="auto"/>
        <w:right w:val="none" w:sz="0" w:space="0" w:color="auto"/>
      </w:divBdr>
    </w:div>
    <w:div w:id="1874882415">
      <w:bodyDiv w:val="1"/>
      <w:marLeft w:val="0"/>
      <w:marRight w:val="0"/>
      <w:marTop w:val="0"/>
      <w:marBottom w:val="0"/>
      <w:divBdr>
        <w:top w:val="none" w:sz="0" w:space="0" w:color="auto"/>
        <w:left w:val="none" w:sz="0" w:space="0" w:color="auto"/>
        <w:bottom w:val="none" w:sz="0" w:space="0" w:color="auto"/>
        <w:right w:val="none" w:sz="0" w:space="0" w:color="auto"/>
      </w:divBdr>
    </w:div>
    <w:div w:id="1880779989">
      <w:bodyDiv w:val="1"/>
      <w:marLeft w:val="0"/>
      <w:marRight w:val="0"/>
      <w:marTop w:val="0"/>
      <w:marBottom w:val="0"/>
      <w:divBdr>
        <w:top w:val="none" w:sz="0" w:space="0" w:color="auto"/>
        <w:left w:val="none" w:sz="0" w:space="0" w:color="auto"/>
        <w:bottom w:val="none" w:sz="0" w:space="0" w:color="auto"/>
        <w:right w:val="none" w:sz="0" w:space="0" w:color="auto"/>
      </w:divBdr>
      <w:divsChild>
        <w:div w:id="393771850">
          <w:marLeft w:val="1166"/>
          <w:marRight w:val="0"/>
          <w:marTop w:val="106"/>
          <w:marBottom w:val="0"/>
          <w:divBdr>
            <w:top w:val="none" w:sz="0" w:space="0" w:color="auto"/>
            <w:left w:val="none" w:sz="0" w:space="0" w:color="auto"/>
            <w:bottom w:val="none" w:sz="0" w:space="0" w:color="auto"/>
            <w:right w:val="none" w:sz="0" w:space="0" w:color="auto"/>
          </w:divBdr>
        </w:div>
      </w:divsChild>
    </w:div>
    <w:div w:id="1882327385">
      <w:bodyDiv w:val="1"/>
      <w:marLeft w:val="0"/>
      <w:marRight w:val="0"/>
      <w:marTop w:val="0"/>
      <w:marBottom w:val="0"/>
      <w:divBdr>
        <w:top w:val="none" w:sz="0" w:space="0" w:color="auto"/>
        <w:left w:val="none" w:sz="0" w:space="0" w:color="auto"/>
        <w:bottom w:val="none" w:sz="0" w:space="0" w:color="auto"/>
        <w:right w:val="none" w:sz="0" w:space="0" w:color="auto"/>
      </w:divBdr>
    </w:div>
    <w:div w:id="1893299556">
      <w:bodyDiv w:val="1"/>
      <w:marLeft w:val="0"/>
      <w:marRight w:val="0"/>
      <w:marTop w:val="0"/>
      <w:marBottom w:val="0"/>
      <w:divBdr>
        <w:top w:val="none" w:sz="0" w:space="0" w:color="auto"/>
        <w:left w:val="none" w:sz="0" w:space="0" w:color="auto"/>
        <w:bottom w:val="none" w:sz="0" w:space="0" w:color="auto"/>
        <w:right w:val="none" w:sz="0" w:space="0" w:color="auto"/>
      </w:divBdr>
    </w:div>
    <w:div w:id="1913349209">
      <w:bodyDiv w:val="1"/>
      <w:marLeft w:val="0"/>
      <w:marRight w:val="0"/>
      <w:marTop w:val="0"/>
      <w:marBottom w:val="0"/>
      <w:divBdr>
        <w:top w:val="none" w:sz="0" w:space="0" w:color="auto"/>
        <w:left w:val="none" w:sz="0" w:space="0" w:color="auto"/>
        <w:bottom w:val="none" w:sz="0" w:space="0" w:color="auto"/>
        <w:right w:val="none" w:sz="0" w:space="0" w:color="auto"/>
      </w:divBdr>
    </w:div>
    <w:div w:id="1914511386">
      <w:bodyDiv w:val="1"/>
      <w:marLeft w:val="0"/>
      <w:marRight w:val="0"/>
      <w:marTop w:val="0"/>
      <w:marBottom w:val="0"/>
      <w:divBdr>
        <w:top w:val="none" w:sz="0" w:space="0" w:color="auto"/>
        <w:left w:val="none" w:sz="0" w:space="0" w:color="auto"/>
        <w:bottom w:val="none" w:sz="0" w:space="0" w:color="auto"/>
        <w:right w:val="none" w:sz="0" w:space="0" w:color="auto"/>
      </w:divBdr>
    </w:div>
    <w:div w:id="1916623347">
      <w:bodyDiv w:val="1"/>
      <w:marLeft w:val="0"/>
      <w:marRight w:val="0"/>
      <w:marTop w:val="0"/>
      <w:marBottom w:val="0"/>
      <w:divBdr>
        <w:top w:val="none" w:sz="0" w:space="0" w:color="auto"/>
        <w:left w:val="none" w:sz="0" w:space="0" w:color="auto"/>
        <w:bottom w:val="none" w:sz="0" w:space="0" w:color="auto"/>
        <w:right w:val="none" w:sz="0" w:space="0" w:color="auto"/>
      </w:divBdr>
    </w:div>
    <w:div w:id="1920362412">
      <w:bodyDiv w:val="1"/>
      <w:marLeft w:val="0"/>
      <w:marRight w:val="0"/>
      <w:marTop w:val="0"/>
      <w:marBottom w:val="0"/>
      <w:divBdr>
        <w:top w:val="none" w:sz="0" w:space="0" w:color="auto"/>
        <w:left w:val="none" w:sz="0" w:space="0" w:color="auto"/>
        <w:bottom w:val="none" w:sz="0" w:space="0" w:color="auto"/>
        <w:right w:val="none" w:sz="0" w:space="0" w:color="auto"/>
      </w:divBdr>
    </w:div>
    <w:div w:id="1928803787">
      <w:bodyDiv w:val="1"/>
      <w:marLeft w:val="0"/>
      <w:marRight w:val="0"/>
      <w:marTop w:val="0"/>
      <w:marBottom w:val="0"/>
      <w:divBdr>
        <w:top w:val="none" w:sz="0" w:space="0" w:color="auto"/>
        <w:left w:val="none" w:sz="0" w:space="0" w:color="auto"/>
        <w:bottom w:val="none" w:sz="0" w:space="0" w:color="auto"/>
        <w:right w:val="none" w:sz="0" w:space="0" w:color="auto"/>
      </w:divBdr>
    </w:div>
    <w:div w:id="1935435101">
      <w:bodyDiv w:val="1"/>
      <w:marLeft w:val="0"/>
      <w:marRight w:val="0"/>
      <w:marTop w:val="0"/>
      <w:marBottom w:val="0"/>
      <w:divBdr>
        <w:top w:val="none" w:sz="0" w:space="0" w:color="auto"/>
        <w:left w:val="none" w:sz="0" w:space="0" w:color="auto"/>
        <w:bottom w:val="none" w:sz="0" w:space="0" w:color="auto"/>
        <w:right w:val="none" w:sz="0" w:space="0" w:color="auto"/>
      </w:divBdr>
    </w:div>
    <w:div w:id="1945461271">
      <w:bodyDiv w:val="1"/>
      <w:marLeft w:val="0"/>
      <w:marRight w:val="0"/>
      <w:marTop w:val="0"/>
      <w:marBottom w:val="0"/>
      <w:divBdr>
        <w:top w:val="none" w:sz="0" w:space="0" w:color="auto"/>
        <w:left w:val="none" w:sz="0" w:space="0" w:color="auto"/>
        <w:bottom w:val="none" w:sz="0" w:space="0" w:color="auto"/>
        <w:right w:val="none" w:sz="0" w:space="0" w:color="auto"/>
      </w:divBdr>
    </w:div>
    <w:div w:id="1954821941">
      <w:bodyDiv w:val="1"/>
      <w:marLeft w:val="0"/>
      <w:marRight w:val="0"/>
      <w:marTop w:val="0"/>
      <w:marBottom w:val="0"/>
      <w:divBdr>
        <w:top w:val="none" w:sz="0" w:space="0" w:color="auto"/>
        <w:left w:val="none" w:sz="0" w:space="0" w:color="auto"/>
        <w:bottom w:val="none" w:sz="0" w:space="0" w:color="auto"/>
        <w:right w:val="none" w:sz="0" w:space="0" w:color="auto"/>
      </w:divBdr>
    </w:div>
    <w:div w:id="1959288163">
      <w:bodyDiv w:val="1"/>
      <w:marLeft w:val="0"/>
      <w:marRight w:val="0"/>
      <w:marTop w:val="0"/>
      <w:marBottom w:val="0"/>
      <w:divBdr>
        <w:top w:val="none" w:sz="0" w:space="0" w:color="auto"/>
        <w:left w:val="none" w:sz="0" w:space="0" w:color="auto"/>
        <w:bottom w:val="none" w:sz="0" w:space="0" w:color="auto"/>
        <w:right w:val="none" w:sz="0" w:space="0" w:color="auto"/>
      </w:divBdr>
    </w:div>
    <w:div w:id="1963227137">
      <w:bodyDiv w:val="1"/>
      <w:marLeft w:val="0"/>
      <w:marRight w:val="0"/>
      <w:marTop w:val="0"/>
      <w:marBottom w:val="0"/>
      <w:divBdr>
        <w:top w:val="none" w:sz="0" w:space="0" w:color="auto"/>
        <w:left w:val="none" w:sz="0" w:space="0" w:color="auto"/>
        <w:bottom w:val="none" w:sz="0" w:space="0" w:color="auto"/>
        <w:right w:val="none" w:sz="0" w:space="0" w:color="auto"/>
      </w:divBdr>
    </w:div>
    <w:div w:id="1971326696">
      <w:bodyDiv w:val="1"/>
      <w:marLeft w:val="0"/>
      <w:marRight w:val="0"/>
      <w:marTop w:val="0"/>
      <w:marBottom w:val="0"/>
      <w:divBdr>
        <w:top w:val="none" w:sz="0" w:space="0" w:color="auto"/>
        <w:left w:val="none" w:sz="0" w:space="0" w:color="auto"/>
        <w:bottom w:val="none" w:sz="0" w:space="0" w:color="auto"/>
        <w:right w:val="none" w:sz="0" w:space="0" w:color="auto"/>
      </w:divBdr>
    </w:div>
    <w:div w:id="1982228805">
      <w:bodyDiv w:val="1"/>
      <w:marLeft w:val="0"/>
      <w:marRight w:val="0"/>
      <w:marTop w:val="0"/>
      <w:marBottom w:val="0"/>
      <w:divBdr>
        <w:top w:val="none" w:sz="0" w:space="0" w:color="auto"/>
        <w:left w:val="none" w:sz="0" w:space="0" w:color="auto"/>
        <w:bottom w:val="none" w:sz="0" w:space="0" w:color="auto"/>
        <w:right w:val="none" w:sz="0" w:space="0" w:color="auto"/>
      </w:divBdr>
    </w:div>
    <w:div w:id="1983268050">
      <w:bodyDiv w:val="1"/>
      <w:marLeft w:val="0"/>
      <w:marRight w:val="0"/>
      <w:marTop w:val="0"/>
      <w:marBottom w:val="0"/>
      <w:divBdr>
        <w:top w:val="none" w:sz="0" w:space="0" w:color="auto"/>
        <w:left w:val="none" w:sz="0" w:space="0" w:color="auto"/>
        <w:bottom w:val="none" w:sz="0" w:space="0" w:color="auto"/>
        <w:right w:val="none" w:sz="0" w:space="0" w:color="auto"/>
      </w:divBdr>
    </w:div>
    <w:div w:id="1985162335">
      <w:bodyDiv w:val="1"/>
      <w:marLeft w:val="0"/>
      <w:marRight w:val="0"/>
      <w:marTop w:val="0"/>
      <w:marBottom w:val="0"/>
      <w:divBdr>
        <w:top w:val="none" w:sz="0" w:space="0" w:color="auto"/>
        <w:left w:val="none" w:sz="0" w:space="0" w:color="auto"/>
        <w:bottom w:val="none" w:sz="0" w:space="0" w:color="auto"/>
        <w:right w:val="none" w:sz="0" w:space="0" w:color="auto"/>
      </w:divBdr>
    </w:div>
    <w:div w:id="1995256889">
      <w:bodyDiv w:val="1"/>
      <w:marLeft w:val="0"/>
      <w:marRight w:val="0"/>
      <w:marTop w:val="0"/>
      <w:marBottom w:val="0"/>
      <w:divBdr>
        <w:top w:val="none" w:sz="0" w:space="0" w:color="auto"/>
        <w:left w:val="none" w:sz="0" w:space="0" w:color="auto"/>
        <w:bottom w:val="none" w:sz="0" w:space="0" w:color="auto"/>
        <w:right w:val="none" w:sz="0" w:space="0" w:color="auto"/>
      </w:divBdr>
    </w:div>
    <w:div w:id="1995910729">
      <w:bodyDiv w:val="1"/>
      <w:marLeft w:val="0"/>
      <w:marRight w:val="0"/>
      <w:marTop w:val="0"/>
      <w:marBottom w:val="0"/>
      <w:divBdr>
        <w:top w:val="none" w:sz="0" w:space="0" w:color="auto"/>
        <w:left w:val="none" w:sz="0" w:space="0" w:color="auto"/>
        <w:bottom w:val="none" w:sz="0" w:space="0" w:color="auto"/>
        <w:right w:val="none" w:sz="0" w:space="0" w:color="auto"/>
      </w:divBdr>
    </w:div>
    <w:div w:id="2002005194">
      <w:bodyDiv w:val="1"/>
      <w:marLeft w:val="0"/>
      <w:marRight w:val="0"/>
      <w:marTop w:val="0"/>
      <w:marBottom w:val="0"/>
      <w:divBdr>
        <w:top w:val="none" w:sz="0" w:space="0" w:color="auto"/>
        <w:left w:val="none" w:sz="0" w:space="0" w:color="auto"/>
        <w:bottom w:val="none" w:sz="0" w:space="0" w:color="auto"/>
        <w:right w:val="none" w:sz="0" w:space="0" w:color="auto"/>
      </w:divBdr>
    </w:div>
    <w:div w:id="2004121918">
      <w:bodyDiv w:val="1"/>
      <w:marLeft w:val="0"/>
      <w:marRight w:val="0"/>
      <w:marTop w:val="0"/>
      <w:marBottom w:val="0"/>
      <w:divBdr>
        <w:top w:val="none" w:sz="0" w:space="0" w:color="auto"/>
        <w:left w:val="none" w:sz="0" w:space="0" w:color="auto"/>
        <w:bottom w:val="none" w:sz="0" w:space="0" w:color="auto"/>
        <w:right w:val="none" w:sz="0" w:space="0" w:color="auto"/>
      </w:divBdr>
    </w:div>
    <w:div w:id="2010938635">
      <w:bodyDiv w:val="1"/>
      <w:marLeft w:val="0"/>
      <w:marRight w:val="0"/>
      <w:marTop w:val="0"/>
      <w:marBottom w:val="0"/>
      <w:divBdr>
        <w:top w:val="none" w:sz="0" w:space="0" w:color="auto"/>
        <w:left w:val="none" w:sz="0" w:space="0" w:color="auto"/>
        <w:bottom w:val="none" w:sz="0" w:space="0" w:color="auto"/>
        <w:right w:val="none" w:sz="0" w:space="0" w:color="auto"/>
      </w:divBdr>
    </w:div>
    <w:div w:id="2018580445">
      <w:bodyDiv w:val="1"/>
      <w:marLeft w:val="0"/>
      <w:marRight w:val="0"/>
      <w:marTop w:val="0"/>
      <w:marBottom w:val="0"/>
      <w:divBdr>
        <w:top w:val="none" w:sz="0" w:space="0" w:color="auto"/>
        <w:left w:val="none" w:sz="0" w:space="0" w:color="auto"/>
        <w:bottom w:val="none" w:sz="0" w:space="0" w:color="auto"/>
        <w:right w:val="none" w:sz="0" w:space="0" w:color="auto"/>
      </w:divBdr>
    </w:div>
    <w:div w:id="2018581226">
      <w:bodyDiv w:val="1"/>
      <w:marLeft w:val="0"/>
      <w:marRight w:val="0"/>
      <w:marTop w:val="0"/>
      <w:marBottom w:val="0"/>
      <w:divBdr>
        <w:top w:val="none" w:sz="0" w:space="0" w:color="auto"/>
        <w:left w:val="none" w:sz="0" w:space="0" w:color="auto"/>
        <w:bottom w:val="none" w:sz="0" w:space="0" w:color="auto"/>
        <w:right w:val="none" w:sz="0" w:space="0" w:color="auto"/>
      </w:divBdr>
    </w:div>
    <w:div w:id="2022734233">
      <w:bodyDiv w:val="1"/>
      <w:marLeft w:val="0"/>
      <w:marRight w:val="0"/>
      <w:marTop w:val="0"/>
      <w:marBottom w:val="0"/>
      <w:divBdr>
        <w:top w:val="none" w:sz="0" w:space="0" w:color="auto"/>
        <w:left w:val="none" w:sz="0" w:space="0" w:color="auto"/>
        <w:bottom w:val="none" w:sz="0" w:space="0" w:color="auto"/>
        <w:right w:val="none" w:sz="0" w:space="0" w:color="auto"/>
      </w:divBdr>
    </w:div>
    <w:div w:id="2023240246">
      <w:bodyDiv w:val="1"/>
      <w:marLeft w:val="0"/>
      <w:marRight w:val="0"/>
      <w:marTop w:val="0"/>
      <w:marBottom w:val="0"/>
      <w:divBdr>
        <w:top w:val="none" w:sz="0" w:space="0" w:color="auto"/>
        <w:left w:val="none" w:sz="0" w:space="0" w:color="auto"/>
        <w:bottom w:val="none" w:sz="0" w:space="0" w:color="auto"/>
        <w:right w:val="none" w:sz="0" w:space="0" w:color="auto"/>
      </w:divBdr>
    </w:div>
    <w:div w:id="2027975887">
      <w:bodyDiv w:val="1"/>
      <w:marLeft w:val="0"/>
      <w:marRight w:val="0"/>
      <w:marTop w:val="0"/>
      <w:marBottom w:val="0"/>
      <w:divBdr>
        <w:top w:val="none" w:sz="0" w:space="0" w:color="auto"/>
        <w:left w:val="none" w:sz="0" w:space="0" w:color="auto"/>
        <w:bottom w:val="none" w:sz="0" w:space="0" w:color="auto"/>
        <w:right w:val="none" w:sz="0" w:space="0" w:color="auto"/>
      </w:divBdr>
      <w:divsChild>
        <w:div w:id="145367686">
          <w:marLeft w:val="0"/>
          <w:marRight w:val="0"/>
          <w:marTop w:val="0"/>
          <w:marBottom w:val="0"/>
          <w:divBdr>
            <w:top w:val="none" w:sz="0" w:space="0" w:color="auto"/>
            <w:left w:val="none" w:sz="0" w:space="0" w:color="auto"/>
            <w:bottom w:val="none" w:sz="0" w:space="0" w:color="auto"/>
            <w:right w:val="none" w:sz="0" w:space="0" w:color="auto"/>
          </w:divBdr>
          <w:divsChild>
            <w:div w:id="737945763">
              <w:marLeft w:val="0"/>
              <w:marRight w:val="0"/>
              <w:marTop w:val="0"/>
              <w:marBottom w:val="0"/>
              <w:divBdr>
                <w:top w:val="none" w:sz="0" w:space="0" w:color="auto"/>
                <w:left w:val="none" w:sz="0" w:space="0" w:color="auto"/>
                <w:bottom w:val="none" w:sz="0" w:space="0" w:color="auto"/>
                <w:right w:val="none" w:sz="0" w:space="0" w:color="auto"/>
              </w:divBdr>
              <w:divsChild>
                <w:div w:id="1956208481">
                  <w:marLeft w:val="0"/>
                  <w:marRight w:val="0"/>
                  <w:marTop w:val="0"/>
                  <w:marBottom w:val="0"/>
                  <w:divBdr>
                    <w:top w:val="none" w:sz="0" w:space="0" w:color="auto"/>
                    <w:left w:val="none" w:sz="0" w:space="0" w:color="auto"/>
                    <w:bottom w:val="none" w:sz="0" w:space="0" w:color="auto"/>
                    <w:right w:val="none" w:sz="0" w:space="0" w:color="auto"/>
                  </w:divBdr>
                  <w:divsChild>
                    <w:div w:id="2133088799">
                      <w:marLeft w:val="0"/>
                      <w:marRight w:val="0"/>
                      <w:marTop w:val="0"/>
                      <w:marBottom w:val="0"/>
                      <w:divBdr>
                        <w:top w:val="none" w:sz="0" w:space="0" w:color="auto"/>
                        <w:left w:val="none" w:sz="0" w:space="0" w:color="auto"/>
                        <w:bottom w:val="none" w:sz="0" w:space="0" w:color="auto"/>
                        <w:right w:val="none" w:sz="0" w:space="0" w:color="auto"/>
                      </w:divBdr>
                      <w:divsChild>
                        <w:div w:id="557017042">
                          <w:marLeft w:val="0"/>
                          <w:marRight w:val="0"/>
                          <w:marTop w:val="0"/>
                          <w:marBottom w:val="0"/>
                          <w:divBdr>
                            <w:top w:val="none" w:sz="0" w:space="0" w:color="auto"/>
                            <w:left w:val="none" w:sz="0" w:space="0" w:color="auto"/>
                            <w:bottom w:val="none" w:sz="0" w:space="0" w:color="auto"/>
                            <w:right w:val="none" w:sz="0" w:space="0" w:color="auto"/>
                          </w:divBdr>
                          <w:divsChild>
                            <w:div w:id="7209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5568">
              <w:marLeft w:val="0"/>
              <w:marRight w:val="0"/>
              <w:marTop w:val="0"/>
              <w:marBottom w:val="0"/>
              <w:divBdr>
                <w:top w:val="none" w:sz="0" w:space="0" w:color="auto"/>
                <w:left w:val="none" w:sz="0" w:space="0" w:color="auto"/>
                <w:bottom w:val="none" w:sz="0" w:space="0" w:color="auto"/>
                <w:right w:val="none" w:sz="0" w:space="0" w:color="auto"/>
              </w:divBdr>
              <w:divsChild>
                <w:div w:id="2076200603">
                  <w:marLeft w:val="0"/>
                  <w:marRight w:val="0"/>
                  <w:marTop w:val="0"/>
                  <w:marBottom w:val="0"/>
                  <w:divBdr>
                    <w:top w:val="none" w:sz="0" w:space="0" w:color="auto"/>
                    <w:left w:val="none" w:sz="0" w:space="0" w:color="auto"/>
                    <w:bottom w:val="none" w:sz="0" w:space="0" w:color="auto"/>
                    <w:right w:val="none" w:sz="0" w:space="0" w:color="auto"/>
                  </w:divBdr>
                  <w:divsChild>
                    <w:div w:id="1560748558">
                      <w:marLeft w:val="0"/>
                      <w:marRight w:val="0"/>
                      <w:marTop w:val="0"/>
                      <w:marBottom w:val="0"/>
                      <w:divBdr>
                        <w:top w:val="none" w:sz="0" w:space="0" w:color="auto"/>
                        <w:left w:val="none" w:sz="0" w:space="0" w:color="auto"/>
                        <w:bottom w:val="none" w:sz="0" w:space="0" w:color="auto"/>
                        <w:right w:val="none" w:sz="0" w:space="0" w:color="auto"/>
                      </w:divBdr>
                      <w:divsChild>
                        <w:div w:id="292322761">
                          <w:marLeft w:val="0"/>
                          <w:marRight w:val="0"/>
                          <w:marTop w:val="0"/>
                          <w:marBottom w:val="0"/>
                          <w:divBdr>
                            <w:top w:val="none" w:sz="0" w:space="0" w:color="auto"/>
                            <w:left w:val="none" w:sz="0" w:space="0" w:color="auto"/>
                            <w:bottom w:val="none" w:sz="0" w:space="0" w:color="auto"/>
                            <w:right w:val="none" w:sz="0" w:space="0" w:color="auto"/>
                          </w:divBdr>
                        </w:div>
                        <w:div w:id="7015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72155">
      <w:bodyDiv w:val="1"/>
      <w:marLeft w:val="0"/>
      <w:marRight w:val="0"/>
      <w:marTop w:val="0"/>
      <w:marBottom w:val="0"/>
      <w:divBdr>
        <w:top w:val="none" w:sz="0" w:space="0" w:color="auto"/>
        <w:left w:val="none" w:sz="0" w:space="0" w:color="auto"/>
        <w:bottom w:val="none" w:sz="0" w:space="0" w:color="auto"/>
        <w:right w:val="none" w:sz="0" w:space="0" w:color="auto"/>
      </w:divBdr>
    </w:div>
    <w:div w:id="2032761978">
      <w:bodyDiv w:val="1"/>
      <w:marLeft w:val="0"/>
      <w:marRight w:val="0"/>
      <w:marTop w:val="0"/>
      <w:marBottom w:val="0"/>
      <w:divBdr>
        <w:top w:val="none" w:sz="0" w:space="0" w:color="auto"/>
        <w:left w:val="none" w:sz="0" w:space="0" w:color="auto"/>
        <w:bottom w:val="none" w:sz="0" w:space="0" w:color="auto"/>
        <w:right w:val="none" w:sz="0" w:space="0" w:color="auto"/>
      </w:divBdr>
    </w:div>
    <w:div w:id="2034912515">
      <w:bodyDiv w:val="1"/>
      <w:marLeft w:val="0"/>
      <w:marRight w:val="0"/>
      <w:marTop w:val="0"/>
      <w:marBottom w:val="0"/>
      <w:divBdr>
        <w:top w:val="none" w:sz="0" w:space="0" w:color="auto"/>
        <w:left w:val="none" w:sz="0" w:space="0" w:color="auto"/>
        <w:bottom w:val="none" w:sz="0" w:space="0" w:color="auto"/>
        <w:right w:val="none" w:sz="0" w:space="0" w:color="auto"/>
      </w:divBdr>
    </w:div>
    <w:div w:id="2039811400">
      <w:bodyDiv w:val="1"/>
      <w:marLeft w:val="0"/>
      <w:marRight w:val="0"/>
      <w:marTop w:val="0"/>
      <w:marBottom w:val="0"/>
      <w:divBdr>
        <w:top w:val="none" w:sz="0" w:space="0" w:color="auto"/>
        <w:left w:val="none" w:sz="0" w:space="0" w:color="auto"/>
        <w:bottom w:val="none" w:sz="0" w:space="0" w:color="auto"/>
        <w:right w:val="none" w:sz="0" w:space="0" w:color="auto"/>
      </w:divBdr>
    </w:div>
    <w:div w:id="2039889459">
      <w:bodyDiv w:val="1"/>
      <w:marLeft w:val="0"/>
      <w:marRight w:val="0"/>
      <w:marTop w:val="0"/>
      <w:marBottom w:val="0"/>
      <w:divBdr>
        <w:top w:val="none" w:sz="0" w:space="0" w:color="auto"/>
        <w:left w:val="none" w:sz="0" w:space="0" w:color="auto"/>
        <w:bottom w:val="none" w:sz="0" w:space="0" w:color="auto"/>
        <w:right w:val="none" w:sz="0" w:space="0" w:color="auto"/>
      </w:divBdr>
    </w:div>
    <w:div w:id="2044594626">
      <w:bodyDiv w:val="1"/>
      <w:marLeft w:val="0"/>
      <w:marRight w:val="0"/>
      <w:marTop w:val="0"/>
      <w:marBottom w:val="0"/>
      <w:divBdr>
        <w:top w:val="none" w:sz="0" w:space="0" w:color="auto"/>
        <w:left w:val="none" w:sz="0" w:space="0" w:color="auto"/>
        <w:bottom w:val="none" w:sz="0" w:space="0" w:color="auto"/>
        <w:right w:val="none" w:sz="0" w:space="0" w:color="auto"/>
      </w:divBdr>
    </w:div>
    <w:div w:id="2052655640">
      <w:bodyDiv w:val="1"/>
      <w:marLeft w:val="0"/>
      <w:marRight w:val="0"/>
      <w:marTop w:val="0"/>
      <w:marBottom w:val="0"/>
      <w:divBdr>
        <w:top w:val="none" w:sz="0" w:space="0" w:color="auto"/>
        <w:left w:val="none" w:sz="0" w:space="0" w:color="auto"/>
        <w:bottom w:val="none" w:sz="0" w:space="0" w:color="auto"/>
        <w:right w:val="none" w:sz="0" w:space="0" w:color="auto"/>
      </w:divBdr>
    </w:div>
    <w:div w:id="2052873325">
      <w:bodyDiv w:val="1"/>
      <w:marLeft w:val="0"/>
      <w:marRight w:val="0"/>
      <w:marTop w:val="0"/>
      <w:marBottom w:val="0"/>
      <w:divBdr>
        <w:top w:val="none" w:sz="0" w:space="0" w:color="auto"/>
        <w:left w:val="none" w:sz="0" w:space="0" w:color="auto"/>
        <w:bottom w:val="none" w:sz="0" w:space="0" w:color="auto"/>
        <w:right w:val="none" w:sz="0" w:space="0" w:color="auto"/>
      </w:divBdr>
    </w:div>
    <w:div w:id="2057779487">
      <w:bodyDiv w:val="1"/>
      <w:marLeft w:val="0"/>
      <w:marRight w:val="0"/>
      <w:marTop w:val="0"/>
      <w:marBottom w:val="0"/>
      <w:divBdr>
        <w:top w:val="none" w:sz="0" w:space="0" w:color="auto"/>
        <w:left w:val="none" w:sz="0" w:space="0" w:color="auto"/>
        <w:bottom w:val="none" w:sz="0" w:space="0" w:color="auto"/>
        <w:right w:val="none" w:sz="0" w:space="0" w:color="auto"/>
      </w:divBdr>
    </w:div>
    <w:div w:id="2058315548">
      <w:bodyDiv w:val="1"/>
      <w:marLeft w:val="0"/>
      <w:marRight w:val="0"/>
      <w:marTop w:val="0"/>
      <w:marBottom w:val="0"/>
      <w:divBdr>
        <w:top w:val="none" w:sz="0" w:space="0" w:color="auto"/>
        <w:left w:val="none" w:sz="0" w:space="0" w:color="auto"/>
        <w:bottom w:val="none" w:sz="0" w:space="0" w:color="auto"/>
        <w:right w:val="none" w:sz="0" w:space="0" w:color="auto"/>
      </w:divBdr>
    </w:div>
    <w:div w:id="2059742198">
      <w:bodyDiv w:val="1"/>
      <w:marLeft w:val="0"/>
      <w:marRight w:val="0"/>
      <w:marTop w:val="0"/>
      <w:marBottom w:val="0"/>
      <w:divBdr>
        <w:top w:val="none" w:sz="0" w:space="0" w:color="auto"/>
        <w:left w:val="none" w:sz="0" w:space="0" w:color="auto"/>
        <w:bottom w:val="none" w:sz="0" w:space="0" w:color="auto"/>
        <w:right w:val="none" w:sz="0" w:space="0" w:color="auto"/>
      </w:divBdr>
    </w:div>
    <w:div w:id="2064325382">
      <w:bodyDiv w:val="1"/>
      <w:marLeft w:val="0"/>
      <w:marRight w:val="0"/>
      <w:marTop w:val="0"/>
      <w:marBottom w:val="0"/>
      <w:divBdr>
        <w:top w:val="none" w:sz="0" w:space="0" w:color="auto"/>
        <w:left w:val="none" w:sz="0" w:space="0" w:color="auto"/>
        <w:bottom w:val="none" w:sz="0" w:space="0" w:color="auto"/>
        <w:right w:val="none" w:sz="0" w:space="0" w:color="auto"/>
      </w:divBdr>
    </w:div>
    <w:div w:id="2065324855">
      <w:bodyDiv w:val="1"/>
      <w:marLeft w:val="0"/>
      <w:marRight w:val="0"/>
      <w:marTop w:val="0"/>
      <w:marBottom w:val="0"/>
      <w:divBdr>
        <w:top w:val="none" w:sz="0" w:space="0" w:color="auto"/>
        <w:left w:val="none" w:sz="0" w:space="0" w:color="auto"/>
        <w:bottom w:val="none" w:sz="0" w:space="0" w:color="auto"/>
        <w:right w:val="none" w:sz="0" w:space="0" w:color="auto"/>
      </w:divBdr>
    </w:div>
    <w:div w:id="2070496349">
      <w:bodyDiv w:val="1"/>
      <w:marLeft w:val="0"/>
      <w:marRight w:val="0"/>
      <w:marTop w:val="0"/>
      <w:marBottom w:val="0"/>
      <w:divBdr>
        <w:top w:val="none" w:sz="0" w:space="0" w:color="auto"/>
        <w:left w:val="none" w:sz="0" w:space="0" w:color="auto"/>
        <w:bottom w:val="none" w:sz="0" w:space="0" w:color="auto"/>
        <w:right w:val="none" w:sz="0" w:space="0" w:color="auto"/>
      </w:divBdr>
    </w:div>
    <w:div w:id="2073655664">
      <w:bodyDiv w:val="1"/>
      <w:marLeft w:val="0"/>
      <w:marRight w:val="0"/>
      <w:marTop w:val="0"/>
      <w:marBottom w:val="0"/>
      <w:divBdr>
        <w:top w:val="none" w:sz="0" w:space="0" w:color="auto"/>
        <w:left w:val="none" w:sz="0" w:space="0" w:color="auto"/>
        <w:bottom w:val="none" w:sz="0" w:space="0" w:color="auto"/>
        <w:right w:val="none" w:sz="0" w:space="0" w:color="auto"/>
      </w:divBdr>
    </w:div>
    <w:div w:id="2081369991">
      <w:bodyDiv w:val="1"/>
      <w:marLeft w:val="0"/>
      <w:marRight w:val="0"/>
      <w:marTop w:val="0"/>
      <w:marBottom w:val="0"/>
      <w:divBdr>
        <w:top w:val="none" w:sz="0" w:space="0" w:color="auto"/>
        <w:left w:val="none" w:sz="0" w:space="0" w:color="auto"/>
        <w:bottom w:val="none" w:sz="0" w:space="0" w:color="auto"/>
        <w:right w:val="none" w:sz="0" w:space="0" w:color="auto"/>
      </w:divBdr>
    </w:div>
    <w:div w:id="2083671186">
      <w:bodyDiv w:val="1"/>
      <w:marLeft w:val="0"/>
      <w:marRight w:val="0"/>
      <w:marTop w:val="0"/>
      <w:marBottom w:val="0"/>
      <w:divBdr>
        <w:top w:val="none" w:sz="0" w:space="0" w:color="auto"/>
        <w:left w:val="none" w:sz="0" w:space="0" w:color="auto"/>
        <w:bottom w:val="none" w:sz="0" w:space="0" w:color="auto"/>
        <w:right w:val="none" w:sz="0" w:space="0" w:color="auto"/>
      </w:divBdr>
    </w:div>
    <w:div w:id="2084444432">
      <w:bodyDiv w:val="1"/>
      <w:marLeft w:val="0"/>
      <w:marRight w:val="0"/>
      <w:marTop w:val="0"/>
      <w:marBottom w:val="0"/>
      <w:divBdr>
        <w:top w:val="none" w:sz="0" w:space="0" w:color="auto"/>
        <w:left w:val="none" w:sz="0" w:space="0" w:color="auto"/>
        <w:bottom w:val="none" w:sz="0" w:space="0" w:color="auto"/>
        <w:right w:val="none" w:sz="0" w:space="0" w:color="auto"/>
      </w:divBdr>
    </w:div>
    <w:div w:id="2084642529">
      <w:bodyDiv w:val="1"/>
      <w:marLeft w:val="0"/>
      <w:marRight w:val="0"/>
      <w:marTop w:val="0"/>
      <w:marBottom w:val="0"/>
      <w:divBdr>
        <w:top w:val="none" w:sz="0" w:space="0" w:color="auto"/>
        <w:left w:val="none" w:sz="0" w:space="0" w:color="auto"/>
        <w:bottom w:val="none" w:sz="0" w:space="0" w:color="auto"/>
        <w:right w:val="none" w:sz="0" w:space="0" w:color="auto"/>
      </w:divBdr>
    </w:div>
    <w:div w:id="2088266401">
      <w:bodyDiv w:val="1"/>
      <w:marLeft w:val="0"/>
      <w:marRight w:val="0"/>
      <w:marTop w:val="0"/>
      <w:marBottom w:val="0"/>
      <w:divBdr>
        <w:top w:val="none" w:sz="0" w:space="0" w:color="auto"/>
        <w:left w:val="none" w:sz="0" w:space="0" w:color="auto"/>
        <w:bottom w:val="none" w:sz="0" w:space="0" w:color="auto"/>
        <w:right w:val="none" w:sz="0" w:space="0" w:color="auto"/>
      </w:divBdr>
    </w:div>
    <w:div w:id="2088309688">
      <w:bodyDiv w:val="1"/>
      <w:marLeft w:val="0"/>
      <w:marRight w:val="0"/>
      <w:marTop w:val="0"/>
      <w:marBottom w:val="0"/>
      <w:divBdr>
        <w:top w:val="none" w:sz="0" w:space="0" w:color="auto"/>
        <w:left w:val="none" w:sz="0" w:space="0" w:color="auto"/>
        <w:bottom w:val="none" w:sz="0" w:space="0" w:color="auto"/>
        <w:right w:val="none" w:sz="0" w:space="0" w:color="auto"/>
      </w:divBdr>
    </w:div>
    <w:div w:id="2094742855">
      <w:bodyDiv w:val="1"/>
      <w:marLeft w:val="0"/>
      <w:marRight w:val="0"/>
      <w:marTop w:val="0"/>
      <w:marBottom w:val="0"/>
      <w:divBdr>
        <w:top w:val="none" w:sz="0" w:space="0" w:color="auto"/>
        <w:left w:val="none" w:sz="0" w:space="0" w:color="auto"/>
        <w:bottom w:val="none" w:sz="0" w:space="0" w:color="auto"/>
        <w:right w:val="none" w:sz="0" w:space="0" w:color="auto"/>
      </w:divBdr>
    </w:div>
    <w:div w:id="2105370508">
      <w:bodyDiv w:val="1"/>
      <w:marLeft w:val="0"/>
      <w:marRight w:val="0"/>
      <w:marTop w:val="0"/>
      <w:marBottom w:val="0"/>
      <w:divBdr>
        <w:top w:val="none" w:sz="0" w:space="0" w:color="auto"/>
        <w:left w:val="none" w:sz="0" w:space="0" w:color="auto"/>
        <w:bottom w:val="none" w:sz="0" w:space="0" w:color="auto"/>
        <w:right w:val="none" w:sz="0" w:space="0" w:color="auto"/>
      </w:divBdr>
    </w:div>
    <w:div w:id="2105606268">
      <w:bodyDiv w:val="1"/>
      <w:marLeft w:val="0"/>
      <w:marRight w:val="0"/>
      <w:marTop w:val="0"/>
      <w:marBottom w:val="0"/>
      <w:divBdr>
        <w:top w:val="none" w:sz="0" w:space="0" w:color="auto"/>
        <w:left w:val="none" w:sz="0" w:space="0" w:color="auto"/>
        <w:bottom w:val="none" w:sz="0" w:space="0" w:color="auto"/>
        <w:right w:val="none" w:sz="0" w:space="0" w:color="auto"/>
      </w:divBdr>
    </w:div>
    <w:div w:id="2110395007">
      <w:bodyDiv w:val="1"/>
      <w:marLeft w:val="0"/>
      <w:marRight w:val="0"/>
      <w:marTop w:val="0"/>
      <w:marBottom w:val="0"/>
      <w:divBdr>
        <w:top w:val="none" w:sz="0" w:space="0" w:color="auto"/>
        <w:left w:val="none" w:sz="0" w:space="0" w:color="auto"/>
        <w:bottom w:val="none" w:sz="0" w:space="0" w:color="auto"/>
        <w:right w:val="none" w:sz="0" w:space="0" w:color="auto"/>
      </w:divBdr>
    </w:div>
    <w:div w:id="2116513466">
      <w:bodyDiv w:val="1"/>
      <w:marLeft w:val="0"/>
      <w:marRight w:val="0"/>
      <w:marTop w:val="0"/>
      <w:marBottom w:val="0"/>
      <w:divBdr>
        <w:top w:val="none" w:sz="0" w:space="0" w:color="auto"/>
        <w:left w:val="none" w:sz="0" w:space="0" w:color="auto"/>
        <w:bottom w:val="none" w:sz="0" w:space="0" w:color="auto"/>
        <w:right w:val="none" w:sz="0" w:space="0" w:color="auto"/>
      </w:divBdr>
    </w:div>
    <w:div w:id="2117554922">
      <w:bodyDiv w:val="1"/>
      <w:marLeft w:val="0"/>
      <w:marRight w:val="0"/>
      <w:marTop w:val="0"/>
      <w:marBottom w:val="0"/>
      <w:divBdr>
        <w:top w:val="none" w:sz="0" w:space="0" w:color="auto"/>
        <w:left w:val="none" w:sz="0" w:space="0" w:color="auto"/>
        <w:bottom w:val="none" w:sz="0" w:space="0" w:color="auto"/>
        <w:right w:val="none" w:sz="0" w:space="0" w:color="auto"/>
      </w:divBdr>
    </w:div>
    <w:div w:id="2119180272">
      <w:bodyDiv w:val="1"/>
      <w:marLeft w:val="0"/>
      <w:marRight w:val="0"/>
      <w:marTop w:val="0"/>
      <w:marBottom w:val="0"/>
      <w:divBdr>
        <w:top w:val="none" w:sz="0" w:space="0" w:color="auto"/>
        <w:left w:val="none" w:sz="0" w:space="0" w:color="auto"/>
        <w:bottom w:val="none" w:sz="0" w:space="0" w:color="auto"/>
        <w:right w:val="none" w:sz="0" w:space="0" w:color="auto"/>
      </w:divBdr>
    </w:div>
    <w:div w:id="2119828574">
      <w:bodyDiv w:val="1"/>
      <w:marLeft w:val="0"/>
      <w:marRight w:val="0"/>
      <w:marTop w:val="0"/>
      <w:marBottom w:val="0"/>
      <w:divBdr>
        <w:top w:val="none" w:sz="0" w:space="0" w:color="auto"/>
        <w:left w:val="none" w:sz="0" w:space="0" w:color="auto"/>
        <w:bottom w:val="none" w:sz="0" w:space="0" w:color="auto"/>
        <w:right w:val="none" w:sz="0" w:space="0" w:color="auto"/>
      </w:divBdr>
    </w:div>
    <w:div w:id="2122413818">
      <w:bodyDiv w:val="1"/>
      <w:marLeft w:val="0"/>
      <w:marRight w:val="0"/>
      <w:marTop w:val="0"/>
      <w:marBottom w:val="0"/>
      <w:divBdr>
        <w:top w:val="none" w:sz="0" w:space="0" w:color="auto"/>
        <w:left w:val="none" w:sz="0" w:space="0" w:color="auto"/>
        <w:bottom w:val="none" w:sz="0" w:space="0" w:color="auto"/>
        <w:right w:val="none" w:sz="0" w:space="0" w:color="auto"/>
      </w:divBdr>
    </w:div>
    <w:div w:id="2127383492">
      <w:bodyDiv w:val="1"/>
      <w:marLeft w:val="0"/>
      <w:marRight w:val="0"/>
      <w:marTop w:val="0"/>
      <w:marBottom w:val="0"/>
      <w:divBdr>
        <w:top w:val="none" w:sz="0" w:space="0" w:color="auto"/>
        <w:left w:val="none" w:sz="0" w:space="0" w:color="auto"/>
        <w:bottom w:val="none" w:sz="0" w:space="0" w:color="auto"/>
        <w:right w:val="none" w:sz="0" w:space="0" w:color="auto"/>
      </w:divBdr>
    </w:div>
    <w:div w:id="2129153791">
      <w:bodyDiv w:val="1"/>
      <w:marLeft w:val="0"/>
      <w:marRight w:val="0"/>
      <w:marTop w:val="0"/>
      <w:marBottom w:val="0"/>
      <w:divBdr>
        <w:top w:val="none" w:sz="0" w:space="0" w:color="auto"/>
        <w:left w:val="none" w:sz="0" w:space="0" w:color="auto"/>
        <w:bottom w:val="none" w:sz="0" w:space="0" w:color="auto"/>
        <w:right w:val="none" w:sz="0" w:space="0" w:color="auto"/>
      </w:divBdr>
    </w:div>
    <w:div w:id="2130584749">
      <w:bodyDiv w:val="1"/>
      <w:marLeft w:val="0"/>
      <w:marRight w:val="0"/>
      <w:marTop w:val="0"/>
      <w:marBottom w:val="0"/>
      <w:divBdr>
        <w:top w:val="none" w:sz="0" w:space="0" w:color="auto"/>
        <w:left w:val="none" w:sz="0" w:space="0" w:color="auto"/>
        <w:bottom w:val="none" w:sz="0" w:space="0" w:color="auto"/>
        <w:right w:val="none" w:sz="0" w:space="0" w:color="auto"/>
      </w:divBdr>
    </w:div>
    <w:div w:id="2140874931">
      <w:bodyDiv w:val="1"/>
      <w:marLeft w:val="0"/>
      <w:marRight w:val="0"/>
      <w:marTop w:val="0"/>
      <w:marBottom w:val="0"/>
      <w:divBdr>
        <w:top w:val="none" w:sz="0" w:space="0" w:color="auto"/>
        <w:left w:val="none" w:sz="0" w:space="0" w:color="auto"/>
        <w:bottom w:val="none" w:sz="0" w:space="0" w:color="auto"/>
        <w:right w:val="none" w:sz="0" w:space="0" w:color="auto"/>
      </w:divBdr>
    </w:div>
    <w:div w:id="2142921089">
      <w:bodyDiv w:val="1"/>
      <w:marLeft w:val="0"/>
      <w:marRight w:val="0"/>
      <w:marTop w:val="0"/>
      <w:marBottom w:val="0"/>
      <w:divBdr>
        <w:top w:val="none" w:sz="0" w:space="0" w:color="auto"/>
        <w:left w:val="none" w:sz="0" w:space="0" w:color="auto"/>
        <w:bottom w:val="none" w:sz="0" w:space="0" w:color="auto"/>
        <w:right w:val="none" w:sz="0" w:space="0" w:color="auto"/>
      </w:divBdr>
    </w:div>
    <w:div w:id="214350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rega%20Best\Desktop\Book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01638942086379E-2"/>
          <c:y val="3.2534856219895616E-2"/>
          <c:w val="0.65054737723002065"/>
          <c:h val="0.81158432119061563"/>
        </c:manualLayout>
      </c:layout>
      <c:barChart>
        <c:barDir val="col"/>
        <c:grouping val="clustered"/>
        <c:varyColors val="0"/>
        <c:ser>
          <c:idx val="0"/>
          <c:order val="0"/>
          <c:tx>
            <c:strRef>
              <c:f>Sheet3!$B$1</c:f>
              <c:strCache>
                <c:ptCount val="1"/>
                <c:pt idx="0">
                  <c:v>Raifall (mm)</c:v>
                </c:pt>
              </c:strCache>
            </c:strRef>
          </c:tx>
          <c:invertIfNegative val="0"/>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Sheet3!$B$2:$B$13</c:f>
              <c:numCache>
                <c:formatCode>General</c:formatCode>
                <c:ptCount val="12"/>
                <c:pt idx="0">
                  <c:v>15</c:v>
                </c:pt>
                <c:pt idx="1">
                  <c:v>20</c:v>
                </c:pt>
                <c:pt idx="2">
                  <c:v>80</c:v>
                </c:pt>
                <c:pt idx="3">
                  <c:v>150</c:v>
                </c:pt>
                <c:pt idx="4">
                  <c:v>120</c:v>
                </c:pt>
                <c:pt idx="5">
                  <c:v>225</c:v>
                </c:pt>
                <c:pt idx="6">
                  <c:v>295</c:v>
                </c:pt>
                <c:pt idx="7">
                  <c:v>298.5</c:v>
                </c:pt>
                <c:pt idx="8">
                  <c:v>250</c:v>
                </c:pt>
                <c:pt idx="9">
                  <c:v>200</c:v>
                </c:pt>
                <c:pt idx="10">
                  <c:v>100</c:v>
                </c:pt>
                <c:pt idx="11">
                  <c:v>20</c:v>
                </c:pt>
              </c:numCache>
            </c:numRef>
          </c:val>
          <c:extLst>
            <c:ext xmlns:c16="http://schemas.microsoft.com/office/drawing/2014/chart" uri="{C3380CC4-5D6E-409C-BE32-E72D297353CC}">
              <c16:uniqueId val="{00000000-59EA-493F-BBF1-C52AFB7E7DE9}"/>
            </c:ext>
          </c:extLst>
        </c:ser>
        <c:ser>
          <c:idx val="3"/>
          <c:order val="3"/>
          <c:tx>
            <c:strRef>
              <c:f>Sheet3!$E$1</c:f>
              <c:strCache>
                <c:ptCount val="1"/>
                <c:pt idx="0">
                  <c:v>Rel. Humi (%)</c:v>
                </c:pt>
              </c:strCache>
            </c:strRef>
          </c:tx>
          <c:invertIfNegative val="0"/>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Sheet3!$E$2:$E$13</c:f>
              <c:numCache>
                <c:formatCode>General</c:formatCode>
                <c:ptCount val="12"/>
                <c:pt idx="0">
                  <c:v>44</c:v>
                </c:pt>
                <c:pt idx="1">
                  <c:v>34.25</c:v>
                </c:pt>
                <c:pt idx="2">
                  <c:v>57.7</c:v>
                </c:pt>
                <c:pt idx="3">
                  <c:v>71.900000000000006</c:v>
                </c:pt>
                <c:pt idx="4">
                  <c:v>65.75</c:v>
                </c:pt>
                <c:pt idx="5">
                  <c:v>83.5</c:v>
                </c:pt>
                <c:pt idx="6">
                  <c:v>89</c:v>
                </c:pt>
                <c:pt idx="7">
                  <c:v>86.25</c:v>
                </c:pt>
                <c:pt idx="8">
                  <c:v>83.7</c:v>
                </c:pt>
                <c:pt idx="9">
                  <c:v>79</c:v>
                </c:pt>
                <c:pt idx="10">
                  <c:v>65</c:v>
                </c:pt>
                <c:pt idx="11">
                  <c:v>55</c:v>
                </c:pt>
              </c:numCache>
            </c:numRef>
          </c:val>
          <c:extLst>
            <c:ext xmlns:c16="http://schemas.microsoft.com/office/drawing/2014/chart" uri="{C3380CC4-5D6E-409C-BE32-E72D297353CC}">
              <c16:uniqueId val="{00000001-59EA-493F-BBF1-C52AFB7E7DE9}"/>
            </c:ext>
          </c:extLst>
        </c:ser>
        <c:dLbls>
          <c:showLegendKey val="0"/>
          <c:showVal val="0"/>
          <c:showCatName val="0"/>
          <c:showSerName val="0"/>
          <c:showPercent val="0"/>
          <c:showBubbleSize val="0"/>
        </c:dLbls>
        <c:gapWidth val="150"/>
        <c:axId val="475378304"/>
        <c:axId val="475378696"/>
      </c:barChart>
      <c:lineChart>
        <c:grouping val="standard"/>
        <c:varyColors val="0"/>
        <c:ser>
          <c:idx val="1"/>
          <c:order val="1"/>
          <c:tx>
            <c:strRef>
              <c:f>Sheet3!$C$1</c:f>
              <c:strCache>
                <c:ptCount val="1"/>
                <c:pt idx="0">
                  <c:v> Max. Temp (0C)</c:v>
                </c:pt>
              </c:strCache>
            </c:strRef>
          </c:tx>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Sheet3!$C$2:$C$13</c:f>
              <c:numCache>
                <c:formatCode>General</c:formatCode>
                <c:ptCount val="12"/>
                <c:pt idx="0">
                  <c:v>25.4</c:v>
                </c:pt>
                <c:pt idx="1">
                  <c:v>26.1</c:v>
                </c:pt>
                <c:pt idx="2">
                  <c:v>27</c:v>
                </c:pt>
                <c:pt idx="3">
                  <c:v>25</c:v>
                </c:pt>
                <c:pt idx="4">
                  <c:v>21.5</c:v>
                </c:pt>
                <c:pt idx="5">
                  <c:v>18.7</c:v>
                </c:pt>
                <c:pt idx="6">
                  <c:v>18</c:v>
                </c:pt>
                <c:pt idx="7">
                  <c:v>18.399999999999999</c:v>
                </c:pt>
                <c:pt idx="8">
                  <c:v>21.6</c:v>
                </c:pt>
                <c:pt idx="9">
                  <c:v>23.3</c:v>
                </c:pt>
                <c:pt idx="10">
                  <c:v>24.8</c:v>
                </c:pt>
                <c:pt idx="11">
                  <c:v>24.6</c:v>
                </c:pt>
              </c:numCache>
            </c:numRef>
          </c:val>
          <c:smooth val="0"/>
          <c:extLst>
            <c:ext xmlns:c16="http://schemas.microsoft.com/office/drawing/2014/chart" uri="{C3380CC4-5D6E-409C-BE32-E72D297353CC}">
              <c16:uniqueId val="{00000002-59EA-493F-BBF1-C52AFB7E7DE9}"/>
            </c:ext>
          </c:extLst>
        </c:ser>
        <c:ser>
          <c:idx val="2"/>
          <c:order val="2"/>
          <c:tx>
            <c:strRef>
              <c:f>Sheet3!$D$1</c:f>
              <c:strCache>
                <c:ptCount val="1"/>
                <c:pt idx="0">
                  <c:v>Min. Temp (0C)</c:v>
                </c:pt>
              </c:strCache>
            </c:strRef>
          </c:tx>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Sheet3!$D$2:$D$13</c:f>
              <c:numCache>
                <c:formatCode>General</c:formatCode>
                <c:ptCount val="12"/>
                <c:pt idx="0">
                  <c:v>11.26</c:v>
                </c:pt>
                <c:pt idx="1">
                  <c:v>12.72</c:v>
                </c:pt>
                <c:pt idx="2">
                  <c:v>14.4</c:v>
                </c:pt>
                <c:pt idx="3">
                  <c:v>12.5</c:v>
                </c:pt>
                <c:pt idx="4">
                  <c:v>9.5500000000000007</c:v>
                </c:pt>
                <c:pt idx="5">
                  <c:v>10.1</c:v>
                </c:pt>
                <c:pt idx="6">
                  <c:v>9.76</c:v>
                </c:pt>
                <c:pt idx="7">
                  <c:v>9.1300000000000008</c:v>
                </c:pt>
                <c:pt idx="8">
                  <c:v>9.9600000000000026</c:v>
                </c:pt>
                <c:pt idx="9">
                  <c:v>10.4</c:v>
                </c:pt>
                <c:pt idx="10">
                  <c:v>11.5</c:v>
                </c:pt>
                <c:pt idx="11">
                  <c:v>11.7</c:v>
                </c:pt>
              </c:numCache>
            </c:numRef>
          </c:val>
          <c:smooth val="0"/>
          <c:extLst>
            <c:ext xmlns:c16="http://schemas.microsoft.com/office/drawing/2014/chart" uri="{C3380CC4-5D6E-409C-BE32-E72D297353CC}">
              <c16:uniqueId val="{00000003-59EA-493F-BBF1-C52AFB7E7DE9}"/>
            </c:ext>
          </c:extLst>
        </c:ser>
        <c:dLbls>
          <c:showLegendKey val="0"/>
          <c:showVal val="0"/>
          <c:showCatName val="0"/>
          <c:showSerName val="0"/>
          <c:showPercent val="0"/>
          <c:showBubbleSize val="0"/>
        </c:dLbls>
        <c:marker val="1"/>
        <c:smooth val="0"/>
        <c:axId val="357083048"/>
        <c:axId val="357081088"/>
      </c:lineChart>
      <c:catAx>
        <c:axId val="475378304"/>
        <c:scaling>
          <c:orientation val="minMax"/>
        </c:scaling>
        <c:delete val="0"/>
        <c:axPos val="b"/>
        <c:numFmt formatCode="General" sourceLinked="0"/>
        <c:majorTickMark val="out"/>
        <c:minorTickMark val="none"/>
        <c:tickLblPos val="nextTo"/>
        <c:crossAx val="475378696"/>
        <c:crosses val="autoZero"/>
        <c:auto val="1"/>
        <c:lblAlgn val="ctr"/>
        <c:lblOffset val="100"/>
        <c:noMultiLvlLbl val="0"/>
      </c:catAx>
      <c:valAx>
        <c:axId val="475378696"/>
        <c:scaling>
          <c:orientation val="minMax"/>
        </c:scaling>
        <c:delete val="0"/>
        <c:axPos val="l"/>
        <c:majorGridlines/>
        <c:numFmt formatCode="General" sourceLinked="1"/>
        <c:majorTickMark val="out"/>
        <c:minorTickMark val="none"/>
        <c:tickLblPos val="nextTo"/>
        <c:crossAx val="475378304"/>
        <c:crosses val="autoZero"/>
        <c:crossBetween val="between"/>
      </c:valAx>
      <c:valAx>
        <c:axId val="357081088"/>
        <c:scaling>
          <c:orientation val="minMax"/>
        </c:scaling>
        <c:delete val="0"/>
        <c:axPos val="r"/>
        <c:numFmt formatCode="General" sourceLinked="1"/>
        <c:majorTickMark val="out"/>
        <c:minorTickMark val="none"/>
        <c:tickLblPos val="nextTo"/>
        <c:crossAx val="357083048"/>
        <c:crosses val="max"/>
        <c:crossBetween val="between"/>
      </c:valAx>
      <c:catAx>
        <c:axId val="357083048"/>
        <c:scaling>
          <c:orientation val="minMax"/>
        </c:scaling>
        <c:delete val="1"/>
        <c:axPos val="b"/>
        <c:numFmt formatCode="General" sourceLinked="1"/>
        <c:majorTickMark val="out"/>
        <c:minorTickMark val="none"/>
        <c:tickLblPos val="none"/>
        <c:crossAx val="357081088"/>
        <c:crosses val="autoZero"/>
        <c:auto val="1"/>
        <c:lblAlgn val="ctr"/>
        <c:lblOffset val="100"/>
        <c:noMultiLvlLbl val="0"/>
      </c:catAx>
    </c:plotArea>
    <c:legend>
      <c:legendPos val="r"/>
      <c:layout>
        <c:manualLayout>
          <c:xMode val="edge"/>
          <c:yMode val="edge"/>
          <c:x val="0.74696443379360578"/>
          <c:y val="0.38522823108650089"/>
          <c:w val="0.23673125641903559"/>
          <c:h val="0.31004507195221576"/>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a)</a:t>
            </a:r>
          </a:p>
        </c:rich>
      </c:tx>
      <c:overlay val="0"/>
    </c:title>
    <c:autoTitleDeleted val="0"/>
    <c:plotArea>
      <c:layout>
        <c:manualLayout>
          <c:layoutTarget val="inner"/>
          <c:xMode val="edge"/>
          <c:yMode val="edge"/>
          <c:x val="5.6553904575348722E-2"/>
          <c:y val="0.16760425780110821"/>
          <c:w val="0.63832966051093065"/>
          <c:h val="0.61086030912802569"/>
        </c:manualLayout>
      </c:layout>
      <c:barChart>
        <c:barDir val="col"/>
        <c:grouping val="clustered"/>
        <c:varyColors val="0"/>
        <c:ser>
          <c:idx val="3"/>
          <c:order val="0"/>
          <c:tx>
            <c:strRef>
              <c:f>Sheet3!$B$1</c:f>
              <c:strCache>
                <c:ptCount val="1"/>
                <c:pt idx="0">
                  <c:v>IVDMD (%)</c:v>
                </c:pt>
              </c:strCache>
            </c:strRef>
          </c:tx>
          <c:invertIfNegative val="0"/>
          <c:dLbls>
            <c:dLbl>
              <c:idx val="0"/>
              <c:layout>
                <c:manualLayout>
                  <c:x val="5.772005772005772E-3"/>
                  <c:y val="-6.9444444444444503E-2"/>
                </c:manualLayout>
              </c:layout>
              <c:tx>
                <c:rich>
                  <a:bodyPr/>
                  <a:lstStyle/>
                  <a:p>
                    <a:r>
                      <a:rPr lang="en-US" sz="1000" b="0" i="0" u="none" strike="noStrike" baseline="0">
                        <a:effectLst/>
                      </a:rPr>
                      <a:t>a</a:t>
                    </a:r>
                    <a:endParaRPr lang="en-US" baseline="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58-46D5-8C4C-A74E59FC82FA}"/>
                </c:ext>
              </c:extLst>
            </c:dLbl>
            <c:dLbl>
              <c:idx val="1"/>
              <c:layout>
                <c:manualLayout>
                  <c:x val="0"/>
                  <c:y val="-6.9444444444444503E-2"/>
                </c:manualLayout>
              </c:layout>
              <c:tx>
                <c:rich>
                  <a:bodyPr/>
                  <a:lstStyle/>
                  <a:p>
                    <a:r>
                      <a:rPr lang="en-US" sz="1050" baseline="0"/>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B58-46D5-8C4C-A74E59FC82FA}"/>
                </c:ext>
              </c:extLst>
            </c:dLbl>
            <c:dLbl>
              <c:idx val="2"/>
              <c:layout>
                <c:manualLayout>
                  <c:x val="8.6580086580087048E-3"/>
                  <c:y val="-7.8703703703703734E-2"/>
                </c:manualLayout>
              </c:layout>
              <c:tx>
                <c:rich>
                  <a:bodyPr/>
                  <a:lstStyle/>
                  <a:p>
                    <a:r>
                      <a:rPr lang="en-US" baseline="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B58-46D5-8C4C-A74E59FC82F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20"/>
          </c:errBars>
          <c:cat>
            <c:strRef>
              <c:f>Sheet3!$A$2:$A$4</c:f>
              <c:strCache>
                <c:ptCount val="3"/>
                <c:pt idx="0">
                  <c:v>Bonsa+c</c:v>
                </c:pt>
                <c:pt idx="1">
                  <c:v>Bareda+c</c:v>
                </c:pt>
                <c:pt idx="2">
                  <c:v>Bate+c</c:v>
                </c:pt>
              </c:strCache>
            </c:strRef>
          </c:cat>
          <c:val>
            <c:numRef>
              <c:f>Sheet3!$B$2:$B$4</c:f>
              <c:numCache>
                <c:formatCode>General</c:formatCode>
                <c:ptCount val="3"/>
                <c:pt idx="0">
                  <c:v>58.5</c:v>
                </c:pt>
                <c:pt idx="1">
                  <c:v>56.67</c:v>
                </c:pt>
                <c:pt idx="2">
                  <c:v>56.8</c:v>
                </c:pt>
              </c:numCache>
            </c:numRef>
          </c:val>
          <c:extLst>
            <c:ext xmlns:c16="http://schemas.microsoft.com/office/drawing/2014/chart" uri="{C3380CC4-5D6E-409C-BE32-E72D297353CC}">
              <c16:uniqueId val="{00000003-9B58-46D5-8C4C-A74E59FC82FA}"/>
            </c:ext>
          </c:extLst>
        </c:ser>
        <c:ser>
          <c:idx val="4"/>
          <c:order val="1"/>
          <c:tx>
            <c:strRef>
              <c:f>Sheet3!$C$1</c:f>
              <c:strCache>
                <c:ptCount val="1"/>
                <c:pt idx="0">
                  <c:v>IVOMD (%)</c:v>
                </c:pt>
              </c:strCache>
            </c:strRef>
          </c:tx>
          <c:invertIfNegative val="0"/>
          <c:dLbls>
            <c:dLbl>
              <c:idx val="0"/>
              <c:layout>
                <c:manualLayout>
                  <c:x val="1.9444440191504781E-2"/>
                  <c:y val="-4.6296296296296641E-3"/>
                </c:manualLayout>
              </c:layout>
              <c:tx>
                <c:rich>
                  <a:bodyPr/>
                  <a:lstStyle/>
                  <a:p>
                    <a:r>
                      <a:rPr lang="en-US" sz="1050" baseline="0">
                        <a:latin typeface="Times New Roman" panose="02020603050405020304" pitchFamily="18" charset="0"/>
                        <a:cs typeface="Times New Roman" panose="02020603050405020304" pitchFamily="18" charset="0"/>
                      </a:rPr>
                      <a:t>a</a:t>
                    </a:r>
                    <a:endParaRPr lang="en-US" sz="900" baseline="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B58-46D5-8C4C-A74E59FC82FA}"/>
                </c:ext>
              </c:extLst>
            </c:dLbl>
            <c:dLbl>
              <c:idx val="1"/>
              <c:layout>
                <c:manualLayout>
                  <c:x val="6.5466448445172104E-3"/>
                  <c:y val="6.0185185185185147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a:effectLst/>
                      </a:rPr>
                      <a:t>b</a:t>
                    </a:r>
                    <a:endParaRPr lang="en-US" sz="100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rich>
              </c:tx>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B58-46D5-8C4C-A74E59FC82FA}"/>
                </c:ext>
              </c:extLst>
            </c:dLbl>
            <c:dLbl>
              <c:idx val="2"/>
              <c:layout>
                <c:manualLayout>
                  <c:x val="2.2222217361720007E-2"/>
                  <c:y val="0"/>
                </c:manualLayout>
              </c:layout>
              <c:tx>
                <c:rich>
                  <a:bodyPr/>
                  <a:lstStyle/>
                  <a:p>
                    <a:r>
                      <a:rPr lang="en-US" baseline="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B58-46D5-8C4C-A74E59FC82F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plus"/>
            <c:errValType val="fixedVal"/>
            <c:noEndCap val="0"/>
            <c:val val="2"/>
          </c:errBars>
          <c:cat>
            <c:strRef>
              <c:f>Sheet3!$A$2:$A$4</c:f>
              <c:strCache>
                <c:ptCount val="3"/>
                <c:pt idx="0">
                  <c:v>Bonsa+c</c:v>
                </c:pt>
                <c:pt idx="1">
                  <c:v>Bareda+c</c:v>
                </c:pt>
                <c:pt idx="2">
                  <c:v>Bate+c</c:v>
                </c:pt>
              </c:strCache>
            </c:strRef>
          </c:cat>
          <c:val>
            <c:numRef>
              <c:f>Sheet3!$C$2:$C$4</c:f>
              <c:numCache>
                <c:formatCode>General</c:formatCode>
                <c:ptCount val="3"/>
                <c:pt idx="0">
                  <c:v>56.42</c:v>
                </c:pt>
                <c:pt idx="1">
                  <c:v>53.2</c:v>
                </c:pt>
                <c:pt idx="2">
                  <c:v>55.08</c:v>
                </c:pt>
              </c:numCache>
            </c:numRef>
          </c:val>
          <c:extLst>
            <c:ext xmlns:c16="http://schemas.microsoft.com/office/drawing/2014/chart" uri="{C3380CC4-5D6E-409C-BE32-E72D297353CC}">
              <c16:uniqueId val="{00000007-9B58-46D5-8C4C-A74E59FC82FA}"/>
            </c:ext>
          </c:extLst>
        </c:ser>
        <c:ser>
          <c:idx val="5"/>
          <c:order val="2"/>
          <c:tx>
            <c:strRef>
              <c:f>Sheet3!$D$1</c:f>
              <c:strCache>
                <c:ptCount val="1"/>
                <c:pt idx="0">
                  <c:v>ME(MJ kg-1 DM)</c:v>
                </c:pt>
              </c:strCache>
            </c:strRef>
          </c:tx>
          <c:invertIfNegative val="0"/>
          <c:dLbls>
            <c:dLbl>
              <c:idx val="0"/>
              <c:tx>
                <c:rich>
                  <a:bodyPr/>
                  <a:lstStyle/>
                  <a:p>
                    <a:r>
                      <a:rPr lang="en-US" sz="1000" b="0" i="0" u="none" strike="noStrike" baseline="0">
                        <a:effectLst/>
                      </a:rPr>
                      <a:t>a</a:t>
                    </a:r>
                    <a:endParaRPr lang="en-US"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B58-46D5-8C4C-A74E59FC82FA}"/>
                </c:ext>
              </c:extLst>
            </c:dLbl>
            <c:dLbl>
              <c:idx val="1"/>
              <c:layout>
                <c:manualLayout>
                  <c:x val="2.1822149481724299E-3"/>
                  <c:y val="0"/>
                </c:manualLayout>
              </c:layout>
              <c:tx>
                <c:rich>
                  <a:bodyPr/>
                  <a:lstStyle/>
                  <a:p>
                    <a:r>
                      <a:rPr lang="en-US" sz="1100" b="0" i="0" baseline="0">
                        <a:effectLst/>
                      </a:rPr>
                      <a:t>b</a:t>
                    </a:r>
                    <a:endParaRPr lang="en-US" sz="1100" baseline="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B58-46D5-8C4C-A74E59FC82FA}"/>
                </c:ext>
              </c:extLst>
            </c:dLbl>
            <c:dLbl>
              <c:idx val="2"/>
              <c:tx>
                <c:rich>
                  <a:bodyPr/>
                  <a:lstStyle/>
                  <a:p>
                    <a:r>
                      <a:rPr lang="en-US" baseline="0"/>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B58-46D5-8C4C-A74E59FC82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plus"/>
            <c:errValType val="fixedVal"/>
            <c:noEndCap val="0"/>
            <c:val val="0.5"/>
          </c:errBars>
          <c:cat>
            <c:strRef>
              <c:f>Sheet3!$A$2:$A$4</c:f>
              <c:strCache>
                <c:ptCount val="3"/>
                <c:pt idx="0">
                  <c:v>Bonsa+c</c:v>
                </c:pt>
                <c:pt idx="1">
                  <c:v>Bareda+c</c:v>
                </c:pt>
                <c:pt idx="2">
                  <c:v>Bate+c</c:v>
                </c:pt>
              </c:strCache>
            </c:strRef>
          </c:cat>
          <c:val>
            <c:numRef>
              <c:f>Sheet3!$D$2:$D$4</c:f>
              <c:numCache>
                <c:formatCode>General</c:formatCode>
                <c:ptCount val="3"/>
                <c:pt idx="0">
                  <c:v>8.4600000000000026</c:v>
                </c:pt>
                <c:pt idx="1">
                  <c:v>8.14</c:v>
                </c:pt>
                <c:pt idx="2">
                  <c:v>8.26</c:v>
                </c:pt>
              </c:numCache>
            </c:numRef>
          </c:val>
          <c:extLst>
            <c:ext xmlns:c16="http://schemas.microsoft.com/office/drawing/2014/chart" uri="{C3380CC4-5D6E-409C-BE32-E72D297353CC}">
              <c16:uniqueId val="{0000000B-9B58-46D5-8C4C-A74E59FC82FA}"/>
            </c:ext>
          </c:extLst>
        </c:ser>
        <c:dLbls>
          <c:showLegendKey val="0"/>
          <c:showVal val="0"/>
          <c:showCatName val="0"/>
          <c:showSerName val="0"/>
          <c:showPercent val="0"/>
          <c:showBubbleSize val="0"/>
        </c:dLbls>
        <c:gapWidth val="150"/>
        <c:overlap val="-10"/>
        <c:axId val="357083440"/>
        <c:axId val="357083832"/>
      </c:barChart>
      <c:catAx>
        <c:axId val="357083440"/>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Varieties</a:t>
                </a:r>
                <a:r>
                  <a:rPr lang="en-US" sz="1200" baseline="0">
                    <a:latin typeface="Times New Roman" panose="02020603050405020304" pitchFamily="18" charset="0"/>
                    <a:cs typeface="Times New Roman" panose="02020603050405020304" pitchFamily="18" charset="0"/>
                  </a:rPr>
                  <a:t>  intrcropped</a:t>
                </a:r>
                <a:endParaRPr lang="en-US" sz="1200">
                  <a:latin typeface="Times New Roman" panose="02020603050405020304" pitchFamily="18" charset="0"/>
                  <a:cs typeface="Times New Roman" panose="02020603050405020304" pitchFamily="18" charset="0"/>
                </a:endParaRPr>
              </a:p>
            </c:rich>
          </c:tx>
          <c:layout>
            <c:manualLayout>
              <c:xMode val="edge"/>
              <c:yMode val="edge"/>
              <c:x val="0.32722450610204373"/>
              <c:y val="0.87868037328667681"/>
            </c:manualLayout>
          </c:layout>
          <c:overlay val="0"/>
        </c:title>
        <c:numFmt formatCode="General" sourceLinked="0"/>
        <c:majorTickMark val="out"/>
        <c:minorTickMark val="none"/>
        <c:tickLblPos val="nextTo"/>
        <c:crossAx val="357083832"/>
        <c:crosses val="autoZero"/>
        <c:auto val="1"/>
        <c:lblAlgn val="ctr"/>
        <c:lblOffset val="100"/>
        <c:noMultiLvlLbl val="0"/>
      </c:catAx>
      <c:valAx>
        <c:axId val="357083832"/>
        <c:scaling>
          <c:orientation val="minMax"/>
        </c:scaling>
        <c:delete val="0"/>
        <c:axPos val="l"/>
        <c:numFmt formatCode="General" sourceLinked="1"/>
        <c:majorTickMark val="out"/>
        <c:minorTickMark val="none"/>
        <c:tickLblPos val="nextTo"/>
        <c:crossAx val="357083440"/>
        <c:crosses val="autoZero"/>
        <c:crossBetween val="between"/>
      </c:valAx>
    </c:plotArea>
    <c:legend>
      <c:legendPos val="r"/>
      <c:layout>
        <c:manualLayout>
          <c:xMode val="edge"/>
          <c:yMode val="edge"/>
          <c:x val="0.61855471455898958"/>
          <c:y val="0.37234069699621125"/>
          <c:w val="0.29803079699783508"/>
          <c:h val="0.2511515748031495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t>
            </a:r>
          </a:p>
        </c:rich>
      </c:tx>
      <c:overlay val="0"/>
    </c:title>
    <c:autoTitleDeleted val="0"/>
    <c:plotArea>
      <c:layout>
        <c:manualLayout>
          <c:layoutTarget val="inner"/>
          <c:xMode val="edge"/>
          <c:yMode val="edge"/>
          <c:x val="0.12352132317567097"/>
          <c:y val="8.2763216241804979E-2"/>
          <c:w val="0.65532989064703928"/>
          <c:h val="0.63149570589390613"/>
        </c:manualLayout>
      </c:layout>
      <c:barChart>
        <c:barDir val="col"/>
        <c:grouping val="clustered"/>
        <c:varyColors val="0"/>
        <c:ser>
          <c:idx val="3"/>
          <c:order val="0"/>
          <c:tx>
            <c:strRef>
              <c:f>Sheet3!$B$1</c:f>
              <c:strCache>
                <c:ptCount val="1"/>
                <c:pt idx="0">
                  <c:v>IVDMD (%)</c:v>
                </c:pt>
              </c:strCache>
            </c:strRef>
          </c:tx>
          <c:invertIfNegative val="0"/>
          <c:dLbls>
            <c:dLbl>
              <c:idx val="0"/>
              <c:layout>
                <c:manualLayout>
                  <c:x val="0"/>
                  <c:y val="-7.8703703703703734E-2"/>
                </c:manualLayout>
              </c:layout>
              <c:tx>
                <c:rich>
                  <a:bodyPr/>
                  <a:lstStyle/>
                  <a:p>
                    <a:r>
                      <a:rPr lang="en-US" baseline="0"/>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51C-44DF-BAFB-10A55FA77D6C}"/>
                </c:ext>
              </c:extLst>
            </c:dLbl>
            <c:dLbl>
              <c:idx val="1"/>
              <c:layout>
                <c:manualLayout>
                  <c:x val="0"/>
                  <c:y val="-6.9444444444444434E-2"/>
                </c:manualLayout>
              </c:layout>
              <c:tx>
                <c:rich>
                  <a:bodyPr/>
                  <a:lstStyle/>
                  <a:p>
                    <a:r>
                      <a:rPr lang="en-US" sz="1200" baseline="0">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51C-44DF-BAFB-10A55FA77D6C}"/>
                </c:ext>
              </c:extLst>
            </c:dLbl>
            <c:dLbl>
              <c:idx val="2"/>
              <c:layout>
                <c:manualLayout>
                  <c:x val="-8.6375130966074538E-17"/>
                  <c:y val="-6.9444444444444434E-2"/>
                </c:manualLayout>
              </c:layout>
              <c:tx>
                <c:rich>
                  <a:bodyPr/>
                  <a:lstStyle/>
                  <a:p>
                    <a:r>
                      <a:rPr lang="en-US" sz="1200" baseline="0">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51C-44DF-BAFB-10A55FA77D6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fixedVal"/>
            <c:noEndCap val="0"/>
            <c:val val="10"/>
          </c:errBars>
          <c:cat>
            <c:numRef>
              <c:f>Sheet3!$A$7:$A$9</c:f>
              <c:numCache>
                <c:formatCode>h:mm</c:formatCode>
                <c:ptCount val="3"/>
                <c:pt idx="0">
                  <c:v>4.236111111111155E-2</c:v>
                </c:pt>
                <c:pt idx="1">
                  <c:v>4.3055555555555375E-2</c:v>
                </c:pt>
                <c:pt idx="2">
                  <c:v>8.4027777777777771E-2</c:v>
                </c:pt>
              </c:numCache>
            </c:numRef>
          </c:cat>
          <c:val>
            <c:numRef>
              <c:f>Sheet3!$B$7:$B$9</c:f>
              <c:numCache>
                <c:formatCode>General</c:formatCode>
                <c:ptCount val="3"/>
                <c:pt idx="0">
                  <c:v>57.3</c:v>
                </c:pt>
                <c:pt idx="1">
                  <c:v>58.8</c:v>
                </c:pt>
                <c:pt idx="2">
                  <c:v>55.9</c:v>
                </c:pt>
              </c:numCache>
            </c:numRef>
          </c:val>
          <c:extLst>
            <c:ext xmlns:c16="http://schemas.microsoft.com/office/drawing/2014/chart" uri="{C3380CC4-5D6E-409C-BE32-E72D297353CC}">
              <c16:uniqueId val="{00000003-551C-44DF-BAFB-10A55FA77D6C}"/>
            </c:ext>
          </c:extLst>
        </c:ser>
        <c:ser>
          <c:idx val="0"/>
          <c:order val="1"/>
          <c:tx>
            <c:strRef>
              <c:f>Sheet3!$C$1</c:f>
              <c:strCache>
                <c:ptCount val="1"/>
                <c:pt idx="0">
                  <c:v>IVOMD (%)</c:v>
                </c:pt>
              </c:strCache>
            </c:strRef>
          </c:tx>
          <c:invertIfNegative val="0"/>
          <c:dLbls>
            <c:dLbl>
              <c:idx val="0"/>
              <c:layout>
                <c:manualLayout>
                  <c:x val="0"/>
                  <c:y val="4.5197740112994364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a:effectLst/>
                      </a:rPr>
                      <a:t>b</a:t>
                    </a:r>
                    <a:endParaRPr lang="en-US" sz="100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51C-44DF-BAFB-10A55FA77D6C}"/>
                </c:ext>
              </c:extLst>
            </c:dLbl>
            <c:dLbl>
              <c:idx val="1"/>
              <c:tx>
                <c:rich>
                  <a:bodyPr/>
                  <a:lstStyle/>
                  <a:p>
                    <a:r>
                      <a:rPr lang="en-US" sz="1200" baseline="0"/>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1C-44DF-BAFB-10A55FA77D6C}"/>
                </c:ext>
              </c:extLst>
            </c:dLbl>
            <c:dLbl>
              <c:idx val="2"/>
              <c:tx>
                <c:rich>
                  <a:bodyPr/>
                  <a:lstStyle/>
                  <a:p>
                    <a:r>
                      <a:rPr lang="en-US" sz="1200" baseline="0"/>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51C-44DF-BAFB-10A55FA77D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val>
            <c:numRef>
              <c:f>Sheet3!$C$7:$C$9</c:f>
              <c:numCache>
                <c:formatCode>General</c:formatCode>
                <c:ptCount val="3"/>
                <c:pt idx="0">
                  <c:v>54.4</c:v>
                </c:pt>
                <c:pt idx="1">
                  <c:v>57.2</c:v>
                </c:pt>
                <c:pt idx="2">
                  <c:v>54.1</c:v>
                </c:pt>
              </c:numCache>
            </c:numRef>
          </c:val>
          <c:extLst>
            <c:ext xmlns:c16="http://schemas.microsoft.com/office/drawing/2014/chart" uri="{C3380CC4-5D6E-409C-BE32-E72D297353CC}">
              <c16:uniqueId val="{00000007-551C-44DF-BAFB-10A55FA77D6C}"/>
            </c:ext>
          </c:extLst>
        </c:ser>
        <c:ser>
          <c:idx val="1"/>
          <c:order val="2"/>
          <c:tx>
            <c:strRef>
              <c:f>Sheet3!$D$1</c:f>
              <c:strCache>
                <c:ptCount val="1"/>
                <c:pt idx="0">
                  <c:v>ME(MJ kg-1 DM)</c:v>
                </c:pt>
              </c:strCache>
            </c:strRef>
          </c:tx>
          <c:invertIfNegative val="0"/>
          <c:dLbls>
            <c:dLbl>
              <c:idx val="0"/>
              <c:tx>
                <c:rich>
                  <a:bodyPr/>
                  <a:lstStyle/>
                  <a:p>
                    <a:r>
                      <a:rPr lang="en-US" baseline="0"/>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51C-44DF-BAFB-10A55FA77D6C}"/>
                </c:ext>
              </c:extLst>
            </c:dLbl>
            <c:dLbl>
              <c:idx val="1"/>
              <c:layout>
                <c:manualLayout>
                  <c:x val="0"/>
                  <c:y val="0"/>
                </c:manualLayout>
              </c:layout>
              <c:tx>
                <c:rich>
                  <a:bodyPr/>
                  <a:lstStyle/>
                  <a:p>
                    <a:r>
                      <a:rPr lang="en-US" sz="1100" baseline="0"/>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51C-44DF-BAFB-10A55FA77D6C}"/>
                </c:ext>
              </c:extLst>
            </c:dLbl>
            <c:dLbl>
              <c:idx val="2"/>
              <c:tx>
                <c:rich>
                  <a:bodyPr/>
                  <a:lstStyle/>
                  <a:p>
                    <a:r>
                      <a:rPr lang="en-US" sz="1200" baseline="0"/>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51C-44DF-BAFB-10A55FA77D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val>
            <c:numRef>
              <c:f>Sheet3!$D$7:$D$9</c:f>
              <c:numCache>
                <c:formatCode>General</c:formatCode>
                <c:ptCount val="3"/>
                <c:pt idx="0">
                  <c:v>8.17</c:v>
                </c:pt>
                <c:pt idx="1">
                  <c:v>8.58</c:v>
                </c:pt>
                <c:pt idx="2">
                  <c:v>8.11</c:v>
                </c:pt>
              </c:numCache>
            </c:numRef>
          </c:val>
          <c:extLst>
            <c:ext xmlns:c16="http://schemas.microsoft.com/office/drawing/2014/chart" uri="{C3380CC4-5D6E-409C-BE32-E72D297353CC}">
              <c16:uniqueId val="{0000000B-551C-44DF-BAFB-10A55FA77D6C}"/>
            </c:ext>
          </c:extLst>
        </c:ser>
        <c:dLbls>
          <c:showLegendKey val="0"/>
          <c:showVal val="1"/>
          <c:showCatName val="0"/>
          <c:showSerName val="0"/>
          <c:showPercent val="0"/>
          <c:showBubbleSize val="0"/>
        </c:dLbls>
        <c:gapWidth val="150"/>
        <c:overlap val="-10"/>
        <c:axId val="357085008"/>
        <c:axId val="357081480"/>
      </c:barChart>
      <c:catAx>
        <c:axId val="357085008"/>
        <c:scaling>
          <c:orientation val="minMax"/>
        </c:scaling>
        <c:delete val="0"/>
        <c:axPos val="b"/>
        <c:title>
          <c:tx>
            <c:rich>
              <a:bodyPr/>
              <a:lstStyle/>
              <a:p>
                <a:pPr>
                  <a:defRPr/>
                </a:pPr>
                <a:r>
                  <a:rPr lang="en-US" sz="1050">
                    <a:latin typeface="Times New Roman" panose="02020603050405020304" pitchFamily="18" charset="0"/>
                    <a:cs typeface="Times New Roman" panose="02020603050405020304" pitchFamily="18" charset="0"/>
                  </a:rPr>
                  <a:t>Row Arrangement</a:t>
                </a:r>
                <a:r>
                  <a:rPr lang="en-US" sz="1050" baseline="0">
                    <a:latin typeface="Times New Roman" panose="02020603050405020304" pitchFamily="18" charset="0"/>
                    <a:cs typeface="Times New Roman" panose="02020603050405020304" pitchFamily="18" charset="0"/>
                  </a:rPr>
                  <a:t> intercropped</a:t>
                </a:r>
                <a:endParaRPr lang="en-US" sz="1050">
                  <a:latin typeface="Times New Roman" panose="02020603050405020304" pitchFamily="18" charset="0"/>
                  <a:cs typeface="Times New Roman" panose="02020603050405020304" pitchFamily="18" charset="0"/>
                </a:endParaRPr>
              </a:p>
            </c:rich>
          </c:tx>
          <c:overlay val="0"/>
        </c:title>
        <c:numFmt formatCode="h:mm" sourceLinked="1"/>
        <c:majorTickMark val="out"/>
        <c:minorTickMark val="none"/>
        <c:tickLblPos val="nextTo"/>
        <c:crossAx val="357081480"/>
        <c:crosses val="autoZero"/>
        <c:auto val="1"/>
        <c:lblAlgn val="ctr"/>
        <c:lblOffset val="100"/>
        <c:noMultiLvlLbl val="0"/>
      </c:catAx>
      <c:valAx>
        <c:axId val="357081480"/>
        <c:scaling>
          <c:orientation val="minMax"/>
        </c:scaling>
        <c:delete val="0"/>
        <c:axPos val="l"/>
        <c:numFmt formatCode="General" sourceLinked="1"/>
        <c:majorTickMark val="out"/>
        <c:minorTickMark val="none"/>
        <c:tickLblPos val="nextTo"/>
        <c:crossAx val="357085008"/>
        <c:crosses val="autoZero"/>
        <c:crossBetween val="between"/>
        <c:majorUnit val="30"/>
      </c:valAx>
    </c:plotArea>
    <c:legend>
      <c:legendPos val="r"/>
      <c:layout>
        <c:manualLayout>
          <c:xMode val="edge"/>
          <c:yMode val="edge"/>
          <c:x val="0.70754745634017224"/>
          <c:y val="0.33384648347528362"/>
          <c:w val="0.24606149743810612"/>
          <c:h val="0.24602603246022986"/>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en-US"/>
              <a:t>c)</a:t>
            </a:r>
          </a:p>
        </c:rich>
      </c:tx>
      <c:layout>
        <c:manualLayout>
          <c:xMode val="edge"/>
          <c:yMode val="edge"/>
          <c:x val="0.4061829652996895"/>
          <c:y val="0"/>
        </c:manualLayout>
      </c:layout>
      <c:overlay val="0"/>
    </c:title>
    <c:autoTitleDeleted val="0"/>
    <c:plotArea>
      <c:layout>
        <c:manualLayout>
          <c:layoutTarget val="inner"/>
          <c:xMode val="edge"/>
          <c:yMode val="edge"/>
          <c:x val="5.5627153979620585E-2"/>
          <c:y val="5.1400554097404488E-2"/>
          <c:w val="0.8043834508838057"/>
          <c:h val="0.59950459317585258"/>
        </c:manualLayout>
      </c:layout>
      <c:barChart>
        <c:barDir val="col"/>
        <c:grouping val="clustered"/>
        <c:varyColors val="0"/>
        <c:ser>
          <c:idx val="3"/>
          <c:order val="0"/>
          <c:tx>
            <c:strRef>
              <c:f>Sheet3!$B$1</c:f>
              <c:strCache>
                <c:ptCount val="1"/>
                <c:pt idx="0">
                  <c:v>IVDMD (%)</c:v>
                </c:pt>
              </c:strCache>
            </c:strRef>
          </c:tx>
          <c:invertIfNegative val="0"/>
          <c:dLbls>
            <c:dLbl>
              <c:idx val="0"/>
              <c:tx>
                <c:rich>
                  <a:bodyPr/>
                  <a:lstStyle/>
                  <a:p>
                    <a:r>
                      <a:rPr lang="en-US" sz="1050" baseline="0"/>
                      <a:t>b</a:t>
                    </a:r>
                    <a:endParaRPr lang="en-US" baseline="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859-49FC-9E6D-25D053E46706}"/>
                </c:ext>
              </c:extLst>
            </c:dLbl>
            <c:dLbl>
              <c:idx val="1"/>
              <c:tx>
                <c:rich>
                  <a:bodyPr/>
                  <a:lstStyle/>
                  <a:p>
                    <a:r>
                      <a:rPr lang="en-US" sz="1050" baseline="0"/>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59-49FC-9E6D-25D053E46706}"/>
                </c:ext>
              </c:extLst>
            </c:dLbl>
            <c:dLbl>
              <c:idx val="2"/>
              <c:tx>
                <c:rich>
                  <a:bodyPr/>
                  <a:lstStyle/>
                  <a:p>
                    <a:r>
                      <a:rPr lang="en-US" sz="1200" baseline="0"/>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859-49FC-9E6D-25D053E46706}"/>
                </c:ext>
              </c:extLst>
            </c:dLbl>
            <c:dLbl>
              <c:idx val="3"/>
              <c:tx>
                <c:rich>
                  <a:bodyPr/>
                  <a:lstStyle/>
                  <a:p>
                    <a:r>
                      <a:rPr lang="en-US" sz="1200" baseline="0"/>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59-49FC-9E6D-25D053E46706}"/>
                </c:ext>
              </c:extLst>
            </c:dLbl>
            <c:dLbl>
              <c:idx val="4"/>
              <c:tx>
                <c:rich>
                  <a:bodyPr/>
                  <a:lstStyle/>
                  <a:p>
                    <a:r>
                      <a:rPr lang="en-US" sz="1200" baseline="0"/>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859-49FC-9E6D-25D053E46706}"/>
                </c:ext>
              </c:extLst>
            </c:dLbl>
            <c:dLbl>
              <c:idx val="5"/>
              <c:tx>
                <c:rich>
                  <a:bodyPr/>
                  <a:lstStyle/>
                  <a:p>
                    <a:r>
                      <a:rPr lang="en-US" sz="1200" baseline="0"/>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859-49FC-9E6D-25D053E46706}"/>
                </c:ext>
              </c:extLst>
            </c:dLbl>
            <c:dLbl>
              <c:idx val="6"/>
              <c:tx>
                <c:rich>
                  <a:bodyPr/>
                  <a:lstStyle/>
                  <a:p>
                    <a:r>
                      <a:rPr lang="en-US" sz="1200" baseline="0"/>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859-49FC-9E6D-25D053E46706}"/>
                </c:ext>
              </c:extLst>
            </c:dLbl>
            <c:dLbl>
              <c:idx val="7"/>
              <c:tx>
                <c:rich>
                  <a:bodyPr/>
                  <a:lstStyle/>
                  <a:p>
                    <a:r>
                      <a:rPr lang="en-US" sz="1200" baseline="0"/>
                      <a:t>b</a:t>
                    </a:r>
                    <a:r>
                      <a:rPr lang="en-US" baseline="0"/>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859-49FC-9E6D-25D053E46706}"/>
                </c:ext>
              </c:extLst>
            </c:dLbl>
            <c:dLbl>
              <c:idx val="8"/>
              <c:tx>
                <c:rich>
                  <a:bodyPr/>
                  <a:lstStyle/>
                  <a:p>
                    <a:r>
                      <a:rPr lang="en-US" sz="1200" baseline="0"/>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859-49FC-9E6D-25D053E46706}"/>
                </c:ext>
              </c:extLst>
            </c:dLbl>
            <c:spPr>
              <a:noFill/>
              <a:ln>
                <a:noFill/>
              </a:ln>
            </c:spPr>
            <c:txPr>
              <a:bodyPr/>
              <a:lstStyle/>
              <a:p>
                <a:pPr>
                  <a:defRPr sz="1050" b="0">
                    <a:ln>
                      <a:solidFill>
                        <a:schemeClr val="tx1"/>
                      </a:solidFill>
                    </a:ln>
                    <a:solidFill>
                      <a:schemeClr val="tx1"/>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Sheet3!$A$12:$A$20</c:f>
              <c:strCache>
                <c:ptCount val="9"/>
                <c:pt idx="0">
                  <c:v>Bonsa+c*1:1(T1)</c:v>
                </c:pt>
                <c:pt idx="1">
                  <c:v>Bonsa+c*1:2 (T2)</c:v>
                </c:pt>
                <c:pt idx="2">
                  <c:v>Bonsa+c*2:1 (T3)</c:v>
                </c:pt>
                <c:pt idx="3">
                  <c:v>Bareda+c*1:1 (T8)</c:v>
                </c:pt>
                <c:pt idx="4">
                  <c:v>Bareda +c*1:2 (T9)</c:v>
                </c:pt>
                <c:pt idx="5">
                  <c:v>Bareda +c*2:1 (T7)</c:v>
                </c:pt>
                <c:pt idx="6">
                  <c:v>Bate+C*1:1 (T5)</c:v>
                </c:pt>
                <c:pt idx="7">
                  <c:v>Bate+C*1:2 (T6)</c:v>
                </c:pt>
                <c:pt idx="8">
                  <c:v>Bate+C*2:1 (T4)</c:v>
                </c:pt>
              </c:strCache>
            </c:strRef>
          </c:cat>
          <c:val>
            <c:numRef>
              <c:f>Sheet3!$B$12:$B$20</c:f>
              <c:numCache>
                <c:formatCode>General</c:formatCode>
                <c:ptCount val="9"/>
                <c:pt idx="0">
                  <c:v>58.5</c:v>
                </c:pt>
                <c:pt idx="1">
                  <c:v>60.4</c:v>
                </c:pt>
                <c:pt idx="2">
                  <c:v>56.53</c:v>
                </c:pt>
                <c:pt idx="3">
                  <c:v>56.690000000000012</c:v>
                </c:pt>
                <c:pt idx="4">
                  <c:v>58.59</c:v>
                </c:pt>
                <c:pt idx="5">
                  <c:v>54.7</c:v>
                </c:pt>
                <c:pt idx="6">
                  <c:v>56.6</c:v>
                </c:pt>
                <c:pt idx="7">
                  <c:v>57.38</c:v>
                </c:pt>
                <c:pt idx="8">
                  <c:v>56.59</c:v>
                </c:pt>
              </c:numCache>
            </c:numRef>
          </c:val>
          <c:extLst>
            <c:ext xmlns:c16="http://schemas.microsoft.com/office/drawing/2014/chart" uri="{C3380CC4-5D6E-409C-BE32-E72D297353CC}">
              <c16:uniqueId val="{00000009-7859-49FC-9E6D-25D053E46706}"/>
            </c:ext>
          </c:extLst>
        </c:ser>
        <c:ser>
          <c:idx val="4"/>
          <c:order val="1"/>
          <c:tx>
            <c:strRef>
              <c:f>Sheet3!$C$1</c:f>
              <c:strCache>
                <c:ptCount val="1"/>
                <c:pt idx="0">
                  <c:v>IVOMD (%)</c:v>
                </c:pt>
              </c:strCache>
            </c:strRef>
          </c:tx>
          <c:invertIfNegative val="0"/>
          <c:dLbls>
            <c:dLbl>
              <c:idx val="0"/>
              <c:layout>
                <c:manualLayout>
                  <c:x val="0"/>
                  <c:y val="-0.12037037037037036"/>
                </c:manualLayout>
              </c:layout>
              <c:tx>
                <c:rich>
                  <a:bodyPr/>
                  <a:lstStyle/>
                  <a:p>
                    <a:r>
                      <a:rPr lang="en-US" baseline="0">
                        <a:latin typeface="Times New Roman" panose="02020603050405020304" pitchFamily="18" charset="0"/>
                        <a:cs typeface="Times New Roman" panose="02020603050405020304" pitchFamily="18" charset="0"/>
                      </a:rPr>
                      <a:t>bc</a:t>
                    </a:r>
                    <a:endParaRPr lang="en-US"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859-49FC-9E6D-25D053E46706}"/>
                </c:ext>
              </c:extLst>
            </c:dLbl>
            <c:dLbl>
              <c:idx val="1"/>
              <c:layout>
                <c:manualLayout>
                  <c:x val="1.4020329477742741E-3"/>
                  <c:y val="-0.1111111111111111"/>
                </c:manualLayout>
              </c:layout>
              <c:tx>
                <c:rich>
                  <a:bodyPr/>
                  <a:lstStyle/>
                  <a:p>
                    <a:r>
                      <a:rPr lang="en-US" sz="1050" baseline="0">
                        <a:latin typeface="Times New Roman" panose="02020603050405020304" pitchFamily="18" charset="0"/>
                        <a:cs typeface="Times New Roman" panose="02020603050405020304" pitchFamily="18" charset="0"/>
                      </a:rPr>
                      <a:t>a</a:t>
                    </a:r>
                    <a:endParaRPr lang="en-US" sz="1050"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859-49FC-9E6D-25D053E46706}"/>
                </c:ext>
              </c:extLst>
            </c:dLbl>
            <c:dLbl>
              <c:idx val="2"/>
              <c:layout>
                <c:manualLayout>
                  <c:x val="0"/>
                  <c:y val="-0.12037037037037036"/>
                </c:manualLayout>
              </c:layout>
              <c:tx>
                <c:rich>
                  <a:bodyPr/>
                  <a:lstStyle/>
                  <a:p>
                    <a:r>
                      <a:rPr lang="en-US" baseline="0">
                        <a:latin typeface="Times New Roman" panose="02020603050405020304" pitchFamily="18" charset="0"/>
                        <a:cs typeface="Times New Roman" panose="02020603050405020304" pitchFamily="18" charset="0"/>
                      </a:rPr>
                      <a:t>cd</a:t>
                    </a:r>
                    <a:endParaRPr lang="en-US"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859-49FC-9E6D-25D053E46706}"/>
                </c:ext>
              </c:extLst>
            </c:dLbl>
            <c:dLbl>
              <c:idx val="3"/>
              <c:layout>
                <c:manualLayout>
                  <c:x val="0"/>
                  <c:y val="-0.11574110527850746"/>
                </c:manualLayout>
              </c:layout>
              <c:tx>
                <c:rich>
                  <a:bodyPr/>
                  <a:lstStyle/>
                  <a:p>
                    <a:r>
                      <a:rPr lang="en-US" sz="1200" baseline="0">
                        <a:latin typeface="Times New Roman" panose="02020603050405020304" pitchFamily="18" charset="0"/>
                        <a:cs typeface="Times New Roman" panose="02020603050405020304" pitchFamily="18" charset="0"/>
                      </a:rPr>
                      <a:t>de</a:t>
                    </a:r>
                    <a:endParaRPr lang="en-US" sz="1200"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859-49FC-9E6D-25D053E46706}"/>
                </c:ext>
              </c:extLst>
            </c:dLbl>
            <c:dLbl>
              <c:idx val="4"/>
              <c:layout>
                <c:manualLayout>
                  <c:x val="-1.4020329477742281E-3"/>
                  <c:y val="-0.11574074074074125"/>
                </c:manualLayout>
              </c:layout>
              <c:tx>
                <c:rich>
                  <a:bodyPr/>
                  <a:lstStyle/>
                  <a:p>
                    <a:r>
                      <a:rPr lang="en-US" sz="1200" baseline="0">
                        <a:latin typeface="Times New Roman" panose="02020603050405020304" pitchFamily="18" charset="0"/>
                        <a:cs typeface="Times New Roman" panose="02020603050405020304" pitchFamily="18" charset="0"/>
                      </a:rPr>
                      <a:t>b</a:t>
                    </a:r>
                    <a:endParaRPr lang="en-US" sz="1200"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859-49FC-9E6D-25D053E46706}"/>
                </c:ext>
              </c:extLst>
            </c:dLbl>
            <c:dLbl>
              <c:idx val="5"/>
              <c:layout>
                <c:manualLayout>
                  <c:x val="-2.3705396446895379E-3"/>
                  <c:y val="-0.125"/>
                </c:manualLayout>
              </c:layout>
              <c:tx>
                <c:rich>
                  <a:bodyPr/>
                  <a:lstStyle/>
                  <a:p>
                    <a:r>
                      <a:rPr lang="en-US" sz="1200" baseline="0">
                        <a:latin typeface="Times New Roman" panose="02020603050405020304" pitchFamily="18" charset="0"/>
                        <a:cs typeface="Times New Roman" panose="02020603050405020304" pitchFamily="18" charset="0"/>
                      </a:rPr>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859-49FC-9E6D-25D053E46706}"/>
                </c:ext>
              </c:extLst>
            </c:dLbl>
            <c:dLbl>
              <c:idx val="6"/>
              <c:layout>
                <c:manualLayout>
                  <c:x val="-2.6934488078580081E-3"/>
                  <c:y val="-0.12499999999999999"/>
                </c:manualLayout>
              </c:layout>
              <c:tx>
                <c:rich>
                  <a:bodyPr/>
                  <a:lstStyle/>
                  <a:p>
                    <a:r>
                      <a:rPr lang="en-US" sz="1200" baseline="0"/>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859-49FC-9E6D-25D053E46706}"/>
                </c:ext>
              </c:extLst>
            </c:dLbl>
            <c:dLbl>
              <c:idx val="7"/>
              <c:layout>
                <c:manualLayout>
                  <c:x val="1.4020329477742741E-3"/>
                  <c:y val="-0.12037037037037036"/>
                </c:manualLayout>
              </c:layout>
              <c:tx>
                <c:rich>
                  <a:bodyPr/>
                  <a:lstStyle/>
                  <a:p>
                    <a:r>
                      <a:rPr lang="en-US" sz="1200" baseline="0"/>
                      <a:t>bc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859-49FC-9E6D-25D053E46706}"/>
                </c:ext>
              </c:extLst>
            </c:dLbl>
            <c:dLbl>
              <c:idx val="8"/>
              <c:layout>
                <c:manualLayout>
                  <c:x val="-3.2279876687338766E-4"/>
                  <c:y val="-0.1111111111111111"/>
                </c:manualLayout>
              </c:layout>
              <c:tx>
                <c:rich>
                  <a:bodyPr/>
                  <a:lstStyle/>
                  <a:p>
                    <a:r>
                      <a:rPr lang="en-US" sz="1200" baseline="0"/>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859-49FC-9E6D-25D053E46706}"/>
                </c:ext>
              </c:extLst>
            </c:dLbl>
            <c:spPr>
              <a:noFill/>
              <a:ln>
                <a:noFill/>
              </a:ln>
              <a:effectLst/>
            </c:spPr>
            <c:txPr>
              <a:bodyPr/>
              <a:lstStyle/>
              <a:p>
                <a:pPr>
                  <a:defRPr>
                    <a:ln>
                      <a:solidFill>
                        <a:srgbClr val="0070C0"/>
                      </a:solidFill>
                    </a:ln>
                    <a:solidFill>
                      <a:srgbClr val="FF0000"/>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fixedVal"/>
            <c:noEndCap val="0"/>
            <c:val val="20"/>
          </c:errBars>
          <c:cat>
            <c:strRef>
              <c:f>Sheet3!$A$12:$A$20</c:f>
              <c:strCache>
                <c:ptCount val="9"/>
                <c:pt idx="0">
                  <c:v>Bonsa+c*1:1(T1)</c:v>
                </c:pt>
                <c:pt idx="1">
                  <c:v>Bonsa+c*1:2 (T2)</c:v>
                </c:pt>
                <c:pt idx="2">
                  <c:v>Bonsa+c*2:1 (T3)</c:v>
                </c:pt>
                <c:pt idx="3">
                  <c:v>Bareda+c*1:1 (T8)</c:v>
                </c:pt>
                <c:pt idx="4">
                  <c:v>Bareda +c*1:2 (T9)</c:v>
                </c:pt>
                <c:pt idx="5">
                  <c:v>Bareda +c*2:1 (T7)</c:v>
                </c:pt>
                <c:pt idx="6">
                  <c:v>Bate+C*1:1 (T5)</c:v>
                </c:pt>
                <c:pt idx="7">
                  <c:v>Bate+C*1:2 (T6)</c:v>
                </c:pt>
                <c:pt idx="8">
                  <c:v>Bate+C*2:1 (T4)</c:v>
                </c:pt>
              </c:strCache>
            </c:strRef>
          </c:cat>
          <c:val>
            <c:numRef>
              <c:f>Sheet3!$C$12:$C$20</c:f>
              <c:numCache>
                <c:formatCode>General</c:formatCode>
                <c:ptCount val="9"/>
                <c:pt idx="0">
                  <c:v>55.37</c:v>
                </c:pt>
                <c:pt idx="1">
                  <c:v>59.190000000000012</c:v>
                </c:pt>
                <c:pt idx="2">
                  <c:v>54.7</c:v>
                </c:pt>
                <c:pt idx="3">
                  <c:v>53.21</c:v>
                </c:pt>
                <c:pt idx="4">
                  <c:v>57.01</c:v>
                </c:pt>
                <c:pt idx="5">
                  <c:v>52.7</c:v>
                </c:pt>
                <c:pt idx="6">
                  <c:v>54.8</c:v>
                </c:pt>
                <c:pt idx="7">
                  <c:v>55.48</c:v>
                </c:pt>
                <c:pt idx="8">
                  <c:v>52.7</c:v>
                </c:pt>
              </c:numCache>
            </c:numRef>
          </c:val>
          <c:extLst>
            <c:ext xmlns:c16="http://schemas.microsoft.com/office/drawing/2014/chart" uri="{C3380CC4-5D6E-409C-BE32-E72D297353CC}">
              <c16:uniqueId val="{00000013-7859-49FC-9E6D-25D053E46706}"/>
            </c:ext>
          </c:extLst>
        </c:ser>
        <c:ser>
          <c:idx val="0"/>
          <c:order val="2"/>
          <c:tx>
            <c:strRef>
              <c:f>Sheet3!$D$1</c:f>
              <c:strCache>
                <c:ptCount val="1"/>
                <c:pt idx="0">
                  <c:v>ME(MJ kg-1 DM)</c:v>
                </c:pt>
              </c:strCache>
            </c:strRef>
          </c:tx>
          <c:invertIfNegative val="0"/>
          <c:dLbls>
            <c:dLbl>
              <c:idx val="0"/>
              <c:layout>
                <c:manualLayout>
                  <c:x val="1.4020553340450184E-3"/>
                  <c:y val="-5.5555610753703112E-2"/>
                </c:manualLayout>
              </c:layout>
              <c:tx>
                <c:rich>
                  <a:bodyPr/>
                  <a:lstStyle/>
                  <a:p>
                    <a:r>
                      <a:rPr lang="en-US" sz="1200" baseline="0">
                        <a:latin typeface="Times New Roman" panose="02020603050405020304" pitchFamily="18" charset="0"/>
                        <a:cs typeface="Times New Roman" panose="02020603050405020304" pitchFamily="18" charset="0"/>
                      </a:rPr>
                      <a:t>bc</a:t>
                    </a:r>
                    <a:endParaRPr lang="en-US"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859-49FC-9E6D-25D053E46706}"/>
                </c:ext>
              </c:extLst>
            </c:dLbl>
            <c:dLbl>
              <c:idx val="1"/>
              <c:layout>
                <c:manualLayout>
                  <c:x val="7.0101647388713514E-3"/>
                  <c:y val="-6.481481481481538E-2"/>
                </c:manualLayout>
              </c:layout>
              <c:tx>
                <c:rich>
                  <a:bodyPr/>
                  <a:lstStyle/>
                  <a:p>
                    <a:r>
                      <a:rPr lang="en-US" sz="1200" baseline="0">
                        <a:latin typeface="Times New Roman" panose="02020603050405020304" pitchFamily="18" charset="0"/>
                        <a:cs typeface="Times New Roman" panose="02020603050405020304" pitchFamily="18" charset="0"/>
                      </a:rPr>
                      <a:t>a</a:t>
                    </a:r>
                    <a:endParaRPr lang="en-US"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859-49FC-9E6D-25D053E46706}"/>
                </c:ext>
              </c:extLst>
            </c:dLbl>
            <c:dLbl>
              <c:idx val="2"/>
              <c:layout>
                <c:manualLayout>
                  <c:x val="1.2618296529968416E-2"/>
                  <c:y val="-6.0185185185185147E-2"/>
                </c:manualLayout>
              </c:layout>
              <c:tx>
                <c:rich>
                  <a:bodyPr/>
                  <a:lstStyle/>
                  <a:p>
                    <a:r>
                      <a:rPr lang="en-US" sz="1200" baseline="0">
                        <a:latin typeface="Times New Roman" panose="02020603050405020304" pitchFamily="18" charset="0"/>
                        <a:cs typeface="Times New Roman" panose="02020603050405020304" pitchFamily="18" charset="0"/>
                      </a:rPr>
                      <a:t>cd</a:t>
                    </a:r>
                    <a:endParaRPr lang="en-US"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859-49FC-9E6D-25D053E46706}"/>
                </c:ext>
              </c:extLst>
            </c:dLbl>
            <c:dLbl>
              <c:idx val="3"/>
              <c:layout>
                <c:manualLayout>
                  <c:x val="1.4020329477742727E-2"/>
                  <c:y val="-7.407407407407407E-2"/>
                </c:manualLayout>
              </c:layout>
              <c:tx>
                <c:rich>
                  <a:bodyPr/>
                  <a:lstStyle/>
                  <a:p>
                    <a:r>
                      <a:rPr lang="en-US" sz="1200" baseline="0">
                        <a:latin typeface="Times New Roman" panose="02020603050405020304" pitchFamily="18" charset="0"/>
                        <a:cs typeface="Times New Roman" panose="02020603050405020304" pitchFamily="18" charset="0"/>
                      </a:rPr>
                      <a:t>de</a:t>
                    </a:r>
                    <a:endParaRPr lang="en-US" sz="1200"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859-49FC-9E6D-25D053E46706}"/>
                </c:ext>
              </c:extLst>
            </c:dLbl>
            <c:dLbl>
              <c:idx val="4"/>
              <c:layout>
                <c:manualLayout>
                  <c:x val="0"/>
                  <c:y val="-6.481481481481538E-2"/>
                </c:manualLayout>
              </c:layout>
              <c:tx>
                <c:rich>
                  <a:bodyPr/>
                  <a:lstStyle/>
                  <a:p>
                    <a:r>
                      <a:rPr lang="en-US" sz="1200" baseline="0">
                        <a:latin typeface="Times New Roman" panose="02020603050405020304" pitchFamily="18" charset="0"/>
                        <a:cs typeface="Times New Roman" panose="02020603050405020304" pitchFamily="18" charset="0"/>
                      </a:rPr>
                      <a:t>b</a:t>
                    </a:r>
                    <a:endParaRPr lang="en-US" sz="1200"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859-49FC-9E6D-25D053E46706}"/>
                </c:ext>
              </c:extLst>
            </c:dLbl>
            <c:dLbl>
              <c:idx val="5"/>
              <c:layout>
                <c:manualLayout>
                  <c:x val="1.4020329477742741E-3"/>
                  <c:y val="-5.5555555555555455E-2"/>
                </c:manualLayout>
              </c:layout>
              <c:tx>
                <c:rich>
                  <a:bodyPr/>
                  <a:lstStyle/>
                  <a:p>
                    <a:r>
                      <a:rPr lang="en-US" sz="1200" baseline="0">
                        <a:latin typeface="Times New Roman" panose="02020603050405020304" pitchFamily="18" charset="0"/>
                        <a:cs typeface="Times New Roman" panose="02020603050405020304" pitchFamily="18" charset="0"/>
                      </a:rPr>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859-49FC-9E6D-25D053E46706}"/>
                </c:ext>
              </c:extLst>
            </c:dLbl>
            <c:dLbl>
              <c:idx val="6"/>
              <c:layout>
                <c:manualLayout>
                  <c:x val="0"/>
                  <c:y val="-5.5555555555555455E-2"/>
                </c:manualLayout>
              </c:layout>
              <c:tx>
                <c:rich>
                  <a:bodyPr/>
                  <a:lstStyle/>
                  <a:p>
                    <a:r>
                      <a:rPr lang="en-US" sz="1200" baseline="0">
                        <a:latin typeface="Times New Roman" panose="02020603050405020304" pitchFamily="18" charset="0"/>
                        <a:cs typeface="Times New Roman" panose="02020603050405020304" pitchFamily="18" charset="0"/>
                      </a:rPr>
                      <a:t>cd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859-49FC-9E6D-25D053E46706}"/>
                </c:ext>
              </c:extLst>
            </c:dLbl>
            <c:dLbl>
              <c:idx val="7"/>
              <c:layout>
                <c:manualLayout>
                  <c:x val="0"/>
                  <c:y val="-4.2937314223734833E-2"/>
                </c:manualLayout>
              </c:layout>
              <c:tx>
                <c:rich>
                  <a:bodyPr/>
                  <a:lstStyle/>
                  <a:p>
                    <a:r>
                      <a:rPr lang="en-US" sz="1200" baseline="0">
                        <a:latin typeface="Times New Roman" panose="02020603050405020304" pitchFamily="18" charset="0"/>
                        <a:cs typeface="Times New Roman" panose="02020603050405020304" pitchFamily="18" charset="0"/>
                      </a:rPr>
                      <a:t>bc</a:t>
                    </a:r>
                    <a:endParaRPr lang="en-US" sz="1100" baseline="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859-49FC-9E6D-25D053E46706}"/>
                </c:ext>
              </c:extLst>
            </c:dLbl>
            <c:dLbl>
              <c:idx val="8"/>
              <c:layout>
                <c:manualLayout>
                  <c:x val="-1.0281456178085815E-16"/>
                  <c:y val="-6.0185185185185147E-2"/>
                </c:manualLayout>
              </c:layout>
              <c:tx>
                <c:rich>
                  <a:bodyPr/>
                  <a:lstStyle/>
                  <a:p>
                    <a:r>
                      <a:rPr lang="en-US" sz="1200" baseline="0">
                        <a:latin typeface="Times New Roman" panose="02020603050405020304" pitchFamily="18" charset="0"/>
                        <a:cs typeface="Times New Roman" panose="02020603050405020304" pitchFamily="18" charset="0"/>
                      </a:rPr>
                      <a:t>cd</a:t>
                    </a:r>
                    <a:endParaRPr lang="en-US" sz="1200" baseline="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859-49FC-9E6D-25D053E46706}"/>
                </c:ext>
              </c:extLst>
            </c:dLbl>
            <c:spPr>
              <a:noFill/>
              <a:ln>
                <a:noFill/>
              </a:ln>
              <a:effectLst/>
            </c:spPr>
            <c:txPr>
              <a:bodyPr/>
              <a:lstStyle/>
              <a:p>
                <a:pPr>
                  <a:defRPr sz="1200">
                    <a:ln>
                      <a:solidFill>
                        <a:srgbClr val="C00000"/>
                      </a:solidFill>
                    </a:ln>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plus"/>
            <c:errValType val="fixedVal"/>
            <c:noEndCap val="0"/>
            <c:val val="10"/>
          </c:errBars>
          <c:val>
            <c:numRef>
              <c:f>Sheet3!$D$12:$D$20</c:f>
              <c:numCache>
                <c:formatCode>General</c:formatCode>
                <c:ptCount val="9"/>
                <c:pt idx="0">
                  <c:v>8.3000000000000007</c:v>
                </c:pt>
                <c:pt idx="1">
                  <c:v>8.8700000000000028</c:v>
                </c:pt>
                <c:pt idx="2">
                  <c:v>8.2100000000000009</c:v>
                </c:pt>
                <c:pt idx="3">
                  <c:v>7.98</c:v>
                </c:pt>
                <c:pt idx="4">
                  <c:v>8.5500000000000007</c:v>
                </c:pt>
                <c:pt idx="5">
                  <c:v>7.91</c:v>
                </c:pt>
                <c:pt idx="6">
                  <c:v>8.23</c:v>
                </c:pt>
                <c:pt idx="7">
                  <c:v>8.32</c:v>
                </c:pt>
                <c:pt idx="8">
                  <c:v>8.23</c:v>
                </c:pt>
              </c:numCache>
            </c:numRef>
          </c:val>
          <c:extLst>
            <c:ext xmlns:c16="http://schemas.microsoft.com/office/drawing/2014/chart" uri="{C3380CC4-5D6E-409C-BE32-E72D297353CC}">
              <c16:uniqueId val="{0000001D-7859-49FC-9E6D-25D053E46706}"/>
            </c:ext>
          </c:extLst>
        </c:ser>
        <c:dLbls>
          <c:showLegendKey val="0"/>
          <c:showVal val="0"/>
          <c:showCatName val="0"/>
          <c:showSerName val="0"/>
          <c:showPercent val="0"/>
          <c:showBubbleSize val="0"/>
        </c:dLbls>
        <c:gapWidth val="150"/>
        <c:overlap val="-20"/>
        <c:axId val="357086968"/>
        <c:axId val="472856816"/>
      </c:barChart>
      <c:catAx>
        <c:axId val="357086968"/>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Varieties * Row arrangement</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72856816"/>
        <c:crosses val="autoZero"/>
        <c:auto val="1"/>
        <c:lblAlgn val="ctr"/>
        <c:lblOffset val="100"/>
        <c:noMultiLvlLbl val="0"/>
      </c:catAx>
      <c:valAx>
        <c:axId val="472856816"/>
        <c:scaling>
          <c:orientation val="minMax"/>
        </c:scaling>
        <c:delete val="0"/>
        <c:axPos val="l"/>
        <c:numFmt formatCode="General" sourceLinked="1"/>
        <c:majorTickMark val="out"/>
        <c:minorTickMark val="none"/>
        <c:tickLblPos val="nextTo"/>
        <c:crossAx val="357086968"/>
        <c:crosses val="autoZero"/>
        <c:crossBetween val="between"/>
      </c:valAx>
    </c:plotArea>
    <c:legend>
      <c:legendPos val="r"/>
      <c:layout>
        <c:manualLayout>
          <c:xMode val="edge"/>
          <c:yMode val="edge"/>
          <c:x val="0.86429936186886591"/>
          <c:y val="0.2786040388484563"/>
          <c:w val="0.13570063813113509"/>
          <c:h val="0.22817556322809668"/>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0.05357</cdr:x>
      <cdr:y>0</cdr:y>
    </cdr:from>
    <cdr:to>
      <cdr:x>0.70238</cdr:x>
      <cdr:y>0.13663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2901" y="0"/>
          <a:ext cx="4152900" cy="4476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92B39-2DCF-4AA0-8C52-88939332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2928</TotalTime>
  <Pages>3</Pages>
  <Words>20180</Words>
  <Characters>115032</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Arega Best</dc:creator>
  <cp:lastModifiedBy>manoj mali</cp:lastModifiedBy>
  <cp:revision>536</cp:revision>
  <cp:lastPrinted>2025-08-25T07:23:00Z</cp:lastPrinted>
  <dcterms:created xsi:type="dcterms:W3CDTF">2025-01-09T16:22:00Z</dcterms:created>
  <dcterms:modified xsi:type="dcterms:W3CDTF">2026-03-02T19:15:00Z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74f8e79b428e08469a27aa5b921317ab09a291db1a1ec798cecc7706e741fee2</vt:lpwstr>
  </property>
</Properties>
</file>