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995B7" w14:textId="77777777" w:rsidR="0064006D" w:rsidRDefault="00AC3DC7">
      <w:pPr>
        <w:spacing w:after="0" w:line="240" w:lineRule="auto"/>
        <w:jc w:val="center"/>
        <w:rPr>
          <w:rFonts w:ascii="Arial" w:hAnsi="Arial" w:cs="Arial"/>
          <w:b/>
          <w:bCs/>
          <w:sz w:val="32"/>
          <w:szCs w:val="32"/>
          <w:lang w:val="en-US"/>
        </w:rPr>
      </w:pPr>
      <w:r>
        <w:rPr>
          <w:rFonts w:ascii="Arial" w:hAnsi="Arial" w:cs="Arial"/>
          <w:b/>
          <w:bCs/>
          <w:sz w:val="32"/>
          <w:szCs w:val="32"/>
        </w:rPr>
        <w:t>S</w:t>
      </w:r>
      <w:proofErr w:type="spellStart"/>
      <w:r>
        <w:rPr>
          <w:rFonts w:ascii="Arial" w:hAnsi="Arial" w:cs="Arial"/>
          <w:b/>
          <w:bCs/>
          <w:sz w:val="32"/>
          <w:szCs w:val="32"/>
          <w:lang w:val="en-US"/>
        </w:rPr>
        <w:t>ustaining</w:t>
      </w:r>
      <w:proofErr w:type="spellEnd"/>
      <w:r>
        <w:rPr>
          <w:rFonts w:ascii="Arial" w:hAnsi="Arial" w:cs="Arial"/>
          <w:b/>
          <w:bCs/>
          <w:sz w:val="32"/>
          <w:szCs w:val="32"/>
        </w:rPr>
        <w:t xml:space="preserve"> W</w:t>
      </w:r>
      <w:proofErr w:type="spellStart"/>
      <w:r>
        <w:rPr>
          <w:rFonts w:ascii="Arial" w:hAnsi="Arial" w:cs="Arial"/>
          <w:b/>
          <w:bCs/>
          <w:sz w:val="32"/>
          <w:szCs w:val="32"/>
          <w:lang w:val="en-US"/>
        </w:rPr>
        <w:t>aste</w:t>
      </w:r>
      <w:proofErr w:type="spellEnd"/>
      <w:r>
        <w:rPr>
          <w:rFonts w:ascii="Arial" w:hAnsi="Arial" w:cs="Arial"/>
          <w:b/>
          <w:bCs/>
          <w:sz w:val="32"/>
          <w:szCs w:val="32"/>
        </w:rPr>
        <w:t xml:space="preserve"> M</w:t>
      </w:r>
      <w:proofErr w:type="spellStart"/>
      <w:r>
        <w:rPr>
          <w:rFonts w:ascii="Arial" w:hAnsi="Arial" w:cs="Arial"/>
          <w:b/>
          <w:bCs/>
          <w:sz w:val="32"/>
          <w:szCs w:val="32"/>
          <w:lang w:val="en-US"/>
        </w:rPr>
        <w:t>anagement</w:t>
      </w:r>
      <w:proofErr w:type="spellEnd"/>
      <w:r>
        <w:rPr>
          <w:rFonts w:ascii="Arial" w:hAnsi="Arial" w:cs="Arial"/>
          <w:b/>
          <w:bCs/>
          <w:sz w:val="32"/>
          <w:szCs w:val="32"/>
        </w:rPr>
        <w:t xml:space="preserve"> B</w:t>
      </w:r>
      <w:proofErr w:type="spellStart"/>
      <w:r>
        <w:rPr>
          <w:rFonts w:ascii="Arial" w:hAnsi="Arial" w:cs="Arial"/>
          <w:b/>
          <w:bCs/>
          <w:sz w:val="32"/>
          <w:szCs w:val="32"/>
          <w:lang w:val="en-US"/>
        </w:rPr>
        <w:t>ehavior</w:t>
      </w:r>
      <w:proofErr w:type="spellEnd"/>
      <w:r>
        <w:rPr>
          <w:rFonts w:ascii="Arial" w:hAnsi="Arial" w:cs="Arial"/>
          <w:b/>
          <w:bCs/>
          <w:sz w:val="32"/>
          <w:szCs w:val="32"/>
        </w:rPr>
        <w:t xml:space="preserve"> W</w:t>
      </w:r>
      <w:proofErr w:type="spellStart"/>
      <w:r>
        <w:rPr>
          <w:rFonts w:ascii="Arial" w:hAnsi="Arial" w:cs="Arial"/>
          <w:b/>
          <w:bCs/>
          <w:sz w:val="32"/>
          <w:szCs w:val="32"/>
          <w:lang w:val="en-US"/>
        </w:rPr>
        <w:t>ith</w:t>
      </w:r>
      <w:proofErr w:type="spellEnd"/>
      <w:r>
        <w:rPr>
          <w:rFonts w:ascii="Arial" w:hAnsi="Arial" w:cs="Arial"/>
          <w:b/>
          <w:bCs/>
          <w:sz w:val="32"/>
          <w:szCs w:val="32"/>
        </w:rPr>
        <w:t xml:space="preserve"> </w:t>
      </w:r>
      <w:r>
        <w:rPr>
          <w:rFonts w:ascii="Arial" w:hAnsi="Arial" w:cs="Arial"/>
          <w:b/>
          <w:bCs/>
          <w:sz w:val="32"/>
          <w:szCs w:val="32"/>
          <w:lang w:val="en-US"/>
        </w:rPr>
        <w:t>and</w:t>
      </w:r>
      <w:r>
        <w:rPr>
          <w:rFonts w:ascii="Arial" w:hAnsi="Arial" w:cs="Arial"/>
          <w:b/>
          <w:bCs/>
          <w:sz w:val="32"/>
          <w:szCs w:val="32"/>
        </w:rPr>
        <w:t xml:space="preserve"> W</w:t>
      </w:r>
      <w:proofErr w:type="spellStart"/>
      <w:r>
        <w:rPr>
          <w:rFonts w:ascii="Arial" w:hAnsi="Arial" w:cs="Arial"/>
          <w:b/>
          <w:bCs/>
          <w:sz w:val="32"/>
          <w:szCs w:val="32"/>
          <w:lang w:val="en-US"/>
        </w:rPr>
        <w:t>ithout</w:t>
      </w:r>
      <w:proofErr w:type="spellEnd"/>
      <w:r>
        <w:rPr>
          <w:rFonts w:ascii="Arial" w:hAnsi="Arial" w:cs="Arial"/>
          <w:b/>
          <w:bCs/>
          <w:sz w:val="32"/>
          <w:szCs w:val="32"/>
        </w:rPr>
        <w:t xml:space="preserve"> S</w:t>
      </w:r>
      <w:proofErr w:type="spellStart"/>
      <w:r>
        <w:rPr>
          <w:rFonts w:ascii="Arial" w:hAnsi="Arial" w:cs="Arial"/>
          <w:b/>
          <w:bCs/>
          <w:sz w:val="32"/>
          <w:szCs w:val="32"/>
          <w:lang w:val="en-US"/>
        </w:rPr>
        <w:t>ignage</w:t>
      </w:r>
      <w:proofErr w:type="spellEnd"/>
      <w:r>
        <w:rPr>
          <w:rFonts w:ascii="Arial" w:hAnsi="Arial" w:cs="Arial"/>
          <w:b/>
          <w:bCs/>
          <w:sz w:val="32"/>
          <w:szCs w:val="32"/>
        </w:rPr>
        <w:t xml:space="preserve"> A</w:t>
      </w:r>
      <w:proofErr w:type="spellStart"/>
      <w:r>
        <w:rPr>
          <w:rFonts w:ascii="Arial" w:hAnsi="Arial" w:cs="Arial"/>
          <w:b/>
          <w:bCs/>
          <w:sz w:val="32"/>
          <w:szCs w:val="32"/>
          <w:lang w:val="en-US"/>
        </w:rPr>
        <w:t>fter</w:t>
      </w:r>
      <w:proofErr w:type="spellEnd"/>
      <w:r>
        <w:rPr>
          <w:rFonts w:ascii="Arial" w:hAnsi="Arial" w:cs="Arial"/>
          <w:b/>
          <w:bCs/>
          <w:sz w:val="32"/>
          <w:szCs w:val="32"/>
        </w:rPr>
        <w:t xml:space="preserve"> C</w:t>
      </w:r>
      <w:proofErr w:type="spellStart"/>
      <w:r>
        <w:rPr>
          <w:rFonts w:ascii="Arial" w:hAnsi="Arial" w:cs="Arial"/>
          <w:b/>
          <w:bCs/>
          <w:sz w:val="32"/>
          <w:szCs w:val="32"/>
          <w:lang w:val="en-US"/>
        </w:rPr>
        <w:t>ampaigns</w:t>
      </w:r>
      <w:proofErr w:type="spellEnd"/>
      <w:r>
        <w:rPr>
          <w:rFonts w:ascii="Arial" w:hAnsi="Arial" w:cs="Arial"/>
          <w:b/>
          <w:bCs/>
          <w:sz w:val="32"/>
          <w:szCs w:val="32"/>
        </w:rPr>
        <w:t xml:space="preserve"> </w:t>
      </w:r>
      <w:r>
        <w:rPr>
          <w:rFonts w:ascii="Arial" w:hAnsi="Arial" w:cs="Arial"/>
          <w:b/>
          <w:bCs/>
          <w:sz w:val="32"/>
          <w:szCs w:val="32"/>
          <w:lang w:val="en-US"/>
        </w:rPr>
        <w:t>Among</w:t>
      </w:r>
      <w:r>
        <w:rPr>
          <w:rFonts w:ascii="Arial" w:hAnsi="Arial" w:cs="Arial"/>
          <w:b/>
          <w:bCs/>
          <w:sz w:val="32"/>
          <w:szCs w:val="32"/>
        </w:rPr>
        <w:t xml:space="preserve"> J</w:t>
      </w:r>
      <w:proofErr w:type="spellStart"/>
      <w:r>
        <w:rPr>
          <w:rFonts w:ascii="Arial" w:hAnsi="Arial" w:cs="Arial"/>
          <w:b/>
          <w:bCs/>
          <w:sz w:val="32"/>
          <w:szCs w:val="32"/>
          <w:lang w:val="en-US"/>
        </w:rPr>
        <w:t>unior</w:t>
      </w:r>
      <w:proofErr w:type="spellEnd"/>
      <w:r>
        <w:rPr>
          <w:rFonts w:ascii="Arial" w:hAnsi="Arial" w:cs="Arial"/>
          <w:b/>
          <w:bCs/>
          <w:sz w:val="32"/>
          <w:szCs w:val="32"/>
        </w:rPr>
        <w:t xml:space="preserve"> H</w:t>
      </w:r>
      <w:proofErr w:type="spellStart"/>
      <w:r>
        <w:rPr>
          <w:rFonts w:ascii="Arial" w:hAnsi="Arial" w:cs="Arial"/>
          <w:b/>
          <w:bCs/>
          <w:sz w:val="32"/>
          <w:szCs w:val="32"/>
          <w:lang w:val="en-US"/>
        </w:rPr>
        <w:t>igh</w:t>
      </w:r>
      <w:proofErr w:type="spellEnd"/>
      <w:r>
        <w:rPr>
          <w:rFonts w:ascii="Arial" w:hAnsi="Arial" w:cs="Arial"/>
          <w:b/>
          <w:bCs/>
          <w:sz w:val="32"/>
          <w:szCs w:val="32"/>
        </w:rPr>
        <w:t xml:space="preserve"> S</w:t>
      </w:r>
      <w:proofErr w:type="spellStart"/>
      <w:r>
        <w:rPr>
          <w:rFonts w:ascii="Arial" w:hAnsi="Arial" w:cs="Arial"/>
          <w:b/>
          <w:bCs/>
          <w:sz w:val="32"/>
          <w:szCs w:val="32"/>
          <w:lang w:val="en-US"/>
        </w:rPr>
        <w:t>chool</w:t>
      </w:r>
      <w:proofErr w:type="spellEnd"/>
      <w:r>
        <w:rPr>
          <w:rFonts w:ascii="Arial" w:hAnsi="Arial" w:cs="Arial"/>
          <w:b/>
          <w:bCs/>
          <w:sz w:val="32"/>
          <w:szCs w:val="32"/>
        </w:rPr>
        <w:t xml:space="preserve"> </w:t>
      </w:r>
      <w:r>
        <w:rPr>
          <w:rFonts w:ascii="Arial" w:hAnsi="Arial" w:cs="Arial"/>
          <w:b/>
          <w:bCs/>
          <w:sz w:val="32"/>
          <w:szCs w:val="32"/>
          <w:lang w:val="en-US"/>
        </w:rPr>
        <w:t>Students</w:t>
      </w:r>
    </w:p>
    <w:p w14:paraId="3AB995B8" w14:textId="77777777" w:rsidR="0064006D" w:rsidRDefault="0064006D">
      <w:pPr>
        <w:spacing w:after="0" w:line="240" w:lineRule="auto"/>
        <w:jc w:val="center"/>
        <w:rPr>
          <w:rFonts w:ascii="Arial" w:hAnsi="Arial" w:cs="Arial"/>
          <w:b/>
          <w:bCs/>
          <w:sz w:val="32"/>
          <w:szCs w:val="32"/>
          <w:lang w:val="en-US"/>
        </w:rPr>
      </w:pPr>
    </w:p>
    <w:p w14:paraId="7B949F10" w14:textId="77777777" w:rsidR="003F0625" w:rsidRPr="003F0625" w:rsidRDefault="003F0625" w:rsidP="003F0625">
      <w:pPr>
        <w:spacing w:after="0" w:line="240" w:lineRule="auto"/>
        <w:jc w:val="center"/>
        <w:rPr>
          <w:rFonts w:ascii="Times New Roman" w:hAnsi="Times New Roman" w:cs="Times New Roman"/>
          <w:color w:val="3333FF"/>
          <w:lang w:val="en-US"/>
        </w:rPr>
      </w:pPr>
      <w:bookmarkStart w:id="0" w:name="_GoBack"/>
      <w:bookmarkEnd w:id="0"/>
    </w:p>
    <w:p w14:paraId="3AB995C2" w14:textId="77777777" w:rsidR="0064006D" w:rsidRDefault="00AC3DC7">
      <w:pPr>
        <w:spacing w:line="360" w:lineRule="auto"/>
        <w:rPr>
          <w:rFonts w:ascii="Times New Roman" w:hAnsi="Times New Roman" w:cs="Times New Roman"/>
          <w:b/>
          <w:bCs/>
        </w:rPr>
      </w:pPr>
      <w:r>
        <w:rPr>
          <w:rFonts w:ascii="Times New Roman" w:hAnsi="Times New Roman" w:cs="Times New Roman"/>
          <w:b/>
          <w:bCs/>
        </w:rPr>
        <w:t>ABSTRACT</w:t>
      </w:r>
    </w:p>
    <w:p w14:paraId="3AB995C3"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This study investigates the effect of environmental campaign interventions, with and without signage, on sustaining proper waste management </w:t>
      </w:r>
      <w:proofErr w:type="spellStart"/>
      <w:r>
        <w:rPr>
          <w:rFonts w:ascii="Times New Roman" w:hAnsi="Times New Roman" w:cs="Times New Roman"/>
        </w:rPr>
        <w:t>behavior</w:t>
      </w:r>
      <w:proofErr w:type="spellEnd"/>
      <w:r>
        <w:rPr>
          <w:rFonts w:ascii="Times New Roman" w:hAnsi="Times New Roman" w:cs="Times New Roman"/>
        </w:rPr>
        <w:t xml:space="preserve"> among junior high school students at Adventist Medical </w:t>
      </w:r>
      <w:proofErr w:type="spellStart"/>
      <w:r>
        <w:rPr>
          <w:rFonts w:ascii="Times New Roman" w:hAnsi="Times New Roman" w:cs="Times New Roman"/>
        </w:rPr>
        <w:t>Center</w:t>
      </w:r>
      <w:proofErr w:type="spellEnd"/>
      <w:r>
        <w:rPr>
          <w:rFonts w:ascii="Times New Roman" w:hAnsi="Times New Roman" w:cs="Times New Roman"/>
        </w:rPr>
        <w:t xml:space="preserve"> College. Proper waste management is a crucial component of environmental sustainability, yet </w:t>
      </w:r>
      <w:proofErr w:type="spellStart"/>
      <w:r>
        <w:rPr>
          <w:rFonts w:ascii="Times New Roman" w:hAnsi="Times New Roman" w:cs="Times New Roman"/>
        </w:rPr>
        <w:t>behavioral</w:t>
      </w:r>
      <w:proofErr w:type="spellEnd"/>
      <w:r>
        <w:rPr>
          <w:rFonts w:ascii="Times New Roman" w:hAnsi="Times New Roman" w:cs="Times New Roman"/>
        </w:rPr>
        <w:t xml:space="preserve"> improvements from awareness campaigns often fade over time. This study explores whether visual cues, such as signage, can reinforce and sustain proper waste disposal practices beyond the campaign period. Specifically, it addresses the following questions: (1) How do students perceive the presence or absence of signage related to waste management after the campaign? (2) What are the observed waste management </w:t>
      </w:r>
      <w:proofErr w:type="spellStart"/>
      <w:r>
        <w:rPr>
          <w:rFonts w:ascii="Times New Roman" w:hAnsi="Times New Roman" w:cs="Times New Roman"/>
        </w:rPr>
        <w:t>behaviors</w:t>
      </w:r>
      <w:proofErr w:type="spellEnd"/>
      <w:r>
        <w:rPr>
          <w:rFonts w:ascii="Times New Roman" w:hAnsi="Times New Roman" w:cs="Times New Roman"/>
        </w:rPr>
        <w:t xml:space="preserve"> of junior high school students after the campaign intervention? (3) What is the effect of environmental campaign interventions, with and without signage, on the sustained waste management </w:t>
      </w:r>
      <w:proofErr w:type="spellStart"/>
      <w:r>
        <w:rPr>
          <w:rFonts w:ascii="Times New Roman" w:hAnsi="Times New Roman" w:cs="Times New Roman"/>
        </w:rPr>
        <w:t>behavior</w:t>
      </w:r>
      <w:proofErr w:type="spellEnd"/>
      <w:r>
        <w:rPr>
          <w:rFonts w:ascii="Times New Roman" w:hAnsi="Times New Roman" w:cs="Times New Roman"/>
        </w:rPr>
        <w:t xml:space="preserve"> of students? A blinded, comparative, quantitative design was used, involving 87 junior high school students divided into two groups—one exposed to a campaign with signage (experimental) and the other to a campaign without signage (control). Data were collected using a structured observation checklist and a survey questionnaire, both validated and reliability-tested. Results revealed that students in the With Signage group demonstrated significantly higher observed and self-reported waste management </w:t>
      </w:r>
      <w:proofErr w:type="spellStart"/>
      <w:r>
        <w:rPr>
          <w:rFonts w:ascii="Times New Roman" w:hAnsi="Times New Roman" w:cs="Times New Roman"/>
        </w:rPr>
        <w:t>behavior</w:t>
      </w:r>
      <w:proofErr w:type="spellEnd"/>
      <w:r>
        <w:rPr>
          <w:rFonts w:ascii="Times New Roman" w:hAnsi="Times New Roman" w:cs="Times New Roman"/>
        </w:rPr>
        <w:t xml:space="preserve"> than those in the Without Signage group (p &lt; 0.01), with large to very large effect sizes (Cohen’s d = 0.856–2.18). Perceptions of signage were generally positive, indicating its effectiveness as a visual reinforcement. These findings suggest that environmental campaigns incorporating clear and visible signage significantly improve and sustain proper waste management </w:t>
      </w:r>
      <w:proofErr w:type="spellStart"/>
      <w:r>
        <w:rPr>
          <w:rFonts w:ascii="Times New Roman" w:hAnsi="Times New Roman" w:cs="Times New Roman"/>
        </w:rPr>
        <w:t>behavior</w:t>
      </w:r>
      <w:proofErr w:type="spellEnd"/>
      <w:r>
        <w:rPr>
          <w:rFonts w:ascii="Times New Roman" w:hAnsi="Times New Roman" w:cs="Times New Roman"/>
        </w:rPr>
        <w:t xml:space="preserve"> among students. The study provides practical insights for educators, school administrators, and environmental advocates seeking low-cost strategies to promote long-term environmental responsibility in schools.</w:t>
      </w:r>
    </w:p>
    <w:p w14:paraId="3AB995C5" w14:textId="2E422CFC" w:rsidR="0064006D" w:rsidRDefault="00AC3DC7" w:rsidP="003F0625">
      <w:pPr>
        <w:spacing w:after="0" w:line="240" w:lineRule="auto"/>
        <w:jc w:val="both"/>
        <w:rPr>
          <w:rFonts w:ascii="Times New Roman" w:hAnsi="Times New Roman" w:cs="Times New Roman"/>
          <w:i/>
          <w:iCs/>
        </w:rPr>
      </w:pPr>
      <w:r>
        <w:rPr>
          <w:rFonts w:ascii="Times New Roman" w:hAnsi="Times New Roman" w:cs="Times New Roman"/>
          <w:b/>
          <w:bCs/>
          <w:i/>
          <w:iCs/>
        </w:rPr>
        <w:t>Keywords:</w:t>
      </w:r>
      <w:r>
        <w:rPr>
          <w:rFonts w:ascii="Times New Roman" w:hAnsi="Times New Roman" w:cs="Times New Roman"/>
          <w:i/>
          <w:iCs/>
        </w:rPr>
        <w:t xml:space="preserve"> waste management, visual cues, environmental campaign, environmental advocates, environmental responsibility</w:t>
      </w:r>
    </w:p>
    <w:p w14:paraId="1945E783" w14:textId="77777777" w:rsidR="000241CC" w:rsidRDefault="000241CC">
      <w:pPr>
        <w:spacing w:line="360" w:lineRule="auto"/>
        <w:rPr>
          <w:rFonts w:ascii="Times New Roman" w:hAnsi="Times New Roman" w:cs="Times New Roman"/>
          <w:b/>
          <w:bCs/>
        </w:rPr>
      </w:pPr>
    </w:p>
    <w:p w14:paraId="3AB995C6" w14:textId="0E28461B" w:rsidR="0064006D" w:rsidRDefault="000241CC">
      <w:pPr>
        <w:spacing w:line="360" w:lineRule="auto"/>
        <w:rPr>
          <w:rFonts w:ascii="Times New Roman" w:hAnsi="Times New Roman" w:cs="Times New Roman"/>
          <w:b/>
          <w:bCs/>
        </w:rPr>
      </w:pPr>
      <w:r>
        <w:rPr>
          <w:rFonts w:ascii="Times New Roman" w:hAnsi="Times New Roman" w:cs="Times New Roman"/>
          <w:b/>
          <w:bCs/>
        </w:rPr>
        <w:t>INTRODUCTION</w:t>
      </w:r>
    </w:p>
    <w:p w14:paraId="3AB995C7"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 xml:space="preserve">Improper waste disposal remains a persistent environmental problem in school settings, often caused by limited awareness, weak habit formation, and the absence of consistent </w:t>
      </w:r>
      <w:proofErr w:type="spellStart"/>
      <w:r>
        <w:rPr>
          <w:rFonts w:ascii="Times New Roman" w:hAnsi="Times New Roman" w:cs="Times New Roman"/>
        </w:rPr>
        <w:t>behavioral</w:t>
      </w:r>
      <w:proofErr w:type="spellEnd"/>
      <w:r>
        <w:rPr>
          <w:rFonts w:ascii="Times New Roman" w:hAnsi="Times New Roman" w:cs="Times New Roman"/>
        </w:rPr>
        <w:t xml:space="preserve"> cues. Educational institutions commonly rely on information campaigns to promote proper waste management; however, these campaigns alone may not be sufficient to sustain long-term </w:t>
      </w:r>
      <w:proofErr w:type="spellStart"/>
      <w:r>
        <w:rPr>
          <w:rFonts w:ascii="Times New Roman" w:hAnsi="Times New Roman" w:cs="Times New Roman"/>
        </w:rPr>
        <w:t>behavior</w:t>
      </w:r>
      <w:proofErr w:type="spellEnd"/>
      <w:r>
        <w:rPr>
          <w:rFonts w:ascii="Times New Roman" w:hAnsi="Times New Roman" w:cs="Times New Roman"/>
        </w:rPr>
        <w:t xml:space="preserve"> change among students. Environmental psychology suggests that visible cues in the physical environment can guide </w:t>
      </w:r>
      <w:proofErr w:type="spellStart"/>
      <w:r>
        <w:rPr>
          <w:rFonts w:ascii="Times New Roman" w:hAnsi="Times New Roman" w:cs="Times New Roman"/>
        </w:rPr>
        <w:t>behavior</w:t>
      </w:r>
      <w:proofErr w:type="spellEnd"/>
      <w:r>
        <w:rPr>
          <w:rFonts w:ascii="Times New Roman" w:hAnsi="Times New Roman" w:cs="Times New Roman"/>
        </w:rPr>
        <w:t xml:space="preserve"> by subtly prompting individuals toward desired actions.</w:t>
      </w:r>
    </w:p>
    <w:p w14:paraId="3AB995C8"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 xml:space="preserve">This study was conducted to examine whether the integration of signage with an environmental campaign can more effectively promote sustainable waste disposal </w:t>
      </w:r>
      <w:proofErr w:type="spellStart"/>
      <w:r>
        <w:rPr>
          <w:rFonts w:ascii="Times New Roman" w:hAnsi="Times New Roman" w:cs="Times New Roman"/>
        </w:rPr>
        <w:t>behavior</w:t>
      </w:r>
      <w:proofErr w:type="spellEnd"/>
      <w:r>
        <w:rPr>
          <w:rFonts w:ascii="Times New Roman" w:hAnsi="Times New Roman" w:cs="Times New Roman"/>
        </w:rPr>
        <w:t xml:space="preserve"> among students compared to campaigns alone. Signage functions as a constant visual reminder, reinforcing correct waste segregation and disposal practices at the point of decision-making.</w:t>
      </w:r>
    </w:p>
    <w:p w14:paraId="3AB995C9"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lastRenderedPageBreak/>
        <w:t xml:space="preserve">The importance of this study lies in its potential contribution to school-based sustainability efforts. By identifying strategies that effectively encourage proper waste management </w:t>
      </w:r>
      <w:proofErr w:type="spellStart"/>
      <w:r>
        <w:rPr>
          <w:rFonts w:ascii="Times New Roman" w:hAnsi="Times New Roman" w:cs="Times New Roman"/>
        </w:rPr>
        <w:t>behavior</w:t>
      </w:r>
      <w:proofErr w:type="spellEnd"/>
      <w:r>
        <w:rPr>
          <w:rFonts w:ascii="Times New Roman" w:hAnsi="Times New Roman" w:cs="Times New Roman"/>
        </w:rPr>
        <w:t>, schools can design interventions that are both practical and sustainable over time.</w:t>
      </w:r>
    </w:p>
    <w:p w14:paraId="3AB995CE" w14:textId="208FD8A9" w:rsidR="0064006D" w:rsidRDefault="003F0625" w:rsidP="003F0625">
      <w:pPr>
        <w:spacing w:line="240" w:lineRule="auto"/>
        <w:jc w:val="both"/>
        <w:rPr>
          <w:rFonts w:ascii="Times New Roman" w:hAnsi="Times New Roman" w:cs="Times New Roman"/>
        </w:rPr>
      </w:pPr>
      <w:r>
        <w:rPr>
          <w:rFonts w:ascii="Times New Roman" w:hAnsi="Times New Roman" w:cs="Times New Roman"/>
        </w:rPr>
        <w:t>The study seeks to answer h</w:t>
      </w:r>
      <w:r w:rsidR="00AC3DC7">
        <w:rPr>
          <w:rFonts w:ascii="Times New Roman" w:hAnsi="Times New Roman" w:cs="Times New Roman"/>
        </w:rPr>
        <w:t>ow do students perceive the presence or absence of signage related to waste management after the campaign?</w:t>
      </w:r>
      <w:r>
        <w:rPr>
          <w:rFonts w:ascii="Times New Roman" w:hAnsi="Times New Roman" w:cs="Times New Roman"/>
        </w:rPr>
        <w:t xml:space="preserve"> </w:t>
      </w:r>
      <w:r w:rsidR="00AC3DC7">
        <w:rPr>
          <w:rFonts w:ascii="Times New Roman" w:hAnsi="Times New Roman" w:cs="Times New Roman"/>
        </w:rPr>
        <w:t xml:space="preserve">What are the observed waste management </w:t>
      </w:r>
      <w:proofErr w:type="spellStart"/>
      <w:r w:rsidR="00AC3DC7">
        <w:rPr>
          <w:rFonts w:ascii="Times New Roman" w:hAnsi="Times New Roman" w:cs="Times New Roman"/>
        </w:rPr>
        <w:t>behaviors</w:t>
      </w:r>
      <w:proofErr w:type="spellEnd"/>
      <w:r w:rsidR="00AC3DC7">
        <w:rPr>
          <w:rFonts w:ascii="Times New Roman" w:hAnsi="Times New Roman" w:cs="Times New Roman"/>
        </w:rPr>
        <w:t xml:space="preserve"> of junior high school students after the campaign intervention?</w:t>
      </w:r>
      <w:r>
        <w:rPr>
          <w:rFonts w:ascii="Times New Roman" w:hAnsi="Times New Roman" w:cs="Times New Roman"/>
        </w:rPr>
        <w:t xml:space="preserve"> and w</w:t>
      </w:r>
      <w:r w:rsidR="00AC3DC7">
        <w:rPr>
          <w:rFonts w:ascii="Times New Roman" w:hAnsi="Times New Roman" w:cs="Times New Roman"/>
        </w:rPr>
        <w:t xml:space="preserve">hat is the effect of environmental campaign interventions, with and without signage, on the sustained waste management </w:t>
      </w:r>
      <w:proofErr w:type="spellStart"/>
      <w:r w:rsidR="00AC3DC7">
        <w:rPr>
          <w:rFonts w:ascii="Times New Roman" w:hAnsi="Times New Roman" w:cs="Times New Roman"/>
        </w:rPr>
        <w:t>behavior</w:t>
      </w:r>
      <w:proofErr w:type="spellEnd"/>
      <w:r w:rsidR="00AC3DC7">
        <w:rPr>
          <w:rFonts w:ascii="Times New Roman" w:hAnsi="Times New Roman" w:cs="Times New Roman"/>
        </w:rPr>
        <w:t xml:space="preserve"> of students?</w:t>
      </w:r>
    </w:p>
    <w:p w14:paraId="3AB995CF" w14:textId="5C6156A2" w:rsidR="0064006D" w:rsidRDefault="000241CC" w:rsidP="003F0625">
      <w:pPr>
        <w:spacing w:before="240" w:line="240" w:lineRule="auto"/>
        <w:rPr>
          <w:rFonts w:ascii="Times New Roman" w:hAnsi="Times New Roman" w:cs="Times New Roman"/>
          <w:b/>
          <w:bCs/>
        </w:rPr>
      </w:pPr>
      <w:r>
        <w:rPr>
          <w:rFonts w:ascii="Times New Roman" w:hAnsi="Times New Roman" w:cs="Times New Roman"/>
          <w:b/>
          <w:bCs/>
        </w:rPr>
        <w:t>METHODOLOGY</w:t>
      </w:r>
    </w:p>
    <w:p w14:paraId="3AB995D3" w14:textId="4E29E0BA" w:rsidR="0064006D" w:rsidRDefault="00AC3DC7" w:rsidP="003F0625">
      <w:pPr>
        <w:spacing w:line="240" w:lineRule="auto"/>
        <w:ind w:firstLine="720"/>
        <w:jc w:val="both"/>
        <w:rPr>
          <w:rFonts w:ascii="Times New Roman" w:hAnsi="Times New Roman" w:cs="Times New Roman"/>
        </w:rPr>
      </w:pPr>
      <w:r>
        <w:rPr>
          <w:rFonts w:ascii="Times New Roman" w:hAnsi="Times New Roman" w:cs="Times New Roman"/>
        </w:rPr>
        <w:t xml:space="preserve">This study employed a quantitative experimental research design, comparing two groups of students exposed to different interventions: a campaign-only group and a campaign-plus-signage group. The design allowed for the examination of the effect of signage as an added environmental cue in promoting proper waste management </w:t>
      </w:r>
      <w:proofErr w:type="spellStart"/>
      <w:r>
        <w:rPr>
          <w:rFonts w:ascii="Times New Roman" w:hAnsi="Times New Roman" w:cs="Times New Roman"/>
        </w:rPr>
        <w:t>behavior</w:t>
      </w:r>
      <w:proofErr w:type="spellEnd"/>
      <w:r>
        <w:rPr>
          <w:rFonts w:ascii="Times New Roman" w:hAnsi="Times New Roman" w:cs="Times New Roman"/>
        </w:rPr>
        <w:t>.</w:t>
      </w:r>
      <w:r w:rsidR="003F0625">
        <w:rPr>
          <w:rFonts w:ascii="Times New Roman" w:hAnsi="Times New Roman" w:cs="Times New Roman"/>
        </w:rPr>
        <w:t xml:space="preserve"> </w:t>
      </w:r>
      <w:r>
        <w:rPr>
          <w:rFonts w:ascii="Times New Roman" w:hAnsi="Times New Roman" w:cs="Times New Roman"/>
        </w:rPr>
        <w:t xml:space="preserve">The participants were junior high school students enrolled at Adventist Medical </w:t>
      </w:r>
      <w:proofErr w:type="spellStart"/>
      <w:r>
        <w:rPr>
          <w:rFonts w:ascii="Times New Roman" w:hAnsi="Times New Roman" w:cs="Times New Roman"/>
        </w:rPr>
        <w:t>Center</w:t>
      </w:r>
      <w:proofErr w:type="spellEnd"/>
      <w:r>
        <w:rPr>
          <w:rFonts w:ascii="Times New Roman" w:hAnsi="Times New Roman" w:cs="Times New Roman"/>
        </w:rPr>
        <w:t xml:space="preserve"> College. Students were assigned to either the campaign-only group or the campaign-plus-signage group. Both groups received the same waste management campaign, while only the experimental group was exposed to strategically placed signage near waste disposal areas.</w:t>
      </w:r>
    </w:p>
    <w:p w14:paraId="3AB995DB" w14:textId="61F57540" w:rsidR="0064006D" w:rsidRDefault="00AC3DC7" w:rsidP="003F0625">
      <w:pPr>
        <w:spacing w:line="240" w:lineRule="auto"/>
        <w:ind w:firstLine="720"/>
        <w:jc w:val="both"/>
        <w:rPr>
          <w:rFonts w:ascii="Times New Roman" w:hAnsi="Times New Roman" w:cs="Times New Roman"/>
        </w:rPr>
      </w:pPr>
      <w:r>
        <w:rPr>
          <w:rFonts w:ascii="Times New Roman" w:hAnsi="Times New Roman" w:cs="Times New Roman"/>
        </w:rPr>
        <w:t xml:space="preserve">The study was conducted at Adventist Medical </w:t>
      </w:r>
      <w:proofErr w:type="spellStart"/>
      <w:r>
        <w:rPr>
          <w:rFonts w:ascii="Times New Roman" w:hAnsi="Times New Roman" w:cs="Times New Roman"/>
        </w:rPr>
        <w:t>Center</w:t>
      </w:r>
      <w:proofErr w:type="spellEnd"/>
      <w:r>
        <w:rPr>
          <w:rFonts w:ascii="Times New Roman" w:hAnsi="Times New Roman" w:cs="Times New Roman"/>
        </w:rPr>
        <w:t xml:space="preserve"> College, </w:t>
      </w:r>
      <w:proofErr w:type="spellStart"/>
      <w:r>
        <w:rPr>
          <w:rFonts w:ascii="Times New Roman" w:hAnsi="Times New Roman" w:cs="Times New Roman"/>
        </w:rPr>
        <w:t>Iligan</w:t>
      </w:r>
      <w:proofErr w:type="spellEnd"/>
      <w:r>
        <w:rPr>
          <w:rFonts w:ascii="Times New Roman" w:hAnsi="Times New Roman" w:cs="Times New Roman"/>
        </w:rPr>
        <w:t xml:space="preserve"> City, Philippines. AMCC offers programs from Junior High to College and was chosen for its accessibility and diverse student population.</w:t>
      </w:r>
      <w:r w:rsidR="003F0625">
        <w:rPr>
          <w:rFonts w:ascii="Times New Roman" w:hAnsi="Times New Roman" w:cs="Times New Roman"/>
        </w:rPr>
        <w:t xml:space="preserve"> </w:t>
      </w:r>
      <w:r>
        <w:rPr>
          <w:rFonts w:ascii="Times New Roman" w:hAnsi="Times New Roman" w:cs="Times New Roman"/>
        </w:rPr>
        <w:t>Data were collected using two primary tools:</w:t>
      </w:r>
      <w:r w:rsidR="003F0625">
        <w:rPr>
          <w:rFonts w:ascii="Times New Roman" w:hAnsi="Times New Roman" w:cs="Times New Roman"/>
        </w:rPr>
        <w:t xml:space="preserve"> </w:t>
      </w:r>
      <w:r w:rsidRPr="003F0625">
        <w:rPr>
          <w:rFonts w:ascii="Times New Roman" w:hAnsi="Times New Roman" w:cs="Times New Roman"/>
        </w:rPr>
        <w:t>survey questionnaire</w:t>
      </w:r>
      <w:r>
        <w:rPr>
          <w:rFonts w:ascii="Times New Roman" w:hAnsi="Times New Roman" w:cs="Times New Roman"/>
        </w:rPr>
        <w:t xml:space="preserve"> measuring students’ perceptions of signage and self-reported waste management </w:t>
      </w:r>
      <w:proofErr w:type="spellStart"/>
      <w:r>
        <w:rPr>
          <w:rFonts w:ascii="Times New Roman" w:hAnsi="Times New Roman" w:cs="Times New Roman"/>
        </w:rPr>
        <w:t>behavior</w:t>
      </w:r>
      <w:proofErr w:type="spellEnd"/>
      <w:r>
        <w:rPr>
          <w:rFonts w:ascii="Times New Roman" w:hAnsi="Times New Roman" w:cs="Times New Roman"/>
        </w:rPr>
        <w:t>.</w:t>
      </w:r>
      <w:r w:rsidR="003F0625">
        <w:rPr>
          <w:rFonts w:ascii="Times New Roman" w:hAnsi="Times New Roman" w:cs="Times New Roman"/>
        </w:rPr>
        <w:t xml:space="preserve"> </w:t>
      </w:r>
      <w:r w:rsidR="003F0625" w:rsidRPr="003F0625">
        <w:rPr>
          <w:rFonts w:ascii="Times New Roman" w:hAnsi="Times New Roman" w:cs="Times New Roman"/>
        </w:rPr>
        <w:t>O</w:t>
      </w:r>
      <w:r w:rsidRPr="003F0625">
        <w:rPr>
          <w:rFonts w:ascii="Times New Roman" w:hAnsi="Times New Roman" w:cs="Times New Roman"/>
        </w:rPr>
        <w:t>bservational checklist</w:t>
      </w:r>
      <w:r>
        <w:rPr>
          <w:rFonts w:ascii="Times New Roman" w:hAnsi="Times New Roman" w:cs="Times New Roman"/>
        </w:rPr>
        <w:t xml:space="preserve"> used to record actual waste management </w:t>
      </w:r>
      <w:proofErr w:type="spellStart"/>
      <w:r>
        <w:rPr>
          <w:rFonts w:ascii="Times New Roman" w:hAnsi="Times New Roman" w:cs="Times New Roman"/>
        </w:rPr>
        <w:t>behaviors</w:t>
      </w:r>
      <w:proofErr w:type="spellEnd"/>
      <w:r>
        <w:rPr>
          <w:rFonts w:ascii="Times New Roman" w:hAnsi="Times New Roman" w:cs="Times New Roman"/>
        </w:rPr>
        <w:t>, such as proper sorting, maintaining cleanliness, participation in cleaning activities, and peer encouragement.</w:t>
      </w:r>
      <w:r w:rsidR="003F0625">
        <w:rPr>
          <w:rFonts w:ascii="Times New Roman" w:hAnsi="Times New Roman" w:cs="Times New Roman"/>
        </w:rPr>
        <w:t xml:space="preserve"> </w:t>
      </w:r>
      <w:r>
        <w:rPr>
          <w:rFonts w:ascii="Times New Roman" w:hAnsi="Times New Roman" w:cs="Times New Roman"/>
        </w:rPr>
        <w:t xml:space="preserve">Descriptive statistics (mean, median, and standard deviation) were used to summarize perceptions and </w:t>
      </w:r>
      <w:proofErr w:type="spellStart"/>
      <w:r>
        <w:rPr>
          <w:rFonts w:ascii="Times New Roman" w:hAnsi="Times New Roman" w:cs="Times New Roman"/>
        </w:rPr>
        <w:t>behaviors</w:t>
      </w:r>
      <w:proofErr w:type="spellEnd"/>
      <w:r>
        <w:rPr>
          <w:rFonts w:ascii="Times New Roman" w:hAnsi="Times New Roman" w:cs="Times New Roman"/>
        </w:rPr>
        <w:t>. To determine whether a significant difference existed between the two groups, Welch’s t-test was employed due to unequal variances. Effect size was calculated using Cohen’s d to assess the magnitude of the intervention’s impact.</w:t>
      </w:r>
    </w:p>
    <w:p w14:paraId="5DA14D6B" w14:textId="77777777" w:rsidR="000241CC" w:rsidRDefault="000241CC" w:rsidP="003F0625">
      <w:pPr>
        <w:spacing w:before="240" w:line="240" w:lineRule="auto"/>
        <w:rPr>
          <w:rFonts w:ascii="Times New Roman" w:hAnsi="Times New Roman" w:cs="Times New Roman"/>
          <w:b/>
          <w:bCs/>
        </w:rPr>
      </w:pPr>
    </w:p>
    <w:p w14:paraId="3AB995DC" w14:textId="1A8392CF" w:rsidR="0064006D" w:rsidRDefault="000241CC" w:rsidP="003F0625">
      <w:pPr>
        <w:spacing w:before="240" w:line="240" w:lineRule="auto"/>
        <w:rPr>
          <w:rFonts w:ascii="Times New Roman" w:hAnsi="Times New Roman" w:cs="Times New Roman"/>
          <w:b/>
          <w:bCs/>
        </w:rPr>
      </w:pPr>
      <w:r>
        <w:rPr>
          <w:rFonts w:ascii="Times New Roman" w:hAnsi="Times New Roman" w:cs="Times New Roman"/>
          <w:b/>
          <w:bCs/>
        </w:rPr>
        <w:t>RESULTS AND DISCUSSIONS</w:t>
      </w:r>
    </w:p>
    <w:p w14:paraId="3AB995DE" w14:textId="77777777" w:rsidR="0064006D" w:rsidRDefault="00AC3DC7" w:rsidP="003F0625">
      <w:pPr>
        <w:spacing w:line="240" w:lineRule="auto"/>
        <w:rPr>
          <w:rFonts w:ascii="Times New Roman" w:hAnsi="Times New Roman" w:cs="Times New Roman"/>
          <w:b/>
          <w:bCs/>
        </w:rPr>
      </w:pPr>
      <w:r>
        <w:rPr>
          <w:rFonts w:ascii="Times New Roman" w:hAnsi="Times New Roman" w:cs="Times New Roman"/>
          <w:b/>
          <w:bCs/>
        </w:rPr>
        <w:t xml:space="preserve">Table 1. </w:t>
      </w:r>
      <w:r>
        <w:rPr>
          <w:rFonts w:ascii="Times New Roman" w:hAnsi="Times New Roman" w:cs="Times New Roman"/>
          <w:i/>
          <w:iCs/>
        </w:rPr>
        <w:t>Descriptive Statistics of the Questionnaire Data: Perception of Signage</w:t>
      </w:r>
    </w:p>
    <w:tbl>
      <w:tblPr>
        <w:tblStyle w:val="TableGrid"/>
        <w:tblW w:w="5000" w:type="pct"/>
        <w:tblLook w:val="04A0" w:firstRow="1" w:lastRow="0" w:firstColumn="1" w:lastColumn="0" w:noHBand="0" w:noVBand="1"/>
      </w:tblPr>
      <w:tblGrid>
        <w:gridCol w:w="5148"/>
        <w:gridCol w:w="5148"/>
      </w:tblGrid>
      <w:tr w:rsidR="0064006D" w14:paraId="3AB995E1" w14:textId="77777777" w:rsidTr="003F0625">
        <w:tc>
          <w:tcPr>
            <w:tcW w:w="2500" w:type="pct"/>
            <w:tcBorders>
              <w:left w:val="nil"/>
              <w:bottom w:val="single" w:sz="4" w:space="0" w:color="auto"/>
              <w:right w:val="nil"/>
            </w:tcBorders>
          </w:tcPr>
          <w:p w14:paraId="3AB995DF" w14:textId="77777777" w:rsidR="0064006D" w:rsidRDefault="0064006D">
            <w:pPr>
              <w:spacing w:after="0" w:line="240" w:lineRule="auto"/>
              <w:jc w:val="both"/>
              <w:rPr>
                <w:rFonts w:ascii="Times New Roman" w:hAnsi="Times New Roman" w:cs="Times New Roman"/>
                <w:b/>
                <w:bCs/>
              </w:rPr>
            </w:pPr>
          </w:p>
        </w:tc>
        <w:tc>
          <w:tcPr>
            <w:tcW w:w="2500" w:type="pct"/>
            <w:tcBorders>
              <w:left w:val="nil"/>
              <w:bottom w:val="single" w:sz="4" w:space="0" w:color="auto"/>
              <w:right w:val="nil"/>
            </w:tcBorders>
          </w:tcPr>
          <w:p w14:paraId="3AB995E0"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Perception</w:t>
            </w:r>
          </w:p>
        </w:tc>
      </w:tr>
      <w:tr w:rsidR="0064006D" w14:paraId="3AB995E4" w14:textId="77777777" w:rsidTr="003F0625">
        <w:tc>
          <w:tcPr>
            <w:tcW w:w="2500" w:type="pct"/>
            <w:tcBorders>
              <w:left w:val="nil"/>
              <w:bottom w:val="nil"/>
              <w:right w:val="nil"/>
            </w:tcBorders>
          </w:tcPr>
          <w:p w14:paraId="3AB995E2"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N</w:t>
            </w:r>
          </w:p>
        </w:tc>
        <w:tc>
          <w:tcPr>
            <w:tcW w:w="2500" w:type="pct"/>
            <w:tcBorders>
              <w:left w:val="nil"/>
              <w:bottom w:val="nil"/>
              <w:right w:val="nil"/>
            </w:tcBorders>
          </w:tcPr>
          <w:p w14:paraId="3AB995E3"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40</w:t>
            </w:r>
          </w:p>
        </w:tc>
      </w:tr>
      <w:tr w:rsidR="0064006D" w14:paraId="3AB995E7" w14:textId="77777777" w:rsidTr="003F0625">
        <w:tc>
          <w:tcPr>
            <w:tcW w:w="2500" w:type="pct"/>
            <w:tcBorders>
              <w:top w:val="nil"/>
              <w:left w:val="nil"/>
              <w:bottom w:val="nil"/>
              <w:right w:val="nil"/>
            </w:tcBorders>
          </w:tcPr>
          <w:p w14:paraId="3AB995E5"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Mean</w:t>
            </w:r>
          </w:p>
        </w:tc>
        <w:tc>
          <w:tcPr>
            <w:tcW w:w="2500" w:type="pct"/>
            <w:tcBorders>
              <w:top w:val="nil"/>
              <w:left w:val="nil"/>
              <w:bottom w:val="nil"/>
              <w:right w:val="nil"/>
            </w:tcBorders>
          </w:tcPr>
          <w:p w14:paraId="3AB995E6"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4.03</w:t>
            </w:r>
          </w:p>
        </w:tc>
      </w:tr>
      <w:tr w:rsidR="0064006D" w14:paraId="3AB995EA" w14:textId="77777777" w:rsidTr="003F0625">
        <w:tc>
          <w:tcPr>
            <w:tcW w:w="2500" w:type="pct"/>
            <w:tcBorders>
              <w:top w:val="nil"/>
              <w:left w:val="nil"/>
              <w:bottom w:val="nil"/>
              <w:right w:val="nil"/>
            </w:tcBorders>
          </w:tcPr>
          <w:p w14:paraId="3AB995E8"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Median</w:t>
            </w:r>
          </w:p>
        </w:tc>
        <w:tc>
          <w:tcPr>
            <w:tcW w:w="2500" w:type="pct"/>
            <w:tcBorders>
              <w:top w:val="nil"/>
              <w:left w:val="nil"/>
              <w:bottom w:val="nil"/>
              <w:right w:val="nil"/>
            </w:tcBorders>
          </w:tcPr>
          <w:p w14:paraId="3AB995E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4.00</w:t>
            </w:r>
          </w:p>
        </w:tc>
      </w:tr>
      <w:tr w:rsidR="0064006D" w14:paraId="3AB995ED" w14:textId="77777777" w:rsidTr="003F0625">
        <w:tc>
          <w:tcPr>
            <w:tcW w:w="2500" w:type="pct"/>
            <w:tcBorders>
              <w:top w:val="nil"/>
              <w:left w:val="nil"/>
              <w:bottom w:val="nil"/>
              <w:right w:val="nil"/>
            </w:tcBorders>
          </w:tcPr>
          <w:p w14:paraId="3AB995EB"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Standard Deviation</w:t>
            </w:r>
          </w:p>
        </w:tc>
        <w:tc>
          <w:tcPr>
            <w:tcW w:w="2500" w:type="pct"/>
            <w:tcBorders>
              <w:top w:val="nil"/>
              <w:left w:val="nil"/>
              <w:bottom w:val="nil"/>
              <w:right w:val="nil"/>
            </w:tcBorders>
          </w:tcPr>
          <w:p w14:paraId="3AB995E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0.497</w:t>
            </w:r>
          </w:p>
        </w:tc>
      </w:tr>
      <w:tr w:rsidR="0064006D" w14:paraId="3AB995F0" w14:textId="77777777" w:rsidTr="003F0625">
        <w:tc>
          <w:tcPr>
            <w:tcW w:w="2500" w:type="pct"/>
            <w:tcBorders>
              <w:top w:val="nil"/>
              <w:left w:val="nil"/>
              <w:bottom w:val="nil"/>
              <w:right w:val="nil"/>
            </w:tcBorders>
          </w:tcPr>
          <w:p w14:paraId="3AB995EE"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Minimum</w:t>
            </w:r>
          </w:p>
        </w:tc>
        <w:tc>
          <w:tcPr>
            <w:tcW w:w="2500" w:type="pct"/>
            <w:tcBorders>
              <w:top w:val="nil"/>
              <w:left w:val="nil"/>
              <w:bottom w:val="nil"/>
              <w:right w:val="nil"/>
            </w:tcBorders>
          </w:tcPr>
          <w:p w14:paraId="3AB995E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3.00</w:t>
            </w:r>
          </w:p>
        </w:tc>
      </w:tr>
      <w:tr w:rsidR="0064006D" w14:paraId="3AB995F3" w14:textId="77777777" w:rsidTr="003F0625">
        <w:tc>
          <w:tcPr>
            <w:tcW w:w="2500" w:type="pct"/>
            <w:tcBorders>
              <w:top w:val="nil"/>
              <w:left w:val="nil"/>
              <w:right w:val="nil"/>
            </w:tcBorders>
          </w:tcPr>
          <w:p w14:paraId="3AB995F1"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rPr>
              <w:t>Maximum</w:t>
            </w:r>
          </w:p>
        </w:tc>
        <w:tc>
          <w:tcPr>
            <w:tcW w:w="2500" w:type="pct"/>
            <w:tcBorders>
              <w:top w:val="nil"/>
              <w:left w:val="nil"/>
              <w:right w:val="nil"/>
            </w:tcBorders>
          </w:tcPr>
          <w:p w14:paraId="3AB995F2"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5.00</w:t>
            </w:r>
          </w:p>
        </w:tc>
      </w:tr>
    </w:tbl>
    <w:p w14:paraId="3AB995F4" w14:textId="77777777" w:rsidR="0064006D" w:rsidRDefault="0064006D">
      <w:pPr>
        <w:spacing w:line="240" w:lineRule="auto"/>
        <w:rPr>
          <w:rFonts w:ascii="Times New Roman" w:hAnsi="Times New Roman" w:cs="Times New Roman"/>
          <w:b/>
          <w:bCs/>
        </w:rPr>
      </w:pPr>
    </w:p>
    <w:p w14:paraId="3AB995F5" w14:textId="77777777" w:rsidR="0064006D" w:rsidRDefault="00AC3DC7">
      <w:p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findings presented in Table 1 indicate that students generally perceive waste management signage positively, with a mean score of 4.03 (median = 4.00) on a five-point scale, a range of 3.00 to 5.00, and a low standard deviation of 0.497, suggesting consistent perceptions across participants. These results are consistent with both local and international studies, which highlight that environmental cues, such as signage, are effective in guiding </w:t>
      </w:r>
      <w:proofErr w:type="spellStart"/>
      <w:r>
        <w:rPr>
          <w:rFonts w:ascii="Times New Roman" w:hAnsi="Times New Roman" w:cs="Times New Roman"/>
        </w:rPr>
        <w:t>behavior</w:t>
      </w:r>
      <w:proofErr w:type="spellEnd"/>
      <w:r>
        <w:rPr>
          <w:rFonts w:ascii="Times New Roman" w:hAnsi="Times New Roman" w:cs="Times New Roman"/>
        </w:rPr>
        <w:t xml:space="preserve"> and enhancing environmental awareness. The findings </w:t>
      </w:r>
      <w:r>
        <w:rPr>
          <w:rFonts w:ascii="Times New Roman" w:hAnsi="Times New Roman" w:cs="Times New Roman"/>
        </w:rPr>
        <w:lastRenderedPageBreak/>
        <w:t xml:space="preserve">are further supported by Nudge Theory, which posits that subtle prompts can influence individuals’ decision-making processes without restricting their choices, and by Environmental Cue Theory, which emphasizes that visible and consistent cues reinforce desired </w:t>
      </w:r>
      <w:proofErr w:type="spellStart"/>
      <w:r>
        <w:rPr>
          <w:rFonts w:ascii="Times New Roman" w:hAnsi="Times New Roman" w:cs="Times New Roman"/>
        </w:rPr>
        <w:t>behaviors</w:t>
      </w:r>
      <w:proofErr w:type="spellEnd"/>
      <w:r>
        <w:rPr>
          <w:rFonts w:ascii="Times New Roman" w:hAnsi="Times New Roman" w:cs="Times New Roman"/>
        </w:rPr>
        <w:t xml:space="preserve">. The high perception scores suggest that the signage effectively engaged students’ intuitive decision-making while fostering cognitive awareness of proper waste disposal practices. Overall, the results demonstrate that students not only recognize but also value the presence of signage, providing strong empirical and theoretical evidence for the use of visual cues in promoting and sustaining environmentally responsible </w:t>
      </w:r>
      <w:proofErr w:type="spellStart"/>
      <w:r>
        <w:rPr>
          <w:rFonts w:ascii="Times New Roman" w:hAnsi="Times New Roman" w:cs="Times New Roman"/>
        </w:rPr>
        <w:t>behavior</w:t>
      </w:r>
      <w:proofErr w:type="spellEnd"/>
      <w:r>
        <w:rPr>
          <w:rFonts w:ascii="Times New Roman" w:hAnsi="Times New Roman" w:cs="Times New Roman"/>
        </w:rPr>
        <w:t xml:space="preserve"> following campaign interventions.</w:t>
      </w:r>
    </w:p>
    <w:p w14:paraId="1221D4A0" w14:textId="77777777" w:rsidR="003F0625" w:rsidRDefault="003F0625" w:rsidP="003F0625">
      <w:pPr>
        <w:spacing w:line="240" w:lineRule="auto"/>
        <w:rPr>
          <w:rFonts w:ascii="Times New Roman" w:hAnsi="Times New Roman" w:cs="Times New Roman"/>
          <w:b/>
          <w:bCs/>
        </w:rPr>
      </w:pPr>
    </w:p>
    <w:p w14:paraId="3AB995F7" w14:textId="511AF47A" w:rsidR="0064006D" w:rsidRDefault="00AC3DC7" w:rsidP="003F0625">
      <w:pPr>
        <w:spacing w:line="240" w:lineRule="auto"/>
        <w:rPr>
          <w:rFonts w:ascii="Times New Roman" w:hAnsi="Times New Roman" w:cs="Times New Roman"/>
          <w:i/>
          <w:iCs/>
        </w:rPr>
      </w:pPr>
      <w:r>
        <w:rPr>
          <w:rFonts w:ascii="Times New Roman" w:hAnsi="Times New Roman" w:cs="Times New Roman"/>
          <w:b/>
          <w:bCs/>
        </w:rPr>
        <w:t xml:space="preserve">Table 2. </w:t>
      </w:r>
      <w:r>
        <w:rPr>
          <w:rFonts w:ascii="Times New Roman" w:hAnsi="Times New Roman" w:cs="Times New Roman"/>
          <w:i/>
          <w:iCs/>
        </w:rPr>
        <w:t xml:space="preserve">Mean of the Observed </w:t>
      </w:r>
      <w:proofErr w:type="spellStart"/>
      <w:r>
        <w:rPr>
          <w:rFonts w:ascii="Times New Roman" w:hAnsi="Times New Roman" w:cs="Times New Roman"/>
          <w:i/>
          <w:iCs/>
        </w:rPr>
        <w:t>Behaviors</w:t>
      </w:r>
      <w:proofErr w:type="spellEnd"/>
      <w:r>
        <w:rPr>
          <w:rFonts w:ascii="Times New Roman" w:hAnsi="Times New Roman" w:cs="Times New Roman"/>
          <w:i/>
          <w:iCs/>
        </w:rPr>
        <w:t xml:space="preserve"> after the Campaign Intervention</w:t>
      </w:r>
    </w:p>
    <w:tbl>
      <w:tblPr>
        <w:tblStyle w:val="TableGrid"/>
        <w:tblW w:w="5000" w:type="pct"/>
        <w:tblLook w:val="04A0" w:firstRow="1" w:lastRow="0" w:firstColumn="1" w:lastColumn="0" w:noHBand="0" w:noVBand="1"/>
      </w:tblPr>
      <w:tblGrid>
        <w:gridCol w:w="7911"/>
        <w:gridCol w:w="2385"/>
      </w:tblGrid>
      <w:tr w:rsidR="0064006D" w14:paraId="3AB995FA" w14:textId="77777777" w:rsidTr="003F0625">
        <w:tc>
          <w:tcPr>
            <w:tcW w:w="3842" w:type="pct"/>
            <w:tcBorders>
              <w:left w:val="nil"/>
              <w:bottom w:val="single" w:sz="4" w:space="0" w:color="auto"/>
              <w:right w:val="nil"/>
            </w:tcBorders>
          </w:tcPr>
          <w:p w14:paraId="3AB995F8" w14:textId="77777777" w:rsidR="0064006D" w:rsidRDefault="00AC3DC7">
            <w:pPr>
              <w:spacing w:after="0" w:line="240" w:lineRule="auto"/>
              <w:jc w:val="center"/>
              <w:rPr>
                <w:rFonts w:ascii="Times New Roman" w:hAnsi="Times New Roman" w:cs="Times New Roman"/>
              </w:rPr>
            </w:pPr>
            <w:proofErr w:type="spellStart"/>
            <w:r>
              <w:rPr>
                <w:rFonts w:ascii="Times New Roman" w:hAnsi="Times New Roman" w:cs="Times New Roman"/>
              </w:rPr>
              <w:t>Behavior</w:t>
            </w:r>
            <w:proofErr w:type="spellEnd"/>
          </w:p>
        </w:tc>
        <w:tc>
          <w:tcPr>
            <w:tcW w:w="1158" w:type="pct"/>
            <w:tcBorders>
              <w:left w:val="nil"/>
              <w:bottom w:val="single" w:sz="4" w:space="0" w:color="auto"/>
              <w:right w:val="nil"/>
            </w:tcBorders>
          </w:tcPr>
          <w:p w14:paraId="3AB995F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Mean</w:t>
            </w:r>
          </w:p>
        </w:tc>
      </w:tr>
      <w:tr w:rsidR="0064006D" w14:paraId="3AB995FD" w14:textId="77777777" w:rsidTr="003F0625">
        <w:tc>
          <w:tcPr>
            <w:tcW w:w="3842" w:type="pct"/>
            <w:tcBorders>
              <w:left w:val="nil"/>
              <w:bottom w:val="nil"/>
              <w:right w:val="nil"/>
            </w:tcBorders>
          </w:tcPr>
          <w:p w14:paraId="3AB995FB" w14:textId="77777777" w:rsidR="0064006D" w:rsidRDefault="00AC3DC7">
            <w:pPr>
              <w:spacing w:after="0" w:line="240" w:lineRule="auto"/>
              <w:rPr>
                <w:rFonts w:ascii="Times New Roman" w:hAnsi="Times New Roman" w:cs="Times New Roman"/>
              </w:rPr>
            </w:pPr>
            <w:r>
              <w:rPr>
                <w:rFonts w:ascii="Times New Roman" w:hAnsi="Times New Roman" w:cs="Times New Roman"/>
              </w:rPr>
              <w:t>Correctly sorts waste into designated bins</w:t>
            </w:r>
          </w:p>
        </w:tc>
        <w:tc>
          <w:tcPr>
            <w:tcW w:w="1158" w:type="pct"/>
            <w:tcBorders>
              <w:left w:val="nil"/>
              <w:bottom w:val="nil"/>
              <w:right w:val="nil"/>
            </w:tcBorders>
          </w:tcPr>
          <w:p w14:paraId="3AB995F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1.09</w:t>
            </w:r>
          </w:p>
        </w:tc>
      </w:tr>
      <w:tr w:rsidR="0064006D" w14:paraId="3AB99600" w14:textId="77777777" w:rsidTr="003F0625">
        <w:tc>
          <w:tcPr>
            <w:tcW w:w="3842" w:type="pct"/>
            <w:tcBorders>
              <w:top w:val="nil"/>
              <w:left w:val="nil"/>
              <w:bottom w:val="nil"/>
              <w:right w:val="nil"/>
            </w:tcBorders>
          </w:tcPr>
          <w:p w14:paraId="3AB995FE"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Follows signage for waste bins</w:t>
            </w:r>
          </w:p>
        </w:tc>
        <w:tc>
          <w:tcPr>
            <w:tcW w:w="1158" w:type="pct"/>
            <w:tcBorders>
              <w:top w:val="nil"/>
              <w:left w:val="nil"/>
              <w:bottom w:val="nil"/>
              <w:right w:val="nil"/>
            </w:tcBorders>
          </w:tcPr>
          <w:p w14:paraId="3AB995F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1.71</w:t>
            </w:r>
          </w:p>
        </w:tc>
      </w:tr>
      <w:tr w:rsidR="0064006D" w14:paraId="3AB99603" w14:textId="77777777" w:rsidTr="003F0625">
        <w:tc>
          <w:tcPr>
            <w:tcW w:w="3842" w:type="pct"/>
            <w:tcBorders>
              <w:top w:val="nil"/>
              <w:left w:val="nil"/>
              <w:bottom w:val="nil"/>
              <w:right w:val="nil"/>
            </w:tcBorders>
          </w:tcPr>
          <w:p w14:paraId="3AB99601"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Refrains from dropping any waste on the ground</w:t>
            </w:r>
          </w:p>
        </w:tc>
        <w:tc>
          <w:tcPr>
            <w:tcW w:w="1158" w:type="pct"/>
            <w:tcBorders>
              <w:top w:val="nil"/>
              <w:left w:val="nil"/>
              <w:bottom w:val="nil"/>
              <w:right w:val="nil"/>
            </w:tcBorders>
          </w:tcPr>
          <w:p w14:paraId="3AB99602"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1.34</w:t>
            </w:r>
          </w:p>
        </w:tc>
      </w:tr>
      <w:tr w:rsidR="0064006D" w14:paraId="3AB99606" w14:textId="77777777" w:rsidTr="003F0625">
        <w:tc>
          <w:tcPr>
            <w:tcW w:w="3842" w:type="pct"/>
            <w:tcBorders>
              <w:top w:val="nil"/>
              <w:left w:val="nil"/>
              <w:bottom w:val="nil"/>
              <w:right w:val="nil"/>
            </w:tcBorders>
          </w:tcPr>
          <w:p w14:paraId="3AB99604"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Separates residue from containers before disposal</w:t>
            </w:r>
          </w:p>
        </w:tc>
        <w:tc>
          <w:tcPr>
            <w:tcW w:w="1158" w:type="pct"/>
            <w:tcBorders>
              <w:top w:val="nil"/>
              <w:left w:val="nil"/>
              <w:bottom w:val="nil"/>
              <w:right w:val="nil"/>
            </w:tcBorders>
          </w:tcPr>
          <w:p w14:paraId="3AB99605"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1.16</w:t>
            </w:r>
          </w:p>
        </w:tc>
      </w:tr>
      <w:tr w:rsidR="0064006D" w14:paraId="3AB99609" w14:textId="77777777" w:rsidTr="003F0625">
        <w:tc>
          <w:tcPr>
            <w:tcW w:w="3842" w:type="pct"/>
            <w:tcBorders>
              <w:top w:val="nil"/>
              <w:left w:val="nil"/>
              <w:bottom w:val="nil"/>
              <w:right w:val="nil"/>
            </w:tcBorders>
          </w:tcPr>
          <w:p w14:paraId="3AB99607"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Maintains cleanliness of the waste area</w:t>
            </w:r>
          </w:p>
        </w:tc>
        <w:tc>
          <w:tcPr>
            <w:tcW w:w="1158" w:type="pct"/>
            <w:tcBorders>
              <w:top w:val="nil"/>
              <w:left w:val="nil"/>
              <w:bottom w:val="nil"/>
              <w:right w:val="nil"/>
            </w:tcBorders>
          </w:tcPr>
          <w:p w14:paraId="3AB9960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1.54</w:t>
            </w:r>
          </w:p>
        </w:tc>
      </w:tr>
      <w:tr w:rsidR="0064006D" w14:paraId="3AB9960C" w14:textId="77777777" w:rsidTr="003F0625">
        <w:tc>
          <w:tcPr>
            <w:tcW w:w="3842" w:type="pct"/>
            <w:tcBorders>
              <w:top w:val="nil"/>
              <w:left w:val="nil"/>
              <w:bottom w:val="nil"/>
              <w:right w:val="nil"/>
            </w:tcBorders>
          </w:tcPr>
          <w:p w14:paraId="3AB9960A"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Pauses to look at, read, or point to signage</w:t>
            </w:r>
          </w:p>
        </w:tc>
        <w:tc>
          <w:tcPr>
            <w:tcW w:w="1158" w:type="pct"/>
            <w:tcBorders>
              <w:top w:val="nil"/>
              <w:left w:val="nil"/>
              <w:bottom w:val="nil"/>
              <w:right w:val="nil"/>
            </w:tcBorders>
          </w:tcPr>
          <w:p w14:paraId="3AB9960B"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1.57</w:t>
            </w:r>
          </w:p>
        </w:tc>
      </w:tr>
      <w:tr w:rsidR="0064006D" w14:paraId="3AB9960F" w14:textId="77777777" w:rsidTr="003F0625">
        <w:tc>
          <w:tcPr>
            <w:tcW w:w="3842" w:type="pct"/>
            <w:tcBorders>
              <w:top w:val="nil"/>
              <w:left w:val="nil"/>
              <w:bottom w:val="nil"/>
              <w:right w:val="nil"/>
            </w:tcBorders>
          </w:tcPr>
          <w:p w14:paraId="3AB9960D"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Appears confused about where to place waste</w:t>
            </w:r>
          </w:p>
        </w:tc>
        <w:tc>
          <w:tcPr>
            <w:tcW w:w="1158" w:type="pct"/>
            <w:tcBorders>
              <w:top w:val="nil"/>
              <w:left w:val="nil"/>
              <w:bottom w:val="nil"/>
              <w:right w:val="nil"/>
            </w:tcBorders>
          </w:tcPr>
          <w:p w14:paraId="3AB9960E"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0.446</w:t>
            </w:r>
          </w:p>
        </w:tc>
      </w:tr>
      <w:tr w:rsidR="0064006D" w14:paraId="3AB99612" w14:textId="77777777" w:rsidTr="003F0625">
        <w:tc>
          <w:tcPr>
            <w:tcW w:w="3842" w:type="pct"/>
            <w:tcBorders>
              <w:top w:val="nil"/>
              <w:left w:val="nil"/>
              <w:bottom w:val="nil"/>
              <w:right w:val="nil"/>
            </w:tcBorders>
          </w:tcPr>
          <w:p w14:paraId="3AB99610"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Encourages peers in proper waste disposal</w:t>
            </w:r>
          </w:p>
        </w:tc>
        <w:tc>
          <w:tcPr>
            <w:tcW w:w="1158" w:type="pct"/>
            <w:tcBorders>
              <w:top w:val="nil"/>
              <w:left w:val="nil"/>
              <w:bottom w:val="nil"/>
              <w:right w:val="nil"/>
            </w:tcBorders>
          </w:tcPr>
          <w:p w14:paraId="3AB99611"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1.54</w:t>
            </w:r>
          </w:p>
        </w:tc>
      </w:tr>
      <w:tr w:rsidR="0064006D" w14:paraId="3AB99615" w14:textId="77777777" w:rsidTr="003F0625">
        <w:tc>
          <w:tcPr>
            <w:tcW w:w="3842" w:type="pct"/>
            <w:tcBorders>
              <w:top w:val="nil"/>
              <w:left w:val="nil"/>
              <w:right w:val="nil"/>
            </w:tcBorders>
          </w:tcPr>
          <w:p w14:paraId="3AB99613" w14:textId="77777777" w:rsidR="0064006D" w:rsidRDefault="00AC3DC7">
            <w:pPr>
              <w:spacing w:after="0" w:line="240" w:lineRule="auto"/>
              <w:rPr>
                <w:rFonts w:ascii="Times New Roman" w:hAnsi="Times New Roman" w:cs="Times New Roman"/>
                <w:i/>
                <w:iCs/>
              </w:rPr>
            </w:pPr>
            <w:r>
              <w:rPr>
                <w:rFonts w:ascii="Times New Roman" w:hAnsi="Times New Roman" w:cs="Times New Roman"/>
              </w:rPr>
              <w:t>Participates in waste management activities such as picking up litter, cleaning, etc.</w:t>
            </w:r>
          </w:p>
        </w:tc>
        <w:tc>
          <w:tcPr>
            <w:tcW w:w="1158" w:type="pct"/>
            <w:tcBorders>
              <w:top w:val="nil"/>
              <w:left w:val="nil"/>
              <w:right w:val="nil"/>
            </w:tcBorders>
          </w:tcPr>
          <w:p w14:paraId="3AB99614"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1.64</w:t>
            </w:r>
          </w:p>
        </w:tc>
      </w:tr>
    </w:tbl>
    <w:p w14:paraId="3AB99616" w14:textId="77777777" w:rsidR="0064006D" w:rsidRDefault="00AC3DC7">
      <w:pPr>
        <w:spacing w:after="0" w:line="240" w:lineRule="auto"/>
        <w:rPr>
          <w:rFonts w:ascii="Times New Roman" w:hAnsi="Times New Roman" w:cs="Times New Roman"/>
          <w:sz w:val="22"/>
          <w:szCs w:val="22"/>
        </w:rPr>
      </w:pPr>
      <w:r>
        <w:rPr>
          <w:rFonts w:ascii="Times New Roman" w:hAnsi="Times New Roman" w:cs="Times New Roman"/>
          <w:b/>
          <w:bCs/>
          <w:i/>
          <w:iCs/>
          <w:sz w:val="22"/>
          <w:szCs w:val="22"/>
        </w:rPr>
        <w:t xml:space="preserve">Note: </w:t>
      </w:r>
      <w:r>
        <w:rPr>
          <w:rFonts w:ascii="Times New Roman" w:hAnsi="Times New Roman" w:cs="Times New Roman"/>
          <w:sz w:val="22"/>
          <w:szCs w:val="22"/>
        </w:rPr>
        <w:t xml:space="preserve">The researchers used a scoring system of 0 = not observed, 1 = rarely observed, and 2 = observed. The second and sixth </w:t>
      </w:r>
      <w:proofErr w:type="spellStart"/>
      <w:r>
        <w:rPr>
          <w:rFonts w:ascii="Times New Roman" w:hAnsi="Times New Roman" w:cs="Times New Roman"/>
          <w:sz w:val="22"/>
          <w:szCs w:val="22"/>
        </w:rPr>
        <w:t>behavior</w:t>
      </w:r>
      <w:proofErr w:type="spellEnd"/>
      <w:r>
        <w:rPr>
          <w:rFonts w:ascii="Times New Roman" w:hAnsi="Times New Roman" w:cs="Times New Roman"/>
          <w:sz w:val="22"/>
          <w:szCs w:val="22"/>
        </w:rPr>
        <w:t xml:space="preserve"> was only applied to the group with signage.</w:t>
      </w:r>
    </w:p>
    <w:p w14:paraId="3AB99617" w14:textId="77777777" w:rsidR="0064006D" w:rsidRDefault="0064006D">
      <w:pPr>
        <w:spacing w:after="0" w:line="240" w:lineRule="auto"/>
        <w:jc w:val="both"/>
        <w:rPr>
          <w:rFonts w:ascii="Times New Roman" w:hAnsi="Times New Roman" w:cs="Times New Roman"/>
          <w:sz w:val="22"/>
          <w:szCs w:val="22"/>
        </w:rPr>
      </w:pPr>
    </w:p>
    <w:p w14:paraId="3AB9961D" w14:textId="36E6AB9B" w:rsidR="0064006D" w:rsidRDefault="00AC3DC7" w:rsidP="003F0625">
      <w:pPr>
        <w:spacing w:after="0" w:line="240" w:lineRule="auto"/>
        <w:jc w:val="both"/>
        <w:rPr>
          <w:rFonts w:ascii="Times New Roman" w:hAnsi="Times New Roman" w:cs="Times New Roman"/>
        </w:rPr>
      </w:pPr>
      <w:r>
        <w:rPr>
          <w:rFonts w:ascii="Times New Roman" w:hAnsi="Times New Roman" w:cs="Times New Roman"/>
        </w:rPr>
        <w:tab/>
        <w:t xml:space="preserve">Observations of junior high students following the campaign revealed that they frequently engaged in active waste management </w:t>
      </w:r>
      <w:proofErr w:type="spellStart"/>
      <w:r>
        <w:rPr>
          <w:rFonts w:ascii="Times New Roman" w:hAnsi="Times New Roman" w:cs="Times New Roman"/>
        </w:rPr>
        <w:t>behaviors</w:t>
      </w:r>
      <w:proofErr w:type="spellEnd"/>
      <w:r>
        <w:rPr>
          <w:rFonts w:ascii="Times New Roman" w:hAnsi="Times New Roman" w:cs="Times New Roman"/>
        </w:rPr>
        <w:t xml:space="preserve">, including participating in cleaning activities (M = 1.64), maintaining cleanliness of the waste area (M = 1.54), encouraging peers to dispose of waste properly (M = 1.54), following signage for waste bins (M = 1.71), and pausing to read or reference signage (M = 1.57), with the latter two </w:t>
      </w:r>
      <w:proofErr w:type="spellStart"/>
      <w:r>
        <w:rPr>
          <w:rFonts w:ascii="Times New Roman" w:hAnsi="Times New Roman" w:cs="Times New Roman"/>
        </w:rPr>
        <w:t>behaviors</w:t>
      </w:r>
      <w:proofErr w:type="spellEnd"/>
      <w:r>
        <w:rPr>
          <w:rFonts w:ascii="Times New Roman" w:hAnsi="Times New Roman" w:cs="Times New Roman"/>
        </w:rPr>
        <w:t xml:space="preserve"> notably higher among students exposed to signage. Proper sorting into designated bins (M = 1.09), refraining from littering (M = 1.34), and separating residue from containers before disposal (M = 1.16) were observed moderately, while confusion about waste placement was minimal (M = 0.446), indicating general understanding of correct practices. These findings support previous research emphasizing that while awareness campaigns raise engagement, environmental cues such as signage are crucial for sustaining precise </w:t>
      </w:r>
      <w:proofErr w:type="spellStart"/>
      <w:r>
        <w:rPr>
          <w:rFonts w:ascii="Times New Roman" w:hAnsi="Times New Roman" w:cs="Times New Roman"/>
        </w:rPr>
        <w:t>behaviors</w:t>
      </w:r>
      <w:proofErr w:type="spellEnd"/>
      <w:r>
        <w:rPr>
          <w:rFonts w:ascii="Times New Roman" w:hAnsi="Times New Roman" w:cs="Times New Roman"/>
        </w:rPr>
        <w:t xml:space="preserve"> (</w:t>
      </w:r>
      <w:proofErr w:type="spellStart"/>
      <w:r>
        <w:rPr>
          <w:rFonts w:ascii="Times New Roman" w:hAnsi="Times New Roman" w:cs="Times New Roman"/>
        </w:rPr>
        <w:t>Luague</w:t>
      </w:r>
      <w:proofErr w:type="spellEnd"/>
      <w:r>
        <w:rPr>
          <w:rFonts w:ascii="Times New Roman" w:hAnsi="Times New Roman" w:cs="Times New Roman"/>
        </w:rPr>
        <w:t xml:space="preserve"> Jr. &amp; Lucero, 2024). The results are consistent with Nudge Theory, where signage acts as a subtle prompt guiding correct disposal decisions, and Environmental Cue Theory, which highlights that repeated exposure to clear visual </w:t>
      </w:r>
      <w:proofErr w:type="gramStart"/>
      <w:r>
        <w:rPr>
          <w:rFonts w:ascii="Times New Roman" w:hAnsi="Times New Roman" w:cs="Times New Roman"/>
        </w:rPr>
        <w:t>cues</w:t>
      </w:r>
      <w:proofErr w:type="gramEnd"/>
      <w:r>
        <w:rPr>
          <w:rFonts w:ascii="Times New Roman" w:hAnsi="Times New Roman" w:cs="Times New Roman"/>
        </w:rPr>
        <w:t xml:space="preserve"> reinforces </w:t>
      </w:r>
      <w:proofErr w:type="spellStart"/>
      <w:r>
        <w:rPr>
          <w:rFonts w:ascii="Times New Roman" w:hAnsi="Times New Roman" w:cs="Times New Roman"/>
        </w:rPr>
        <w:t>behavior</w:t>
      </w:r>
      <w:proofErr w:type="spellEnd"/>
      <w:r>
        <w:rPr>
          <w:rFonts w:ascii="Times New Roman" w:hAnsi="Times New Roman" w:cs="Times New Roman"/>
        </w:rPr>
        <w:t xml:space="preserve"> and facilitates habit formation. Overall, students actively participate in observable waste management practices, and the high frequency of signage-related actions demonstrates that environmental cues significantly enhance adherence to proper sorting and disposal </w:t>
      </w:r>
      <w:proofErr w:type="spellStart"/>
      <w:r>
        <w:rPr>
          <w:rFonts w:ascii="Times New Roman" w:hAnsi="Times New Roman" w:cs="Times New Roman"/>
        </w:rPr>
        <w:t>behaviors</w:t>
      </w:r>
      <w:proofErr w:type="spellEnd"/>
      <w:r>
        <w:rPr>
          <w:rFonts w:ascii="Times New Roman" w:hAnsi="Times New Roman" w:cs="Times New Roman"/>
        </w:rPr>
        <w:t>.</w:t>
      </w:r>
    </w:p>
    <w:p w14:paraId="3AB9961E" w14:textId="77777777" w:rsidR="0064006D" w:rsidRDefault="0064006D">
      <w:pPr>
        <w:spacing w:after="0" w:line="240" w:lineRule="auto"/>
        <w:rPr>
          <w:rFonts w:ascii="Times New Roman" w:hAnsi="Times New Roman" w:cs="Times New Roman"/>
        </w:rPr>
      </w:pPr>
    </w:p>
    <w:p w14:paraId="3AB9961F" w14:textId="77777777" w:rsidR="0064006D" w:rsidRPr="003F0625" w:rsidRDefault="00AC3DC7" w:rsidP="003F0625">
      <w:pPr>
        <w:spacing w:after="0" w:line="240" w:lineRule="auto"/>
        <w:jc w:val="center"/>
        <w:rPr>
          <w:rFonts w:ascii="Times New Roman" w:hAnsi="Times New Roman" w:cs="Times New Roman"/>
        </w:rPr>
      </w:pPr>
      <w:r w:rsidRPr="003F0625">
        <w:rPr>
          <w:rFonts w:ascii="Times New Roman" w:hAnsi="Times New Roman" w:cs="Times New Roman"/>
        </w:rPr>
        <w:t xml:space="preserve">Effect of Environmental Campaign Interventions, With and Without Signage, on the Sustained Waste Management </w:t>
      </w:r>
      <w:proofErr w:type="spellStart"/>
      <w:r w:rsidRPr="003F0625">
        <w:rPr>
          <w:rFonts w:ascii="Times New Roman" w:hAnsi="Times New Roman" w:cs="Times New Roman"/>
        </w:rPr>
        <w:t>Behavior</w:t>
      </w:r>
      <w:proofErr w:type="spellEnd"/>
    </w:p>
    <w:p w14:paraId="3AB99620"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b/>
          <w:bCs/>
        </w:rPr>
        <w:t xml:space="preserve">Table 3. </w:t>
      </w:r>
      <w:r>
        <w:rPr>
          <w:rFonts w:ascii="Times New Roman" w:hAnsi="Times New Roman" w:cs="Times New Roman"/>
          <w:i/>
          <w:iCs/>
        </w:rPr>
        <w:t>Independent Sample T-test on the sustained waste management between the two groups.</w:t>
      </w:r>
    </w:p>
    <w:tbl>
      <w:tblPr>
        <w:tblStyle w:val="TableGrid"/>
        <w:tblW w:w="5000" w:type="pct"/>
        <w:tblLook w:val="04A0" w:firstRow="1" w:lastRow="0" w:firstColumn="1" w:lastColumn="0" w:noHBand="0" w:noVBand="1"/>
      </w:tblPr>
      <w:tblGrid>
        <w:gridCol w:w="1480"/>
        <w:gridCol w:w="1344"/>
        <w:gridCol w:w="879"/>
        <w:gridCol w:w="937"/>
        <w:gridCol w:w="1536"/>
        <w:gridCol w:w="1470"/>
        <w:gridCol w:w="1542"/>
        <w:gridCol w:w="1108"/>
      </w:tblGrid>
      <w:tr w:rsidR="0064006D" w14:paraId="3AB99629" w14:textId="77777777" w:rsidTr="003F0625">
        <w:tc>
          <w:tcPr>
            <w:tcW w:w="718" w:type="pct"/>
            <w:tcBorders>
              <w:left w:val="nil"/>
              <w:bottom w:val="single" w:sz="4" w:space="0" w:color="auto"/>
              <w:right w:val="nil"/>
            </w:tcBorders>
          </w:tcPr>
          <w:p w14:paraId="3AB99621" w14:textId="77777777" w:rsidR="0064006D" w:rsidRDefault="0064006D">
            <w:pPr>
              <w:spacing w:after="0" w:line="240" w:lineRule="auto"/>
              <w:jc w:val="center"/>
              <w:rPr>
                <w:rFonts w:ascii="Times New Roman" w:hAnsi="Times New Roman" w:cs="Times New Roman"/>
              </w:rPr>
            </w:pPr>
          </w:p>
        </w:tc>
        <w:tc>
          <w:tcPr>
            <w:tcW w:w="652" w:type="pct"/>
            <w:tcBorders>
              <w:left w:val="nil"/>
              <w:bottom w:val="single" w:sz="4" w:space="0" w:color="auto"/>
              <w:right w:val="nil"/>
            </w:tcBorders>
          </w:tcPr>
          <w:p w14:paraId="3AB99622" w14:textId="77777777" w:rsidR="0064006D" w:rsidRDefault="00AC3DC7">
            <w:pPr>
              <w:spacing w:after="0" w:line="240" w:lineRule="auto"/>
              <w:rPr>
                <w:rFonts w:ascii="Times New Roman" w:hAnsi="Times New Roman" w:cs="Times New Roman"/>
              </w:rPr>
            </w:pPr>
            <w:r>
              <w:rPr>
                <w:rFonts w:ascii="Times New Roman" w:hAnsi="Times New Roman" w:cs="Times New Roman"/>
              </w:rPr>
              <w:t>Statistics</w:t>
            </w:r>
          </w:p>
        </w:tc>
        <w:tc>
          <w:tcPr>
            <w:tcW w:w="427" w:type="pct"/>
            <w:tcBorders>
              <w:left w:val="nil"/>
              <w:bottom w:val="single" w:sz="4" w:space="0" w:color="auto"/>
              <w:right w:val="nil"/>
            </w:tcBorders>
          </w:tcPr>
          <w:p w14:paraId="3AB99623" w14:textId="77777777" w:rsidR="0064006D" w:rsidRDefault="00AC3DC7">
            <w:pPr>
              <w:spacing w:after="0" w:line="240" w:lineRule="auto"/>
              <w:jc w:val="center"/>
              <w:rPr>
                <w:rFonts w:ascii="Times New Roman" w:hAnsi="Times New Roman" w:cs="Times New Roman"/>
              </w:rPr>
            </w:pPr>
            <w:proofErr w:type="spellStart"/>
            <w:r>
              <w:rPr>
                <w:rFonts w:ascii="Times New Roman" w:hAnsi="Times New Roman" w:cs="Times New Roman"/>
              </w:rPr>
              <w:t>df</w:t>
            </w:r>
            <w:proofErr w:type="spellEnd"/>
          </w:p>
        </w:tc>
        <w:tc>
          <w:tcPr>
            <w:tcW w:w="455" w:type="pct"/>
            <w:tcBorders>
              <w:left w:val="nil"/>
              <w:bottom w:val="single" w:sz="4" w:space="0" w:color="auto"/>
              <w:right w:val="nil"/>
            </w:tcBorders>
          </w:tcPr>
          <w:p w14:paraId="3AB99624"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p</w:t>
            </w:r>
          </w:p>
        </w:tc>
        <w:tc>
          <w:tcPr>
            <w:tcW w:w="746" w:type="pct"/>
            <w:tcBorders>
              <w:left w:val="nil"/>
              <w:bottom w:val="single" w:sz="4" w:space="0" w:color="auto"/>
              <w:right w:val="nil"/>
            </w:tcBorders>
          </w:tcPr>
          <w:p w14:paraId="3AB99625"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 xml:space="preserve">Mean </w:t>
            </w:r>
            <w:r>
              <w:rPr>
                <w:rFonts w:ascii="Times New Roman" w:hAnsi="Times New Roman" w:cs="Times New Roman"/>
              </w:rPr>
              <w:lastRenderedPageBreak/>
              <w:t xml:space="preserve">Difference </w:t>
            </w:r>
          </w:p>
        </w:tc>
        <w:tc>
          <w:tcPr>
            <w:tcW w:w="714" w:type="pct"/>
            <w:tcBorders>
              <w:left w:val="nil"/>
              <w:bottom w:val="single" w:sz="4" w:space="0" w:color="auto"/>
              <w:right w:val="nil"/>
            </w:tcBorders>
          </w:tcPr>
          <w:p w14:paraId="3AB99626"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lastRenderedPageBreak/>
              <w:t xml:space="preserve">SE </w:t>
            </w:r>
            <w:r>
              <w:rPr>
                <w:rFonts w:ascii="Times New Roman" w:hAnsi="Times New Roman" w:cs="Times New Roman"/>
              </w:rPr>
              <w:lastRenderedPageBreak/>
              <w:t>difference</w:t>
            </w:r>
          </w:p>
        </w:tc>
        <w:tc>
          <w:tcPr>
            <w:tcW w:w="749" w:type="pct"/>
            <w:tcBorders>
              <w:left w:val="nil"/>
              <w:bottom w:val="single" w:sz="4" w:space="0" w:color="auto"/>
              <w:right w:val="nil"/>
            </w:tcBorders>
          </w:tcPr>
          <w:p w14:paraId="3AB99627" w14:textId="77777777" w:rsidR="0064006D" w:rsidRDefault="0064006D">
            <w:pPr>
              <w:spacing w:after="0" w:line="240" w:lineRule="auto"/>
              <w:jc w:val="center"/>
              <w:rPr>
                <w:rFonts w:ascii="Times New Roman" w:hAnsi="Times New Roman" w:cs="Times New Roman"/>
              </w:rPr>
            </w:pPr>
          </w:p>
        </w:tc>
        <w:tc>
          <w:tcPr>
            <w:tcW w:w="538" w:type="pct"/>
            <w:tcBorders>
              <w:left w:val="nil"/>
              <w:bottom w:val="single" w:sz="4" w:space="0" w:color="auto"/>
              <w:right w:val="nil"/>
            </w:tcBorders>
          </w:tcPr>
          <w:p w14:paraId="3AB9962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 xml:space="preserve">Effect </w:t>
            </w:r>
            <w:r>
              <w:rPr>
                <w:rFonts w:ascii="Times New Roman" w:hAnsi="Times New Roman" w:cs="Times New Roman"/>
              </w:rPr>
              <w:lastRenderedPageBreak/>
              <w:t>Size</w:t>
            </w:r>
          </w:p>
        </w:tc>
      </w:tr>
      <w:tr w:rsidR="0064006D" w14:paraId="3AB99632" w14:textId="77777777" w:rsidTr="003F0625">
        <w:tc>
          <w:tcPr>
            <w:tcW w:w="718" w:type="pct"/>
            <w:tcBorders>
              <w:left w:val="nil"/>
              <w:right w:val="nil"/>
            </w:tcBorders>
          </w:tcPr>
          <w:p w14:paraId="3AB9962A" w14:textId="77777777" w:rsidR="0064006D" w:rsidRDefault="00AC3DC7">
            <w:pPr>
              <w:spacing w:after="0" w:line="240" w:lineRule="auto"/>
              <w:rPr>
                <w:rFonts w:ascii="Times New Roman" w:hAnsi="Times New Roman" w:cs="Times New Roman"/>
              </w:rPr>
            </w:pPr>
            <w:r>
              <w:rPr>
                <w:rFonts w:ascii="Times New Roman" w:hAnsi="Times New Roman" w:cs="Times New Roman"/>
              </w:rPr>
              <w:lastRenderedPageBreak/>
              <w:t>Welch’s t</w:t>
            </w:r>
          </w:p>
        </w:tc>
        <w:tc>
          <w:tcPr>
            <w:tcW w:w="652" w:type="pct"/>
            <w:tcBorders>
              <w:left w:val="nil"/>
              <w:right w:val="nil"/>
            </w:tcBorders>
          </w:tcPr>
          <w:p w14:paraId="3AB9962B"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3.20</w:t>
            </w:r>
          </w:p>
        </w:tc>
        <w:tc>
          <w:tcPr>
            <w:tcW w:w="427" w:type="pct"/>
            <w:tcBorders>
              <w:left w:val="nil"/>
              <w:right w:val="nil"/>
            </w:tcBorders>
          </w:tcPr>
          <w:p w14:paraId="3AB9962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50.4</w:t>
            </w:r>
          </w:p>
        </w:tc>
        <w:tc>
          <w:tcPr>
            <w:tcW w:w="455" w:type="pct"/>
            <w:tcBorders>
              <w:left w:val="nil"/>
              <w:right w:val="nil"/>
            </w:tcBorders>
          </w:tcPr>
          <w:p w14:paraId="3AB9962D"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0.002</w:t>
            </w:r>
          </w:p>
        </w:tc>
        <w:tc>
          <w:tcPr>
            <w:tcW w:w="746" w:type="pct"/>
            <w:tcBorders>
              <w:left w:val="nil"/>
              <w:right w:val="nil"/>
            </w:tcBorders>
          </w:tcPr>
          <w:p w14:paraId="3AB9962E"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0.429</w:t>
            </w:r>
          </w:p>
        </w:tc>
        <w:tc>
          <w:tcPr>
            <w:tcW w:w="714" w:type="pct"/>
            <w:tcBorders>
              <w:left w:val="nil"/>
              <w:right w:val="nil"/>
            </w:tcBorders>
          </w:tcPr>
          <w:p w14:paraId="3AB9962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0.134</w:t>
            </w:r>
          </w:p>
        </w:tc>
        <w:tc>
          <w:tcPr>
            <w:tcW w:w="749" w:type="pct"/>
            <w:tcBorders>
              <w:left w:val="nil"/>
              <w:right w:val="nil"/>
            </w:tcBorders>
          </w:tcPr>
          <w:p w14:paraId="3AB99630" w14:textId="77777777" w:rsidR="0064006D" w:rsidRDefault="00AC3DC7">
            <w:pPr>
              <w:spacing w:after="0" w:line="240" w:lineRule="auto"/>
              <w:rPr>
                <w:rFonts w:ascii="Times New Roman" w:hAnsi="Times New Roman" w:cs="Times New Roman"/>
              </w:rPr>
            </w:pPr>
            <w:r>
              <w:rPr>
                <w:rFonts w:ascii="Times New Roman" w:hAnsi="Times New Roman" w:cs="Times New Roman"/>
              </w:rPr>
              <w:t>Cohen’s d</w:t>
            </w:r>
          </w:p>
        </w:tc>
        <w:tc>
          <w:tcPr>
            <w:tcW w:w="538" w:type="pct"/>
            <w:tcBorders>
              <w:left w:val="nil"/>
              <w:right w:val="nil"/>
            </w:tcBorders>
          </w:tcPr>
          <w:p w14:paraId="3AB99631"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0.856</w:t>
            </w:r>
          </w:p>
        </w:tc>
      </w:tr>
    </w:tbl>
    <w:p w14:paraId="3AB99633" w14:textId="77777777" w:rsidR="0064006D" w:rsidRDefault="00AC3DC7">
      <w:pPr>
        <w:spacing w:line="240" w:lineRule="auto"/>
        <w:rPr>
          <w:rFonts w:ascii="Times New Roman" w:hAnsi="Times New Roman" w:cs="Times New Roman"/>
          <w:sz w:val="22"/>
          <w:szCs w:val="22"/>
        </w:rPr>
      </w:pPr>
      <w:r>
        <w:rPr>
          <w:rFonts w:ascii="Times New Roman" w:hAnsi="Times New Roman" w:cs="Times New Roman"/>
          <w:b/>
          <w:bCs/>
          <w:i/>
          <w:iCs/>
          <w:sz w:val="22"/>
          <w:szCs w:val="22"/>
        </w:rPr>
        <w:t xml:space="preserve">Note: </w:t>
      </w:r>
      <w:r>
        <w:rPr>
          <w:rFonts w:ascii="Times New Roman" w:hAnsi="Times New Roman" w:cs="Times New Roman"/>
          <w:sz w:val="22"/>
          <w:szCs w:val="22"/>
        </w:rPr>
        <w:t xml:space="preserve">H0 </w:t>
      </w:r>
      <w:proofErr w:type="spellStart"/>
      <w:r>
        <w:rPr>
          <w:rFonts w:ascii="Times New Roman" w:hAnsi="Times New Roman" w:cs="Times New Roman"/>
          <w:sz w:val="22"/>
          <w:szCs w:val="22"/>
        </w:rPr>
        <w:t>μwithout</w:t>
      </w:r>
      <w:proofErr w:type="spellEnd"/>
      <w:r>
        <w:rPr>
          <w:rFonts w:ascii="Times New Roman" w:hAnsi="Times New Roman" w:cs="Times New Roman"/>
          <w:sz w:val="22"/>
          <w:szCs w:val="22"/>
        </w:rPr>
        <w:t xml:space="preserve"> ≠ H1 </w:t>
      </w:r>
      <w:proofErr w:type="spellStart"/>
      <w:r>
        <w:rPr>
          <w:rFonts w:ascii="Times New Roman" w:hAnsi="Times New Roman" w:cs="Times New Roman"/>
          <w:sz w:val="22"/>
          <w:szCs w:val="22"/>
        </w:rPr>
        <w:t>μwith</w:t>
      </w:r>
      <w:proofErr w:type="spellEnd"/>
    </w:p>
    <w:p w14:paraId="3AB99634"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rPr>
        <w:t xml:space="preserve">The analysis of sustained waste management </w:t>
      </w:r>
      <w:proofErr w:type="spellStart"/>
      <w:r>
        <w:rPr>
          <w:rFonts w:ascii="Times New Roman" w:hAnsi="Times New Roman" w:cs="Times New Roman"/>
        </w:rPr>
        <w:t>behavior</w:t>
      </w:r>
      <w:proofErr w:type="spellEnd"/>
      <w:r>
        <w:rPr>
          <w:rFonts w:ascii="Times New Roman" w:hAnsi="Times New Roman" w:cs="Times New Roman"/>
        </w:rPr>
        <w:t xml:space="preserve"> revealed a significant difference between students exposed to campaign interventions with signage and those without. Welch’s t-test indicated a statistically significant effect (t = 3.20, </w:t>
      </w:r>
      <w:proofErr w:type="spellStart"/>
      <w:r>
        <w:rPr>
          <w:rFonts w:ascii="Times New Roman" w:hAnsi="Times New Roman" w:cs="Times New Roman"/>
        </w:rPr>
        <w:t>df</w:t>
      </w:r>
      <w:proofErr w:type="spellEnd"/>
      <w:r>
        <w:rPr>
          <w:rFonts w:ascii="Times New Roman" w:hAnsi="Times New Roman" w:cs="Times New Roman"/>
        </w:rPr>
        <w:t xml:space="preserve"> = 50.4, p = 0.002) with a mean difference of 0.429 and a large effect size (Cohen’s d = 0.856), demonstrating that the presence of signage substantially enhanced adherence to proper waste management </w:t>
      </w:r>
      <w:proofErr w:type="spellStart"/>
      <w:r>
        <w:rPr>
          <w:rFonts w:ascii="Times New Roman" w:hAnsi="Times New Roman" w:cs="Times New Roman"/>
        </w:rPr>
        <w:t>behaviors</w:t>
      </w:r>
      <w:proofErr w:type="spellEnd"/>
      <w:r>
        <w:rPr>
          <w:rFonts w:ascii="Times New Roman" w:hAnsi="Times New Roman" w:cs="Times New Roman"/>
        </w:rPr>
        <w:t xml:space="preserve">. These findings align with existing literature, which suggests that awareness campaigns alone often produce only temporary </w:t>
      </w:r>
      <w:proofErr w:type="spellStart"/>
      <w:r>
        <w:rPr>
          <w:rFonts w:ascii="Times New Roman" w:hAnsi="Times New Roman" w:cs="Times New Roman"/>
        </w:rPr>
        <w:t>behavior</w:t>
      </w:r>
      <w:proofErr w:type="spellEnd"/>
      <w:r>
        <w:rPr>
          <w:rFonts w:ascii="Times New Roman" w:hAnsi="Times New Roman" w:cs="Times New Roman"/>
        </w:rPr>
        <w:t xml:space="preserve"> change, whereas environmental cues like signage act as constant reminders that reinforce correct practices and facilitate habit formation (</w:t>
      </w:r>
      <w:proofErr w:type="spellStart"/>
      <w:r>
        <w:rPr>
          <w:rFonts w:ascii="Times New Roman" w:hAnsi="Times New Roman" w:cs="Times New Roman"/>
        </w:rPr>
        <w:t>Lapuz</w:t>
      </w:r>
      <w:proofErr w:type="spellEnd"/>
      <w:r>
        <w:rPr>
          <w:rFonts w:ascii="Times New Roman" w:hAnsi="Times New Roman" w:cs="Times New Roman"/>
        </w:rPr>
        <w:t xml:space="preserve"> &amp; </w:t>
      </w:r>
      <w:proofErr w:type="spellStart"/>
      <w:r>
        <w:rPr>
          <w:rFonts w:ascii="Times New Roman" w:hAnsi="Times New Roman" w:cs="Times New Roman"/>
        </w:rPr>
        <w:t>Manlapaz</w:t>
      </w:r>
      <w:proofErr w:type="spellEnd"/>
      <w:r>
        <w:rPr>
          <w:rFonts w:ascii="Times New Roman" w:hAnsi="Times New Roman" w:cs="Times New Roman"/>
        </w:rPr>
        <w:t xml:space="preserve">, 2024). The results are supported by Nudge Theory, wherein signage subtly guides students toward desired </w:t>
      </w:r>
      <w:proofErr w:type="spellStart"/>
      <w:r>
        <w:rPr>
          <w:rFonts w:ascii="Times New Roman" w:hAnsi="Times New Roman" w:cs="Times New Roman"/>
        </w:rPr>
        <w:t>behaviors</w:t>
      </w:r>
      <w:proofErr w:type="spellEnd"/>
      <w:r>
        <w:rPr>
          <w:rFonts w:ascii="Times New Roman" w:hAnsi="Times New Roman" w:cs="Times New Roman"/>
        </w:rPr>
        <w:t xml:space="preserve"> without restricting choice, and Environmental Cue Theory, which emphasizes that repeated exposure to clear visual prompts strengthens </w:t>
      </w:r>
      <w:proofErr w:type="spellStart"/>
      <w:r>
        <w:rPr>
          <w:rFonts w:ascii="Times New Roman" w:hAnsi="Times New Roman" w:cs="Times New Roman"/>
        </w:rPr>
        <w:t>behavioral</w:t>
      </w:r>
      <w:proofErr w:type="spellEnd"/>
      <w:r>
        <w:rPr>
          <w:rFonts w:ascii="Times New Roman" w:hAnsi="Times New Roman" w:cs="Times New Roman"/>
        </w:rPr>
        <w:t xml:space="preserve"> consistency over time. Overall, the findings indicate that integrating campaign interventions with visual cues is significantly more effective in sustaining student engagement in proper waste management than campaigns alone, providing both empirical and theoretical support for the use of signage.</w:t>
      </w:r>
    </w:p>
    <w:p w14:paraId="3AB99635" w14:textId="77777777" w:rsidR="0064006D" w:rsidRDefault="0064006D">
      <w:pPr>
        <w:spacing w:after="0" w:line="240" w:lineRule="auto"/>
        <w:jc w:val="both"/>
        <w:rPr>
          <w:rFonts w:ascii="Times New Roman" w:hAnsi="Times New Roman" w:cs="Times New Roman"/>
          <w:sz w:val="22"/>
          <w:szCs w:val="22"/>
        </w:rPr>
      </w:pPr>
    </w:p>
    <w:p w14:paraId="3AB99636" w14:textId="77777777" w:rsidR="0064006D" w:rsidRDefault="00AC3DC7" w:rsidP="003F0625">
      <w:pPr>
        <w:spacing w:line="240" w:lineRule="auto"/>
        <w:rPr>
          <w:rFonts w:ascii="Times New Roman" w:hAnsi="Times New Roman" w:cs="Times New Roman"/>
          <w:i/>
          <w:iCs/>
        </w:rPr>
      </w:pPr>
      <w:r>
        <w:rPr>
          <w:rFonts w:ascii="Times New Roman" w:hAnsi="Times New Roman" w:cs="Times New Roman"/>
          <w:b/>
          <w:bCs/>
        </w:rPr>
        <w:t xml:space="preserve">Table 4. </w:t>
      </w:r>
      <w:r>
        <w:rPr>
          <w:rFonts w:ascii="Times New Roman" w:hAnsi="Times New Roman" w:cs="Times New Roman"/>
          <w:i/>
          <w:iCs/>
        </w:rPr>
        <w:t xml:space="preserve">Group Descriptive of the sustained waste management </w:t>
      </w:r>
      <w:proofErr w:type="spellStart"/>
      <w:r>
        <w:rPr>
          <w:rFonts w:ascii="Times New Roman" w:hAnsi="Times New Roman" w:cs="Times New Roman"/>
          <w:i/>
          <w:iCs/>
        </w:rPr>
        <w:t>behavior</w:t>
      </w:r>
      <w:proofErr w:type="spellEnd"/>
      <w:r>
        <w:rPr>
          <w:rFonts w:ascii="Times New Roman" w:hAnsi="Times New Roman" w:cs="Times New Roman"/>
          <w:i/>
          <w:iCs/>
        </w:rPr>
        <w:t xml:space="preserve"> between the two groups.</w:t>
      </w:r>
    </w:p>
    <w:tbl>
      <w:tblPr>
        <w:tblStyle w:val="TableGrid"/>
        <w:tblW w:w="5000" w:type="pct"/>
        <w:tblLook w:val="04A0" w:firstRow="1" w:lastRow="0" w:firstColumn="1" w:lastColumn="0" w:noHBand="0" w:noVBand="1"/>
      </w:tblPr>
      <w:tblGrid>
        <w:gridCol w:w="1716"/>
        <w:gridCol w:w="1715"/>
        <w:gridCol w:w="1717"/>
        <w:gridCol w:w="1709"/>
        <w:gridCol w:w="1936"/>
        <w:gridCol w:w="1503"/>
      </w:tblGrid>
      <w:tr w:rsidR="0064006D" w14:paraId="3AB9963D" w14:textId="77777777" w:rsidTr="003F0625">
        <w:tc>
          <w:tcPr>
            <w:tcW w:w="833" w:type="pct"/>
            <w:tcBorders>
              <w:left w:val="nil"/>
              <w:bottom w:val="single" w:sz="4" w:space="0" w:color="auto"/>
              <w:right w:val="nil"/>
            </w:tcBorders>
          </w:tcPr>
          <w:p w14:paraId="3AB99637"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Group</w:t>
            </w:r>
          </w:p>
        </w:tc>
        <w:tc>
          <w:tcPr>
            <w:tcW w:w="833" w:type="pct"/>
            <w:tcBorders>
              <w:left w:val="nil"/>
              <w:bottom w:val="single" w:sz="4" w:space="0" w:color="auto"/>
              <w:right w:val="nil"/>
            </w:tcBorders>
          </w:tcPr>
          <w:p w14:paraId="3AB9963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N</w:t>
            </w:r>
          </w:p>
        </w:tc>
        <w:tc>
          <w:tcPr>
            <w:tcW w:w="834" w:type="pct"/>
            <w:tcBorders>
              <w:left w:val="nil"/>
              <w:bottom w:val="single" w:sz="4" w:space="0" w:color="auto"/>
              <w:right w:val="nil"/>
            </w:tcBorders>
          </w:tcPr>
          <w:p w14:paraId="3AB9963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Mean</w:t>
            </w:r>
          </w:p>
        </w:tc>
        <w:tc>
          <w:tcPr>
            <w:tcW w:w="830" w:type="pct"/>
            <w:tcBorders>
              <w:left w:val="nil"/>
              <w:bottom w:val="single" w:sz="4" w:space="0" w:color="auto"/>
              <w:right w:val="nil"/>
            </w:tcBorders>
          </w:tcPr>
          <w:p w14:paraId="3AB9963A"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Median</w:t>
            </w:r>
          </w:p>
        </w:tc>
        <w:tc>
          <w:tcPr>
            <w:tcW w:w="940" w:type="pct"/>
            <w:tcBorders>
              <w:left w:val="nil"/>
              <w:bottom w:val="single" w:sz="4" w:space="0" w:color="auto"/>
              <w:right w:val="nil"/>
            </w:tcBorders>
          </w:tcPr>
          <w:p w14:paraId="3AB9963B"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SD</w:t>
            </w:r>
          </w:p>
        </w:tc>
        <w:tc>
          <w:tcPr>
            <w:tcW w:w="731" w:type="pct"/>
            <w:tcBorders>
              <w:left w:val="nil"/>
              <w:bottom w:val="single" w:sz="4" w:space="0" w:color="auto"/>
              <w:right w:val="nil"/>
            </w:tcBorders>
          </w:tcPr>
          <w:p w14:paraId="3AB9963C"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SE</w:t>
            </w:r>
          </w:p>
        </w:tc>
      </w:tr>
      <w:tr w:rsidR="0064006D" w14:paraId="3AB99644" w14:textId="77777777" w:rsidTr="003F0625">
        <w:tc>
          <w:tcPr>
            <w:tcW w:w="833" w:type="pct"/>
            <w:tcBorders>
              <w:left w:val="nil"/>
              <w:bottom w:val="single" w:sz="4" w:space="0" w:color="auto"/>
              <w:right w:val="nil"/>
            </w:tcBorders>
          </w:tcPr>
          <w:p w14:paraId="3AB9963E" w14:textId="77777777" w:rsidR="0064006D" w:rsidRDefault="00AC3DC7">
            <w:pPr>
              <w:spacing w:after="0" w:line="240" w:lineRule="auto"/>
              <w:rPr>
                <w:rFonts w:ascii="Times New Roman" w:hAnsi="Times New Roman" w:cs="Times New Roman"/>
              </w:rPr>
            </w:pPr>
            <w:r>
              <w:rPr>
                <w:rFonts w:ascii="Times New Roman" w:hAnsi="Times New Roman" w:cs="Times New Roman"/>
              </w:rPr>
              <w:t>With</w:t>
            </w:r>
          </w:p>
        </w:tc>
        <w:tc>
          <w:tcPr>
            <w:tcW w:w="833" w:type="pct"/>
            <w:tcBorders>
              <w:left w:val="nil"/>
              <w:bottom w:val="single" w:sz="4" w:space="0" w:color="auto"/>
              <w:right w:val="nil"/>
            </w:tcBorders>
          </w:tcPr>
          <w:p w14:paraId="3AB9963F"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28</w:t>
            </w:r>
          </w:p>
        </w:tc>
        <w:tc>
          <w:tcPr>
            <w:tcW w:w="834" w:type="pct"/>
            <w:tcBorders>
              <w:left w:val="nil"/>
              <w:bottom w:val="single" w:sz="4" w:space="0" w:color="auto"/>
              <w:right w:val="nil"/>
            </w:tcBorders>
          </w:tcPr>
          <w:p w14:paraId="3AB99640"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1.62</w:t>
            </w:r>
          </w:p>
        </w:tc>
        <w:tc>
          <w:tcPr>
            <w:tcW w:w="830" w:type="pct"/>
            <w:tcBorders>
              <w:left w:val="nil"/>
              <w:bottom w:val="single" w:sz="4" w:space="0" w:color="auto"/>
              <w:right w:val="nil"/>
            </w:tcBorders>
          </w:tcPr>
          <w:p w14:paraId="3AB99641"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1.71</w:t>
            </w:r>
          </w:p>
        </w:tc>
        <w:tc>
          <w:tcPr>
            <w:tcW w:w="940" w:type="pct"/>
            <w:tcBorders>
              <w:left w:val="nil"/>
              <w:bottom w:val="single" w:sz="4" w:space="0" w:color="auto"/>
              <w:right w:val="nil"/>
            </w:tcBorders>
          </w:tcPr>
          <w:p w14:paraId="3AB99642"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0.428</w:t>
            </w:r>
          </w:p>
        </w:tc>
        <w:tc>
          <w:tcPr>
            <w:tcW w:w="731" w:type="pct"/>
            <w:tcBorders>
              <w:left w:val="nil"/>
              <w:bottom w:val="single" w:sz="4" w:space="0" w:color="auto"/>
              <w:right w:val="nil"/>
            </w:tcBorders>
          </w:tcPr>
          <w:p w14:paraId="3AB99643"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0.0809</w:t>
            </w:r>
          </w:p>
        </w:tc>
      </w:tr>
      <w:tr w:rsidR="0064006D" w14:paraId="3AB9964B" w14:textId="77777777" w:rsidTr="003F0625">
        <w:tc>
          <w:tcPr>
            <w:tcW w:w="833" w:type="pct"/>
            <w:tcBorders>
              <w:left w:val="nil"/>
              <w:right w:val="nil"/>
            </w:tcBorders>
          </w:tcPr>
          <w:p w14:paraId="3AB99645" w14:textId="77777777" w:rsidR="0064006D" w:rsidRDefault="00AC3DC7">
            <w:pPr>
              <w:spacing w:after="0" w:line="240" w:lineRule="auto"/>
              <w:rPr>
                <w:rFonts w:ascii="Times New Roman" w:hAnsi="Times New Roman" w:cs="Times New Roman"/>
              </w:rPr>
            </w:pPr>
            <w:r>
              <w:rPr>
                <w:rFonts w:ascii="Times New Roman" w:hAnsi="Times New Roman" w:cs="Times New Roman"/>
              </w:rPr>
              <w:t>Without</w:t>
            </w:r>
          </w:p>
        </w:tc>
        <w:tc>
          <w:tcPr>
            <w:tcW w:w="833" w:type="pct"/>
            <w:tcBorders>
              <w:left w:val="nil"/>
              <w:right w:val="nil"/>
            </w:tcBorders>
          </w:tcPr>
          <w:p w14:paraId="3AB99646"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28</w:t>
            </w:r>
          </w:p>
        </w:tc>
        <w:tc>
          <w:tcPr>
            <w:tcW w:w="834" w:type="pct"/>
            <w:tcBorders>
              <w:left w:val="nil"/>
              <w:right w:val="nil"/>
            </w:tcBorders>
          </w:tcPr>
          <w:p w14:paraId="3AB99647"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1.19</w:t>
            </w:r>
          </w:p>
        </w:tc>
        <w:tc>
          <w:tcPr>
            <w:tcW w:w="830" w:type="pct"/>
            <w:tcBorders>
              <w:left w:val="nil"/>
              <w:right w:val="nil"/>
            </w:tcBorders>
          </w:tcPr>
          <w:p w14:paraId="3AB99648"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1.43</w:t>
            </w:r>
          </w:p>
        </w:tc>
        <w:tc>
          <w:tcPr>
            <w:tcW w:w="940" w:type="pct"/>
            <w:tcBorders>
              <w:left w:val="nil"/>
              <w:right w:val="nil"/>
            </w:tcBorders>
          </w:tcPr>
          <w:p w14:paraId="3AB99649"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0.564</w:t>
            </w:r>
          </w:p>
        </w:tc>
        <w:tc>
          <w:tcPr>
            <w:tcW w:w="731" w:type="pct"/>
            <w:tcBorders>
              <w:left w:val="nil"/>
              <w:right w:val="nil"/>
            </w:tcBorders>
          </w:tcPr>
          <w:p w14:paraId="3AB9964A" w14:textId="77777777" w:rsidR="0064006D" w:rsidRDefault="00AC3DC7">
            <w:pPr>
              <w:spacing w:after="0" w:line="240" w:lineRule="auto"/>
              <w:jc w:val="center"/>
              <w:rPr>
                <w:rFonts w:ascii="Times New Roman" w:hAnsi="Times New Roman" w:cs="Times New Roman"/>
              </w:rPr>
            </w:pPr>
            <w:r>
              <w:rPr>
                <w:rFonts w:ascii="Times New Roman" w:hAnsi="Times New Roman" w:cs="Times New Roman"/>
              </w:rPr>
              <w:t>0.107</w:t>
            </w:r>
          </w:p>
        </w:tc>
      </w:tr>
    </w:tbl>
    <w:p w14:paraId="3AB9964C" w14:textId="77777777" w:rsidR="0064006D" w:rsidRDefault="0064006D">
      <w:pPr>
        <w:spacing w:after="0" w:line="240" w:lineRule="auto"/>
        <w:rPr>
          <w:rFonts w:ascii="Times New Roman" w:hAnsi="Times New Roman" w:cs="Times New Roman"/>
          <w:sz w:val="22"/>
          <w:szCs w:val="22"/>
        </w:rPr>
      </w:pPr>
    </w:p>
    <w:p w14:paraId="3AB9964D" w14:textId="77777777" w:rsidR="0064006D" w:rsidRDefault="00AC3DC7">
      <w:pPr>
        <w:spacing w:after="0" w:line="240" w:lineRule="auto"/>
        <w:jc w:val="both"/>
        <w:rPr>
          <w:rFonts w:ascii="Times New Roman" w:hAnsi="Times New Roman" w:cs="Times New Roman"/>
        </w:rPr>
      </w:pPr>
      <w:r>
        <w:rPr>
          <w:rFonts w:ascii="Times New Roman" w:hAnsi="Times New Roman" w:cs="Times New Roman"/>
          <w:sz w:val="22"/>
          <w:szCs w:val="22"/>
        </w:rPr>
        <w:tab/>
        <w:t xml:space="preserve">The analysis of sustained waste management </w:t>
      </w:r>
      <w:proofErr w:type="spellStart"/>
      <w:r>
        <w:rPr>
          <w:rFonts w:ascii="Times New Roman" w:hAnsi="Times New Roman" w:cs="Times New Roman"/>
          <w:sz w:val="22"/>
          <w:szCs w:val="22"/>
        </w:rPr>
        <w:t>behavior</w:t>
      </w:r>
      <w:proofErr w:type="spellEnd"/>
      <w:r>
        <w:rPr>
          <w:rFonts w:ascii="Times New Roman" w:hAnsi="Times New Roman" w:cs="Times New Roman"/>
          <w:sz w:val="22"/>
          <w:szCs w:val="22"/>
        </w:rPr>
        <w:t xml:space="preserve"> revealed that students exposed to </w:t>
      </w:r>
      <w:r>
        <w:rPr>
          <w:rFonts w:ascii="Times New Roman" w:hAnsi="Times New Roman" w:cs="Times New Roman"/>
        </w:rPr>
        <w:t xml:space="preserve">campaign interventions with signage performed significantly better than those without signage. The campaign-plus-signage group (N = 28) had a mean score of 1.62 (SD = 0.428, median = 1.71), compared to the campaign-only group (N = 28), which had a lower mean of 1.19 (SD = 0.564, median = 1.43). Welch’s t-test confirmed that this difference was statistically significant (t = 3.20, </w:t>
      </w:r>
      <w:proofErr w:type="spellStart"/>
      <w:r>
        <w:rPr>
          <w:rFonts w:ascii="Times New Roman" w:hAnsi="Times New Roman" w:cs="Times New Roman"/>
        </w:rPr>
        <w:t>df</w:t>
      </w:r>
      <w:proofErr w:type="spellEnd"/>
      <w:r>
        <w:rPr>
          <w:rFonts w:ascii="Times New Roman" w:hAnsi="Times New Roman" w:cs="Times New Roman"/>
        </w:rPr>
        <w:t xml:space="preserve"> = 50.4, p = 0.002) with a large effect size (Cohen’s d = 0.856), demonstrating the substantial positive impact of signage on sustaining proper waste management </w:t>
      </w:r>
      <w:proofErr w:type="spellStart"/>
      <w:r>
        <w:rPr>
          <w:rFonts w:ascii="Times New Roman" w:hAnsi="Times New Roman" w:cs="Times New Roman"/>
        </w:rPr>
        <w:t>behaviors</w:t>
      </w:r>
      <w:proofErr w:type="spellEnd"/>
      <w:r>
        <w:rPr>
          <w:rFonts w:ascii="Times New Roman" w:hAnsi="Times New Roman" w:cs="Times New Roman"/>
        </w:rPr>
        <w:t>. These findings support previous research indicating that awareness campaigns alone may produce only temporary improvements, while consistent environmental cues, such as signage, are essential for maintaining correct practices over time (</w:t>
      </w:r>
      <w:proofErr w:type="spellStart"/>
      <w:r>
        <w:rPr>
          <w:rFonts w:ascii="Times New Roman" w:hAnsi="Times New Roman" w:cs="Times New Roman"/>
        </w:rPr>
        <w:t>Lapuz</w:t>
      </w:r>
      <w:proofErr w:type="spellEnd"/>
      <w:r>
        <w:rPr>
          <w:rFonts w:ascii="Times New Roman" w:hAnsi="Times New Roman" w:cs="Times New Roman"/>
        </w:rPr>
        <w:t xml:space="preserve"> &amp; </w:t>
      </w:r>
      <w:proofErr w:type="spellStart"/>
      <w:r>
        <w:rPr>
          <w:rFonts w:ascii="Times New Roman" w:hAnsi="Times New Roman" w:cs="Times New Roman"/>
        </w:rPr>
        <w:t>Manlapaz</w:t>
      </w:r>
      <w:proofErr w:type="spellEnd"/>
      <w:r>
        <w:rPr>
          <w:rFonts w:ascii="Times New Roman" w:hAnsi="Times New Roman" w:cs="Times New Roman"/>
        </w:rPr>
        <w:t xml:space="preserve">, 2024; </w:t>
      </w:r>
      <w:proofErr w:type="spellStart"/>
      <w:r>
        <w:rPr>
          <w:rFonts w:ascii="Times New Roman" w:hAnsi="Times New Roman" w:cs="Times New Roman"/>
        </w:rPr>
        <w:t>Luague</w:t>
      </w:r>
      <w:proofErr w:type="spellEnd"/>
      <w:r>
        <w:rPr>
          <w:rFonts w:ascii="Times New Roman" w:hAnsi="Times New Roman" w:cs="Times New Roman"/>
        </w:rPr>
        <w:t xml:space="preserve"> Jr. &amp; Lucero, 2024). The results are consistent with Nudge Theory, where signage subtly guides students toward correct disposal decisions without restricting choice, and Environmental Cue Theory, which emphasizes that repeated exposure to clear visual cues reinforces </w:t>
      </w:r>
      <w:proofErr w:type="spellStart"/>
      <w:r>
        <w:rPr>
          <w:rFonts w:ascii="Times New Roman" w:hAnsi="Times New Roman" w:cs="Times New Roman"/>
        </w:rPr>
        <w:t>behavior</w:t>
      </w:r>
      <w:proofErr w:type="spellEnd"/>
      <w:r>
        <w:rPr>
          <w:rFonts w:ascii="Times New Roman" w:hAnsi="Times New Roman" w:cs="Times New Roman"/>
        </w:rPr>
        <w:t xml:space="preserve"> and promotes habit formation. Overall, the data suggest that integrating signage with campaign interventions is significantly more effective than campaigns alone in fostering sustained engagement in proper waste management among students.</w:t>
      </w:r>
    </w:p>
    <w:p w14:paraId="3AB9964E" w14:textId="77777777" w:rsidR="0064006D" w:rsidRDefault="0064006D">
      <w:pPr>
        <w:spacing w:after="0" w:line="240" w:lineRule="auto"/>
        <w:jc w:val="both"/>
        <w:rPr>
          <w:rFonts w:ascii="Times New Roman" w:hAnsi="Times New Roman" w:cs="Times New Roman"/>
        </w:rPr>
      </w:pPr>
    </w:p>
    <w:p w14:paraId="3AB9964F" w14:textId="4BB34A0F" w:rsidR="0064006D" w:rsidRDefault="000241CC">
      <w:pPr>
        <w:spacing w:line="240" w:lineRule="auto"/>
        <w:rPr>
          <w:rFonts w:ascii="Times New Roman" w:hAnsi="Times New Roman" w:cs="Times New Roman"/>
          <w:b/>
          <w:bCs/>
        </w:rPr>
      </w:pPr>
      <w:r>
        <w:rPr>
          <w:rFonts w:ascii="Times New Roman" w:hAnsi="Times New Roman" w:cs="Times New Roman"/>
          <w:b/>
          <w:bCs/>
        </w:rPr>
        <w:t>CONCLUSION</w:t>
      </w:r>
    </w:p>
    <w:p w14:paraId="3AB99651" w14:textId="77777777" w:rsidR="0064006D" w:rsidRDefault="00AC3DC7">
      <w:pPr>
        <w:spacing w:line="240" w:lineRule="auto"/>
        <w:ind w:firstLine="720"/>
        <w:jc w:val="both"/>
        <w:rPr>
          <w:rFonts w:ascii="Times New Roman" w:hAnsi="Times New Roman" w:cs="Times New Roman"/>
        </w:rPr>
      </w:pPr>
      <w:r>
        <w:rPr>
          <w:rFonts w:ascii="Times New Roman" w:hAnsi="Times New Roman" w:cs="Times New Roman"/>
        </w:rPr>
        <w:t xml:space="preserve">The findings of this study indicate that students generally perceive waste management signage positively, recognizing it as a helpful visual cue that guides proper disposal practices. Observational data show that students frequently engage in active waste management </w:t>
      </w:r>
      <w:proofErr w:type="spellStart"/>
      <w:r>
        <w:rPr>
          <w:rFonts w:ascii="Times New Roman" w:hAnsi="Times New Roman" w:cs="Times New Roman"/>
        </w:rPr>
        <w:t>behaviors</w:t>
      </w:r>
      <w:proofErr w:type="spellEnd"/>
      <w:r>
        <w:rPr>
          <w:rFonts w:ascii="Times New Roman" w:hAnsi="Times New Roman" w:cs="Times New Roman"/>
        </w:rPr>
        <w:t xml:space="preserve">, such as participating in cleaning activities, maintaining cleanliness in the waste area, and encouraging peers, while </w:t>
      </w:r>
      <w:proofErr w:type="spellStart"/>
      <w:r>
        <w:rPr>
          <w:rFonts w:ascii="Times New Roman" w:hAnsi="Times New Roman" w:cs="Times New Roman"/>
        </w:rPr>
        <w:t>behaviors</w:t>
      </w:r>
      <w:proofErr w:type="spellEnd"/>
      <w:r>
        <w:rPr>
          <w:rFonts w:ascii="Times New Roman" w:hAnsi="Times New Roman" w:cs="Times New Roman"/>
        </w:rPr>
        <w:t xml:space="preserve"> directly supported by signage—such as following and referencing the signs—were notably higher in the group exposed to visual cues. Moreover, the campaign-plus-signage intervention proved significantly </w:t>
      </w:r>
      <w:r>
        <w:rPr>
          <w:rFonts w:ascii="Times New Roman" w:hAnsi="Times New Roman" w:cs="Times New Roman"/>
        </w:rPr>
        <w:lastRenderedPageBreak/>
        <w:t xml:space="preserve">more effective in sustaining proper waste management </w:t>
      </w:r>
      <w:proofErr w:type="spellStart"/>
      <w:r>
        <w:rPr>
          <w:rFonts w:ascii="Times New Roman" w:hAnsi="Times New Roman" w:cs="Times New Roman"/>
        </w:rPr>
        <w:t>behavior</w:t>
      </w:r>
      <w:proofErr w:type="spellEnd"/>
      <w:r>
        <w:rPr>
          <w:rFonts w:ascii="Times New Roman" w:hAnsi="Times New Roman" w:cs="Times New Roman"/>
        </w:rPr>
        <w:t xml:space="preserve"> compared to the campaign-only group, as reflected by higher mean scores and a large effect size (Cohen’s d = 0.856). These results support the theoretical frameworks of </w:t>
      </w:r>
      <w:r w:rsidRPr="003F0625">
        <w:rPr>
          <w:rFonts w:ascii="Times New Roman" w:hAnsi="Times New Roman" w:cs="Times New Roman"/>
        </w:rPr>
        <w:t>Nudge Theory and Environmental Cue Theory</w:t>
      </w:r>
      <w:r>
        <w:rPr>
          <w:rFonts w:ascii="Times New Roman" w:hAnsi="Times New Roman" w:cs="Times New Roman"/>
        </w:rPr>
        <w:t xml:space="preserve">, demonstrating that subtle visual prompts can guide decision-making and reinforce consistent </w:t>
      </w:r>
      <w:proofErr w:type="spellStart"/>
      <w:r>
        <w:rPr>
          <w:rFonts w:ascii="Times New Roman" w:hAnsi="Times New Roman" w:cs="Times New Roman"/>
        </w:rPr>
        <w:t>behaviors</w:t>
      </w:r>
      <w:proofErr w:type="spellEnd"/>
      <w:r>
        <w:rPr>
          <w:rFonts w:ascii="Times New Roman" w:hAnsi="Times New Roman" w:cs="Times New Roman"/>
        </w:rPr>
        <w:t xml:space="preserve"> without coercion. Practically, the study highlights that integrating signage with educational campaigns is a highly effective strategy for promoting and sustaining environmentally responsible </w:t>
      </w:r>
      <w:proofErr w:type="spellStart"/>
      <w:r>
        <w:rPr>
          <w:rFonts w:ascii="Times New Roman" w:hAnsi="Times New Roman" w:cs="Times New Roman"/>
        </w:rPr>
        <w:t>behaviors</w:t>
      </w:r>
      <w:proofErr w:type="spellEnd"/>
      <w:r>
        <w:rPr>
          <w:rFonts w:ascii="Times New Roman" w:hAnsi="Times New Roman" w:cs="Times New Roman"/>
        </w:rPr>
        <w:t xml:space="preserve"> among junior high students, emphasizing the importance of continuous environmental cues to facilitate long-term habit formation.</w:t>
      </w:r>
    </w:p>
    <w:p w14:paraId="3AB99658" w14:textId="77777777" w:rsidR="0064006D" w:rsidRDefault="0064006D">
      <w:pPr>
        <w:spacing w:line="240" w:lineRule="auto"/>
        <w:jc w:val="both"/>
        <w:rPr>
          <w:rFonts w:ascii="Times New Roman" w:hAnsi="Times New Roman" w:cs="Times New Roman"/>
        </w:rPr>
      </w:pPr>
    </w:p>
    <w:p w14:paraId="3AB99659" w14:textId="77777777" w:rsidR="0064006D" w:rsidRDefault="00AC3DC7">
      <w:pPr>
        <w:spacing w:line="240" w:lineRule="auto"/>
        <w:jc w:val="both"/>
        <w:rPr>
          <w:rFonts w:ascii="Times New Roman" w:hAnsi="Times New Roman" w:cs="Times New Roman"/>
          <w:b/>
          <w:bCs/>
          <w:lang w:val="en-US"/>
        </w:rPr>
      </w:pPr>
      <w:r>
        <w:rPr>
          <w:rFonts w:ascii="Times New Roman" w:hAnsi="Times New Roman" w:cs="Times New Roman"/>
          <w:b/>
          <w:bCs/>
          <w:lang w:val="en-US"/>
        </w:rPr>
        <w:t>ACKNOWLEDGEMENT</w:t>
      </w:r>
    </w:p>
    <w:p w14:paraId="3AB9965A" w14:textId="77777777" w:rsidR="0064006D" w:rsidRDefault="00AC3DC7">
      <w:pPr>
        <w:spacing w:line="240" w:lineRule="auto"/>
        <w:ind w:firstLine="720"/>
        <w:jc w:val="both"/>
        <w:rPr>
          <w:rFonts w:ascii="Times New Roman" w:eastAsia="SimSun" w:hAnsi="Times New Roman" w:cs="Times New Roman"/>
        </w:rPr>
      </w:pPr>
      <w:r>
        <w:rPr>
          <w:rFonts w:ascii="Times New Roman" w:eastAsia="SimSun" w:hAnsi="Times New Roman" w:cs="Times New Roman"/>
        </w:rPr>
        <w:t xml:space="preserve">The researchers sincerely express their gratitude for the academic guidance of their adviser and </w:t>
      </w:r>
      <w:proofErr w:type="spellStart"/>
      <w:r>
        <w:rPr>
          <w:rFonts w:ascii="Times New Roman" w:eastAsia="SimSun" w:hAnsi="Times New Roman" w:cs="Times New Roman"/>
        </w:rPr>
        <w:t>panelists</w:t>
      </w:r>
      <w:proofErr w:type="spellEnd"/>
      <w:r>
        <w:rPr>
          <w:rFonts w:ascii="Times New Roman" w:eastAsia="SimSun" w:hAnsi="Times New Roman" w:cs="Times New Roman"/>
        </w:rPr>
        <w:t xml:space="preserve">, the institutional support of Adventist Medical </w:t>
      </w:r>
      <w:proofErr w:type="spellStart"/>
      <w:r>
        <w:rPr>
          <w:rFonts w:ascii="Times New Roman" w:eastAsia="SimSun" w:hAnsi="Times New Roman" w:cs="Times New Roman"/>
        </w:rPr>
        <w:t>Center</w:t>
      </w:r>
      <w:proofErr w:type="spellEnd"/>
      <w:r>
        <w:rPr>
          <w:rFonts w:ascii="Times New Roman" w:eastAsia="SimSun" w:hAnsi="Times New Roman" w:cs="Times New Roman"/>
        </w:rPr>
        <w:t xml:space="preserve"> College, and the invaluable participation of the study respondents. They also acknowledge the collaborative efforts of their research team, as well as the unwavering support of their families and their faith in the Lord.</w:t>
      </w:r>
    </w:p>
    <w:p w14:paraId="3AB9965B" w14:textId="77777777" w:rsidR="0064006D" w:rsidRDefault="0064006D">
      <w:pPr>
        <w:spacing w:line="240" w:lineRule="auto"/>
        <w:ind w:firstLine="720"/>
        <w:jc w:val="both"/>
        <w:rPr>
          <w:rFonts w:ascii="Times New Roman" w:eastAsia="SimSun" w:hAnsi="Times New Roman" w:cs="Times New Roman"/>
        </w:rPr>
      </w:pPr>
    </w:p>
    <w:p w14:paraId="3AB9965C" w14:textId="77777777" w:rsidR="0064006D" w:rsidRDefault="00AC3DC7">
      <w:pPr>
        <w:spacing w:line="240" w:lineRule="auto"/>
        <w:jc w:val="both"/>
        <w:rPr>
          <w:rFonts w:ascii="Times New Roman" w:hAnsi="Times New Roman" w:cs="Times New Roman"/>
          <w:b/>
          <w:bCs/>
        </w:rPr>
      </w:pPr>
      <w:r>
        <w:rPr>
          <w:rFonts w:ascii="Times New Roman" w:hAnsi="Times New Roman" w:cs="Times New Roman"/>
          <w:b/>
          <w:bCs/>
        </w:rPr>
        <w:t>REFERENCES</w:t>
      </w:r>
    </w:p>
    <w:p w14:paraId="3AB9965D" w14:textId="21773DDC"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Canlas</w:t>
      </w:r>
      <w:proofErr w:type="spellEnd"/>
      <w:r>
        <w:rPr>
          <w:rFonts w:ascii="Times New Roman" w:hAnsi="Times New Roman" w:cs="Times New Roman"/>
        </w:rPr>
        <w:t>, I. P., &amp; Mendoza, E. (2025). Explaining solid waste management behaviours among public high-</w:t>
      </w:r>
      <w:r w:rsidR="003F0625">
        <w:rPr>
          <w:rFonts w:ascii="Times New Roman" w:hAnsi="Times New Roman" w:cs="Times New Roman"/>
        </w:rPr>
        <w:tab/>
      </w:r>
      <w:r>
        <w:rPr>
          <w:rFonts w:ascii="Times New Roman" w:hAnsi="Times New Roman" w:cs="Times New Roman"/>
        </w:rPr>
        <w:t xml:space="preserve">school students: Extending the knowledge–attitude–practice model. </w:t>
      </w:r>
      <w:r>
        <w:rPr>
          <w:rFonts w:ascii="Times New Roman" w:hAnsi="Times New Roman" w:cs="Times New Roman"/>
          <w:i/>
          <w:iCs/>
        </w:rPr>
        <w:t xml:space="preserve">International Journal of </w:t>
      </w:r>
      <w:r w:rsidR="003F0625">
        <w:rPr>
          <w:rFonts w:ascii="Times New Roman" w:hAnsi="Times New Roman" w:cs="Times New Roman"/>
          <w:i/>
          <w:iCs/>
        </w:rPr>
        <w:tab/>
      </w:r>
      <w:r>
        <w:rPr>
          <w:rFonts w:ascii="Times New Roman" w:hAnsi="Times New Roman" w:cs="Times New Roman"/>
          <w:i/>
          <w:iCs/>
        </w:rPr>
        <w:t>Environmental Studies, 82</w:t>
      </w:r>
      <w:r>
        <w:rPr>
          <w:rFonts w:ascii="Times New Roman" w:hAnsi="Times New Roman" w:cs="Times New Roman"/>
        </w:rPr>
        <w:t xml:space="preserve">(4), 1765–1782. </w:t>
      </w:r>
      <w:hyperlink r:id="rId8" w:tgtFrame="_new" w:history="1">
        <w:r w:rsidR="00AC7A62">
          <w:rPr>
            <w:rStyle w:val="Hyperlink"/>
            <w:rFonts w:ascii="Times New Roman" w:hAnsi="Times New Roman" w:cs="Times New Roman"/>
          </w:rPr>
          <w:t>https://doi.org/10.1080/00207233.2025.2507481</w:t>
        </w:r>
      </w:hyperlink>
    </w:p>
    <w:p w14:paraId="3AB9965E" w14:textId="4FAB32AC" w:rsidR="0064006D" w:rsidRDefault="00AC3DC7" w:rsidP="003F0625">
      <w:pPr>
        <w:spacing w:line="240" w:lineRule="auto"/>
        <w:jc w:val="both"/>
        <w:rPr>
          <w:rFonts w:ascii="Times New Roman" w:hAnsi="Times New Roman" w:cs="Times New Roman"/>
        </w:rPr>
      </w:pPr>
      <w:r>
        <w:rPr>
          <w:rFonts w:ascii="Times New Roman" w:hAnsi="Times New Roman" w:cs="Times New Roman"/>
          <w:i/>
          <w:iCs/>
        </w:rPr>
        <w:t>Journal of Governance and Public Administration.</w:t>
      </w:r>
      <w:r>
        <w:rPr>
          <w:rFonts w:ascii="Times New Roman" w:hAnsi="Times New Roman" w:cs="Times New Roman"/>
        </w:rPr>
        <w:t xml:space="preserve"> (2025). </w:t>
      </w:r>
      <w:r>
        <w:rPr>
          <w:rFonts w:ascii="Times New Roman" w:hAnsi="Times New Roman" w:cs="Times New Roman"/>
          <w:i/>
          <w:iCs/>
        </w:rPr>
        <w:t>Vol. 2, No. 3.</w:t>
      </w:r>
      <w:r>
        <w:rPr>
          <w:rFonts w:ascii="Times New Roman" w:hAnsi="Times New Roman" w:cs="Times New Roman"/>
        </w:rPr>
        <w:t xml:space="preserve"> </w:t>
      </w:r>
      <w:r w:rsidR="003F0625">
        <w:tab/>
      </w:r>
      <w:hyperlink r:id="rId9" w:history="1">
        <w:r w:rsidR="003F0625" w:rsidRPr="00581776">
          <w:rPr>
            <w:rStyle w:val="Hyperlink"/>
            <w:rFonts w:ascii="Times New Roman" w:hAnsi="Times New Roman" w:cs="Times New Roman"/>
          </w:rPr>
          <w:t>https://doi.org/10.70248/jogapa.v2i3</w:t>
        </w:r>
      </w:hyperlink>
    </w:p>
    <w:p w14:paraId="3AB9965F" w14:textId="3DFE067B"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Lapuz</w:t>
      </w:r>
      <w:proofErr w:type="spellEnd"/>
      <w:r>
        <w:rPr>
          <w:rFonts w:ascii="Times New Roman" w:hAnsi="Times New Roman" w:cs="Times New Roman"/>
        </w:rPr>
        <w:t xml:space="preserve">, M. C. M., &amp; </w:t>
      </w:r>
      <w:proofErr w:type="spellStart"/>
      <w:r>
        <w:rPr>
          <w:rFonts w:ascii="Times New Roman" w:hAnsi="Times New Roman" w:cs="Times New Roman"/>
        </w:rPr>
        <w:t>Manlapaz</w:t>
      </w:r>
      <w:proofErr w:type="spellEnd"/>
      <w:r>
        <w:rPr>
          <w:rFonts w:ascii="Times New Roman" w:hAnsi="Times New Roman" w:cs="Times New Roman"/>
        </w:rPr>
        <w:t>, C. R. (2025). From teachers to students: A correlational analysis of pro-</w:t>
      </w:r>
      <w:r w:rsidR="003F0625">
        <w:rPr>
          <w:rFonts w:ascii="Times New Roman" w:hAnsi="Times New Roman" w:cs="Times New Roman"/>
        </w:rPr>
        <w:tab/>
      </w:r>
      <w:r>
        <w:rPr>
          <w:rFonts w:ascii="Times New Roman" w:hAnsi="Times New Roman" w:cs="Times New Roman"/>
        </w:rPr>
        <w:t xml:space="preserve">environmental </w:t>
      </w:r>
      <w:proofErr w:type="spellStart"/>
      <w:r>
        <w:rPr>
          <w:rFonts w:ascii="Times New Roman" w:hAnsi="Times New Roman" w:cs="Times New Roman"/>
        </w:rPr>
        <w:t>behavior</w:t>
      </w:r>
      <w:proofErr w:type="spellEnd"/>
      <w:r>
        <w:rPr>
          <w:rFonts w:ascii="Times New Roman" w:hAnsi="Times New Roman" w:cs="Times New Roman"/>
        </w:rPr>
        <w:t xml:space="preserve"> in a private university in the Philippines. </w:t>
      </w:r>
      <w:r>
        <w:rPr>
          <w:rFonts w:ascii="Times New Roman" w:hAnsi="Times New Roman" w:cs="Times New Roman"/>
          <w:i/>
          <w:iCs/>
        </w:rPr>
        <w:t xml:space="preserve">International Journal of </w:t>
      </w:r>
      <w:r w:rsidR="003F0625">
        <w:rPr>
          <w:rFonts w:ascii="Times New Roman" w:hAnsi="Times New Roman" w:cs="Times New Roman"/>
          <w:i/>
          <w:iCs/>
        </w:rPr>
        <w:tab/>
      </w:r>
      <w:r>
        <w:rPr>
          <w:rFonts w:ascii="Times New Roman" w:hAnsi="Times New Roman" w:cs="Times New Roman"/>
          <w:i/>
          <w:iCs/>
        </w:rPr>
        <w:t>Sustainability in Higher Education, 26</w:t>
      </w:r>
      <w:r>
        <w:rPr>
          <w:rFonts w:ascii="Times New Roman" w:hAnsi="Times New Roman" w:cs="Times New Roman"/>
        </w:rPr>
        <w:t xml:space="preserve">(3), 540–557. </w:t>
      </w:r>
      <w:hyperlink r:id="rId10" w:tgtFrame="_new" w:history="1">
        <w:r w:rsidR="00AC7A62">
          <w:rPr>
            <w:rStyle w:val="Hyperlink"/>
            <w:rFonts w:ascii="Times New Roman" w:hAnsi="Times New Roman" w:cs="Times New Roman"/>
          </w:rPr>
          <w:t>https://doi.org/10.1108/IJSHE-07-2023-0294</w:t>
        </w:r>
      </w:hyperlink>
    </w:p>
    <w:p w14:paraId="3AB99660" w14:textId="1596FD4F"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Luague</w:t>
      </w:r>
      <w:proofErr w:type="spellEnd"/>
      <w:r>
        <w:rPr>
          <w:rFonts w:ascii="Times New Roman" w:hAnsi="Times New Roman" w:cs="Times New Roman"/>
        </w:rPr>
        <w:t xml:space="preserve">, C., Jr., &amp; Lucero, A. (2024, July 22). </w:t>
      </w:r>
      <w:proofErr w:type="spellStart"/>
      <w:r>
        <w:rPr>
          <w:rFonts w:ascii="Times New Roman" w:hAnsi="Times New Roman" w:cs="Times New Roman"/>
        </w:rPr>
        <w:t>EcoWaste</w:t>
      </w:r>
      <w:proofErr w:type="spellEnd"/>
      <w:r>
        <w:rPr>
          <w:rFonts w:ascii="Times New Roman" w:hAnsi="Times New Roman" w:cs="Times New Roman"/>
        </w:rPr>
        <w:t xml:space="preserve"> Coalition helps out in MHS </w:t>
      </w:r>
      <w:proofErr w:type="spellStart"/>
      <w:r>
        <w:rPr>
          <w:rFonts w:ascii="Times New Roman" w:hAnsi="Times New Roman" w:cs="Times New Roman"/>
        </w:rPr>
        <w:t>Brigada</w:t>
      </w:r>
      <w:proofErr w:type="spellEnd"/>
      <w:r>
        <w:rPr>
          <w:rFonts w:ascii="Times New Roman" w:hAnsi="Times New Roman" w:cs="Times New Roman"/>
        </w:rPr>
        <w:t xml:space="preserve"> </w:t>
      </w:r>
      <w:proofErr w:type="spellStart"/>
      <w:r>
        <w:rPr>
          <w:rFonts w:ascii="Times New Roman" w:hAnsi="Times New Roman" w:cs="Times New Roman"/>
        </w:rPr>
        <w:t>Eskwela</w:t>
      </w:r>
      <w:proofErr w:type="spellEnd"/>
      <w:r>
        <w:rPr>
          <w:rFonts w:ascii="Times New Roman" w:hAnsi="Times New Roman" w:cs="Times New Roman"/>
        </w:rPr>
        <w:t xml:space="preserve">, </w:t>
      </w:r>
      <w:r w:rsidR="003F0625">
        <w:rPr>
          <w:rFonts w:ascii="Times New Roman" w:hAnsi="Times New Roman" w:cs="Times New Roman"/>
        </w:rPr>
        <w:tab/>
      </w:r>
      <w:r>
        <w:rPr>
          <w:rFonts w:ascii="Times New Roman" w:hAnsi="Times New Roman" w:cs="Times New Roman"/>
        </w:rPr>
        <w:t xml:space="preserve">pushes for zero waste and non-toxic </w:t>
      </w:r>
      <w:proofErr w:type="spellStart"/>
      <w:r>
        <w:rPr>
          <w:rFonts w:ascii="Times New Roman" w:hAnsi="Times New Roman" w:cs="Times New Roman"/>
        </w:rPr>
        <w:t>cleanup</w:t>
      </w:r>
      <w:proofErr w:type="spellEnd"/>
      <w:r>
        <w:rPr>
          <w:rFonts w:ascii="Times New Roman" w:hAnsi="Times New Roman" w:cs="Times New Roman"/>
        </w:rPr>
        <w:t xml:space="preserve">. </w:t>
      </w:r>
      <w:proofErr w:type="spellStart"/>
      <w:r>
        <w:rPr>
          <w:rFonts w:ascii="Times New Roman" w:hAnsi="Times New Roman" w:cs="Times New Roman"/>
          <w:i/>
          <w:iCs/>
        </w:rPr>
        <w:t>EcoWaste</w:t>
      </w:r>
      <w:proofErr w:type="spellEnd"/>
      <w:r>
        <w:rPr>
          <w:rFonts w:ascii="Times New Roman" w:hAnsi="Times New Roman" w:cs="Times New Roman"/>
          <w:i/>
          <w:iCs/>
        </w:rPr>
        <w:t xml:space="preserve"> Coalition.</w:t>
      </w:r>
      <w:r>
        <w:rPr>
          <w:rFonts w:ascii="Times New Roman" w:hAnsi="Times New Roman" w:cs="Times New Roman"/>
        </w:rPr>
        <w:t xml:space="preserve"> </w:t>
      </w:r>
      <w:r w:rsidR="003F0625">
        <w:tab/>
      </w:r>
      <w:hyperlink r:id="rId11" w:history="1">
        <w:r w:rsidR="00AC7A62">
          <w:rPr>
            <w:rStyle w:val="Hyperlink"/>
            <w:rFonts w:ascii="Times New Roman" w:hAnsi="Times New Roman" w:cs="Times New Roman"/>
          </w:rPr>
          <w:t>https://journal.com.ph/ecowaste-coalition-helps-out-in-mhs-brigada-eskwela-pushes-for-zero-</w:t>
        </w:r>
        <w:r w:rsidR="003F0625" w:rsidRPr="003F0625">
          <w:rPr>
            <w:rStyle w:val="Hyperlink"/>
            <w:rFonts w:ascii="Times New Roman" w:hAnsi="Times New Roman" w:cs="Times New Roman"/>
            <w:u w:val="none"/>
          </w:rPr>
          <w:tab/>
        </w:r>
        <w:r w:rsidR="00AC7A62">
          <w:rPr>
            <w:rStyle w:val="Hyperlink"/>
            <w:rFonts w:ascii="Times New Roman" w:hAnsi="Times New Roman" w:cs="Times New Roman"/>
          </w:rPr>
          <w:t>waste-and-non-toxic-</w:t>
        </w:r>
        <w:proofErr w:type="spellStart"/>
        <w:r w:rsidR="00AC7A62">
          <w:rPr>
            <w:rStyle w:val="Hyperlink"/>
            <w:rFonts w:ascii="Times New Roman" w:hAnsi="Times New Roman" w:cs="Times New Roman"/>
          </w:rPr>
          <w:t>cleanup</w:t>
        </w:r>
        <w:proofErr w:type="spellEnd"/>
        <w:r w:rsidR="00AC7A62">
          <w:rPr>
            <w:rStyle w:val="Hyperlink"/>
            <w:rFonts w:ascii="Times New Roman" w:hAnsi="Times New Roman" w:cs="Times New Roman"/>
          </w:rPr>
          <w:t>/</w:t>
        </w:r>
      </w:hyperlink>
    </w:p>
    <w:p w14:paraId="3AB99661" w14:textId="15AD7B69"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Ogbu</w:t>
      </w:r>
      <w:proofErr w:type="spellEnd"/>
      <w:r>
        <w:rPr>
          <w:rFonts w:ascii="Times New Roman" w:hAnsi="Times New Roman" w:cs="Times New Roman"/>
        </w:rPr>
        <w:t xml:space="preserve">, J. O., &amp; </w:t>
      </w:r>
      <w:proofErr w:type="spellStart"/>
      <w:r>
        <w:rPr>
          <w:rFonts w:ascii="Times New Roman" w:hAnsi="Times New Roman" w:cs="Times New Roman"/>
        </w:rPr>
        <w:t>Ezeah</w:t>
      </w:r>
      <w:proofErr w:type="spellEnd"/>
      <w:r>
        <w:rPr>
          <w:rFonts w:ascii="Times New Roman" w:hAnsi="Times New Roman" w:cs="Times New Roman"/>
        </w:rPr>
        <w:t xml:space="preserve">, G. H. (2025). Effectiveness of radio campaigns in combating plastic waste in </w:t>
      </w:r>
      <w:r w:rsidR="003F0625">
        <w:rPr>
          <w:rFonts w:ascii="Times New Roman" w:hAnsi="Times New Roman" w:cs="Times New Roman"/>
        </w:rPr>
        <w:tab/>
      </w:r>
      <w:r>
        <w:rPr>
          <w:rFonts w:ascii="Times New Roman" w:hAnsi="Times New Roman" w:cs="Times New Roman"/>
        </w:rPr>
        <w:t xml:space="preserve">Southeast Nigeria. </w:t>
      </w:r>
      <w:r>
        <w:rPr>
          <w:rFonts w:ascii="Times New Roman" w:hAnsi="Times New Roman" w:cs="Times New Roman"/>
          <w:i/>
          <w:iCs/>
        </w:rPr>
        <w:t xml:space="preserve">African Journal of Educational Management, Teaching and Entrepreneurship </w:t>
      </w:r>
      <w:r w:rsidR="003F0625">
        <w:rPr>
          <w:rFonts w:ascii="Times New Roman" w:hAnsi="Times New Roman" w:cs="Times New Roman"/>
          <w:i/>
          <w:iCs/>
        </w:rPr>
        <w:tab/>
      </w:r>
      <w:r>
        <w:rPr>
          <w:rFonts w:ascii="Times New Roman" w:hAnsi="Times New Roman" w:cs="Times New Roman"/>
          <w:i/>
          <w:iCs/>
        </w:rPr>
        <w:t>Studies, 14</w:t>
      </w:r>
      <w:r>
        <w:rPr>
          <w:rFonts w:ascii="Times New Roman" w:hAnsi="Times New Roman" w:cs="Times New Roman"/>
        </w:rPr>
        <w:t xml:space="preserve">(2). </w:t>
      </w:r>
      <w:hyperlink r:id="rId12" w:tgtFrame="_new" w:history="1">
        <w:r w:rsidR="00AC7A62">
          <w:rPr>
            <w:rStyle w:val="Hyperlink"/>
            <w:rFonts w:ascii="Times New Roman" w:hAnsi="Times New Roman" w:cs="Times New Roman"/>
          </w:rPr>
          <w:t>https://www.ajemates.org/index.php/ajemates/article/view/646/563</w:t>
        </w:r>
      </w:hyperlink>
    </w:p>
    <w:p w14:paraId="3AB99662" w14:textId="2699C7E6"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Saro</w:t>
      </w:r>
      <w:proofErr w:type="spellEnd"/>
      <w:r>
        <w:rPr>
          <w:rFonts w:ascii="Times New Roman" w:hAnsi="Times New Roman" w:cs="Times New Roman"/>
        </w:rPr>
        <w:t xml:space="preserve">, J. M., </w:t>
      </w:r>
      <w:proofErr w:type="spellStart"/>
      <w:r>
        <w:rPr>
          <w:rFonts w:ascii="Times New Roman" w:hAnsi="Times New Roman" w:cs="Times New Roman"/>
        </w:rPr>
        <w:t>Taray</w:t>
      </w:r>
      <w:proofErr w:type="spellEnd"/>
      <w:r>
        <w:rPr>
          <w:rFonts w:ascii="Times New Roman" w:hAnsi="Times New Roman" w:cs="Times New Roman"/>
        </w:rPr>
        <w:t xml:space="preserve">, J. D., </w:t>
      </w:r>
      <w:proofErr w:type="spellStart"/>
      <w:r>
        <w:rPr>
          <w:rFonts w:ascii="Times New Roman" w:hAnsi="Times New Roman" w:cs="Times New Roman"/>
        </w:rPr>
        <w:t>Cinso</w:t>
      </w:r>
      <w:proofErr w:type="spellEnd"/>
      <w:r>
        <w:rPr>
          <w:rFonts w:ascii="Times New Roman" w:hAnsi="Times New Roman" w:cs="Times New Roman"/>
        </w:rPr>
        <w:t xml:space="preserve">, J. S., </w:t>
      </w:r>
      <w:proofErr w:type="spellStart"/>
      <w:r>
        <w:rPr>
          <w:rFonts w:ascii="Times New Roman" w:hAnsi="Times New Roman" w:cs="Times New Roman"/>
        </w:rPr>
        <w:t>Ingaling</w:t>
      </w:r>
      <w:proofErr w:type="spellEnd"/>
      <w:r>
        <w:rPr>
          <w:rFonts w:ascii="Times New Roman" w:hAnsi="Times New Roman" w:cs="Times New Roman"/>
        </w:rPr>
        <w:t xml:space="preserve">, B. S., </w:t>
      </w:r>
      <w:proofErr w:type="spellStart"/>
      <w:r>
        <w:rPr>
          <w:rFonts w:ascii="Times New Roman" w:hAnsi="Times New Roman" w:cs="Times New Roman"/>
        </w:rPr>
        <w:t>Enguio</w:t>
      </w:r>
      <w:proofErr w:type="spellEnd"/>
      <w:r>
        <w:rPr>
          <w:rFonts w:ascii="Times New Roman" w:hAnsi="Times New Roman" w:cs="Times New Roman"/>
        </w:rPr>
        <w:t xml:space="preserve">, M. J. A., &amp; </w:t>
      </w:r>
      <w:proofErr w:type="spellStart"/>
      <w:r>
        <w:rPr>
          <w:rFonts w:ascii="Times New Roman" w:hAnsi="Times New Roman" w:cs="Times New Roman"/>
        </w:rPr>
        <w:t>Hayon</w:t>
      </w:r>
      <w:proofErr w:type="spellEnd"/>
      <w:r>
        <w:rPr>
          <w:rFonts w:ascii="Times New Roman" w:hAnsi="Times New Roman" w:cs="Times New Roman"/>
        </w:rPr>
        <w:t xml:space="preserve">, C. P. B. (2025). </w:t>
      </w:r>
      <w:r w:rsidR="003F0625">
        <w:rPr>
          <w:rFonts w:ascii="Times New Roman" w:hAnsi="Times New Roman" w:cs="Times New Roman"/>
        </w:rPr>
        <w:tab/>
      </w:r>
      <w:r>
        <w:rPr>
          <w:rFonts w:ascii="Times New Roman" w:hAnsi="Times New Roman" w:cs="Times New Roman"/>
          <w:i/>
          <w:iCs/>
        </w:rPr>
        <w:t xml:space="preserve">JPBI </w:t>
      </w:r>
      <w:r w:rsidR="003F0625">
        <w:rPr>
          <w:rFonts w:ascii="Times New Roman" w:hAnsi="Times New Roman" w:cs="Times New Roman"/>
          <w:i/>
          <w:iCs/>
        </w:rPr>
        <w:tab/>
      </w:r>
      <w:r>
        <w:rPr>
          <w:rFonts w:ascii="Times New Roman" w:hAnsi="Times New Roman" w:cs="Times New Roman"/>
          <w:i/>
          <w:iCs/>
        </w:rPr>
        <w:t>(</w:t>
      </w:r>
      <w:proofErr w:type="spellStart"/>
      <w:r>
        <w:rPr>
          <w:rFonts w:ascii="Times New Roman" w:hAnsi="Times New Roman" w:cs="Times New Roman"/>
          <w:i/>
          <w:iCs/>
        </w:rPr>
        <w:t>Jurnal</w:t>
      </w:r>
      <w:proofErr w:type="spellEnd"/>
      <w:r>
        <w:rPr>
          <w:rFonts w:ascii="Times New Roman" w:hAnsi="Times New Roman" w:cs="Times New Roman"/>
          <w:i/>
          <w:iCs/>
        </w:rPr>
        <w:t xml:space="preserve"> </w:t>
      </w:r>
      <w:proofErr w:type="spellStart"/>
      <w:r>
        <w:rPr>
          <w:rFonts w:ascii="Times New Roman" w:hAnsi="Times New Roman" w:cs="Times New Roman"/>
          <w:i/>
          <w:iCs/>
        </w:rPr>
        <w:t>Pendidikan</w:t>
      </w:r>
      <w:proofErr w:type="spellEnd"/>
      <w:r>
        <w:rPr>
          <w:rFonts w:ascii="Times New Roman" w:hAnsi="Times New Roman" w:cs="Times New Roman"/>
          <w:i/>
          <w:iCs/>
        </w:rPr>
        <w:t xml:space="preserve"> </w:t>
      </w:r>
      <w:proofErr w:type="spellStart"/>
      <w:r>
        <w:rPr>
          <w:rFonts w:ascii="Times New Roman" w:hAnsi="Times New Roman" w:cs="Times New Roman"/>
          <w:i/>
          <w:iCs/>
        </w:rPr>
        <w:t>Biologi</w:t>
      </w:r>
      <w:proofErr w:type="spellEnd"/>
      <w:r>
        <w:rPr>
          <w:rFonts w:ascii="Times New Roman" w:hAnsi="Times New Roman" w:cs="Times New Roman"/>
          <w:i/>
          <w:iCs/>
        </w:rPr>
        <w:t xml:space="preserve"> Indonesia), 11</w:t>
      </w:r>
      <w:r>
        <w:rPr>
          <w:rFonts w:ascii="Times New Roman" w:hAnsi="Times New Roman" w:cs="Times New Roman"/>
        </w:rPr>
        <w:t xml:space="preserve">(1), 111–124. </w:t>
      </w:r>
      <w:hyperlink r:id="rId13" w:tgtFrame="_new" w:history="1">
        <w:r w:rsidR="00AC7A62">
          <w:rPr>
            <w:rStyle w:val="Hyperlink"/>
            <w:rFonts w:ascii="Times New Roman" w:hAnsi="Times New Roman" w:cs="Times New Roman"/>
          </w:rPr>
          <w:t>https://doi.org/10.22219/jpbi.v11i1.37861</w:t>
        </w:r>
      </w:hyperlink>
    </w:p>
    <w:p w14:paraId="3AB99663" w14:textId="734AAAA5"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Timbangan</w:t>
      </w:r>
      <w:proofErr w:type="spellEnd"/>
      <w:r>
        <w:rPr>
          <w:rFonts w:ascii="Times New Roman" w:hAnsi="Times New Roman" w:cs="Times New Roman"/>
        </w:rPr>
        <w:t xml:space="preserve">, A. V., </w:t>
      </w:r>
      <w:proofErr w:type="spellStart"/>
      <w:r>
        <w:rPr>
          <w:rFonts w:ascii="Times New Roman" w:hAnsi="Times New Roman" w:cs="Times New Roman"/>
        </w:rPr>
        <w:t>Madale</w:t>
      </w:r>
      <w:proofErr w:type="spellEnd"/>
      <w:r>
        <w:rPr>
          <w:rFonts w:ascii="Times New Roman" w:hAnsi="Times New Roman" w:cs="Times New Roman"/>
        </w:rPr>
        <w:t>, V., &amp; Salic-</w:t>
      </w:r>
      <w:proofErr w:type="spellStart"/>
      <w:r>
        <w:rPr>
          <w:rFonts w:ascii="Times New Roman" w:hAnsi="Times New Roman" w:cs="Times New Roman"/>
        </w:rPr>
        <w:t>Hairulla</w:t>
      </w:r>
      <w:proofErr w:type="spellEnd"/>
      <w:r>
        <w:rPr>
          <w:rFonts w:ascii="Times New Roman" w:hAnsi="Times New Roman" w:cs="Times New Roman"/>
        </w:rPr>
        <w:t xml:space="preserve">, M. (2025, June 19). Development of contextualized </w:t>
      </w:r>
      <w:r w:rsidR="003F0625">
        <w:rPr>
          <w:rFonts w:ascii="Times New Roman" w:hAnsi="Times New Roman" w:cs="Times New Roman"/>
        </w:rPr>
        <w:tab/>
      </w:r>
      <w:r>
        <w:rPr>
          <w:rFonts w:ascii="Times New Roman" w:hAnsi="Times New Roman" w:cs="Times New Roman"/>
        </w:rPr>
        <w:t xml:space="preserve">STEM lesson on solid waste management awareness and practices for grade four learners. </w:t>
      </w:r>
      <w:r w:rsidR="003F0625">
        <w:rPr>
          <w:rFonts w:ascii="Times New Roman" w:hAnsi="Times New Roman" w:cs="Times New Roman"/>
          <w:i/>
          <w:iCs/>
        </w:rPr>
        <w:tab/>
      </w:r>
      <w:r>
        <w:rPr>
          <w:rFonts w:ascii="Times New Roman" w:hAnsi="Times New Roman" w:cs="Times New Roman"/>
          <w:i/>
          <w:iCs/>
        </w:rPr>
        <w:t xml:space="preserve">Development of Contextualized STEM Lesson on Solid Waste Management Awareness and </w:t>
      </w:r>
      <w:r w:rsidR="003F0625">
        <w:rPr>
          <w:rFonts w:ascii="Times New Roman" w:hAnsi="Times New Roman" w:cs="Times New Roman"/>
          <w:i/>
          <w:iCs/>
        </w:rPr>
        <w:tab/>
      </w:r>
      <w:r>
        <w:rPr>
          <w:rFonts w:ascii="Times New Roman" w:hAnsi="Times New Roman" w:cs="Times New Roman"/>
          <w:i/>
          <w:iCs/>
        </w:rPr>
        <w:t>Practices for Grade Four Learners, 2</w:t>
      </w:r>
      <w:r>
        <w:rPr>
          <w:rFonts w:ascii="Times New Roman" w:hAnsi="Times New Roman" w:cs="Times New Roman"/>
        </w:rPr>
        <w:t xml:space="preserve">, 141–149. </w:t>
      </w:r>
      <w:r w:rsidR="003F0625">
        <w:lastRenderedPageBreak/>
        <w:tab/>
      </w:r>
      <w:hyperlink r:id="rId14" w:history="1">
        <w:r w:rsidR="00AC7A62">
          <w:rPr>
            <w:rStyle w:val="Hyperlink"/>
            <w:rFonts w:ascii="Times New Roman" w:hAnsi="Times New Roman" w:cs="Times New Roman"/>
          </w:rPr>
          <w:t>https://www.researchgate.net/publication/392802007_Development_of_Contextualized_STEM_</w:t>
        </w:r>
        <w:r w:rsidR="003F0625" w:rsidRPr="003F0625">
          <w:rPr>
            <w:rStyle w:val="Hyperlink"/>
            <w:rFonts w:ascii="Times New Roman" w:hAnsi="Times New Roman" w:cs="Times New Roman"/>
            <w:u w:val="none"/>
          </w:rPr>
          <w:tab/>
        </w:r>
        <w:r w:rsidR="00AC7A62">
          <w:rPr>
            <w:rStyle w:val="Hyperlink"/>
            <w:rFonts w:ascii="Times New Roman" w:hAnsi="Times New Roman" w:cs="Times New Roman"/>
          </w:rPr>
          <w:t>Lesson_on_Solid_Waste_Management_Awareness_and_Practices_for_Grade_Four_Learners</w:t>
        </w:r>
      </w:hyperlink>
    </w:p>
    <w:p w14:paraId="3AB99664" w14:textId="066EBBE6"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Trihanondo</w:t>
      </w:r>
      <w:proofErr w:type="spellEnd"/>
      <w:r>
        <w:rPr>
          <w:rFonts w:ascii="Times New Roman" w:hAnsi="Times New Roman" w:cs="Times New Roman"/>
        </w:rPr>
        <w:t xml:space="preserve">, D., </w:t>
      </w:r>
      <w:proofErr w:type="spellStart"/>
      <w:r>
        <w:rPr>
          <w:rFonts w:ascii="Times New Roman" w:hAnsi="Times New Roman" w:cs="Times New Roman"/>
        </w:rPr>
        <w:t>Haryotedjo</w:t>
      </w:r>
      <w:proofErr w:type="spellEnd"/>
      <w:r>
        <w:rPr>
          <w:rFonts w:ascii="Times New Roman" w:hAnsi="Times New Roman" w:cs="Times New Roman"/>
        </w:rPr>
        <w:t xml:space="preserve">, T., &amp; </w:t>
      </w:r>
      <w:proofErr w:type="spellStart"/>
      <w:r>
        <w:rPr>
          <w:rFonts w:ascii="Times New Roman" w:hAnsi="Times New Roman" w:cs="Times New Roman"/>
        </w:rPr>
        <w:t>Endriawan</w:t>
      </w:r>
      <w:proofErr w:type="spellEnd"/>
      <w:r>
        <w:rPr>
          <w:rFonts w:ascii="Times New Roman" w:hAnsi="Times New Roman" w:cs="Times New Roman"/>
        </w:rPr>
        <w:t xml:space="preserve">, D. (2023). A zero-waste communication campaign on a </w:t>
      </w:r>
      <w:r w:rsidR="003F0625">
        <w:rPr>
          <w:rFonts w:ascii="Times New Roman" w:hAnsi="Times New Roman" w:cs="Times New Roman"/>
        </w:rPr>
        <w:tab/>
      </w:r>
      <w:r>
        <w:rPr>
          <w:rFonts w:ascii="Times New Roman" w:hAnsi="Times New Roman" w:cs="Times New Roman"/>
        </w:rPr>
        <w:t xml:space="preserve">vocational school environmental design through mural and signage. In </w:t>
      </w:r>
      <w:r>
        <w:rPr>
          <w:rFonts w:ascii="Times New Roman" w:hAnsi="Times New Roman" w:cs="Times New Roman"/>
          <w:i/>
          <w:iCs/>
        </w:rPr>
        <w:t xml:space="preserve">Environmental issues and </w:t>
      </w:r>
      <w:r w:rsidR="003F0625">
        <w:rPr>
          <w:rFonts w:ascii="Times New Roman" w:hAnsi="Times New Roman" w:cs="Times New Roman"/>
          <w:i/>
          <w:iCs/>
        </w:rPr>
        <w:tab/>
      </w:r>
      <w:r>
        <w:rPr>
          <w:rFonts w:ascii="Times New Roman" w:hAnsi="Times New Roman" w:cs="Times New Roman"/>
          <w:i/>
          <w:iCs/>
        </w:rPr>
        <w:t>social inclusion in a sustainable era</w:t>
      </w:r>
      <w:r>
        <w:rPr>
          <w:rFonts w:ascii="Times New Roman" w:hAnsi="Times New Roman" w:cs="Times New Roman"/>
        </w:rPr>
        <w:t xml:space="preserve"> (p. 5). </w:t>
      </w:r>
      <w:proofErr w:type="spellStart"/>
      <w:r>
        <w:rPr>
          <w:rFonts w:ascii="Times New Roman" w:hAnsi="Times New Roman" w:cs="Times New Roman"/>
        </w:rPr>
        <w:t>Routledge</w:t>
      </w:r>
      <w:proofErr w:type="spellEnd"/>
      <w:r>
        <w:rPr>
          <w:rFonts w:ascii="Times New Roman" w:hAnsi="Times New Roman" w:cs="Times New Roman"/>
        </w:rPr>
        <w:t xml:space="preserve">. </w:t>
      </w:r>
      <w:hyperlink r:id="rId15" w:tgtFrame="_new" w:history="1">
        <w:r w:rsidR="00AC7A62">
          <w:rPr>
            <w:rStyle w:val="Hyperlink"/>
            <w:rFonts w:ascii="Times New Roman" w:hAnsi="Times New Roman" w:cs="Times New Roman"/>
          </w:rPr>
          <w:t>https://doi.org/10.1201/9781003360483-5</w:t>
        </w:r>
      </w:hyperlink>
    </w:p>
    <w:p w14:paraId="3AB99665" w14:textId="0DFBF9E7"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Tusoy</w:t>
      </w:r>
      <w:proofErr w:type="spellEnd"/>
      <w:r>
        <w:rPr>
          <w:rFonts w:ascii="Times New Roman" w:hAnsi="Times New Roman" w:cs="Times New Roman"/>
        </w:rPr>
        <w:t xml:space="preserve">, C., </w:t>
      </w:r>
      <w:proofErr w:type="spellStart"/>
      <w:r>
        <w:rPr>
          <w:rFonts w:ascii="Times New Roman" w:hAnsi="Times New Roman" w:cs="Times New Roman"/>
        </w:rPr>
        <w:t>Gueco</w:t>
      </w:r>
      <w:proofErr w:type="spellEnd"/>
      <w:r>
        <w:rPr>
          <w:rFonts w:ascii="Times New Roman" w:hAnsi="Times New Roman" w:cs="Times New Roman"/>
        </w:rPr>
        <w:t xml:space="preserve">, S. L., </w:t>
      </w:r>
      <w:proofErr w:type="spellStart"/>
      <w:r>
        <w:rPr>
          <w:rFonts w:ascii="Times New Roman" w:hAnsi="Times New Roman" w:cs="Times New Roman"/>
        </w:rPr>
        <w:t>Pelias</w:t>
      </w:r>
      <w:proofErr w:type="spellEnd"/>
      <w:r>
        <w:rPr>
          <w:rFonts w:ascii="Times New Roman" w:hAnsi="Times New Roman" w:cs="Times New Roman"/>
        </w:rPr>
        <w:t xml:space="preserve">, S. L., &amp; </w:t>
      </w:r>
      <w:proofErr w:type="spellStart"/>
      <w:r>
        <w:rPr>
          <w:rFonts w:ascii="Times New Roman" w:hAnsi="Times New Roman" w:cs="Times New Roman"/>
        </w:rPr>
        <w:t>Toquero</w:t>
      </w:r>
      <w:proofErr w:type="spellEnd"/>
      <w:r>
        <w:rPr>
          <w:rFonts w:ascii="Times New Roman" w:hAnsi="Times New Roman" w:cs="Times New Roman"/>
        </w:rPr>
        <w:t xml:space="preserve">, C. M. (2024). Measuring the knowledge, awareness, </w:t>
      </w:r>
      <w:r w:rsidR="003F0625">
        <w:rPr>
          <w:rFonts w:ascii="Times New Roman" w:hAnsi="Times New Roman" w:cs="Times New Roman"/>
        </w:rPr>
        <w:tab/>
      </w:r>
      <w:r>
        <w:rPr>
          <w:rFonts w:ascii="Times New Roman" w:hAnsi="Times New Roman" w:cs="Times New Roman"/>
        </w:rPr>
        <w:t xml:space="preserve">attitudes, and </w:t>
      </w:r>
      <w:proofErr w:type="spellStart"/>
      <w:r>
        <w:rPr>
          <w:rFonts w:ascii="Times New Roman" w:hAnsi="Times New Roman" w:cs="Times New Roman"/>
        </w:rPr>
        <w:t>behaviors</w:t>
      </w:r>
      <w:proofErr w:type="spellEnd"/>
      <w:r>
        <w:rPr>
          <w:rFonts w:ascii="Times New Roman" w:hAnsi="Times New Roman" w:cs="Times New Roman"/>
        </w:rPr>
        <w:t xml:space="preserve"> of Filipino teacher education students toward sustainability during the </w:t>
      </w:r>
      <w:r w:rsidR="003F0625">
        <w:rPr>
          <w:rFonts w:ascii="Times New Roman" w:hAnsi="Times New Roman" w:cs="Times New Roman"/>
        </w:rPr>
        <w:tab/>
      </w:r>
      <w:r>
        <w:rPr>
          <w:rFonts w:ascii="Times New Roman" w:hAnsi="Times New Roman" w:cs="Times New Roman"/>
        </w:rPr>
        <w:t xml:space="preserve">pandemic. </w:t>
      </w:r>
      <w:r>
        <w:rPr>
          <w:rFonts w:ascii="Times New Roman" w:hAnsi="Times New Roman" w:cs="Times New Roman"/>
          <w:i/>
          <w:iCs/>
        </w:rPr>
        <w:t xml:space="preserve">Journal of Human </w:t>
      </w:r>
      <w:proofErr w:type="spellStart"/>
      <w:r>
        <w:rPr>
          <w:rFonts w:ascii="Times New Roman" w:hAnsi="Times New Roman" w:cs="Times New Roman"/>
          <w:i/>
          <w:iCs/>
        </w:rPr>
        <w:t>Behavior</w:t>
      </w:r>
      <w:proofErr w:type="spellEnd"/>
      <w:r>
        <w:rPr>
          <w:rFonts w:ascii="Times New Roman" w:hAnsi="Times New Roman" w:cs="Times New Roman"/>
          <w:i/>
          <w:iCs/>
        </w:rPr>
        <w:t xml:space="preserve"> in the Social Environment, 35</w:t>
      </w:r>
      <w:r>
        <w:rPr>
          <w:rFonts w:ascii="Times New Roman" w:hAnsi="Times New Roman" w:cs="Times New Roman"/>
        </w:rPr>
        <w:t xml:space="preserve">(5), 789–810. </w:t>
      </w:r>
      <w:r w:rsidR="003F0625">
        <w:tab/>
      </w:r>
      <w:hyperlink r:id="rId16" w:history="1">
        <w:r w:rsidR="003F0625" w:rsidRPr="00581776">
          <w:rPr>
            <w:rStyle w:val="Hyperlink"/>
            <w:rFonts w:ascii="Times New Roman" w:hAnsi="Times New Roman" w:cs="Times New Roman"/>
          </w:rPr>
          <w:t>https://doi.org/10.1080/10911359.2024.2343940</w:t>
        </w:r>
      </w:hyperlink>
    </w:p>
    <w:p w14:paraId="3AB99666" w14:textId="64033ADD" w:rsidR="0064006D" w:rsidRDefault="00AC3DC7" w:rsidP="003F0625">
      <w:pPr>
        <w:spacing w:line="240" w:lineRule="auto"/>
        <w:jc w:val="both"/>
        <w:rPr>
          <w:rFonts w:ascii="Times New Roman" w:hAnsi="Times New Roman" w:cs="Times New Roman"/>
        </w:rPr>
      </w:pPr>
      <w:proofErr w:type="spellStart"/>
      <w:r>
        <w:rPr>
          <w:rFonts w:ascii="Times New Roman" w:hAnsi="Times New Roman" w:cs="Times New Roman"/>
        </w:rPr>
        <w:t>Valentin</w:t>
      </w:r>
      <w:proofErr w:type="spellEnd"/>
      <w:r>
        <w:rPr>
          <w:rFonts w:ascii="Times New Roman" w:hAnsi="Times New Roman" w:cs="Times New Roman"/>
        </w:rPr>
        <w:t xml:space="preserve">, A. P. M., </w:t>
      </w:r>
      <w:proofErr w:type="spellStart"/>
      <w:r>
        <w:rPr>
          <w:rFonts w:ascii="Times New Roman" w:hAnsi="Times New Roman" w:cs="Times New Roman"/>
        </w:rPr>
        <w:t>Bonifacio</w:t>
      </w:r>
      <w:proofErr w:type="spellEnd"/>
      <w:r>
        <w:rPr>
          <w:rFonts w:ascii="Times New Roman" w:hAnsi="Times New Roman" w:cs="Times New Roman"/>
        </w:rPr>
        <w:t xml:space="preserve">, P. B. S. D., Castro, S. I. C. O., Ruiz, J. C. A., </w:t>
      </w:r>
      <w:proofErr w:type="spellStart"/>
      <w:r>
        <w:rPr>
          <w:rFonts w:ascii="Times New Roman" w:hAnsi="Times New Roman" w:cs="Times New Roman"/>
        </w:rPr>
        <w:t>Sy</w:t>
      </w:r>
      <w:proofErr w:type="spellEnd"/>
      <w:r>
        <w:rPr>
          <w:rFonts w:ascii="Times New Roman" w:hAnsi="Times New Roman" w:cs="Times New Roman"/>
        </w:rPr>
        <w:t xml:space="preserve">, T. I. L., &amp; Trinidad, E. L. </w:t>
      </w:r>
      <w:r w:rsidR="003F0625">
        <w:rPr>
          <w:rFonts w:ascii="Times New Roman" w:hAnsi="Times New Roman" w:cs="Times New Roman"/>
        </w:rPr>
        <w:tab/>
      </w:r>
      <w:r>
        <w:rPr>
          <w:rFonts w:ascii="Times New Roman" w:hAnsi="Times New Roman" w:cs="Times New Roman"/>
        </w:rPr>
        <w:t xml:space="preserve">O. (2024). Predicting waste management </w:t>
      </w:r>
      <w:proofErr w:type="spellStart"/>
      <w:r>
        <w:rPr>
          <w:rFonts w:ascii="Times New Roman" w:hAnsi="Times New Roman" w:cs="Times New Roman"/>
        </w:rPr>
        <w:t>behaviors</w:t>
      </w:r>
      <w:proofErr w:type="spellEnd"/>
      <w:r>
        <w:rPr>
          <w:rFonts w:ascii="Times New Roman" w:hAnsi="Times New Roman" w:cs="Times New Roman"/>
        </w:rPr>
        <w:t xml:space="preserve"> using an extended theory of reasoned action </w:t>
      </w:r>
      <w:r w:rsidR="003F0625">
        <w:rPr>
          <w:rFonts w:ascii="Times New Roman" w:hAnsi="Times New Roman" w:cs="Times New Roman"/>
        </w:rPr>
        <w:tab/>
      </w:r>
      <w:r>
        <w:rPr>
          <w:rFonts w:ascii="Times New Roman" w:hAnsi="Times New Roman" w:cs="Times New Roman"/>
        </w:rPr>
        <w:t xml:space="preserve">model. </w:t>
      </w:r>
      <w:r>
        <w:rPr>
          <w:rFonts w:ascii="Times New Roman" w:hAnsi="Times New Roman" w:cs="Times New Roman"/>
          <w:i/>
          <w:iCs/>
        </w:rPr>
        <w:t>Cleaner Waste Systems, 9,</w:t>
      </w:r>
      <w:r>
        <w:rPr>
          <w:rFonts w:ascii="Times New Roman" w:hAnsi="Times New Roman" w:cs="Times New Roman"/>
        </w:rPr>
        <w:t xml:space="preserve"> 100193. </w:t>
      </w:r>
      <w:hyperlink r:id="rId17" w:tgtFrame="_new" w:history="1">
        <w:r w:rsidR="00AC7A62">
          <w:rPr>
            <w:rStyle w:val="Hyperlink"/>
            <w:rFonts w:ascii="Times New Roman" w:hAnsi="Times New Roman" w:cs="Times New Roman"/>
          </w:rPr>
          <w:t>https://doi.org/10.1016/j.clwas.2024.100193</w:t>
        </w:r>
      </w:hyperlink>
    </w:p>
    <w:p w14:paraId="3AB99667" w14:textId="77777777" w:rsidR="0064006D" w:rsidRDefault="0064006D">
      <w:pPr>
        <w:spacing w:line="240" w:lineRule="auto"/>
        <w:ind w:firstLine="720"/>
        <w:jc w:val="both"/>
        <w:rPr>
          <w:rFonts w:ascii="Times New Roman" w:hAnsi="Times New Roman" w:cs="Times New Roman"/>
        </w:rPr>
      </w:pPr>
    </w:p>
    <w:p w14:paraId="3AB99668" w14:textId="77777777" w:rsidR="0064006D" w:rsidRDefault="0064006D">
      <w:pPr>
        <w:spacing w:line="240" w:lineRule="auto"/>
        <w:jc w:val="both"/>
        <w:rPr>
          <w:rFonts w:ascii="Times New Roman" w:hAnsi="Times New Roman" w:cs="Times New Roman"/>
          <w:b/>
          <w:bCs/>
        </w:rPr>
      </w:pPr>
    </w:p>
    <w:sectPr w:rsidR="0064006D" w:rsidSect="003F062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673A5" w14:textId="77777777" w:rsidR="00536CB6" w:rsidRDefault="00536CB6">
      <w:pPr>
        <w:spacing w:line="240" w:lineRule="auto"/>
      </w:pPr>
      <w:r>
        <w:separator/>
      </w:r>
    </w:p>
  </w:endnote>
  <w:endnote w:type="continuationSeparator" w:id="0">
    <w:p w14:paraId="76A9DA96" w14:textId="77777777" w:rsidR="00536CB6" w:rsidRDefault="00536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6D30D" w14:textId="77777777" w:rsidR="00536CB6" w:rsidRDefault="00536CB6">
      <w:pPr>
        <w:spacing w:after="0"/>
      </w:pPr>
      <w:r>
        <w:separator/>
      </w:r>
    </w:p>
  </w:footnote>
  <w:footnote w:type="continuationSeparator" w:id="0">
    <w:p w14:paraId="284D07A1" w14:textId="77777777" w:rsidR="00536CB6" w:rsidRDefault="00536C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18E"/>
    <w:multiLevelType w:val="multilevel"/>
    <w:tmpl w:val="027621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D056DB"/>
    <w:multiLevelType w:val="multilevel"/>
    <w:tmpl w:val="4ED056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7FA52E73"/>
    <w:multiLevelType w:val="multilevel"/>
    <w:tmpl w:val="7FA52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4F"/>
    <w:rsid w:val="000241CC"/>
    <w:rsid w:val="00076262"/>
    <w:rsid w:val="0010794F"/>
    <w:rsid w:val="00140F3E"/>
    <w:rsid w:val="00157A20"/>
    <w:rsid w:val="001A39B4"/>
    <w:rsid w:val="001C794B"/>
    <w:rsid w:val="00263815"/>
    <w:rsid w:val="002E2E2D"/>
    <w:rsid w:val="00374E25"/>
    <w:rsid w:val="003D32B8"/>
    <w:rsid w:val="003F0625"/>
    <w:rsid w:val="004250EE"/>
    <w:rsid w:val="00535383"/>
    <w:rsid w:val="00536CB6"/>
    <w:rsid w:val="0056085D"/>
    <w:rsid w:val="005C0864"/>
    <w:rsid w:val="005C2020"/>
    <w:rsid w:val="0064006D"/>
    <w:rsid w:val="006C5846"/>
    <w:rsid w:val="006C5ECA"/>
    <w:rsid w:val="0075220A"/>
    <w:rsid w:val="007A10D7"/>
    <w:rsid w:val="007F37FA"/>
    <w:rsid w:val="00811C2C"/>
    <w:rsid w:val="00867981"/>
    <w:rsid w:val="009209D5"/>
    <w:rsid w:val="00923ED0"/>
    <w:rsid w:val="00935C6E"/>
    <w:rsid w:val="00944EBE"/>
    <w:rsid w:val="009A78EF"/>
    <w:rsid w:val="00A0294C"/>
    <w:rsid w:val="00A047B6"/>
    <w:rsid w:val="00A3542D"/>
    <w:rsid w:val="00A41DAB"/>
    <w:rsid w:val="00A87AD9"/>
    <w:rsid w:val="00A9343F"/>
    <w:rsid w:val="00AB5870"/>
    <w:rsid w:val="00AC1F0C"/>
    <w:rsid w:val="00AC3DC7"/>
    <w:rsid w:val="00AC7A62"/>
    <w:rsid w:val="00AE185B"/>
    <w:rsid w:val="00AE2B8C"/>
    <w:rsid w:val="00AE3552"/>
    <w:rsid w:val="00B159EA"/>
    <w:rsid w:val="00B22811"/>
    <w:rsid w:val="00B313E0"/>
    <w:rsid w:val="00B90450"/>
    <w:rsid w:val="00BA4A9D"/>
    <w:rsid w:val="00BF05B8"/>
    <w:rsid w:val="00C32F35"/>
    <w:rsid w:val="00C67E7C"/>
    <w:rsid w:val="00C72698"/>
    <w:rsid w:val="00C96E0C"/>
    <w:rsid w:val="00D12238"/>
    <w:rsid w:val="00D16BE3"/>
    <w:rsid w:val="00D466D1"/>
    <w:rsid w:val="00D764D8"/>
    <w:rsid w:val="00E36DD8"/>
    <w:rsid w:val="00E43ACB"/>
    <w:rsid w:val="00EC1B44"/>
    <w:rsid w:val="00F465C7"/>
    <w:rsid w:val="00F7380D"/>
    <w:rsid w:val="055F24F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C72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semiHidden/>
    <w:unhideWhenUsed/>
    <w:rsid w:val="00C72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698"/>
    <w:rPr>
      <w:rFonts w:asciiTheme="minorHAnsi" w:eastAsiaTheme="minorHAnsi" w:hAnsiTheme="minorHAnsi" w:cstheme="minorBidi"/>
      <w:kern w:val="2"/>
      <w:sz w:val="24"/>
      <w:szCs w:val="24"/>
      <w:lang w:eastAsia="en-US"/>
      <w14:ligatures w14:val="standardContextual"/>
    </w:rPr>
  </w:style>
  <w:style w:type="character" w:customStyle="1" w:styleId="UnresolvedMention">
    <w:name w:val="Unresolved Mention"/>
    <w:basedOn w:val="DefaultParagraphFont"/>
    <w:uiPriority w:val="99"/>
    <w:semiHidden/>
    <w:unhideWhenUsed/>
    <w:rsid w:val="003F06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C72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semiHidden/>
    <w:unhideWhenUsed/>
    <w:rsid w:val="00C72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698"/>
    <w:rPr>
      <w:rFonts w:asciiTheme="minorHAnsi" w:eastAsiaTheme="minorHAnsi" w:hAnsiTheme="minorHAnsi" w:cstheme="minorBidi"/>
      <w:kern w:val="2"/>
      <w:sz w:val="24"/>
      <w:szCs w:val="24"/>
      <w:lang w:eastAsia="en-US"/>
      <w14:ligatures w14:val="standardContextual"/>
    </w:rPr>
  </w:style>
  <w:style w:type="character" w:customStyle="1" w:styleId="UnresolvedMention">
    <w:name w:val="Unresolved Mention"/>
    <w:basedOn w:val="DefaultParagraphFont"/>
    <w:uiPriority w:val="99"/>
    <w:semiHidden/>
    <w:unhideWhenUsed/>
    <w:rsid w:val="003F0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080/00207233.2025.2507481" TargetMode="External"/><Relationship Id="rId13" Type="http://schemas.openxmlformats.org/officeDocument/2006/relationships/hyperlink" Target="https://doi.org/10.22219/jpbi.v11i1.3786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jemates.org/index.php/ajemates/article/view/646/563" TargetMode="External"/><Relationship Id="rId17" Type="http://schemas.openxmlformats.org/officeDocument/2006/relationships/hyperlink" Target="https://doi.org/10.1016/j.clwas.2024.100193" TargetMode="External"/><Relationship Id="rId2" Type="http://schemas.openxmlformats.org/officeDocument/2006/relationships/styles" Target="styles.xml"/><Relationship Id="rId16" Type="http://schemas.openxmlformats.org/officeDocument/2006/relationships/hyperlink" Target="https://doi.org/10.1080/10911359.2024.23439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com.ph/ecowaste-coalition-helps-out-in-mhs-brigada-eskwela-pushes-for-zero-waste-and-non-toxic-cleanup/" TargetMode="External"/><Relationship Id="rId5" Type="http://schemas.openxmlformats.org/officeDocument/2006/relationships/webSettings" Target="webSettings.xml"/><Relationship Id="rId15" Type="http://schemas.openxmlformats.org/officeDocument/2006/relationships/hyperlink" Target="https://doi.org/10.1201/9781003360483-5" TargetMode="External"/><Relationship Id="rId10" Type="http://schemas.openxmlformats.org/officeDocument/2006/relationships/hyperlink" Target="https://doi.org/10.1108/IJSHE-07-2023-02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70248/jogapa.v2i3" TargetMode="External"/><Relationship Id="rId14" Type="http://schemas.openxmlformats.org/officeDocument/2006/relationships/hyperlink" Target="https://www.researchgate.net/publication/392802007_Development_of_Contextualized_STEM_Lesson_on_Solid_Waste_Management_Awareness_and_Practices_for_Grade_Four_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2668</Words>
  <Characters>15209</Characters>
  <Application>Microsoft Office Word</Application>
  <DocSecurity>0</DocSecurity>
  <Lines>126</Lines>
  <Paragraphs>35</Paragraphs>
  <ScaleCrop>false</ScaleCrop>
  <Company/>
  <LinksUpToDate>false</LinksUpToDate>
  <CharactersWithSpaces>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Sittie Khalila Guiama</dc:creator>
  <cp:lastModifiedBy>qwert</cp:lastModifiedBy>
  <cp:revision>7</cp:revision>
  <dcterms:created xsi:type="dcterms:W3CDTF">2026-03-02T06:21:00Z</dcterms:created>
  <dcterms:modified xsi:type="dcterms:W3CDTF">2026-03-03T11:34:00Z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eyJoZGlkIjoiNmNjZTM1MDFjMzExNDU2NzczODQ3N2YzYWY2MmYxMWEiLCJ1c2VySWQiOiI4ODEzOTk5MDI4NDMyIn0=</vt:lpwstr>
  </property>
  <property fmtid="{D5CDD505-2E9C-101B-9397-08002B2CF9AE}" pid="3" name="KSOProductBuildVer">
    <vt:lpwstr>1033-12.1.0.25242</vt:lpwstr>
  </property>
  <property fmtid="{D5CDD505-2E9C-101B-9397-08002B2CF9AE}" pid="4" name="ICV">
    <vt:lpwstr>75CBD56E02C5452E9F5DAA52EE0C44C1_12</vt:lpwstr>
  </property>
</Properties>
</file>