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CF3D6" w14:textId="7E6F4FCC" w:rsidR="00B174EE" w:rsidRDefault="009619CB">
      <w:pPr>
        <w:spacing w:before="240" w:after="240"/>
        <w:ind w:left="720"/>
        <w:jc w:val="center"/>
        <w:rPr>
          <w:rFonts w:ascii="Times New Roman" w:eastAsia="Times New Roman" w:hAnsi="Times New Roman" w:cs="Times New Roman"/>
          <w:b/>
          <w:bCs/>
          <w:sz w:val="24"/>
          <w:szCs w:val="24"/>
        </w:rPr>
      </w:pPr>
      <w:r>
        <w:rPr>
          <w:rFonts w:ascii="Arial" w:eastAsia="Arial" w:hAnsi="Arial" w:cs="Arial"/>
          <w:b/>
          <w:bCs/>
          <w:color w:val="313131"/>
          <w:sz w:val="32"/>
          <w:szCs w:val="32"/>
        </w:rPr>
        <w:t>One Click Away: Relationship Between Monthly Allowance and Impulse Buying Behavior in Online Shopping Among Senior High School Students of Adventist Medical Center College Academy</w:t>
      </w:r>
    </w:p>
    <w:p w14:paraId="1917B667" w14:textId="77777777" w:rsidR="004965F3" w:rsidRDefault="004965F3" w:rsidP="004965F3">
      <w:pPr>
        <w:spacing w:after="0" w:line="240" w:lineRule="auto"/>
        <w:jc w:val="center"/>
        <w:rPr>
          <w:rFonts w:ascii="Times New Roman" w:eastAsia="Times New Roman" w:hAnsi="Times New Roman" w:cs="Times New Roman"/>
          <w:b/>
          <w:bCs/>
          <w:sz w:val="24"/>
          <w:szCs w:val="24"/>
        </w:rPr>
      </w:pPr>
    </w:p>
    <w:p w14:paraId="5F39B9CA" w14:textId="77777777" w:rsidR="00B174EE" w:rsidRDefault="009619CB">
      <w:pP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color w:val="212121"/>
          <w:sz w:val="24"/>
          <w:szCs w:val="24"/>
        </w:rPr>
        <w:t>Abstract</w:t>
      </w:r>
    </w:p>
    <w:p w14:paraId="44997063" w14:textId="77777777" w:rsidR="00B174EE" w:rsidRDefault="009619CB">
      <w:pPr>
        <w:spacing w:before="240" w:after="240"/>
        <w:rPr>
          <w:rFonts w:ascii="Times New Roman" w:eastAsia="Times New Roman" w:hAnsi="Times New Roman" w:cs="Times New Roman"/>
          <w:sz w:val="24"/>
          <w:szCs w:val="24"/>
        </w:rPr>
      </w:pPr>
      <w:bookmarkStart w:id="1" w:name="_8ttdmqflcqq" w:colFirst="0" w:colLast="0"/>
      <w:bookmarkEnd w:id="1"/>
      <w:r>
        <w:rPr>
          <w:rFonts w:ascii="Times New Roman" w:eastAsia="Times New Roman" w:hAnsi="Times New Roman" w:cs="Times New Roman"/>
          <w:sz w:val="24"/>
          <w:szCs w:val="24"/>
        </w:rPr>
        <w:t>This research examined the relationship between allowance and online impulse buying behavior of Senior High School students at Adventist Medical Center College Academy (AMCCA). The study aimed to determine whether students’ monthly allowance was associated with their online impulsive buying behavior. A quantitative, descriptive-correlational design was employed, involving 93 randomly selected respondents from a population of 121 Senior High School students (sample size computed using Slovin’s formula). Data were gathered through a researcher-adapted questionnaire composed of three sections: demographic profile, online impulsive buying behavior, and allowance related spending habits. The main variables were measured using a 5-point Likert scale. The instrument was tested for reliability prior to administration. Pearson’s correlation coefficient (</w:t>
      </w: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was used to examine the relationship between two main variables. The combined statistical analysis revealed no significant association between the amount of monthly allowance and student’s online impulse buying behavior (r=0.01, p=0.92). Students with higher allowances were not more likely to make impulsive online purchases, indicating that financial capacity alone did not predict their susceptibility to unplanned spending. Overall, the respondents showed cautious and regulated buying behavior, with low impulsive buying scores suggesting responsible financial decision-making despite exposure to online shopping platforms. These findings provided valuable insights that could help students develop greater financial responsibility. Since allowance levels did not influence impulsive tendencies, the results highlight the importance of focusing on other potential drivers such as financial literacy, emotional regulation, peer influence, and digital marketing exposure. Strengthening these areas may better support adolescents in developing mindful, disciplined, and sustainable spending habits in an increasingly digital consumer environment.</w:t>
      </w:r>
    </w:p>
    <w:p w14:paraId="4D7953BD" w14:textId="77777777" w:rsidR="00B174EE" w:rsidRDefault="009619CB">
      <w:pPr>
        <w:ind w:right="172"/>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monthly allowance, online impulse buying behavior, online shopping, senior high school students.</w:t>
      </w:r>
    </w:p>
    <w:p w14:paraId="383099FB" w14:textId="77777777" w:rsidR="00B174EE" w:rsidRDefault="00B174EE">
      <w:pPr>
        <w:rPr>
          <w:rFonts w:ascii="Times New Roman" w:eastAsia="Times New Roman" w:hAnsi="Times New Roman" w:cs="Times New Roman"/>
          <w:b/>
          <w:bCs/>
          <w:sz w:val="24"/>
          <w:szCs w:val="24"/>
        </w:rPr>
      </w:pPr>
    </w:p>
    <w:p w14:paraId="3B8FF58B" w14:textId="77777777" w:rsidR="00B174EE"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1CCBBAA7" w14:textId="77777777" w:rsidR="00B174EE" w:rsidRDefault="009619CB" w:rsidP="004965F3">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online shopping platforms has altered purchasing behavior among the entire population of the world, especially adolescents. Among the adolescents, particularly senior high school students, regularly engage with various digital marketplaces. The online environments are characterized by time-limited promotions, personalized recommendations, livestream selling, and convenient digital payment system. This increased the likelihood of impulse buying, defined as unplanned purchasing driven by immediate urges rather than deliberate evaluation of both necessities and wants. A research by Kumar et al. (2024) has demonstrated that online stimuli activate emotional responses that often result in spontaneous purchases. At the same time, Ngo et al. (2024) found that sensory elements and perceived scarcity significantly increased impulsive buying behavior among Generation Z consumers. Consequently, these findings indicate that the structure of online shopping platforms facilitates rapid decision-making that may override rational control.</w:t>
      </w:r>
    </w:p>
    <w:p w14:paraId="4EC45463" w14:textId="77777777" w:rsidR="00B174EE" w:rsidRDefault="009619CB" w:rsidP="004965F3">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Amidst the growing body of research, several have examined the psychological and social factors associated with online impulse buying behavior. The research by Nguyen and Nguyen (2025) found that fear of missing out (FOMO) mediated the relationship between livestream features and impulsive buying behavior. On the other hand, a research by Anaya et al. (2024) reported a weak significant positive correlation between implicit peer pressure and impulsive buying among senior high school students. Studies by Kumar et al. (2025) and Ngo et al. (2024) focusing on emotional and environmental triggers further showed that promotional strategies and platform design intensified impulsive urges. Despite these studies contributing to understanding impulse buying behavior, most of them emphasized psychological and marketing influences rather than financial capacity.</w:t>
      </w:r>
    </w:p>
    <w:p w14:paraId="5CE62AE3" w14:textId="77777777" w:rsidR="00B174EE" w:rsidRDefault="009619CB" w:rsidP="004965F3">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financial resources have also been investigated as potential predictors of impulsive buying behavior in some studies. A study by Borromeo et al. (2022) showed that greater monetary availability increased likelihood of unplanned purchases by reducing financial restraint. In parallel, Suyanto et al. (2024) found that students with higher allowances tended to engage in more frequent impulsive buying in spite of this relationship being moderated by financial knowledge. Conversely, a research by Aningsih (2024) reported that pocket money did not have a significant effect on online impulsive buying behavior. These studies suggest inconsistent findings concerning the influence of allowance on impulsive buying behavior. Furthermore, a study by Ablay et al. (2023) found that strong financial management skills reduced the tendency of impulse buying. Qomariyah et al. (2022) also found that financial literacy plays a moderating role in impulsive buying among the Generation Z consumers.</w:t>
      </w:r>
    </w:p>
    <w:p w14:paraId="050826E7" w14:textId="77777777" w:rsidR="00B174EE" w:rsidRDefault="009619CB" w:rsidP="004965F3">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continuously growing body of research, gaps consistently remain in literature. According to a study by Pascual et al. (2024), there is a weak relationship between allowance and impulse buying behavior among the Grade 12 students in Manila, but the study was only limited to an urban public-school context. Another study, by Cervantes et al. (2020), reported that the amount of money available does have an influence on online shopping behavior among senior high school students, still institutional and contextual factors remain unexplored. Most existing studies concerning this topic focus on college students or generalized youth populations. This leaves limited empirical evidence on senior high school students whose primary financial resource is a fixed monthly allowance, particularly within faith-based educational institutions.</w:t>
      </w:r>
    </w:p>
    <w:p w14:paraId="24C916A1" w14:textId="1422EAF7" w:rsidR="00B174EE" w:rsidRDefault="009619CB" w:rsidP="004965F3">
      <w:pPr>
        <w:spacing w:before="240"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address this gap, the present study examines the relationship between monthly allowance and impulsive buying behavior in online shopping among senior high school students of Adventist Medical Center College Academy. It aims to determine the distribution of students’ monthly allowances, assess the level of their online impulsive buying behavior, and test whether a statistically significant relationship exists between these variables. Through providing institution-specific quantitative evidence, this study seeks to contribute to the literature on adolescent consumer behavior and support data-driven financial literacy initiatives in secondary education. </w:t>
      </w:r>
    </w:p>
    <w:p w14:paraId="5175E67E" w14:textId="77777777" w:rsidR="00B174EE" w:rsidRDefault="00B174EE">
      <w:pPr>
        <w:spacing w:before="200" w:after="200"/>
        <w:rPr>
          <w:rFonts w:ascii="Times New Roman" w:eastAsia="Times New Roman" w:hAnsi="Times New Roman" w:cs="Times New Roman"/>
          <w:sz w:val="24"/>
          <w:szCs w:val="24"/>
        </w:rPr>
      </w:pPr>
    </w:p>
    <w:p w14:paraId="33185EF8" w14:textId="77777777" w:rsidR="00B174EE" w:rsidRDefault="009619CB">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490018D9"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employed a quantitative, descriptive-correlational design to examine the relationship between students’ monthly allowance and their online impulse buying behavior. A quantitative approach was used to collect and analyze numerical data, while the descriptive component described the students’ allowance range and level of online impulse buying behavior. The correlation aspect of the design determined whether a significant relationship existed between the two variables. Other potential influencing factors such as financing literacy, self-esteem, peer influence, or family background were excluded to keep the scope clear and manageable. </w:t>
      </w:r>
    </w:p>
    <w:p w14:paraId="23C624FC" w14:textId="77777777"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respondents of the study were Senior High School students enrolled at Adventist Medical Center College Academy (AMCCA) in San Miguel, Iligan City, Philippines, during the academic year 2025-2026. Out of 121 Senior High School students, 93 respondents were randomly selected, which represented 76.86% of the total population, by utilizing a simple random sampling. The sample size was determined using the Slovin’s formula with a 5% margin of error, ensuring that the sample size was both statistically reliable and feasible for data collection. A digital randomizer (spinning wheel application) was used to select participants, ensuring equal chances of being selected and also reducing sampling bias. </w:t>
      </w:r>
    </w:p>
    <w:p w14:paraId="03859D76" w14:textId="77777777"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gathered through a researcher-adapted questionnaire administered via Google Forms. Although the Google Form link was accessible within class group chats, responses were carefully monitored, and only submissions from selected students were included in the dataset to preserve the integrity of the sampling procedure. The instrument consisted of three parts: (1) demographic information; (2) online impulse buying behavior measured through seven Likert-scale items adapted from Rook and Fisher (1995) and Pascual et al.; and (3) allowance and spending habits assessed using four Likert-scale items related to allowance sufficiency, online spending, overspending tendencies, and saving difficulties. A pilot test was conducted among Junior High School students who were excluded from the main sample to establish validity and reliability. Internal consistency testing yielded a Cronbach’s alpa coefficient of 0.87, indicating strong reliability.</w:t>
      </w:r>
    </w:p>
    <w:p w14:paraId="37F6570A" w14:textId="77777777"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followed a structured procedure that included securing formal permission from the school administration, obtaining informed consent from participants, and automatically recording responses through Google Sheets to reduce manual errors. A five-point Likert scale ranging from 1 (Strongly Disagree) to 5 (Strongly Agree) was used for scoring. Descriptive statistics such as frequency, percentage, and mean summarized respondent profiles and key variables. Pearson’s correlation coefficient (</w:t>
      </w: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at a 0.05 level of significance tested the relationship between monthly allowance and impulse buying behavior, with Spearman’s rho considered as a non-parametric alternative if normality assumptions were not met. Ethical considerations were strictly observed by ensuring voluntary participation, informed consent, and confidentiality of all collected data.</w:t>
      </w:r>
    </w:p>
    <w:p w14:paraId="0075E3B1" w14:textId="77777777" w:rsidR="00B174EE" w:rsidRDefault="00B174EE">
      <w:pPr>
        <w:spacing w:before="200"/>
        <w:rPr>
          <w:rFonts w:ascii="Times New Roman" w:eastAsia="Times New Roman" w:hAnsi="Times New Roman" w:cs="Times New Roman"/>
          <w:sz w:val="24"/>
          <w:szCs w:val="24"/>
        </w:rPr>
      </w:pPr>
    </w:p>
    <w:p w14:paraId="45ACB499" w14:textId="77777777" w:rsidR="00B174EE" w:rsidRDefault="009619CB">
      <w:pPr>
        <w:rPr>
          <w:rFonts w:ascii="Times New Roman" w:eastAsia="Times New Roman" w:hAnsi="Times New Roman" w:cs="Times New Roman"/>
          <w:b/>
          <w:bCs/>
        </w:rPr>
      </w:pPr>
      <w:r>
        <w:rPr>
          <w:rFonts w:ascii="Times New Roman" w:eastAsia="Times New Roman" w:hAnsi="Times New Roman" w:cs="Times New Roman"/>
          <w:b/>
          <w:bCs/>
        </w:rPr>
        <w:t>RESULTS AND DISCUSSIONS</w:t>
      </w:r>
    </w:p>
    <w:p w14:paraId="0D992D60"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demographic profile of the 93 respondents indicates that 54.8% were Grade 12 students and 45.2% were from Grade 11. The majority were female (63.1%) while 26.9% were male. Ages ranged from 15 to 19 years old, with 17-year-olds comprising the largest group (44.1%). In terms of monthly allowance, the highest proportion of students (26.9%) received ₱500-₱1,000, followed by ₱1,001-₱1,500 (23.7%). Notably, 19.4% received below ₱500, and 18.3% reported allowances above ₱2,000. This distribution suggests that while some students receive relatively higher allowances, a considerable portion manages with limited financial resources. </w:t>
      </w:r>
    </w:p>
    <w:p w14:paraId="486E6802"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weighted mean for online impulse buying behavior was 2.55, interpreted as Disagree, indicating generally low levels of impulsive online purchasing. Statements reflecting spontaneous buying tendencies obtained low mean scores (2.32-2.39), while a few items related to excitement or post-purchase feelings reached neutral levels (2.65-3.01). These findings suggest that students rarely engage in unplanned online purchases and tend to demonstrate restraining when exposed to digital shopping platforms. </w:t>
      </w:r>
    </w:p>
    <w:p w14:paraId="4E98EE0A"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allowance and spending habits, students agreed that their allowance was generally sufficient to cover their needs and wants (3.45). However, they disagreed with statements related to overspending and difficulty saving (2,37-2.43). The overall weighted mean of 2.67 (Neutral) indicates that while students may occasionally experience spending temptations, such tendencies do not strongly </w:t>
      </w:r>
      <w:r>
        <w:rPr>
          <w:rFonts w:ascii="Times New Roman" w:eastAsia="Times New Roman" w:hAnsi="Times New Roman" w:cs="Times New Roman"/>
          <w:sz w:val="24"/>
          <w:szCs w:val="24"/>
        </w:rPr>
        <w:lastRenderedPageBreak/>
        <w:t>characterize their financial behavior. The perception of allowance sufficiency, combined with low impulsiveness scores, reflects practical budgeting habits and responsible financial management.</w:t>
      </w:r>
    </w:p>
    <w:p w14:paraId="5BF0E340" w14:textId="77777777" w:rsidR="00B174EE" w:rsidRDefault="009619CB" w:rsidP="004965F3">
      <w:pPr>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Correlation analysis revealed a Pearson’s </w:t>
      </w: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xml:space="preserve"> value of 0.01 with a p-value of 0.92, indicating no statistically significant relationship between monthly allowance and online impulse buying behavior. This finding suggests that the amount of allowance does not determine students’ tendency to make impulsive online purchases. Instead, internal factors such as self-control, financial discipline, and rational decision-making may exert greater influence. The results align with the Theory of Reasoned Action, which posits that behavior is shaped by deliberate intentions and evaluation of consequences rather than by emotional impulse alone. Overall, the findings demonstrate that students exhibit thoughtful purchasing behavior despite exposure to online marketing stimuli and varying financial capacities.</w:t>
      </w:r>
    </w:p>
    <w:p w14:paraId="434B047D" w14:textId="77777777" w:rsidR="00B174EE" w:rsidRDefault="00B174EE">
      <w:pPr>
        <w:spacing w:after="0"/>
        <w:rPr>
          <w:rFonts w:ascii="Times New Roman" w:eastAsia="Times New Roman" w:hAnsi="Times New Roman" w:cs="Times New Roman"/>
          <w:b/>
          <w:bCs/>
          <w:sz w:val="24"/>
          <w:szCs w:val="24"/>
        </w:rPr>
      </w:pPr>
    </w:p>
    <w:p w14:paraId="2FF7FB04" w14:textId="77777777"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Table 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Online Impulsive Buying Behavior Responses</w:t>
      </w:r>
    </w:p>
    <w:p w14:paraId="5765867E" w14:textId="77777777" w:rsidR="00B174EE" w:rsidRDefault="00B174EE">
      <w:pPr>
        <w:spacing w:after="0"/>
        <w:rPr>
          <w:rFonts w:ascii="Times New Roman" w:eastAsia="Times New Roman" w:hAnsi="Times New Roman" w:cs="Times New Roman"/>
          <w:sz w:val="24"/>
          <w:szCs w:val="24"/>
        </w:rPr>
      </w:pPr>
    </w:p>
    <w:tbl>
      <w:tblPr>
        <w:tblStyle w:val="a"/>
        <w:tblW w:w="10110"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3435"/>
        <w:gridCol w:w="1035"/>
        <w:gridCol w:w="1050"/>
        <w:gridCol w:w="1050"/>
        <w:gridCol w:w="1035"/>
        <w:gridCol w:w="1035"/>
        <w:gridCol w:w="1470"/>
      </w:tblGrid>
      <w:tr w:rsidR="00B174EE" w14:paraId="291150CE" w14:textId="77777777" w:rsidTr="00B174EE">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right w:val="single" w:sz="6" w:space="0" w:color="000000"/>
            </w:tcBorders>
          </w:tcPr>
          <w:p w14:paraId="6CE578E5" w14:textId="77777777" w:rsidR="00B174EE" w:rsidRDefault="009619CB">
            <w:pPr>
              <w:spacing w:before="200"/>
              <w:jc w:val="center"/>
              <w:rPr>
                <w:sz w:val="18"/>
                <w:szCs w:val="18"/>
              </w:rPr>
            </w:pPr>
            <w:r>
              <w:rPr>
                <w:sz w:val="18"/>
                <w:szCs w:val="18"/>
              </w:rPr>
              <w:t>Statements</w:t>
            </w:r>
          </w:p>
        </w:tc>
        <w:tc>
          <w:tcPr>
            <w:tcW w:w="1035" w:type="dxa"/>
            <w:tcBorders>
              <w:top w:val="single" w:sz="6" w:space="0" w:color="000000"/>
              <w:left w:val="single" w:sz="6" w:space="0" w:color="000000"/>
              <w:right w:val="single" w:sz="6" w:space="0" w:color="000000"/>
            </w:tcBorders>
          </w:tcPr>
          <w:p w14:paraId="3A5BE353"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1</w:t>
            </w:r>
          </w:p>
          <w:p w14:paraId="722CC3FC"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Disagree)</w:t>
            </w:r>
          </w:p>
        </w:tc>
        <w:tc>
          <w:tcPr>
            <w:tcW w:w="1050" w:type="dxa"/>
            <w:tcBorders>
              <w:top w:val="single" w:sz="6" w:space="0" w:color="000000"/>
              <w:left w:val="single" w:sz="6" w:space="0" w:color="000000"/>
              <w:right w:val="single" w:sz="6" w:space="0" w:color="000000"/>
            </w:tcBorders>
          </w:tcPr>
          <w:p w14:paraId="3A679CC6"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w:t>
            </w:r>
          </w:p>
          <w:p w14:paraId="33F62615"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(Disagree)</w:t>
            </w:r>
          </w:p>
        </w:tc>
        <w:tc>
          <w:tcPr>
            <w:tcW w:w="1050" w:type="dxa"/>
            <w:tcBorders>
              <w:top w:val="single" w:sz="6" w:space="0" w:color="000000"/>
              <w:left w:val="single" w:sz="6" w:space="0" w:color="000000"/>
              <w:right w:val="single" w:sz="6" w:space="0" w:color="000000"/>
            </w:tcBorders>
          </w:tcPr>
          <w:p w14:paraId="051FB86B"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3</w:t>
            </w:r>
          </w:p>
          <w:p w14:paraId="2CF28A9C"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(Neutral)</w:t>
            </w:r>
          </w:p>
        </w:tc>
        <w:tc>
          <w:tcPr>
            <w:tcW w:w="1035" w:type="dxa"/>
            <w:tcBorders>
              <w:top w:val="single" w:sz="6" w:space="0" w:color="000000"/>
              <w:left w:val="single" w:sz="6" w:space="0" w:color="000000"/>
              <w:right w:val="single" w:sz="6" w:space="0" w:color="000000"/>
            </w:tcBorders>
          </w:tcPr>
          <w:p w14:paraId="6FBC3CD0"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4</w:t>
            </w:r>
          </w:p>
          <w:p w14:paraId="2375F5F8"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(Agree)</w:t>
            </w:r>
          </w:p>
        </w:tc>
        <w:tc>
          <w:tcPr>
            <w:tcW w:w="1035" w:type="dxa"/>
            <w:tcBorders>
              <w:top w:val="single" w:sz="6" w:space="0" w:color="000000"/>
              <w:left w:val="single" w:sz="6" w:space="0" w:color="000000"/>
              <w:right w:val="single" w:sz="6" w:space="0" w:color="000000"/>
            </w:tcBorders>
          </w:tcPr>
          <w:p w14:paraId="7F69EF0D"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5</w:t>
            </w:r>
          </w:p>
          <w:p w14:paraId="1E04BC43"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Agree)</w:t>
            </w:r>
          </w:p>
        </w:tc>
        <w:tc>
          <w:tcPr>
            <w:tcW w:w="1470" w:type="dxa"/>
            <w:tcBorders>
              <w:top w:val="single" w:sz="6" w:space="0" w:color="000000"/>
              <w:left w:val="single" w:sz="6" w:space="0" w:color="000000"/>
              <w:right w:val="single" w:sz="6" w:space="0" w:color="000000"/>
            </w:tcBorders>
          </w:tcPr>
          <w:p w14:paraId="36B7179A"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Weighted Mean</w:t>
            </w:r>
          </w:p>
        </w:tc>
      </w:tr>
      <w:tr w:rsidR="00B174EE" w14:paraId="1B5BF0A9" w14:textId="77777777" w:rsidTr="00B174E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left w:val="single" w:sz="6" w:space="0" w:color="000000"/>
              <w:bottom w:val="single" w:sz="6" w:space="0" w:color="000000"/>
              <w:right w:val="single" w:sz="6" w:space="0" w:color="000000"/>
            </w:tcBorders>
          </w:tcPr>
          <w:p w14:paraId="1855AADB" w14:textId="77777777" w:rsidR="00B174EE" w:rsidRDefault="009619CB">
            <w:pPr>
              <w:jc w:val="left"/>
              <w:rPr>
                <w:sz w:val="18"/>
                <w:szCs w:val="18"/>
              </w:rPr>
            </w:pPr>
            <w:r>
              <w:rPr>
                <w:b w:val="0"/>
                <w:bCs w:val="0"/>
                <w:sz w:val="18"/>
                <w:szCs w:val="18"/>
              </w:rPr>
              <w:t>1. I often buy things online without thinking.</w:t>
            </w:r>
          </w:p>
        </w:tc>
        <w:tc>
          <w:tcPr>
            <w:tcW w:w="1035" w:type="dxa"/>
            <w:tcBorders>
              <w:left w:val="single" w:sz="6" w:space="0" w:color="000000"/>
              <w:bottom w:val="single" w:sz="6" w:space="0" w:color="000000"/>
              <w:right w:val="single" w:sz="6" w:space="0" w:color="000000"/>
            </w:tcBorders>
          </w:tcPr>
          <w:p w14:paraId="298859F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w:t>
            </w:r>
          </w:p>
        </w:tc>
        <w:tc>
          <w:tcPr>
            <w:tcW w:w="1050" w:type="dxa"/>
            <w:tcBorders>
              <w:left w:val="single" w:sz="6" w:space="0" w:color="000000"/>
              <w:bottom w:val="single" w:sz="6" w:space="0" w:color="000000"/>
              <w:right w:val="single" w:sz="6" w:space="0" w:color="000000"/>
            </w:tcBorders>
          </w:tcPr>
          <w:p w14:paraId="6EF13538"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1050" w:type="dxa"/>
            <w:tcBorders>
              <w:left w:val="single" w:sz="6" w:space="0" w:color="000000"/>
              <w:bottom w:val="single" w:sz="6" w:space="0" w:color="000000"/>
              <w:right w:val="single" w:sz="6" w:space="0" w:color="000000"/>
            </w:tcBorders>
          </w:tcPr>
          <w:p w14:paraId="36939E47"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14:paraId="582BEA39"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35" w:type="dxa"/>
            <w:tcBorders>
              <w:left w:val="single" w:sz="6" w:space="0" w:color="000000"/>
              <w:bottom w:val="single" w:sz="6" w:space="0" w:color="000000"/>
              <w:right w:val="single" w:sz="6" w:space="0" w:color="000000"/>
            </w:tcBorders>
          </w:tcPr>
          <w:p w14:paraId="27C58425"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c>
          <w:tcPr>
            <w:tcW w:w="1035" w:type="dxa"/>
            <w:tcBorders>
              <w:left w:val="single" w:sz="6" w:space="0" w:color="000000"/>
              <w:bottom w:val="single" w:sz="6" w:space="0" w:color="000000"/>
              <w:right w:val="single" w:sz="6" w:space="0" w:color="000000"/>
            </w:tcBorders>
          </w:tcPr>
          <w:p w14:paraId="5F6B4772"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p w14:paraId="31A0CF9C"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left w:val="single" w:sz="6" w:space="0" w:color="000000"/>
              <w:bottom w:val="single" w:sz="6" w:space="0" w:color="000000"/>
              <w:right w:val="single" w:sz="6" w:space="0" w:color="000000"/>
            </w:tcBorders>
          </w:tcPr>
          <w:p w14:paraId="01495C6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2.39</w:t>
            </w:r>
          </w:p>
          <w:p w14:paraId="766BA9BF"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74EE" w14:paraId="6D5FE69C" w14:textId="77777777" w:rsidTr="00B174EE">
        <w:trPr>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312C548B" w14:textId="77777777" w:rsidR="00B174EE" w:rsidRDefault="009619CB">
            <w:pPr>
              <w:jc w:val="left"/>
              <w:rPr>
                <w:sz w:val="18"/>
                <w:szCs w:val="18"/>
              </w:rPr>
            </w:pPr>
            <w:r>
              <w:rPr>
                <w:b w:val="0"/>
                <w:bCs w:val="0"/>
                <w:sz w:val="18"/>
                <w:szCs w:val="18"/>
              </w:rPr>
              <w:t>2. When I see something online that attracts me, I buy it without considering the consequences.</w:t>
            </w:r>
          </w:p>
        </w:tc>
        <w:tc>
          <w:tcPr>
            <w:tcW w:w="1035" w:type="dxa"/>
            <w:tcBorders>
              <w:top w:val="single" w:sz="6" w:space="0" w:color="000000"/>
              <w:left w:val="single" w:sz="6" w:space="0" w:color="000000"/>
              <w:bottom w:val="single" w:sz="6" w:space="0" w:color="000000"/>
              <w:right w:val="single" w:sz="6" w:space="0" w:color="000000"/>
            </w:tcBorders>
          </w:tcPr>
          <w:p w14:paraId="0CB42779"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w:t>
            </w:r>
          </w:p>
        </w:tc>
        <w:tc>
          <w:tcPr>
            <w:tcW w:w="1050" w:type="dxa"/>
            <w:tcBorders>
              <w:top w:val="single" w:sz="6" w:space="0" w:color="000000"/>
              <w:left w:val="single" w:sz="6" w:space="0" w:color="000000"/>
              <w:bottom w:val="single" w:sz="6" w:space="0" w:color="000000"/>
              <w:right w:val="single" w:sz="6" w:space="0" w:color="000000"/>
            </w:tcBorders>
          </w:tcPr>
          <w:p w14:paraId="765B11A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w:t>
            </w:r>
          </w:p>
        </w:tc>
        <w:tc>
          <w:tcPr>
            <w:tcW w:w="1050" w:type="dxa"/>
            <w:tcBorders>
              <w:top w:val="single" w:sz="6" w:space="0" w:color="000000"/>
              <w:left w:val="single" w:sz="6" w:space="0" w:color="000000"/>
              <w:bottom w:val="single" w:sz="6" w:space="0" w:color="000000"/>
              <w:right w:val="single" w:sz="6" w:space="0" w:color="000000"/>
            </w:tcBorders>
          </w:tcPr>
          <w:p w14:paraId="1EC19641"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1035" w:type="dxa"/>
            <w:tcBorders>
              <w:top w:val="single" w:sz="6" w:space="0" w:color="000000"/>
              <w:left w:val="single" w:sz="6" w:space="0" w:color="000000"/>
              <w:bottom w:val="single" w:sz="6" w:space="0" w:color="000000"/>
              <w:right w:val="single" w:sz="6" w:space="0" w:color="000000"/>
            </w:tcBorders>
          </w:tcPr>
          <w:p w14:paraId="03ADF9E2"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035" w:type="dxa"/>
            <w:tcBorders>
              <w:top w:val="single" w:sz="6" w:space="0" w:color="000000"/>
              <w:left w:val="single" w:sz="6" w:space="0" w:color="000000"/>
              <w:bottom w:val="single" w:sz="6" w:space="0" w:color="000000"/>
              <w:right w:val="single" w:sz="6" w:space="0" w:color="000000"/>
            </w:tcBorders>
          </w:tcPr>
          <w:p w14:paraId="44580468"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p w14:paraId="7FADD12F"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4A3EFC3F"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2.37</w:t>
            </w:r>
          </w:p>
        </w:tc>
      </w:tr>
      <w:tr w:rsidR="00B174EE" w14:paraId="2A013FCE" w14:textId="77777777" w:rsidTr="00B174EE">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131ED3D4" w14:textId="77777777" w:rsidR="00B174EE" w:rsidRDefault="009619CB">
            <w:pPr>
              <w:jc w:val="left"/>
              <w:rPr>
                <w:sz w:val="18"/>
                <w:szCs w:val="18"/>
              </w:rPr>
            </w:pPr>
            <w:r>
              <w:rPr>
                <w:b w:val="0"/>
                <w:bCs w:val="0"/>
                <w:sz w:val="18"/>
                <w:szCs w:val="18"/>
              </w:rPr>
              <w:t>3. I tend to buy things spontaneously when shopping online.</w:t>
            </w:r>
          </w:p>
        </w:tc>
        <w:tc>
          <w:tcPr>
            <w:tcW w:w="1035" w:type="dxa"/>
            <w:tcBorders>
              <w:top w:val="single" w:sz="6" w:space="0" w:color="000000"/>
              <w:left w:val="single" w:sz="6" w:space="0" w:color="000000"/>
              <w:bottom w:val="single" w:sz="6" w:space="0" w:color="000000"/>
              <w:right w:val="single" w:sz="6" w:space="0" w:color="000000"/>
            </w:tcBorders>
          </w:tcPr>
          <w:p w14:paraId="20B127E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w:t>
            </w:r>
          </w:p>
        </w:tc>
        <w:tc>
          <w:tcPr>
            <w:tcW w:w="1050" w:type="dxa"/>
            <w:tcBorders>
              <w:top w:val="single" w:sz="6" w:space="0" w:color="000000"/>
              <w:left w:val="single" w:sz="6" w:space="0" w:color="000000"/>
              <w:bottom w:val="single" w:sz="6" w:space="0" w:color="000000"/>
              <w:right w:val="single" w:sz="6" w:space="0" w:color="000000"/>
            </w:tcBorders>
          </w:tcPr>
          <w:p w14:paraId="4753E7F6"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050" w:type="dxa"/>
            <w:tcBorders>
              <w:top w:val="single" w:sz="6" w:space="0" w:color="000000"/>
              <w:left w:val="single" w:sz="6" w:space="0" w:color="000000"/>
              <w:bottom w:val="single" w:sz="6" w:space="0" w:color="000000"/>
              <w:right w:val="single" w:sz="6" w:space="0" w:color="000000"/>
            </w:tcBorders>
          </w:tcPr>
          <w:p w14:paraId="78F6A08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c>
          <w:tcPr>
            <w:tcW w:w="1035" w:type="dxa"/>
            <w:tcBorders>
              <w:top w:val="single" w:sz="6" w:space="0" w:color="000000"/>
              <w:left w:val="single" w:sz="6" w:space="0" w:color="000000"/>
              <w:bottom w:val="single" w:sz="6" w:space="0" w:color="000000"/>
              <w:right w:val="single" w:sz="6" w:space="0" w:color="000000"/>
            </w:tcBorders>
          </w:tcPr>
          <w:p w14:paraId="287A5FC6"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c>
          <w:tcPr>
            <w:tcW w:w="1035" w:type="dxa"/>
            <w:tcBorders>
              <w:top w:val="single" w:sz="6" w:space="0" w:color="000000"/>
              <w:left w:val="single" w:sz="6" w:space="0" w:color="000000"/>
              <w:bottom w:val="single" w:sz="6" w:space="0" w:color="000000"/>
              <w:right w:val="single" w:sz="6" w:space="0" w:color="000000"/>
            </w:tcBorders>
          </w:tcPr>
          <w:p w14:paraId="79B8EFE4"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w:t>
            </w:r>
          </w:p>
          <w:p w14:paraId="46D7EA2D"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643F8CFF"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2.32</w:t>
            </w:r>
          </w:p>
          <w:p w14:paraId="75110BDE"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74EE" w14:paraId="50E3AA3F" w14:textId="77777777" w:rsidTr="00B174EE">
        <w:trPr>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0CF99AEE" w14:textId="77777777" w:rsidR="00B174EE" w:rsidRDefault="009619CB">
            <w:pPr>
              <w:jc w:val="left"/>
              <w:rPr>
                <w:sz w:val="18"/>
                <w:szCs w:val="18"/>
              </w:rPr>
            </w:pPr>
            <w:r>
              <w:rPr>
                <w:b w:val="0"/>
                <w:bCs w:val="0"/>
                <w:sz w:val="18"/>
                <w:szCs w:val="18"/>
              </w:rPr>
              <w:t xml:space="preserve">4. It is hard for me to resist buying items that catch my attention online. </w:t>
            </w:r>
          </w:p>
        </w:tc>
        <w:tc>
          <w:tcPr>
            <w:tcW w:w="1035" w:type="dxa"/>
            <w:tcBorders>
              <w:top w:val="single" w:sz="6" w:space="0" w:color="000000"/>
              <w:left w:val="single" w:sz="6" w:space="0" w:color="000000"/>
              <w:bottom w:val="single" w:sz="6" w:space="0" w:color="000000"/>
              <w:right w:val="single" w:sz="6" w:space="0" w:color="000000"/>
            </w:tcBorders>
          </w:tcPr>
          <w:p w14:paraId="5EB94ED0"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w:t>
            </w:r>
          </w:p>
        </w:tc>
        <w:tc>
          <w:tcPr>
            <w:tcW w:w="1050" w:type="dxa"/>
            <w:tcBorders>
              <w:top w:val="single" w:sz="6" w:space="0" w:color="000000"/>
              <w:left w:val="single" w:sz="6" w:space="0" w:color="000000"/>
              <w:bottom w:val="single" w:sz="6" w:space="0" w:color="000000"/>
              <w:right w:val="single" w:sz="6" w:space="0" w:color="000000"/>
            </w:tcBorders>
          </w:tcPr>
          <w:p w14:paraId="06115DCE"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p>
        </w:tc>
        <w:tc>
          <w:tcPr>
            <w:tcW w:w="1050" w:type="dxa"/>
            <w:tcBorders>
              <w:top w:val="single" w:sz="6" w:space="0" w:color="000000"/>
              <w:left w:val="single" w:sz="6" w:space="0" w:color="000000"/>
              <w:bottom w:val="single" w:sz="6" w:space="0" w:color="000000"/>
              <w:right w:val="single" w:sz="6" w:space="0" w:color="000000"/>
            </w:tcBorders>
          </w:tcPr>
          <w:p w14:paraId="63484BF3"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1035" w:type="dxa"/>
            <w:tcBorders>
              <w:top w:val="single" w:sz="6" w:space="0" w:color="000000"/>
              <w:left w:val="single" w:sz="6" w:space="0" w:color="000000"/>
              <w:bottom w:val="single" w:sz="6" w:space="0" w:color="000000"/>
              <w:right w:val="single" w:sz="6" w:space="0" w:color="000000"/>
            </w:tcBorders>
          </w:tcPr>
          <w:p w14:paraId="6796983E"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p w14:paraId="175B831A"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35" w:type="dxa"/>
            <w:tcBorders>
              <w:top w:val="single" w:sz="6" w:space="0" w:color="000000"/>
              <w:left w:val="single" w:sz="6" w:space="0" w:color="000000"/>
              <w:bottom w:val="single" w:sz="6" w:space="0" w:color="000000"/>
              <w:right w:val="single" w:sz="6" w:space="0" w:color="000000"/>
            </w:tcBorders>
          </w:tcPr>
          <w:p w14:paraId="2CC14A99"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1470" w:type="dxa"/>
            <w:tcBorders>
              <w:top w:val="single" w:sz="6" w:space="0" w:color="000000"/>
              <w:left w:val="single" w:sz="6" w:space="0" w:color="000000"/>
              <w:bottom w:val="single" w:sz="6" w:space="0" w:color="000000"/>
              <w:right w:val="single" w:sz="6" w:space="0" w:color="000000"/>
            </w:tcBorders>
          </w:tcPr>
          <w:p w14:paraId="0E57945F"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2.65</w:t>
            </w:r>
          </w:p>
        </w:tc>
      </w:tr>
      <w:tr w:rsidR="00B174EE" w14:paraId="392C9969" w14:textId="77777777" w:rsidTr="00B174E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49071365" w14:textId="77777777" w:rsidR="00B174EE" w:rsidRDefault="009619CB">
            <w:pPr>
              <w:jc w:val="left"/>
              <w:rPr>
                <w:sz w:val="18"/>
                <w:szCs w:val="18"/>
              </w:rPr>
            </w:pPr>
            <w:r>
              <w:rPr>
                <w:b w:val="0"/>
                <w:bCs w:val="0"/>
                <w:sz w:val="18"/>
                <w:szCs w:val="18"/>
              </w:rPr>
              <w:t>5. I feel excited when I make unplanned purchases online.</w:t>
            </w:r>
          </w:p>
        </w:tc>
        <w:tc>
          <w:tcPr>
            <w:tcW w:w="1035" w:type="dxa"/>
            <w:tcBorders>
              <w:top w:val="single" w:sz="6" w:space="0" w:color="000000"/>
              <w:left w:val="single" w:sz="6" w:space="0" w:color="000000"/>
              <w:bottom w:val="single" w:sz="6" w:space="0" w:color="000000"/>
              <w:right w:val="single" w:sz="6" w:space="0" w:color="000000"/>
            </w:tcBorders>
          </w:tcPr>
          <w:p w14:paraId="2F7FE1BC"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w:t>
            </w:r>
          </w:p>
        </w:tc>
        <w:tc>
          <w:tcPr>
            <w:tcW w:w="1050" w:type="dxa"/>
            <w:tcBorders>
              <w:top w:val="single" w:sz="6" w:space="0" w:color="000000"/>
              <w:left w:val="single" w:sz="6" w:space="0" w:color="000000"/>
              <w:bottom w:val="single" w:sz="6" w:space="0" w:color="000000"/>
              <w:right w:val="single" w:sz="6" w:space="0" w:color="000000"/>
            </w:tcBorders>
          </w:tcPr>
          <w:p w14:paraId="5803AD2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c>
          <w:tcPr>
            <w:tcW w:w="1050" w:type="dxa"/>
            <w:tcBorders>
              <w:top w:val="single" w:sz="6" w:space="0" w:color="000000"/>
              <w:left w:val="single" w:sz="6" w:space="0" w:color="000000"/>
              <w:bottom w:val="single" w:sz="6" w:space="0" w:color="000000"/>
              <w:right w:val="single" w:sz="6" w:space="0" w:color="000000"/>
            </w:tcBorders>
          </w:tcPr>
          <w:p w14:paraId="2017AD48"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w:t>
            </w:r>
          </w:p>
        </w:tc>
        <w:tc>
          <w:tcPr>
            <w:tcW w:w="1035" w:type="dxa"/>
            <w:tcBorders>
              <w:top w:val="single" w:sz="6" w:space="0" w:color="000000"/>
              <w:left w:val="single" w:sz="6" w:space="0" w:color="000000"/>
              <w:bottom w:val="single" w:sz="6" w:space="0" w:color="000000"/>
              <w:right w:val="single" w:sz="6" w:space="0" w:color="000000"/>
            </w:tcBorders>
          </w:tcPr>
          <w:p w14:paraId="475F6864"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035" w:type="dxa"/>
            <w:tcBorders>
              <w:top w:val="single" w:sz="6" w:space="0" w:color="000000"/>
              <w:left w:val="single" w:sz="6" w:space="0" w:color="000000"/>
              <w:bottom w:val="single" w:sz="6" w:space="0" w:color="000000"/>
              <w:right w:val="single" w:sz="6" w:space="0" w:color="000000"/>
            </w:tcBorders>
          </w:tcPr>
          <w:p w14:paraId="323497E0"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p w14:paraId="26B33428"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43E4BCD2"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2.76</w:t>
            </w:r>
          </w:p>
        </w:tc>
      </w:tr>
      <w:tr w:rsidR="00B174EE" w14:paraId="77085125" w14:textId="77777777" w:rsidTr="00B174EE">
        <w:trPr>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7F0611CE" w14:textId="77777777" w:rsidR="00B174EE" w:rsidRDefault="009619CB">
            <w:pPr>
              <w:jc w:val="left"/>
              <w:rPr>
                <w:sz w:val="18"/>
                <w:szCs w:val="18"/>
              </w:rPr>
            </w:pPr>
            <w:r>
              <w:rPr>
                <w:b w:val="0"/>
                <w:bCs w:val="0"/>
                <w:sz w:val="18"/>
                <w:szCs w:val="18"/>
              </w:rPr>
              <w:t>6. I sometimes buy things online just because they are on sale, even if I don’t really need them.</w:t>
            </w:r>
          </w:p>
        </w:tc>
        <w:tc>
          <w:tcPr>
            <w:tcW w:w="1035" w:type="dxa"/>
            <w:tcBorders>
              <w:top w:val="single" w:sz="6" w:space="0" w:color="000000"/>
              <w:left w:val="single" w:sz="6" w:space="0" w:color="000000"/>
              <w:bottom w:val="single" w:sz="6" w:space="0" w:color="000000"/>
              <w:right w:val="single" w:sz="6" w:space="0" w:color="000000"/>
            </w:tcBorders>
          </w:tcPr>
          <w:p w14:paraId="26E602AD"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p>
        </w:tc>
        <w:tc>
          <w:tcPr>
            <w:tcW w:w="1050" w:type="dxa"/>
            <w:tcBorders>
              <w:top w:val="single" w:sz="6" w:space="0" w:color="000000"/>
              <w:left w:val="single" w:sz="6" w:space="0" w:color="000000"/>
              <w:bottom w:val="single" w:sz="6" w:space="0" w:color="000000"/>
              <w:right w:val="single" w:sz="6" w:space="0" w:color="000000"/>
            </w:tcBorders>
          </w:tcPr>
          <w:p w14:paraId="61015D9E"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1050" w:type="dxa"/>
            <w:tcBorders>
              <w:top w:val="single" w:sz="6" w:space="0" w:color="000000"/>
              <w:left w:val="single" w:sz="6" w:space="0" w:color="000000"/>
              <w:bottom w:val="single" w:sz="6" w:space="0" w:color="000000"/>
              <w:right w:val="single" w:sz="6" w:space="0" w:color="000000"/>
            </w:tcBorders>
          </w:tcPr>
          <w:p w14:paraId="0C716E23"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1035" w:type="dxa"/>
            <w:tcBorders>
              <w:top w:val="single" w:sz="6" w:space="0" w:color="000000"/>
              <w:left w:val="single" w:sz="6" w:space="0" w:color="000000"/>
              <w:bottom w:val="single" w:sz="6" w:space="0" w:color="000000"/>
              <w:right w:val="single" w:sz="6" w:space="0" w:color="000000"/>
            </w:tcBorders>
          </w:tcPr>
          <w:p w14:paraId="769AF23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1035" w:type="dxa"/>
            <w:tcBorders>
              <w:top w:val="single" w:sz="6" w:space="0" w:color="000000"/>
              <w:left w:val="single" w:sz="6" w:space="0" w:color="000000"/>
              <w:bottom w:val="single" w:sz="6" w:space="0" w:color="000000"/>
              <w:right w:val="single" w:sz="6" w:space="0" w:color="000000"/>
            </w:tcBorders>
          </w:tcPr>
          <w:p w14:paraId="314BA025"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p w14:paraId="3D4B75B2"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12EF07BB"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2.38</w:t>
            </w:r>
          </w:p>
        </w:tc>
      </w:tr>
      <w:tr w:rsidR="00B174EE" w14:paraId="26049C82" w14:textId="77777777" w:rsidTr="00B174E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151DEBD5" w14:textId="77777777" w:rsidR="00B174EE" w:rsidRDefault="009619CB">
            <w:pPr>
              <w:jc w:val="left"/>
              <w:rPr>
                <w:sz w:val="18"/>
                <w:szCs w:val="18"/>
              </w:rPr>
            </w:pPr>
            <w:r>
              <w:rPr>
                <w:b w:val="0"/>
                <w:bCs w:val="0"/>
                <w:sz w:val="18"/>
                <w:szCs w:val="18"/>
              </w:rPr>
              <w:t>7. I regret some of the things I buy online without planning.</w:t>
            </w:r>
          </w:p>
        </w:tc>
        <w:tc>
          <w:tcPr>
            <w:tcW w:w="1035" w:type="dxa"/>
            <w:tcBorders>
              <w:top w:val="single" w:sz="6" w:space="0" w:color="000000"/>
              <w:left w:val="single" w:sz="6" w:space="0" w:color="000000"/>
              <w:bottom w:val="single" w:sz="6" w:space="0" w:color="000000"/>
              <w:right w:val="single" w:sz="6" w:space="0" w:color="000000"/>
            </w:tcBorders>
          </w:tcPr>
          <w:p w14:paraId="37ED19BB"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w:t>
            </w:r>
          </w:p>
        </w:tc>
        <w:tc>
          <w:tcPr>
            <w:tcW w:w="1050" w:type="dxa"/>
            <w:tcBorders>
              <w:top w:val="single" w:sz="6" w:space="0" w:color="000000"/>
              <w:left w:val="single" w:sz="6" w:space="0" w:color="000000"/>
              <w:bottom w:val="single" w:sz="6" w:space="0" w:color="000000"/>
              <w:right w:val="single" w:sz="6" w:space="0" w:color="000000"/>
            </w:tcBorders>
          </w:tcPr>
          <w:p w14:paraId="1E00DC20"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w:t>
            </w:r>
          </w:p>
        </w:tc>
        <w:tc>
          <w:tcPr>
            <w:tcW w:w="1050" w:type="dxa"/>
            <w:tcBorders>
              <w:top w:val="single" w:sz="6" w:space="0" w:color="000000"/>
              <w:left w:val="single" w:sz="6" w:space="0" w:color="000000"/>
              <w:bottom w:val="single" w:sz="6" w:space="0" w:color="000000"/>
              <w:right w:val="single" w:sz="6" w:space="0" w:color="000000"/>
            </w:tcBorders>
          </w:tcPr>
          <w:p w14:paraId="22096C27"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1035" w:type="dxa"/>
            <w:tcBorders>
              <w:top w:val="single" w:sz="6" w:space="0" w:color="000000"/>
              <w:left w:val="single" w:sz="6" w:space="0" w:color="000000"/>
              <w:bottom w:val="single" w:sz="6" w:space="0" w:color="000000"/>
              <w:right w:val="single" w:sz="6" w:space="0" w:color="000000"/>
            </w:tcBorders>
          </w:tcPr>
          <w:p w14:paraId="5E86D44E"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035" w:type="dxa"/>
            <w:tcBorders>
              <w:top w:val="single" w:sz="6" w:space="0" w:color="000000"/>
              <w:left w:val="single" w:sz="6" w:space="0" w:color="000000"/>
              <w:bottom w:val="single" w:sz="6" w:space="0" w:color="000000"/>
              <w:right w:val="single" w:sz="6" w:space="0" w:color="000000"/>
            </w:tcBorders>
          </w:tcPr>
          <w:p w14:paraId="758BA0C1"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470" w:type="dxa"/>
            <w:tcBorders>
              <w:top w:val="single" w:sz="6" w:space="0" w:color="000000"/>
              <w:left w:val="single" w:sz="6" w:space="0" w:color="000000"/>
              <w:bottom w:val="single" w:sz="6" w:space="0" w:color="000000"/>
              <w:right w:val="single" w:sz="6" w:space="0" w:color="000000"/>
            </w:tcBorders>
          </w:tcPr>
          <w:p w14:paraId="08A305F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3.01</w:t>
            </w:r>
          </w:p>
          <w:p w14:paraId="7127FC3D"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19F4F3E1" w14:textId="77777777" w:rsidR="00B174EE" w:rsidRDefault="009619CB">
      <w:pPr>
        <w:tabs>
          <w:tab w:val="left" w:pos="1992"/>
        </w:tabs>
        <w:spacing w:after="0"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 xml:space="preserve"> Note:    </w:t>
      </w:r>
      <w:r>
        <w:rPr>
          <w:rFonts w:ascii="Times New Roman" w:eastAsia="Times New Roman" w:hAnsi="Times New Roman" w:cs="Times New Roman"/>
          <w:i/>
          <w:iCs/>
          <w:sz w:val="20"/>
          <w:szCs w:val="20"/>
        </w:rPr>
        <w:t xml:space="preserve">1.00 – 1.80 = Strongly Disagree, 1.81 – 2.60 = Disagree, 2.61 – 3.40 = Neutral, </w:t>
      </w:r>
    </w:p>
    <w:p w14:paraId="653CD19B" w14:textId="77777777" w:rsidR="00B174EE" w:rsidRDefault="009619CB">
      <w:pPr>
        <w:tabs>
          <w:tab w:val="left" w:pos="1992"/>
        </w:tabs>
        <w:spacing w:after="0" w:line="240" w:lineRule="auto"/>
        <w:ind w:firstLine="7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3.41 – 4.20 = Agree, 4.21 – 5.00 = Strongly Agree</w:t>
      </w:r>
    </w:p>
    <w:p w14:paraId="69422376" w14:textId="77777777" w:rsidR="00B174EE" w:rsidRDefault="00B174EE">
      <w:pPr>
        <w:tabs>
          <w:tab w:val="left" w:pos="1992"/>
        </w:tabs>
        <w:spacing w:after="0" w:line="240" w:lineRule="auto"/>
        <w:ind w:firstLine="720"/>
        <w:rPr>
          <w:rFonts w:ascii="Times New Roman" w:eastAsia="Times New Roman" w:hAnsi="Times New Roman" w:cs="Times New Roman"/>
          <w:i/>
          <w:iCs/>
          <w:sz w:val="20"/>
          <w:szCs w:val="20"/>
        </w:rPr>
      </w:pPr>
    </w:p>
    <w:p w14:paraId="5E159564" w14:textId="77777777" w:rsidR="004965F3"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2957653F" w14:textId="4A0933D0" w:rsidR="00B174EE" w:rsidRDefault="009619C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Online Impulsive Buying Behavior Responses</w:t>
      </w:r>
    </w:p>
    <w:p w14:paraId="18D3F3A3" w14:textId="77777777" w:rsidR="00B174EE" w:rsidRDefault="00B174EE">
      <w:pPr>
        <w:spacing w:after="0"/>
        <w:rPr>
          <w:rFonts w:ascii="Times New Roman" w:eastAsia="Times New Roman" w:hAnsi="Times New Roman" w:cs="Times New Roman"/>
          <w:sz w:val="24"/>
          <w:szCs w:val="24"/>
        </w:rPr>
      </w:pPr>
    </w:p>
    <w:tbl>
      <w:tblPr>
        <w:tblStyle w:val="a0"/>
        <w:tblW w:w="10110"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3435"/>
        <w:gridCol w:w="1035"/>
        <w:gridCol w:w="1050"/>
        <w:gridCol w:w="1050"/>
        <w:gridCol w:w="1035"/>
        <w:gridCol w:w="1035"/>
        <w:gridCol w:w="1470"/>
      </w:tblGrid>
      <w:tr w:rsidR="00B174EE" w14:paraId="579171A2" w14:textId="77777777" w:rsidTr="00B174EE">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right w:val="single" w:sz="6" w:space="0" w:color="000000"/>
            </w:tcBorders>
          </w:tcPr>
          <w:p w14:paraId="16366E36" w14:textId="77777777" w:rsidR="00B174EE" w:rsidRDefault="009619CB">
            <w:pPr>
              <w:spacing w:before="200"/>
              <w:jc w:val="center"/>
              <w:rPr>
                <w:sz w:val="18"/>
                <w:szCs w:val="18"/>
              </w:rPr>
            </w:pPr>
            <w:r>
              <w:rPr>
                <w:sz w:val="18"/>
                <w:szCs w:val="18"/>
              </w:rPr>
              <w:t>Statements</w:t>
            </w:r>
          </w:p>
        </w:tc>
        <w:tc>
          <w:tcPr>
            <w:tcW w:w="1035" w:type="dxa"/>
            <w:tcBorders>
              <w:top w:val="single" w:sz="6" w:space="0" w:color="000000"/>
              <w:left w:val="single" w:sz="6" w:space="0" w:color="000000"/>
              <w:right w:val="single" w:sz="6" w:space="0" w:color="000000"/>
            </w:tcBorders>
          </w:tcPr>
          <w:p w14:paraId="412ED7B9"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1</w:t>
            </w:r>
          </w:p>
          <w:p w14:paraId="3D16A056"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Disagree)</w:t>
            </w:r>
          </w:p>
        </w:tc>
        <w:tc>
          <w:tcPr>
            <w:tcW w:w="1050" w:type="dxa"/>
            <w:tcBorders>
              <w:top w:val="single" w:sz="6" w:space="0" w:color="000000"/>
              <w:left w:val="single" w:sz="6" w:space="0" w:color="000000"/>
              <w:right w:val="single" w:sz="6" w:space="0" w:color="000000"/>
            </w:tcBorders>
          </w:tcPr>
          <w:p w14:paraId="2811CBB3"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w:t>
            </w:r>
          </w:p>
          <w:p w14:paraId="4DC05E4E"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(Disagree)</w:t>
            </w:r>
          </w:p>
        </w:tc>
        <w:tc>
          <w:tcPr>
            <w:tcW w:w="1050" w:type="dxa"/>
            <w:tcBorders>
              <w:top w:val="single" w:sz="6" w:space="0" w:color="000000"/>
              <w:left w:val="single" w:sz="6" w:space="0" w:color="000000"/>
              <w:right w:val="single" w:sz="6" w:space="0" w:color="000000"/>
            </w:tcBorders>
          </w:tcPr>
          <w:p w14:paraId="67EEACBA"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3</w:t>
            </w:r>
          </w:p>
          <w:p w14:paraId="4A6545F8"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(Neutral)</w:t>
            </w:r>
          </w:p>
        </w:tc>
        <w:tc>
          <w:tcPr>
            <w:tcW w:w="1035" w:type="dxa"/>
            <w:tcBorders>
              <w:top w:val="single" w:sz="6" w:space="0" w:color="000000"/>
              <w:left w:val="single" w:sz="6" w:space="0" w:color="000000"/>
              <w:right w:val="single" w:sz="6" w:space="0" w:color="000000"/>
            </w:tcBorders>
          </w:tcPr>
          <w:p w14:paraId="2A3A123D"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4</w:t>
            </w:r>
          </w:p>
          <w:p w14:paraId="10DA6B28"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(Agree)</w:t>
            </w:r>
          </w:p>
        </w:tc>
        <w:tc>
          <w:tcPr>
            <w:tcW w:w="1035" w:type="dxa"/>
            <w:tcBorders>
              <w:top w:val="single" w:sz="6" w:space="0" w:color="000000"/>
              <w:left w:val="single" w:sz="6" w:space="0" w:color="000000"/>
              <w:right w:val="single" w:sz="6" w:space="0" w:color="000000"/>
            </w:tcBorders>
          </w:tcPr>
          <w:p w14:paraId="264D8B77"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5</w:t>
            </w:r>
          </w:p>
          <w:p w14:paraId="07EC14F9" w14:textId="77777777" w:rsidR="00B174EE" w:rsidRDefault="009619C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(Strongly Agree)</w:t>
            </w:r>
          </w:p>
        </w:tc>
        <w:tc>
          <w:tcPr>
            <w:tcW w:w="1470" w:type="dxa"/>
            <w:tcBorders>
              <w:top w:val="single" w:sz="6" w:space="0" w:color="000000"/>
              <w:left w:val="single" w:sz="6" w:space="0" w:color="000000"/>
              <w:right w:val="single" w:sz="6" w:space="0" w:color="000000"/>
            </w:tcBorders>
          </w:tcPr>
          <w:p w14:paraId="06ED458A"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Weighted Mean</w:t>
            </w:r>
          </w:p>
        </w:tc>
      </w:tr>
      <w:tr w:rsidR="00B174EE" w14:paraId="00DC362C" w14:textId="77777777" w:rsidTr="00B174EE">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left w:val="single" w:sz="6" w:space="0" w:color="000000"/>
              <w:bottom w:val="single" w:sz="6" w:space="0" w:color="000000"/>
              <w:right w:val="single" w:sz="6" w:space="0" w:color="000000"/>
            </w:tcBorders>
          </w:tcPr>
          <w:p w14:paraId="01C13E07" w14:textId="77777777" w:rsidR="00B174EE" w:rsidRDefault="009619CB">
            <w:pPr>
              <w:jc w:val="left"/>
              <w:rPr>
                <w:sz w:val="18"/>
                <w:szCs w:val="18"/>
              </w:rPr>
            </w:pPr>
            <w:r>
              <w:rPr>
                <w:b w:val="0"/>
                <w:bCs w:val="0"/>
                <w:sz w:val="18"/>
                <w:szCs w:val="18"/>
              </w:rPr>
              <w:t>1. My monthly allowance is enough to cover both my needs and wants.</w:t>
            </w:r>
          </w:p>
        </w:tc>
        <w:tc>
          <w:tcPr>
            <w:tcW w:w="1035" w:type="dxa"/>
            <w:tcBorders>
              <w:left w:val="single" w:sz="6" w:space="0" w:color="000000"/>
              <w:bottom w:val="single" w:sz="6" w:space="0" w:color="000000"/>
              <w:right w:val="single" w:sz="6" w:space="0" w:color="000000"/>
            </w:tcBorders>
          </w:tcPr>
          <w:p w14:paraId="6D7554C7"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p>
        </w:tc>
        <w:tc>
          <w:tcPr>
            <w:tcW w:w="1050" w:type="dxa"/>
            <w:tcBorders>
              <w:left w:val="single" w:sz="6" w:space="0" w:color="000000"/>
              <w:bottom w:val="single" w:sz="6" w:space="0" w:color="000000"/>
              <w:right w:val="single" w:sz="6" w:space="0" w:color="000000"/>
            </w:tcBorders>
          </w:tcPr>
          <w:p w14:paraId="4942460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p>
        </w:tc>
        <w:tc>
          <w:tcPr>
            <w:tcW w:w="1050" w:type="dxa"/>
            <w:tcBorders>
              <w:left w:val="single" w:sz="6" w:space="0" w:color="000000"/>
              <w:bottom w:val="single" w:sz="6" w:space="0" w:color="000000"/>
              <w:right w:val="single" w:sz="6" w:space="0" w:color="000000"/>
            </w:tcBorders>
          </w:tcPr>
          <w:p w14:paraId="0E84CB44"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p w14:paraId="1776B1F1"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35" w:type="dxa"/>
            <w:tcBorders>
              <w:left w:val="single" w:sz="6" w:space="0" w:color="000000"/>
              <w:bottom w:val="single" w:sz="6" w:space="0" w:color="000000"/>
              <w:right w:val="single" w:sz="6" w:space="0" w:color="000000"/>
            </w:tcBorders>
          </w:tcPr>
          <w:p w14:paraId="3F9533E8"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1035" w:type="dxa"/>
            <w:tcBorders>
              <w:left w:val="single" w:sz="6" w:space="0" w:color="000000"/>
              <w:bottom w:val="single" w:sz="6" w:space="0" w:color="000000"/>
              <w:right w:val="single" w:sz="6" w:space="0" w:color="000000"/>
            </w:tcBorders>
          </w:tcPr>
          <w:p w14:paraId="59F51E7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p w14:paraId="2B9E1372"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left w:val="single" w:sz="6" w:space="0" w:color="000000"/>
              <w:bottom w:val="single" w:sz="6" w:space="0" w:color="000000"/>
              <w:right w:val="single" w:sz="6" w:space="0" w:color="000000"/>
            </w:tcBorders>
          </w:tcPr>
          <w:p w14:paraId="6A5CC4F1"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3.45</w:t>
            </w:r>
          </w:p>
          <w:p w14:paraId="03FC4B2A"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74EE" w14:paraId="79D3A690" w14:textId="77777777" w:rsidTr="00B174EE">
        <w:trPr>
          <w:trHeight w:val="387"/>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1B16D409" w14:textId="77777777" w:rsidR="00B174EE" w:rsidRDefault="009619CB">
            <w:pPr>
              <w:jc w:val="left"/>
              <w:rPr>
                <w:sz w:val="18"/>
                <w:szCs w:val="18"/>
              </w:rPr>
            </w:pPr>
            <w:r>
              <w:rPr>
                <w:b w:val="0"/>
                <w:bCs w:val="0"/>
                <w:sz w:val="18"/>
                <w:szCs w:val="18"/>
              </w:rPr>
              <w:t>2. I usually spend a portion of my allowance on online shopping.</w:t>
            </w:r>
          </w:p>
        </w:tc>
        <w:tc>
          <w:tcPr>
            <w:tcW w:w="1035" w:type="dxa"/>
            <w:tcBorders>
              <w:top w:val="single" w:sz="6" w:space="0" w:color="000000"/>
              <w:left w:val="single" w:sz="6" w:space="0" w:color="000000"/>
              <w:bottom w:val="single" w:sz="6" w:space="0" w:color="000000"/>
              <w:right w:val="single" w:sz="6" w:space="0" w:color="000000"/>
            </w:tcBorders>
          </w:tcPr>
          <w:p w14:paraId="55D10A87"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w:t>
            </w:r>
          </w:p>
        </w:tc>
        <w:tc>
          <w:tcPr>
            <w:tcW w:w="1050" w:type="dxa"/>
            <w:tcBorders>
              <w:top w:val="single" w:sz="6" w:space="0" w:color="000000"/>
              <w:left w:val="single" w:sz="6" w:space="0" w:color="000000"/>
              <w:bottom w:val="single" w:sz="6" w:space="0" w:color="000000"/>
              <w:right w:val="single" w:sz="6" w:space="0" w:color="000000"/>
            </w:tcBorders>
          </w:tcPr>
          <w:p w14:paraId="4F8DB74B"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w:t>
            </w:r>
          </w:p>
        </w:tc>
        <w:tc>
          <w:tcPr>
            <w:tcW w:w="1050" w:type="dxa"/>
            <w:tcBorders>
              <w:top w:val="single" w:sz="6" w:space="0" w:color="000000"/>
              <w:left w:val="single" w:sz="6" w:space="0" w:color="000000"/>
              <w:bottom w:val="single" w:sz="6" w:space="0" w:color="000000"/>
              <w:right w:val="single" w:sz="6" w:space="0" w:color="000000"/>
            </w:tcBorders>
          </w:tcPr>
          <w:p w14:paraId="0ABD9D1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1035" w:type="dxa"/>
            <w:tcBorders>
              <w:top w:val="single" w:sz="6" w:space="0" w:color="000000"/>
              <w:left w:val="single" w:sz="6" w:space="0" w:color="000000"/>
              <w:bottom w:val="single" w:sz="6" w:space="0" w:color="000000"/>
              <w:right w:val="single" w:sz="6" w:space="0" w:color="000000"/>
            </w:tcBorders>
          </w:tcPr>
          <w:p w14:paraId="2740B4A8"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p>
        </w:tc>
        <w:tc>
          <w:tcPr>
            <w:tcW w:w="1035" w:type="dxa"/>
            <w:tcBorders>
              <w:top w:val="single" w:sz="6" w:space="0" w:color="000000"/>
              <w:left w:val="single" w:sz="6" w:space="0" w:color="000000"/>
              <w:bottom w:val="single" w:sz="6" w:space="0" w:color="000000"/>
              <w:right w:val="single" w:sz="6" w:space="0" w:color="000000"/>
            </w:tcBorders>
          </w:tcPr>
          <w:p w14:paraId="785F4C12"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p w14:paraId="7AF653D5"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56FB17F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2.41</w:t>
            </w:r>
          </w:p>
        </w:tc>
      </w:tr>
      <w:tr w:rsidR="00B174EE" w14:paraId="46209589" w14:textId="77777777" w:rsidTr="00B174EE">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47A9CCDC" w14:textId="77777777" w:rsidR="00B174EE" w:rsidRDefault="009619CB">
            <w:pPr>
              <w:jc w:val="left"/>
              <w:rPr>
                <w:sz w:val="18"/>
                <w:szCs w:val="18"/>
              </w:rPr>
            </w:pPr>
            <w:r>
              <w:rPr>
                <w:b w:val="0"/>
                <w:bCs w:val="0"/>
                <w:sz w:val="18"/>
                <w:szCs w:val="18"/>
              </w:rPr>
              <w:t>3. I sometimes overspend my allowance on online purchases.</w:t>
            </w:r>
          </w:p>
        </w:tc>
        <w:tc>
          <w:tcPr>
            <w:tcW w:w="1035" w:type="dxa"/>
            <w:tcBorders>
              <w:top w:val="single" w:sz="6" w:space="0" w:color="000000"/>
              <w:left w:val="single" w:sz="6" w:space="0" w:color="000000"/>
              <w:bottom w:val="single" w:sz="6" w:space="0" w:color="000000"/>
              <w:right w:val="single" w:sz="6" w:space="0" w:color="000000"/>
            </w:tcBorders>
          </w:tcPr>
          <w:p w14:paraId="5824F926"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39</w:t>
            </w:r>
          </w:p>
        </w:tc>
        <w:tc>
          <w:tcPr>
            <w:tcW w:w="1050" w:type="dxa"/>
            <w:tcBorders>
              <w:top w:val="single" w:sz="6" w:space="0" w:color="000000"/>
              <w:left w:val="single" w:sz="6" w:space="0" w:color="000000"/>
              <w:bottom w:val="single" w:sz="6" w:space="0" w:color="000000"/>
              <w:right w:val="single" w:sz="6" w:space="0" w:color="000000"/>
            </w:tcBorders>
          </w:tcPr>
          <w:p w14:paraId="1D770FDB"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050" w:type="dxa"/>
            <w:tcBorders>
              <w:top w:val="single" w:sz="6" w:space="0" w:color="000000"/>
              <w:left w:val="single" w:sz="6" w:space="0" w:color="000000"/>
              <w:bottom w:val="single" w:sz="6" w:space="0" w:color="000000"/>
              <w:right w:val="single" w:sz="6" w:space="0" w:color="000000"/>
            </w:tcBorders>
          </w:tcPr>
          <w:p w14:paraId="7BA8115B"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1035" w:type="dxa"/>
            <w:tcBorders>
              <w:top w:val="single" w:sz="6" w:space="0" w:color="000000"/>
              <w:left w:val="single" w:sz="6" w:space="0" w:color="000000"/>
              <w:bottom w:val="single" w:sz="6" w:space="0" w:color="000000"/>
              <w:right w:val="single" w:sz="6" w:space="0" w:color="000000"/>
            </w:tcBorders>
          </w:tcPr>
          <w:p w14:paraId="79AED73A"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c>
          <w:tcPr>
            <w:tcW w:w="1035" w:type="dxa"/>
            <w:tcBorders>
              <w:top w:val="single" w:sz="6" w:space="0" w:color="000000"/>
              <w:left w:val="single" w:sz="6" w:space="0" w:color="000000"/>
              <w:bottom w:val="single" w:sz="6" w:space="0" w:color="000000"/>
              <w:right w:val="single" w:sz="6" w:space="0" w:color="000000"/>
            </w:tcBorders>
          </w:tcPr>
          <w:p w14:paraId="4383BFFC"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p>
          <w:p w14:paraId="30690063"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70" w:type="dxa"/>
            <w:tcBorders>
              <w:top w:val="single" w:sz="6" w:space="0" w:color="000000"/>
              <w:left w:val="single" w:sz="6" w:space="0" w:color="000000"/>
              <w:bottom w:val="single" w:sz="6" w:space="0" w:color="000000"/>
              <w:right w:val="single" w:sz="6" w:space="0" w:color="000000"/>
            </w:tcBorders>
          </w:tcPr>
          <w:p w14:paraId="4740A7A3"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2.37</w:t>
            </w:r>
          </w:p>
          <w:p w14:paraId="166BF19B"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174EE" w14:paraId="4AF24700" w14:textId="77777777" w:rsidTr="00B174EE">
        <w:trPr>
          <w:trHeight w:val="401"/>
          <w:jc w:val="center"/>
        </w:trPr>
        <w:tc>
          <w:tcPr>
            <w:cnfStyle w:val="001000000000" w:firstRow="0" w:lastRow="0" w:firstColumn="1" w:lastColumn="0" w:oddVBand="0" w:evenVBand="0" w:oddHBand="0" w:evenHBand="0" w:firstRowFirstColumn="0" w:firstRowLastColumn="0" w:lastRowFirstColumn="0" w:lastRowLastColumn="0"/>
            <w:tcW w:w="3435" w:type="dxa"/>
            <w:tcBorders>
              <w:top w:val="single" w:sz="6" w:space="0" w:color="000000"/>
              <w:left w:val="single" w:sz="6" w:space="0" w:color="000000"/>
              <w:bottom w:val="single" w:sz="6" w:space="0" w:color="000000"/>
              <w:right w:val="single" w:sz="6" w:space="0" w:color="000000"/>
            </w:tcBorders>
          </w:tcPr>
          <w:p w14:paraId="6B157485" w14:textId="77777777" w:rsidR="00B174EE" w:rsidRDefault="009619CB">
            <w:pPr>
              <w:jc w:val="left"/>
              <w:rPr>
                <w:sz w:val="18"/>
                <w:szCs w:val="18"/>
              </w:rPr>
            </w:pPr>
            <w:r>
              <w:rPr>
                <w:b w:val="0"/>
                <w:bCs w:val="0"/>
                <w:sz w:val="18"/>
                <w:szCs w:val="18"/>
              </w:rPr>
              <w:t>4. I find it difficult to save money from my allowance because of online shopping.</w:t>
            </w:r>
          </w:p>
        </w:tc>
        <w:tc>
          <w:tcPr>
            <w:tcW w:w="1035" w:type="dxa"/>
            <w:tcBorders>
              <w:top w:val="single" w:sz="6" w:space="0" w:color="000000"/>
              <w:left w:val="single" w:sz="6" w:space="0" w:color="000000"/>
              <w:bottom w:val="single" w:sz="6" w:space="0" w:color="000000"/>
              <w:right w:val="single" w:sz="6" w:space="0" w:color="000000"/>
            </w:tcBorders>
          </w:tcPr>
          <w:p w14:paraId="312404A9"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w:t>
            </w:r>
          </w:p>
        </w:tc>
        <w:tc>
          <w:tcPr>
            <w:tcW w:w="1050" w:type="dxa"/>
            <w:tcBorders>
              <w:top w:val="single" w:sz="6" w:space="0" w:color="000000"/>
              <w:left w:val="single" w:sz="6" w:space="0" w:color="000000"/>
              <w:bottom w:val="single" w:sz="6" w:space="0" w:color="000000"/>
              <w:right w:val="single" w:sz="6" w:space="0" w:color="000000"/>
            </w:tcBorders>
          </w:tcPr>
          <w:p w14:paraId="4DD38210"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1050" w:type="dxa"/>
            <w:tcBorders>
              <w:top w:val="single" w:sz="6" w:space="0" w:color="000000"/>
              <w:left w:val="single" w:sz="6" w:space="0" w:color="000000"/>
              <w:bottom w:val="single" w:sz="6" w:space="0" w:color="000000"/>
              <w:right w:val="single" w:sz="6" w:space="0" w:color="000000"/>
            </w:tcBorders>
          </w:tcPr>
          <w:p w14:paraId="46318245"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1035" w:type="dxa"/>
            <w:tcBorders>
              <w:top w:val="single" w:sz="6" w:space="0" w:color="000000"/>
              <w:left w:val="single" w:sz="6" w:space="0" w:color="000000"/>
              <w:bottom w:val="single" w:sz="6" w:space="0" w:color="000000"/>
              <w:right w:val="single" w:sz="6" w:space="0" w:color="000000"/>
            </w:tcBorders>
          </w:tcPr>
          <w:p w14:paraId="745F5E77"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p w14:paraId="09B7ED6D" w14:textId="77777777" w:rsidR="00B174EE" w:rsidRDefault="00B174EE">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35" w:type="dxa"/>
            <w:tcBorders>
              <w:top w:val="single" w:sz="6" w:space="0" w:color="000000"/>
              <w:left w:val="single" w:sz="6" w:space="0" w:color="000000"/>
              <w:bottom w:val="single" w:sz="6" w:space="0" w:color="000000"/>
              <w:right w:val="single" w:sz="6" w:space="0" w:color="000000"/>
            </w:tcBorders>
          </w:tcPr>
          <w:p w14:paraId="701C1B2D"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tc>
        <w:tc>
          <w:tcPr>
            <w:tcW w:w="1470" w:type="dxa"/>
            <w:tcBorders>
              <w:top w:val="single" w:sz="6" w:space="0" w:color="000000"/>
              <w:left w:val="single" w:sz="6" w:space="0" w:color="000000"/>
              <w:bottom w:val="single" w:sz="6" w:space="0" w:color="000000"/>
              <w:right w:val="single" w:sz="6" w:space="0" w:color="000000"/>
            </w:tcBorders>
          </w:tcPr>
          <w:p w14:paraId="014B907A" w14:textId="77777777" w:rsidR="00B174EE" w:rsidRDefault="009619C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2.43</w:t>
            </w:r>
          </w:p>
        </w:tc>
      </w:tr>
    </w:tbl>
    <w:p w14:paraId="4B9AAB0F" w14:textId="77777777" w:rsidR="00B174EE" w:rsidRDefault="009619CB">
      <w:pPr>
        <w:tabs>
          <w:tab w:val="left" w:pos="1992"/>
        </w:tabs>
        <w:spacing w:after="0" w:line="240" w:lineRule="auto"/>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 xml:space="preserve"> Note:    </w:t>
      </w:r>
      <w:r>
        <w:rPr>
          <w:rFonts w:ascii="Times New Roman" w:eastAsia="Times New Roman" w:hAnsi="Times New Roman" w:cs="Times New Roman"/>
          <w:i/>
          <w:iCs/>
          <w:sz w:val="20"/>
          <w:szCs w:val="20"/>
        </w:rPr>
        <w:t xml:space="preserve">1.00 – 1.80 = Strongly Disagree, 1.81 – 2.60 = Disagree, 2.61 – 3.40 = Neutral, </w:t>
      </w:r>
    </w:p>
    <w:p w14:paraId="07A13E83" w14:textId="77777777" w:rsidR="00B174EE" w:rsidRDefault="009619CB">
      <w:pPr>
        <w:tabs>
          <w:tab w:val="left" w:pos="1992"/>
        </w:tabs>
        <w:spacing w:after="0" w:line="240" w:lineRule="auto"/>
        <w:ind w:firstLine="7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3.41 – 4.20 = Agree, 4.21 – 5.00 = Strongly Agree</w:t>
      </w:r>
    </w:p>
    <w:p w14:paraId="4FE7D5D2" w14:textId="77777777" w:rsidR="00B174EE" w:rsidRDefault="00B174EE">
      <w:pPr>
        <w:tabs>
          <w:tab w:val="left" w:pos="1992"/>
        </w:tabs>
        <w:spacing w:after="0" w:line="240" w:lineRule="auto"/>
        <w:ind w:firstLine="720"/>
        <w:rPr>
          <w:rFonts w:ascii="Times New Roman" w:eastAsia="Times New Roman" w:hAnsi="Times New Roman" w:cs="Times New Roman"/>
          <w:i/>
          <w:iCs/>
          <w:sz w:val="20"/>
          <w:szCs w:val="20"/>
        </w:rPr>
      </w:pPr>
    </w:p>
    <w:p w14:paraId="0C02B5E7" w14:textId="77777777" w:rsidR="00B174EE" w:rsidRDefault="009619CB">
      <w:pP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Table 3.</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Correlation Between Monthly Allowance and Online Impulse Buying Behavior</w:t>
      </w:r>
    </w:p>
    <w:p w14:paraId="5F0925E0" w14:textId="77777777" w:rsidR="00B174EE" w:rsidRDefault="00B174EE">
      <w:pPr>
        <w:spacing w:after="0"/>
        <w:rPr>
          <w:rFonts w:ascii="Times New Roman" w:eastAsia="Times New Roman" w:hAnsi="Times New Roman" w:cs="Times New Roman"/>
          <w:i/>
          <w:iCs/>
          <w:sz w:val="24"/>
          <w:szCs w:val="24"/>
        </w:rPr>
      </w:pPr>
    </w:p>
    <w:tbl>
      <w:tblPr>
        <w:tblStyle w:val="a1"/>
        <w:tblW w:w="10140"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2940"/>
        <w:gridCol w:w="1710"/>
        <w:gridCol w:w="1740"/>
        <w:gridCol w:w="1770"/>
        <w:gridCol w:w="1980"/>
      </w:tblGrid>
      <w:tr w:rsidR="00B174EE" w14:paraId="61805C78" w14:textId="77777777" w:rsidTr="00B174EE">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940" w:type="dxa"/>
            <w:tcBorders>
              <w:top w:val="single" w:sz="6" w:space="0" w:color="000000"/>
              <w:left w:val="single" w:sz="6" w:space="0" w:color="000000"/>
              <w:right w:val="single" w:sz="6" w:space="0" w:color="000000"/>
            </w:tcBorders>
          </w:tcPr>
          <w:p w14:paraId="7CFEDCBC" w14:textId="77777777" w:rsidR="00B174EE" w:rsidRDefault="009619CB">
            <w:pPr>
              <w:spacing w:before="200" w:after="200"/>
              <w:jc w:val="center"/>
              <w:rPr>
                <w:sz w:val="18"/>
                <w:szCs w:val="18"/>
              </w:rPr>
            </w:pPr>
            <w:r>
              <w:rPr>
                <w:sz w:val="18"/>
                <w:szCs w:val="18"/>
              </w:rPr>
              <w:lastRenderedPageBreak/>
              <w:t>Statements</w:t>
            </w:r>
          </w:p>
        </w:tc>
        <w:tc>
          <w:tcPr>
            <w:tcW w:w="1710" w:type="dxa"/>
            <w:tcBorders>
              <w:top w:val="single" w:sz="6" w:space="0" w:color="000000"/>
              <w:left w:val="single" w:sz="6" w:space="0" w:color="000000"/>
              <w:right w:val="single" w:sz="6" w:space="0" w:color="000000"/>
            </w:tcBorders>
          </w:tcPr>
          <w:p w14:paraId="58671ABF"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i/>
                <w:iCs/>
                <w:sz w:val="18"/>
                <w:szCs w:val="18"/>
              </w:rPr>
            </w:pPr>
            <w:r>
              <w:rPr>
                <w:sz w:val="18"/>
                <w:szCs w:val="18"/>
              </w:rPr>
              <w:t xml:space="preserve">Pearson’s </w:t>
            </w:r>
            <w:r>
              <w:rPr>
                <w:i/>
                <w:iCs/>
                <w:sz w:val="18"/>
                <w:szCs w:val="18"/>
              </w:rPr>
              <w:t>r</w:t>
            </w:r>
          </w:p>
        </w:tc>
        <w:tc>
          <w:tcPr>
            <w:tcW w:w="1740" w:type="dxa"/>
            <w:tcBorders>
              <w:top w:val="single" w:sz="6" w:space="0" w:color="000000"/>
              <w:left w:val="single" w:sz="6" w:space="0" w:color="000000"/>
              <w:right w:val="single" w:sz="6" w:space="0" w:color="000000"/>
            </w:tcBorders>
          </w:tcPr>
          <w:p w14:paraId="0679F45F"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p-value</w:t>
            </w:r>
          </w:p>
        </w:tc>
        <w:tc>
          <w:tcPr>
            <w:tcW w:w="1770" w:type="dxa"/>
            <w:tcBorders>
              <w:top w:val="single" w:sz="6" w:space="0" w:color="000000"/>
              <w:left w:val="single" w:sz="6" w:space="0" w:color="000000"/>
              <w:right w:val="single" w:sz="6" w:space="0" w:color="000000"/>
            </w:tcBorders>
          </w:tcPr>
          <w:p w14:paraId="0FA091F8"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Interpretation</w:t>
            </w:r>
          </w:p>
        </w:tc>
        <w:tc>
          <w:tcPr>
            <w:tcW w:w="1980" w:type="dxa"/>
            <w:tcBorders>
              <w:top w:val="single" w:sz="6" w:space="0" w:color="000000"/>
              <w:left w:val="single" w:sz="6" w:space="0" w:color="000000"/>
              <w:right w:val="single" w:sz="6" w:space="0" w:color="000000"/>
            </w:tcBorders>
          </w:tcPr>
          <w:p w14:paraId="1E0C8614" w14:textId="77777777" w:rsidR="00B174EE" w:rsidRDefault="009619CB">
            <w:pPr>
              <w:spacing w:before="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Decision on </w:t>
            </w:r>
            <w:r>
              <w:rPr>
                <w:i/>
                <w:iCs/>
                <w:sz w:val="18"/>
                <w:szCs w:val="18"/>
              </w:rPr>
              <w:t>H</w:t>
            </w:r>
            <w:r>
              <w:rPr>
                <w:sz w:val="18"/>
                <w:szCs w:val="18"/>
              </w:rPr>
              <w:t>₀</w:t>
            </w:r>
          </w:p>
        </w:tc>
      </w:tr>
      <w:tr w:rsidR="00B174EE" w14:paraId="6430F189" w14:textId="77777777" w:rsidTr="00B174EE">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940" w:type="dxa"/>
            <w:tcBorders>
              <w:left w:val="single" w:sz="6" w:space="0" w:color="000000"/>
              <w:bottom w:val="single" w:sz="6" w:space="0" w:color="000000"/>
              <w:right w:val="single" w:sz="6" w:space="0" w:color="000000"/>
            </w:tcBorders>
          </w:tcPr>
          <w:p w14:paraId="14685212" w14:textId="77777777" w:rsidR="00B174EE" w:rsidRDefault="009619CB">
            <w:pPr>
              <w:jc w:val="left"/>
              <w:rPr>
                <w:sz w:val="18"/>
                <w:szCs w:val="18"/>
              </w:rPr>
            </w:pPr>
            <w:r>
              <w:rPr>
                <w:b w:val="0"/>
                <w:bCs w:val="0"/>
                <w:sz w:val="18"/>
                <w:szCs w:val="18"/>
              </w:rPr>
              <w:t>Monthly Allowance &amp; Impulsiveness Score</w:t>
            </w:r>
          </w:p>
        </w:tc>
        <w:tc>
          <w:tcPr>
            <w:tcW w:w="1710" w:type="dxa"/>
            <w:tcBorders>
              <w:left w:val="single" w:sz="6" w:space="0" w:color="000000"/>
              <w:bottom w:val="single" w:sz="6" w:space="0" w:color="000000"/>
              <w:right w:val="single" w:sz="6" w:space="0" w:color="000000"/>
            </w:tcBorders>
          </w:tcPr>
          <w:p w14:paraId="0121344A"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w:t>
            </w:r>
          </w:p>
        </w:tc>
        <w:tc>
          <w:tcPr>
            <w:tcW w:w="1740" w:type="dxa"/>
            <w:tcBorders>
              <w:left w:val="single" w:sz="6" w:space="0" w:color="000000"/>
              <w:bottom w:val="single" w:sz="6" w:space="0" w:color="000000"/>
              <w:right w:val="single" w:sz="6" w:space="0" w:color="000000"/>
            </w:tcBorders>
          </w:tcPr>
          <w:p w14:paraId="71DFB3C0"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0.92</w:t>
            </w:r>
          </w:p>
        </w:tc>
        <w:tc>
          <w:tcPr>
            <w:tcW w:w="1770" w:type="dxa"/>
            <w:tcBorders>
              <w:left w:val="single" w:sz="6" w:space="0" w:color="000000"/>
              <w:bottom w:val="single" w:sz="6" w:space="0" w:color="000000"/>
              <w:right w:val="single" w:sz="6" w:space="0" w:color="000000"/>
            </w:tcBorders>
          </w:tcPr>
          <w:p w14:paraId="2DFFC7C9"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Not significant</w:t>
            </w:r>
          </w:p>
          <w:p w14:paraId="48A032C6" w14:textId="77777777" w:rsidR="00B174EE" w:rsidRDefault="00B174EE">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980" w:type="dxa"/>
            <w:tcBorders>
              <w:left w:val="single" w:sz="6" w:space="0" w:color="000000"/>
              <w:bottom w:val="single" w:sz="6" w:space="0" w:color="000000"/>
              <w:right w:val="single" w:sz="6" w:space="0" w:color="000000"/>
            </w:tcBorders>
          </w:tcPr>
          <w:p w14:paraId="44C8BE14" w14:textId="77777777" w:rsidR="00B174EE" w:rsidRDefault="009619C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Fail to Reject </w:t>
            </w:r>
            <w:r>
              <w:rPr>
                <w:i/>
                <w:iCs/>
                <w:sz w:val="18"/>
                <w:szCs w:val="18"/>
              </w:rPr>
              <w:t>H</w:t>
            </w:r>
            <w:r>
              <w:rPr>
                <w:sz w:val="18"/>
                <w:szCs w:val="18"/>
              </w:rPr>
              <w:t>₀</w:t>
            </w:r>
          </w:p>
        </w:tc>
      </w:tr>
    </w:tbl>
    <w:p w14:paraId="44AF00AB" w14:textId="77777777" w:rsidR="00B174EE" w:rsidRDefault="00B174EE">
      <w:pPr>
        <w:tabs>
          <w:tab w:val="left" w:pos="1992"/>
        </w:tabs>
        <w:spacing w:after="0" w:line="240" w:lineRule="auto"/>
        <w:rPr>
          <w:rFonts w:ascii="Times New Roman" w:eastAsia="Times New Roman" w:hAnsi="Times New Roman" w:cs="Times New Roman"/>
          <w:i/>
          <w:iCs/>
          <w:sz w:val="20"/>
          <w:szCs w:val="20"/>
        </w:rPr>
      </w:pPr>
    </w:p>
    <w:p w14:paraId="08B9692E" w14:textId="77777777" w:rsidR="00B174EE" w:rsidRDefault="00B174EE">
      <w:pPr>
        <w:tabs>
          <w:tab w:val="left" w:pos="1992"/>
        </w:tabs>
        <w:spacing w:after="0" w:line="240" w:lineRule="auto"/>
        <w:ind w:firstLine="720"/>
        <w:rPr>
          <w:rFonts w:ascii="Times New Roman" w:eastAsia="Times New Roman" w:hAnsi="Times New Roman" w:cs="Times New Roman"/>
          <w:i/>
          <w:iCs/>
          <w:sz w:val="24"/>
          <w:szCs w:val="24"/>
        </w:rPr>
      </w:pPr>
    </w:p>
    <w:p w14:paraId="4C04C102" w14:textId="77777777" w:rsidR="00B174EE" w:rsidRDefault="009619CB">
      <w:pPr>
        <w:rPr>
          <w:rFonts w:ascii="Times New Roman" w:eastAsia="Times New Roman" w:hAnsi="Times New Roman" w:cs="Times New Roman"/>
          <w:b/>
          <w:bCs/>
        </w:rPr>
      </w:pPr>
      <w:r>
        <w:rPr>
          <w:rFonts w:ascii="Times New Roman" w:eastAsia="Times New Roman" w:hAnsi="Times New Roman" w:cs="Times New Roman"/>
          <w:b/>
          <w:bCs/>
        </w:rPr>
        <w:t>CONCLUSIONS AND RECOMMENDATIONS</w:t>
      </w:r>
    </w:p>
    <w:p w14:paraId="6D6D4583"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Senior High School students at Adventist Medical Center College Academy generally demonstrate responsible financial behavior and low levels of online impulse buying. Despite differences in monthly allowance, most students manage their finances wisely. Their low impulsive buying scores show that they rarely engage in unplanned online purchases. Although minor emotional triggers related to excitement or regret displayed higher means, these did not significantly elevate the overall impulsive buying tendency. This implies that while emotional and environmental triggers are present within online shopping platforms, they do not strongly influence students’ purchasing behavior.</w:t>
      </w:r>
    </w:p>
    <w:p w14:paraId="14109FFD"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correlation analysis confirmed that monthly allowance does not significantly determine impulsive buying behavior (</w:t>
      </w: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xml:space="preserve"> = 0.01, p = 0.92). The absence of a statistically significant relationship suggests that financial capacity alone does not shape students’ online spending behavior. Instead, other factors such as personal discipline, financial literacy, peer influence, and exposure to digital marketing strategies may exert a great impact on purchasing decisions. These findings highlight the importance of self-regulation and rational evaluation in adolescent consumer behavior, reinforcing the view that impulsive buying is not merely a function of available financial resources.</w:t>
      </w:r>
    </w:p>
    <w:p w14:paraId="5CD667E1" w14:textId="77777777" w:rsidR="00B174EE" w:rsidRDefault="009619CB" w:rsidP="004965F3">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light of these findings, students are encouraged to continue practicing mindful and responsible spending habits. Since allowance size was not a significant predictor of impulsive buying, maintaining budgeting practices and reflecting on purchasing decisions may help prevent unnecessary expenses, particularly when exposed to online advertisements and promotional sales. Parents are likewise encouraged to sustain open communication regarding allowance allocation and savings expectations, as guided financial support may reinforce long-term discipline. Teachers and school administrators may further strengthen financial literacy levels, emotional well-being, digital consumption patterns, and peer dynamics. Expanding the sample way to other schools or communities and conducting periodic assessments of students’ spending behaviors may also provide a broader and more comprehensive understanding of adolescent online purchasing tendencies.</w:t>
      </w:r>
    </w:p>
    <w:p w14:paraId="285BFAB5" w14:textId="77777777" w:rsidR="00B174EE" w:rsidRDefault="00B174EE">
      <w:pPr>
        <w:spacing w:before="200" w:after="200"/>
        <w:rPr>
          <w:rFonts w:ascii="Times New Roman" w:eastAsia="Times New Roman" w:hAnsi="Times New Roman" w:cs="Times New Roman"/>
          <w:sz w:val="24"/>
          <w:szCs w:val="24"/>
        </w:rPr>
      </w:pPr>
    </w:p>
    <w:p w14:paraId="6BADAEAB" w14:textId="77777777" w:rsidR="00B174EE"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14:paraId="0112C9D1" w14:textId="77777777" w:rsidR="00B174EE" w:rsidRDefault="009619CB">
      <w:pPr>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researchers extend their heartfelt gratitude to all individuals who contributed to the completion of this study. They are especially grateful to the Almighty God for guidance and strength throughout the research process. Appreciation is extended to Adventist Medical Center College Academy for providing the opportunity to conduct the study, to their Research Adviser and Principal for their guidance and support, and to the panelists and respondents for their valuable participation. The researchers also express their gratitude to their families and friends for encouragement and unwavering support.</w:t>
      </w:r>
    </w:p>
    <w:p w14:paraId="48D4F56C" w14:textId="77777777" w:rsidR="00B174EE" w:rsidRDefault="00B174EE">
      <w:pPr>
        <w:rPr>
          <w:rFonts w:ascii="Times New Roman" w:eastAsia="Times New Roman" w:hAnsi="Times New Roman" w:cs="Times New Roman"/>
          <w:b/>
          <w:bCs/>
          <w:sz w:val="24"/>
          <w:szCs w:val="24"/>
        </w:rPr>
      </w:pPr>
    </w:p>
    <w:p w14:paraId="2CD8074E" w14:textId="77777777" w:rsidR="00B174EE" w:rsidRDefault="009619C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769CFCD2" w14:textId="77777777" w:rsidR="00B174EE" w:rsidRDefault="009619CB">
      <w:pPr>
        <w:pStyle w:val="Heading1"/>
        <w:spacing w:before="400" w:line="480" w:lineRule="auto"/>
        <w:rPr>
          <w:rFonts w:ascii="Times New Roman" w:eastAsia="Times New Roman" w:hAnsi="Times New Roman" w:cs="Times New Roman"/>
          <w:sz w:val="24"/>
          <w:szCs w:val="24"/>
        </w:rPr>
      </w:pPr>
      <w:bookmarkStart w:id="2" w:name="_wlspzawxghxo" w:colFirst="0" w:colLast="0"/>
      <w:bookmarkEnd w:id="2"/>
      <w:r>
        <w:rPr>
          <w:rFonts w:ascii="Times New Roman" w:eastAsia="Times New Roman" w:hAnsi="Times New Roman" w:cs="Times New Roman"/>
          <w:sz w:val="24"/>
          <w:szCs w:val="24"/>
        </w:rPr>
        <w:lastRenderedPageBreak/>
        <w:t>International Studies</w:t>
      </w:r>
    </w:p>
    <w:p w14:paraId="7F9BFB0C" w14:textId="647ED489" w:rsidR="00B174EE" w:rsidRDefault="009619CB" w:rsidP="004965F3">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Ajzen, I. (1991). The theory of planned behavior. </w:t>
      </w:r>
      <w:r>
        <w:rPr>
          <w:rFonts w:ascii="Times New Roman" w:eastAsia="Times New Roman" w:hAnsi="Times New Roman" w:cs="Times New Roman"/>
          <w:i/>
          <w:iCs/>
          <w:sz w:val="24"/>
          <w:szCs w:val="24"/>
          <w:highlight w:val="white"/>
        </w:rPr>
        <w:t>Organizational behavior and human decision processes</w:t>
      </w:r>
      <w:r>
        <w:rPr>
          <w:rFonts w:ascii="Times New Roman" w:eastAsia="Times New Roman" w:hAnsi="Times New Roman" w:cs="Times New Roman"/>
          <w:sz w:val="24"/>
          <w:szCs w:val="24"/>
          <w:highlight w:val="white"/>
        </w:rPr>
        <w:t xml:space="preserve">, </w:t>
      </w:r>
      <w:r w:rsidR="004965F3">
        <w:rPr>
          <w:rFonts w:ascii="Times New Roman" w:eastAsia="Times New Roman" w:hAnsi="Times New Roman" w:cs="Times New Roman"/>
          <w:i/>
          <w:iCs/>
          <w:sz w:val="24"/>
          <w:szCs w:val="24"/>
          <w:highlight w:val="white"/>
        </w:rPr>
        <w:tab/>
      </w:r>
      <w:r>
        <w:rPr>
          <w:rFonts w:ascii="Times New Roman" w:eastAsia="Times New Roman" w:hAnsi="Times New Roman" w:cs="Times New Roman"/>
          <w:i/>
          <w:iCs/>
          <w:sz w:val="24"/>
          <w:szCs w:val="24"/>
          <w:highlight w:val="white"/>
        </w:rPr>
        <w:t>50</w:t>
      </w:r>
      <w:r>
        <w:rPr>
          <w:rFonts w:ascii="Times New Roman" w:eastAsia="Times New Roman" w:hAnsi="Times New Roman" w:cs="Times New Roman"/>
          <w:sz w:val="24"/>
          <w:szCs w:val="24"/>
          <w:highlight w:val="white"/>
        </w:rPr>
        <w:t>(2), 179-211.</w:t>
      </w:r>
    </w:p>
    <w:p w14:paraId="1DFAF7D1" w14:textId="455D2C33" w:rsidR="00B174EE" w:rsidRDefault="009619CB" w:rsidP="004965F3">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Aragoncillo, L., &amp; Orus, C. (2018). Impulse buying behaviour: an online-offline comparative and the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impact of social media. </w:t>
      </w:r>
      <w:r>
        <w:rPr>
          <w:rFonts w:ascii="Times New Roman" w:eastAsia="Times New Roman" w:hAnsi="Times New Roman" w:cs="Times New Roman"/>
          <w:i/>
          <w:iCs/>
          <w:sz w:val="24"/>
          <w:szCs w:val="24"/>
        </w:rPr>
        <w:t>Spanish Journal of Marketing - ESIC</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w:t>
      </w:r>
      <w:r>
        <w:rPr>
          <w:rFonts w:ascii="Times New Roman" w:eastAsia="Times New Roman" w:hAnsi="Times New Roman" w:cs="Times New Roman"/>
          <w:sz w:val="24"/>
          <w:szCs w:val="24"/>
        </w:rPr>
        <w:t xml:space="preserve">(1), 42–62. </w:t>
      </w:r>
      <w:r w:rsidR="004965F3">
        <w:tab/>
      </w:r>
      <w:hyperlink r:id="rId7" w:history="1">
        <w:r w:rsidR="004965F3" w:rsidRPr="00581776">
          <w:rPr>
            <w:rStyle w:val="Hyperlink"/>
            <w:rFonts w:ascii="Times New Roman" w:eastAsia="Times New Roman" w:hAnsi="Times New Roman" w:cs="Times New Roman"/>
            <w:sz w:val="24"/>
            <w:szCs w:val="24"/>
          </w:rPr>
          <w:t>https://doi.org/10.1108/sjme-03-2018-007</w:t>
        </w:r>
      </w:hyperlink>
    </w:p>
    <w:p w14:paraId="4001DB87" w14:textId="717FBEAE"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Chandrasekhar, K., Das, S., Gupta, N. and Jena, S.K. (2024). Comparative Analysis of Impulse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Behaviour Across Retail Channels: A Study of Physical Stores, E-commerce Websites and Mobile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Shopping Apps. </w:t>
      </w:r>
      <w:r>
        <w:rPr>
          <w:rFonts w:ascii="Times New Roman" w:eastAsia="Times New Roman" w:hAnsi="Times New Roman" w:cs="Times New Roman"/>
          <w:i/>
          <w:iCs/>
          <w:sz w:val="24"/>
          <w:szCs w:val="24"/>
        </w:rPr>
        <w:t>AESSRA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69</w:t>
      </w:r>
      <w:r>
        <w:rPr>
          <w:rFonts w:ascii="Times New Roman" w:eastAsia="Times New Roman" w:hAnsi="Times New Roman" w:cs="Times New Roman"/>
          <w:sz w:val="24"/>
          <w:szCs w:val="24"/>
        </w:rPr>
        <w:t>(2), 1109–1120. https://doi.org/10.46852/0424-2513.3.2024.33</w:t>
      </w:r>
    </w:p>
    <w:p w14:paraId="224F9247" w14:textId="4CC309D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Gotwald, B. (2023). Implications of pocket money on young clients’ shopping decisions– international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comparison. </w:t>
      </w:r>
      <w:r>
        <w:rPr>
          <w:rFonts w:ascii="Times New Roman" w:eastAsia="Times New Roman" w:hAnsi="Times New Roman" w:cs="Times New Roman"/>
          <w:i/>
          <w:iCs/>
          <w:sz w:val="24"/>
          <w:szCs w:val="24"/>
        </w:rPr>
        <w:t>EUROPEAN RESEARCH STUDIES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26</w:t>
      </w:r>
      <w:r>
        <w:rPr>
          <w:rFonts w:ascii="Times New Roman" w:eastAsia="Times New Roman" w:hAnsi="Times New Roman" w:cs="Times New Roman"/>
          <w:sz w:val="24"/>
          <w:szCs w:val="24"/>
        </w:rPr>
        <w:t xml:space="preserve">(2), 410–420.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https://doi.org/10.35808/ersj/3178</w:t>
      </w:r>
    </w:p>
    <w:p w14:paraId="61AB652A" w14:textId="2CB00D0C"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Guo, T., Cai, C., Xu, Y., Huang, M., &amp; Ni, Y. (2024). Self-Esteem and College Students' Online Impulse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Buying: The Independent and Interactive Moderating Role of Interdependent Self-Construal and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Interpersonal Relationships. </w:t>
      </w:r>
      <w:r>
        <w:rPr>
          <w:rFonts w:ascii="Times New Roman" w:eastAsia="Times New Roman" w:hAnsi="Times New Roman" w:cs="Times New Roman"/>
          <w:i/>
          <w:iCs/>
          <w:sz w:val="24"/>
          <w:szCs w:val="24"/>
        </w:rPr>
        <w:t>Psychology research and behavior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 xml:space="preserve">, 4447–4461. </w:t>
      </w:r>
      <w:r w:rsidR="004965F3">
        <w:tab/>
      </w:r>
      <w:hyperlink r:id="rId8" w:history="1">
        <w:r w:rsidR="004965F3" w:rsidRPr="00581776">
          <w:rPr>
            <w:rStyle w:val="Hyperlink"/>
            <w:rFonts w:ascii="Times New Roman" w:eastAsia="Times New Roman" w:hAnsi="Times New Roman" w:cs="Times New Roman"/>
            <w:sz w:val="24"/>
            <w:szCs w:val="24"/>
          </w:rPr>
          <w:t>https://doi.org/10.2147/PRBM.S494636</w:t>
        </w:r>
      </w:hyperlink>
    </w:p>
    <w:p w14:paraId="0754DF04" w14:textId="468C35DB"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Huang, J. (2024). Reasons For Impulsive Buying Behavior Among Adolescents in The Digital Age.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Highlights in Business, Economics and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31</w:t>
      </w:r>
      <w:r>
        <w:rPr>
          <w:rFonts w:ascii="Times New Roman" w:eastAsia="Times New Roman" w:hAnsi="Times New Roman" w:cs="Times New Roman"/>
          <w:sz w:val="24"/>
          <w:szCs w:val="24"/>
        </w:rPr>
        <w:t xml:space="preserve">, 45-48. </w:t>
      </w:r>
      <w:hyperlink r:id="rId9">
        <w:r>
          <w:rPr>
            <w:rFonts w:ascii="Times New Roman" w:eastAsia="Times New Roman" w:hAnsi="Times New Roman" w:cs="Times New Roman"/>
            <w:sz w:val="24"/>
            <w:szCs w:val="24"/>
          </w:rPr>
          <w:t>https://doi.org/10.54097/aa169427</w:t>
        </w:r>
      </w:hyperlink>
    </w:p>
    <w:p w14:paraId="5DFC5F5D" w14:textId="48152E5F"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Poudyal, A., &amp; Chaurasia, A. (2024). Online Impulsive Buying Behaviour: A Systematic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review. </w:t>
      </w:r>
      <w:r>
        <w:rPr>
          <w:rFonts w:ascii="Times New Roman" w:eastAsia="Times New Roman" w:hAnsi="Times New Roman" w:cs="Times New Roman"/>
          <w:i/>
          <w:iCs/>
          <w:sz w:val="24"/>
          <w:szCs w:val="24"/>
        </w:rPr>
        <w:t>Colombo Business Journal International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15</w:t>
      </w:r>
      <w:r>
        <w:rPr>
          <w:rFonts w:ascii="Times New Roman" w:eastAsia="Times New Roman" w:hAnsi="Times New Roman" w:cs="Times New Roman"/>
          <w:sz w:val="24"/>
          <w:szCs w:val="24"/>
        </w:rPr>
        <w:t xml:space="preserve">(2), 115–141. </w:t>
      </w:r>
      <w:r w:rsidR="004965F3">
        <w:tab/>
      </w:r>
      <w:r w:rsidR="004965F3">
        <w:tab/>
      </w:r>
      <w:hyperlink r:id="rId10" w:history="1">
        <w:r w:rsidR="004965F3" w:rsidRPr="00581776">
          <w:rPr>
            <w:rStyle w:val="Hyperlink"/>
            <w:rFonts w:ascii="Times New Roman" w:eastAsia="Times New Roman" w:hAnsi="Times New Roman" w:cs="Times New Roman"/>
            <w:sz w:val="24"/>
            <w:szCs w:val="24"/>
          </w:rPr>
          <w:t>https://doi.org/10.4038/cbj.v15i2.193</w:t>
        </w:r>
      </w:hyperlink>
    </w:p>
    <w:p w14:paraId="35E3547E" w14:textId="77777777" w:rsidR="00B174EE" w:rsidRDefault="009619CB" w:rsidP="004965F3">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Mehrabian, A.&amp; Russell, J. A. (1974). </w:t>
      </w:r>
      <w:r>
        <w:rPr>
          <w:rFonts w:ascii="Times New Roman" w:eastAsia="Times New Roman" w:hAnsi="Times New Roman" w:cs="Times New Roman"/>
          <w:i/>
          <w:iCs/>
          <w:sz w:val="24"/>
          <w:szCs w:val="24"/>
        </w:rPr>
        <w:t>An approach to environmental psychology</w:t>
      </w: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sz w:val="24"/>
            <w:szCs w:val="24"/>
          </w:rPr>
          <w:t>The MIT Press</w:t>
        </w:r>
      </w:hyperlink>
      <w:r>
        <w:rPr>
          <w:rFonts w:ascii="Times New Roman" w:eastAsia="Times New Roman" w:hAnsi="Times New Roman" w:cs="Times New Roman"/>
          <w:sz w:val="24"/>
          <w:szCs w:val="24"/>
        </w:rPr>
        <w:t xml:space="preserve">. </w:t>
      </w:r>
    </w:p>
    <w:p w14:paraId="6D2D3A37" w14:textId="6FA0DC28"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Rodrigues, R. I., Lopes, P., &amp; Varela, M. (2021). Factors Affecting Impulse Buying Behavior of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Consumers. </w:t>
      </w:r>
      <w:r>
        <w:rPr>
          <w:rFonts w:ascii="Times New Roman" w:eastAsia="Times New Roman" w:hAnsi="Times New Roman" w:cs="Times New Roman"/>
          <w:i/>
          <w:iCs/>
          <w:sz w:val="24"/>
          <w:szCs w:val="24"/>
        </w:rPr>
        <w:t>Frontiers in Psychology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xml:space="preserve">. </w:t>
      </w:r>
      <w:hyperlink r:id="rId12">
        <w:r>
          <w:rPr>
            <w:rFonts w:ascii="Times New Roman" w:eastAsia="Times New Roman" w:hAnsi="Times New Roman" w:cs="Times New Roman"/>
            <w:sz w:val="24"/>
            <w:szCs w:val="24"/>
          </w:rPr>
          <w:t>https://doi.org/10.3389/fpsyg.2021.697080</w:t>
        </w:r>
      </w:hyperlink>
    </w:p>
    <w:p w14:paraId="7B1F4504" w14:textId="092AEF15" w:rsidR="00B174EE" w:rsidRDefault="009619CB" w:rsidP="004965F3">
      <w:pPr>
        <w:spacing w:line="276" w:lineRule="auto"/>
        <w:rPr>
          <w:rFonts w:ascii="Times New Roman" w:eastAsia="Times New Roman" w:hAnsi="Times New Roman" w:cs="Times New Roman"/>
          <w:sz w:val="28"/>
          <w:szCs w:val="28"/>
        </w:rPr>
      </w:pPr>
      <w:r>
        <w:rPr>
          <w:rFonts w:ascii="Times New Roman" w:eastAsia="Times New Roman" w:hAnsi="Times New Roman" w:cs="Times New Roman"/>
          <w:color w:val="222222"/>
          <w:sz w:val="24"/>
          <w:szCs w:val="24"/>
          <w:highlight w:val="white"/>
        </w:rPr>
        <w:t xml:space="preserve">Rook, D. W., &amp; Fisher, R. J. (1995). Normative influences on impulsive buying behavior. </w:t>
      </w:r>
      <w:r>
        <w:rPr>
          <w:rFonts w:ascii="Times New Roman" w:eastAsia="Times New Roman" w:hAnsi="Times New Roman" w:cs="Times New Roman"/>
          <w:i/>
          <w:iCs/>
          <w:color w:val="222222"/>
          <w:sz w:val="24"/>
          <w:szCs w:val="24"/>
          <w:highlight w:val="white"/>
        </w:rPr>
        <w:t xml:space="preserve">Journal of </w:t>
      </w:r>
      <w:r w:rsidR="004965F3">
        <w:rPr>
          <w:rFonts w:ascii="Times New Roman" w:eastAsia="Times New Roman" w:hAnsi="Times New Roman" w:cs="Times New Roman"/>
          <w:i/>
          <w:iCs/>
          <w:color w:val="222222"/>
          <w:sz w:val="24"/>
          <w:szCs w:val="24"/>
          <w:highlight w:val="white"/>
        </w:rPr>
        <w:tab/>
      </w:r>
      <w:r>
        <w:rPr>
          <w:rFonts w:ascii="Times New Roman" w:eastAsia="Times New Roman" w:hAnsi="Times New Roman" w:cs="Times New Roman"/>
          <w:i/>
          <w:iCs/>
          <w:color w:val="222222"/>
          <w:sz w:val="24"/>
          <w:szCs w:val="24"/>
          <w:highlight w:val="white"/>
        </w:rPr>
        <w:t>consumer research</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22</w:t>
      </w:r>
      <w:r>
        <w:rPr>
          <w:rFonts w:ascii="Times New Roman" w:eastAsia="Times New Roman" w:hAnsi="Times New Roman" w:cs="Times New Roman"/>
          <w:color w:val="222222"/>
          <w:sz w:val="24"/>
          <w:szCs w:val="24"/>
          <w:highlight w:val="white"/>
        </w:rPr>
        <w:t>(3), 305-313.</w:t>
      </w:r>
    </w:p>
    <w:p w14:paraId="79A7A02A" w14:textId="020E840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Suyanto, B., Egalita, N., Sugihartati, R., Mas’udah, S., Savira, P. S., Anridho, C., &amp; Syamsiyah, N. (2025).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Young urban people’s impulsive online shopping behavior and its financial literacy. </w:t>
      </w:r>
      <w:r>
        <w:rPr>
          <w:rFonts w:ascii="Times New Roman" w:eastAsia="Times New Roman" w:hAnsi="Times New Roman" w:cs="Times New Roman"/>
          <w:i/>
          <w:iCs/>
          <w:sz w:val="24"/>
          <w:szCs w:val="24"/>
        </w:rPr>
        <w:t xml:space="preserve">Cogent Social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(1). </w:t>
      </w:r>
      <w:hyperlink r:id="rId13">
        <w:r>
          <w:rPr>
            <w:rFonts w:ascii="Times New Roman" w:eastAsia="Times New Roman" w:hAnsi="Times New Roman" w:cs="Times New Roman"/>
            <w:sz w:val="24"/>
            <w:szCs w:val="24"/>
          </w:rPr>
          <w:t>https://doi.org/10.1080/23311886.2024.2443553</w:t>
        </w:r>
      </w:hyperlink>
    </w:p>
    <w:p w14:paraId="2EB852E3" w14:textId="77777777" w:rsidR="00B174EE" w:rsidRDefault="009619CB" w:rsidP="004965F3">
      <w:pPr>
        <w:pStyle w:val="Heading1"/>
        <w:spacing w:before="400" w:after="160" w:line="276" w:lineRule="auto"/>
        <w:rPr>
          <w:rFonts w:ascii="Times New Roman" w:eastAsia="Times New Roman" w:hAnsi="Times New Roman" w:cs="Times New Roman"/>
          <w:sz w:val="24"/>
          <w:szCs w:val="24"/>
        </w:rPr>
      </w:pPr>
      <w:bookmarkStart w:id="3" w:name="_ky8cgpt02e1k" w:colFirst="0" w:colLast="0"/>
      <w:bookmarkEnd w:id="3"/>
      <w:r>
        <w:rPr>
          <w:rFonts w:ascii="Times New Roman" w:eastAsia="Times New Roman" w:hAnsi="Times New Roman" w:cs="Times New Roman"/>
          <w:sz w:val="24"/>
          <w:szCs w:val="24"/>
        </w:rPr>
        <w:t>National Studies</w:t>
      </w:r>
    </w:p>
    <w:p w14:paraId="70508A08" w14:textId="3AD4A483"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Achmad, G. N., Fitriansyah, F., Lesmana, D., &amp; Yudaruddin, R. (2023). The impact of social media on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online shopping behavior of Gen Z consumers in time of COVID-19 pandemic; The moderating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role of celebrity endorsements. </w:t>
      </w:r>
      <w:r>
        <w:rPr>
          <w:rFonts w:ascii="Times New Roman" w:eastAsia="Times New Roman" w:hAnsi="Times New Roman" w:cs="Times New Roman"/>
          <w:i/>
          <w:iCs/>
          <w:sz w:val="24"/>
          <w:szCs w:val="24"/>
        </w:rPr>
        <w:t>WSEAS TRANSACTIONS ON BUSINESS AND ECONOMICS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21</w:t>
      </w:r>
      <w:r>
        <w:rPr>
          <w:rFonts w:ascii="Times New Roman" w:eastAsia="Times New Roman" w:hAnsi="Times New Roman" w:cs="Times New Roman"/>
          <w:sz w:val="24"/>
          <w:szCs w:val="24"/>
        </w:rPr>
        <w:t xml:space="preserv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266–279. https://doi.org/10.37394/23207.2024.21.24</w:t>
      </w:r>
    </w:p>
    <w:p w14:paraId="5CCC3E41" w14:textId="0BFA8B52"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Azul, R. D., Cadano, K. D. Q., Guiao, R. J. M., Maranga, N., Salonga, C. H., Usita, M. N., &amp; Polytechnic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University of the Philippines. (2023). The Impulse Buying Behavior and Financial Well-Being </w:t>
      </w:r>
      <w:r w:rsidR="004965F3">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 xml:space="preserve">Profile of Young Professionals in the Philippines. </w:t>
      </w:r>
      <w:r>
        <w:rPr>
          <w:rFonts w:ascii="Times New Roman" w:eastAsia="Times New Roman" w:hAnsi="Times New Roman" w:cs="Times New Roman"/>
          <w:i/>
          <w:iCs/>
          <w:sz w:val="24"/>
          <w:szCs w:val="24"/>
        </w:rPr>
        <w:t xml:space="preserve">International Journal of Scientific and Research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Publications</w:t>
      </w:r>
      <w:r>
        <w:rPr>
          <w:rFonts w:ascii="Times New Roman" w:eastAsia="Times New Roman" w:hAnsi="Times New Roman" w:cs="Times New Roman"/>
          <w:sz w:val="24"/>
          <w:szCs w:val="24"/>
        </w:rPr>
        <w:t>, 13(3), 308. https://doi.org/10.29322/IJSRP.13.03.2023.p13537</w:t>
      </w:r>
    </w:p>
    <w:p w14:paraId="227D2C71" w14:textId="3D6855E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Borromeo, E. A. ., Cai, G. A. C. ., &amp; Etrata, A. E. (2022). Factors Affecting Impulse Purchasing of Filipino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Consumers in Convenience Stores. </w:t>
      </w:r>
      <w:r>
        <w:rPr>
          <w:rFonts w:ascii="Times New Roman" w:eastAsia="Times New Roman" w:hAnsi="Times New Roman" w:cs="Times New Roman"/>
          <w:i/>
          <w:iCs/>
          <w:sz w:val="24"/>
          <w:szCs w:val="24"/>
        </w:rPr>
        <w:t>International Journal of Social and Management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xml:space="preserve">(2),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92–104. https://doi.org/10.5555/ijosmas.v3i2.121</w:t>
      </w:r>
    </w:p>
    <w:p w14:paraId="371EA2F3" w14:textId="78806A1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Lacson, M. E., Lacson, M. A. E., Manalo, A. S., Nucum, R. A. B., &amp; Pamintuan, J. C. (2021). </w:t>
      </w:r>
      <w:r>
        <w:rPr>
          <w:rFonts w:ascii="Times New Roman" w:eastAsia="Times New Roman" w:hAnsi="Times New Roman" w:cs="Times New Roman"/>
          <w:i/>
          <w:iCs/>
          <w:sz w:val="24"/>
          <w:szCs w:val="24"/>
        </w:rPr>
        <w:t xml:space="preserve">Online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Impulsive Buying Behavior Among Students</w:t>
      </w:r>
      <w:r>
        <w:rPr>
          <w:rFonts w:ascii="Times New Roman" w:eastAsia="Times New Roman" w:hAnsi="Times New Roman" w:cs="Times New Roman"/>
          <w:sz w:val="24"/>
          <w:szCs w:val="24"/>
        </w:rPr>
        <w:t xml:space="preserve">. Scribd. </w:t>
      </w:r>
      <w:r w:rsidR="004965F3">
        <w:tab/>
      </w:r>
      <w:r w:rsidR="004965F3">
        <w:tab/>
      </w:r>
      <w:hyperlink r:id="rId14" w:history="1">
        <w:r w:rsidR="004965F3" w:rsidRPr="00581776">
          <w:rPr>
            <w:rStyle w:val="Hyperlink"/>
            <w:rFonts w:ascii="Times New Roman" w:eastAsia="Times New Roman" w:hAnsi="Times New Roman" w:cs="Times New Roman"/>
            <w:sz w:val="24"/>
            <w:szCs w:val="24"/>
          </w:rPr>
          <w:t>https://www.scribd.com/document/522649491/local-media1483880436507682965</w:t>
        </w:r>
      </w:hyperlink>
    </w:p>
    <w:p w14:paraId="2D5E0B16" w14:textId="39ADD579"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C., Chen, C. D., Huang, S., Chang, Y., &amp; Demirci, S. (2021). Exploring consumers’ impulse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on online apparel websites: An empirical investigation on consumer perceptions.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International Journal of Electronic Commerce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(1). https://doi.org/10.7903/ijecs.1971</w:t>
      </w:r>
    </w:p>
    <w:p w14:paraId="0BDC176C" w14:textId="1A7443E3"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 A. J., Arias, S. D. D., Buenaventura, C., Evangelista, M. S., Li, B., Sanchez, S. G., &amp; Tumbali, M. V.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(2024). The consumer behavior of senior high school students in purchasing products at Shopee.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Business Fora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(1), 1–8. https://doi.org/10.62718/vmca.bf-baiij.2.1.sc-0524-014</w:t>
      </w:r>
    </w:p>
    <w:p w14:paraId="157B4834" w14:textId="6010FF4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Maningat, G. R. C., Adona, C. C., Maullion, Y. M. A., Bondoc, R. G., Indab, J. P., Julongbayan, B. 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Tan, M. S. E. J., Villarosa, S. A. P., Valdez, B. A. E., Alamag, J. B., Balaquiot, K. D. B., &amp; Bautista,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J. G. (2024). </w:t>
      </w:r>
      <w:r>
        <w:rPr>
          <w:rFonts w:ascii="Times New Roman" w:eastAsia="Times New Roman" w:hAnsi="Times New Roman" w:cs="Times New Roman"/>
          <w:i/>
          <w:iCs/>
          <w:sz w:val="24"/>
          <w:szCs w:val="24"/>
        </w:rPr>
        <w:t xml:space="preserve">Online shopping and the financial management skills of the selected Grade 12 ABM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students</w:t>
      </w:r>
      <w:r>
        <w:rPr>
          <w:rFonts w:ascii="Times New Roman" w:eastAsia="Times New Roman" w:hAnsi="Times New Roman" w:cs="Times New Roman"/>
          <w:sz w:val="24"/>
          <w:szCs w:val="24"/>
        </w:rPr>
        <w:t xml:space="preserve">. In </w:t>
      </w:r>
      <w:r>
        <w:rPr>
          <w:rFonts w:ascii="Times New Roman" w:eastAsia="Times New Roman" w:hAnsi="Times New Roman" w:cs="Times New Roman"/>
          <w:i/>
          <w:iCs/>
          <w:sz w:val="24"/>
          <w:szCs w:val="24"/>
        </w:rPr>
        <w:t>Proceedings of the DLSU Senior High School Research Congress</w:t>
      </w:r>
      <w:r>
        <w:rPr>
          <w:rFonts w:ascii="Times New Roman" w:eastAsia="Times New Roman" w:hAnsi="Times New Roman" w:cs="Times New Roman"/>
          <w:sz w:val="24"/>
          <w:szCs w:val="24"/>
        </w:rPr>
        <w:t xml:space="preserve">. De La Salle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University.</w:t>
      </w:r>
      <w:hyperlink r:id="rId15">
        <w:r w:rsidR="004965F3">
          <w:rPr>
            <w:rFonts w:ascii="Times New Roman" w:eastAsia="Times New Roman" w:hAnsi="Times New Roman" w:cs="Times New Roman"/>
            <w:sz w:val="24"/>
            <w:szCs w:val="24"/>
          </w:rPr>
          <w:t xml:space="preserv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https://animorepository.dlsu.edu.ph/cgi/viewcontent.cgi?article=2364&amp;context=conf_shsrescon</w:t>
        </w:r>
      </w:hyperlink>
    </w:p>
    <w:p w14:paraId="358DAEAF" w14:textId="12FBBA4D"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D. N., &amp; Van Nguyen, D. (2025). FOMO and the impulsive purchasing behavior of young people.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European Journal of Business Management and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 xml:space="preserve">(3), 41–47.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https://doi.org/10.24018/ejbmr.2025.10.3.2638</w:t>
      </w:r>
    </w:p>
    <w:p w14:paraId="17734778" w14:textId="118F9BDA"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Ngo, T., Thanh, L., Nguyen, H. P., Mai, A., Huyen, T., &amp; Hoang, P. L. (2024). A Comprehensive Study on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Factors Influencing Online Impulse Buying Behavior: Evidence from Shopee Video Platform.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Heliyon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 xml:space="preserve">(15), e35743. </w:t>
      </w:r>
      <w:hyperlink r:id="rId16">
        <w:r>
          <w:rPr>
            <w:rFonts w:ascii="Times New Roman" w:eastAsia="Times New Roman" w:hAnsi="Times New Roman" w:cs="Times New Roman"/>
            <w:sz w:val="24"/>
            <w:szCs w:val="24"/>
          </w:rPr>
          <w:t>https://doi.org/10.1016/j.heliyon.2024.e35743</w:t>
        </w:r>
      </w:hyperlink>
    </w:p>
    <w:p w14:paraId="3C897C8B" w14:textId="2D187663"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Qomariyah, A., Qibtiyah, G. A., &amp; Bemby, F. A. W. (2022). Financial literacy, impulsive buying behavior,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and the Z-Gen. </w:t>
      </w:r>
      <w:r>
        <w:rPr>
          <w:rFonts w:ascii="Times New Roman" w:eastAsia="Times New Roman" w:hAnsi="Times New Roman" w:cs="Times New Roman"/>
          <w:i/>
          <w:iCs/>
          <w:sz w:val="24"/>
          <w:szCs w:val="24"/>
        </w:rPr>
        <w:t>Review of Integrative Business and Economics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(2), 164–166.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https://sibresearch.org/uploads/3/4/0/9/34097180/riber_11-s2_04_k22-039_164-178.pdf</w:t>
      </w:r>
    </w:p>
    <w:p w14:paraId="017BB1F3" w14:textId="4ACA718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Rafsanjani, M. A., Wulandari, S. S., Wardoyo, D. T. W., Soesatyo, Y., Srisuk, P., &amp; Saphira, H. V. (2025). </w:t>
      </w:r>
      <w:r w:rsidR="004965F3">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International Journal of Emerging Research and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w:t>
      </w:r>
      <w:r>
        <w:rPr>
          <w:rFonts w:ascii="Times New Roman" w:eastAsia="Times New Roman" w:hAnsi="Times New Roman" w:cs="Times New Roman"/>
          <w:sz w:val="24"/>
          <w:szCs w:val="24"/>
        </w:rPr>
        <w:t xml:space="preserve">(2), 000092. </w:t>
      </w:r>
      <w:r w:rsidR="004965F3">
        <w:tab/>
      </w:r>
      <w:hyperlink r:id="rId17">
        <w:r>
          <w:rPr>
            <w:rFonts w:ascii="Times New Roman" w:eastAsia="Times New Roman" w:hAnsi="Times New Roman" w:cs="Times New Roman"/>
            <w:sz w:val="24"/>
            <w:szCs w:val="24"/>
          </w:rPr>
          <w:t>https://doi.org/10.56707/ijoerar.v3i2.92</w:t>
        </w:r>
      </w:hyperlink>
    </w:p>
    <w:p w14:paraId="01665567" w14:textId="77777777" w:rsidR="00B174EE" w:rsidRDefault="009619CB" w:rsidP="004965F3">
      <w:pPr>
        <w:pStyle w:val="Heading1"/>
        <w:spacing w:before="400" w:after="160" w:line="276" w:lineRule="auto"/>
        <w:jc w:val="both"/>
        <w:rPr>
          <w:rFonts w:ascii="Times New Roman" w:eastAsia="Times New Roman" w:hAnsi="Times New Roman" w:cs="Times New Roman"/>
          <w:sz w:val="24"/>
          <w:szCs w:val="24"/>
        </w:rPr>
      </w:pPr>
      <w:bookmarkStart w:id="4" w:name="_s7iwp19xmc7t" w:colFirst="0" w:colLast="0"/>
      <w:bookmarkEnd w:id="4"/>
      <w:r>
        <w:rPr>
          <w:rFonts w:ascii="Times New Roman" w:eastAsia="Times New Roman" w:hAnsi="Times New Roman" w:cs="Times New Roman"/>
          <w:sz w:val="24"/>
          <w:szCs w:val="24"/>
        </w:rPr>
        <w:t>Regional/Local Studies</w:t>
      </w:r>
    </w:p>
    <w:p w14:paraId="4DE704A5" w14:textId="005FA876"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Ablay, J. A. M. C., Gindap, R. A. L., Ralla, P. J. L., Garcia, N. P. P., Pacete, D. A. B., Raminto, P. N.,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Sayon, S. K. S., &amp; Tomaquin, R. G. (2023). The relationship between spending behavior and student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financial management skills. </w:t>
      </w:r>
      <w:r>
        <w:rPr>
          <w:rFonts w:ascii="Times New Roman" w:eastAsia="Times New Roman" w:hAnsi="Times New Roman" w:cs="Times New Roman"/>
          <w:i/>
          <w:iCs/>
          <w:sz w:val="24"/>
          <w:szCs w:val="24"/>
        </w:rPr>
        <w:t>IOER International Multidisciplinary Research Journal, 5</w:t>
      </w:r>
      <w:r>
        <w:rPr>
          <w:rFonts w:ascii="Times New Roman" w:eastAsia="Times New Roman" w:hAnsi="Times New Roman" w:cs="Times New Roman"/>
          <w:sz w:val="24"/>
          <w:szCs w:val="24"/>
        </w:rPr>
        <w:t>(1), 175–</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181. </w:t>
      </w:r>
      <w:hyperlink r:id="rId18">
        <w:r>
          <w:rPr>
            <w:rFonts w:ascii="Times New Roman" w:eastAsia="Times New Roman" w:hAnsi="Times New Roman" w:cs="Times New Roman"/>
            <w:sz w:val="24"/>
            <w:szCs w:val="24"/>
          </w:rPr>
          <w:t>https://doi.org/10.54476/ioer-imrj/579933</w:t>
        </w:r>
      </w:hyperlink>
    </w:p>
    <w:p w14:paraId="32AA0412" w14:textId="3B6AB147"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Anaya, K. K., Piquero, J. R., Romero, C. J., Sales, Y. L., Suñga, P. A., Ibañez, M., Ramos, R. I., &amp; Asi, 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(2024). View of Peer Influence and Adolescent Spending: Insights into High School Students’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Buying Behavior. </w:t>
      </w:r>
      <w:r>
        <w:rPr>
          <w:rFonts w:ascii="Times New Roman" w:eastAsia="Times New Roman" w:hAnsi="Times New Roman" w:cs="Times New Roman"/>
          <w:i/>
          <w:iCs/>
          <w:sz w:val="24"/>
          <w:szCs w:val="24"/>
        </w:rPr>
        <w:t>UNAI Journal</w:t>
      </w:r>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sz w:val="24"/>
            <w:szCs w:val="24"/>
          </w:rPr>
          <w:t>https://jurnal.unai.edu/index.php/isc/article/view/3599/2377</w:t>
        </w:r>
      </w:hyperlink>
    </w:p>
    <w:p w14:paraId="3F6AF4C4" w14:textId="5EA969F2" w:rsidR="00B174EE" w:rsidRDefault="009619CB" w:rsidP="004965F3">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Aningsih, A. Y. (2024). The influence of hedonic shopping value and allowance on impulse buying of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Shopee products among Accounting Education students at UMS Class of 2017. </w:t>
      </w:r>
      <w:r>
        <w:rPr>
          <w:rFonts w:ascii="Times New Roman" w:eastAsia="Times New Roman" w:hAnsi="Times New Roman" w:cs="Times New Roman"/>
          <w:i/>
          <w:iCs/>
          <w:sz w:val="24"/>
          <w:szCs w:val="24"/>
        </w:rPr>
        <w:t xml:space="preserve">Proceedings of the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3rd International Conference on Education Innovation and Social Science (ICEISS)</w:t>
      </w:r>
      <w:r>
        <w:rPr>
          <w:rFonts w:ascii="Times New Roman" w:eastAsia="Times New Roman" w:hAnsi="Times New Roman" w:cs="Times New Roman"/>
          <w:sz w:val="24"/>
          <w:szCs w:val="24"/>
        </w:rPr>
        <w:t xml:space="preserve">. </w:t>
      </w:r>
      <w:r w:rsidR="004965F3">
        <w:tab/>
      </w:r>
      <w:hyperlink r:id="rId20">
        <w:r>
          <w:rPr>
            <w:rFonts w:ascii="Times New Roman" w:eastAsia="Times New Roman" w:hAnsi="Times New Roman" w:cs="Times New Roman"/>
            <w:sz w:val="24"/>
            <w:szCs w:val="24"/>
          </w:rPr>
          <w:t>https://proceedings.ums.ac.id/iceiss/article/view/5058</w:t>
        </w:r>
      </w:hyperlink>
    </w:p>
    <w:p w14:paraId="08DC58FC" w14:textId="2F484EDB"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Aquino, Ana A,; Beseleres, Mikaela Genel Isabelle T.; and Rubico, Leanne Belle M., "Impulsive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among select UPRHS Senior High School Students in the A.Y. 2022-2023: a mixed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methods study" (2023). </w:t>
      </w:r>
      <w:r>
        <w:rPr>
          <w:rFonts w:ascii="Times New Roman" w:eastAsia="Times New Roman" w:hAnsi="Times New Roman" w:cs="Times New Roman"/>
          <w:i/>
          <w:iCs/>
          <w:sz w:val="24"/>
          <w:szCs w:val="24"/>
        </w:rPr>
        <w:t>Capstones</w:t>
      </w:r>
      <w:r>
        <w:rPr>
          <w:rFonts w:ascii="Times New Roman" w:eastAsia="Times New Roman" w:hAnsi="Times New Roman" w:cs="Times New Roman"/>
          <w:sz w:val="24"/>
          <w:szCs w:val="24"/>
        </w:rPr>
        <w:t>. 107.</w:t>
      </w:r>
      <w:r w:rsidR="004965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https://www.ukdr.uplb.edu.ph/etd-capstone/107</w:t>
      </w:r>
    </w:p>
    <w:p w14:paraId="084E7612" w14:textId="520452C9"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Balgoa, N. K. G., Beray, R. F. F., Demeterio, A. F., Legaspi, R. L. A., Tenajeros, C. J. A., &amp; Tigoy, S. K.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(2021). </w:t>
      </w:r>
      <w:r>
        <w:rPr>
          <w:rFonts w:ascii="Times New Roman" w:eastAsia="Times New Roman" w:hAnsi="Times New Roman" w:cs="Times New Roman"/>
          <w:i/>
          <w:iCs/>
          <w:sz w:val="24"/>
          <w:szCs w:val="24"/>
        </w:rPr>
        <w:t xml:space="preserve">ADD TO CART: TEENAGERS’INCREASED PURCHASING BEHAVIOR INFLUENCED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INFLUENCE BY CONTEMPORARY MARKETING DURING COVID-19</w:t>
      </w:r>
      <w:r>
        <w:rPr>
          <w:rFonts w:ascii="Times New Roman" w:eastAsia="Times New Roman" w:hAnsi="Times New Roman" w:cs="Times New Roman"/>
          <w:sz w:val="24"/>
          <w:szCs w:val="24"/>
        </w:rPr>
        <w:t xml:space="preserve"> (Doctoral dissertation,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Ateneo de Davao University).</w:t>
      </w:r>
    </w:p>
    <w:p w14:paraId="45143EB2" w14:textId="1FBCB8C5"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Cervantes, B. Q., Bagwang, N. V., Dizon, M. C., Perez, K. C. S., &amp; Zamora, J. M. D. (2020, February).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 xml:space="preserve">Factors influencing the purchasing behaviour of the Polytechnic University of the Philippines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Senior High School - Accountancy, Business, and Management students towards online shopping</w:t>
      </w:r>
      <w:r>
        <w:rPr>
          <w:rFonts w:ascii="Times New Roman" w:eastAsia="Times New Roman" w:hAnsi="Times New Roman" w:cs="Times New Roman"/>
          <w:sz w:val="24"/>
          <w:szCs w:val="24"/>
        </w:rPr>
        <w:t xml:space="preserv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Scribd. https://www.scribd.com/document/473036310/Group-3-Research</w:t>
      </w:r>
    </w:p>
    <w:p w14:paraId="34B6084F" w14:textId="4497C7E7"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Dawa, H. F. L. U., &amp; Castro, A. J. M. (2024). Utilization of e-money on the students’ impulsive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among students in MMCM. </w:t>
      </w:r>
      <w:r>
        <w:rPr>
          <w:rFonts w:ascii="Times New Roman" w:eastAsia="Times New Roman" w:hAnsi="Times New Roman" w:cs="Times New Roman"/>
          <w:i/>
          <w:iCs/>
          <w:sz w:val="24"/>
          <w:szCs w:val="24"/>
        </w:rPr>
        <w:t>IOER International Multidisciplinary Research Journal, 6</w:t>
      </w:r>
      <w:r>
        <w:rPr>
          <w:rFonts w:ascii="Times New Roman" w:eastAsia="Times New Roman" w:hAnsi="Times New Roman" w:cs="Times New Roman"/>
          <w:sz w:val="24"/>
          <w:szCs w:val="24"/>
        </w:rPr>
        <w:t xml:space="preserve">(4),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40–47. https://doi.org/10.54476/ioer-imrj/207761</w:t>
      </w:r>
    </w:p>
    <w:p w14:paraId="466989C7" w14:textId="18EC372A"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Khai, C. I. ., Luciano, D., Mendoza, J. ., Perico, C. M. ., Rivera, G. L. N., &amp; Salera III, J. . (2024). Online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Product Review Engagement and Platform Trust Concerns: Their Influence in the Impulsive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of College Students. </w:t>
      </w:r>
      <w:r>
        <w:rPr>
          <w:rFonts w:ascii="Times New Roman" w:eastAsia="Times New Roman" w:hAnsi="Times New Roman" w:cs="Times New Roman"/>
          <w:i/>
          <w:iCs/>
          <w:sz w:val="24"/>
          <w:szCs w:val="24"/>
        </w:rPr>
        <w:t>11th International Scholars Conference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(3), 867-880. Retrieved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from https://jurnal.unai.edu/index.php/isc/article/view/3571</w:t>
      </w:r>
    </w:p>
    <w:p w14:paraId="59D77148" w14:textId="57BE4261"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Lamac, A. R. S., Badenas, W. J., Mosada, C. D., Fuerte, J. A., Dela Cruz, E., Biala, K. I., &amp; Abarcar, J.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(2024). </w:t>
      </w:r>
      <w:r>
        <w:rPr>
          <w:rFonts w:ascii="Times New Roman" w:eastAsia="Times New Roman" w:hAnsi="Times New Roman" w:cs="Times New Roman"/>
          <w:i/>
          <w:iCs/>
          <w:sz w:val="24"/>
          <w:szCs w:val="24"/>
        </w:rPr>
        <w:t>COMPULSIVE BUYING OF SENIOR HIGH SCHOOL STUDENTS</w:t>
      </w:r>
      <w:r>
        <w:rPr>
          <w:rFonts w:ascii="Times New Roman" w:eastAsia="Times New Roman" w:hAnsi="Times New Roman" w:cs="Times New Roman"/>
          <w:sz w:val="24"/>
          <w:szCs w:val="24"/>
        </w:rPr>
        <w:t xml:space="preserve">. Scribd.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https://www.scribd.com/document/709548631/COMPULSIVE-BUYING-OF-SENIOR-HIGH-</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SCHOOL-STUDENTS</w:t>
      </w:r>
    </w:p>
    <w:p w14:paraId="3921B6C4" w14:textId="101D73C8"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Pascual, G. J., Ongchap, A. E. M., Calacday, A. S., Castillo, A. A. E., Cuartero, R. C., Rarang, K. I.,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Retamal, J. M., &amp; Tumbali, M. V. (2024). Relationship between perceived impulsive buying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behavior and allowances of students. </w:t>
      </w:r>
      <w:r>
        <w:rPr>
          <w:rFonts w:ascii="Times New Roman" w:eastAsia="Times New Roman" w:hAnsi="Times New Roman" w:cs="Times New Roman"/>
          <w:i/>
          <w:iCs/>
          <w:sz w:val="24"/>
          <w:szCs w:val="24"/>
        </w:rPr>
        <w:t>Journal of Interdisciplinary Perspectives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 xml:space="preserve">(8).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https://doi.org/10.69569/jip.2024.0266</w:t>
      </w:r>
    </w:p>
    <w:p w14:paraId="5D6D4E59" w14:textId="6B84490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Pondang, K., Saripada, N., Balindong, F. A. M., Pailan, M. G., Dalipe, M. R., &amp; Tuazon, M. B. (2024).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relationship between financial literacy and spending habits of senior high school students.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International Research Journal of Modernization in Engineering Technology and Science, 6(4).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https://doi.org/10.56726/IRJMETS57904</w:t>
      </w:r>
    </w:p>
    <w:p w14:paraId="4563A1AB" w14:textId="7AB7FC7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Trinh, N. L. N., &amp; Nguyen, N. T. V. (2025). Online impulse buying behavior among university students: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 empirical study at East Asia University of Technology. </w:t>
      </w:r>
      <w:r>
        <w:rPr>
          <w:rFonts w:ascii="Times New Roman" w:eastAsia="Times New Roman" w:hAnsi="Times New Roman" w:cs="Times New Roman"/>
          <w:i/>
          <w:iCs/>
          <w:sz w:val="24"/>
          <w:szCs w:val="24"/>
        </w:rPr>
        <w:t xml:space="preserve">World Journal of Advanced Research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and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27</w:t>
      </w:r>
      <w:r>
        <w:rPr>
          <w:rFonts w:ascii="Times New Roman" w:eastAsia="Times New Roman" w:hAnsi="Times New Roman" w:cs="Times New Roman"/>
          <w:sz w:val="24"/>
          <w:szCs w:val="24"/>
        </w:rPr>
        <w:t>(1), 2388–2400. https://doi.org/10.30574/wjarr.2025.27.1.2749</w:t>
      </w:r>
    </w:p>
    <w:p w14:paraId="1A3E0832" w14:textId="15D80DA4"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Sarmiento, A. G. M. (2024). Buy Now, Think Later: Financial Literacy and Impulse Buying Behavior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among College Students in City of Malolos. </w:t>
      </w:r>
      <w:r>
        <w:rPr>
          <w:rFonts w:ascii="Times New Roman" w:eastAsia="Times New Roman" w:hAnsi="Times New Roman" w:cs="Times New Roman"/>
          <w:i/>
          <w:iCs/>
          <w:sz w:val="24"/>
          <w:szCs w:val="24"/>
        </w:rPr>
        <w:t xml:space="preserve">International Journal of Social Science Humanity &amp; </w:t>
      </w:r>
      <w:r w:rsidR="004965F3">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Management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03</w:t>
      </w:r>
      <w:r>
        <w:rPr>
          <w:rFonts w:ascii="Times New Roman" w:eastAsia="Times New Roman" w:hAnsi="Times New Roman" w:cs="Times New Roman"/>
          <w:sz w:val="24"/>
          <w:szCs w:val="24"/>
        </w:rPr>
        <w:t>(11). https://doi.org/10.58806/ijsshmr.2024.v3i11n10</w:t>
      </w:r>
    </w:p>
    <w:p w14:paraId="58CD2F4B" w14:textId="72980E60" w:rsidR="00B174EE" w:rsidRDefault="009619CB" w:rsidP="004965F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Vallespin, M. R., Bodiongan, J. K., Adolfo, P., Arpon, J. L., Baculio, L. L., Dael, H. K., Magkilat, P. J.,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Pamisa, J. A., Santos, N. D. M., &amp; Talines, M. J. (2024). The relationship of e-marketing strategies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to impulsive behavior of SHS students amidst pandemic. </w:t>
      </w:r>
      <w:r>
        <w:rPr>
          <w:rFonts w:ascii="Times New Roman" w:eastAsia="Times New Roman" w:hAnsi="Times New Roman" w:cs="Times New Roman"/>
          <w:i/>
          <w:iCs/>
          <w:sz w:val="24"/>
          <w:szCs w:val="24"/>
        </w:rPr>
        <w:t>SSRN Electronic Journal</w:t>
      </w:r>
      <w:r>
        <w:rPr>
          <w:rFonts w:ascii="Times New Roman" w:eastAsia="Times New Roman" w:hAnsi="Times New Roman" w:cs="Times New Roman"/>
          <w:sz w:val="24"/>
          <w:szCs w:val="24"/>
        </w:rPr>
        <w:t xml:space="preserve">.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https://doi.org/10.2139/ssrn.4790985</w:t>
      </w:r>
    </w:p>
    <w:p w14:paraId="529C34E0" w14:textId="77777777" w:rsidR="00B174EE" w:rsidRDefault="009619CB" w:rsidP="004965F3">
      <w:pPr>
        <w:pStyle w:val="Heading1"/>
        <w:spacing w:before="400" w:after="160" w:line="276" w:lineRule="auto"/>
        <w:jc w:val="both"/>
        <w:rPr>
          <w:rFonts w:ascii="Times New Roman" w:eastAsia="Times New Roman" w:hAnsi="Times New Roman" w:cs="Times New Roman"/>
          <w:sz w:val="24"/>
          <w:szCs w:val="24"/>
        </w:rPr>
      </w:pPr>
      <w:bookmarkStart w:id="5" w:name="_78jnx15wvqrk" w:colFirst="0" w:colLast="0"/>
      <w:bookmarkEnd w:id="5"/>
      <w:r>
        <w:rPr>
          <w:rFonts w:ascii="Times New Roman" w:eastAsia="Times New Roman" w:hAnsi="Times New Roman" w:cs="Times New Roman"/>
          <w:sz w:val="24"/>
          <w:szCs w:val="24"/>
        </w:rPr>
        <w:t>General Studies</w:t>
      </w:r>
    </w:p>
    <w:p w14:paraId="59896667" w14:textId="0B19BF7C" w:rsidR="00B174EE" w:rsidRPr="004965F3" w:rsidRDefault="009619CB" w:rsidP="004965F3">
      <w:pPr>
        <w:spacing w:line="276" w:lineRule="auto"/>
        <w:rPr>
          <w:rFonts w:ascii="Arial" w:eastAsia="Arial" w:hAnsi="Arial" w:cs="Arial"/>
          <w:sz w:val="22"/>
          <w:szCs w:val="22"/>
        </w:rPr>
      </w:pPr>
      <w:r>
        <w:rPr>
          <w:rFonts w:ascii="Times New Roman" w:eastAsia="Times New Roman" w:hAnsi="Times New Roman" w:cs="Times New Roman"/>
          <w:i/>
          <w:iCs/>
          <w:sz w:val="24"/>
          <w:szCs w:val="24"/>
        </w:rPr>
        <w:t>History of online shopping — Michael Aldrich Archive</w:t>
      </w:r>
      <w:r>
        <w:rPr>
          <w:rFonts w:ascii="Times New Roman" w:eastAsia="Times New Roman" w:hAnsi="Times New Roman" w:cs="Times New Roman"/>
          <w:sz w:val="24"/>
          <w:szCs w:val="24"/>
        </w:rPr>
        <w:t xml:space="preserve">. (n.d.). Michael Aldrich Archive </w:t>
      </w:r>
      <w:r w:rsidR="004965F3">
        <w:tab/>
      </w:r>
      <w:hyperlink r:id="rId21" w:history="1">
        <w:r w:rsidR="004965F3" w:rsidRPr="004965F3">
          <w:rPr>
            <w:rStyle w:val="Hyperlink"/>
            <w:rFonts w:ascii="Times New Roman" w:eastAsia="Times New Roman" w:hAnsi="Times New Roman" w:cs="Times New Roman"/>
            <w:color w:val="auto"/>
            <w:sz w:val="24"/>
            <w:szCs w:val="24"/>
            <w:u w:val="none"/>
          </w:rPr>
          <w:t>https://www.aldricharchive.co.uk/history-of-online-</w:t>
        </w:r>
      </w:hyperlink>
      <w:hyperlink r:id="rId22">
        <w:r w:rsidRPr="004965F3">
          <w:rPr>
            <w:rFonts w:ascii="Times New Roman" w:eastAsia="Times New Roman" w:hAnsi="Times New Roman" w:cs="Times New Roman"/>
            <w:sz w:val="24"/>
            <w:szCs w:val="24"/>
          </w:rPr>
          <w:t>shopping</w:t>
        </w:r>
      </w:hyperlink>
    </w:p>
    <w:p w14:paraId="7EFAA9CA" w14:textId="0F93EA28" w:rsidR="00B174EE" w:rsidRDefault="009619CB" w:rsidP="004965F3">
      <w:pPr>
        <w:spacing w:line="276" w:lineRule="auto"/>
        <w:rPr>
          <w:rFonts w:ascii="Arial" w:eastAsia="Arial" w:hAnsi="Arial" w:cs="Arial"/>
          <w:sz w:val="22"/>
          <w:szCs w:val="22"/>
        </w:rPr>
      </w:pPr>
      <w:r>
        <w:rPr>
          <w:rFonts w:ascii="Times New Roman" w:eastAsia="Times New Roman" w:hAnsi="Times New Roman" w:cs="Times New Roman"/>
          <w:i/>
          <w:iCs/>
          <w:sz w:val="24"/>
          <w:szCs w:val="24"/>
        </w:rPr>
        <w:t>What is Impulsive Buying?</w:t>
      </w:r>
      <w:r>
        <w:rPr>
          <w:rFonts w:ascii="Times New Roman" w:eastAsia="Times New Roman" w:hAnsi="Times New Roman" w:cs="Times New Roman"/>
          <w:sz w:val="24"/>
          <w:szCs w:val="24"/>
        </w:rPr>
        <w:t xml:space="preserve"> (n.d.). The Economic Times. </w:t>
      </w:r>
      <w:r w:rsidR="004965F3">
        <w:rPr>
          <w:rFonts w:ascii="Times New Roman" w:eastAsia="Times New Roman" w:hAnsi="Times New Roman" w:cs="Times New Roman"/>
          <w:sz w:val="24"/>
          <w:szCs w:val="24"/>
        </w:rPr>
        <w:tab/>
      </w:r>
      <w:r>
        <w:rPr>
          <w:rFonts w:ascii="Times New Roman" w:eastAsia="Times New Roman" w:hAnsi="Times New Roman" w:cs="Times New Roman"/>
          <w:sz w:val="24"/>
          <w:szCs w:val="24"/>
        </w:rPr>
        <w:t>https://economictimes.indiatimes.com/definition/impulsive-buying?from=mdr</w:t>
      </w:r>
    </w:p>
    <w:p w14:paraId="7150B5E6" w14:textId="77777777" w:rsidR="00B174EE" w:rsidRDefault="00B174EE">
      <w:pPr>
        <w:spacing w:before="240" w:after="0"/>
        <w:rPr>
          <w:rFonts w:ascii="Times New Roman" w:eastAsia="Times New Roman" w:hAnsi="Times New Roman" w:cs="Times New Roman"/>
          <w:sz w:val="24"/>
          <w:szCs w:val="24"/>
        </w:rPr>
      </w:pPr>
    </w:p>
    <w:p w14:paraId="405F1AC9" w14:textId="77777777" w:rsidR="00B174EE" w:rsidRDefault="00B174EE"/>
    <w:sectPr w:rsidR="00B174EE">
      <w:headerReference w:type="default" r:id="rId23"/>
      <w:pgSz w:w="11906" w:h="16838"/>
      <w:pgMar w:top="849" w:right="561" w:bottom="849" w:left="1137"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809E8" w14:textId="77777777" w:rsidR="005D2F36" w:rsidRDefault="005D2F36">
      <w:pPr>
        <w:spacing w:after="0" w:line="240" w:lineRule="auto"/>
      </w:pPr>
      <w:r>
        <w:separator/>
      </w:r>
    </w:p>
  </w:endnote>
  <w:endnote w:type="continuationSeparator" w:id="0">
    <w:p w14:paraId="378BEFE4" w14:textId="77777777" w:rsidR="005D2F36" w:rsidRDefault="005D2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4CF72ED9-E357-4B25-888E-64A01EBDF5DE}"/>
    <w:embedBold r:id="rId2" w:fontKey="{1C6FA31C-E897-401C-B67E-E7E5A426A8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5D822CA-5675-4C48-8A19-7C02202A345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0C54A0A-6D88-4F0B-9DB7-39EA1A7F177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971A4" w14:textId="77777777" w:rsidR="005D2F36" w:rsidRDefault="005D2F36">
      <w:pPr>
        <w:spacing w:after="0" w:line="240" w:lineRule="auto"/>
      </w:pPr>
      <w:r>
        <w:separator/>
      </w:r>
    </w:p>
  </w:footnote>
  <w:footnote w:type="continuationSeparator" w:id="0">
    <w:p w14:paraId="5EDC4DD1" w14:textId="77777777" w:rsidR="005D2F36" w:rsidRDefault="005D2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5E951" w14:textId="77777777" w:rsidR="00B174EE" w:rsidRDefault="009619CB">
    <w:pPr>
      <w:pBdr>
        <w:top w:val="nil"/>
        <w:left w:val="nil"/>
        <w:bottom w:val="nil"/>
        <w:right w:val="nil"/>
        <w:between w:val="nil"/>
      </w:pBdr>
      <w:tabs>
        <w:tab w:val="center" w:pos="4680"/>
        <w:tab w:val="right" w:pos="9360"/>
      </w:tabs>
      <w:spacing w:after="0" w:line="240" w:lineRule="auto"/>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4F4D5C">
      <w:rPr>
        <w:noProof/>
        <w:color w:val="000000"/>
        <w:sz w:val="22"/>
        <w:szCs w:val="22"/>
      </w:rPr>
      <w:t>9</w:t>
    </w:r>
    <w:r>
      <w:rPr>
        <w:color w:val="000000"/>
        <w:sz w:val="22"/>
        <w:szCs w:val="22"/>
      </w:rPr>
      <w:fldChar w:fldCharType="end"/>
    </w:r>
  </w:p>
  <w:p w14:paraId="3E04AEB4" w14:textId="77777777" w:rsidR="00B174EE" w:rsidRDefault="00B174EE">
    <w:pPr>
      <w:pBdr>
        <w:top w:val="nil"/>
        <w:left w:val="nil"/>
        <w:bottom w:val="nil"/>
        <w:right w:val="nil"/>
        <w:between w:val="nil"/>
      </w:pBdr>
      <w:tabs>
        <w:tab w:val="center" w:pos="4680"/>
        <w:tab w:val="right" w:pos="9360"/>
      </w:tabs>
      <w:spacing w:after="0" w:line="240" w:lineRule="auto"/>
      <w:jc w:val="left"/>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4EE"/>
    <w:rsid w:val="004965F3"/>
    <w:rsid w:val="004F4D5C"/>
    <w:rsid w:val="00573C64"/>
    <w:rsid w:val="005D2F36"/>
    <w:rsid w:val="009619CB"/>
    <w:rsid w:val="00B174EE"/>
    <w:rsid w:val="00B56FCA"/>
    <w:rsid w:val="00F3047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1C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1"/>
        <w:szCs w:val="21"/>
        <w:lang w:val="en-PH" w:eastAsia="en-PH"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jc w:val="left"/>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jc w:val="left"/>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qFormat/>
    <w:rsid w:val="004965F3"/>
    <w:rPr>
      <w:color w:val="0000FF" w:themeColor="hyperlink"/>
      <w:u w:val="single"/>
    </w:rPr>
  </w:style>
  <w:style w:type="character" w:customStyle="1" w:styleId="UnresolvedMention">
    <w:name w:val="Unresolved Mention"/>
    <w:basedOn w:val="DefaultParagraphFont"/>
    <w:uiPriority w:val="99"/>
    <w:semiHidden/>
    <w:unhideWhenUsed/>
    <w:rsid w:val="004965F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1"/>
        <w:szCs w:val="21"/>
        <w:lang w:val="en-PH" w:eastAsia="en-PH"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jc w:val="left"/>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jc w:val="left"/>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qFormat/>
    <w:rsid w:val="004965F3"/>
    <w:rPr>
      <w:color w:val="0000FF" w:themeColor="hyperlink"/>
      <w:u w:val="single"/>
    </w:rPr>
  </w:style>
  <w:style w:type="character" w:customStyle="1" w:styleId="UnresolvedMention">
    <w:name w:val="Unresolved Mention"/>
    <w:basedOn w:val="DefaultParagraphFont"/>
    <w:uiPriority w:val="99"/>
    <w:semiHidden/>
    <w:unhideWhenUsed/>
    <w:rsid w:val="00496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2147/PRBM.S494636" TargetMode="External"/><Relationship Id="rId13" Type="http://schemas.openxmlformats.org/officeDocument/2006/relationships/hyperlink" Target="https://doi.org/10.1080/23311886.2024.2443553" TargetMode="External"/><Relationship Id="rId18" Type="http://schemas.openxmlformats.org/officeDocument/2006/relationships/hyperlink" Target="https://doi.org/10.54476/ioer-imrj/579933" TargetMode="External"/><Relationship Id="rId3" Type="http://schemas.openxmlformats.org/officeDocument/2006/relationships/settings" Target="settings.xml"/><Relationship Id="rId21" Type="http://schemas.openxmlformats.org/officeDocument/2006/relationships/hyperlink" Target="https://www.aldricharchive.co.uk/history-of-online-" TargetMode="External"/><Relationship Id="rId7" Type="http://schemas.openxmlformats.org/officeDocument/2006/relationships/hyperlink" Target="https://doi.org/10.1108/sjme-03-2018-007" TargetMode="External"/><Relationship Id="rId12" Type="http://schemas.openxmlformats.org/officeDocument/2006/relationships/hyperlink" Target="https://doi.org/10.3389/fpsyg.2021.697080" TargetMode="External"/><Relationship Id="rId17" Type="http://schemas.openxmlformats.org/officeDocument/2006/relationships/hyperlink" Target="https://doi.org/10.56707/ijoerar.v3i2.92"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doi.org/10.1016/j.heliyon.2024.e35743" TargetMode="External"/><Relationship Id="rId20" Type="http://schemas.openxmlformats.org/officeDocument/2006/relationships/hyperlink" Target="https://proceedings.ums.ac.id/iceiss/article/view/5058?utm_source=chatgpt.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mitpress.mit.ed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nimorepository.dlsu.edu.ph/cgi/viewcontent.cgi?article=2364&amp;context=conf_shsrescon" TargetMode="External"/><Relationship Id="rId23" Type="http://schemas.openxmlformats.org/officeDocument/2006/relationships/header" Target="header1.xml"/><Relationship Id="rId10" Type="http://schemas.openxmlformats.org/officeDocument/2006/relationships/hyperlink" Target="https://doi.org/10.4038/cbj.v15i2.193" TargetMode="External"/><Relationship Id="rId19" Type="http://schemas.openxmlformats.org/officeDocument/2006/relationships/hyperlink" Target="https://jurnal.unai.edu/index.php/isc/article/view/3599/2377" TargetMode="External"/><Relationship Id="rId4" Type="http://schemas.openxmlformats.org/officeDocument/2006/relationships/webSettings" Target="webSettings.xml"/><Relationship Id="rId9" Type="http://schemas.openxmlformats.org/officeDocument/2006/relationships/hyperlink" Target="https://doi.org/10.54097/aa169427" TargetMode="External"/><Relationship Id="rId14" Type="http://schemas.openxmlformats.org/officeDocument/2006/relationships/hyperlink" Target="https://www.scribd.com/document/522649491/local-media1483880436507682965" TargetMode="External"/><Relationship Id="rId22" Type="http://schemas.openxmlformats.org/officeDocument/2006/relationships/hyperlink" Target="https://www.aldricharchive.co.uk/history-of-online-shopp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4265</Words>
  <Characters>24316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qwert</cp:lastModifiedBy>
  <cp:revision>5</cp:revision>
  <dcterms:created xsi:type="dcterms:W3CDTF">2026-03-02T06:53:00Z</dcterms:created>
  <dcterms:modified xsi:type="dcterms:W3CDTF">2026-03-03T11:53:00Z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e6367c42608b4e42bef7a12411f7fe3a</vt:lpwstr>
  </property>
</Properties>
</file>